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rPr>
      </w:pPr>
      <w:bookmarkStart w:id="0" w:name="OLE_LINK1"/>
      <w:r>
        <w:rPr>
          <w:rFonts w:hint="eastAsia" w:ascii="宋体" w:hAnsi="宋体" w:cs="宋体"/>
          <w:b/>
          <w:bCs/>
          <w:sz w:val="72"/>
          <w:szCs w:val="72"/>
        </w:rPr>
        <w:t>会计司法</w:t>
      </w:r>
      <w:r>
        <w:rPr>
          <w:rFonts w:hint="eastAsia" w:ascii="宋体" w:hAnsi="宋体" w:cs="宋体"/>
          <w:b/>
          <w:bCs/>
          <w:sz w:val="72"/>
          <w:szCs w:val="72"/>
          <w:lang w:val="en-US" w:eastAsia="zh-CN"/>
        </w:rPr>
        <w:t>鉴定</w:t>
      </w:r>
      <w:r>
        <w:rPr>
          <w:rFonts w:hint="eastAsia" w:ascii="宋体" w:hAnsi="宋体" w:cs="宋体"/>
          <w:b/>
          <w:bCs/>
          <w:sz w:val="72"/>
          <w:szCs w:val="72"/>
        </w:rPr>
        <w:t>审计服务</w:t>
      </w:r>
    </w:p>
    <w:p>
      <w:pPr>
        <w:jc w:val="center"/>
        <w:rPr>
          <w:rFonts w:hint="eastAsia" w:ascii="宋体" w:hAnsi="宋体" w:cs="宋体"/>
          <w:b/>
          <w:bCs/>
          <w:sz w:val="72"/>
          <w:szCs w:val="72"/>
        </w:rPr>
      </w:pPr>
      <w:r>
        <w:rPr>
          <w:rFonts w:hint="eastAsia" w:ascii="宋体" w:hAnsi="宋体" w:cs="宋体"/>
          <w:b/>
          <w:bCs/>
          <w:sz w:val="72"/>
          <w:szCs w:val="72"/>
        </w:rPr>
        <w:t>采购项目</w:t>
      </w:r>
      <w:bookmarkEnd w:id="0"/>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1"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1"/>
      <w:r>
        <w:rPr>
          <w:rFonts w:hint="eastAsia" w:ascii="宋体" w:hAnsi="宋体" w:cs="宋体"/>
          <w:b/>
          <w:bCs/>
          <w:sz w:val="36"/>
          <w:szCs w:val="36"/>
          <w:lang w:val="en-US" w:eastAsia="zh-CN"/>
        </w:rPr>
        <w:t>6</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1、项目名称：会计司法鉴定审计服务采购项目</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6</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rPr>
              <w:t>会计司法鉴定审计服务采购项目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szCs w:val="21"/>
                <w:lang w:val="en-US" w:eastAsia="zh-CN"/>
              </w:rPr>
              <w:t>30,000</w:t>
            </w:r>
            <w:r>
              <w:rPr>
                <w:rFonts w:ascii="宋体" w:hAnsi="宋体" w:cs="宋体"/>
                <w:kern w:val="0"/>
                <w:szCs w:val="21"/>
              </w:rPr>
              <w:t>.00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10</w:t>
      </w:r>
      <w:r>
        <w:rPr>
          <w:rFonts w:hint="eastAsia"/>
          <w:sz w:val="21"/>
          <w:szCs w:val="21"/>
          <w:highlight w:val="yellow"/>
        </w:rPr>
        <w:t>月</w:t>
      </w:r>
      <w:r>
        <w:rPr>
          <w:rFonts w:hint="eastAsia"/>
          <w:sz w:val="21"/>
          <w:szCs w:val="21"/>
          <w:highlight w:val="yellow"/>
          <w:lang w:val="en-US" w:eastAsia="zh-CN"/>
        </w:rPr>
        <w:t>28</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18</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28</w:t>
      </w:r>
      <w:r>
        <w:rPr>
          <w:rFonts w:hint="eastAsia" w:ascii="宋体" w:hAnsi="宋体" w:cs="宋体"/>
          <w:kern w:val="0"/>
          <w:szCs w:val="21"/>
          <w:highlight w:val="yellow"/>
          <w:u w:val="single"/>
        </w:rPr>
        <w:t>日</w:t>
      </w:r>
      <w:r>
        <w:rPr>
          <w:rFonts w:ascii="宋体" w:hAnsi="宋体" w:cs="宋体"/>
          <w:kern w:val="0"/>
          <w:szCs w:val="21"/>
          <w:highlight w:val="yellow"/>
          <w:u w:val="single"/>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szCs w:val="21"/>
          <w:lang w:val="en-US" w:eastAsia="zh-CN"/>
        </w:rPr>
        <w:t>李警官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lang w:val="en-US" w:eastAsia="zh-CN"/>
        </w:rPr>
        <w:t>18138291820</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34"/>
        <w:numPr>
          <w:ilvl w:val="0"/>
          <w:numId w:val="0"/>
        </w:numPr>
        <w:ind w:leftChars="0" w:firstLine="420" w:firstLineChars="200"/>
        <w:jc w:val="left"/>
        <w:rPr>
          <w:rFonts w:hint="eastAsia" w:ascii="宋体" w:hAnsi="宋体"/>
          <w:szCs w:val="21"/>
        </w:rPr>
      </w:pPr>
      <w:r>
        <w:rPr>
          <w:rFonts w:hint="eastAsia" w:ascii="宋体" w:hAnsi="宋体"/>
          <w:szCs w:val="21"/>
          <w:lang w:val="en-US" w:eastAsia="zh-CN"/>
        </w:rPr>
        <w:t>项</w:t>
      </w:r>
      <w:r>
        <w:rPr>
          <w:rFonts w:hint="eastAsia" w:ascii="宋体" w:hAnsi="宋体"/>
          <w:szCs w:val="21"/>
        </w:rPr>
        <w:t>目情况：</w:t>
      </w:r>
      <w:r>
        <w:rPr>
          <w:rFonts w:hint="eastAsia" w:ascii="宋体" w:hAnsi="宋体"/>
          <w:szCs w:val="21"/>
          <w:lang w:val="en-US" w:eastAsia="zh-CN"/>
        </w:rPr>
        <w:t>2024年6月14日事主张某报警称：其公司负责人燕某飞挪用公司钱款。经初步了解，涉案资金50余万元。</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2"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2"/>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15</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3"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3"/>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6</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15</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6</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pPr>
              <w:widowControl/>
              <w:jc w:val="left"/>
              <w:rPr>
                <w:rFonts w:hint="default" w:ascii="宋体" w:hAnsi="宋体" w:eastAsia="宋体" w:cs="宋体"/>
                <w:kern w:val="0"/>
                <w:szCs w:val="21"/>
                <w:lang w:val="en-US" w:eastAsia="zh-CN"/>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w:t>
            </w:r>
            <w:bookmarkStart w:id="6" w:name="_GoBack"/>
            <w:bookmarkEnd w:id="6"/>
            <w:r>
              <w:rPr>
                <w:rFonts w:ascii="宋体" w:hAnsi="宋体" w:cs="宋体"/>
                <w:bCs/>
                <w:szCs w:val="21"/>
              </w:rPr>
              <w:t>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4" w:name="OLE_LINK48"/>
      <w:bookmarkStart w:id="5" w:name="OLE_LINK46"/>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5</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4"/>
    <w:bookmarkEnd w:id="5"/>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6906</Words>
  <Characters>7756</Characters>
  <Lines>42</Lines>
  <Paragraphs>12</Paragraphs>
  <TotalTime>4</TotalTime>
  <ScaleCrop>false</ScaleCrop>
  <LinksUpToDate>false</LinksUpToDate>
  <CharactersWithSpaces>7850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ww</cp:lastModifiedBy>
  <dcterms:modified xsi:type="dcterms:W3CDTF">2024-10-18T09:16:19Z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3D15B8A7EFA44EB6869613828AE5C769</vt:lpwstr>
  </property>
</Properties>
</file>