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8B769">
      <w:pPr>
        <w:rPr>
          <w:rFonts w:asciiTheme="minorEastAsia" w:hAnsiTheme="minorEastAsia" w:eastAsiaTheme="minorEastAsia" w:cstheme="minorEastAsia"/>
          <w:sz w:val="52"/>
          <w:szCs w:val="52"/>
        </w:rPr>
      </w:pPr>
    </w:p>
    <w:p w14:paraId="677DBD76">
      <w:pPr>
        <w:jc w:val="center"/>
        <w:rPr>
          <w:rFonts w:asciiTheme="minorEastAsia" w:hAnsiTheme="minorEastAsia" w:eastAsiaTheme="minorEastAsia" w:cstheme="minorEastAsia"/>
          <w:b/>
          <w:bCs/>
          <w:sz w:val="72"/>
          <w:szCs w:val="72"/>
        </w:rPr>
      </w:pPr>
      <w:bookmarkStart w:id="0" w:name="OLE_LINK11"/>
      <w:bookmarkStart w:id="1" w:name="OLE_LINK10"/>
      <w:r>
        <w:rPr>
          <w:rFonts w:hint="eastAsia" w:asciiTheme="minorEastAsia" w:hAnsiTheme="minorEastAsia" w:eastAsiaTheme="minorEastAsia" w:cstheme="minorEastAsia"/>
          <w:b/>
          <w:bCs/>
          <w:sz w:val="72"/>
          <w:szCs w:val="72"/>
        </w:rPr>
        <w:t>天平大厦负二楼雨水池水泵及排污管闸阀更换维修项目</w:t>
      </w:r>
    </w:p>
    <w:bookmarkEnd w:id="0"/>
    <w:bookmarkEnd w:id="1"/>
    <w:p w14:paraId="621AB322">
      <w:pPr>
        <w:jc w:val="center"/>
        <w:rPr>
          <w:rFonts w:asciiTheme="minorEastAsia" w:hAnsiTheme="minorEastAsia" w:eastAsiaTheme="minorEastAsia" w:cstheme="minorEastAsia"/>
          <w:sz w:val="28"/>
          <w:szCs w:val="28"/>
        </w:rPr>
      </w:pPr>
    </w:p>
    <w:p w14:paraId="3132884C">
      <w:pPr>
        <w:jc w:val="center"/>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（工程类）</w:t>
      </w:r>
    </w:p>
    <w:p w14:paraId="70CB3B12">
      <w:pPr>
        <w:rPr>
          <w:rFonts w:asciiTheme="minorEastAsia" w:hAnsiTheme="minorEastAsia" w:eastAsiaTheme="minorEastAsia" w:cstheme="minorEastAsia"/>
        </w:rPr>
      </w:pPr>
    </w:p>
    <w:p w14:paraId="31660699">
      <w:pPr>
        <w:rPr>
          <w:rFonts w:asciiTheme="minorEastAsia" w:hAnsiTheme="minorEastAsia" w:eastAsiaTheme="minorEastAsia" w:cstheme="minorEastAsia"/>
        </w:rPr>
      </w:pPr>
    </w:p>
    <w:p w14:paraId="7C5DA62E">
      <w:pPr>
        <w:rPr>
          <w:rFonts w:asciiTheme="minorEastAsia" w:hAnsiTheme="minorEastAsia" w:eastAsiaTheme="minorEastAsia" w:cstheme="minorEastAsia"/>
        </w:rPr>
      </w:pPr>
    </w:p>
    <w:p w14:paraId="19A2211B">
      <w:pPr>
        <w:jc w:val="center"/>
        <w:rPr>
          <w:rFonts w:asciiTheme="minorEastAsia" w:hAnsiTheme="minorEastAsia" w:eastAsiaTheme="minorEastAsia" w:cstheme="minorEastAsia"/>
          <w:sz w:val="52"/>
          <w:szCs w:val="52"/>
        </w:rPr>
      </w:pPr>
    </w:p>
    <w:p w14:paraId="00BBA0C3">
      <w:pPr>
        <w:jc w:val="center"/>
        <w:rPr>
          <w:rFonts w:asciiTheme="minorEastAsia" w:hAnsiTheme="minorEastAsia" w:eastAsiaTheme="minorEastAsia" w:cstheme="minorEastAsia"/>
          <w:b/>
          <w:bCs/>
          <w:sz w:val="72"/>
          <w:szCs w:val="72"/>
        </w:rPr>
      </w:pPr>
      <w:r>
        <w:rPr>
          <w:rFonts w:hint="eastAsia" w:asciiTheme="minorEastAsia" w:hAnsiTheme="minorEastAsia" w:eastAsiaTheme="minorEastAsia" w:cstheme="minorEastAsia"/>
          <w:b/>
          <w:bCs/>
          <w:sz w:val="72"/>
          <w:szCs w:val="72"/>
        </w:rPr>
        <w:t>询 价 文 件</w:t>
      </w:r>
    </w:p>
    <w:p w14:paraId="47AE9FAF">
      <w:pPr>
        <w:jc w:val="center"/>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（项目编号：</w:t>
      </w:r>
      <w:r>
        <w:rPr>
          <w:rFonts w:hint="eastAsia" w:asciiTheme="minorEastAsia" w:hAnsiTheme="minorEastAsia" w:eastAsiaTheme="minorEastAsia" w:cstheme="minorEastAsia"/>
          <w:b/>
          <w:bCs/>
          <w:sz w:val="36"/>
          <w:szCs w:val="36"/>
          <w:lang w:eastAsia="zh-CN"/>
        </w:rPr>
        <w:t>UHOSZSFJD2025499</w:t>
      </w:r>
      <w:r>
        <w:rPr>
          <w:rFonts w:hint="eastAsia" w:asciiTheme="minorEastAsia" w:hAnsiTheme="minorEastAsia" w:eastAsiaTheme="minorEastAsia" w:cstheme="minorEastAsia"/>
          <w:b/>
          <w:bCs/>
          <w:sz w:val="36"/>
          <w:szCs w:val="36"/>
        </w:rPr>
        <w:t>）</w:t>
      </w:r>
    </w:p>
    <w:p w14:paraId="773943E8">
      <w:pPr>
        <w:rPr>
          <w:rFonts w:asciiTheme="minorEastAsia" w:hAnsiTheme="minorEastAsia" w:eastAsiaTheme="minorEastAsia" w:cstheme="minorEastAsia"/>
          <w:sz w:val="44"/>
        </w:rPr>
      </w:pPr>
    </w:p>
    <w:p w14:paraId="04ACB97D">
      <w:pPr>
        <w:snapToGrid w:val="0"/>
        <w:spacing w:line="480" w:lineRule="auto"/>
        <w:rPr>
          <w:rFonts w:asciiTheme="minorEastAsia" w:hAnsiTheme="minorEastAsia" w:eastAsiaTheme="minorEastAsia" w:cstheme="minorEastAsia"/>
          <w:sz w:val="48"/>
        </w:rPr>
      </w:pPr>
    </w:p>
    <w:p w14:paraId="187AFAE7">
      <w:pPr>
        <w:pStyle w:val="11"/>
        <w:rPr>
          <w:rFonts w:asciiTheme="minorEastAsia" w:hAnsiTheme="minorEastAsia" w:eastAsiaTheme="minorEastAsia" w:cstheme="minorEastAsia"/>
          <w:sz w:val="48"/>
        </w:rPr>
      </w:pPr>
    </w:p>
    <w:p w14:paraId="61BB4800">
      <w:pPr>
        <w:pStyle w:val="11"/>
        <w:rPr>
          <w:rFonts w:asciiTheme="minorEastAsia" w:hAnsiTheme="minorEastAsia" w:eastAsiaTheme="minorEastAsia" w:cstheme="minorEastAsia"/>
          <w:sz w:val="48"/>
        </w:rPr>
      </w:pPr>
    </w:p>
    <w:p w14:paraId="421F3406">
      <w:pPr>
        <w:pStyle w:val="11"/>
        <w:ind w:firstLine="1084" w:firstLineChars="300"/>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 xml:space="preserve">     采购人：深圳市司法局</w:t>
      </w:r>
    </w:p>
    <w:p w14:paraId="6B4B9CA6">
      <w:pPr>
        <w:pStyle w:val="11"/>
        <w:ind w:firstLine="1084" w:firstLineChars="300"/>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 xml:space="preserve">     采购代理机构：友和保险经纪有限公司</w:t>
      </w:r>
    </w:p>
    <w:p w14:paraId="72B48436">
      <w:pPr>
        <w:pStyle w:val="11"/>
        <w:rPr>
          <w:rFonts w:asciiTheme="minorEastAsia" w:hAnsiTheme="minorEastAsia" w:eastAsiaTheme="minorEastAsia" w:cstheme="minorEastAsia"/>
          <w:sz w:val="48"/>
        </w:rPr>
      </w:pPr>
    </w:p>
    <w:p w14:paraId="0F05ABFE">
      <w:pPr>
        <w:snapToGrid w:val="0"/>
        <w:jc w:val="center"/>
        <w:rPr>
          <w:rFonts w:asciiTheme="minorEastAsia" w:hAnsiTheme="minorEastAsia" w:eastAsiaTheme="minorEastAsia" w:cstheme="minorEastAsia"/>
          <w:b/>
          <w:bCs/>
          <w:color w:val="4F81BD" w:themeColor="accent1"/>
          <w:kern w:val="0"/>
          <w:sz w:val="36"/>
          <w:szCs w:val="36"/>
        </w:rPr>
      </w:pPr>
      <w:r>
        <w:rPr>
          <w:rFonts w:hint="eastAsia" w:asciiTheme="minorEastAsia" w:hAnsiTheme="minorEastAsia" w:eastAsiaTheme="minorEastAsia" w:cstheme="minorEastAsia"/>
          <w:b/>
          <w:bCs/>
          <w:sz w:val="36"/>
          <w:szCs w:val="36"/>
        </w:rPr>
        <w:t>二〇二五年八月</w:t>
      </w:r>
      <w:r>
        <w:rPr>
          <w:rFonts w:hint="eastAsia" w:asciiTheme="minorEastAsia" w:hAnsiTheme="minorEastAsia" w:eastAsiaTheme="minorEastAsia" w:cstheme="minorEastAsia"/>
          <w:b/>
          <w:bCs/>
          <w:color w:val="4F81BD" w:themeColor="accent1"/>
          <w:kern w:val="0"/>
          <w:sz w:val="36"/>
          <w:szCs w:val="36"/>
        </w:rPr>
        <w:br w:type="page"/>
      </w:r>
    </w:p>
    <w:p w14:paraId="3C3056BB">
      <w:pPr>
        <w:pageBreakBefore/>
        <w:snapToGrid w:val="0"/>
        <w:spacing w:line="480" w:lineRule="auto"/>
        <w:jc w:val="center"/>
        <w:rPr>
          <w:rFonts w:ascii="Arial" w:hAnsi="Arial" w:eastAsia="仿宋_GB2312" w:cs="Arial"/>
          <w:sz w:val="52"/>
        </w:rPr>
      </w:pPr>
      <w:bookmarkStart w:id="2" w:name="_Toc30170"/>
      <w:r>
        <w:rPr>
          <w:rFonts w:hint="eastAsia" w:ascii="黑体" w:eastAsia="黑体"/>
          <w:sz w:val="36"/>
          <w:szCs w:val="36"/>
        </w:rPr>
        <w:t>目 录</w:t>
      </w:r>
    </w:p>
    <w:sdt>
      <w:sdtPr>
        <w:rPr>
          <w:rFonts w:ascii="宋体" w:hAnsi="宋体"/>
        </w:rPr>
        <w:id w:val="147471930"/>
        <w:docPartObj>
          <w:docPartGallery w:val="Table of Contents"/>
          <w:docPartUnique/>
        </w:docPartObj>
      </w:sdtPr>
      <w:sdtEndPr>
        <w:rPr>
          <w:rFonts w:hint="eastAsia" w:ascii="黑体" w:hAnsi="黑体" w:eastAsia="黑体" w:cs="黑体"/>
          <w:bCs/>
          <w:color w:val="FF0000"/>
          <w:kern w:val="0"/>
          <w:sz w:val="40"/>
          <w:szCs w:val="52"/>
          <w:u w:val="double"/>
        </w:rPr>
      </w:sdtEndPr>
      <w:sdtContent>
        <w:p w14:paraId="2A2A6BFC">
          <w:pPr>
            <w:jc w:val="center"/>
          </w:pPr>
        </w:p>
        <w:p w14:paraId="1FF4D2C1">
          <w:pPr>
            <w:pStyle w:val="14"/>
            <w:tabs>
              <w:tab w:val="right" w:leader="dot" w:pos="8300"/>
            </w:tabs>
            <w:rPr>
              <w:sz w:val="28"/>
              <w:szCs w:val="36"/>
            </w:rPr>
          </w:pPr>
          <w:r>
            <w:rPr>
              <w:rFonts w:hint="eastAsia" w:ascii="黑体" w:hAnsi="黑体" w:eastAsia="黑体" w:cs="黑体"/>
              <w:b/>
              <w:bCs/>
              <w:color w:val="FF0000"/>
              <w:kern w:val="0"/>
              <w:sz w:val="52"/>
              <w:szCs w:val="52"/>
              <w:u w:val="double"/>
            </w:rPr>
            <w:fldChar w:fldCharType="begin"/>
          </w:r>
          <w:r>
            <w:rPr>
              <w:rFonts w:hint="eastAsia" w:ascii="黑体" w:hAnsi="黑体" w:eastAsia="黑体" w:cs="黑体"/>
              <w:b/>
              <w:bCs/>
              <w:color w:val="FF0000"/>
              <w:kern w:val="0"/>
              <w:sz w:val="52"/>
              <w:szCs w:val="52"/>
              <w:u w:val="double"/>
            </w:rPr>
            <w:instrText xml:space="preserve">TOC \o "1-1" \h \u </w:instrText>
          </w:r>
          <w:r>
            <w:rPr>
              <w:rFonts w:hint="eastAsia" w:ascii="黑体" w:hAnsi="黑体" w:eastAsia="黑体" w:cs="黑体"/>
              <w:b/>
              <w:bCs/>
              <w:color w:val="FF0000"/>
              <w:kern w:val="0"/>
              <w:sz w:val="52"/>
              <w:szCs w:val="52"/>
              <w:u w:val="double"/>
            </w:rPr>
            <w:fldChar w:fldCharType="separate"/>
          </w:r>
          <w:r>
            <w:rPr>
              <w:rFonts w:hint="eastAsia" w:ascii="黑体" w:hAnsi="黑体" w:eastAsia="黑体" w:cs="黑体"/>
              <w:bCs/>
              <w:color w:val="FF0000"/>
              <w:kern w:val="0"/>
              <w:sz w:val="28"/>
              <w:szCs w:val="52"/>
              <w:u w:val="double"/>
            </w:rPr>
            <w:fldChar w:fldCharType="begin"/>
          </w:r>
          <w:r>
            <w:rPr>
              <w:rFonts w:hint="eastAsia" w:ascii="黑体" w:hAnsi="黑体" w:eastAsia="黑体" w:cs="黑体"/>
              <w:bCs/>
              <w:kern w:val="0"/>
              <w:sz w:val="28"/>
              <w:szCs w:val="52"/>
            </w:rPr>
            <w:instrText xml:space="preserve"> HYPERLINK \l _Toc27242 </w:instrText>
          </w:r>
          <w:r>
            <w:rPr>
              <w:rFonts w:hint="eastAsia" w:ascii="黑体" w:hAnsi="黑体" w:eastAsia="黑体" w:cs="黑体"/>
              <w:bCs/>
              <w:kern w:val="0"/>
              <w:sz w:val="28"/>
              <w:szCs w:val="52"/>
            </w:rPr>
            <w:fldChar w:fldCharType="separate"/>
          </w:r>
          <w:r>
            <w:rPr>
              <w:rFonts w:hint="eastAsia" w:asciiTheme="minorEastAsia" w:hAnsiTheme="minorEastAsia" w:eastAsiaTheme="minorEastAsia" w:cstheme="minorEastAsia"/>
              <w:bCs/>
              <w:kern w:val="0"/>
              <w:sz w:val="28"/>
              <w:szCs w:val="48"/>
            </w:rPr>
            <w:t>第一章 询价公告</w:t>
          </w:r>
          <w:r>
            <w:rPr>
              <w:sz w:val="28"/>
              <w:szCs w:val="36"/>
            </w:rPr>
            <w:tab/>
          </w:r>
          <w:r>
            <w:rPr>
              <w:sz w:val="28"/>
              <w:szCs w:val="36"/>
            </w:rPr>
            <w:fldChar w:fldCharType="begin"/>
          </w:r>
          <w:r>
            <w:rPr>
              <w:sz w:val="28"/>
              <w:szCs w:val="36"/>
            </w:rPr>
            <w:instrText xml:space="preserve"> PAGEREF _Toc27242 \h </w:instrText>
          </w:r>
          <w:r>
            <w:rPr>
              <w:sz w:val="28"/>
              <w:szCs w:val="36"/>
            </w:rPr>
            <w:fldChar w:fldCharType="separate"/>
          </w:r>
          <w:r>
            <w:rPr>
              <w:sz w:val="28"/>
              <w:szCs w:val="36"/>
            </w:rPr>
            <w:t>5</w:t>
          </w:r>
          <w:r>
            <w:rPr>
              <w:sz w:val="28"/>
              <w:szCs w:val="36"/>
            </w:rPr>
            <w:fldChar w:fldCharType="end"/>
          </w:r>
          <w:r>
            <w:rPr>
              <w:rFonts w:hint="eastAsia" w:ascii="黑体" w:hAnsi="黑体" w:eastAsia="黑体" w:cs="黑体"/>
              <w:bCs/>
              <w:color w:val="FF0000"/>
              <w:kern w:val="0"/>
              <w:sz w:val="28"/>
              <w:szCs w:val="52"/>
              <w:u w:val="double"/>
            </w:rPr>
            <w:fldChar w:fldCharType="end"/>
          </w:r>
        </w:p>
        <w:p w14:paraId="05B7C501">
          <w:pPr>
            <w:pStyle w:val="14"/>
            <w:tabs>
              <w:tab w:val="right" w:leader="dot" w:pos="8300"/>
            </w:tabs>
            <w:rPr>
              <w:sz w:val="28"/>
              <w:szCs w:val="36"/>
            </w:rPr>
          </w:pPr>
          <w:r>
            <w:rPr>
              <w:rFonts w:hint="eastAsia" w:ascii="黑体" w:hAnsi="黑体" w:eastAsia="黑体" w:cs="黑体"/>
              <w:bCs/>
              <w:color w:val="FF0000"/>
              <w:kern w:val="0"/>
              <w:sz w:val="28"/>
              <w:szCs w:val="52"/>
              <w:u w:val="double"/>
            </w:rPr>
            <w:fldChar w:fldCharType="begin"/>
          </w:r>
          <w:r>
            <w:rPr>
              <w:rFonts w:hint="eastAsia" w:ascii="黑体" w:hAnsi="黑体" w:eastAsia="黑体" w:cs="黑体"/>
              <w:bCs/>
              <w:kern w:val="0"/>
              <w:sz w:val="28"/>
              <w:szCs w:val="52"/>
            </w:rPr>
            <w:instrText xml:space="preserve"> HYPERLINK \l _Toc31530 </w:instrText>
          </w:r>
          <w:r>
            <w:rPr>
              <w:rFonts w:hint="eastAsia" w:ascii="黑体" w:hAnsi="黑体" w:eastAsia="黑体" w:cs="黑体"/>
              <w:bCs/>
              <w:kern w:val="0"/>
              <w:sz w:val="28"/>
              <w:szCs w:val="52"/>
            </w:rPr>
            <w:fldChar w:fldCharType="separate"/>
          </w:r>
          <w:r>
            <w:rPr>
              <w:rFonts w:hint="eastAsia" w:ascii="宋体" w:hAnsi="宋体" w:cs="宋体"/>
              <w:kern w:val="0"/>
              <w:sz w:val="28"/>
              <w:szCs w:val="48"/>
            </w:rPr>
            <w:t>第二章 评审方式</w:t>
          </w:r>
          <w:r>
            <w:rPr>
              <w:sz w:val="28"/>
              <w:szCs w:val="36"/>
            </w:rPr>
            <w:tab/>
          </w:r>
          <w:r>
            <w:rPr>
              <w:sz w:val="28"/>
              <w:szCs w:val="36"/>
            </w:rPr>
            <w:fldChar w:fldCharType="begin"/>
          </w:r>
          <w:r>
            <w:rPr>
              <w:sz w:val="28"/>
              <w:szCs w:val="36"/>
            </w:rPr>
            <w:instrText xml:space="preserve"> PAGEREF _Toc31530 \h </w:instrText>
          </w:r>
          <w:r>
            <w:rPr>
              <w:sz w:val="28"/>
              <w:szCs w:val="36"/>
            </w:rPr>
            <w:fldChar w:fldCharType="separate"/>
          </w:r>
          <w:r>
            <w:rPr>
              <w:sz w:val="28"/>
              <w:szCs w:val="36"/>
            </w:rPr>
            <w:t>9</w:t>
          </w:r>
          <w:r>
            <w:rPr>
              <w:sz w:val="28"/>
              <w:szCs w:val="36"/>
            </w:rPr>
            <w:fldChar w:fldCharType="end"/>
          </w:r>
          <w:r>
            <w:rPr>
              <w:rFonts w:hint="eastAsia" w:ascii="黑体" w:hAnsi="黑体" w:eastAsia="黑体" w:cs="黑体"/>
              <w:bCs/>
              <w:color w:val="FF0000"/>
              <w:kern w:val="0"/>
              <w:sz w:val="28"/>
              <w:szCs w:val="52"/>
              <w:u w:val="double"/>
            </w:rPr>
            <w:fldChar w:fldCharType="end"/>
          </w:r>
        </w:p>
        <w:p w14:paraId="55294E0A">
          <w:pPr>
            <w:pStyle w:val="14"/>
            <w:tabs>
              <w:tab w:val="right" w:leader="dot" w:pos="8300"/>
            </w:tabs>
            <w:rPr>
              <w:sz w:val="28"/>
              <w:szCs w:val="36"/>
            </w:rPr>
          </w:pPr>
          <w:r>
            <w:rPr>
              <w:rFonts w:hint="eastAsia" w:ascii="黑体" w:hAnsi="黑体" w:eastAsia="黑体" w:cs="黑体"/>
              <w:bCs/>
              <w:color w:val="FF0000"/>
              <w:kern w:val="0"/>
              <w:sz w:val="28"/>
              <w:szCs w:val="52"/>
              <w:u w:val="double"/>
            </w:rPr>
            <w:fldChar w:fldCharType="begin"/>
          </w:r>
          <w:r>
            <w:rPr>
              <w:rFonts w:hint="eastAsia" w:ascii="黑体" w:hAnsi="黑体" w:eastAsia="黑体" w:cs="黑体"/>
              <w:bCs/>
              <w:kern w:val="0"/>
              <w:sz w:val="28"/>
              <w:szCs w:val="52"/>
            </w:rPr>
            <w:instrText xml:space="preserve"> HYPERLINK \l _Toc13696 </w:instrText>
          </w:r>
          <w:r>
            <w:rPr>
              <w:rFonts w:hint="eastAsia" w:ascii="黑体" w:hAnsi="黑体" w:eastAsia="黑体" w:cs="黑体"/>
              <w:bCs/>
              <w:kern w:val="0"/>
              <w:sz w:val="28"/>
              <w:szCs w:val="52"/>
            </w:rPr>
            <w:fldChar w:fldCharType="separate"/>
          </w:r>
          <w:r>
            <w:rPr>
              <w:rFonts w:hint="eastAsia" w:asciiTheme="minorEastAsia" w:hAnsiTheme="minorEastAsia" w:eastAsiaTheme="minorEastAsia" w:cstheme="minorEastAsia"/>
              <w:kern w:val="0"/>
              <w:sz w:val="28"/>
              <w:szCs w:val="48"/>
            </w:rPr>
            <w:t>第三章 用户需求书</w:t>
          </w:r>
          <w:r>
            <w:rPr>
              <w:sz w:val="28"/>
              <w:szCs w:val="36"/>
            </w:rPr>
            <w:tab/>
          </w:r>
          <w:r>
            <w:rPr>
              <w:sz w:val="28"/>
              <w:szCs w:val="36"/>
            </w:rPr>
            <w:fldChar w:fldCharType="begin"/>
          </w:r>
          <w:r>
            <w:rPr>
              <w:sz w:val="28"/>
              <w:szCs w:val="36"/>
            </w:rPr>
            <w:instrText xml:space="preserve"> PAGEREF _Toc13696 \h </w:instrText>
          </w:r>
          <w:r>
            <w:rPr>
              <w:sz w:val="28"/>
              <w:szCs w:val="36"/>
            </w:rPr>
            <w:fldChar w:fldCharType="separate"/>
          </w:r>
          <w:r>
            <w:rPr>
              <w:sz w:val="28"/>
              <w:szCs w:val="36"/>
            </w:rPr>
            <w:t>10</w:t>
          </w:r>
          <w:r>
            <w:rPr>
              <w:sz w:val="28"/>
              <w:szCs w:val="36"/>
            </w:rPr>
            <w:fldChar w:fldCharType="end"/>
          </w:r>
          <w:r>
            <w:rPr>
              <w:rFonts w:hint="eastAsia" w:ascii="黑体" w:hAnsi="黑体" w:eastAsia="黑体" w:cs="黑体"/>
              <w:bCs/>
              <w:color w:val="FF0000"/>
              <w:kern w:val="0"/>
              <w:sz w:val="28"/>
              <w:szCs w:val="52"/>
              <w:u w:val="double"/>
            </w:rPr>
            <w:fldChar w:fldCharType="end"/>
          </w:r>
        </w:p>
        <w:p w14:paraId="3CDA14B2">
          <w:pPr>
            <w:pStyle w:val="14"/>
            <w:tabs>
              <w:tab w:val="right" w:leader="dot" w:pos="8300"/>
            </w:tabs>
            <w:rPr>
              <w:sz w:val="28"/>
              <w:szCs w:val="36"/>
            </w:rPr>
          </w:pPr>
          <w:r>
            <w:rPr>
              <w:rFonts w:hint="eastAsia" w:ascii="黑体" w:hAnsi="黑体" w:eastAsia="黑体" w:cs="黑体"/>
              <w:bCs/>
              <w:color w:val="FF0000"/>
              <w:kern w:val="0"/>
              <w:sz w:val="28"/>
              <w:szCs w:val="52"/>
              <w:u w:val="double"/>
            </w:rPr>
            <w:fldChar w:fldCharType="begin"/>
          </w:r>
          <w:r>
            <w:rPr>
              <w:rFonts w:hint="eastAsia" w:ascii="黑体" w:hAnsi="黑体" w:eastAsia="黑体" w:cs="黑体"/>
              <w:bCs/>
              <w:kern w:val="0"/>
              <w:sz w:val="28"/>
              <w:szCs w:val="52"/>
            </w:rPr>
            <w:instrText xml:space="preserve"> HYPERLINK \l _Toc3632 </w:instrText>
          </w:r>
          <w:r>
            <w:rPr>
              <w:rFonts w:hint="eastAsia" w:ascii="黑体" w:hAnsi="黑体" w:eastAsia="黑体" w:cs="黑体"/>
              <w:bCs/>
              <w:kern w:val="0"/>
              <w:sz w:val="28"/>
              <w:szCs w:val="52"/>
            </w:rPr>
            <w:fldChar w:fldCharType="separate"/>
          </w:r>
          <w:r>
            <w:rPr>
              <w:rFonts w:hint="eastAsia" w:asciiTheme="minorEastAsia" w:hAnsiTheme="minorEastAsia" w:eastAsiaTheme="minorEastAsia" w:cstheme="minorEastAsia"/>
              <w:kern w:val="0"/>
              <w:sz w:val="28"/>
              <w:szCs w:val="48"/>
            </w:rPr>
            <w:t>第四章 采购代理服务费</w:t>
          </w:r>
          <w:r>
            <w:rPr>
              <w:sz w:val="28"/>
              <w:szCs w:val="36"/>
            </w:rPr>
            <w:tab/>
          </w:r>
          <w:r>
            <w:rPr>
              <w:sz w:val="28"/>
              <w:szCs w:val="36"/>
            </w:rPr>
            <w:fldChar w:fldCharType="begin"/>
          </w:r>
          <w:r>
            <w:rPr>
              <w:sz w:val="28"/>
              <w:szCs w:val="36"/>
            </w:rPr>
            <w:instrText xml:space="preserve"> PAGEREF _Toc3632 \h </w:instrText>
          </w:r>
          <w:r>
            <w:rPr>
              <w:sz w:val="28"/>
              <w:szCs w:val="36"/>
            </w:rPr>
            <w:fldChar w:fldCharType="separate"/>
          </w:r>
          <w:r>
            <w:rPr>
              <w:sz w:val="28"/>
              <w:szCs w:val="36"/>
            </w:rPr>
            <w:t>20</w:t>
          </w:r>
          <w:r>
            <w:rPr>
              <w:sz w:val="28"/>
              <w:szCs w:val="36"/>
            </w:rPr>
            <w:fldChar w:fldCharType="end"/>
          </w:r>
          <w:r>
            <w:rPr>
              <w:rFonts w:hint="eastAsia" w:ascii="黑体" w:hAnsi="黑体" w:eastAsia="黑体" w:cs="黑体"/>
              <w:bCs/>
              <w:color w:val="FF0000"/>
              <w:kern w:val="0"/>
              <w:sz w:val="28"/>
              <w:szCs w:val="52"/>
              <w:u w:val="double"/>
            </w:rPr>
            <w:fldChar w:fldCharType="end"/>
          </w:r>
        </w:p>
        <w:p w14:paraId="08FD0FB5">
          <w:pPr>
            <w:pStyle w:val="14"/>
            <w:tabs>
              <w:tab w:val="right" w:leader="dot" w:pos="8300"/>
            </w:tabs>
            <w:rPr>
              <w:sz w:val="28"/>
              <w:szCs w:val="36"/>
            </w:rPr>
          </w:pPr>
          <w:r>
            <w:rPr>
              <w:rFonts w:hint="eastAsia" w:ascii="黑体" w:hAnsi="黑体" w:eastAsia="黑体" w:cs="黑体"/>
              <w:bCs/>
              <w:color w:val="FF0000"/>
              <w:kern w:val="0"/>
              <w:sz w:val="28"/>
              <w:szCs w:val="52"/>
              <w:u w:val="double"/>
            </w:rPr>
            <w:fldChar w:fldCharType="begin"/>
          </w:r>
          <w:r>
            <w:rPr>
              <w:rFonts w:hint="eastAsia" w:ascii="黑体" w:hAnsi="黑体" w:eastAsia="黑体" w:cs="黑体"/>
              <w:bCs/>
              <w:kern w:val="0"/>
              <w:sz w:val="28"/>
              <w:szCs w:val="52"/>
            </w:rPr>
            <w:instrText xml:space="preserve"> HYPERLINK \l _Toc17593 </w:instrText>
          </w:r>
          <w:r>
            <w:rPr>
              <w:rFonts w:hint="eastAsia" w:ascii="黑体" w:hAnsi="黑体" w:eastAsia="黑体" w:cs="黑体"/>
              <w:bCs/>
              <w:kern w:val="0"/>
              <w:sz w:val="28"/>
              <w:szCs w:val="52"/>
            </w:rPr>
            <w:fldChar w:fldCharType="separate"/>
          </w:r>
          <w:r>
            <w:rPr>
              <w:rFonts w:hint="eastAsia" w:ascii="宋体" w:hAnsi="宋体" w:cs="宋体"/>
              <w:kern w:val="0"/>
              <w:sz w:val="28"/>
              <w:szCs w:val="48"/>
            </w:rPr>
            <w:t>第五章 合同模板</w:t>
          </w:r>
          <w:r>
            <w:rPr>
              <w:sz w:val="28"/>
              <w:szCs w:val="36"/>
            </w:rPr>
            <w:tab/>
          </w:r>
          <w:r>
            <w:rPr>
              <w:sz w:val="28"/>
              <w:szCs w:val="36"/>
            </w:rPr>
            <w:fldChar w:fldCharType="begin"/>
          </w:r>
          <w:r>
            <w:rPr>
              <w:sz w:val="28"/>
              <w:szCs w:val="36"/>
            </w:rPr>
            <w:instrText xml:space="preserve"> PAGEREF _Toc17593 \h </w:instrText>
          </w:r>
          <w:r>
            <w:rPr>
              <w:sz w:val="28"/>
              <w:szCs w:val="36"/>
            </w:rPr>
            <w:fldChar w:fldCharType="separate"/>
          </w:r>
          <w:r>
            <w:rPr>
              <w:sz w:val="28"/>
              <w:szCs w:val="36"/>
            </w:rPr>
            <w:t>21</w:t>
          </w:r>
          <w:r>
            <w:rPr>
              <w:sz w:val="28"/>
              <w:szCs w:val="36"/>
            </w:rPr>
            <w:fldChar w:fldCharType="end"/>
          </w:r>
          <w:r>
            <w:rPr>
              <w:rFonts w:hint="eastAsia" w:ascii="黑体" w:hAnsi="黑体" w:eastAsia="黑体" w:cs="黑体"/>
              <w:bCs/>
              <w:color w:val="FF0000"/>
              <w:kern w:val="0"/>
              <w:sz w:val="28"/>
              <w:szCs w:val="52"/>
              <w:u w:val="double"/>
            </w:rPr>
            <w:fldChar w:fldCharType="end"/>
          </w:r>
        </w:p>
        <w:p w14:paraId="2E297BC4">
          <w:pPr>
            <w:pStyle w:val="14"/>
            <w:tabs>
              <w:tab w:val="right" w:leader="dot" w:pos="8300"/>
            </w:tabs>
            <w:rPr>
              <w:sz w:val="28"/>
              <w:szCs w:val="36"/>
            </w:rPr>
          </w:pPr>
          <w:r>
            <w:rPr>
              <w:rFonts w:hint="eastAsia" w:ascii="黑体" w:hAnsi="黑体" w:eastAsia="黑体" w:cs="黑体"/>
              <w:bCs/>
              <w:color w:val="FF0000"/>
              <w:kern w:val="0"/>
              <w:sz w:val="28"/>
              <w:szCs w:val="52"/>
              <w:u w:val="double"/>
            </w:rPr>
            <w:fldChar w:fldCharType="begin"/>
          </w:r>
          <w:r>
            <w:rPr>
              <w:rFonts w:hint="eastAsia" w:ascii="黑体" w:hAnsi="黑体" w:eastAsia="黑体" w:cs="黑体"/>
              <w:bCs/>
              <w:kern w:val="0"/>
              <w:sz w:val="28"/>
              <w:szCs w:val="52"/>
            </w:rPr>
            <w:instrText xml:space="preserve"> HYPERLINK \l _Toc6208 </w:instrText>
          </w:r>
          <w:r>
            <w:rPr>
              <w:rFonts w:hint="eastAsia" w:ascii="黑体" w:hAnsi="黑体" w:eastAsia="黑体" w:cs="黑体"/>
              <w:bCs/>
              <w:kern w:val="0"/>
              <w:sz w:val="28"/>
              <w:szCs w:val="52"/>
            </w:rPr>
            <w:fldChar w:fldCharType="separate"/>
          </w:r>
          <w:r>
            <w:rPr>
              <w:rFonts w:hint="eastAsia" w:asciiTheme="minorEastAsia" w:hAnsiTheme="minorEastAsia" w:eastAsiaTheme="minorEastAsia" w:cstheme="minorEastAsia"/>
              <w:bCs/>
              <w:kern w:val="0"/>
              <w:sz w:val="28"/>
              <w:szCs w:val="40"/>
            </w:rPr>
            <w:t>附件：询价应答文件格式</w:t>
          </w:r>
          <w:r>
            <w:rPr>
              <w:sz w:val="28"/>
              <w:szCs w:val="36"/>
            </w:rPr>
            <w:tab/>
          </w:r>
          <w:r>
            <w:rPr>
              <w:sz w:val="28"/>
              <w:szCs w:val="36"/>
            </w:rPr>
            <w:fldChar w:fldCharType="begin"/>
          </w:r>
          <w:r>
            <w:rPr>
              <w:sz w:val="28"/>
              <w:szCs w:val="36"/>
            </w:rPr>
            <w:instrText xml:space="preserve"> PAGEREF _Toc6208 \h </w:instrText>
          </w:r>
          <w:r>
            <w:rPr>
              <w:sz w:val="28"/>
              <w:szCs w:val="36"/>
            </w:rPr>
            <w:fldChar w:fldCharType="separate"/>
          </w:r>
          <w:r>
            <w:rPr>
              <w:sz w:val="28"/>
              <w:szCs w:val="36"/>
            </w:rPr>
            <w:t>31</w:t>
          </w:r>
          <w:r>
            <w:rPr>
              <w:sz w:val="28"/>
              <w:szCs w:val="36"/>
            </w:rPr>
            <w:fldChar w:fldCharType="end"/>
          </w:r>
          <w:r>
            <w:rPr>
              <w:rFonts w:hint="eastAsia" w:ascii="黑体" w:hAnsi="黑体" w:eastAsia="黑体" w:cs="黑体"/>
              <w:bCs/>
              <w:color w:val="FF0000"/>
              <w:kern w:val="0"/>
              <w:sz w:val="28"/>
              <w:szCs w:val="52"/>
              <w:u w:val="double"/>
            </w:rPr>
            <w:fldChar w:fldCharType="end"/>
          </w:r>
        </w:p>
        <w:p w14:paraId="330B0A5F">
          <w:pPr>
            <w:autoSpaceDE w:val="0"/>
            <w:autoSpaceDN w:val="0"/>
            <w:adjustRightInd w:val="0"/>
            <w:spacing w:line="360" w:lineRule="auto"/>
            <w:jc w:val="center"/>
            <w:rPr>
              <w:rFonts w:ascii="黑体" w:hAnsi="黑体" w:eastAsia="黑体" w:cs="黑体"/>
              <w:bCs/>
              <w:color w:val="FF0000"/>
              <w:kern w:val="0"/>
              <w:sz w:val="40"/>
              <w:szCs w:val="52"/>
              <w:u w:val="double"/>
            </w:rPr>
          </w:pPr>
          <w:r>
            <w:rPr>
              <w:rFonts w:hint="eastAsia" w:ascii="黑体" w:hAnsi="黑体" w:eastAsia="黑体" w:cs="黑体"/>
              <w:bCs/>
              <w:color w:val="FF0000"/>
              <w:kern w:val="0"/>
              <w:sz w:val="28"/>
              <w:szCs w:val="52"/>
              <w:u w:val="double"/>
            </w:rPr>
            <w:fldChar w:fldCharType="end"/>
          </w:r>
        </w:p>
      </w:sdtContent>
    </w:sdt>
    <w:p w14:paraId="0713F7F1">
      <w:pPr>
        <w:autoSpaceDE w:val="0"/>
        <w:autoSpaceDN w:val="0"/>
        <w:adjustRightInd w:val="0"/>
        <w:spacing w:line="360" w:lineRule="auto"/>
        <w:jc w:val="center"/>
        <w:rPr>
          <w:rFonts w:asciiTheme="minorEastAsia" w:hAnsiTheme="minorEastAsia" w:eastAsiaTheme="minorEastAsia" w:cstheme="minorEastAsia"/>
          <w:b/>
          <w:bCs/>
          <w:color w:val="FF0000"/>
          <w:kern w:val="0"/>
          <w:sz w:val="28"/>
          <w:szCs w:val="28"/>
          <w:u w:val="double"/>
        </w:rPr>
      </w:pPr>
    </w:p>
    <w:p w14:paraId="7463BC80">
      <w:pPr>
        <w:autoSpaceDE w:val="0"/>
        <w:autoSpaceDN w:val="0"/>
        <w:adjustRightInd w:val="0"/>
        <w:spacing w:line="360" w:lineRule="auto"/>
        <w:jc w:val="center"/>
        <w:rPr>
          <w:rFonts w:asciiTheme="minorEastAsia" w:hAnsiTheme="minorEastAsia" w:eastAsiaTheme="minorEastAsia" w:cstheme="minorEastAsia"/>
          <w:b/>
          <w:bCs/>
          <w:color w:val="FF0000"/>
          <w:kern w:val="0"/>
          <w:sz w:val="28"/>
          <w:szCs w:val="28"/>
          <w:u w:val="double"/>
        </w:rPr>
      </w:pPr>
    </w:p>
    <w:p w14:paraId="13929CB7">
      <w:pPr>
        <w:autoSpaceDE w:val="0"/>
        <w:autoSpaceDN w:val="0"/>
        <w:adjustRightInd w:val="0"/>
        <w:spacing w:line="360" w:lineRule="auto"/>
        <w:jc w:val="center"/>
        <w:rPr>
          <w:rFonts w:asciiTheme="minorEastAsia" w:hAnsiTheme="minorEastAsia" w:eastAsiaTheme="minorEastAsia" w:cstheme="minorEastAsia"/>
          <w:b/>
          <w:bCs/>
          <w:color w:val="FF0000"/>
          <w:kern w:val="0"/>
          <w:sz w:val="28"/>
          <w:szCs w:val="28"/>
          <w:u w:val="double"/>
        </w:rPr>
      </w:pPr>
    </w:p>
    <w:p w14:paraId="265F9F8D">
      <w:pPr>
        <w:autoSpaceDE w:val="0"/>
        <w:autoSpaceDN w:val="0"/>
        <w:adjustRightInd w:val="0"/>
        <w:spacing w:line="360" w:lineRule="auto"/>
        <w:jc w:val="center"/>
        <w:rPr>
          <w:rFonts w:asciiTheme="minorEastAsia" w:hAnsiTheme="minorEastAsia" w:eastAsiaTheme="minorEastAsia" w:cstheme="minorEastAsia"/>
          <w:b/>
          <w:bCs/>
          <w:color w:val="FF0000"/>
          <w:kern w:val="0"/>
          <w:sz w:val="28"/>
          <w:szCs w:val="28"/>
          <w:u w:val="double"/>
        </w:rPr>
      </w:pPr>
    </w:p>
    <w:p w14:paraId="4FF30154">
      <w:pPr>
        <w:autoSpaceDE w:val="0"/>
        <w:autoSpaceDN w:val="0"/>
        <w:adjustRightInd w:val="0"/>
        <w:spacing w:line="360" w:lineRule="auto"/>
        <w:jc w:val="center"/>
        <w:rPr>
          <w:rFonts w:asciiTheme="minorEastAsia" w:hAnsiTheme="minorEastAsia" w:eastAsiaTheme="minorEastAsia" w:cstheme="minorEastAsia"/>
          <w:b/>
          <w:bCs/>
          <w:color w:val="FF0000"/>
          <w:kern w:val="0"/>
          <w:sz w:val="28"/>
          <w:szCs w:val="28"/>
          <w:u w:val="double"/>
        </w:rPr>
      </w:pPr>
    </w:p>
    <w:p w14:paraId="638C0398">
      <w:pPr>
        <w:autoSpaceDE w:val="0"/>
        <w:autoSpaceDN w:val="0"/>
        <w:adjustRightInd w:val="0"/>
        <w:spacing w:line="360" w:lineRule="auto"/>
        <w:jc w:val="center"/>
        <w:rPr>
          <w:rFonts w:asciiTheme="minorEastAsia" w:hAnsiTheme="minorEastAsia" w:eastAsiaTheme="minorEastAsia" w:cstheme="minorEastAsia"/>
          <w:b/>
          <w:bCs/>
          <w:color w:val="FF0000"/>
          <w:kern w:val="0"/>
          <w:sz w:val="28"/>
          <w:szCs w:val="28"/>
          <w:u w:val="double"/>
        </w:rPr>
      </w:pPr>
    </w:p>
    <w:p w14:paraId="5878829E">
      <w:pPr>
        <w:autoSpaceDE w:val="0"/>
        <w:autoSpaceDN w:val="0"/>
        <w:adjustRightInd w:val="0"/>
        <w:spacing w:line="360" w:lineRule="auto"/>
        <w:jc w:val="center"/>
        <w:rPr>
          <w:rFonts w:asciiTheme="minorEastAsia" w:hAnsiTheme="minorEastAsia" w:eastAsiaTheme="minorEastAsia" w:cstheme="minorEastAsia"/>
          <w:b/>
          <w:bCs/>
          <w:color w:val="FF0000"/>
          <w:kern w:val="0"/>
          <w:sz w:val="28"/>
          <w:szCs w:val="28"/>
          <w:u w:val="double"/>
        </w:rPr>
      </w:pPr>
    </w:p>
    <w:p w14:paraId="2E99F62C">
      <w:pPr>
        <w:autoSpaceDE w:val="0"/>
        <w:autoSpaceDN w:val="0"/>
        <w:adjustRightInd w:val="0"/>
        <w:spacing w:line="360" w:lineRule="auto"/>
        <w:jc w:val="center"/>
        <w:rPr>
          <w:rFonts w:asciiTheme="minorEastAsia" w:hAnsiTheme="minorEastAsia" w:eastAsiaTheme="minorEastAsia" w:cstheme="minorEastAsia"/>
          <w:b/>
          <w:bCs/>
          <w:color w:val="FF0000"/>
          <w:kern w:val="0"/>
          <w:sz w:val="28"/>
          <w:szCs w:val="28"/>
          <w:u w:val="double"/>
        </w:rPr>
      </w:pPr>
    </w:p>
    <w:p w14:paraId="4FFD131D">
      <w:pPr>
        <w:autoSpaceDE w:val="0"/>
        <w:autoSpaceDN w:val="0"/>
        <w:adjustRightInd w:val="0"/>
        <w:spacing w:line="360" w:lineRule="auto"/>
        <w:jc w:val="center"/>
        <w:rPr>
          <w:rFonts w:asciiTheme="minorEastAsia" w:hAnsiTheme="minorEastAsia" w:eastAsiaTheme="minorEastAsia" w:cstheme="minorEastAsia"/>
          <w:b/>
          <w:bCs/>
          <w:color w:val="FF0000"/>
          <w:kern w:val="0"/>
          <w:sz w:val="28"/>
          <w:szCs w:val="28"/>
          <w:u w:val="double"/>
        </w:rPr>
      </w:pPr>
    </w:p>
    <w:p w14:paraId="2D19EF4C">
      <w:pPr>
        <w:autoSpaceDE w:val="0"/>
        <w:autoSpaceDN w:val="0"/>
        <w:adjustRightInd w:val="0"/>
        <w:spacing w:line="360" w:lineRule="auto"/>
        <w:jc w:val="center"/>
        <w:rPr>
          <w:rFonts w:asciiTheme="minorEastAsia" w:hAnsiTheme="minorEastAsia" w:eastAsiaTheme="minorEastAsia" w:cstheme="minorEastAsia"/>
          <w:b/>
          <w:bCs/>
          <w:color w:val="FF0000"/>
          <w:kern w:val="0"/>
          <w:sz w:val="28"/>
          <w:szCs w:val="28"/>
          <w:u w:val="double"/>
        </w:rPr>
      </w:pPr>
    </w:p>
    <w:p w14:paraId="7BC3CFA0">
      <w:pPr>
        <w:autoSpaceDE w:val="0"/>
        <w:autoSpaceDN w:val="0"/>
        <w:adjustRightInd w:val="0"/>
        <w:spacing w:line="360" w:lineRule="auto"/>
        <w:jc w:val="center"/>
        <w:rPr>
          <w:rFonts w:asciiTheme="minorEastAsia" w:hAnsiTheme="minorEastAsia" w:eastAsiaTheme="minorEastAsia" w:cstheme="minorEastAsia"/>
          <w:b/>
          <w:bCs/>
          <w:color w:val="FF0000"/>
          <w:kern w:val="0"/>
          <w:sz w:val="28"/>
          <w:szCs w:val="28"/>
          <w:u w:val="double"/>
        </w:rPr>
      </w:pPr>
    </w:p>
    <w:p w14:paraId="34D5FA06">
      <w:pPr>
        <w:autoSpaceDE w:val="0"/>
        <w:autoSpaceDN w:val="0"/>
        <w:adjustRightInd w:val="0"/>
        <w:spacing w:line="360" w:lineRule="auto"/>
        <w:jc w:val="center"/>
        <w:rPr>
          <w:rFonts w:asciiTheme="minorEastAsia" w:hAnsiTheme="minorEastAsia" w:eastAsiaTheme="minorEastAsia" w:cstheme="minorEastAsia"/>
          <w:b/>
          <w:bCs/>
          <w:color w:val="FF0000"/>
          <w:kern w:val="0"/>
          <w:sz w:val="28"/>
          <w:szCs w:val="28"/>
          <w:u w:val="double"/>
        </w:rPr>
      </w:pPr>
    </w:p>
    <w:p w14:paraId="18234AA2">
      <w:pPr>
        <w:autoSpaceDE w:val="0"/>
        <w:autoSpaceDN w:val="0"/>
        <w:adjustRightInd w:val="0"/>
        <w:spacing w:line="360" w:lineRule="auto"/>
        <w:jc w:val="center"/>
        <w:rPr>
          <w:rFonts w:asciiTheme="minorEastAsia" w:hAnsiTheme="minorEastAsia" w:eastAsiaTheme="minorEastAsia" w:cstheme="minorEastAsia"/>
          <w:b/>
          <w:bCs/>
          <w:color w:val="FF0000"/>
          <w:kern w:val="0"/>
          <w:sz w:val="28"/>
          <w:szCs w:val="28"/>
          <w:u w:val="double"/>
        </w:rPr>
      </w:pPr>
    </w:p>
    <w:p w14:paraId="77684AE6">
      <w:pPr>
        <w:pStyle w:val="2"/>
        <w:ind w:firstLine="480"/>
      </w:pPr>
    </w:p>
    <w:p w14:paraId="4544A5CD">
      <w:pPr>
        <w:pStyle w:val="2"/>
        <w:ind w:firstLine="480"/>
      </w:pPr>
    </w:p>
    <w:p w14:paraId="1A3818BC">
      <w:pPr>
        <w:pStyle w:val="2"/>
        <w:ind w:firstLine="480"/>
      </w:pPr>
    </w:p>
    <w:p w14:paraId="46C4F1B4">
      <w:pPr>
        <w:pStyle w:val="2"/>
        <w:ind w:firstLine="480"/>
      </w:pPr>
    </w:p>
    <w:p w14:paraId="6F020D79">
      <w:pPr>
        <w:pStyle w:val="2"/>
        <w:ind w:firstLine="480"/>
      </w:pPr>
    </w:p>
    <w:p w14:paraId="7D0AE33A">
      <w:pPr>
        <w:pStyle w:val="2"/>
        <w:ind w:firstLine="480"/>
      </w:pPr>
    </w:p>
    <w:p w14:paraId="09174260">
      <w:pPr>
        <w:autoSpaceDE w:val="0"/>
        <w:autoSpaceDN w:val="0"/>
        <w:adjustRightInd w:val="0"/>
        <w:spacing w:line="360" w:lineRule="auto"/>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color w:val="FF0000"/>
          <w:kern w:val="0"/>
          <w:sz w:val="28"/>
          <w:szCs w:val="28"/>
          <w:u w:val="double"/>
        </w:rPr>
        <w:t>警示条款</w:t>
      </w:r>
      <w:bookmarkEnd w:id="2"/>
    </w:p>
    <w:p w14:paraId="774E582B">
      <w:pPr>
        <w:autoSpaceDE w:val="0"/>
        <w:autoSpaceDN w:val="0"/>
        <w:adjustRightInd w:val="0"/>
        <w:spacing w:line="288" w:lineRule="auto"/>
        <w:ind w:firstLine="422" w:firstLineChars="200"/>
        <w:jc w:val="left"/>
        <w:rPr>
          <w:rFonts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参与本项目政府采购活动的供应商应认真阅读以下特别警示条款，不得存在以下所列禁止情形：</w:t>
      </w:r>
    </w:p>
    <w:p w14:paraId="568A88DF">
      <w:pPr>
        <w:autoSpaceDE w:val="0"/>
        <w:autoSpaceDN w:val="0"/>
        <w:adjustRightInd w:val="0"/>
        <w:jc w:val="center"/>
        <w:rPr>
          <w:rFonts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《供应商参与投标（响应）禁止情形》</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7856"/>
      </w:tblGrid>
      <w:tr w14:paraId="1871F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67625E27">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4613" w:type="pct"/>
            <w:vAlign w:val="center"/>
          </w:tcPr>
          <w:p w14:paraId="2B9E390B">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color w:val="FF0000"/>
                <w:szCs w:val="21"/>
              </w:rPr>
              <w:t>供应商参与投标（响应）禁止情形</w:t>
            </w:r>
          </w:p>
        </w:tc>
      </w:tr>
      <w:tr w14:paraId="284E4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5238A9BE">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4613" w:type="pct"/>
            <w:vAlign w:val="center"/>
          </w:tcPr>
          <w:p w14:paraId="1C65371C">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与其他投标（响应）供应商的法定代表人、主要经营负责人、投标（响应）授权代表人、项目负责人、主要技术人员为</w:t>
            </w:r>
            <w:r>
              <w:rPr>
                <w:rFonts w:hint="eastAsia" w:asciiTheme="minorEastAsia" w:hAnsiTheme="minorEastAsia" w:eastAsiaTheme="minorEastAsia" w:cstheme="minorEastAsia"/>
                <w:b/>
                <w:bCs/>
                <w:color w:val="FF0000"/>
                <w:szCs w:val="21"/>
              </w:rPr>
              <w:t>同一人、属同一单位或者在同一单位缴纳社会保险</w:t>
            </w:r>
            <w:r>
              <w:rPr>
                <w:rFonts w:hint="eastAsia" w:asciiTheme="minorEastAsia" w:hAnsiTheme="minorEastAsia" w:eastAsiaTheme="minorEastAsia" w:cstheme="minorEastAsia"/>
                <w:szCs w:val="21"/>
              </w:rPr>
              <w:t>。</w:t>
            </w:r>
          </w:p>
        </w:tc>
      </w:tr>
      <w:tr w14:paraId="00406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5EDDF3CE">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4613" w:type="pct"/>
            <w:vAlign w:val="center"/>
          </w:tcPr>
          <w:p w14:paraId="2CEE9832">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参与本项目政府采购活动时，与其他投标（响应）供应商存在单位负责人为</w:t>
            </w:r>
            <w:r>
              <w:rPr>
                <w:rFonts w:hint="eastAsia" w:asciiTheme="minorEastAsia" w:hAnsiTheme="minorEastAsia" w:eastAsiaTheme="minorEastAsia" w:cstheme="minorEastAsia"/>
                <w:b/>
                <w:bCs/>
                <w:color w:val="FF0000"/>
                <w:szCs w:val="21"/>
              </w:rPr>
              <w:t>同一人或直接控股、管理关系</w:t>
            </w:r>
            <w:r>
              <w:rPr>
                <w:rFonts w:hint="eastAsia" w:asciiTheme="minorEastAsia" w:hAnsiTheme="minorEastAsia" w:eastAsiaTheme="minorEastAsia" w:cstheme="minorEastAsia"/>
                <w:szCs w:val="21"/>
              </w:rPr>
              <w:t>。</w:t>
            </w:r>
          </w:p>
        </w:tc>
      </w:tr>
      <w:tr w14:paraId="2ACFF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705FDA35">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4613" w:type="pct"/>
            <w:vAlign w:val="center"/>
          </w:tcPr>
          <w:p w14:paraId="0A1DE1CD">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与其他投标（响应）供应商的投标（响应）文件或部分投标（响应）文件</w:t>
            </w:r>
            <w:r>
              <w:rPr>
                <w:rFonts w:hint="eastAsia" w:asciiTheme="minorEastAsia" w:hAnsiTheme="minorEastAsia" w:eastAsiaTheme="minorEastAsia" w:cstheme="minorEastAsia"/>
                <w:b/>
                <w:bCs/>
                <w:color w:val="FF0000"/>
                <w:szCs w:val="21"/>
              </w:rPr>
              <w:t>相互混装或存在非正常一致</w:t>
            </w:r>
            <w:r>
              <w:rPr>
                <w:rFonts w:hint="eastAsia" w:asciiTheme="minorEastAsia" w:hAnsiTheme="minorEastAsia" w:eastAsiaTheme="minorEastAsia" w:cstheme="minorEastAsia"/>
                <w:szCs w:val="21"/>
              </w:rPr>
              <w:t>。</w:t>
            </w:r>
          </w:p>
        </w:tc>
      </w:tr>
      <w:tr w14:paraId="3006B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77F025F0">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4613" w:type="pct"/>
            <w:vAlign w:val="center"/>
          </w:tcPr>
          <w:p w14:paraId="72E0B62C">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与其他投标（响应）供应商的投标（响应）文件由</w:t>
            </w:r>
            <w:r>
              <w:rPr>
                <w:rFonts w:hint="eastAsia" w:asciiTheme="minorEastAsia" w:hAnsiTheme="minorEastAsia" w:eastAsiaTheme="minorEastAsia" w:cstheme="minorEastAsia"/>
                <w:b/>
                <w:bCs/>
                <w:color w:val="FF0000"/>
                <w:szCs w:val="21"/>
              </w:rPr>
              <w:t>同一单位或者同一人编制</w:t>
            </w:r>
            <w:r>
              <w:rPr>
                <w:rFonts w:hint="eastAsia" w:asciiTheme="minorEastAsia" w:hAnsiTheme="minorEastAsia" w:eastAsiaTheme="minorEastAsia" w:cstheme="minorEastAsia"/>
                <w:szCs w:val="21"/>
              </w:rPr>
              <w:t>。</w:t>
            </w:r>
          </w:p>
        </w:tc>
      </w:tr>
      <w:tr w14:paraId="1761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2D3BFDB8">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4613" w:type="pct"/>
            <w:vAlign w:val="center"/>
          </w:tcPr>
          <w:p w14:paraId="040E3031">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color w:val="FF0000"/>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bl>
    <w:p w14:paraId="24624B5E">
      <w:pPr>
        <w:spacing w:line="3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b/>
          <w:bCs/>
          <w:szCs w:val="21"/>
        </w:rPr>
        <w:t>《深圳经济特区政府采购条例》第五十七条</w:t>
      </w:r>
      <w:r>
        <w:rPr>
          <w:rFonts w:hint="eastAsia" w:asciiTheme="minorEastAsia" w:hAnsiTheme="minorEastAsia" w:eastAsiaTheme="minorEastAsia" w:cstheme="minorEastAsia"/>
          <w:szCs w:val="21"/>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9F33E44">
      <w:pPr>
        <w:spacing w:line="3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（一）在采购活动中应当回避而未回避的；</w:t>
      </w:r>
    </w:p>
    <w:p w14:paraId="2D04F2C2">
      <w:pPr>
        <w:spacing w:line="3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（二）未按本条例规定签订、履行采购合同，造成严重后果的；</w:t>
      </w:r>
    </w:p>
    <w:p w14:paraId="7E66B4A5">
      <w:pPr>
        <w:spacing w:line="3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（三）隐瞒真实情况，提供虚假资料的；</w:t>
      </w:r>
    </w:p>
    <w:p w14:paraId="63199C3B">
      <w:pPr>
        <w:spacing w:line="3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（四）以非法手段排斥其他供应商参与竞争的；</w:t>
      </w:r>
    </w:p>
    <w:p w14:paraId="045E721E">
      <w:pPr>
        <w:spacing w:line="3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（五）与其他采购参加人串通投标（响应）的；</w:t>
      </w:r>
    </w:p>
    <w:p w14:paraId="56649CF1">
      <w:pPr>
        <w:spacing w:line="3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（六）恶意投诉的；</w:t>
      </w:r>
    </w:p>
    <w:p w14:paraId="2106EA78">
      <w:pPr>
        <w:spacing w:line="3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（七）向采购项目相关人行贿或者提供其他不当利益的；</w:t>
      </w:r>
    </w:p>
    <w:p w14:paraId="2D02F42C">
      <w:pPr>
        <w:spacing w:line="3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（八）阻碍、抗拒主管部门监督检查的；</w:t>
      </w:r>
    </w:p>
    <w:p w14:paraId="466CCF7E">
      <w:pPr>
        <w:spacing w:line="3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（九）其他违反本条例规定的行为。</w:t>
      </w:r>
    </w:p>
    <w:p w14:paraId="3286E8CB">
      <w:pPr>
        <w:spacing w:line="300" w:lineRule="exact"/>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二、《深圳经济特区政府采购条例实施细则》第七十五条 </w:t>
      </w:r>
      <w:r>
        <w:rPr>
          <w:rFonts w:hint="eastAsia" w:asciiTheme="minorEastAsia" w:hAnsiTheme="minorEastAsia" w:eastAsiaTheme="minorEastAsia" w:cstheme="minorEastAsia"/>
          <w:szCs w:val="21"/>
        </w:rPr>
        <w:t>供应商有下列情形的，属于采购条例所称的串通投标（响应）行为，按照采购条例第五十七条有关规定处理：</w:t>
      </w:r>
    </w:p>
    <w:p w14:paraId="278DBC56">
      <w:pPr>
        <w:spacing w:line="3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（一）投标（响应）供应商之间相互约定给予未中标（成交）的供应商利益补偿；</w:t>
      </w:r>
    </w:p>
    <w:p w14:paraId="56B85560">
      <w:pPr>
        <w:spacing w:line="3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（二）不同投标（响应）供应商的法定代表人、主要经营负责人、项目投标（响应）授权代表人、项目负责人、主要技术人员为同一人、属同一单位或者在同一单位缴纳社会保险；</w:t>
      </w:r>
    </w:p>
    <w:p w14:paraId="6B98B11A">
      <w:pPr>
        <w:spacing w:line="3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（三）不同投标（响应）供应商的投标（响应）文件由同一单位或者同一人编制，或者由同一人分阶段参与编制的；</w:t>
      </w:r>
    </w:p>
    <w:p w14:paraId="670872CF">
      <w:pPr>
        <w:spacing w:line="3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（四）不同投标（响应）供应商的投标（响应）文件或部分投标（响应）文件相互混装；</w:t>
      </w:r>
    </w:p>
    <w:p w14:paraId="0FFA0E04">
      <w:pPr>
        <w:spacing w:line="3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（五）不同投标（响应）供应商的投标（响应）文件内容存在非正常一致；</w:t>
      </w:r>
    </w:p>
    <w:p w14:paraId="502687A1">
      <w:pPr>
        <w:spacing w:line="3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（六）由同一单位工作人员为两家以上（含两家）供应商进行同一项投标（响应）活动的；</w:t>
      </w:r>
    </w:p>
    <w:p w14:paraId="1F3A5787">
      <w:pPr>
        <w:spacing w:line="3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（七）主管部门依照法律、法规认定的其他情形。</w:t>
      </w:r>
    </w:p>
    <w:p w14:paraId="6AE9DE42">
      <w:pPr>
        <w:spacing w:line="300" w:lineRule="exact"/>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三、《深圳经济特区政府采购条例实施细则》第七十七条 </w:t>
      </w:r>
      <w:r>
        <w:rPr>
          <w:rFonts w:hint="eastAsia" w:asciiTheme="minorEastAsia" w:hAnsiTheme="minorEastAsia" w:eastAsiaTheme="minorEastAsia" w:cstheme="minorEastAsia"/>
          <w:szCs w:val="21"/>
        </w:rPr>
        <w:t>供应商有下列情形之一的，属于隐瞒真实情况，提供虚假资料，按照采购条例第五十七条的有关规定处理：</w:t>
      </w:r>
    </w:p>
    <w:p w14:paraId="0AFB0D2D">
      <w:pPr>
        <w:spacing w:line="3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（一）通过转让或者租借等方式从其他单位获取资格或者资质证书投标（响应）的；</w:t>
      </w:r>
    </w:p>
    <w:p w14:paraId="1CE0C28D">
      <w:pPr>
        <w:spacing w:line="3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（二）由其他单位或者其他单位负责人在投标（响应）供应商编制的投标（响应）文件上加盖印章或者签字的；</w:t>
      </w:r>
    </w:p>
    <w:p w14:paraId="49C8F2BB">
      <w:pPr>
        <w:spacing w:line="3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35FDEDB7">
      <w:pPr>
        <w:spacing w:line="3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（四）投标（响应）保证金不是从投标（响应）供应商基本账户转出的；</w:t>
      </w:r>
    </w:p>
    <w:p w14:paraId="6E38681B">
      <w:pPr>
        <w:spacing w:line="3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（五）其他隐瞒真实情况、提供虚假资料的行为。</w:t>
      </w:r>
    </w:p>
    <w:p w14:paraId="702C521B">
      <w:pPr>
        <w:spacing w:line="300" w:lineRule="exact"/>
        <w:ind w:firstLine="420" w:firstLineChars="200"/>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Cs w:val="21"/>
        </w:rPr>
        <w:t>投标（响应）供应商不能提供项目负责人或者主要技术人员的劳动合同、社会保险等劳动关系证明材料的，视为存在前款第（三）项规定的情形</w:t>
      </w:r>
      <w:r>
        <w:rPr>
          <w:rFonts w:hint="eastAsia" w:asciiTheme="minorEastAsia" w:hAnsiTheme="minorEastAsia" w:eastAsiaTheme="minorEastAsia" w:cstheme="minorEastAsia"/>
          <w:color w:val="000000"/>
          <w:sz w:val="20"/>
          <w:szCs w:val="20"/>
        </w:rPr>
        <w:t>。</w:t>
      </w:r>
    </w:p>
    <w:p w14:paraId="3E4E2438">
      <w:pPr>
        <w:numPr>
          <w:ilvl w:val="0"/>
          <w:numId w:val="1"/>
        </w:numPr>
        <w:spacing w:line="300" w:lineRule="exact"/>
        <w:ind w:firstLine="422"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《中华人民共和国政府采购法实施条例》 第十八条</w:t>
      </w:r>
      <w:r>
        <w:rPr>
          <w:rFonts w:hint="eastAsia" w:asciiTheme="minorEastAsia" w:hAnsiTheme="minorEastAsia" w:eastAsiaTheme="minorEastAsia" w:cstheme="minorEastAsia"/>
          <w:color w:val="000000"/>
          <w:szCs w:val="21"/>
        </w:rPr>
        <w:t xml:space="preserve">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B09BAA3">
      <w:pPr>
        <w:spacing w:line="300" w:lineRule="exact"/>
        <w:ind w:firstLine="422" w:firstLineChars="200"/>
        <w:rPr>
          <w:rFonts w:asciiTheme="minorEastAsia" w:hAnsiTheme="minorEastAsia" w:eastAsiaTheme="minorEastAsia" w:cstheme="minorEastAsia"/>
          <w:color w:val="000000"/>
          <w:szCs w:val="21"/>
        </w:rPr>
      </w:pPr>
      <w:bookmarkStart w:id="3" w:name="OLE_LINK13"/>
      <w:bookmarkStart w:id="4" w:name="OLE_LINK12"/>
      <w:r>
        <w:rPr>
          <w:rFonts w:hint="eastAsia" w:asciiTheme="minorEastAsia" w:hAnsiTheme="minorEastAsia" w:eastAsiaTheme="minorEastAsia" w:cstheme="minorEastAsia"/>
          <w:b/>
          <w:bCs/>
          <w:color w:val="000000"/>
          <w:szCs w:val="21"/>
        </w:rPr>
        <w:t>五</w:t>
      </w:r>
      <w:bookmarkEnd w:id="3"/>
      <w:bookmarkEnd w:id="4"/>
      <w:bookmarkStart w:id="5" w:name="OLE_LINK14"/>
      <w:bookmarkStart w:id="6" w:name="OLE_LINK15"/>
      <w:r>
        <w:rPr>
          <w:rFonts w:hint="eastAsia" w:asciiTheme="minorEastAsia" w:hAnsiTheme="minorEastAsia" w:eastAsiaTheme="minorEastAsia" w:cstheme="minorEastAsia"/>
          <w:b/>
          <w:bCs/>
          <w:color w:val="000000"/>
          <w:szCs w:val="21"/>
        </w:rPr>
        <w:t>、</w:t>
      </w:r>
      <w:bookmarkEnd w:id="5"/>
      <w:bookmarkEnd w:id="6"/>
      <w:r>
        <w:rPr>
          <w:rFonts w:hint="eastAsia" w:asciiTheme="minorEastAsia" w:hAnsiTheme="minorEastAsia" w:eastAsiaTheme="minorEastAsia" w:cstheme="minorEastAsia"/>
          <w:b/>
          <w:bCs/>
          <w:color w:val="000000"/>
          <w:szCs w:val="21"/>
        </w:rPr>
        <w:t xml:space="preserve">《深圳市财政局关于采购文件增加风险告知有关事项的通知》 </w:t>
      </w:r>
      <w:r>
        <w:rPr>
          <w:rFonts w:hint="eastAsia" w:asciiTheme="minorEastAsia" w:hAnsiTheme="minorEastAsia" w:eastAsiaTheme="minorEastAsia" w:cstheme="minorEastAsia"/>
          <w:color w:val="000000"/>
          <w:szCs w:val="21"/>
        </w:rPr>
        <w:t>各投标（响应）供应商应按要求提交《政府采购违法行为风险知悉确认书》</w:t>
      </w:r>
      <w:r>
        <w:rPr>
          <w:rFonts w:hint="eastAsia" w:asciiTheme="minorEastAsia" w:hAnsiTheme="minorEastAsia" w:eastAsiaTheme="minorEastAsia" w:cstheme="minorEastAsia"/>
          <w:color w:val="000000"/>
          <w:szCs w:val="21"/>
          <w:highlight w:val="yellow"/>
        </w:rPr>
        <w:t>（详见询价应答文件格式-政府采购违法行为风险知悉确认书）</w:t>
      </w:r>
      <w:r>
        <w:rPr>
          <w:rFonts w:hint="eastAsia" w:asciiTheme="minorEastAsia" w:hAnsiTheme="minorEastAsia" w:eastAsiaTheme="minorEastAsia" w:cstheme="minorEastAsia"/>
          <w:color w:val="000000"/>
          <w:szCs w:val="21"/>
        </w:rPr>
        <w:t>。该文件由负责人或投标（响应）授权代表签字并加盖单位公章后，与投标（响应）文件一并提交。</w:t>
      </w:r>
    </w:p>
    <w:p w14:paraId="4085A157">
      <w:pPr>
        <w:pStyle w:val="2"/>
        <w:ind w:firstLine="422" w:firstLineChars="20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b/>
          <w:bCs/>
          <w:color w:val="FF0000"/>
          <w:sz w:val="21"/>
          <w:szCs w:val="21"/>
        </w:rPr>
        <w:t>六、《深圳经济特区政府采购条例</w:t>
      </w:r>
      <w:r>
        <w:rPr>
          <w:rFonts w:asciiTheme="minorEastAsia" w:hAnsiTheme="minorEastAsia" w:eastAsiaTheme="minorEastAsia" w:cstheme="minorEastAsia"/>
          <w:b/>
          <w:bCs/>
          <w:color w:val="FF0000"/>
          <w:sz w:val="21"/>
          <w:szCs w:val="21"/>
        </w:rPr>
        <w:t>(2019修正)》</w:t>
      </w:r>
      <w:r>
        <w:rPr>
          <w:rFonts w:hint="eastAsia" w:asciiTheme="minorEastAsia" w:hAnsiTheme="minorEastAsia" w:eastAsiaTheme="minorEastAsia" w:cstheme="minorEastAsia"/>
          <w:bCs/>
          <w:color w:val="FF0000"/>
          <w:sz w:val="21"/>
          <w:szCs w:val="21"/>
        </w:rPr>
        <w:t>第三十七条规定：“采购人与供应商应当自中标或者成交通知书发出之日起十个工作日内按照采购文件确定的事项签订政府采购合同。采购合同的实质性内容应当符合采购文件的规定。</w:t>
      </w:r>
      <w:r>
        <w:rPr>
          <w:rFonts w:hint="eastAsia" w:ascii="仿宋_GB2312" w:hAnsi="仿宋_GB2312" w:eastAsia="仿宋_GB2312" w:cs="仿宋_GB2312"/>
          <w:bCs/>
          <w:color w:val="FF0000"/>
          <w:sz w:val="21"/>
          <w:szCs w:val="21"/>
        </w:rPr>
        <w:t>”</w:t>
      </w:r>
    </w:p>
    <w:p w14:paraId="1FDA3DEB">
      <w:pPr>
        <w:rPr>
          <w:rFonts w:asciiTheme="minorEastAsia" w:hAnsiTheme="minorEastAsia" w:eastAsiaTheme="minorEastAsia" w:cstheme="minorEastAsia"/>
        </w:rPr>
      </w:pPr>
      <w:r>
        <w:rPr>
          <w:rFonts w:hint="eastAsia" w:asciiTheme="minorEastAsia" w:hAnsiTheme="minorEastAsia" w:eastAsiaTheme="minorEastAsia" w:cstheme="minorEastAsia"/>
          <w:color w:val="000000"/>
          <w:szCs w:val="21"/>
        </w:rPr>
        <w:t>注：该风险知悉确认书用于对供应商违法行为的警示，不作为供应商资格性审查及符合性审查条件。</w:t>
      </w:r>
      <w:r>
        <w:rPr>
          <w:rFonts w:hint="eastAsia" w:asciiTheme="minorEastAsia" w:hAnsiTheme="minorEastAsia" w:eastAsiaTheme="minorEastAsia" w:cstheme="minorEastAsia"/>
        </w:rPr>
        <w:br w:type="page"/>
      </w:r>
    </w:p>
    <w:p w14:paraId="5AEE00BB">
      <w:pPr>
        <w:widowControl/>
        <w:spacing w:before="100" w:beforeAutospacing="1" w:after="100" w:afterAutospacing="1"/>
        <w:jc w:val="center"/>
        <w:outlineLvl w:val="0"/>
        <w:rPr>
          <w:rFonts w:asciiTheme="minorEastAsia" w:hAnsiTheme="minorEastAsia" w:eastAsiaTheme="minorEastAsia" w:cstheme="minorEastAsia"/>
          <w:b/>
          <w:bCs/>
          <w:color w:val="auto"/>
          <w:kern w:val="0"/>
          <w:sz w:val="36"/>
          <w:szCs w:val="36"/>
        </w:rPr>
      </w:pPr>
      <w:bookmarkStart w:id="7" w:name="_Toc27242"/>
      <w:r>
        <w:rPr>
          <w:rFonts w:hint="eastAsia" w:asciiTheme="minorEastAsia" w:hAnsiTheme="minorEastAsia" w:eastAsiaTheme="minorEastAsia" w:cstheme="minorEastAsia"/>
          <w:b/>
          <w:bCs/>
          <w:color w:val="auto"/>
          <w:kern w:val="0"/>
          <w:sz w:val="36"/>
          <w:szCs w:val="36"/>
        </w:rPr>
        <w:t>第一章 询价公告</w:t>
      </w:r>
      <w:bookmarkEnd w:id="7"/>
    </w:p>
    <w:p w14:paraId="7E306FFA">
      <w:pPr>
        <w:widowControl/>
        <w:adjustRightInd w:val="0"/>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友和保险经纪有限公司(以下简称“采购代理机构”)受</w:t>
      </w:r>
      <w:r>
        <w:rPr>
          <w:rFonts w:hint="eastAsia" w:ascii="宋体" w:hAnsi="宋体"/>
          <w:b/>
          <w:color w:val="auto"/>
          <w:szCs w:val="21"/>
          <w:u w:val="single"/>
        </w:rPr>
        <w:t>深圳市司法局</w:t>
      </w:r>
      <w:r>
        <w:rPr>
          <w:rFonts w:hint="eastAsia" w:asciiTheme="minorEastAsia" w:hAnsiTheme="minorEastAsia" w:eastAsiaTheme="minorEastAsia" w:cstheme="minorEastAsia"/>
          <w:color w:val="auto"/>
          <w:kern w:val="0"/>
          <w:szCs w:val="21"/>
        </w:rPr>
        <w:t>的委托发布公开询价公告，本项目为</w:t>
      </w:r>
      <w:bookmarkStart w:id="8" w:name="OLE_LINK1"/>
      <w:bookmarkStart w:id="9" w:name="OLE_LINK2"/>
      <w:r>
        <w:rPr>
          <w:rFonts w:hint="eastAsia" w:ascii="宋体" w:hAnsi="宋体"/>
          <w:b/>
          <w:color w:val="auto"/>
          <w:szCs w:val="21"/>
          <w:u w:val="single"/>
        </w:rPr>
        <w:t>天平大厦负二楼雨水池水泵及排污管闸阀更换维修</w:t>
      </w:r>
      <w:bookmarkEnd w:id="8"/>
      <w:bookmarkEnd w:id="9"/>
      <w:r>
        <w:rPr>
          <w:rFonts w:hint="eastAsia" w:asciiTheme="minorEastAsia" w:hAnsiTheme="minorEastAsia" w:eastAsiaTheme="minorEastAsia" w:cstheme="minorEastAsia"/>
          <w:color w:val="auto"/>
          <w:kern w:val="0"/>
          <w:szCs w:val="21"/>
        </w:rPr>
        <w:t>项目进行询价采购，欢迎有相应资质和能力的潜在供应商参加本次询价活动。</w:t>
      </w:r>
    </w:p>
    <w:p w14:paraId="4F2CBAE2">
      <w:pPr>
        <w:widowControl/>
        <w:adjustRightInd w:val="0"/>
        <w:ind w:firstLine="422" w:firstLineChars="200"/>
        <w:jc w:val="left"/>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一、项目概况：</w:t>
      </w:r>
    </w:p>
    <w:p w14:paraId="5B9B0FEF">
      <w:pPr>
        <w:widowControl/>
        <w:adjustRightInd w:val="0"/>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1、项目名称：</w:t>
      </w:r>
      <w:r>
        <w:rPr>
          <w:rFonts w:hint="eastAsia" w:ascii="宋体" w:hAnsi="宋体"/>
          <w:b/>
          <w:color w:val="auto"/>
          <w:szCs w:val="21"/>
          <w:u w:val="single"/>
        </w:rPr>
        <w:t>天平大厦负二楼雨水池水泵及排污管闸阀更换维修</w:t>
      </w:r>
    </w:p>
    <w:p w14:paraId="70D45A1A">
      <w:pPr>
        <w:widowControl/>
        <w:adjustRightInd w:val="0"/>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2、项目编号：UHOSZSFJD2025499</w:t>
      </w:r>
    </w:p>
    <w:p w14:paraId="7B6F1BEA">
      <w:pPr>
        <w:widowControl/>
        <w:adjustRightInd w:val="0"/>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3、标的：</w:t>
      </w:r>
    </w:p>
    <w:tbl>
      <w:tblPr>
        <w:tblStyle w:val="21"/>
        <w:tblW w:w="7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2527"/>
        <w:gridCol w:w="969"/>
        <w:gridCol w:w="1016"/>
        <w:gridCol w:w="2542"/>
      </w:tblGrid>
      <w:tr w14:paraId="13E22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621" w:type="dxa"/>
            <w:vAlign w:val="center"/>
          </w:tcPr>
          <w:p w14:paraId="5D68618A">
            <w:pPr>
              <w:widowControl/>
              <w:adjustRightInd w:val="0"/>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序号</w:t>
            </w:r>
          </w:p>
        </w:tc>
        <w:tc>
          <w:tcPr>
            <w:tcW w:w="2527" w:type="dxa"/>
            <w:vAlign w:val="center"/>
          </w:tcPr>
          <w:p w14:paraId="64435581">
            <w:pPr>
              <w:widowControl/>
              <w:adjustRightInd w:val="0"/>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项目</w:t>
            </w:r>
          </w:p>
        </w:tc>
        <w:tc>
          <w:tcPr>
            <w:tcW w:w="969" w:type="dxa"/>
            <w:vAlign w:val="center"/>
          </w:tcPr>
          <w:p w14:paraId="75701B40">
            <w:pPr>
              <w:widowControl/>
              <w:adjustRightInd w:val="0"/>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数量</w:t>
            </w:r>
          </w:p>
        </w:tc>
        <w:tc>
          <w:tcPr>
            <w:tcW w:w="1016" w:type="dxa"/>
            <w:vAlign w:val="center"/>
          </w:tcPr>
          <w:p w14:paraId="371854F7">
            <w:pPr>
              <w:widowControl/>
              <w:adjustRightInd w:val="0"/>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单位</w:t>
            </w:r>
          </w:p>
        </w:tc>
        <w:tc>
          <w:tcPr>
            <w:tcW w:w="2542" w:type="dxa"/>
            <w:vAlign w:val="center"/>
          </w:tcPr>
          <w:p w14:paraId="149FCDFA">
            <w:pPr>
              <w:widowControl/>
              <w:adjustRightInd w:val="0"/>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预算金额（元）</w:t>
            </w:r>
          </w:p>
        </w:tc>
      </w:tr>
      <w:tr w14:paraId="4A09E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621" w:type="dxa"/>
            <w:vAlign w:val="center"/>
          </w:tcPr>
          <w:p w14:paraId="2939F09E">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p>
        </w:tc>
        <w:tc>
          <w:tcPr>
            <w:tcW w:w="2527" w:type="dxa"/>
            <w:vAlign w:val="center"/>
          </w:tcPr>
          <w:p w14:paraId="58CE2CB1">
            <w:pPr>
              <w:jc w:val="center"/>
              <w:rPr>
                <w:rFonts w:asciiTheme="minorEastAsia" w:hAnsiTheme="minorEastAsia" w:eastAsiaTheme="minorEastAsia" w:cstheme="minorEastAsia"/>
                <w:color w:val="auto"/>
                <w:kern w:val="0"/>
                <w:szCs w:val="21"/>
              </w:rPr>
            </w:pPr>
            <w:r>
              <w:rPr>
                <w:rFonts w:hint="eastAsia" w:ascii="宋体" w:hAnsi="宋体"/>
                <w:b/>
                <w:color w:val="auto"/>
                <w:szCs w:val="21"/>
                <w:u w:val="single"/>
              </w:rPr>
              <w:t>天平大厦负二楼雨水池水泵及排污管闸阀更换维修</w:t>
            </w:r>
          </w:p>
        </w:tc>
        <w:tc>
          <w:tcPr>
            <w:tcW w:w="969" w:type="dxa"/>
            <w:vAlign w:val="center"/>
          </w:tcPr>
          <w:p w14:paraId="3B5A3367">
            <w:pPr>
              <w:jc w:val="center"/>
              <w:rPr>
                <w:rFonts w:ascii="宋体" w:hAnsi="宋体"/>
                <w:b/>
                <w:color w:val="auto"/>
                <w:szCs w:val="21"/>
                <w:u w:val="single"/>
              </w:rPr>
            </w:pPr>
            <w:r>
              <w:rPr>
                <w:rFonts w:hint="eastAsia" w:ascii="宋体" w:hAnsi="宋体"/>
                <w:b/>
                <w:color w:val="auto"/>
                <w:szCs w:val="21"/>
                <w:u w:val="single"/>
              </w:rPr>
              <w:t>1</w:t>
            </w:r>
          </w:p>
        </w:tc>
        <w:tc>
          <w:tcPr>
            <w:tcW w:w="1016" w:type="dxa"/>
            <w:vAlign w:val="center"/>
          </w:tcPr>
          <w:p w14:paraId="2973388F">
            <w:pPr>
              <w:jc w:val="center"/>
              <w:rPr>
                <w:rFonts w:ascii="宋体" w:hAnsi="宋体"/>
                <w:b/>
                <w:color w:val="auto"/>
                <w:szCs w:val="21"/>
                <w:u w:val="single"/>
              </w:rPr>
            </w:pPr>
            <w:r>
              <w:rPr>
                <w:rFonts w:ascii="宋体" w:hAnsi="宋体"/>
                <w:b/>
                <w:color w:val="auto"/>
                <w:szCs w:val="21"/>
                <w:u w:val="single"/>
              </w:rPr>
              <w:t>批</w:t>
            </w:r>
          </w:p>
        </w:tc>
        <w:tc>
          <w:tcPr>
            <w:tcW w:w="2542" w:type="dxa"/>
            <w:vAlign w:val="center"/>
          </w:tcPr>
          <w:p w14:paraId="145D5C97">
            <w:pPr>
              <w:jc w:val="center"/>
              <w:rPr>
                <w:rFonts w:hint="eastAsia" w:eastAsia="宋体"/>
                <w:color w:val="auto"/>
                <w:kern w:val="0"/>
                <w:lang w:eastAsia="zh-CN"/>
              </w:rPr>
            </w:pPr>
            <m:oMath>
              <m:r>
                <m:rPr>
                  <m:sty m:val="b"/>
                </m:rPr>
                <w:rPr>
                  <w:rFonts w:hint="eastAsia" w:ascii="Cambria Math" w:hAnsi="Cambria Math"/>
                  <w:color w:val="auto"/>
                  <w:szCs w:val="21"/>
                  <w:u w:val="single"/>
                  <w:lang w:val="en-US" w:eastAsia="zh-CN"/>
                </w:rPr>
                <m:t>¥</m:t>
              </m:r>
            </m:oMath>
            <w:r>
              <w:rPr>
                <w:rFonts w:hint="eastAsia" w:ascii="宋体" w:hAnsi="宋体"/>
                <w:b/>
                <w:color w:val="auto"/>
                <w:szCs w:val="21"/>
                <w:u w:val="single"/>
                <w:lang w:val="en-US" w:eastAsia="zh-CN"/>
              </w:rPr>
              <w:t>33,126.00（其中不可争议费用：777.77元</w:t>
            </w:r>
            <w:r>
              <w:rPr>
                <w:rFonts w:hint="eastAsia" w:ascii="宋体" w:hAnsi="宋体"/>
                <w:b/>
                <w:color w:val="auto"/>
                <w:szCs w:val="21"/>
                <w:u w:val="single"/>
                <w:lang w:eastAsia="zh-CN"/>
              </w:rPr>
              <w:t>）</w:t>
            </w:r>
          </w:p>
        </w:tc>
      </w:tr>
    </w:tbl>
    <w:p w14:paraId="20DEA100">
      <w:pPr>
        <w:widowControl/>
        <w:adjustRightInd w:val="0"/>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4、工期、项目管理要求、项目技术要求、商务要求等内容详见询价用户需求书。</w:t>
      </w:r>
    </w:p>
    <w:p w14:paraId="225838BE">
      <w:pPr>
        <w:widowControl/>
        <w:adjustRightInd w:val="0"/>
        <w:ind w:firstLine="422" w:firstLineChars="200"/>
        <w:jc w:val="left"/>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二、供应商资格及要求：</w:t>
      </w:r>
    </w:p>
    <w:p w14:paraId="74B5F296">
      <w:pPr>
        <w:numPr>
          <w:ilvl w:val="0"/>
          <w:numId w:val="2"/>
        </w:numPr>
        <w:adjustRightInd w:val="0"/>
        <w:snapToGrid w:val="0"/>
        <w:spacing w:line="400" w:lineRule="exact"/>
        <w:ind w:left="0" w:firstLine="42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必须是具有独立法人资格或是具有独立承担民事责任能力的其它组织（提供营业执照或事业单位法人证书或其他证明材料复印件加盖公章，如果参与投标的供应商为分公司则须提供分公司营业执照、其所属集团(或总公司)等具有独立法人资格的组织出具愿为其参与本项目投标以及履约行为承担民事责任的授权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上述资料原件备查）；</w:t>
      </w:r>
    </w:p>
    <w:p w14:paraId="6A152951">
      <w:pPr>
        <w:numPr>
          <w:ilvl w:val="0"/>
          <w:numId w:val="2"/>
        </w:numPr>
        <w:adjustRightInd w:val="0"/>
        <w:snapToGrid w:val="0"/>
        <w:spacing w:line="400" w:lineRule="exact"/>
        <w:ind w:left="0" w:firstLine="42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参与本项目政府采购活动时不存在被有关部门禁止参与政府采购活动且在有效期内的情况（由供应商在《询价承诺函》中作出声明，加盖公章）；</w:t>
      </w:r>
    </w:p>
    <w:p w14:paraId="6B3D55B8">
      <w:pPr>
        <w:numPr>
          <w:ilvl w:val="0"/>
          <w:numId w:val="2"/>
        </w:numPr>
        <w:adjustRightInd w:val="0"/>
        <w:snapToGrid w:val="0"/>
        <w:spacing w:line="400" w:lineRule="exact"/>
        <w:ind w:left="0" w:firstLine="42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具备《中华人民共和国政府采购法》第二十二条第一款的条件（由供应商在《询价承诺函》中作出声明，加盖公章）；</w:t>
      </w:r>
    </w:p>
    <w:p w14:paraId="25398580">
      <w:pPr>
        <w:numPr>
          <w:ilvl w:val="0"/>
          <w:numId w:val="2"/>
        </w:numPr>
        <w:adjustRightInd w:val="0"/>
        <w:snapToGrid w:val="0"/>
        <w:spacing w:line="400" w:lineRule="exact"/>
        <w:ind w:left="0" w:firstLine="42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不存在《深圳市财政局政府采购供应商信用信息管理办法》（深财规〔2023〕3 号）列明的严重违法失信行为，未被列入失信被执行人、</w:t>
      </w:r>
      <w:r>
        <w:rPr>
          <w:rFonts w:hint="eastAsia" w:asciiTheme="minorEastAsia" w:hAnsiTheme="minorEastAsia" w:eastAsiaTheme="minorEastAsia" w:cstheme="minorEastAsia"/>
          <w:color w:val="auto"/>
        </w:rPr>
        <w:t>重大税收违法失信主体、政府采购严重违法失信行</w:t>
      </w:r>
      <w:r>
        <w:rPr>
          <w:rFonts w:hint="eastAsia" w:asciiTheme="minorEastAsia" w:hAnsiTheme="minorEastAsia" w:eastAsiaTheme="minorEastAsia" w:cstheme="minorEastAsia"/>
          <w:color w:val="auto"/>
          <w:szCs w:val="21"/>
        </w:rPr>
        <w:t>为记录名单（由供应商在《询价承诺函》中作出声明，加盖公章）；【注：采购代理机构将通过“信用中国”中“信用服务”栏的“重大税收违法案件当事人名单”“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p>
    <w:p w14:paraId="6546C685">
      <w:pPr>
        <w:numPr>
          <w:ilvl w:val="0"/>
          <w:numId w:val="2"/>
        </w:numPr>
        <w:adjustRightInd w:val="0"/>
        <w:snapToGrid w:val="0"/>
        <w:spacing w:line="400" w:lineRule="exact"/>
        <w:ind w:left="0" w:firstLine="420" w:firstLineChars="200"/>
        <w:jc w:val="left"/>
        <w:rPr>
          <w:rFonts w:asciiTheme="minorEastAsia" w:hAnsiTheme="minorEastAsia" w:eastAsiaTheme="minorEastAsia" w:cstheme="minorEastAsia"/>
          <w:color w:val="auto"/>
          <w:szCs w:val="21"/>
        </w:rPr>
      </w:pPr>
      <w:bookmarkStart w:id="10" w:name="OLE_LINK17"/>
      <w:bookmarkStart w:id="11" w:name="OLE_LINK16"/>
      <w:r>
        <w:rPr>
          <w:rFonts w:hint="eastAsia" w:asciiTheme="minorEastAsia" w:hAnsiTheme="minorEastAsia" w:eastAsiaTheme="minorEastAsia" w:cstheme="minorEastAsia"/>
          <w:color w:val="auto"/>
          <w:kern w:val="0"/>
          <w:szCs w:val="21"/>
        </w:rPr>
        <w:t>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color w:val="auto"/>
          <w:szCs w:val="21"/>
        </w:rPr>
        <w:t>（由供应商在《询价承诺函》中作出声明，加盖公章）；</w:t>
      </w:r>
    </w:p>
    <w:bookmarkEnd w:id="10"/>
    <w:bookmarkEnd w:id="11"/>
    <w:p w14:paraId="529160D2">
      <w:pPr>
        <w:numPr>
          <w:ilvl w:val="0"/>
          <w:numId w:val="2"/>
        </w:numPr>
        <w:adjustRightInd w:val="0"/>
        <w:snapToGrid w:val="0"/>
        <w:spacing w:line="400" w:lineRule="exact"/>
        <w:ind w:left="0" w:firstLine="42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不同供应商的法定代表人、主要经营负责人、项目投标（响应）授权代表人、项目负责人、主要技术人员不得为同一人、属同一单位或者在同一单位缴纳社会保险；不同投标（响应）供应商的投标（响应）文件不得由同一单位或者同一人编制；单位负责人为同一人或者存在直接控股、管理关系的不同供应商，不得参加本项目政府采购活动（由供应商填写《供应商基本情况表》相关信息，如发现不同投标（响应）供应商的相关信息存在上述“不得”的情形，作投标（响应）无效处理）；</w:t>
      </w:r>
    </w:p>
    <w:p w14:paraId="3D737B11">
      <w:pPr>
        <w:numPr>
          <w:ilvl w:val="0"/>
          <w:numId w:val="2"/>
        </w:numPr>
        <w:adjustRightInd w:val="0"/>
        <w:snapToGrid w:val="0"/>
        <w:spacing w:line="400" w:lineRule="exact"/>
        <w:ind w:left="0" w:firstLine="42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本项目</w:t>
      </w:r>
      <w:r>
        <w:rPr>
          <w:rFonts w:hint="eastAsia" w:asciiTheme="minorEastAsia" w:hAnsiTheme="minorEastAsia" w:eastAsiaTheme="minorEastAsia" w:cstheme="minorEastAsia"/>
          <w:color w:val="auto"/>
          <w:szCs w:val="21"/>
          <w:u w:val="single"/>
        </w:rPr>
        <w:t>不接受</w:t>
      </w:r>
      <w:r>
        <w:rPr>
          <w:rFonts w:hint="eastAsia" w:asciiTheme="minorEastAsia" w:hAnsiTheme="minorEastAsia" w:eastAsiaTheme="minorEastAsia" w:cstheme="minorEastAsia"/>
          <w:color w:val="auto"/>
          <w:szCs w:val="21"/>
        </w:rPr>
        <w:t>联合体投标（响应），</w:t>
      </w:r>
      <w:r>
        <w:rPr>
          <w:rFonts w:hint="eastAsia" w:asciiTheme="minorEastAsia" w:hAnsiTheme="minorEastAsia" w:eastAsiaTheme="minorEastAsia" w:cstheme="minorEastAsia"/>
          <w:color w:val="auto"/>
          <w:szCs w:val="21"/>
          <w:u w:val="single"/>
        </w:rPr>
        <w:t>不接受</w:t>
      </w:r>
      <w:r>
        <w:rPr>
          <w:rFonts w:hint="eastAsia" w:asciiTheme="minorEastAsia" w:hAnsiTheme="minorEastAsia" w:eastAsiaTheme="minorEastAsia" w:cstheme="minorEastAsia"/>
          <w:color w:val="auto"/>
          <w:szCs w:val="21"/>
        </w:rPr>
        <w:t>供应商选用进口产品参与询价，不允许转包分包。</w:t>
      </w:r>
      <w:bookmarkStart w:id="12" w:name="OLE_LINK6"/>
    </w:p>
    <w:bookmarkEnd w:id="12"/>
    <w:p w14:paraId="4538E51E">
      <w:pPr>
        <w:numPr>
          <w:ilvl w:val="0"/>
          <w:numId w:val="2"/>
        </w:numPr>
        <w:adjustRightInd w:val="0"/>
        <w:snapToGrid w:val="0"/>
        <w:spacing w:line="400" w:lineRule="exact"/>
        <w:ind w:left="0" w:firstLine="42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本项目特定资格要求：</w:t>
      </w:r>
      <w:r>
        <w:rPr>
          <w:rFonts w:hint="eastAsia"/>
          <w:color w:val="auto"/>
        </w:rPr>
        <w:t>具备有效期内的建筑装修装饰工程专业承包二级及以上资质；且具备有效的《安全生产许可证》（提供相关证书复印件加盖投标人公章）</w:t>
      </w:r>
    </w:p>
    <w:p w14:paraId="0B94C274">
      <w:pPr>
        <w:adjustRightInd w:val="0"/>
        <w:snapToGrid w:val="0"/>
        <w:spacing w:line="400" w:lineRule="exact"/>
        <w:jc w:val="left"/>
        <w:rPr>
          <w:rFonts w:asciiTheme="minorEastAsia" w:hAnsiTheme="minorEastAsia" w:eastAsiaTheme="minorEastAsia" w:cstheme="minorEastAsia"/>
          <w:color w:val="auto"/>
          <w:szCs w:val="21"/>
        </w:rPr>
      </w:pPr>
    </w:p>
    <w:p w14:paraId="0C4E6C4F">
      <w:pPr>
        <w:pStyle w:val="7"/>
        <w:rPr>
          <w:color w:val="auto"/>
          <w:kern w:val="0"/>
        </w:rPr>
      </w:pPr>
      <w:r>
        <w:rPr>
          <w:rFonts w:hint="eastAsia"/>
          <w:color w:val="auto"/>
          <w:kern w:val="0"/>
        </w:rPr>
        <w:t>三、供应商询价程序及时间安排：</w:t>
      </w:r>
    </w:p>
    <w:p w14:paraId="76129C89">
      <w:pPr>
        <w:widowControl/>
        <w:adjustRightInd w:val="0"/>
        <w:ind w:firstLine="422" w:firstLineChars="200"/>
        <w:jc w:val="left"/>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1、询价程序：</w:t>
      </w:r>
    </w:p>
    <w:p w14:paraId="38CF7CFF">
      <w:pPr>
        <w:pStyle w:val="16"/>
        <w:shd w:val="clear" w:color="auto" w:fill="FFFFFF"/>
        <w:spacing w:before="0" w:beforeAutospacing="0" w:after="0" w:afterAutospacing="0"/>
        <w:ind w:firstLine="422"/>
        <w:rPr>
          <w:color w:val="auto"/>
          <w:sz w:val="21"/>
          <w:szCs w:val="21"/>
        </w:rPr>
      </w:pPr>
      <w:r>
        <w:rPr>
          <w:rFonts w:hint="eastAsia"/>
          <w:color w:val="auto"/>
          <w:sz w:val="21"/>
          <w:szCs w:val="21"/>
        </w:rPr>
        <w:t>（1）投标（响应）。凡愿意参加询价的合格供应商，在询价截止时间前，登陆友和招标代理服务网（https://yhzb.uho.cn/），下载查看询价文件。售价：本次询价免费。</w:t>
      </w:r>
    </w:p>
    <w:p w14:paraId="15E4A3D9">
      <w:pPr>
        <w:pStyle w:val="16"/>
        <w:shd w:val="clear" w:color="auto" w:fill="FFFFFF"/>
        <w:spacing w:before="0" w:beforeAutospacing="0" w:after="0" w:afterAutospacing="0"/>
        <w:ind w:firstLine="422"/>
        <w:rPr>
          <w:color w:val="auto"/>
          <w:sz w:val="21"/>
          <w:szCs w:val="21"/>
        </w:rPr>
      </w:pPr>
      <w:r>
        <w:rPr>
          <w:rFonts w:hint="eastAsia"/>
          <w:color w:val="auto"/>
          <w:sz w:val="21"/>
          <w:szCs w:val="21"/>
        </w:rPr>
        <w:t>（2）报价。请在2025年</w:t>
      </w:r>
      <w:r>
        <w:rPr>
          <w:rFonts w:hint="eastAsia"/>
          <w:color w:val="auto"/>
          <w:sz w:val="21"/>
          <w:szCs w:val="21"/>
          <w:lang w:val="en-US" w:eastAsia="zh-CN"/>
        </w:rPr>
        <w:t>8</w:t>
      </w:r>
      <w:r>
        <w:rPr>
          <w:rFonts w:hint="eastAsia"/>
          <w:color w:val="auto"/>
          <w:sz w:val="21"/>
          <w:szCs w:val="21"/>
        </w:rPr>
        <w:t>月</w:t>
      </w:r>
      <w:r>
        <w:rPr>
          <w:rFonts w:hint="eastAsia"/>
          <w:color w:val="auto"/>
          <w:sz w:val="21"/>
          <w:szCs w:val="21"/>
          <w:lang w:val="en-US" w:eastAsia="zh-CN"/>
        </w:rPr>
        <w:t>21</w:t>
      </w:r>
      <w:r>
        <w:rPr>
          <w:rFonts w:hint="eastAsia"/>
          <w:color w:val="auto"/>
          <w:sz w:val="21"/>
          <w:szCs w:val="21"/>
        </w:rPr>
        <w:t>日</w:t>
      </w:r>
      <w:r>
        <w:rPr>
          <w:rFonts w:hint="eastAsia"/>
          <w:color w:val="auto"/>
          <w:sz w:val="21"/>
          <w:szCs w:val="21"/>
          <w:lang w:val="en-US" w:eastAsia="zh-CN"/>
        </w:rPr>
        <w:t>9</w:t>
      </w:r>
      <w:r>
        <w:rPr>
          <w:rFonts w:hint="eastAsia"/>
          <w:color w:val="auto"/>
          <w:sz w:val="21"/>
          <w:szCs w:val="21"/>
        </w:rPr>
        <w:t>:</w:t>
      </w:r>
      <w:r>
        <w:rPr>
          <w:rFonts w:hint="eastAsia"/>
          <w:color w:val="auto"/>
          <w:sz w:val="21"/>
          <w:szCs w:val="21"/>
          <w:lang w:val="en-US" w:eastAsia="zh-CN"/>
        </w:rPr>
        <w:t>30</w:t>
      </w:r>
      <w:r>
        <w:rPr>
          <w:rFonts w:hint="eastAsia"/>
          <w:color w:val="auto"/>
          <w:sz w:val="21"/>
          <w:szCs w:val="21"/>
        </w:rPr>
        <w:t>:00之前把应答文件上传到</w:t>
      </w:r>
      <w:r>
        <w:rPr>
          <w:color w:val="auto"/>
        </w:rPr>
        <w:fldChar w:fldCharType="begin"/>
      </w:r>
      <w:r>
        <w:rPr>
          <w:color w:val="auto"/>
        </w:rPr>
        <w:instrText xml:space="preserve"> HYPERLINK "https://yhjj.uho.cn/login" </w:instrText>
      </w:r>
      <w:r>
        <w:rPr>
          <w:color w:val="auto"/>
        </w:rPr>
        <w:fldChar w:fldCharType="separate"/>
      </w:r>
      <w:r>
        <w:rPr>
          <w:rStyle w:val="24"/>
          <w:rFonts w:hint="eastAsia"/>
          <w:b/>
          <w:color w:val="auto"/>
          <w:sz w:val="21"/>
          <w:szCs w:val="21"/>
        </w:rPr>
        <w:t>友和竞价服务网</w:t>
      </w:r>
      <w:r>
        <w:rPr>
          <w:rStyle w:val="24"/>
          <w:rFonts w:hint="eastAsia"/>
          <w:b/>
          <w:color w:val="auto"/>
          <w:sz w:val="21"/>
          <w:szCs w:val="21"/>
        </w:rPr>
        <w:fldChar w:fldCharType="end"/>
      </w:r>
      <w:r>
        <w:rPr>
          <w:rStyle w:val="25"/>
          <w:rFonts w:hint="eastAsia"/>
          <w:b/>
          <w:color w:val="auto"/>
          <w:sz w:val="21"/>
          <w:szCs w:val="21"/>
        </w:rPr>
        <w:t>(超链接)</w:t>
      </w:r>
      <w:r>
        <w:rPr>
          <w:rFonts w:hint="eastAsia"/>
          <w:color w:val="auto"/>
          <w:sz w:val="21"/>
          <w:szCs w:val="21"/>
        </w:rPr>
        <w:t>。（A.供应商须先行注册成为友和询价网供应商，审核通过后，方可进行询价服务。B.应答文件需为PDF格式，且大小不能超过50MB。）</w:t>
      </w:r>
    </w:p>
    <w:p w14:paraId="3920D2FC">
      <w:pPr>
        <w:pStyle w:val="16"/>
        <w:shd w:val="clear" w:color="auto" w:fill="FFFFFF"/>
        <w:spacing w:before="0" w:beforeAutospacing="0" w:after="0" w:afterAutospacing="0"/>
        <w:ind w:firstLine="422"/>
        <w:rPr>
          <w:color w:val="auto"/>
          <w:sz w:val="21"/>
          <w:szCs w:val="21"/>
        </w:rPr>
      </w:pPr>
      <w:r>
        <w:rPr>
          <w:rFonts w:hint="eastAsia"/>
          <w:color w:val="auto"/>
          <w:sz w:val="21"/>
          <w:szCs w:val="21"/>
        </w:rPr>
        <w:t>（3）确定询价结果。采购人按照成交原则，确定成交供应商。</w:t>
      </w:r>
    </w:p>
    <w:p w14:paraId="5F1CF4DD">
      <w:pPr>
        <w:pStyle w:val="16"/>
        <w:shd w:val="clear" w:color="auto" w:fill="FFFFFF"/>
        <w:spacing w:before="0" w:beforeAutospacing="0" w:after="0" w:afterAutospacing="0"/>
        <w:ind w:firstLine="422"/>
        <w:rPr>
          <w:color w:val="auto"/>
          <w:sz w:val="21"/>
          <w:szCs w:val="21"/>
        </w:rPr>
      </w:pPr>
      <w:r>
        <w:rPr>
          <w:rFonts w:hint="eastAsia"/>
          <w:color w:val="auto"/>
          <w:sz w:val="21"/>
          <w:szCs w:val="21"/>
        </w:rPr>
        <w:t>（4）发布成交公告。在确定成交供应商后发布成交公告。</w:t>
      </w:r>
    </w:p>
    <w:p w14:paraId="7CC1F622">
      <w:pPr>
        <w:pStyle w:val="16"/>
        <w:shd w:val="clear" w:color="auto" w:fill="FFFFFF"/>
        <w:spacing w:before="0" w:beforeAutospacing="0" w:after="0" w:afterAutospacing="0"/>
        <w:ind w:firstLine="422"/>
        <w:rPr>
          <w:color w:val="auto"/>
          <w:sz w:val="21"/>
          <w:szCs w:val="21"/>
        </w:rPr>
      </w:pPr>
      <w:r>
        <w:rPr>
          <w:rFonts w:hint="eastAsia"/>
          <w:color w:val="auto"/>
          <w:sz w:val="21"/>
          <w:szCs w:val="21"/>
        </w:rPr>
        <w:t>（5）领取中标(成交)通知书。成交公告公示期结束无异议后，采购人、成交供应商可领取中标(成交)通知书。</w:t>
      </w:r>
    </w:p>
    <w:p w14:paraId="4808B611">
      <w:pPr>
        <w:widowControl/>
        <w:adjustRightInd w:val="0"/>
        <w:ind w:firstLine="422" w:firstLineChars="200"/>
        <w:jc w:val="left"/>
        <w:rPr>
          <w:rFonts w:ascii="宋体" w:hAnsi="宋体" w:cs="宋体"/>
          <w:b/>
          <w:color w:val="auto"/>
          <w:kern w:val="0"/>
          <w:szCs w:val="21"/>
        </w:rPr>
      </w:pPr>
      <w:r>
        <w:rPr>
          <w:rFonts w:ascii="宋体" w:hAnsi="宋体" w:cs="宋体"/>
          <w:b/>
          <w:color w:val="auto"/>
          <w:kern w:val="0"/>
          <w:szCs w:val="21"/>
        </w:rPr>
        <w:t>2</w:t>
      </w:r>
      <w:r>
        <w:rPr>
          <w:rFonts w:hint="eastAsia" w:ascii="宋体" w:hAnsi="宋体" w:cs="宋体"/>
          <w:b/>
          <w:color w:val="auto"/>
          <w:kern w:val="0"/>
          <w:szCs w:val="21"/>
        </w:rPr>
        <w:t>、时间安排：</w:t>
      </w:r>
    </w:p>
    <w:p w14:paraId="2A691747">
      <w:pPr>
        <w:widowControl/>
        <w:adjustRightInd w:val="0"/>
        <w:ind w:firstLine="422" w:firstLineChars="200"/>
        <w:jc w:val="left"/>
        <w:rPr>
          <w:rFonts w:ascii="宋体" w:hAnsi="宋体" w:cs="宋体"/>
          <w:b/>
          <w:color w:val="auto"/>
          <w:kern w:val="0"/>
          <w:szCs w:val="21"/>
        </w:rPr>
      </w:pPr>
      <w:r>
        <w:rPr>
          <w:rFonts w:hint="eastAsia" w:ascii="宋体" w:hAnsi="宋体" w:cs="宋体"/>
          <w:b/>
          <w:color w:val="auto"/>
          <w:kern w:val="0"/>
          <w:szCs w:val="21"/>
        </w:rPr>
        <w:t>（1）公告发布日期：</w:t>
      </w:r>
      <w:r>
        <w:rPr>
          <w:rFonts w:hint="eastAsia" w:ascii="宋体" w:hAnsi="宋体" w:cs="宋体"/>
          <w:color w:val="auto"/>
          <w:kern w:val="0"/>
          <w:szCs w:val="21"/>
          <w:u w:val="single"/>
        </w:rPr>
        <w:t>2025年</w:t>
      </w:r>
      <w:r>
        <w:rPr>
          <w:rFonts w:hint="eastAsia" w:ascii="宋体" w:hAnsi="宋体" w:cs="宋体"/>
          <w:color w:val="auto"/>
          <w:kern w:val="0"/>
          <w:szCs w:val="21"/>
          <w:u w:val="single"/>
          <w:lang w:val="en-US" w:eastAsia="zh-CN"/>
        </w:rPr>
        <w:t>8</w:t>
      </w:r>
      <w:r>
        <w:rPr>
          <w:rFonts w:hint="eastAsia" w:ascii="宋体" w:hAnsi="宋体" w:cs="宋体"/>
          <w:color w:val="auto"/>
          <w:kern w:val="0"/>
          <w:szCs w:val="21"/>
          <w:u w:val="single"/>
        </w:rPr>
        <w:t>月</w:t>
      </w:r>
      <w:r>
        <w:rPr>
          <w:rFonts w:hint="eastAsia" w:ascii="宋体" w:hAnsi="宋体" w:cs="宋体"/>
          <w:color w:val="auto"/>
          <w:kern w:val="0"/>
          <w:szCs w:val="21"/>
          <w:u w:val="single"/>
          <w:lang w:val="en-US" w:eastAsia="zh-CN"/>
        </w:rPr>
        <w:t>15</w:t>
      </w:r>
      <w:r>
        <w:rPr>
          <w:rFonts w:hint="eastAsia" w:ascii="宋体" w:hAnsi="宋体" w:cs="宋体"/>
          <w:color w:val="auto"/>
          <w:kern w:val="0"/>
          <w:szCs w:val="21"/>
          <w:u w:val="single"/>
        </w:rPr>
        <w:t>日</w:t>
      </w:r>
      <w:r>
        <w:rPr>
          <w:rFonts w:hint="eastAsia" w:ascii="宋体" w:hAnsi="宋体" w:cs="宋体"/>
          <w:color w:val="auto"/>
          <w:kern w:val="0"/>
          <w:szCs w:val="21"/>
        </w:rPr>
        <w:t>（北京时间）；</w:t>
      </w:r>
    </w:p>
    <w:p w14:paraId="29E71724">
      <w:pPr>
        <w:widowControl/>
        <w:adjustRightInd w:val="0"/>
        <w:ind w:firstLine="422" w:firstLineChars="200"/>
        <w:jc w:val="left"/>
        <w:rPr>
          <w:rFonts w:ascii="宋体" w:hAnsi="宋体" w:cs="宋体"/>
          <w:color w:val="auto"/>
          <w:kern w:val="0"/>
          <w:szCs w:val="21"/>
        </w:rPr>
      </w:pPr>
      <w:r>
        <w:rPr>
          <w:rFonts w:hint="eastAsia" w:ascii="宋体" w:hAnsi="宋体" w:cs="宋体"/>
          <w:b/>
          <w:color w:val="auto"/>
          <w:kern w:val="0"/>
          <w:szCs w:val="21"/>
        </w:rPr>
        <w:t>（2）询价截止时间：</w:t>
      </w:r>
      <w:r>
        <w:rPr>
          <w:rFonts w:hint="eastAsia" w:ascii="宋体" w:hAnsi="宋体" w:cs="宋体"/>
          <w:color w:val="auto"/>
          <w:kern w:val="0"/>
          <w:szCs w:val="21"/>
          <w:u w:val="single"/>
        </w:rPr>
        <w:t>2025年</w:t>
      </w:r>
      <w:r>
        <w:rPr>
          <w:rFonts w:hint="eastAsia" w:ascii="宋体" w:hAnsi="宋体" w:cs="宋体"/>
          <w:color w:val="auto"/>
          <w:kern w:val="0"/>
          <w:szCs w:val="21"/>
          <w:u w:val="single"/>
          <w:lang w:val="en-US" w:eastAsia="zh-CN"/>
        </w:rPr>
        <w:t>8</w:t>
      </w:r>
      <w:r>
        <w:rPr>
          <w:rFonts w:hint="eastAsia" w:ascii="宋体" w:hAnsi="宋体" w:cs="宋体"/>
          <w:color w:val="auto"/>
          <w:kern w:val="0"/>
          <w:szCs w:val="21"/>
          <w:u w:val="single"/>
        </w:rPr>
        <w:t>月</w:t>
      </w:r>
      <w:r>
        <w:rPr>
          <w:rFonts w:hint="eastAsia" w:ascii="宋体" w:hAnsi="宋体" w:cs="宋体"/>
          <w:color w:val="auto"/>
          <w:kern w:val="0"/>
          <w:szCs w:val="21"/>
          <w:u w:val="single"/>
          <w:lang w:val="en-US" w:eastAsia="zh-CN"/>
        </w:rPr>
        <w:t>21</w:t>
      </w:r>
      <w:r>
        <w:rPr>
          <w:rFonts w:hint="eastAsia" w:ascii="宋体" w:hAnsi="宋体" w:cs="宋体"/>
          <w:color w:val="auto"/>
          <w:kern w:val="0"/>
          <w:szCs w:val="21"/>
          <w:u w:val="single"/>
        </w:rPr>
        <w:t>日</w:t>
      </w:r>
      <w:r>
        <w:rPr>
          <w:rFonts w:hint="eastAsia" w:ascii="宋体" w:hAnsi="宋体" w:cs="宋体"/>
          <w:color w:val="auto"/>
          <w:kern w:val="0"/>
          <w:szCs w:val="21"/>
          <w:u w:val="single"/>
          <w:lang w:val="en-US" w:eastAsia="zh-CN"/>
        </w:rPr>
        <w:t>9</w:t>
      </w:r>
      <w:r>
        <w:rPr>
          <w:rFonts w:hint="eastAsia" w:ascii="宋体" w:hAnsi="宋体" w:cs="宋体"/>
          <w:color w:val="auto"/>
          <w:kern w:val="0"/>
          <w:szCs w:val="21"/>
          <w:u w:val="single"/>
        </w:rPr>
        <w:t>:</w:t>
      </w:r>
      <w:r>
        <w:rPr>
          <w:rFonts w:hint="eastAsia" w:ascii="宋体" w:hAnsi="宋体" w:cs="宋体"/>
          <w:color w:val="auto"/>
          <w:kern w:val="0"/>
          <w:szCs w:val="21"/>
          <w:u w:val="single"/>
          <w:lang w:val="en-US" w:eastAsia="zh-CN"/>
        </w:rPr>
        <w:t>30</w:t>
      </w:r>
      <w:r>
        <w:rPr>
          <w:rFonts w:hint="eastAsia" w:ascii="宋体" w:hAnsi="宋体" w:cs="宋体"/>
          <w:color w:val="auto"/>
          <w:kern w:val="0"/>
          <w:szCs w:val="21"/>
          <w:u w:val="single"/>
        </w:rPr>
        <w:t>:00</w:t>
      </w:r>
      <w:bookmarkStart w:id="89" w:name="_GoBack"/>
      <w:bookmarkEnd w:id="89"/>
      <w:r>
        <w:rPr>
          <w:rFonts w:hint="eastAsia" w:ascii="宋体" w:hAnsi="宋体" w:cs="宋体"/>
          <w:color w:val="auto"/>
          <w:kern w:val="0"/>
          <w:szCs w:val="21"/>
        </w:rPr>
        <w:t>（北京时间）；</w:t>
      </w:r>
    </w:p>
    <w:p w14:paraId="56F3593C">
      <w:pPr>
        <w:widowControl/>
        <w:adjustRightInd w:val="0"/>
        <w:ind w:firstLine="422" w:firstLineChars="200"/>
        <w:jc w:val="left"/>
        <w:rPr>
          <w:rFonts w:ascii="宋体" w:hAnsi="宋体" w:cs="宋体"/>
          <w:color w:val="auto"/>
          <w:kern w:val="0"/>
          <w:szCs w:val="21"/>
        </w:rPr>
      </w:pPr>
      <w:r>
        <w:rPr>
          <w:rFonts w:hint="eastAsia" w:ascii="宋体" w:hAnsi="宋体" w:cs="宋体"/>
          <w:b/>
          <w:color w:val="auto"/>
          <w:kern w:val="0"/>
          <w:szCs w:val="21"/>
        </w:rPr>
        <w:t>四、询价文件主要内容：</w:t>
      </w:r>
    </w:p>
    <w:p w14:paraId="75E4C3BB">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1、项目询价文件由</w:t>
      </w:r>
      <w:r>
        <w:rPr>
          <w:rFonts w:hint="eastAsia" w:ascii="宋体" w:hAnsi="宋体" w:cs="宋体"/>
          <w:b/>
          <w:color w:val="auto"/>
          <w:kern w:val="0"/>
          <w:szCs w:val="21"/>
        </w:rPr>
        <w:t>询价公告</w:t>
      </w:r>
      <w:r>
        <w:rPr>
          <w:rFonts w:hint="eastAsia" w:ascii="宋体" w:hAnsi="宋体" w:cs="宋体"/>
          <w:color w:val="auto"/>
          <w:kern w:val="0"/>
          <w:szCs w:val="21"/>
        </w:rPr>
        <w:t>、</w:t>
      </w:r>
      <w:r>
        <w:rPr>
          <w:rFonts w:hint="eastAsia" w:ascii="宋体" w:hAnsi="宋体" w:cs="宋体"/>
          <w:b/>
          <w:color w:val="auto"/>
          <w:kern w:val="0"/>
          <w:szCs w:val="21"/>
        </w:rPr>
        <w:t>询价用户需求书</w:t>
      </w:r>
      <w:r>
        <w:rPr>
          <w:rFonts w:hint="eastAsia" w:ascii="宋体" w:hAnsi="宋体" w:cs="宋体"/>
          <w:color w:val="auto"/>
          <w:kern w:val="0"/>
          <w:szCs w:val="21"/>
        </w:rPr>
        <w:t>和</w:t>
      </w:r>
      <w:r>
        <w:rPr>
          <w:rFonts w:hint="eastAsia" w:ascii="宋体" w:hAnsi="宋体" w:cs="宋体"/>
          <w:b/>
          <w:color w:val="auto"/>
          <w:kern w:val="0"/>
          <w:szCs w:val="21"/>
        </w:rPr>
        <w:t>询价应答文件格式</w:t>
      </w:r>
      <w:r>
        <w:rPr>
          <w:rFonts w:hint="eastAsia" w:ascii="宋体" w:hAnsi="宋体" w:cs="宋体"/>
          <w:color w:val="auto"/>
          <w:kern w:val="0"/>
          <w:szCs w:val="21"/>
        </w:rPr>
        <w:t>三部分组成。</w:t>
      </w:r>
    </w:p>
    <w:p w14:paraId="41851A47">
      <w:pPr>
        <w:widowControl/>
        <w:adjustRightInd w:val="0"/>
        <w:ind w:firstLine="422" w:firstLineChars="200"/>
        <w:jc w:val="left"/>
        <w:rPr>
          <w:rFonts w:ascii="宋体" w:hAnsi="宋体" w:cs="宋体"/>
          <w:b/>
          <w:color w:val="auto"/>
          <w:kern w:val="0"/>
          <w:szCs w:val="21"/>
        </w:rPr>
      </w:pPr>
      <w:r>
        <w:rPr>
          <w:rFonts w:hint="eastAsia" w:ascii="宋体" w:hAnsi="宋体" w:cs="宋体"/>
          <w:b/>
          <w:color w:val="auto"/>
          <w:kern w:val="0"/>
          <w:szCs w:val="21"/>
        </w:rPr>
        <w:t>2、该询价文件格式适用于通用类服务的询价。</w:t>
      </w:r>
    </w:p>
    <w:p w14:paraId="3868A010">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3、询价用户需求书主要包含本项目的具体采购需求、服务期限等要求。</w:t>
      </w:r>
    </w:p>
    <w:p w14:paraId="104E0AF5">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4、询价公告和询价用户需求书出现不一致时，按以下优先顺序解释：</w:t>
      </w:r>
    </w:p>
    <w:p w14:paraId="0C20F990">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（1）本项目对供应商的资格及要求以询价公告为准，当询价公告与询价用户需求书不一致时，询价公告优于询价用户需求书。</w:t>
      </w:r>
    </w:p>
    <w:p w14:paraId="45D8E9DA">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（2）本项目对商品的数量以询价公告的产品数量为准，询价用户需求书中的产品数量应与询价公告中产品数量相对应。</w:t>
      </w:r>
    </w:p>
    <w:p w14:paraId="65665487">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5、供应商按询价应答文件格式要求填写响应内容，</w:t>
      </w:r>
      <w:r>
        <w:rPr>
          <w:rFonts w:hint="eastAsia" w:ascii="宋体" w:hAnsi="宋体" w:cs="宋体"/>
          <w:b/>
          <w:color w:val="auto"/>
          <w:kern w:val="0"/>
          <w:szCs w:val="21"/>
        </w:rPr>
        <w:t>应答文件需要盖单位公章。</w:t>
      </w:r>
    </w:p>
    <w:p w14:paraId="01CE401B">
      <w:pPr>
        <w:widowControl/>
        <w:adjustRightInd w:val="0"/>
        <w:ind w:firstLine="422" w:firstLineChars="200"/>
        <w:jc w:val="left"/>
        <w:rPr>
          <w:rFonts w:ascii="宋体" w:hAnsi="宋体" w:cs="宋体"/>
          <w:b/>
          <w:color w:val="auto"/>
          <w:kern w:val="0"/>
          <w:szCs w:val="21"/>
        </w:rPr>
      </w:pPr>
      <w:r>
        <w:rPr>
          <w:rFonts w:hint="eastAsia" w:ascii="宋体" w:hAnsi="宋体" w:cs="宋体"/>
          <w:b/>
          <w:color w:val="auto"/>
          <w:kern w:val="0"/>
          <w:szCs w:val="21"/>
        </w:rPr>
        <w:t>五、询价成交原则：</w:t>
      </w:r>
    </w:p>
    <w:p w14:paraId="3587EB18">
      <w:pPr>
        <w:widowControl/>
        <w:adjustRightInd w:val="0"/>
        <w:ind w:firstLine="422" w:firstLineChars="200"/>
        <w:jc w:val="left"/>
        <w:rPr>
          <w:rFonts w:ascii="宋体" w:hAnsi="宋体" w:cs="宋体"/>
          <w:b/>
          <w:color w:val="auto"/>
          <w:kern w:val="0"/>
          <w:szCs w:val="21"/>
        </w:rPr>
      </w:pPr>
      <w:r>
        <w:rPr>
          <w:rFonts w:hint="eastAsia" w:ascii="宋体" w:hAnsi="宋体" w:cs="宋体"/>
          <w:b/>
          <w:color w:val="auto"/>
          <w:kern w:val="0"/>
          <w:szCs w:val="21"/>
        </w:rPr>
        <w:t>1、有效供应商及数量。</w:t>
      </w:r>
    </w:p>
    <w:p w14:paraId="5F8D819B">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有效供应商是指参加本项目询价，且满足本项目符合性审查要求的供应商。有效供应商数量应不少于三家，</w:t>
      </w:r>
      <w:r>
        <w:rPr>
          <w:rFonts w:hint="eastAsia" w:ascii="宋体" w:hAnsi="宋体" w:cs="宋体"/>
          <w:b/>
          <w:bCs/>
          <w:color w:val="auto"/>
          <w:kern w:val="0"/>
          <w:szCs w:val="21"/>
        </w:rPr>
        <w:t>按本公告第八条</w:t>
      </w:r>
      <w:r>
        <w:rPr>
          <w:rFonts w:hint="eastAsia" w:ascii="宋体" w:hAnsi="宋体" w:cs="宋体"/>
          <w:b/>
          <w:color w:val="auto"/>
          <w:kern w:val="0"/>
          <w:szCs w:val="21"/>
        </w:rPr>
        <w:t>询价有关情况处理</w:t>
      </w:r>
      <w:r>
        <w:rPr>
          <w:rFonts w:hint="eastAsia" w:ascii="宋体" w:hAnsi="宋体" w:cs="宋体"/>
          <w:color w:val="auto"/>
          <w:kern w:val="0"/>
          <w:szCs w:val="21"/>
        </w:rPr>
        <w:t>。</w:t>
      </w:r>
    </w:p>
    <w:p w14:paraId="7264E89C">
      <w:pPr>
        <w:widowControl/>
        <w:adjustRightInd w:val="0"/>
        <w:ind w:firstLine="422" w:firstLineChars="200"/>
        <w:jc w:val="left"/>
        <w:rPr>
          <w:rFonts w:ascii="宋体" w:hAnsi="宋体" w:cs="宋体"/>
          <w:color w:val="auto"/>
          <w:kern w:val="0"/>
          <w:szCs w:val="21"/>
        </w:rPr>
      </w:pPr>
      <w:r>
        <w:rPr>
          <w:rFonts w:hint="eastAsia" w:ascii="宋体" w:hAnsi="宋体" w:cs="宋体"/>
          <w:b/>
          <w:color w:val="auto"/>
          <w:kern w:val="0"/>
          <w:szCs w:val="21"/>
        </w:rPr>
        <w:t>2、本项目成交方法采用最低价法</w:t>
      </w:r>
      <w:r>
        <w:rPr>
          <w:rFonts w:hint="eastAsia" w:ascii="宋体" w:hAnsi="宋体" w:cs="宋体"/>
          <w:color w:val="auto"/>
          <w:kern w:val="0"/>
          <w:szCs w:val="21"/>
        </w:rPr>
        <w:t>，完全满足询价文件的符合性审查要求，按照调整后报价由低到高的顺序，依据询价文件中规定的数量或比例推荐候选成交供应商。</w:t>
      </w:r>
    </w:p>
    <w:p w14:paraId="577A9950">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3、采购人在参与询价的有效供应商中，按照最低价法，确定最低报价的1家为成交供应商。如出现两家或以上的最低报价，由采购人自行确定1家为成交供应商。</w:t>
      </w:r>
    </w:p>
    <w:p w14:paraId="14B4AAFA">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4、采购人认为供应商的报价明显低于其他通过符合性审查供应商的报价，有可能影响产品质量或者不能诚信履约的，应当要求其在合理的时间内提供书面说明，必要时提交相关证明材料；供应商不能证明其报价合理性的，采购人应当将其作为无效投标（响应）处理。</w:t>
      </w:r>
    </w:p>
    <w:p w14:paraId="6763F525">
      <w:pPr>
        <w:widowControl/>
        <w:adjustRightInd w:val="0"/>
        <w:ind w:firstLine="422" w:firstLineChars="200"/>
        <w:jc w:val="left"/>
        <w:rPr>
          <w:rFonts w:ascii="宋体" w:hAnsi="宋体" w:cs="宋体"/>
          <w:b/>
          <w:color w:val="auto"/>
          <w:kern w:val="0"/>
          <w:szCs w:val="21"/>
        </w:rPr>
      </w:pPr>
      <w:r>
        <w:rPr>
          <w:rFonts w:hint="eastAsia" w:ascii="宋体" w:hAnsi="宋体" w:cs="宋体"/>
          <w:b/>
          <w:color w:val="auto"/>
          <w:kern w:val="0"/>
          <w:szCs w:val="21"/>
        </w:rPr>
        <w:t>六、供应商符合性审查标准：</w:t>
      </w:r>
    </w:p>
    <w:p w14:paraId="3B373BE8">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供应商出现下列情形之一的，其应标将被判定为未通过符合性审查：</w:t>
      </w:r>
    </w:p>
    <w:p w14:paraId="340871E1">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1、报价总价超过项目中的预算总额，或者报价单价超过项目对应的单项预算或未按询价文件分项报价清单表（如有）要求进行报价。</w:t>
      </w:r>
    </w:p>
    <w:p w14:paraId="3D392D50">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2、供应商资质不符合本项目“供应商资格及要求”的。</w:t>
      </w:r>
    </w:p>
    <w:p w14:paraId="3EA62047">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3、供应商响应的服务期限长于本项目用户需求书中约定的服务期限要求。</w:t>
      </w:r>
    </w:p>
    <w:p w14:paraId="26EA63F8">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4、所投货物、服务在技术、商务等方面没有实质性满足询价文件要求的（是否实质性满足询价文件要求，根据《实质性条款响应情况表》做出评判）。</w:t>
      </w:r>
    </w:p>
    <w:p w14:paraId="5B6A77DD">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6、供应商应答文件中分项报价之和与总价不一致时，按照本公告第七条询价争议的处理。</w:t>
      </w:r>
    </w:p>
    <w:p w14:paraId="3167543E">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7、供应商应答文件未按询价应答文件格式规定内容、格式提交或填写不完整。</w:t>
      </w:r>
    </w:p>
    <w:p w14:paraId="09EE27C7">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8、供应商应答文件用不属于本公司的注册账户进行递交（响应）。</w:t>
      </w:r>
    </w:p>
    <w:p w14:paraId="0D6130C6">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9、供应商应答文件电子文档带病毒。</w:t>
      </w:r>
    </w:p>
    <w:p w14:paraId="1B3AE92D">
      <w:pPr>
        <w:widowControl/>
        <w:adjustRightInd w:val="0"/>
        <w:ind w:firstLine="422" w:firstLineChars="200"/>
        <w:jc w:val="left"/>
        <w:rPr>
          <w:rFonts w:ascii="宋体" w:hAnsi="宋体" w:cs="宋体"/>
          <w:b/>
          <w:color w:val="auto"/>
          <w:kern w:val="0"/>
          <w:szCs w:val="21"/>
        </w:rPr>
      </w:pPr>
      <w:r>
        <w:rPr>
          <w:rFonts w:hint="eastAsia" w:ascii="宋体" w:hAnsi="宋体" w:cs="宋体"/>
          <w:b/>
          <w:color w:val="auto"/>
          <w:kern w:val="0"/>
          <w:szCs w:val="21"/>
        </w:rPr>
        <w:t>七、询价争议的解决：</w:t>
      </w:r>
    </w:p>
    <w:p w14:paraId="0B7E1DA3">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投标（响应）文件报价出现前后不一致的，除另有规定外，按照下列规定修正：</w:t>
      </w:r>
    </w:p>
    <w:p w14:paraId="28F90724">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1、应答文件中报价一览表投标（响应）报价内容与应答文件中报价相应内容不一致的，以报价一览表为准；</w:t>
      </w:r>
    </w:p>
    <w:p w14:paraId="3ED6C169">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2、大写金额和小写金额不一致的，以大写金额为准；</w:t>
      </w:r>
    </w:p>
    <w:p w14:paraId="362DD517">
      <w:pPr>
        <w:widowControl/>
        <w:adjustRightInd w:val="0"/>
        <w:ind w:firstLine="420" w:firstLineChars="200"/>
        <w:jc w:val="left"/>
        <w:rPr>
          <w:rFonts w:ascii="宋体" w:hAnsi="宋体" w:cs="宋体"/>
          <w:kern w:val="0"/>
          <w:szCs w:val="21"/>
        </w:rPr>
      </w:pPr>
      <w:r>
        <w:rPr>
          <w:rFonts w:hint="eastAsia" w:ascii="宋体" w:hAnsi="宋体" w:cs="宋体"/>
          <w:kern w:val="0"/>
          <w:szCs w:val="21"/>
        </w:rPr>
        <w:t>3、单价金额小数点或者百分比有明显错位，以报价一览表的总价为准，并修改单价；</w:t>
      </w:r>
    </w:p>
    <w:p w14:paraId="2037C355">
      <w:pPr>
        <w:widowControl/>
        <w:adjustRightInd w:val="0"/>
        <w:ind w:firstLine="420" w:firstLineChars="200"/>
        <w:jc w:val="left"/>
        <w:rPr>
          <w:rFonts w:ascii="宋体" w:hAnsi="宋体" w:cs="宋体"/>
          <w:kern w:val="0"/>
          <w:szCs w:val="21"/>
        </w:rPr>
      </w:pPr>
      <w:r>
        <w:rPr>
          <w:rFonts w:hint="eastAsia" w:ascii="宋体" w:hAnsi="宋体" w:cs="宋体"/>
          <w:kern w:val="0"/>
          <w:szCs w:val="21"/>
        </w:rPr>
        <w:t>4、总价金额与按单价汇总金额不一致的，以单价金额计算结果为准。</w:t>
      </w:r>
    </w:p>
    <w:p w14:paraId="044A8CA8">
      <w:pPr>
        <w:widowControl/>
        <w:adjustRightInd w:val="0"/>
        <w:ind w:firstLine="420" w:firstLineChars="200"/>
        <w:jc w:val="left"/>
        <w:rPr>
          <w:rFonts w:ascii="宋体" w:hAnsi="宋体" w:cs="宋体"/>
          <w:kern w:val="0"/>
          <w:szCs w:val="21"/>
        </w:rPr>
      </w:pPr>
      <w:r>
        <w:rPr>
          <w:rFonts w:hint="eastAsia" w:ascii="宋体" w:hAnsi="宋体" w:cs="宋体"/>
          <w:kern w:val="0"/>
          <w:szCs w:val="21"/>
        </w:rPr>
        <w:t>5、同时出现两种以上不一致的，按照前款规定的顺序修正。</w:t>
      </w:r>
    </w:p>
    <w:p w14:paraId="50AB4BF4">
      <w:pPr>
        <w:widowControl/>
        <w:adjustRightInd w:val="0"/>
        <w:ind w:firstLine="420" w:firstLineChars="200"/>
        <w:jc w:val="left"/>
        <w:rPr>
          <w:rFonts w:ascii="宋体" w:hAnsi="宋体" w:cs="宋体"/>
          <w:kern w:val="0"/>
          <w:szCs w:val="21"/>
        </w:rPr>
      </w:pPr>
      <w:r>
        <w:rPr>
          <w:rFonts w:hint="eastAsia" w:ascii="宋体" w:hAnsi="宋体" w:cs="宋体"/>
          <w:kern w:val="0"/>
          <w:szCs w:val="21"/>
        </w:rPr>
        <w:t>采购人以修正后的分项报价之和为成交金额并签订合同。</w:t>
      </w:r>
    </w:p>
    <w:p w14:paraId="0C090F39">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八、询价有关情况处理：</w:t>
      </w:r>
    </w:p>
    <w:p w14:paraId="0CCE7FD6">
      <w:pPr>
        <w:widowControl/>
        <w:adjustRightInd w:val="0"/>
        <w:ind w:firstLine="420" w:firstLineChars="200"/>
        <w:jc w:val="left"/>
        <w:rPr>
          <w:rFonts w:ascii="宋体" w:hAnsi="宋体" w:cs="宋体"/>
          <w:kern w:val="0"/>
          <w:szCs w:val="21"/>
        </w:rPr>
      </w:pPr>
      <w:r>
        <w:rPr>
          <w:rFonts w:hint="eastAsia" w:ascii="宋体" w:hAnsi="宋体" w:cs="宋体"/>
          <w:kern w:val="0"/>
          <w:szCs w:val="21"/>
        </w:rPr>
        <w:t>1、第一次询价公告发出后，如响应供应商或合格供应商家数不足三家，则第一次询价失败；第二次询价公告发出后，如响应供应商或合格供应商家数不足三家，按以下方式进行：</w:t>
      </w:r>
    </w:p>
    <w:p w14:paraId="023FFFD5">
      <w:pPr>
        <w:widowControl/>
        <w:adjustRightInd w:val="0"/>
        <w:ind w:firstLine="420" w:firstLineChars="200"/>
        <w:jc w:val="left"/>
        <w:rPr>
          <w:rFonts w:ascii="宋体" w:hAnsi="宋体" w:cs="宋体"/>
          <w:kern w:val="0"/>
          <w:szCs w:val="21"/>
        </w:rPr>
      </w:pPr>
      <w:r>
        <w:rPr>
          <w:rFonts w:hint="eastAsia" w:ascii="宋体" w:hAnsi="宋体" w:cs="宋体"/>
          <w:kern w:val="0"/>
          <w:szCs w:val="21"/>
        </w:rPr>
        <w:t>1.1若为两家合格供应商，则推荐报价最低的合格供应商作为成交供应商；</w:t>
      </w:r>
    </w:p>
    <w:p w14:paraId="104E564B">
      <w:pPr>
        <w:widowControl/>
        <w:adjustRightInd w:val="0"/>
        <w:ind w:firstLine="420" w:firstLineChars="200"/>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2</w:t>
      </w:r>
      <w:r>
        <w:rPr>
          <w:rFonts w:hint="eastAsia" w:ascii="宋体" w:hAnsi="宋体" w:cs="宋体"/>
          <w:kern w:val="0"/>
          <w:szCs w:val="21"/>
        </w:rPr>
        <w:t>如为一家合格供应商，直接确定其为本项目成交供应商；</w:t>
      </w:r>
    </w:p>
    <w:p w14:paraId="47377764">
      <w:pPr>
        <w:widowControl/>
        <w:adjustRightInd w:val="0"/>
        <w:ind w:firstLine="420" w:firstLineChars="200"/>
        <w:jc w:val="left"/>
        <w:rPr>
          <w:rFonts w:ascii="宋体" w:hAnsi="宋体" w:cs="宋体"/>
          <w:kern w:val="0"/>
          <w:szCs w:val="21"/>
        </w:rPr>
      </w:pPr>
      <w:r>
        <w:rPr>
          <w:rFonts w:hint="eastAsia" w:ascii="宋体" w:hAnsi="宋体" w:cs="宋体"/>
          <w:kern w:val="0"/>
          <w:szCs w:val="21"/>
        </w:rPr>
        <w:t>1.3.无有效供应商的，项目询价失败。</w:t>
      </w:r>
    </w:p>
    <w:p w14:paraId="1E6AD52D">
      <w:pPr>
        <w:widowControl/>
        <w:adjustRightInd w:val="0"/>
        <w:ind w:firstLine="420" w:firstLineChars="200"/>
        <w:jc w:val="left"/>
        <w:rPr>
          <w:rFonts w:ascii="宋体" w:hAnsi="宋体" w:cs="宋体"/>
          <w:kern w:val="0"/>
          <w:szCs w:val="21"/>
        </w:rPr>
      </w:pPr>
      <w:r>
        <w:rPr>
          <w:rFonts w:hint="eastAsia" w:ascii="宋体" w:hAnsi="宋体" w:cs="宋体"/>
          <w:kern w:val="0"/>
          <w:szCs w:val="21"/>
        </w:rPr>
        <w:t>2、成交供应商放弃成交资格的，或者成交供应商的成交资格被依法确认无效的，将重新组织采购或者采用其他采购方式；因情况紧急，重新组织采购不能满足采购人要求的，经采购人审定，是否确定后续排名的投标（响应）供应商为替补的成交供应商。确定替补的成交供应商的，友和保险经纪有限公司应当将替补成交供应商的情况予以公示（排名第二的投标（响应）人为第一替补中标（成交）候选人、排名第三的投标（响应）人为第二替补中标（成交）候选人）。</w:t>
      </w:r>
    </w:p>
    <w:p w14:paraId="52E29D8E">
      <w:pPr>
        <w:widowControl/>
        <w:adjustRightInd w:val="0"/>
        <w:ind w:firstLine="420" w:firstLineChars="200"/>
        <w:jc w:val="left"/>
        <w:rPr>
          <w:rFonts w:ascii="宋体" w:hAnsi="宋体" w:cs="宋体"/>
          <w:kern w:val="0"/>
          <w:szCs w:val="21"/>
        </w:rPr>
      </w:pPr>
      <w:r>
        <w:rPr>
          <w:rFonts w:hint="eastAsia" w:ascii="宋体" w:hAnsi="宋体" w:cs="宋体"/>
          <w:kern w:val="0"/>
          <w:szCs w:val="21"/>
        </w:rPr>
        <w:t>3、供应商询价截止后撤销其询价，中标（成交）后无正当理由未在规定期限内签订合同或者拒绝履行合同义务的，按相关规定处理，并将记入诚信档案处理。</w:t>
      </w:r>
    </w:p>
    <w:p w14:paraId="1AB01E0C">
      <w:pPr>
        <w:widowControl/>
        <w:adjustRightInd w:val="0"/>
        <w:ind w:firstLine="420" w:firstLineChars="200"/>
        <w:jc w:val="left"/>
        <w:rPr>
          <w:rFonts w:ascii="宋体" w:hAnsi="宋体" w:cs="宋体"/>
          <w:kern w:val="0"/>
          <w:szCs w:val="21"/>
        </w:rPr>
      </w:pPr>
      <w:r>
        <w:rPr>
          <w:rFonts w:hint="eastAsia" w:ascii="宋体" w:hAnsi="宋体" w:cs="宋体"/>
          <w:kern w:val="0"/>
          <w:szCs w:val="21"/>
        </w:rPr>
        <w:t>4、供应商应严格按照询价文件（询价公告、询价用户需求书和询价应答文件格式）规定的要求诚信投标（应答），并对询价行为和结果承担法律责任。</w:t>
      </w:r>
    </w:p>
    <w:p w14:paraId="247BEE97">
      <w:pPr>
        <w:widowControl/>
        <w:adjustRightInd w:val="0"/>
        <w:ind w:firstLine="422" w:firstLineChars="200"/>
        <w:jc w:val="left"/>
        <w:rPr>
          <w:rFonts w:ascii="宋体" w:hAnsi="宋体" w:cs="宋体"/>
          <w:kern w:val="0"/>
          <w:szCs w:val="21"/>
        </w:rPr>
      </w:pPr>
      <w:r>
        <w:rPr>
          <w:rFonts w:hint="eastAsia" w:ascii="宋体" w:hAnsi="宋体" w:cs="宋体"/>
          <w:b/>
          <w:kern w:val="0"/>
          <w:szCs w:val="21"/>
        </w:rPr>
        <w:t>九、交纳投标（响应）保证金：</w:t>
      </w:r>
      <w:r>
        <w:rPr>
          <w:rFonts w:hint="eastAsia" w:ascii="宋体" w:hAnsi="宋体" w:cs="宋体"/>
          <w:kern w:val="0"/>
          <w:szCs w:val="21"/>
        </w:rPr>
        <w:t>本项目不需要缴纳投标（响应）保证金。</w:t>
      </w:r>
    </w:p>
    <w:p w14:paraId="2F7A32D6">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十、重要提示：</w:t>
      </w:r>
    </w:p>
    <w:p w14:paraId="34A8B007">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1、本项目询价文件所涉及的时间一律为北京时间，投标（响应）币种均为人民币。供应商有义务在询价活动期间浏览</w:t>
      </w:r>
      <w:r>
        <w:rPr>
          <w:rFonts w:hint="eastAsia" w:ascii="宋体" w:hAnsi="宋体" w:cs="宋体"/>
          <w:szCs w:val="21"/>
        </w:rPr>
        <w:t>友和</w:t>
      </w:r>
      <w:r>
        <w:rPr>
          <w:rFonts w:hint="eastAsia" w:cs="宋体"/>
          <w:szCs w:val="21"/>
        </w:rPr>
        <w:t>招标代理服务网</w:t>
      </w:r>
      <w:r>
        <w:rPr>
          <w:rFonts w:hint="eastAsia"/>
          <w:szCs w:val="21"/>
        </w:rPr>
        <w:t>（https://yhzb.uho.cn/）</w:t>
      </w:r>
      <w:r>
        <w:rPr>
          <w:rFonts w:hint="eastAsia" w:ascii="宋体" w:hAnsi="宋体" w:cs="宋体"/>
          <w:kern w:val="0"/>
          <w:szCs w:val="21"/>
        </w:rPr>
        <w:t>。</w:t>
      </w:r>
    </w:p>
    <w:p w14:paraId="01C902A4">
      <w:pPr>
        <w:widowControl/>
        <w:adjustRightInd w:val="0"/>
        <w:ind w:firstLine="422" w:firstLineChars="200"/>
        <w:jc w:val="lef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十一、对本次询价提出询问， 请按以下方式联系：</w:t>
      </w:r>
    </w:p>
    <w:p w14:paraId="3FAAE0C6">
      <w:pPr>
        <w:widowControl/>
        <w:adjustRightIn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（一）采购人信息</w:t>
      </w:r>
    </w:p>
    <w:p w14:paraId="5056D164">
      <w:pPr>
        <w:widowControl/>
        <w:adjustRightIn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名 称：深圳市司法局</w:t>
      </w:r>
    </w:p>
    <w:p w14:paraId="516CF578">
      <w:pPr>
        <w:widowControl/>
        <w:adjustRightIn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 址：</w:t>
      </w:r>
      <w:r>
        <w:rPr>
          <w:rFonts w:hint="eastAsia" w:ascii="宋体" w:hAnsi="宋体" w:cs="宋体"/>
          <w:kern w:val="0"/>
          <w:szCs w:val="21"/>
        </w:rPr>
        <w:t>深圳市福田区景田路72号</w:t>
      </w:r>
    </w:p>
    <w:p w14:paraId="12CE3DD2">
      <w:pPr>
        <w:widowControl/>
        <w:adjustRightIn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联系人：刘工</w:t>
      </w:r>
    </w:p>
    <w:p w14:paraId="4337015D">
      <w:pPr>
        <w:widowControl/>
        <w:adjustRightIn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联系方式： </w:t>
      </w:r>
      <w:r>
        <w:rPr>
          <w:rFonts w:hint="eastAsia" w:asciiTheme="minorEastAsia" w:hAnsiTheme="minorEastAsia" w:eastAsiaTheme="minorEastAsia" w:cstheme="minorEastAsia"/>
          <w:kern w:val="0"/>
          <w:szCs w:val="21"/>
          <w:lang w:val="en-US" w:eastAsia="zh-CN"/>
        </w:rPr>
        <w:t>0755-</w:t>
      </w:r>
      <w:r>
        <w:rPr>
          <w:rFonts w:hint="eastAsia" w:asciiTheme="minorEastAsia" w:hAnsiTheme="minorEastAsia" w:eastAsiaTheme="minorEastAsia" w:cstheme="minorEastAsia"/>
          <w:kern w:val="0"/>
          <w:szCs w:val="21"/>
        </w:rPr>
        <w:t>82019959</w:t>
      </w:r>
    </w:p>
    <w:p w14:paraId="7E820993">
      <w:pPr>
        <w:widowControl/>
        <w:adjustRightIn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（二）采购代理机构信息</w:t>
      </w:r>
    </w:p>
    <w:p w14:paraId="109F8E57">
      <w:pPr>
        <w:widowControl/>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名　称：友和保险经纪有限公司</w:t>
      </w:r>
    </w:p>
    <w:p w14:paraId="0E10B23D">
      <w:pPr>
        <w:widowControl/>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地　址：深圳市福田区福田体育公园西北角友和招标代理服务中心（靠近北门）</w:t>
      </w:r>
    </w:p>
    <w:p w14:paraId="7BAB3AFB">
      <w:pPr>
        <w:widowControl/>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rPr>
        <w:t xml:space="preserve">监督举报：0755-83889803、83889016   </w:t>
      </w:r>
    </w:p>
    <w:p w14:paraId="629E6D5C">
      <w:pPr>
        <w:widowControl/>
        <w:adjustRightIn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（三）项目联系方式</w:t>
      </w:r>
    </w:p>
    <w:p w14:paraId="67306C32">
      <w:pPr>
        <w:widowControl/>
        <w:adjustRightInd w:val="0"/>
        <w:ind w:firstLine="420" w:firstLineChars="200"/>
        <w:jc w:val="lef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项目联系人：</w:t>
      </w:r>
      <w:r>
        <w:rPr>
          <w:rFonts w:hint="eastAsia" w:asciiTheme="minorEastAsia" w:hAnsiTheme="minorEastAsia" w:eastAsiaTheme="minorEastAsia" w:cstheme="minorEastAsia"/>
          <w:kern w:val="2"/>
          <w:szCs w:val="24"/>
          <w:lang w:val="en-US" w:eastAsia="zh-CN"/>
        </w:rPr>
        <w:t>周盼、秦佳涛、卓耀贤</w:t>
      </w:r>
    </w:p>
    <w:p w14:paraId="106E720A">
      <w:pPr>
        <w:widowControl/>
        <w:adjustRightInd w:val="0"/>
        <w:ind w:firstLine="420" w:firstLineChars="200"/>
        <w:jc w:val="lef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电      话：0755-8388</w:t>
      </w:r>
      <w:r>
        <w:rPr>
          <w:rFonts w:hint="eastAsia" w:asciiTheme="minorEastAsia" w:hAnsiTheme="minorEastAsia" w:eastAsiaTheme="minorEastAsia" w:cstheme="minorEastAsia"/>
          <w:kern w:val="0"/>
          <w:szCs w:val="21"/>
          <w:lang w:val="en-US" w:eastAsia="zh-CN"/>
        </w:rPr>
        <w:t>1282</w:t>
      </w:r>
    </w:p>
    <w:p w14:paraId="43569B97">
      <w:pPr>
        <w:widowControl/>
        <w:adjustRightIn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（四）相关项目信息查询网址</w:t>
      </w:r>
    </w:p>
    <w:p w14:paraId="3081B1EB">
      <w:pPr>
        <w:widowControl/>
        <w:adjustRightInd w:val="0"/>
        <w:ind w:firstLine="420" w:firstLineChars="200"/>
        <w:jc w:val="left"/>
        <w:rPr>
          <w:rFonts w:asciiTheme="minorEastAsia" w:hAnsiTheme="minorEastAsia" w:eastAsiaTheme="minorEastAsia" w:cstheme="minorEastAsia"/>
          <w:kern w:val="0"/>
          <w:szCs w:val="21"/>
        </w:rPr>
      </w:pPr>
      <w:r>
        <w:rPr>
          <w:rFonts w:hint="eastAsia" w:ascii="宋体" w:hAnsi="宋体" w:cs="宋体"/>
          <w:kern w:val="0"/>
          <w:szCs w:val="21"/>
        </w:rPr>
        <w:t>深圳市司法局http://sf.sz.gov.cn</w:t>
      </w:r>
      <w:r>
        <w:rPr>
          <w:rFonts w:hint="eastAsia" w:asciiTheme="minorEastAsia" w:hAnsiTheme="minorEastAsia" w:eastAsiaTheme="minorEastAsia" w:cstheme="minorEastAsia"/>
          <w:kern w:val="0"/>
          <w:szCs w:val="21"/>
        </w:rPr>
        <w:t>/</w:t>
      </w:r>
    </w:p>
    <w:p w14:paraId="79F63F7C">
      <w:pPr>
        <w:widowControl/>
        <w:adjustRightIn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友和招标代理服务网 </w:t>
      </w:r>
      <w:r>
        <w:fldChar w:fldCharType="begin"/>
      </w:r>
      <w:r>
        <w:instrText xml:space="preserve"> HYPERLINK "http://yhzb.uho.cn/" </w:instrText>
      </w:r>
      <w:r>
        <w:fldChar w:fldCharType="separate"/>
      </w:r>
      <w:r>
        <w:rPr>
          <w:rStyle w:val="25"/>
          <w:rFonts w:hint="eastAsia" w:asciiTheme="minorEastAsia" w:hAnsiTheme="minorEastAsia" w:eastAsiaTheme="minorEastAsia" w:cstheme="minorEastAsia"/>
          <w:kern w:val="0"/>
          <w:szCs w:val="21"/>
        </w:rPr>
        <w:t>http://yhzb.uho.cn/</w:t>
      </w:r>
      <w:r>
        <w:rPr>
          <w:rStyle w:val="25"/>
          <w:rFonts w:hint="eastAsia" w:asciiTheme="minorEastAsia" w:hAnsiTheme="minorEastAsia" w:eastAsiaTheme="minorEastAsia" w:cstheme="minorEastAsia"/>
          <w:kern w:val="0"/>
          <w:szCs w:val="21"/>
        </w:rPr>
        <w:fldChar w:fldCharType="end"/>
      </w:r>
    </w:p>
    <w:p w14:paraId="6060DD10">
      <w:pPr>
        <w:widowControl/>
        <w:adjustRightInd w:val="0"/>
        <w:ind w:firstLine="422" w:firstLineChars="200"/>
        <w:jc w:val="lef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br w:type="page"/>
      </w:r>
    </w:p>
    <w:p w14:paraId="0EA56836">
      <w:pPr>
        <w:widowControl/>
        <w:adjustRightInd w:val="0"/>
        <w:ind w:firstLine="723" w:firstLineChars="200"/>
        <w:jc w:val="center"/>
        <w:outlineLvl w:val="0"/>
        <w:rPr>
          <w:rFonts w:ascii="宋体" w:hAnsi="宋体" w:cs="宋体"/>
          <w:b/>
          <w:kern w:val="0"/>
          <w:sz w:val="36"/>
          <w:szCs w:val="36"/>
        </w:rPr>
      </w:pPr>
      <w:bookmarkStart w:id="13" w:name="_Toc31530"/>
      <w:bookmarkStart w:id="14" w:name="_Toc22743"/>
      <w:r>
        <w:rPr>
          <w:rFonts w:hint="eastAsia" w:ascii="宋体" w:hAnsi="宋体" w:cs="宋体"/>
          <w:b/>
          <w:kern w:val="0"/>
          <w:sz w:val="36"/>
          <w:szCs w:val="36"/>
        </w:rPr>
        <w:t>第二章 评审方式</w:t>
      </w:r>
      <w:bookmarkEnd w:id="13"/>
      <w:bookmarkEnd w:id="14"/>
    </w:p>
    <w:p w14:paraId="6DEF2EC5">
      <w:pPr>
        <w:ind w:firstLine="422" w:firstLineChars="200"/>
        <w:rPr>
          <w:rFonts w:ascii="宋体" w:hAnsi="宋体" w:cs="宋体"/>
          <w:b/>
          <w:kern w:val="0"/>
          <w:szCs w:val="21"/>
        </w:rPr>
      </w:pPr>
    </w:p>
    <w:p w14:paraId="2D62A034">
      <w:pPr>
        <w:spacing w:line="360" w:lineRule="auto"/>
        <w:ind w:firstLine="422" w:firstLineChars="200"/>
        <w:rPr>
          <w:rFonts w:ascii="宋体" w:hAnsi="宋体" w:cs="宋体"/>
          <w:kern w:val="0"/>
          <w:szCs w:val="21"/>
        </w:rPr>
      </w:pPr>
      <w:r>
        <w:rPr>
          <w:rFonts w:hint="eastAsia" w:ascii="宋体" w:hAnsi="宋体" w:cs="宋体"/>
          <w:b/>
          <w:kern w:val="0"/>
          <w:szCs w:val="21"/>
        </w:rPr>
        <w:t>本项目成交方法采用最低价法</w:t>
      </w:r>
      <w:r>
        <w:rPr>
          <w:rFonts w:hint="eastAsia" w:ascii="宋体" w:hAnsi="宋体" w:cs="宋体"/>
          <w:kern w:val="0"/>
          <w:szCs w:val="21"/>
        </w:rPr>
        <w:t>，完全满足询价文件的符合性审查要求，按照调整后报价由低到高的顺序，依据询价文件中规定的数量或比例推荐候选成交供应商。</w:t>
      </w:r>
    </w:p>
    <w:p w14:paraId="304C0D18">
      <w:pPr>
        <w:pStyle w:val="2"/>
        <w:ind w:firstLine="480"/>
      </w:pPr>
    </w:p>
    <w:p w14:paraId="2D880C57">
      <w:pPr>
        <w:rPr>
          <w:rFonts w:ascii="宋体" w:hAnsi="宋体" w:cs="宋体"/>
          <w:b/>
          <w:kern w:val="0"/>
          <w:sz w:val="36"/>
          <w:szCs w:val="36"/>
        </w:rPr>
      </w:pPr>
      <w:r>
        <w:rPr>
          <w:rFonts w:hint="eastAsia" w:ascii="宋体" w:hAnsi="宋体" w:cs="宋体"/>
          <w:b/>
          <w:kern w:val="0"/>
          <w:sz w:val="36"/>
          <w:szCs w:val="36"/>
        </w:rPr>
        <w:br w:type="page"/>
      </w:r>
    </w:p>
    <w:p w14:paraId="5B8BC7ED">
      <w:pPr>
        <w:rPr>
          <w:rFonts w:asciiTheme="minorEastAsia" w:hAnsiTheme="minorEastAsia" w:eastAsiaTheme="minorEastAsia" w:cstheme="minorEastAsia"/>
          <w:b/>
          <w:kern w:val="0"/>
          <w:sz w:val="36"/>
          <w:szCs w:val="36"/>
        </w:rPr>
      </w:pPr>
    </w:p>
    <w:p w14:paraId="6D09A4EF">
      <w:pPr>
        <w:widowControl/>
        <w:adjustRightInd w:val="0"/>
        <w:ind w:firstLine="723" w:firstLineChars="200"/>
        <w:jc w:val="center"/>
        <w:outlineLvl w:val="0"/>
        <w:rPr>
          <w:rFonts w:asciiTheme="minorEastAsia" w:hAnsiTheme="minorEastAsia" w:eastAsiaTheme="minorEastAsia" w:cstheme="minorEastAsia"/>
          <w:b/>
          <w:kern w:val="0"/>
          <w:sz w:val="36"/>
          <w:szCs w:val="36"/>
        </w:rPr>
      </w:pPr>
      <w:bookmarkStart w:id="15" w:name="_Toc13696"/>
      <w:r>
        <w:rPr>
          <w:rFonts w:hint="eastAsia" w:asciiTheme="minorEastAsia" w:hAnsiTheme="minorEastAsia" w:eastAsiaTheme="minorEastAsia" w:cstheme="minorEastAsia"/>
          <w:b/>
          <w:kern w:val="0"/>
          <w:sz w:val="36"/>
          <w:szCs w:val="36"/>
        </w:rPr>
        <w:t>第三章 用户需求书</w:t>
      </w:r>
      <w:bookmarkEnd w:id="15"/>
    </w:p>
    <w:p w14:paraId="77E64C3F">
      <w:pPr>
        <w:ind w:firstLine="422" w:firstLineChars="200"/>
        <w:rPr>
          <w:rFonts w:asciiTheme="minorEastAsia" w:hAnsiTheme="minorEastAsia" w:eastAsiaTheme="minorEastAsia" w:cstheme="minorEastAsia"/>
          <w:b/>
          <w:bCs/>
          <w:kern w:val="0"/>
          <w:szCs w:val="21"/>
        </w:rPr>
      </w:pPr>
    </w:p>
    <w:p w14:paraId="330A9077">
      <w:pPr>
        <w:pStyle w:val="5"/>
        <w:rPr>
          <w:rFonts w:asciiTheme="minorEastAsia" w:hAnsiTheme="minorEastAsia" w:eastAsiaTheme="minorEastAsia" w:cstheme="minorEastAsia"/>
          <w:b/>
          <w:color w:val="auto"/>
          <w:sz w:val="21"/>
          <w:szCs w:val="21"/>
        </w:rPr>
      </w:pPr>
      <w:bookmarkStart w:id="16" w:name="_Toc17353"/>
      <w:bookmarkStart w:id="17" w:name="_Toc17251"/>
      <w:bookmarkStart w:id="18" w:name="_Toc27881"/>
      <w:bookmarkStart w:id="19" w:name="_Toc103846517"/>
      <w:r>
        <w:rPr>
          <w:rFonts w:hint="eastAsia" w:asciiTheme="minorEastAsia" w:hAnsiTheme="minorEastAsia" w:eastAsiaTheme="minorEastAsia" w:cstheme="minorEastAsia"/>
          <w:b/>
          <w:sz w:val="21"/>
          <w:szCs w:val="21"/>
        </w:rPr>
        <w:t>一、招</w:t>
      </w:r>
      <w:r>
        <w:rPr>
          <w:rFonts w:hint="eastAsia" w:asciiTheme="minorEastAsia" w:hAnsiTheme="minorEastAsia" w:eastAsiaTheme="minorEastAsia" w:cstheme="minorEastAsia"/>
          <w:b/>
          <w:color w:val="auto"/>
          <w:sz w:val="21"/>
          <w:szCs w:val="21"/>
        </w:rPr>
        <w:t>标项目概况</w:t>
      </w:r>
      <w:bookmarkEnd w:id="16"/>
      <w:bookmarkEnd w:id="17"/>
      <w:bookmarkEnd w:id="18"/>
      <w:bookmarkEnd w:id="19"/>
    </w:p>
    <w:p w14:paraId="058D2A69">
      <w:pPr>
        <w:pStyle w:val="7"/>
        <w:spacing w:line="360" w:lineRule="auto"/>
        <w:rPr>
          <w:color w:val="auto"/>
        </w:rPr>
      </w:pPr>
      <w:r>
        <w:rPr>
          <w:rFonts w:hint="eastAsia"/>
          <w:color w:val="auto"/>
        </w:rPr>
        <w:t xml:space="preserve">    1、项目概况:   </w:t>
      </w:r>
    </w:p>
    <w:p w14:paraId="0065D897">
      <w:pPr>
        <w:pStyle w:val="7"/>
        <w:spacing w:line="360" w:lineRule="auto"/>
        <w:rPr>
          <w:color w:val="auto"/>
          <w:kern w:val="0"/>
        </w:rPr>
      </w:pPr>
      <w:bookmarkStart w:id="20" w:name="OLE_LINK7"/>
      <w:bookmarkStart w:id="21" w:name="OLE_LINK8"/>
      <w:r>
        <w:rPr>
          <w:color w:val="auto"/>
        </w:rPr>
        <w:t>天平大厦负二楼雨水池需安装污水提</w:t>
      </w:r>
      <w:r>
        <w:rPr>
          <w:rFonts w:hint="eastAsia"/>
          <w:color w:val="auto"/>
        </w:rPr>
        <w:t>升泵及排污管单向阀更换,专用电路控制柜的定制更换及强电井内的电路整理及更新</w:t>
      </w:r>
      <w:bookmarkEnd w:id="20"/>
      <w:bookmarkEnd w:id="21"/>
    </w:p>
    <w:p w14:paraId="502AC55A">
      <w:pPr>
        <w:widowControl/>
        <w:spacing w:line="360" w:lineRule="auto"/>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2、预算金额: </w:t>
      </w:r>
      <w:bookmarkStart w:id="22" w:name="OLE_LINK4"/>
      <w:bookmarkStart w:id="23" w:name="OLE_LINK5"/>
      <w:r>
        <w:rPr>
          <w:rFonts w:hint="eastAsia" w:asciiTheme="minorEastAsia" w:hAnsiTheme="minorEastAsia" w:eastAsiaTheme="minorEastAsia" w:cstheme="minorEastAsia"/>
          <w:color w:val="auto"/>
          <w:szCs w:val="21"/>
        </w:rPr>
        <w:t>¥33126.00</w:t>
      </w:r>
      <w:bookmarkEnd w:id="22"/>
      <w:bookmarkEnd w:id="23"/>
      <w:r>
        <w:rPr>
          <w:rFonts w:hint="eastAsia" w:asciiTheme="minorEastAsia" w:hAnsiTheme="minorEastAsia" w:eastAsiaTheme="minorEastAsia" w:cstheme="minorEastAsia"/>
          <w:b/>
          <w:color w:val="auto"/>
          <w:szCs w:val="21"/>
          <w:u w:val="single"/>
        </w:rPr>
        <w:t>元</w:t>
      </w:r>
    </w:p>
    <w:p w14:paraId="0B61294B">
      <w:pPr>
        <w:tabs>
          <w:tab w:val="left" w:pos="2595"/>
        </w:tabs>
        <w:spacing w:line="360" w:lineRule="auto"/>
        <w:ind w:firstLine="420" w:firstLineChars="200"/>
        <w:rPr>
          <w:rFonts w:asciiTheme="minorEastAsia" w:hAnsiTheme="minorEastAsia" w:eastAsiaTheme="minorEastAsia" w:cstheme="minorEastAsia"/>
          <w:b w:val="0"/>
          <w:bCs/>
          <w:color w:val="auto"/>
          <w:szCs w:val="21"/>
        </w:rPr>
      </w:pPr>
      <w:r>
        <w:rPr>
          <w:rFonts w:hint="eastAsia" w:asciiTheme="minorEastAsia" w:hAnsiTheme="minorEastAsia" w:eastAsiaTheme="minorEastAsia" w:cstheme="minorEastAsia"/>
          <w:color w:val="auto"/>
          <w:szCs w:val="21"/>
        </w:rPr>
        <w:t>3、项目实施地点：</w:t>
      </w:r>
      <w:r>
        <w:rPr>
          <w:rFonts w:hint="eastAsia" w:asciiTheme="minorEastAsia" w:hAnsiTheme="minorEastAsia" w:eastAsiaTheme="minorEastAsia" w:cstheme="minorEastAsia"/>
          <w:b w:val="0"/>
          <w:bCs/>
          <w:color w:val="auto"/>
          <w:szCs w:val="21"/>
          <w:u w:val="single"/>
        </w:rPr>
        <w:t>深圳市福田区景田路72号天平大厦负二楼</w:t>
      </w:r>
    </w:p>
    <w:p w14:paraId="7F3E0992">
      <w:pPr>
        <w:spacing w:beforeLines="25" w:afterLines="25"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4、项目</w:t>
      </w:r>
      <w:r>
        <w:rPr>
          <w:rFonts w:hint="eastAsia" w:asciiTheme="minorEastAsia" w:hAnsiTheme="minorEastAsia" w:eastAsiaTheme="minorEastAsia" w:cstheme="minorEastAsia"/>
          <w:color w:val="auto"/>
          <w:kern w:val="0"/>
          <w:szCs w:val="21"/>
        </w:rPr>
        <w:t>工期要求：</w:t>
      </w:r>
      <w:r>
        <w:rPr>
          <w:rFonts w:hint="eastAsia" w:asciiTheme="minorEastAsia" w:hAnsiTheme="minorEastAsia" w:eastAsiaTheme="minorEastAsia" w:cstheme="minorEastAsia"/>
          <w:color w:val="auto"/>
          <w:szCs w:val="21"/>
        </w:rPr>
        <w:t>合同签订后</w:t>
      </w:r>
      <w:r>
        <w:rPr>
          <w:rFonts w:asciiTheme="minorEastAsia" w:hAnsiTheme="minorEastAsia" w:eastAsiaTheme="minorEastAsia" w:cstheme="minorEastAsia"/>
          <w:color w:val="auto"/>
          <w:szCs w:val="21"/>
        </w:rPr>
        <w:t>15</w:t>
      </w:r>
      <w:r>
        <w:rPr>
          <w:rFonts w:hint="eastAsia" w:asciiTheme="minorEastAsia" w:hAnsiTheme="minorEastAsia" w:eastAsiaTheme="minorEastAsia" w:cstheme="minorEastAsia"/>
          <w:b w:val="0"/>
          <w:bCs/>
          <w:color w:val="auto"/>
          <w:szCs w:val="21"/>
        </w:rPr>
        <w:t>个日历天</w:t>
      </w:r>
      <w:r>
        <w:rPr>
          <w:rFonts w:hint="eastAsia" w:asciiTheme="minorEastAsia" w:hAnsiTheme="minorEastAsia" w:eastAsiaTheme="minorEastAsia" w:cstheme="minorEastAsia"/>
          <w:color w:val="auto"/>
          <w:szCs w:val="21"/>
        </w:rPr>
        <w:t>；</w:t>
      </w:r>
    </w:p>
    <w:p w14:paraId="523608B5">
      <w:pPr>
        <w:spacing w:beforeLines="25" w:afterLines="25"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5、合同方式：</w:t>
      </w:r>
    </w:p>
    <w:p w14:paraId="348D6E8B">
      <w:pPr>
        <w:spacing w:beforeLines="25" w:afterLines="25" w:line="360" w:lineRule="auto"/>
        <w:ind w:firstLine="630" w:firstLineChars="3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（1）固定单价合同，工程结算时，项目单价不做调整，按实际完成的工程量结算； </w:t>
      </w:r>
    </w:p>
    <w:p w14:paraId="2B5CA58E">
      <w:pPr>
        <w:spacing w:beforeLines="25" w:afterLines="25" w:line="360" w:lineRule="auto"/>
        <w:ind w:firstLine="630" w:firstLineChars="3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（2）固定总价合同，工程结算时，结算不做调整；</w:t>
      </w:r>
    </w:p>
    <w:p w14:paraId="40BA1E7D">
      <w:pPr>
        <w:spacing w:beforeLines="25" w:afterLines="25"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本项目选用方式。（2）</w:t>
      </w:r>
    </w:p>
    <w:p w14:paraId="38CC622E">
      <w:pPr>
        <w:pStyle w:val="11"/>
        <w:autoSpaceDE w:val="0"/>
        <w:spacing w:line="36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工程项目清单</w:t>
      </w:r>
    </w:p>
    <w:tbl>
      <w:tblPr>
        <w:tblStyle w:val="20"/>
        <w:tblW w:w="8118"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3"/>
        <w:gridCol w:w="2215"/>
        <w:gridCol w:w="2366"/>
        <w:gridCol w:w="1914"/>
      </w:tblGrid>
      <w:tr w14:paraId="26F20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623" w:type="dxa"/>
            <w:tcBorders>
              <w:top w:val="single" w:color="auto" w:sz="4" w:space="0"/>
              <w:left w:val="single" w:color="auto" w:sz="4" w:space="0"/>
              <w:bottom w:val="single" w:color="auto" w:sz="4" w:space="0"/>
              <w:right w:val="single" w:color="auto" w:sz="4" w:space="0"/>
            </w:tcBorders>
            <w:noWrap/>
            <w:vAlign w:val="center"/>
          </w:tcPr>
          <w:p w14:paraId="014C6EBA">
            <w:pPr>
              <w:autoSpaceDE w:val="0"/>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2215" w:type="dxa"/>
            <w:tcBorders>
              <w:top w:val="single" w:color="auto" w:sz="4" w:space="0"/>
              <w:left w:val="single" w:color="auto" w:sz="4" w:space="0"/>
              <w:bottom w:val="single" w:color="auto" w:sz="4" w:space="0"/>
              <w:right w:val="single" w:color="auto" w:sz="4" w:space="0"/>
            </w:tcBorders>
            <w:noWrap/>
            <w:vAlign w:val="center"/>
          </w:tcPr>
          <w:p w14:paraId="2CFF2E43">
            <w:pPr>
              <w:autoSpaceDE w:val="0"/>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工程名称</w:t>
            </w:r>
          </w:p>
        </w:tc>
        <w:tc>
          <w:tcPr>
            <w:tcW w:w="2366" w:type="dxa"/>
            <w:tcBorders>
              <w:top w:val="single" w:color="auto" w:sz="4" w:space="0"/>
              <w:left w:val="single" w:color="auto" w:sz="4" w:space="0"/>
              <w:bottom w:val="single" w:color="auto" w:sz="4" w:space="0"/>
              <w:right w:val="single" w:color="auto" w:sz="4" w:space="0"/>
            </w:tcBorders>
            <w:noWrap/>
            <w:vAlign w:val="center"/>
          </w:tcPr>
          <w:p w14:paraId="47C46AB1">
            <w:pPr>
              <w:autoSpaceDE w:val="0"/>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最高投标限价（元）</w:t>
            </w:r>
          </w:p>
        </w:tc>
        <w:tc>
          <w:tcPr>
            <w:tcW w:w="1914" w:type="dxa"/>
            <w:tcBorders>
              <w:top w:val="single" w:color="auto" w:sz="4" w:space="0"/>
              <w:left w:val="single" w:color="auto" w:sz="4" w:space="0"/>
              <w:bottom w:val="single" w:color="auto" w:sz="4" w:space="0"/>
              <w:right w:val="single" w:color="auto" w:sz="4" w:space="0"/>
            </w:tcBorders>
            <w:noWrap/>
            <w:vAlign w:val="center"/>
          </w:tcPr>
          <w:p w14:paraId="5FB6FE80">
            <w:pPr>
              <w:autoSpaceDE w:val="0"/>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5383F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623" w:type="dxa"/>
            <w:tcBorders>
              <w:top w:val="single" w:color="auto" w:sz="4" w:space="0"/>
              <w:left w:val="single" w:color="auto" w:sz="4" w:space="0"/>
              <w:bottom w:val="single" w:color="auto" w:sz="4" w:space="0"/>
              <w:right w:val="single" w:color="auto" w:sz="4" w:space="0"/>
            </w:tcBorders>
            <w:noWrap/>
            <w:vAlign w:val="center"/>
          </w:tcPr>
          <w:p w14:paraId="55979B07">
            <w:pPr>
              <w:autoSpaceDE w:val="0"/>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2215" w:type="dxa"/>
            <w:tcBorders>
              <w:top w:val="single" w:color="auto" w:sz="4" w:space="0"/>
              <w:left w:val="single" w:color="auto" w:sz="4" w:space="0"/>
              <w:bottom w:val="single" w:color="auto" w:sz="4" w:space="0"/>
              <w:right w:val="single" w:color="auto" w:sz="4" w:space="0"/>
            </w:tcBorders>
            <w:noWrap/>
            <w:vAlign w:val="center"/>
          </w:tcPr>
          <w:p w14:paraId="021FB887">
            <w:pPr>
              <w:autoSpaceDE w:val="0"/>
              <w:spacing w:line="360" w:lineRule="exact"/>
              <w:jc w:val="center"/>
              <w:rPr>
                <w:rFonts w:asciiTheme="minorEastAsia" w:hAnsiTheme="minorEastAsia" w:eastAsiaTheme="minorEastAsia" w:cstheme="minorEastAsia"/>
                <w:color w:val="auto"/>
                <w:szCs w:val="21"/>
              </w:rPr>
            </w:pPr>
            <w:r>
              <w:rPr>
                <w:rFonts w:hint="eastAsia"/>
                <w:color w:val="auto"/>
                <w:szCs w:val="21"/>
              </w:rPr>
              <w:t>天平大厦负二楼雨水池水泵及排污管闸阀更换维修项目</w:t>
            </w:r>
          </w:p>
        </w:tc>
        <w:tc>
          <w:tcPr>
            <w:tcW w:w="2366" w:type="dxa"/>
            <w:tcBorders>
              <w:top w:val="single" w:color="auto" w:sz="4" w:space="0"/>
              <w:left w:val="single" w:color="auto" w:sz="4" w:space="0"/>
              <w:bottom w:val="single" w:color="auto" w:sz="4" w:space="0"/>
              <w:right w:val="single" w:color="auto" w:sz="4" w:space="0"/>
            </w:tcBorders>
            <w:noWrap/>
            <w:vAlign w:val="center"/>
          </w:tcPr>
          <w:p w14:paraId="1AD3D388">
            <w:pPr>
              <w:autoSpaceDE w:val="0"/>
              <w:spacing w:line="360" w:lineRule="exact"/>
              <w:jc w:val="center"/>
              <w:rPr>
                <w:color w:val="auto"/>
                <w:szCs w:val="21"/>
              </w:rPr>
            </w:pPr>
            <w:r>
              <w:rPr>
                <w:rFonts w:hint="eastAsia"/>
                <w:color w:val="auto"/>
                <w:szCs w:val="21"/>
              </w:rPr>
              <w:t>33126.00</w:t>
            </w:r>
          </w:p>
          <w:p w14:paraId="74F67419">
            <w:pPr>
              <w:autoSpaceDE w:val="0"/>
              <w:spacing w:line="360" w:lineRule="exact"/>
              <w:jc w:val="center"/>
              <w:rPr>
                <w:rFonts w:asciiTheme="minorEastAsia" w:hAnsiTheme="minorEastAsia" w:eastAsiaTheme="minorEastAsia" w:cstheme="minorEastAsia"/>
                <w:color w:val="auto"/>
                <w:szCs w:val="21"/>
              </w:rPr>
            </w:pPr>
          </w:p>
        </w:tc>
        <w:tc>
          <w:tcPr>
            <w:tcW w:w="1914" w:type="dxa"/>
            <w:tcBorders>
              <w:top w:val="single" w:color="auto" w:sz="4" w:space="0"/>
              <w:left w:val="single" w:color="auto" w:sz="4" w:space="0"/>
              <w:bottom w:val="single" w:color="auto" w:sz="4" w:space="0"/>
              <w:right w:val="single" w:color="auto" w:sz="4" w:space="0"/>
            </w:tcBorders>
            <w:noWrap/>
            <w:vAlign w:val="center"/>
          </w:tcPr>
          <w:p w14:paraId="47EBDDAC">
            <w:pPr>
              <w:autoSpaceDE w:val="0"/>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其中不可争议费用：777.77</w:t>
            </w:r>
          </w:p>
        </w:tc>
      </w:tr>
    </w:tbl>
    <w:p w14:paraId="4240FCBD">
      <w:pPr>
        <w:adjustRightInd w:val="0"/>
        <w:outlineLvl w:val="9"/>
        <w:rPr>
          <w:rFonts w:asciiTheme="minorEastAsia" w:hAnsiTheme="minorEastAsia" w:eastAsiaTheme="minorEastAsia" w:cstheme="minorEastAsia"/>
          <w:b/>
          <w:sz w:val="21"/>
          <w:szCs w:val="21"/>
        </w:rPr>
      </w:pPr>
      <w:bookmarkStart w:id="24" w:name="_Toc31675"/>
      <w:bookmarkStart w:id="25" w:name="_Toc24312"/>
      <w:bookmarkStart w:id="26" w:name="_Toc22222"/>
      <w:bookmarkStart w:id="27" w:name="_Toc103846518"/>
    </w:p>
    <w:p w14:paraId="5F4FA30C">
      <w:pPr>
        <w:pStyle w:val="5"/>
        <w:spacing w:line="360" w:lineRule="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二、项目管理要求</w:t>
      </w:r>
      <w:bookmarkEnd w:id="24"/>
      <w:bookmarkEnd w:id="25"/>
      <w:bookmarkEnd w:id="26"/>
      <w:bookmarkEnd w:id="27"/>
    </w:p>
    <w:p w14:paraId="1E3ADA20">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rPr>
      </w:pPr>
      <w:r>
        <w:rPr>
          <w:rFonts w:hint="default" w:ascii="汉仪叶叶相思体简" w:hAnsi="汉仪叶叶相思体简" w:eastAsia="宋体" w:cs="汉仪叶叶相思体简"/>
          <w:color w:val="auto"/>
          <w:kern w:val="0"/>
          <w:szCs w:val="21"/>
          <w:lang w:eastAsia="zh-CN"/>
        </w:rPr>
        <w:t>★</w:t>
      </w:r>
      <w:r>
        <w:rPr>
          <w:rFonts w:hint="eastAsia"/>
          <w:color w:val="auto"/>
        </w:rPr>
        <w:t>1、成交单位必须作好施工记录、隐蔽工程记录、施工资料的整理、竣工资料的编制等工作。（提供承诺函）</w:t>
      </w:r>
    </w:p>
    <w:p w14:paraId="6200DC2A">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lang w:eastAsia="zh-CN"/>
        </w:rPr>
      </w:pPr>
      <w:r>
        <w:rPr>
          <w:rFonts w:hint="default" w:ascii="汉仪叶叶相思体简" w:hAnsi="汉仪叶叶相思体简" w:eastAsia="宋体" w:cs="汉仪叶叶相思体简"/>
          <w:color w:val="auto"/>
          <w:kern w:val="0"/>
          <w:szCs w:val="21"/>
          <w:lang w:eastAsia="zh-CN"/>
        </w:rPr>
        <w:t>★</w:t>
      </w:r>
      <w:r>
        <w:rPr>
          <w:rFonts w:hint="eastAsia"/>
          <w:color w:val="auto"/>
        </w:rPr>
        <w:t>2、成交单位必须在施工现场显眼位置设置正规施工警示牌、工程概况牌，标注“温馨提示”语言。靠近人行通道边（或建设方以为有必要的其他周边）必须用整齐美观的板材围护密封施工。</w:t>
      </w:r>
      <w:r>
        <w:rPr>
          <w:rFonts w:hint="eastAsia"/>
          <w:color w:val="auto"/>
          <w:lang w:eastAsia="zh-CN"/>
        </w:rPr>
        <w:t>（</w:t>
      </w:r>
      <w:r>
        <w:rPr>
          <w:rFonts w:hint="eastAsia"/>
          <w:color w:val="auto"/>
        </w:rPr>
        <w:t>提供承诺函</w:t>
      </w:r>
      <w:r>
        <w:rPr>
          <w:rFonts w:hint="eastAsia"/>
          <w:color w:val="auto"/>
          <w:lang w:eastAsia="zh-CN"/>
        </w:rPr>
        <w:t>）</w:t>
      </w:r>
    </w:p>
    <w:p w14:paraId="5893DEC7">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rPr>
      </w:pPr>
      <w:r>
        <w:rPr>
          <w:rFonts w:hint="default" w:ascii="汉仪叶叶相思体简" w:hAnsi="汉仪叶叶相思体简" w:eastAsia="宋体" w:cs="汉仪叶叶相思体简"/>
          <w:color w:val="auto"/>
          <w:kern w:val="0"/>
          <w:szCs w:val="21"/>
          <w:lang w:eastAsia="zh-CN"/>
        </w:rPr>
        <w:t>★</w:t>
      </w:r>
      <w:r>
        <w:rPr>
          <w:rFonts w:hint="eastAsia"/>
          <w:color w:val="auto"/>
        </w:rPr>
        <w:t>3、成交单位施工必须达到有关部门规定的安全文明施工标准，服从招标人的管理，避免干扰招标人的正常工作秩序，认真做好施工现场防护、防火、噪音、用电等安全文明施工各项管理工作，承担相应一切责任，确保施工场地区域道路通畅，保持施工现场整洁，做到工完场清，达到国家卫生城市标准。（提供承诺函）</w:t>
      </w:r>
    </w:p>
    <w:p w14:paraId="5A704A6C">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rPr>
      </w:pPr>
      <w:r>
        <w:rPr>
          <w:rFonts w:hint="default" w:ascii="汉仪叶叶相思体简" w:hAnsi="汉仪叶叶相思体简" w:eastAsia="宋体" w:cs="汉仪叶叶相思体简"/>
          <w:color w:val="auto"/>
          <w:kern w:val="0"/>
          <w:szCs w:val="21"/>
          <w:lang w:eastAsia="zh-CN"/>
        </w:rPr>
        <w:t>★</w:t>
      </w:r>
      <w:r>
        <w:rPr>
          <w:rFonts w:hint="eastAsia"/>
          <w:color w:val="auto"/>
        </w:rPr>
        <w:t>4、成交单位必须在施工过程中注意自身及周边安全，做好现场及周边安全设施搭设，遵守有关安全保护规程，负责施工过程中的所有事故处理和费用。（提供承诺函）</w:t>
      </w:r>
    </w:p>
    <w:p w14:paraId="3F9DE8A0">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rPr>
      </w:pPr>
      <w:r>
        <w:rPr>
          <w:rFonts w:hint="default" w:ascii="汉仪叶叶相思体简" w:hAnsi="汉仪叶叶相思体简" w:eastAsia="宋体" w:cs="汉仪叶叶相思体简"/>
          <w:color w:val="auto"/>
          <w:kern w:val="0"/>
          <w:szCs w:val="21"/>
          <w:lang w:eastAsia="zh-CN"/>
        </w:rPr>
        <w:t>★</w:t>
      </w:r>
      <w:r>
        <w:rPr>
          <w:rFonts w:hint="eastAsia"/>
          <w:color w:val="auto"/>
        </w:rPr>
        <w:t>5、成交单位必须服从采购单位，监理公司的监督、指导并积极主动配合上述管理机构的工作。（提供承诺函）</w:t>
      </w:r>
    </w:p>
    <w:p w14:paraId="7EFDB408">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rPr>
      </w:pPr>
      <w:r>
        <w:rPr>
          <w:rFonts w:hint="default" w:ascii="汉仪叶叶相思体简" w:hAnsi="汉仪叶叶相思体简" w:eastAsia="宋体" w:cs="汉仪叶叶相思体简"/>
          <w:color w:val="auto"/>
          <w:kern w:val="0"/>
          <w:szCs w:val="21"/>
          <w:lang w:eastAsia="zh-CN"/>
        </w:rPr>
        <w:t>★</w:t>
      </w:r>
      <w:r>
        <w:rPr>
          <w:rFonts w:hint="eastAsia"/>
          <w:color w:val="auto"/>
        </w:rPr>
        <w:t>6、成交单位施工时须提供材料样板，经招标人最终确认后，方可进场使用，供应商所提供的样板或厂家应符合设计图纸要求及甲方确认要求，如供应商不能提供的可由招标人根据市场考察情况确认并实施。（提供承诺函）</w:t>
      </w:r>
    </w:p>
    <w:p w14:paraId="5B94869F">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rPr>
      </w:pPr>
      <w:r>
        <w:rPr>
          <w:rFonts w:hint="default" w:ascii="汉仪叶叶相思体简" w:hAnsi="汉仪叶叶相思体简" w:eastAsia="宋体" w:cs="汉仪叶叶相思体简"/>
          <w:color w:val="auto"/>
          <w:kern w:val="0"/>
          <w:szCs w:val="21"/>
          <w:lang w:eastAsia="zh-CN"/>
        </w:rPr>
        <w:t>★</w:t>
      </w:r>
      <w:r>
        <w:rPr>
          <w:rFonts w:hint="eastAsia"/>
          <w:color w:val="auto"/>
        </w:rPr>
        <w:t>7、用在本工程的任何材料在使用前必须得到招标人的批准，样品须在大批订货前送审。获准的样品存放在工地，作为以后验收材料的标准。样品和其包装，由中标人无偿提供。（提供承诺函）</w:t>
      </w:r>
    </w:p>
    <w:p w14:paraId="1E581E58">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rPr>
      </w:pPr>
      <w:r>
        <w:rPr>
          <w:rFonts w:hint="default" w:ascii="汉仪叶叶相思体简" w:hAnsi="汉仪叶叶相思体简" w:eastAsia="宋体" w:cs="汉仪叶叶相思体简"/>
          <w:color w:val="auto"/>
          <w:kern w:val="0"/>
          <w:szCs w:val="21"/>
          <w:lang w:eastAsia="zh-CN"/>
        </w:rPr>
        <w:t>★</w:t>
      </w:r>
      <w:r>
        <w:rPr>
          <w:rFonts w:hint="eastAsia"/>
          <w:color w:val="auto"/>
        </w:rPr>
        <w:t>8、承包人在工程施工前，须全面检查工地情况，若发现错误须立刻通知工程师。若未能遵从此规定，使本工程的任何项目因此等错误或缺陷而错误地建造，则中标人须自费予以拆除及重建。（提供承诺函）</w:t>
      </w:r>
    </w:p>
    <w:p w14:paraId="02690408">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default" w:ascii="汉仪叶叶相思体简" w:hAnsi="汉仪叶叶相思体简" w:eastAsia="宋体" w:cs="汉仪叶叶相思体简"/>
          <w:color w:val="auto"/>
          <w:kern w:val="0"/>
          <w:szCs w:val="21"/>
          <w:lang w:eastAsia="zh-CN"/>
        </w:rPr>
        <w:t>★</w:t>
      </w:r>
      <w:r>
        <w:rPr>
          <w:rFonts w:hint="eastAsia"/>
          <w:color w:val="auto"/>
        </w:rPr>
        <w:t>9、实行项目经理负责制，并按应答文件配备项目管理班子。如未经招标人同意更换项目班子成员，招标人有权取消供应商的中标资格或单方面终止合同，由此造成的违约责任由承包人承担（提供承诺函）</w:t>
      </w:r>
    </w:p>
    <w:p w14:paraId="4B26B2D4">
      <w:pPr>
        <w:pStyle w:val="5"/>
        <w:numPr>
          <w:ilvl w:val="0"/>
          <w:numId w:val="3"/>
        </w:numPr>
        <w:spacing w:line="360" w:lineRule="auto"/>
      </w:pPr>
      <w:bookmarkStart w:id="28" w:name="_Toc103846519"/>
      <w:bookmarkStart w:id="29" w:name="_Toc3360"/>
      <w:bookmarkStart w:id="30" w:name="_Toc12620"/>
      <w:bookmarkStart w:id="31" w:name="_Toc29877"/>
      <w:r>
        <w:rPr>
          <w:rFonts w:hint="eastAsia" w:asciiTheme="minorEastAsia" w:hAnsiTheme="minorEastAsia" w:eastAsiaTheme="minorEastAsia" w:cstheme="minorEastAsia"/>
          <w:b/>
          <w:sz w:val="21"/>
          <w:szCs w:val="21"/>
        </w:rPr>
        <w:t>项目技术要求</w:t>
      </w:r>
      <w:bookmarkEnd w:id="28"/>
      <w:bookmarkEnd w:id="29"/>
      <w:bookmarkEnd w:id="30"/>
      <w:bookmarkEnd w:id="31"/>
    </w:p>
    <w:p w14:paraId="2E05C8CF">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rPr>
      </w:pPr>
      <w:r>
        <w:rPr>
          <w:rFonts w:hint="eastAsia"/>
          <w:color w:val="auto"/>
          <w:lang w:val="en-US" w:eastAsia="zh-CN"/>
        </w:rPr>
        <w:t>1、</w:t>
      </w:r>
      <w:r>
        <w:rPr>
          <w:rFonts w:hint="eastAsia"/>
          <w:color w:val="auto"/>
        </w:rPr>
        <w:t>电路部分</w:t>
      </w:r>
    </w:p>
    <w:p w14:paraId="1C1025E1">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auto"/>
          <w:lang w:val="en-US" w:eastAsia="zh-CN"/>
        </w:rPr>
      </w:pPr>
      <w:r>
        <w:rPr>
          <w:rFonts w:hint="eastAsia"/>
          <w:color w:val="auto"/>
          <w:kern w:val="0"/>
        </w:rPr>
        <w:t>(1)</w:t>
      </w:r>
      <w:r>
        <w:rPr>
          <w:color w:val="auto"/>
        </w:rPr>
        <w:t>国标金龙</w:t>
      </w:r>
      <w:r>
        <w:rPr>
          <w:rFonts w:hint="eastAsia"/>
          <w:color w:val="auto"/>
          <w:lang w:val="en-US" w:eastAsia="zh-CN"/>
        </w:rPr>
        <w:t>羽</w:t>
      </w:r>
      <w:r>
        <w:rPr>
          <w:rFonts w:hint="eastAsia"/>
          <w:color w:val="auto"/>
        </w:rPr>
        <w:t>/成天泰/金环宇</w:t>
      </w:r>
      <w:r>
        <w:rPr>
          <w:rFonts w:hint="eastAsia"/>
          <w:color w:val="auto"/>
          <w:lang w:val="en-US" w:eastAsia="zh-CN"/>
        </w:rPr>
        <w:t>等</w:t>
      </w:r>
      <w:r>
        <w:rPr>
          <w:color w:val="auto"/>
        </w:rPr>
        <w:t>多芯电线，配套线管等；</w:t>
      </w:r>
      <w:r>
        <w:rPr>
          <w:rFonts w:hint="eastAsia"/>
          <w:color w:val="auto"/>
          <w:lang w:val="en-US" w:eastAsia="zh-CN"/>
        </w:rPr>
        <w:t>(优选</w:t>
      </w:r>
      <w:r>
        <w:rPr>
          <w:color w:val="auto"/>
        </w:rPr>
        <w:t>金龙</w:t>
      </w:r>
      <w:r>
        <w:rPr>
          <w:rFonts w:hint="eastAsia"/>
          <w:color w:val="auto"/>
          <w:lang w:val="en-US" w:eastAsia="zh-CN"/>
        </w:rPr>
        <w:t>羽）。</w:t>
      </w:r>
    </w:p>
    <w:p w14:paraId="0935D007">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kern w:val="0"/>
        </w:rPr>
      </w:pPr>
      <w:r>
        <w:rPr>
          <w:rFonts w:hint="eastAsia"/>
          <w:color w:val="auto"/>
          <w:kern w:val="0"/>
        </w:rPr>
        <w:t>(2)现有电井内电路的整理及布设；</w:t>
      </w:r>
    </w:p>
    <w:p w14:paraId="1679AF80">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kern w:val="0"/>
        </w:rPr>
      </w:pPr>
      <w:r>
        <w:rPr>
          <w:rFonts w:hint="eastAsia"/>
          <w:color w:val="auto"/>
          <w:kern w:val="0"/>
        </w:rPr>
        <w:t>(3）专用电路的布设；</w:t>
      </w:r>
    </w:p>
    <w:p w14:paraId="136FB94E">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rPr>
      </w:pPr>
      <w:r>
        <w:rPr>
          <w:rFonts w:hint="eastAsia"/>
          <w:color w:val="auto"/>
          <w:lang w:val="en-US" w:eastAsia="zh-CN"/>
        </w:rPr>
        <w:t>2、</w:t>
      </w:r>
      <w:r>
        <w:rPr>
          <w:color w:val="auto"/>
        </w:rPr>
        <w:t>控制箱部分</w:t>
      </w:r>
    </w:p>
    <w:p w14:paraId="47B4BCEE">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kern w:val="0"/>
        </w:rPr>
      </w:pPr>
      <w:r>
        <w:rPr>
          <w:rFonts w:hint="eastAsia"/>
          <w:color w:val="auto"/>
          <w:kern w:val="0"/>
        </w:rPr>
        <w:t>(1)自动智能控制</w:t>
      </w:r>
    </w:p>
    <w:p w14:paraId="079D77D8">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kern w:val="0"/>
        </w:rPr>
      </w:pPr>
      <w:r>
        <w:rPr>
          <w:rFonts w:hint="eastAsia"/>
          <w:color w:val="auto"/>
          <w:kern w:val="0"/>
        </w:rPr>
        <w:t>(2)液位控制功能、双泵自由切换、自动叠加水泵功能；</w:t>
      </w:r>
    </w:p>
    <w:p w14:paraId="519E907F">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kern w:val="0"/>
        </w:rPr>
      </w:pPr>
      <w:r>
        <w:rPr>
          <w:rFonts w:hint="eastAsia"/>
          <w:color w:val="auto"/>
          <w:kern w:val="0"/>
        </w:rPr>
        <w:t>(3)具有漏电、过载保护功能；手动/自动切换功能</w:t>
      </w:r>
    </w:p>
    <w:p w14:paraId="4104C4FE">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rPr>
      </w:pPr>
      <w:r>
        <w:rPr>
          <w:rFonts w:hint="eastAsia"/>
          <w:color w:val="auto"/>
          <w:lang w:val="en-US" w:eastAsia="zh-CN"/>
        </w:rPr>
        <w:t>3、</w:t>
      </w:r>
      <w:r>
        <w:rPr>
          <w:color w:val="auto"/>
        </w:rPr>
        <w:t>地面部分</w:t>
      </w:r>
    </w:p>
    <w:p w14:paraId="5420CC4E">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rPr>
      </w:pPr>
      <w:r>
        <w:rPr>
          <w:rFonts w:hint="eastAsia"/>
          <w:color w:val="auto"/>
          <w:kern w:val="0"/>
        </w:rPr>
        <w:t>(1)</w:t>
      </w:r>
      <w:r>
        <w:rPr>
          <w:color w:val="auto"/>
        </w:rPr>
        <w:t>地面切割，布设线路，及水泥沙浆找平；</w:t>
      </w:r>
    </w:p>
    <w:p w14:paraId="1F3807E1">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rPr>
      </w:pPr>
      <w:r>
        <w:rPr>
          <w:rFonts w:hint="eastAsia"/>
          <w:color w:val="auto"/>
          <w:lang w:val="en-US" w:eastAsia="zh-CN"/>
        </w:rPr>
        <w:t>4、</w:t>
      </w:r>
      <w:r>
        <w:rPr>
          <w:rFonts w:hint="eastAsia"/>
          <w:color w:val="auto"/>
        </w:rPr>
        <w:t>排污管部分</w:t>
      </w:r>
    </w:p>
    <w:p w14:paraId="3946F1BF">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kern w:val="0"/>
        </w:rPr>
      </w:pPr>
      <w:r>
        <w:rPr>
          <w:rFonts w:hint="eastAsia"/>
          <w:color w:val="auto"/>
          <w:kern w:val="0"/>
        </w:rPr>
        <w:t>(1)原有损坏单向阀的拆除（包括不限于切割管道及焊接）</w:t>
      </w:r>
      <w:r>
        <w:rPr>
          <w:rFonts w:hint="eastAsia" w:ascii="Calibri" w:hAnsi="Calibri"/>
          <w:color w:val="auto"/>
        </w:rPr>
        <w:t>；</w:t>
      </w:r>
    </w:p>
    <w:p w14:paraId="5C962E31">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color w:val="auto"/>
        </w:rPr>
      </w:pPr>
      <w:r>
        <w:rPr>
          <w:rFonts w:hint="eastAsia"/>
          <w:color w:val="auto"/>
          <w:kern w:val="0"/>
        </w:rPr>
        <w:t>(1)单向阀及法兰的安装（包括不限于订制非标）</w:t>
      </w:r>
      <w:r>
        <w:rPr>
          <w:rFonts w:hint="eastAsia" w:ascii="Calibri" w:hAnsi="Calibri"/>
          <w:color w:val="auto"/>
        </w:rPr>
        <w:t>；</w:t>
      </w:r>
    </w:p>
    <w:p w14:paraId="3073E26A">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rPr>
      </w:pPr>
      <w:r>
        <w:rPr>
          <w:rFonts w:hint="eastAsia"/>
          <w:color w:val="auto"/>
          <w:lang w:val="en-US" w:eastAsia="zh-CN"/>
        </w:rPr>
        <w:t>5、</w:t>
      </w:r>
      <w:r>
        <w:rPr>
          <w:rFonts w:hint="eastAsia"/>
          <w:color w:val="auto"/>
        </w:rPr>
        <w:t>雨水井部分</w:t>
      </w:r>
    </w:p>
    <w:p w14:paraId="46273EEC">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kern w:val="0"/>
        </w:rPr>
      </w:pPr>
      <w:r>
        <w:rPr>
          <w:rFonts w:hint="eastAsia"/>
          <w:color w:val="auto"/>
          <w:kern w:val="0"/>
        </w:rPr>
        <w:t>(1)有限空间内的接管</w:t>
      </w:r>
    </w:p>
    <w:p w14:paraId="1891BB95">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kern w:val="0"/>
        </w:rPr>
      </w:pPr>
      <w:r>
        <w:rPr>
          <w:rFonts w:hint="eastAsia"/>
          <w:color w:val="auto"/>
          <w:kern w:val="0"/>
        </w:rPr>
        <w:t>(2)提升泵基础的制安；</w:t>
      </w:r>
    </w:p>
    <w:p w14:paraId="7D541373">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kern w:val="0"/>
        </w:rPr>
      </w:pPr>
      <w:r>
        <w:rPr>
          <w:rFonts w:hint="eastAsia"/>
          <w:color w:val="auto"/>
          <w:kern w:val="0"/>
        </w:rPr>
        <w:t>(3)污水提升泵的制安</w:t>
      </w:r>
    </w:p>
    <w:p w14:paraId="176EDE3C">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kern w:val="0"/>
        </w:rPr>
      </w:pPr>
      <w:r>
        <w:rPr>
          <w:rFonts w:hint="eastAsia"/>
          <w:color w:val="auto"/>
          <w:kern w:val="0"/>
        </w:rPr>
        <w:t>(4)不锈钢管的制安（同现有规格一致）</w:t>
      </w:r>
    </w:p>
    <w:p w14:paraId="52C19DA1">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rPr>
      </w:pPr>
      <w:r>
        <w:rPr>
          <w:rFonts w:hint="eastAsia"/>
          <w:color w:val="auto"/>
          <w:lang w:val="en-US" w:eastAsia="zh-CN"/>
        </w:rPr>
        <w:t>6、</w:t>
      </w:r>
      <w:r>
        <w:rPr>
          <w:rFonts w:hint="eastAsia"/>
          <w:color w:val="auto"/>
        </w:rPr>
        <w:t>其它</w:t>
      </w:r>
    </w:p>
    <w:p w14:paraId="5B9C91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rPr>
      </w:pPr>
      <w:r>
        <w:rPr>
          <w:rFonts w:hint="eastAsia" w:ascii="Calibri" w:hAnsi="Calibri"/>
          <w:color w:val="auto"/>
        </w:rPr>
        <w:t>1.包含并不限于其它在施工中可能会造成相关设施设备不作业并需要恢复相关设施设备能正常工作的相关费用。</w:t>
      </w:r>
    </w:p>
    <w:p w14:paraId="76163FDD">
      <w:pPr>
        <w:pStyle w:val="5"/>
        <w:spacing w:before="156" w:after="156" w:line="360" w:lineRule="auto"/>
        <w:rPr>
          <w:rFonts w:asciiTheme="minorEastAsia" w:hAnsiTheme="minorEastAsia" w:eastAsiaTheme="minorEastAsia" w:cstheme="minorEastAsia"/>
          <w:b/>
          <w:sz w:val="21"/>
          <w:szCs w:val="21"/>
        </w:rPr>
      </w:pPr>
      <w:bookmarkStart w:id="32" w:name="_Toc9937"/>
      <w:bookmarkStart w:id="33" w:name="_Toc103846520"/>
      <w:bookmarkStart w:id="34" w:name="_Toc24981"/>
      <w:bookmarkStart w:id="35" w:name="_Toc10113"/>
      <w:r>
        <w:rPr>
          <w:rFonts w:hint="eastAsia" w:asciiTheme="minorEastAsia" w:hAnsiTheme="minorEastAsia" w:eastAsiaTheme="minorEastAsia" w:cstheme="minorEastAsia"/>
          <w:b/>
          <w:sz w:val="21"/>
          <w:szCs w:val="21"/>
        </w:rPr>
        <w:t>四、材料设备要求</w:t>
      </w:r>
      <w:bookmarkEnd w:id="32"/>
      <w:bookmarkEnd w:id="33"/>
      <w:bookmarkEnd w:id="34"/>
      <w:bookmarkEnd w:id="35"/>
    </w:p>
    <w:p w14:paraId="122E52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一</w:t>
      </w:r>
      <w:r>
        <w:rPr>
          <w:rFonts w:hint="eastAsia" w:asciiTheme="minorEastAsia" w:hAnsiTheme="minorEastAsia" w:eastAsiaTheme="minorEastAsia" w:cstheme="minorEastAsia"/>
          <w:szCs w:val="21"/>
        </w:rPr>
        <w:t>）主要材料设备参考品牌</w:t>
      </w:r>
    </w:p>
    <w:p w14:paraId="5CD011E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snapToGrid w:val="0"/>
          <w:kern w:val="0"/>
          <w:szCs w:val="21"/>
          <w:lang w:val="en-US" w:eastAsia="zh-CN"/>
        </w:rPr>
      </w:pPr>
      <w:r>
        <w:rPr>
          <w:rFonts w:hint="eastAsia" w:asciiTheme="minorEastAsia" w:hAnsiTheme="minorEastAsia" w:eastAsiaTheme="minorEastAsia" w:cstheme="minorEastAsia"/>
          <w:bCs/>
          <w:snapToGrid w:val="0"/>
          <w:kern w:val="0"/>
          <w:szCs w:val="21"/>
        </w:rPr>
        <w:t>1.</w:t>
      </w:r>
      <w:r>
        <w:rPr>
          <w:rFonts w:hint="eastAsia" w:asciiTheme="minorEastAsia" w:hAnsiTheme="minorEastAsia" w:eastAsiaTheme="minorEastAsia" w:cstheme="minorEastAsia"/>
          <w:bCs/>
          <w:snapToGrid w:val="0"/>
          <w:kern w:val="0"/>
          <w:szCs w:val="21"/>
          <w:lang w:val="en-US" w:eastAsia="zh-CN"/>
        </w:rPr>
        <w:t>多芯电线，配套线管：国标金龙鱼、成天泰、金环宇等</w:t>
      </w:r>
    </w:p>
    <w:p w14:paraId="11BBE7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注：本项目询价文件、图纸、工程量清单中出现的材料设备品牌均为投标参考，供应商可根据项目情况结合自身实际，选择品质、档次不低于参考品牌材料设备即可。</w:t>
      </w:r>
    </w:p>
    <w:p w14:paraId="345BE4B2">
      <w:pPr>
        <w:pStyle w:val="5"/>
        <w:spacing w:before="156" w:after="156" w:line="360" w:lineRule="auto"/>
        <w:rPr>
          <w:rFonts w:asciiTheme="minorEastAsia" w:hAnsiTheme="minorEastAsia" w:eastAsiaTheme="minorEastAsia" w:cstheme="minorEastAsia"/>
          <w:b/>
          <w:sz w:val="21"/>
          <w:szCs w:val="21"/>
        </w:rPr>
      </w:pPr>
      <w:bookmarkStart w:id="36" w:name="_Toc6611"/>
      <w:bookmarkStart w:id="37" w:name="_Toc103846521"/>
      <w:bookmarkStart w:id="38" w:name="_Toc10245"/>
      <w:bookmarkStart w:id="39" w:name="_Toc9439"/>
      <w:r>
        <w:rPr>
          <w:rFonts w:hint="eastAsia" w:asciiTheme="minorEastAsia" w:hAnsiTheme="minorEastAsia" w:eastAsiaTheme="minorEastAsia" w:cstheme="minorEastAsia"/>
          <w:b/>
          <w:sz w:val="21"/>
          <w:szCs w:val="21"/>
        </w:rPr>
        <w:t>五、图纸(</w:t>
      </w:r>
      <w:r>
        <w:rPr>
          <w:rFonts w:hint="eastAsia" w:asciiTheme="minorEastAsia" w:hAnsiTheme="minorEastAsia" w:eastAsiaTheme="minorEastAsia" w:cstheme="minorEastAsia"/>
          <w:b/>
          <w:color w:val="FF0000"/>
          <w:sz w:val="21"/>
          <w:szCs w:val="21"/>
        </w:rPr>
        <w:t>无</w:t>
      </w:r>
      <w:r>
        <w:rPr>
          <w:rFonts w:hint="eastAsia" w:asciiTheme="minorEastAsia" w:hAnsiTheme="minorEastAsia" w:eastAsiaTheme="minorEastAsia" w:cstheme="minorEastAsia"/>
          <w:b/>
          <w:sz w:val="21"/>
          <w:szCs w:val="21"/>
        </w:rPr>
        <w:t>)</w:t>
      </w:r>
      <w:bookmarkEnd w:id="36"/>
      <w:bookmarkEnd w:id="37"/>
      <w:bookmarkEnd w:id="38"/>
      <w:bookmarkEnd w:id="39"/>
    </w:p>
    <w:p w14:paraId="2011229F">
      <w:pPr>
        <w:spacing w:line="360" w:lineRule="auto"/>
        <w:rPr>
          <w:rFonts w:asciiTheme="minorEastAsia" w:hAnsiTheme="minorEastAsia" w:eastAsiaTheme="minorEastAsia" w:cstheme="minorEastAsia"/>
          <w:szCs w:val="21"/>
        </w:rPr>
      </w:pPr>
    </w:p>
    <w:p w14:paraId="2413D38F">
      <w:pPr>
        <w:spacing w:line="360" w:lineRule="auto"/>
        <w:rPr>
          <w:rFonts w:ascii="宋体" w:hAnsi="宋体" w:cs="宋体"/>
          <w:color w:val="FF0000"/>
          <w:sz w:val="18"/>
          <w:szCs w:val="18"/>
        </w:rPr>
        <w:sectPr>
          <w:pgSz w:w="11900" w:h="16840"/>
          <w:pgMar w:top="1440" w:right="1800" w:bottom="1440" w:left="1800" w:header="0" w:footer="0" w:gutter="0"/>
          <w:cols w:space="720" w:num="1"/>
        </w:sectPr>
      </w:pPr>
    </w:p>
    <w:p w14:paraId="4606AE9E">
      <w:pPr>
        <w:pStyle w:val="5"/>
        <w:spacing w:before="156" w:after="156" w:line="360" w:lineRule="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六、工程量清单（见附件）</w:t>
      </w:r>
    </w:p>
    <w:p w14:paraId="207902D9">
      <w:pPr>
        <w:pStyle w:val="10"/>
        <w:spacing w:line="360" w:lineRule="auto"/>
        <w:rPr>
          <w:rFonts w:asciiTheme="minorEastAsia" w:hAnsiTheme="minorEastAsia" w:eastAsiaTheme="minorEastAsia" w:cstheme="minorEastAsia"/>
          <w:b/>
          <w:bCs/>
          <w:snapToGrid w:val="0"/>
          <w:kern w:val="0"/>
          <w:szCs w:val="21"/>
          <w:lang w:val="zh-CN"/>
        </w:rPr>
      </w:pPr>
      <w:r>
        <w:rPr>
          <w:rFonts w:hint="eastAsia" w:asciiTheme="minorEastAsia" w:hAnsiTheme="minorEastAsia" w:eastAsiaTheme="minorEastAsia" w:cstheme="minorEastAsia"/>
          <w:b/>
          <w:bCs/>
          <w:snapToGrid w:val="0"/>
          <w:kern w:val="0"/>
          <w:szCs w:val="21"/>
          <w:lang w:val="zh-CN"/>
        </w:rPr>
        <w:t>说明：</w:t>
      </w:r>
    </w:p>
    <w:p w14:paraId="524EE668">
      <w:pPr>
        <w:pStyle w:val="7"/>
        <w:spacing w:line="360" w:lineRule="auto"/>
      </w:pPr>
      <w:r>
        <w:rPr>
          <w:rFonts w:hint="eastAsia"/>
        </w:rPr>
        <w:t>1、工程计价办法：</w:t>
      </w:r>
      <w:r>
        <w:rPr>
          <w:rFonts w:hint="eastAsia"/>
          <w:b/>
          <w:u w:val="single"/>
        </w:rPr>
        <w:t>综合单价法</w:t>
      </w:r>
      <w:r>
        <w:rPr>
          <w:rFonts w:hint="eastAsia"/>
        </w:rPr>
        <w:t>。</w:t>
      </w:r>
    </w:p>
    <w:p w14:paraId="65810F7A">
      <w:pPr>
        <w:pStyle w:val="7"/>
        <w:spacing w:line="360" w:lineRule="auto"/>
        <w:rPr>
          <w:color w:val="auto"/>
        </w:rPr>
      </w:pPr>
      <w:r>
        <w:rPr>
          <w:rFonts w:hint="eastAsia"/>
          <w:color w:val="auto"/>
        </w:rPr>
        <w:t>2、工程量清单应与投标须知、合同条件、工程建设标准及技术要求和图纸等文件结合起来理解或解释。</w:t>
      </w:r>
    </w:p>
    <w:p w14:paraId="13FE1FAD">
      <w:pPr>
        <w:pStyle w:val="7"/>
        <w:spacing w:line="360" w:lineRule="auto"/>
        <w:rPr>
          <w:color w:val="auto"/>
        </w:rPr>
      </w:pPr>
      <w:r>
        <w:rPr>
          <w:rFonts w:hint="eastAsia"/>
          <w:color w:val="auto"/>
        </w:rPr>
        <w:t>3、本工程量清单是招标人委托相关单位根据本征集文件中所提供的设计文件编制的。</w:t>
      </w:r>
    </w:p>
    <w:p w14:paraId="7E1DDB94">
      <w:pPr>
        <w:pStyle w:val="7"/>
        <w:spacing w:line="360" w:lineRule="auto"/>
        <w:rPr>
          <w:color w:val="auto"/>
        </w:rPr>
      </w:pPr>
      <w:r>
        <w:rPr>
          <w:rFonts w:hint="eastAsia"/>
          <w:color w:val="auto"/>
        </w:rPr>
        <w:t>4、按照《建设工程工程量清单计价规范》的规定，“工程量清单格式”主要包括以下几个部分，但不局限于以下部分：</w:t>
      </w:r>
    </w:p>
    <w:p w14:paraId="69C6711A">
      <w:pPr>
        <w:pStyle w:val="7"/>
        <w:spacing w:line="360" w:lineRule="auto"/>
        <w:rPr>
          <w:color w:val="auto"/>
        </w:rPr>
      </w:pPr>
      <w:r>
        <w:rPr>
          <w:rFonts w:hint="eastAsia"/>
          <w:color w:val="auto"/>
        </w:rPr>
        <w:t>⑴.清单封面；</w:t>
      </w:r>
    </w:p>
    <w:p w14:paraId="6788B0DE">
      <w:pPr>
        <w:pStyle w:val="7"/>
        <w:spacing w:line="360" w:lineRule="auto"/>
        <w:rPr>
          <w:color w:val="auto"/>
        </w:rPr>
      </w:pPr>
      <w:r>
        <w:rPr>
          <w:rFonts w:hint="eastAsia"/>
          <w:color w:val="auto"/>
        </w:rPr>
        <w:t>⑵.总说明；</w:t>
      </w:r>
    </w:p>
    <w:p w14:paraId="18C13D64">
      <w:pPr>
        <w:pStyle w:val="7"/>
        <w:spacing w:line="360" w:lineRule="auto"/>
        <w:rPr>
          <w:color w:val="auto"/>
        </w:rPr>
      </w:pPr>
      <w:r>
        <w:rPr>
          <w:rFonts w:hint="eastAsia"/>
          <w:color w:val="auto"/>
        </w:rPr>
        <w:t>包括：工程概况、工程招标范围、工程量清单编制依据、工程质量、材料、施工的特殊要求、预留金及暂定金额的情况等。</w:t>
      </w:r>
    </w:p>
    <w:p w14:paraId="13E7DD0D">
      <w:pPr>
        <w:pStyle w:val="7"/>
        <w:spacing w:line="360" w:lineRule="auto"/>
        <w:rPr>
          <w:color w:val="auto"/>
        </w:rPr>
      </w:pPr>
      <w:r>
        <w:rPr>
          <w:rFonts w:hint="eastAsia"/>
          <w:color w:val="auto"/>
        </w:rPr>
        <w:t>⑶. 工程项目/单项工程汇总表；</w:t>
      </w:r>
    </w:p>
    <w:p w14:paraId="281AA238">
      <w:pPr>
        <w:pStyle w:val="7"/>
        <w:spacing w:line="360" w:lineRule="auto"/>
        <w:rPr>
          <w:color w:val="auto"/>
        </w:rPr>
      </w:pPr>
      <w:r>
        <w:rPr>
          <w:rFonts w:hint="eastAsia"/>
          <w:color w:val="auto"/>
        </w:rPr>
        <w:t>指本次招标的工程项目所包含的单项工程及每个单项工程所包含的单位工程，只有一个单位工程时可不填此表。</w:t>
      </w:r>
    </w:p>
    <w:p w14:paraId="326F9DFF">
      <w:pPr>
        <w:pStyle w:val="7"/>
        <w:spacing w:line="360" w:lineRule="auto"/>
        <w:rPr>
          <w:color w:val="auto"/>
        </w:rPr>
      </w:pPr>
      <w:r>
        <w:rPr>
          <w:rFonts w:hint="eastAsia"/>
          <w:color w:val="auto"/>
        </w:rPr>
        <w:t>⑷.分部分项工程量清单；</w:t>
      </w:r>
    </w:p>
    <w:p w14:paraId="76624B5E">
      <w:pPr>
        <w:pStyle w:val="7"/>
        <w:spacing w:line="360" w:lineRule="auto"/>
        <w:rPr>
          <w:color w:val="auto"/>
        </w:rPr>
      </w:pPr>
      <w:r>
        <w:rPr>
          <w:rFonts w:hint="eastAsia"/>
          <w:color w:val="auto"/>
        </w:rPr>
        <w:t>⑸. 措施项目清单汇总表；</w:t>
      </w:r>
    </w:p>
    <w:p w14:paraId="79603498">
      <w:pPr>
        <w:adjustRightInd w:val="0"/>
        <w:snapToGrid w:val="0"/>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⑹.</w:t>
      </w:r>
      <w:r>
        <w:rPr>
          <w:rFonts w:hint="eastAsia" w:asciiTheme="minorEastAsia" w:hAnsiTheme="minorEastAsia" w:eastAsiaTheme="minorEastAsia" w:cstheme="minorEastAsia"/>
          <w:kern w:val="0"/>
          <w:szCs w:val="21"/>
        </w:rPr>
        <w:t xml:space="preserve"> 措施项目清单（一）：指按分部分项工程量清单的方式采用综合单价计价的措施项目；</w:t>
      </w:r>
    </w:p>
    <w:p w14:paraId="25976E72">
      <w:pPr>
        <w:pStyle w:val="7"/>
        <w:spacing w:line="360" w:lineRule="auto"/>
        <w:rPr>
          <w:color w:val="auto"/>
        </w:rPr>
      </w:pPr>
      <w:r>
        <w:rPr>
          <w:rFonts w:hint="eastAsia"/>
          <w:color w:val="auto"/>
        </w:rPr>
        <w:t>⑺. 其他项目清单汇总表；</w:t>
      </w:r>
    </w:p>
    <w:p w14:paraId="06870A54">
      <w:pPr>
        <w:pStyle w:val="7"/>
        <w:spacing w:line="360" w:lineRule="auto"/>
        <w:rPr>
          <w:color w:val="auto"/>
        </w:rPr>
      </w:pPr>
      <w:r>
        <w:rPr>
          <w:rFonts w:hint="eastAsia"/>
          <w:color w:val="auto"/>
        </w:rPr>
        <w:t>该表分为招标人部分和供应商部分，招标人部分可招标人另行招标采购材料设备费用等，由招标人填写；供应商部分可包括总承包服务费、零星工作项目费等，由供应商根据工程情况，投标报价时填写。</w:t>
      </w:r>
    </w:p>
    <w:p w14:paraId="1697974B">
      <w:pPr>
        <w:pStyle w:val="7"/>
        <w:spacing w:line="360" w:lineRule="auto"/>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(8)材料设备暂估价表；</w:t>
      </w:r>
    </w:p>
    <w:p w14:paraId="5522D403">
      <w:pPr>
        <w:pStyle w:val="7"/>
        <w:spacing w:line="360" w:lineRule="auto"/>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(9)计日工表；</w:t>
      </w:r>
    </w:p>
    <w:p w14:paraId="751B1320">
      <w:pPr>
        <w:pStyle w:val="7"/>
        <w:spacing w:line="360" w:lineRule="auto"/>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(10)总承包服务费表；</w:t>
      </w:r>
    </w:p>
    <w:p w14:paraId="117F58D8">
      <w:pPr>
        <w:pStyle w:val="7"/>
        <w:spacing w:line="360" w:lineRule="auto"/>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(11)发包人供应材料设备明细表：指招标人计划自行采购的材料设备的数量价格等情况。</w:t>
      </w:r>
    </w:p>
    <w:p w14:paraId="664ACDBD">
      <w:pPr>
        <w:pStyle w:val="7"/>
        <w:spacing w:line="360" w:lineRule="auto"/>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(12)规费、税金项目清单；</w:t>
      </w:r>
    </w:p>
    <w:p w14:paraId="63664DE4">
      <w:pPr>
        <w:pStyle w:val="7"/>
        <w:spacing w:line="360" w:lineRule="auto"/>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(13)暂列金额明细表；</w:t>
      </w:r>
    </w:p>
    <w:p w14:paraId="057B1579">
      <w:pPr>
        <w:pStyle w:val="7"/>
        <w:spacing w:line="360" w:lineRule="auto"/>
        <w:rPr>
          <w:color w:val="auto"/>
        </w:rPr>
      </w:pPr>
      <w:r>
        <w:rPr>
          <w:rFonts w:hint="eastAsia" w:asciiTheme="minorEastAsia" w:hAnsiTheme="minorEastAsia" w:eastAsiaTheme="minorEastAsia" w:cstheme="minorEastAsia"/>
          <w:color w:val="auto"/>
          <w:kern w:val="0"/>
        </w:rPr>
        <w:t>(14)工程建设其他费：指招标人要求供应商完成的工程建设其他费项目。</w:t>
      </w:r>
    </w:p>
    <w:p w14:paraId="6703577D">
      <w:pPr>
        <w:pStyle w:val="7"/>
        <w:spacing w:line="360" w:lineRule="auto"/>
        <w:rPr>
          <w:color w:val="auto"/>
        </w:rPr>
      </w:pPr>
      <w:r>
        <w:rPr>
          <w:rFonts w:hint="eastAsia"/>
          <w:color w:val="auto"/>
        </w:rPr>
        <w:t>(15)设备及工器具购置费：指招标工程中包含的不计算营业税的设备名称、规格、数量等情况。</w:t>
      </w:r>
    </w:p>
    <w:p w14:paraId="4862A62F">
      <w:pPr>
        <w:pStyle w:val="7"/>
        <w:spacing w:line="360" w:lineRule="auto"/>
        <w:rPr>
          <w:color w:val="auto"/>
        </w:rPr>
      </w:pPr>
      <w:r>
        <w:rPr>
          <w:rFonts w:hint="eastAsia"/>
          <w:color w:val="auto"/>
        </w:rPr>
        <w:t>5、本工程要求采用的工程量计算规则，应作为本工程招投标双方进行工程招投标和结算计量、计价的共同依据。</w:t>
      </w:r>
    </w:p>
    <w:p w14:paraId="3F1EDDCB">
      <w:pPr>
        <w:pStyle w:val="7"/>
        <w:spacing w:line="360" w:lineRule="auto"/>
        <w:rPr>
          <w:color w:val="auto"/>
        </w:rPr>
      </w:pPr>
      <w:r>
        <w:rPr>
          <w:rFonts w:hint="eastAsia"/>
          <w:color w:val="auto"/>
        </w:rPr>
        <w:t>6、本工程要求采用的工程量计算规则是《13清单计价规范》及《13清单计价规范》补充规范（深圳2013）；</w:t>
      </w:r>
    </w:p>
    <w:p w14:paraId="54413CAD">
      <w:pPr>
        <w:pStyle w:val="7"/>
        <w:spacing w:line="360" w:lineRule="auto"/>
        <w:rPr>
          <w:color w:val="auto"/>
        </w:rPr>
      </w:pPr>
      <w:r>
        <w:rPr>
          <w:rFonts w:hint="eastAsia"/>
          <w:color w:val="auto"/>
        </w:rPr>
        <w:t>7、对“分部分项工程量清单”的说明和报价要求</w:t>
      </w:r>
    </w:p>
    <w:p w14:paraId="636F9B21">
      <w:pPr>
        <w:pStyle w:val="7"/>
        <w:spacing w:line="360" w:lineRule="auto"/>
        <w:rPr>
          <w:color w:val="auto"/>
        </w:rPr>
      </w:pPr>
      <w:r>
        <w:rPr>
          <w:rFonts w:hint="eastAsia"/>
          <w:color w:val="auto"/>
        </w:rPr>
        <w:t>⑴.该清单所列的工程量系招标人的估算，是临时的，作为投标报价的共同基础。不应被理解为是对招标人要求工作内容的全部定义，也不能作为供应商应完成的实际工程量。结算时，应以由承包人和招标人或由招标人授权委托的工程师共同计量、核实的实际完成的工程量为准。</w:t>
      </w:r>
    </w:p>
    <w:p w14:paraId="007E6084">
      <w:pPr>
        <w:pStyle w:val="7"/>
        <w:spacing w:line="360" w:lineRule="auto"/>
        <w:rPr>
          <w:color w:val="auto"/>
        </w:rPr>
      </w:pPr>
      <w:r>
        <w:rPr>
          <w:rFonts w:hint="eastAsia"/>
          <w:color w:val="auto"/>
        </w:rPr>
        <w:t>⑵.该清单中所填入的综合单价和合价应包括直接成本（即人工、材料、机械）和费用（管理费、利润）、风险金等全部费用。但涉及到招标人自行采购的设备材料的项目不得计入材料设备的价格。</w:t>
      </w:r>
    </w:p>
    <w:p w14:paraId="132F9252">
      <w:pPr>
        <w:pStyle w:val="7"/>
        <w:spacing w:line="360" w:lineRule="auto"/>
        <w:rPr>
          <w:color w:val="auto"/>
        </w:rPr>
      </w:pPr>
      <w:r>
        <w:rPr>
          <w:rFonts w:hint="eastAsia"/>
          <w:color w:val="auto"/>
        </w:rPr>
        <w:t>⑶. 该清单中不再重复或概括工程及材料的一般说明，在编制和填写工程量清单的每一项的综合单价和合价时应参考投标须知和合同条件的有关条款。</w:t>
      </w:r>
    </w:p>
    <w:p w14:paraId="3D323724">
      <w:pPr>
        <w:pStyle w:val="7"/>
        <w:spacing w:line="360" w:lineRule="auto"/>
        <w:rPr>
          <w:color w:val="auto"/>
        </w:rPr>
      </w:pPr>
      <w:r>
        <w:rPr>
          <w:rFonts w:hint="eastAsia"/>
          <w:color w:val="auto"/>
        </w:rPr>
        <w:t>⑷.该清单的各项目说明中含有“暂定材料设备单价”的，应明确说明此单价是否包括运输费、采保费等费用。投标时供应商不得修改。结算时，应按本征集文件的合同条件中约定的方法调整。</w:t>
      </w:r>
    </w:p>
    <w:p w14:paraId="435F5346">
      <w:pPr>
        <w:pStyle w:val="7"/>
        <w:spacing w:line="360" w:lineRule="auto"/>
        <w:rPr>
          <w:color w:val="auto"/>
        </w:rPr>
      </w:pPr>
      <w:r>
        <w:rPr>
          <w:rFonts w:hint="eastAsia"/>
          <w:color w:val="auto"/>
        </w:rPr>
        <w:t>⑸.针对该清单，供应商报价时应提供 “分部分项工程量清单综合单价分析表”。</w:t>
      </w:r>
    </w:p>
    <w:p w14:paraId="6796EE69">
      <w:pPr>
        <w:pStyle w:val="7"/>
        <w:spacing w:line="360" w:lineRule="auto"/>
        <w:rPr>
          <w:color w:val="auto"/>
        </w:rPr>
      </w:pPr>
      <w:r>
        <w:rPr>
          <w:rFonts w:hint="eastAsia"/>
          <w:color w:val="auto"/>
        </w:rPr>
        <w:t>8、对“措施项目清单”的说明和报价要求：</w:t>
      </w:r>
    </w:p>
    <w:p w14:paraId="6ED36FB5">
      <w:pPr>
        <w:pStyle w:val="7"/>
        <w:spacing w:line="360" w:lineRule="auto"/>
        <w:rPr>
          <w:color w:val="auto"/>
        </w:rPr>
      </w:pPr>
      <w:r>
        <w:rPr>
          <w:rFonts w:hint="eastAsia"/>
          <w:color w:val="auto"/>
        </w:rPr>
        <w:t>⑴.该清单所列项目均以“一项”提出，是招标人根据一般情况估计的项目，供应商实际措施项目不同的，可以对具体列项内容进行调整。</w:t>
      </w:r>
    </w:p>
    <w:p w14:paraId="3CAADC58">
      <w:pPr>
        <w:pStyle w:val="7"/>
        <w:spacing w:line="360" w:lineRule="auto"/>
      </w:pPr>
      <w:r>
        <w:rPr>
          <w:rFonts w:hint="eastAsia"/>
          <w:color w:val="auto"/>
        </w:rPr>
        <w:t>⑵. 该清单中以“项”为单位的措施项目，供应商填报的价格应包括除规费、税金外的全部费用。</w:t>
      </w:r>
    </w:p>
    <w:p w14:paraId="436483AA">
      <w:pPr>
        <w:adjustRightInd w:val="0"/>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措施项目中可以计算工程量的项目，供应商应根据招标人在“措施项目清单（一）”提供的工程量填报综合单价和合价。该清单所列的工程量系招标人的估算，是临时的，是投标人报价的共同基础。不被理解为是对招标人要求工作内容的全部定义，也不能作为供应商应完成的实际工程量。所填入的综合单价和合价应包括人工费、材料费、施工机械使用费和企业管理费与利润，以及一定范围内的风险费用。</w:t>
      </w:r>
    </w:p>
    <w:p w14:paraId="5A8428AA">
      <w:pPr>
        <w:adjustRightInd w:val="0"/>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⑶.针对该清单，要求供应商报价时提供“措施项目清单与计价表（二）”。</w:t>
      </w:r>
    </w:p>
    <w:p w14:paraId="03DB8809">
      <w:pPr>
        <w:adjustRightInd w:val="0"/>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⑷.该清单中列入了“安全文明施工措施费”，该费用包括临时设施费、安全施工费、文明施工费、环境保护费。编制招标控制价时，招标人将按《〈建设工程工程清单计价规范〉补充规范（深圳2013）》中安全文明施工措施费详细清单所列基本项目和现行《深圳市建设工程计价费率标准》中的费率确定“安全文明施工措施费”费用，计入招标控制价，并在公布招标控制价时明确该项费用的具体金额，作为非竞争性费用。不编制招标控制价时，招标人按现行《深圳市建设工程计价费率标准》中的费率确定“安全文明施工措施费”费用。</w:t>
      </w:r>
    </w:p>
    <w:p w14:paraId="647209E3">
      <w:pPr>
        <w:adjustRightInd w:val="0"/>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应当按照本征集文件的规定，在《〈建设工程工程清单计价规范〉补充规范（深圳2013）》中“安全文明施工措施费详细清单”所列基本项目基础上，结合工程实际及施工组织设计或施工方案，补充所需的特定安全文明施工措施项目，编制“安全文明施工措施费详细清单”，列出项目编码、项目名称、项目特征、计量单位和工程量，填报综合单价，并将该表合价合计金额计入投标总价。</w:t>
      </w:r>
    </w:p>
    <w:p w14:paraId="2286CD60">
      <w:pPr>
        <w:adjustRightInd w:val="0"/>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⑸.计划施工总工期相比按《深圳市建设工程施工工期标准》计算所得标准工期压缩超过30%时，该清单中列入“夜间施工费和赶工措施费”，该费用为工期压缩导致施工投入增加的补偿。编制招标控制价时，招标人将按现行的《深圳市建设工程计价费率标准》中的费率确定“夜间施工费和赶工措施费”费用，计入招标控制价。</w:t>
      </w:r>
    </w:p>
    <w:p w14:paraId="061525B7">
      <w:pPr>
        <w:adjustRightInd w:val="0"/>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供应商应当按照本征集文件的规定，结合自身实际及施工组织设计或施工方案，确定投标工期，自主填报夜间施工费和赶工措施费，并计入投标总价。</w:t>
      </w:r>
    </w:p>
    <w:p w14:paraId="095E3DF2">
      <w:pPr>
        <w:adjustRightInd w:val="0"/>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9、对“其他项目清单”的说明和报价要求：</w:t>
      </w:r>
    </w:p>
    <w:p w14:paraId="4970B6CD">
      <w:pPr>
        <w:adjustRightInd w:val="0"/>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材料设备暂估价指招标人提供的用于支付必然发生但暂时不能确定价格的材料、设备的清单。投标时，供应商应将材料设备的暂估单价计入分部分项工程量清单综合单价报价中。结算时，按发、承包双方最终确认的价格调整价差，价差部分不计利润。</w:t>
      </w:r>
    </w:p>
    <w:p w14:paraId="189736EF">
      <w:pPr>
        <w:adjustRightInd w:val="0"/>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(2)计日工指招标人提出的施工图纸以外的零星项目或工作。投标时，供应商应根据招标人提出的计日工表的要求自主确定综合单价，计算汇总后计入其他项目清单汇总表。</w:t>
      </w:r>
    </w:p>
    <w:p w14:paraId="17C19446">
      <w:pPr>
        <w:adjustRightInd w:val="0"/>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总承包服务费包括分包管理费、总分包配合费、发包人供应材料设备保管费。投标时，供应商根据招标人提出的分包专业工程内容和供应材料、设备情况，按照招标人提出的协调、配合与服务内容和施工现场管理需要，自主确定总承包服务费各项目费率。其中分包管理费和总分包配合费以分包工程合同造价为计算基数；发包人供应材料设备保管费应根据“发包人供应材料设备明细表”中合计金额为计算基数。</w:t>
      </w:r>
    </w:p>
    <w:p w14:paraId="787643CB">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 xml:space="preserve">    10、工程量清单作为本征集文件的组成部分，其准确性和完整性由招标人负责。如发现招标人提供的工程量清单的项目及工程量与图纸实际不符时，除征集文件另有要求外，供应商应在</w:t>
      </w:r>
      <w:r>
        <w:rPr>
          <w:rFonts w:hint="eastAsia" w:asciiTheme="minorEastAsia" w:hAnsiTheme="minorEastAsia" w:eastAsiaTheme="minorEastAsia" w:cstheme="minorEastAsia"/>
          <w:szCs w:val="21"/>
        </w:rPr>
        <w:t>答疑期间</w:t>
      </w:r>
      <w:r>
        <w:rPr>
          <w:rFonts w:hint="eastAsia" w:asciiTheme="minorEastAsia" w:hAnsiTheme="minorEastAsia" w:eastAsiaTheme="minorEastAsia" w:cstheme="minorEastAsia"/>
          <w:kern w:val="0"/>
          <w:szCs w:val="21"/>
        </w:rPr>
        <w:t>提出，</w:t>
      </w:r>
      <w:r>
        <w:rPr>
          <w:rFonts w:hint="eastAsia" w:asciiTheme="minorEastAsia" w:hAnsiTheme="minorEastAsia" w:eastAsiaTheme="minorEastAsia" w:cstheme="minorEastAsia"/>
          <w:szCs w:val="21"/>
        </w:rPr>
        <w:t>招标人应进行复核并在网上发出修正。如没有做出修正，供应商仍应按原提供的项目及工程量报价，并将项差与量差体现在报价中，并在备注中注明，但不得对工程量清单进行修改。</w:t>
      </w:r>
    </w:p>
    <w:p w14:paraId="0F3FCCBF">
      <w:pPr>
        <w:spacing w:line="360" w:lineRule="auto"/>
        <w:rPr>
          <w:rFonts w:asciiTheme="minorEastAsia" w:hAnsiTheme="minorEastAsia" w:eastAsiaTheme="minorEastAsia" w:cstheme="minorEastAsia"/>
          <w:szCs w:val="21"/>
        </w:rPr>
      </w:pPr>
    </w:p>
    <w:p w14:paraId="791DD74C">
      <w:pPr>
        <w:pStyle w:val="5"/>
        <w:spacing w:before="156" w:after="156" w:line="360" w:lineRule="auto"/>
        <w:rPr>
          <w:rFonts w:asciiTheme="minorEastAsia" w:hAnsiTheme="minorEastAsia" w:eastAsiaTheme="minorEastAsia" w:cstheme="minorEastAsia"/>
          <w:b/>
          <w:sz w:val="21"/>
          <w:szCs w:val="21"/>
        </w:rPr>
      </w:pPr>
      <w:bookmarkStart w:id="40" w:name="_Toc103846523"/>
      <w:bookmarkStart w:id="41" w:name="_Toc29142"/>
      <w:bookmarkStart w:id="42" w:name="_Toc13707"/>
      <w:bookmarkStart w:id="43" w:name="_Toc7835"/>
      <w:r>
        <w:rPr>
          <w:rFonts w:hint="eastAsia" w:asciiTheme="minorEastAsia" w:hAnsiTheme="minorEastAsia" w:eastAsiaTheme="minorEastAsia" w:cstheme="minorEastAsia"/>
          <w:b/>
          <w:sz w:val="21"/>
          <w:szCs w:val="21"/>
        </w:rPr>
        <w:t>七、项目商务要求</w:t>
      </w:r>
      <w:bookmarkEnd w:id="40"/>
      <w:bookmarkEnd w:id="41"/>
      <w:bookmarkEnd w:id="42"/>
      <w:bookmarkEnd w:id="43"/>
    </w:p>
    <w:p w14:paraId="09234E65">
      <w:pPr>
        <w:pStyle w:val="5"/>
        <w:spacing w:before="156" w:after="156" w:line="360" w:lineRule="auto"/>
        <w:rPr>
          <w:rFonts w:hint="eastAsia" w:asciiTheme="minorEastAsia" w:hAnsiTheme="minorEastAsia" w:eastAsiaTheme="minorEastAsia" w:cstheme="minorEastAsia"/>
          <w:sz w:val="21"/>
          <w:szCs w:val="21"/>
        </w:rPr>
      </w:pPr>
      <w:bookmarkStart w:id="44" w:name="_Toc103846524"/>
      <w:bookmarkStart w:id="45" w:name="_Toc27807"/>
      <w:bookmarkStart w:id="46" w:name="_Toc28551"/>
      <w:bookmarkStart w:id="47" w:name="_Toc11403"/>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一</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项目工期要求：合同签订后15个日历天；</w:t>
      </w:r>
    </w:p>
    <w:p w14:paraId="6DDE1B04">
      <w:pPr>
        <w:pStyle w:val="5"/>
        <w:spacing w:before="156" w:after="156"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二</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项目实施地点：深圳市福田区景田路72号天平大厦负二楼</w:t>
      </w:r>
    </w:p>
    <w:p w14:paraId="792ECC0A">
      <w:pPr>
        <w:pStyle w:val="5"/>
        <w:spacing w:before="156" w:after="156" w:line="360" w:lineRule="auto"/>
        <w:rPr>
          <w:rFonts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三</w:t>
      </w:r>
      <w:r>
        <w:rPr>
          <w:rFonts w:hint="eastAsia" w:asciiTheme="minorEastAsia" w:hAnsiTheme="minorEastAsia" w:eastAsiaTheme="minorEastAsia" w:cstheme="minorEastAsia"/>
          <w:sz w:val="21"/>
          <w:szCs w:val="21"/>
        </w:rPr>
        <w:t>）付款方式</w:t>
      </w:r>
      <w:bookmarkEnd w:id="44"/>
      <w:bookmarkEnd w:id="45"/>
      <w:bookmarkEnd w:id="46"/>
      <w:bookmarkEnd w:id="47"/>
      <w:r>
        <w:rPr>
          <w:rFonts w:hint="eastAsia" w:asciiTheme="minorEastAsia" w:hAnsiTheme="minorEastAsia" w:eastAsiaTheme="minorEastAsia" w:cstheme="minorEastAsia"/>
          <w:color w:val="FF0000"/>
          <w:sz w:val="21"/>
          <w:szCs w:val="21"/>
        </w:rPr>
        <w:t>按工程进度款付款</w:t>
      </w:r>
    </w:p>
    <w:p w14:paraId="29CD9937">
      <w:pPr>
        <w:spacing w:after="24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1、付款原则：工程进度款根据市财政拨款情况、监督、监理情况分期付给。由于供应商原因造成工程款不能支付，责任由供应商承担。</w:t>
      </w:r>
    </w:p>
    <w:p w14:paraId="661D110C">
      <w:pPr>
        <w:adjustRightInd w:val="0"/>
        <w:snapToGrid w:val="0"/>
        <w:spacing w:after="240" w:line="360" w:lineRule="auto"/>
        <w:ind w:firstLine="420" w:firstLineChars="200"/>
        <w:jc w:val="left"/>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2、预付款的支付：本工程开工预付款为合同价的</w:t>
      </w:r>
      <w:r>
        <w:rPr>
          <w:rFonts w:hint="eastAsia" w:asciiTheme="minorEastAsia" w:hAnsiTheme="minorEastAsia" w:eastAsiaTheme="minorEastAsia" w:cstheme="minorEastAsia"/>
          <w:szCs w:val="21"/>
          <w:lang w:val="en-US" w:eastAsia="zh-CN"/>
        </w:rPr>
        <w:t>0</w:t>
      </w:r>
      <w:r>
        <w:rPr>
          <w:rFonts w:hint="eastAsia" w:asciiTheme="minorEastAsia" w:hAnsiTheme="minorEastAsia" w:eastAsiaTheme="minorEastAsia" w:cstheme="minorEastAsia"/>
          <w:szCs w:val="21"/>
        </w:rPr>
        <w:t xml:space="preserve"> % ，在本合同协议书签订生效且中标人提交开工预付款担保后，并经监理工程师签发的开工预付款证书报招标人后14天内，办理支付手续并提交给相关付款部门。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本项目不设预付款）</w:t>
      </w:r>
    </w:p>
    <w:p w14:paraId="728114CE">
      <w:pPr>
        <w:adjustRightInd w:val="0"/>
        <w:snapToGrid w:val="0"/>
        <w:spacing w:after="240" w:line="360" w:lineRule="auto"/>
        <w:ind w:firstLine="420" w:firstLineChars="200"/>
        <w:jc w:val="left"/>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3、工程进度款的支付：</w:t>
      </w:r>
      <w:r>
        <w:rPr>
          <w:rFonts w:hint="eastAsia" w:asciiTheme="minorEastAsia" w:hAnsiTheme="minorEastAsia" w:eastAsiaTheme="minorEastAsia" w:cstheme="minorEastAsia"/>
          <w:szCs w:val="21"/>
          <w:lang w:val="en-US" w:eastAsia="zh-CN"/>
        </w:rPr>
        <w:t>项目完工、验收合格后，中标施工方先向建设单位支付项目最终审定价（最终审定价不高于中标价或中标包干价）的3%作为项目质量保证金，开具项目最终审定价总价或中标包干价100%的发票给建设单位，建设单位一次性支付100%的项目款。项目质量保证金自验收合格之日起，至2年质保期结束后，项目无质量问题后，建设单位无息退回质量保证金。</w:t>
      </w:r>
    </w:p>
    <w:p w14:paraId="4C08AB86">
      <w:pPr>
        <w:pStyle w:val="5"/>
        <w:spacing w:before="156" w:after="156" w:line="360" w:lineRule="auto"/>
        <w:rPr>
          <w:rFonts w:asciiTheme="minorEastAsia" w:hAnsiTheme="minorEastAsia" w:eastAsiaTheme="minorEastAsia" w:cstheme="minorEastAsia"/>
          <w:sz w:val="21"/>
          <w:szCs w:val="21"/>
        </w:rPr>
      </w:pPr>
      <w:bookmarkStart w:id="48" w:name="_Toc103846525"/>
      <w:bookmarkStart w:id="49" w:name="_Toc20600"/>
      <w:bookmarkStart w:id="50" w:name="_Toc27974"/>
      <w:bookmarkStart w:id="51" w:name="_Toc9799"/>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四</w:t>
      </w:r>
      <w:r>
        <w:rPr>
          <w:rFonts w:hint="eastAsia" w:asciiTheme="minorEastAsia" w:hAnsiTheme="minorEastAsia" w:eastAsiaTheme="minorEastAsia" w:cstheme="minorEastAsia"/>
          <w:sz w:val="21"/>
          <w:szCs w:val="21"/>
        </w:rPr>
        <w:t>）项目保修要求</w:t>
      </w:r>
      <w:bookmarkEnd w:id="48"/>
      <w:bookmarkEnd w:id="49"/>
      <w:bookmarkEnd w:id="50"/>
      <w:bookmarkEnd w:id="51"/>
    </w:p>
    <w:p w14:paraId="1AF143F2">
      <w:pPr>
        <w:spacing w:line="360" w:lineRule="auto"/>
        <w:ind w:firstLine="525" w:firstLineChars="25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根据《住房城乡建设部  财政部关于印发建设工程质量保证金管理办法的通知(建质[2017]138号)》意见，装修保修期为二年，防水保修期为五年，保修质保金为合同金额的3%。</w:t>
      </w:r>
    </w:p>
    <w:p w14:paraId="2ADD860A">
      <w:pPr>
        <w:pStyle w:val="7"/>
        <w:spacing w:line="360" w:lineRule="auto"/>
        <w:rPr>
          <w:color w:val="auto"/>
        </w:rPr>
      </w:pPr>
      <w:r>
        <w:rPr>
          <w:rFonts w:hint="eastAsia"/>
          <w:color w:val="auto"/>
        </w:rPr>
        <w:t xml:space="preserve"> 验收标准：符合国家相关规定。</w:t>
      </w:r>
    </w:p>
    <w:p w14:paraId="5D2C14B8">
      <w:pPr>
        <w:pStyle w:val="7"/>
        <w:spacing w:line="360" w:lineRule="auto"/>
        <w:rPr>
          <w:color w:val="auto"/>
        </w:rPr>
      </w:pPr>
    </w:p>
    <w:p w14:paraId="64EE6A60">
      <w:pPr>
        <w:pStyle w:val="5"/>
        <w:spacing w:before="156" w:after="156" w:line="360" w:lineRule="auto"/>
        <w:rPr>
          <w:rFonts w:asciiTheme="minorEastAsia" w:hAnsiTheme="minorEastAsia" w:eastAsiaTheme="minorEastAsia" w:cstheme="minorEastAsia"/>
          <w:color w:val="auto"/>
          <w:sz w:val="21"/>
          <w:szCs w:val="21"/>
        </w:rPr>
      </w:pPr>
      <w:bookmarkStart w:id="52" w:name="_Toc14245"/>
      <w:bookmarkStart w:id="53" w:name="_Toc103846526"/>
      <w:bookmarkStart w:id="54" w:name="_Toc25061"/>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五</w:t>
      </w:r>
      <w:r>
        <w:rPr>
          <w:rFonts w:hint="eastAsia" w:asciiTheme="minorEastAsia" w:hAnsiTheme="minorEastAsia" w:eastAsiaTheme="minorEastAsia" w:cstheme="minorEastAsia"/>
          <w:color w:val="auto"/>
          <w:sz w:val="21"/>
          <w:szCs w:val="21"/>
        </w:rPr>
        <w:t>）质量考核验收标准及违约金</w:t>
      </w:r>
      <w:bookmarkEnd w:id="52"/>
      <w:bookmarkEnd w:id="53"/>
      <w:bookmarkEnd w:id="54"/>
    </w:p>
    <w:p w14:paraId="2B38A004">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Theme="minorEastAsia" w:hAnsiTheme="minorEastAsia" w:eastAsiaTheme="minorEastAsia" w:cstheme="minorEastAsia"/>
          <w:color w:val="auto"/>
          <w:szCs w:val="21"/>
          <w:u w:val="none"/>
          <w:lang w:eastAsia="zh-CN"/>
        </w:rPr>
      </w:pPr>
      <w:r>
        <w:rPr>
          <w:rFonts w:hint="eastAsia" w:asciiTheme="minorEastAsia" w:hAnsiTheme="minorEastAsia" w:eastAsiaTheme="minorEastAsia" w:cstheme="minorEastAsia"/>
          <w:color w:val="auto"/>
          <w:szCs w:val="21"/>
          <w:u w:val="none"/>
        </w:rPr>
        <w:t>1、质量考核验收标准：按相关招标文件及大厦管理方的使用要求并符合相关设施设备的运行标准</w:t>
      </w:r>
      <w:r>
        <w:rPr>
          <w:rFonts w:hint="eastAsia" w:asciiTheme="minorEastAsia" w:hAnsiTheme="minorEastAsia" w:eastAsiaTheme="minorEastAsia" w:cstheme="minorEastAsia"/>
          <w:color w:val="auto"/>
          <w:szCs w:val="21"/>
          <w:u w:val="none"/>
          <w:lang w:eastAsia="zh-CN"/>
        </w:rPr>
        <w:t>。</w:t>
      </w:r>
    </w:p>
    <w:p w14:paraId="6B082EC1">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2、违约金：</w:t>
      </w:r>
    </w:p>
    <w:p w14:paraId="1C4BD470">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auto"/>
          <w:szCs w:val="21"/>
        </w:rPr>
        <w:t>1.如</w:t>
      </w:r>
      <w:r>
        <w:rPr>
          <w:rFonts w:hint="eastAsia" w:asciiTheme="minorEastAsia" w:hAnsiTheme="minorEastAsia" w:eastAsiaTheme="minorEastAsia" w:cstheme="minorEastAsia"/>
          <w:color w:val="auto"/>
          <w:szCs w:val="21"/>
          <w:lang w:val="en-US" w:eastAsia="zh-CN"/>
        </w:rPr>
        <w:t>采购人</w:t>
      </w:r>
      <w:r>
        <w:rPr>
          <w:rFonts w:hint="eastAsia" w:asciiTheme="minorEastAsia" w:hAnsiTheme="minorEastAsia" w:eastAsiaTheme="minorEastAsia" w:cstheme="minorEastAsia"/>
          <w:color w:val="auto"/>
          <w:szCs w:val="21"/>
        </w:rPr>
        <w:t>逾期支付工程款，</w:t>
      </w:r>
      <w:r>
        <w:rPr>
          <w:rFonts w:hint="eastAsia" w:asciiTheme="minorEastAsia" w:hAnsiTheme="minorEastAsia" w:eastAsiaTheme="minorEastAsia" w:cstheme="minorEastAsia"/>
          <w:color w:val="auto"/>
          <w:szCs w:val="21"/>
          <w:lang w:val="en-US" w:eastAsia="zh-CN"/>
        </w:rPr>
        <w:t>成交人</w:t>
      </w:r>
      <w:r>
        <w:rPr>
          <w:rFonts w:hint="eastAsia" w:asciiTheme="minorEastAsia" w:hAnsiTheme="minorEastAsia" w:eastAsiaTheme="minorEastAsia" w:cstheme="minorEastAsia"/>
          <w:color w:val="auto"/>
          <w:szCs w:val="21"/>
        </w:rPr>
        <w:t>书面催告</w:t>
      </w:r>
      <w:r>
        <w:rPr>
          <w:rFonts w:hint="eastAsia" w:asciiTheme="minorEastAsia" w:hAnsiTheme="minorEastAsia" w:eastAsiaTheme="minorEastAsia" w:cstheme="minorEastAsia"/>
          <w:color w:val="auto"/>
          <w:szCs w:val="21"/>
          <w:lang w:val="en-US" w:eastAsia="zh-CN"/>
        </w:rPr>
        <w:t>采购人</w:t>
      </w:r>
      <w:r>
        <w:rPr>
          <w:rFonts w:hint="eastAsia" w:asciiTheme="minorEastAsia" w:hAnsiTheme="minorEastAsia" w:eastAsiaTheme="minorEastAsia" w:cstheme="minorEastAsia"/>
          <w:color w:val="auto"/>
          <w:szCs w:val="21"/>
        </w:rPr>
        <w:t>并给予不少于5个工作日的履行期限后</w:t>
      </w:r>
      <w:r>
        <w:rPr>
          <w:rFonts w:hint="eastAsia" w:asciiTheme="minorEastAsia" w:hAnsiTheme="minorEastAsia" w:eastAsiaTheme="minorEastAsia" w:cstheme="minorEastAsia"/>
          <w:color w:val="auto"/>
          <w:szCs w:val="21"/>
          <w:lang w:val="en-US" w:eastAsia="zh-CN"/>
        </w:rPr>
        <w:t>采购人</w:t>
      </w:r>
      <w:r>
        <w:rPr>
          <w:rFonts w:hint="eastAsia" w:asciiTheme="minorEastAsia" w:hAnsiTheme="minorEastAsia" w:eastAsiaTheme="minorEastAsia" w:cstheme="minorEastAsia"/>
          <w:color w:val="auto"/>
          <w:szCs w:val="21"/>
        </w:rPr>
        <w:t>仍未支付的，每延迟一日，按应支付而未支付金额的万分之五的标准，由</w:t>
      </w:r>
      <w:r>
        <w:rPr>
          <w:rFonts w:hint="eastAsia" w:asciiTheme="minorEastAsia" w:hAnsiTheme="minorEastAsia" w:eastAsiaTheme="minorEastAsia" w:cstheme="minorEastAsia"/>
          <w:color w:val="auto"/>
          <w:szCs w:val="21"/>
          <w:lang w:val="en-US" w:eastAsia="zh-CN"/>
        </w:rPr>
        <w:t>采购人</w:t>
      </w:r>
      <w:r>
        <w:rPr>
          <w:rFonts w:hint="eastAsia" w:asciiTheme="minorEastAsia" w:hAnsiTheme="minorEastAsia" w:eastAsiaTheme="minorEastAsia" w:cstheme="minorEastAsia"/>
          <w:color w:val="auto"/>
          <w:szCs w:val="21"/>
        </w:rPr>
        <w:t>向</w:t>
      </w:r>
      <w:r>
        <w:rPr>
          <w:rFonts w:hint="eastAsia" w:asciiTheme="minorEastAsia" w:hAnsiTheme="minorEastAsia" w:eastAsiaTheme="minorEastAsia" w:cstheme="minorEastAsia"/>
          <w:color w:val="auto"/>
          <w:szCs w:val="21"/>
          <w:lang w:val="en-US" w:eastAsia="zh-CN"/>
        </w:rPr>
        <w:t>成交人</w:t>
      </w:r>
      <w:r>
        <w:rPr>
          <w:rFonts w:hint="eastAsia" w:asciiTheme="minorEastAsia" w:hAnsiTheme="minorEastAsia" w:eastAsiaTheme="minorEastAsia" w:cstheme="minorEastAsia"/>
          <w:color w:val="auto"/>
          <w:szCs w:val="21"/>
        </w:rPr>
        <w:t>支付违约金，但延期付款是由于成交人在先义务迟</w:t>
      </w:r>
      <w:r>
        <w:rPr>
          <w:rFonts w:hint="eastAsia" w:asciiTheme="minorEastAsia" w:hAnsiTheme="minorEastAsia" w:eastAsiaTheme="minorEastAsia" w:cstheme="minorEastAsia"/>
          <w:szCs w:val="21"/>
        </w:rPr>
        <w:t>延履行导致的除外，违约金累计不超过合同总金额的20%。如因政府有关部门超期审批等原因造成采购人付款迟延的，不视为采购人违约，采购人不承担前述违约责任。</w:t>
      </w:r>
    </w:p>
    <w:p w14:paraId="0CC33246">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因成交人原因造成延误工期的，每延期1日，成交人应向采购人支付合同金额的万分之五的违约金。因成交人原因致使工程质量不符合约定的，采购人有权要求成交人在合理期限内无偿修理或者返工。经过修理或者返工后，造成逾期交付的，成交人应当承担逾期交付的违约责任。</w:t>
      </w:r>
    </w:p>
    <w:p w14:paraId="1CD84B19">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3.因成交人施工原因造成现在能正常工作的设备无法继续工作或不能使用的，由成交人免费负责此项恢复工作直到能正常使用为止。</w:t>
      </w:r>
    </w:p>
    <w:p w14:paraId="24377F88">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合同履行中出现以下情形的，成交人构成根本违约，采购人有权单方解除本合同且不再向成交人支付剩余工程款，且成交人应向采购人支付合同总金额的20%作为违约金，如该违约金不足以弥补采购人损失的，成交人还应赔偿采购人损失：</w:t>
      </w:r>
    </w:p>
    <w:p w14:paraId="334408A7">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（1）成交人延误工期超过30 个工作日；</w:t>
      </w:r>
    </w:p>
    <w:p w14:paraId="03E8048C">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（2）成交人明确表示或者以自己的行为表明不能履行本合同约定的义务；</w:t>
      </w:r>
    </w:p>
    <w:p w14:paraId="7D6A4867">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（3）未经采购人书面同意，成交人将本合同权利或义务全部或部分转让给第三人；</w:t>
      </w:r>
    </w:p>
    <w:p w14:paraId="5C02570D">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（4）成交人累计出现3次及以上违约行为；</w:t>
      </w:r>
    </w:p>
    <w:p w14:paraId="2F48C64C">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（5）成交人做出违反法律、法规、规章、政策或公序良俗的行为，导致甲方公信力/声誉/名誉受损或产生负面社会舆情;</w:t>
      </w:r>
    </w:p>
    <w:p w14:paraId="7A00E64C">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（6）未经采购人书面同意，成交人利用项目工作之便，对外征集广告赞助，或以采购人名义开展自身宣传、营销推广。</w:t>
      </w:r>
    </w:p>
    <w:p w14:paraId="3C2D8853">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5.采购人成交人双方均应认真、全面履行本合同项下的各项义务，任何一方不履行或未按约定履行均构成违约，违约方应赔偿因此给守约方造成的全部损失。</w:t>
      </w:r>
    </w:p>
    <w:p w14:paraId="59AB31AC">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6.对于成交人应支付的违约金及赔偿金，采购人有权从未付款项中予以扣除，不足部分有权向成交人追偿</w:t>
      </w:r>
    </w:p>
    <w:p w14:paraId="5D46F861">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asciiTheme="minorEastAsia" w:hAnsiTheme="minorEastAsia" w:eastAsiaTheme="minorEastAsia" w:cstheme="minorEastAsia"/>
          <w:szCs w:val="21"/>
        </w:rPr>
      </w:pPr>
    </w:p>
    <w:p w14:paraId="4E67ECB8">
      <w:pPr>
        <w:pStyle w:val="5"/>
        <w:keepNext w:val="0"/>
        <w:keepLines w:val="0"/>
        <w:pageBreakBefore w:val="0"/>
        <w:widowControl w:val="0"/>
        <w:kinsoku/>
        <w:wordWrap/>
        <w:overflowPunct/>
        <w:topLinePunct w:val="0"/>
        <w:autoSpaceDE/>
        <w:autoSpaceDN/>
        <w:bidi w:val="0"/>
        <w:snapToGrid/>
        <w:spacing w:before="156" w:after="156" w:line="360" w:lineRule="auto"/>
        <w:ind w:firstLine="420" w:firstLineChars="200"/>
        <w:textAlignment w:val="auto"/>
        <w:rPr>
          <w:rFonts w:asciiTheme="minorEastAsia" w:hAnsiTheme="minorEastAsia" w:eastAsiaTheme="minorEastAsia" w:cstheme="minorEastAsia"/>
          <w:sz w:val="21"/>
          <w:szCs w:val="21"/>
        </w:rPr>
      </w:pPr>
      <w:bookmarkStart w:id="55" w:name="_Toc15433"/>
      <w:bookmarkStart w:id="56" w:name="_Toc103846527"/>
      <w:bookmarkStart w:id="57" w:name="_Toc38"/>
      <w:bookmarkStart w:id="58" w:name="_Toc18598"/>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六</w:t>
      </w:r>
      <w:r>
        <w:rPr>
          <w:rFonts w:hint="eastAsia" w:asciiTheme="minorEastAsia" w:hAnsiTheme="minorEastAsia" w:eastAsiaTheme="minorEastAsia" w:cstheme="minorEastAsia"/>
          <w:sz w:val="21"/>
          <w:szCs w:val="21"/>
        </w:rPr>
        <w:t>）投标报价要求</w:t>
      </w:r>
      <w:bookmarkEnd w:id="55"/>
      <w:bookmarkEnd w:id="56"/>
      <w:bookmarkEnd w:id="57"/>
      <w:bookmarkEnd w:id="58"/>
    </w:p>
    <w:p w14:paraId="2327E3C9">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1、本工程的工程量清单的投标单价</w:t>
      </w:r>
      <w:bookmarkStart w:id="59" w:name="工程量清单计价方式"/>
      <w:r>
        <w:rPr>
          <w:rFonts w:hint="eastAsia" w:asciiTheme="minorEastAsia" w:hAnsiTheme="minorEastAsia" w:eastAsiaTheme="minorEastAsia" w:cstheme="minorEastAsia"/>
          <w:szCs w:val="21"/>
        </w:rPr>
        <w:t>按综合单价方式</w:t>
      </w:r>
      <w:bookmarkEnd w:id="59"/>
      <w:r>
        <w:rPr>
          <w:rFonts w:hint="eastAsia" w:asciiTheme="minorEastAsia" w:hAnsiTheme="minorEastAsia" w:eastAsiaTheme="minorEastAsia" w:cstheme="minorEastAsia"/>
          <w:szCs w:val="21"/>
        </w:rPr>
        <w:t>进行报价；</w:t>
      </w:r>
    </w:p>
    <w:p w14:paraId="70E629BC">
      <w:pPr>
        <w:pStyle w:val="7"/>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color w:val="auto"/>
        </w:rPr>
      </w:pPr>
      <w:r>
        <w:rPr>
          <w:rFonts w:hint="eastAsia"/>
          <w:color w:val="auto"/>
        </w:rPr>
        <w:t>2、供应商应根据本企业的成本自行决定报价，但不得以低于其企业成本的报价投标；评标时，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7F0E39F1">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3、供应商的投标报价，应是本项目招标范围和征集文件及合同条款上所列的各项内容中所述的全部，不得以任何理由予以重复，并以供应商在工程量清单中提出的综合单价或总价为依据；</w:t>
      </w:r>
    </w:p>
    <w:p w14:paraId="207FD17E">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除非政府集中采购机构通过修改征集文件予以更正，否则，供应商应毫无例外地按工程量清单中列出的工程项目和数量填报综合单价和合价。供应商未填综合单价或合价的项目，在实施后，将不得以支付，并视作该项费用已包括在其它有价款的综合单价或合价内；</w:t>
      </w:r>
    </w:p>
    <w:p w14:paraId="774F9278">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5、供应商应先到工地踏勘以充分了解工地的位置、情况、道路、储存空间、装卸限制及任何其它足以影响投标报价的情况，任何因忽视或误解工地情况而导致的索赔或工期延长申请将不获批准；</w:t>
      </w:r>
    </w:p>
    <w:p w14:paraId="7EB3F4F2">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供应商不得期望通过索赔、签证等方式获取补偿，否则，除可能遭到拒绝外，还可能将被作为不良行为记录在案，并可能影响其以后参加政府采购的项目投标。各供应商在投标报价时，应充分考虑投标报价的风险。</w:t>
      </w:r>
    </w:p>
    <w:p w14:paraId="53CEBA5C">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7、供应商投标报价总额一经中标后，即作为成交单位与采购单位签订该项目合同的总价。合同方式见第一章相关条款。</w:t>
      </w:r>
    </w:p>
    <w:p w14:paraId="5E463C30">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如本项目采用固定总价合同。供应商所投报的投标报价为图纸内容与工程量清单的总包干价格，对没有填写综合单价与合价的项目费用，应视为已包括在工程量清单的其他综合单价与合价之中。如有工程量清单未包含图纸内容的漏项，视同已包含在其他项目中，总价与单价不予调整。</w:t>
      </w:r>
    </w:p>
    <w:p w14:paraId="35C0CD59">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如本项目采用固定单价合同。工程量清单所列的工程量系采购单位的估算，是临时的，作为投标报价的共同基础，不应被理解为是对采购单位要求工作内容的全部定义，也不能作为供应商应完成的实际工程量。承包人必须按图纸及有关标准、规范的要求进行施工，实际完成的工程量与分部分项工程量清单中的差异结算时可作调整。凡超出图纸范围又未经变更审批程序的内容，都不予计量；未施工的项目，经监理工程师核实后予以扣减。</w:t>
      </w:r>
    </w:p>
    <w:p w14:paraId="0A0D74BA">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（3）供应商的投标报价必须充分考虑到在施工中实施的施工组织设计对工程造价的影响,并在投标报价中反映出来。</w:t>
      </w:r>
    </w:p>
    <w:p w14:paraId="24579D0B">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8、本项目不接受总价优惠折扣形式的报价，供应商应将对项目的优惠直接在清单报价中体现出来。</w:t>
      </w:r>
    </w:p>
    <w:p w14:paraId="0A09CF40">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9、采购单位委托承包人办理的保险事项：</w:t>
      </w:r>
      <w:bookmarkStart w:id="60" w:name="发包人委托承包人办理的保险事项"/>
      <w:r>
        <w:rPr>
          <w:rFonts w:hint="eastAsia" w:asciiTheme="minorEastAsia" w:hAnsiTheme="minorEastAsia" w:eastAsiaTheme="minorEastAsia" w:cstheme="minorEastAsia"/>
          <w:szCs w:val="21"/>
        </w:rPr>
        <w:t>建设工程一切险和第三者责任险，所需的保险费应包含在投标价中</w:t>
      </w:r>
      <w:bookmarkEnd w:id="60"/>
      <w:r>
        <w:rPr>
          <w:rFonts w:hint="eastAsia" w:asciiTheme="minorEastAsia" w:hAnsiTheme="minorEastAsia" w:eastAsiaTheme="minorEastAsia" w:cstheme="minorEastAsia"/>
          <w:szCs w:val="21"/>
        </w:rPr>
        <w:t>，施工中若发生安全事故，一切责任及费用由施工单位负责。</w:t>
      </w:r>
    </w:p>
    <w:p w14:paraId="26139889">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10、工程完工后，承包人应恢复修建前的原有状态（工程量按实计算），并使监理工程师和采购单位满意，满足政府管理部门的规定和要求。</w:t>
      </w:r>
    </w:p>
    <w:p w14:paraId="0F9D6784">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如本工程涉及取土和弃土项目，地点、时间、路线承包人应取得国土、城管部门的同意，不得由此带给招标人任何费用的增加。凡是因承包人措施不当而引起的罚款、索赔和指控等由承包人自行承担。投标价不因取土或弃土实际运距与分部分项工程量清单不同而作调整。土方回填料必须满足国家技术规范之要求，绿化填土面层必须选用适宜种植的填土。</w:t>
      </w:r>
    </w:p>
    <w:p w14:paraId="02158D80">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12、一切与施工相关的检验实验费（政府有关部门规定由建设单位支付的检验实验费除外）已含在投标价中。</w:t>
      </w:r>
    </w:p>
    <w:p w14:paraId="2F3D4CFF">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13、承包人的交通维护方案必须保证施工期间的交通组织符合深圳市公安交通管理的有关规定，保证小区车辆运行通畅和施工安全，其费用已含在投标价中。</w:t>
      </w:r>
    </w:p>
    <w:p w14:paraId="33F63071">
      <w:pPr>
        <w:spacing w:line="360" w:lineRule="auto"/>
        <w:rPr>
          <w:rFonts w:hint="eastAsia" w:asciiTheme="minorEastAsia" w:hAnsiTheme="minorEastAsia" w:eastAsiaTheme="minorEastAsia" w:cstheme="minorEastAsia"/>
          <w:b/>
          <w:kern w:val="0"/>
          <w:sz w:val="36"/>
          <w:szCs w:val="36"/>
        </w:rPr>
      </w:pPr>
      <w:bookmarkStart w:id="61" w:name="_Toc3632"/>
      <w:r>
        <w:rPr>
          <w:rFonts w:hint="eastAsia" w:asciiTheme="minorEastAsia" w:hAnsiTheme="minorEastAsia" w:eastAsiaTheme="minorEastAsia" w:cstheme="minorEastAsia"/>
          <w:b/>
          <w:kern w:val="0"/>
          <w:sz w:val="36"/>
          <w:szCs w:val="36"/>
        </w:rPr>
        <w:br w:type="page"/>
      </w:r>
    </w:p>
    <w:p w14:paraId="1D623A80">
      <w:pPr>
        <w:spacing w:line="360" w:lineRule="auto"/>
        <w:jc w:val="center"/>
        <w:outlineLvl w:val="0"/>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第四章 采购代理服务费</w:t>
      </w:r>
      <w:bookmarkEnd w:id="61"/>
    </w:p>
    <w:p w14:paraId="393E4F20">
      <w:pPr>
        <w:spacing w:line="360" w:lineRule="auto"/>
        <w:rPr>
          <w:rFonts w:asciiTheme="minorEastAsia" w:hAnsiTheme="minorEastAsia" w:eastAsiaTheme="minorEastAsia" w:cstheme="minorEastAsia"/>
          <w:sz w:val="24"/>
        </w:rPr>
      </w:pPr>
    </w:p>
    <w:p w14:paraId="319FF602">
      <w:pPr>
        <w:snapToGrid w:val="0"/>
        <w:spacing w:line="360" w:lineRule="auto"/>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1.采购代理费以成交通知书公布的成交金额（或支付上限）为基数，按 1 %计算代理服务费，低于人民币200元的，按200元计取。具体计取费率标准如下表所示：</w:t>
      </w:r>
    </w:p>
    <w:p w14:paraId="0F736C9B">
      <w:pPr>
        <w:snapToGrid w:val="0"/>
        <w:ind w:firstLine="411" w:firstLineChars="196"/>
        <w:jc w:val="center"/>
        <w:rPr>
          <w:rFonts w:asciiTheme="minorEastAsia" w:hAnsiTheme="minorEastAsia" w:eastAsiaTheme="minorEastAsia" w:cstheme="minorEastAsia"/>
        </w:rPr>
      </w:pPr>
    </w:p>
    <w:p w14:paraId="2726336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例如：某服务采购代理业务中标（成交）金额为20万元，计算采购代理服务收费额如下：</w:t>
      </w:r>
    </w:p>
    <w:p w14:paraId="4E533249">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20万元×1%=0.2万元</w:t>
      </w:r>
    </w:p>
    <w:p w14:paraId="296E5D59">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2.中标（成交）人须在中标（成交）公告公示期结束后，领取《中标（成交）通知书》前，向代理机构缴纳中标（成交）服务费。</w:t>
      </w:r>
    </w:p>
    <w:p w14:paraId="6201C76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3.采购代理服务费以转账、现金形式交付。</w:t>
      </w:r>
    </w:p>
    <w:p w14:paraId="39E64EE7">
      <w:pPr>
        <w:rPr>
          <w:rFonts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br w:type="page"/>
      </w:r>
    </w:p>
    <w:p w14:paraId="704B6981">
      <w:pPr>
        <w:spacing w:line="360" w:lineRule="auto"/>
        <w:jc w:val="center"/>
        <w:outlineLvl w:val="0"/>
        <w:rPr>
          <w:rFonts w:ascii="宋体" w:hAnsi="宋体" w:cs="宋体"/>
          <w:b/>
          <w:kern w:val="0"/>
          <w:sz w:val="36"/>
          <w:szCs w:val="36"/>
        </w:rPr>
      </w:pPr>
      <w:bookmarkStart w:id="62" w:name="_Toc8857"/>
      <w:bookmarkStart w:id="63" w:name="_Toc17593"/>
      <w:r>
        <w:rPr>
          <w:rFonts w:hint="eastAsia" w:ascii="宋体" w:hAnsi="宋体" w:cs="宋体"/>
          <w:b/>
          <w:kern w:val="0"/>
          <w:sz w:val="36"/>
          <w:szCs w:val="36"/>
        </w:rPr>
        <w:t>第五章 合同模板</w:t>
      </w:r>
      <w:bookmarkEnd w:id="62"/>
      <w:bookmarkEnd w:id="63"/>
    </w:p>
    <w:p w14:paraId="44AF5ABD">
      <w:pPr>
        <w:widowControl/>
        <w:spacing w:line="400" w:lineRule="exact"/>
        <w:rPr>
          <w:rFonts w:hint="eastAsia" w:ascii="宋体" w:hAnsi="宋体" w:cs="宋体"/>
          <w:szCs w:val="21"/>
        </w:rPr>
      </w:pPr>
      <w:bookmarkStart w:id="64" w:name="_Toc14477"/>
      <w:r>
        <w:rPr>
          <w:rFonts w:hint="eastAsia" w:ascii="宋体" w:hAnsi="宋体" w:cs="宋体"/>
          <w:szCs w:val="21"/>
        </w:rPr>
        <w:t>（本合同条款仅供参考，具体合同内容由采购方与成交方根据实际情况协商确定）</w:t>
      </w:r>
      <w:bookmarkEnd w:id="64"/>
    </w:p>
    <w:p w14:paraId="6F059BB0">
      <w:pPr>
        <w:widowControl/>
        <w:spacing w:line="400" w:lineRule="exact"/>
        <w:jc w:val="righ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Cs w:val="21"/>
        </w:rPr>
        <w:t>【合同编号： 】</w:t>
      </w:r>
    </w:p>
    <w:p w14:paraId="124DB1D8">
      <w:pPr>
        <w:widowControl/>
        <w:spacing w:line="400" w:lineRule="exact"/>
        <w:rPr>
          <w:rFonts w:ascii="仿宋_GB2312" w:hAnsi="仿宋_GB2312" w:eastAsia="仿宋_GB2312" w:cs="仿宋_GB2312"/>
          <w:b/>
          <w:bCs/>
          <w:kern w:val="0"/>
          <w:sz w:val="32"/>
          <w:szCs w:val="32"/>
        </w:rPr>
      </w:pPr>
    </w:p>
    <w:p w14:paraId="6A13FC98">
      <w:pPr>
        <w:widowControl/>
        <w:spacing w:line="400" w:lineRule="exact"/>
        <w:jc w:val="center"/>
        <w:rPr>
          <w:rFonts w:ascii="仿宋_GB2312" w:hAnsi="仿宋_GB2312" w:eastAsia="仿宋_GB2312" w:cs="仿宋_GB2312"/>
          <w:b/>
          <w:bCs/>
          <w:kern w:val="0"/>
          <w:sz w:val="36"/>
          <w:szCs w:val="36"/>
        </w:rPr>
      </w:pPr>
      <w:r>
        <w:rPr>
          <w:rFonts w:hint="eastAsia" w:ascii="仿宋_GB2312" w:hAnsi="仿宋_GB2312" w:eastAsia="仿宋_GB2312" w:cs="仿宋_GB2312"/>
          <w:b/>
          <w:bCs/>
          <w:kern w:val="0"/>
          <w:sz w:val="36"/>
          <w:szCs w:val="36"/>
        </w:rPr>
        <w:t>【】工程项目施工合同</w:t>
      </w:r>
    </w:p>
    <w:p w14:paraId="5005B596">
      <w:pPr>
        <w:adjustRightInd w:val="0"/>
        <w:snapToGrid w:val="0"/>
        <w:spacing w:line="400" w:lineRule="exact"/>
        <w:rPr>
          <w:rFonts w:ascii="仿宋_GB2312" w:hAnsi="仿宋_GB2312" w:eastAsia="仿宋_GB2312" w:cs="仿宋_GB2312"/>
          <w:bCs/>
          <w:color w:val="000000"/>
          <w:sz w:val="32"/>
          <w:szCs w:val="32"/>
        </w:rPr>
      </w:pPr>
    </w:p>
    <w:p w14:paraId="1F0CC117">
      <w:pPr>
        <w:adjustRightInd w:val="0"/>
        <w:outlineLvl w:val="9"/>
        <w:rPr>
          <w:rFonts w:ascii="仿宋_GB2312" w:hAnsi="仿宋_GB2312" w:eastAsia="仿宋_GB2312" w:cs="仿宋_GB2312"/>
          <w:color w:val="FF0000"/>
          <w:sz w:val="21"/>
          <w:szCs w:val="21"/>
        </w:rPr>
      </w:pPr>
    </w:p>
    <w:p w14:paraId="2EE1C228">
      <w:pPr>
        <w:adjustRightInd w:val="0"/>
        <w:snapToGrid w:val="0"/>
        <w:spacing w:line="400" w:lineRule="exact"/>
        <w:rPr>
          <w:rFonts w:ascii="仿宋_GB2312" w:hAnsi="仿宋_GB2312" w:eastAsia="仿宋_GB2312" w:cs="仿宋_GB2312"/>
          <w:bCs/>
          <w:color w:val="000000"/>
          <w:sz w:val="32"/>
          <w:szCs w:val="32"/>
        </w:rPr>
      </w:pPr>
    </w:p>
    <w:p w14:paraId="55341C35">
      <w:pPr>
        <w:adjustRightInd w:val="0"/>
        <w:snapToGrid w:val="0"/>
        <w:spacing w:line="400" w:lineRule="exac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甲方： </w:t>
      </w:r>
    </w:p>
    <w:p w14:paraId="29E4ED60">
      <w:pPr>
        <w:adjustRightInd w:val="0"/>
        <w:snapToGrid w:val="0"/>
        <w:spacing w:line="400" w:lineRule="exac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法定代表人：</w:t>
      </w:r>
    </w:p>
    <w:p w14:paraId="168C7BB2">
      <w:pPr>
        <w:adjustRightInd w:val="0"/>
        <w:snapToGrid w:val="0"/>
        <w:spacing w:line="400" w:lineRule="exac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住所地：</w:t>
      </w:r>
    </w:p>
    <w:p w14:paraId="48CE3EE8">
      <w:pPr>
        <w:adjustRightInd w:val="0"/>
        <w:snapToGrid w:val="0"/>
        <w:spacing w:line="400" w:lineRule="exac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项目联系人：</w:t>
      </w:r>
    </w:p>
    <w:p w14:paraId="56252355">
      <w:pPr>
        <w:adjustRightInd w:val="0"/>
        <w:snapToGrid w:val="0"/>
        <w:spacing w:line="400" w:lineRule="exac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联系电话：</w:t>
      </w:r>
    </w:p>
    <w:p w14:paraId="64DE0E3E">
      <w:pPr>
        <w:adjustRightInd w:val="0"/>
        <w:snapToGrid w:val="0"/>
        <w:spacing w:line="400" w:lineRule="exact"/>
        <w:rPr>
          <w:rFonts w:ascii="仿宋_GB2312" w:hAnsi="仿宋_GB2312" w:eastAsia="仿宋_GB2312" w:cs="仿宋_GB2312"/>
          <w:bCs/>
          <w:color w:val="000000"/>
          <w:sz w:val="32"/>
          <w:szCs w:val="32"/>
        </w:rPr>
      </w:pPr>
    </w:p>
    <w:p w14:paraId="25013CCF">
      <w:pPr>
        <w:adjustRightInd w:val="0"/>
        <w:snapToGrid w:val="0"/>
        <w:spacing w:line="400" w:lineRule="exac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乙方：</w:t>
      </w:r>
    </w:p>
    <w:p w14:paraId="1620B7EC">
      <w:pPr>
        <w:adjustRightInd w:val="0"/>
        <w:snapToGrid w:val="0"/>
        <w:spacing w:line="400" w:lineRule="exac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负责人/法定代表人：</w:t>
      </w:r>
    </w:p>
    <w:p w14:paraId="3F80DA26">
      <w:pPr>
        <w:adjustRightInd w:val="0"/>
        <w:snapToGrid w:val="0"/>
        <w:spacing w:line="400" w:lineRule="exac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住所地：</w:t>
      </w:r>
    </w:p>
    <w:p w14:paraId="7F18176F">
      <w:pPr>
        <w:adjustRightInd w:val="0"/>
        <w:snapToGrid w:val="0"/>
        <w:spacing w:line="400" w:lineRule="exac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项目联系人：</w:t>
      </w:r>
    </w:p>
    <w:p w14:paraId="770A738C">
      <w:pPr>
        <w:adjustRightInd w:val="0"/>
        <w:snapToGrid w:val="0"/>
        <w:spacing w:line="400" w:lineRule="exac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联系电话：</w:t>
      </w:r>
    </w:p>
    <w:p w14:paraId="23A989D7">
      <w:pPr>
        <w:widowControl/>
        <w:spacing w:line="400" w:lineRule="exact"/>
        <w:jc w:val="center"/>
        <w:rPr>
          <w:rFonts w:ascii="仿宋_GB2312" w:hAnsi="仿宋_GB2312" w:eastAsia="仿宋_GB2312" w:cs="仿宋_GB2312"/>
          <w:b/>
          <w:bCs/>
          <w:kern w:val="0"/>
          <w:sz w:val="32"/>
          <w:szCs w:val="32"/>
        </w:rPr>
      </w:pPr>
    </w:p>
    <w:p w14:paraId="4235F5F4">
      <w:pPr>
        <w:pStyle w:val="16"/>
        <w:spacing w:line="40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依照《中华人民共和国民法典》《中华人民共和国建筑法》及其它有关法律、行政法规的规定，甲、乙双方在平等、自愿、公平、诚实信用的基础上，就乙方承包甲方的【】工程项目施工（以下简称“工程”或“项目”）有关事宜，</w:t>
      </w:r>
      <w:r>
        <w:rPr>
          <w:rFonts w:hint="eastAsia" w:ascii="仿宋_GB2312" w:hAnsi="仿宋_GB2312" w:eastAsia="仿宋_GB2312" w:cs="仿宋_GB2312"/>
          <w:sz w:val="32"/>
          <w:szCs w:val="32"/>
        </w:rPr>
        <w:t>订立本合同。</w:t>
      </w:r>
    </w:p>
    <w:p w14:paraId="6DF18EF7">
      <w:pPr>
        <w:widowControl/>
        <w:snapToGrid w:val="0"/>
        <w:spacing w:line="400" w:lineRule="exact"/>
        <w:ind w:firstLine="630" w:firstLineChars="196"/>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第一条  工程概况</w:t>
      </w:r>
    </w:p>
    <w:p w14:paraId="07BC9D3B">
      <w:pPr>
        <w:widowControl/>
        <w:snapToGrid w:val="0"/>
        <w:spacing w:line="40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1.工程名称：【】</w:t>
      </w:r>
    </w:p>
    <w:p w14:paraId="4E7731E0">
      <w:pPr>
        <w:widowControl/>
        <w:snapToGrid w:val="0"/>
        <w:spacing w:line="400" w:lineRule="exact"/>
        <w:ind w:firstLine="640"/>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2.工程施工地点：【</w:t>
      </w:r>
      <w:r>
        <w:rPr>
          <w:rFonts w:hint="eastAsia" w:ascii="仿宋_GB2312" w:hAnsi="仿宋_GB2312" w:eastAsia="仿宋_GB2312" w:cs="仿宋_GB2312"/>
          <w:color w:val="000000"/>
          <w:sz w:val="32"/>
          <w:szCs w:val="32"/>
          <w:u w:val="single"/>
        </w:rPr>
        <w:t>       </w:t>
      </w:r>
      <w:r>
        <w:rPr>
          <w:rFonts w:hint="eastAsia" w:ascii="仿宋_GB2312" w:hAnsi="仿宋_GB2312" w:eastAsia="仿宋_GB2312" w:cs="仿宋_GB2312"/>
          <w:color w:val="000000"/>
          <w:sz w:val="32"/>
          <w:szCs w:val="32"/>
        </w:rPr>
        <w:t>区</w:t>
      </w:r>
      <w:r>
        <w:rPr>
          <w:rFonts w:hint="eastAsia" w:ascii="仿宋_GB2312" w:hAnsi="仿宋_GB2312" w:eastAsia="仿宋_GB2312" w:cs="仿宋_GB2312"/>
          <w:color w:val="000000"/>
          <w:sz w:val="32"/>
          <w:szCs w:val="32"/>
          <w:u w:val="single"/>
        </w:rPr>
        <w:t>       </w:t>
      </w:r>
      <w:r>
        <w:rPr>
          <w:rFonts w:hint="eastAsia" w:ascii="仿宋_GB2312" w:hAnsi="仿宋_GB2312" w:eastAsia="仿宋_GB2312" w:cs="仿宋_GB2312"/>
          <w:color w:val="000000"/>
          <w:sz w:val="32"/>
          <w:szCs w:val="32"/>
        </w:rPr>
        <w:t>路</w:t>
      </w:r>
      <w:r>
        <w:rPr>
          <w:rFonts w:hint="eastAsia" w:ascii="仿宋_GB2312" w:hAnsi="仿宋_GB2312" w:eastAsia="仿宋_GB2312" w:cs="仿宋_GB2312"/>
          <w:color w:val="000000"/>
          <w:sz w:val="32"/>
          <w:szCs w:val="32"/>
          <w:u w:val="single"/>
        </w:rPr>
        <w:t>        </w:t>
      </w:r>
      <w:r>
        <w:rPr>
          <w:rFonts w:hint="eastAsia" w:ascii="仿宋_GB2312" w:hAnsi="仿宋_GB2312" w:eastAsia="仿宋_GB2312" w:cs="仿宋_GB2312"/>
          <w:color w:val="000000"/>
          <w:sz w:val="32"/>
          <w:szCs w:val="32"/>
        </w:rPr>
        <w:t>号</w:t>
      </w:r>
      <w:r>
        <w:rPr>
          <w:rFonts w:hint="eastAsia" w:ascii="仿宋_GB2312" w:hAnsi="仿宋_GB2312" w:eastAsia="仿宋_GB2312" w:cs="仿宋_GB2312"/>
          <w:color w:val="000000"/>
          <w:sz w:val="32"/>
          <w:szCs w:val="32"/>
          <w:u w:val="single"/>
        </w:rPr>
        <w:t>       </w:t>
      </w:r>
      <w:r>
        <w:rPr>
          <w:rFonts w:hint="eastAsia" w:ascii="仿宋_GB2312" w:hAnsi="仿宋_GB2312" w:eastAsia="仿宋_GB2312" w:cs="仿宋_GB2312"/>
          <w:color w:val="000000"/>
          <w:sz w:val="32"/>
          <w:szCs w:val="32"/>
        </w:rPr>
        <w:t>楼</w:t>
      </w:r>
      <w:r>
        <w:rPr>
          <w:rFonts w:hint="eastAsia" w:ascii="仿宋_GB2312" w:hAnsi="仿宋_GB2312" w:eastAsia="仿宋_GB2312" w:cs="仿宋_GB2312"/>
          <w:color w:val="000000"/>
          <w:sz w:val="32"/>
          <w:szCs w:val="32"/>
          <w:u w:val="single"/>
        </w:rPr>
        <w:t>       </w:t>
      </w:r>
      <w:r>
        <w:rPr>
          <w:rFonts w:hint="eastAsia" w:ascii="仿宋_GB2312" w:hAnsi="仿宋_GB2312" w:eastAsia="仿宋_GB2312" w:cs="仿宋_GB2312"/>
          <w:color w:val="000000"/>
          <w:sz w:val="32"/>
          <w:szCs w:val="32"/>
        </w:rPr>
        <w:t>室</w:t>
      </w:r>
      <w:r>
        <w:rPr>
          <w:rFonts w:hint="eastAsia" w:ascii="仿宋_GB2312" w:hAnsi="仿宋_GB2312" w:eastAsia="仿宋_GB2312" w:cs="仿宋_GB2312"/>
          <w:kern w:val="0"/>
          <w:sz w:val="32"/>
          <w:szCs w:val="32"/>
        </w:rPr>
        <w:t>】</w:t>
      </w:r>
    </w:p>
    <w:p w14:paraId="567C65C8">
      <w:pPr>
        <w:widowControl/>
        <w:snapToGrid w:val="0"/>
        <w:spacing w:line="400" w:lineRule="exact"/>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3.工程建筑面积：【约</w:t>
      </w:r>
      <w:r>
        <w:rPr>
          <w:rFonts w:hint="eastAsia" w:ascii="仿宋_GB2312" w:hAnsi="仿宋_GB2312" w:eastAsia="仿宋_GB2312" w:cs="仿宋_GB2312"/>
          <w:color w:val="000000"/>
          <w:sz w:val="32"/>
          <w:szCs w:val="32"/>
          <w:u w:val="single"/>
        </w:rPr>
        <w:t>        </w:t>
      </w:r>
      <w:r>
        <w:rPr>
          <w:rFonts w:hint="eastAsia" w:ascii="仿宋_GB2312" w:hAnsi="仿宋_GB2312" w:eastAsia="仿宋_GB2312" w:cs="仿宋_GB2312"/>
          <w:kern w:val="0"/>
          <w:sz w:val="32"/>
          <w:szCs w:val="32"/>
        </w:rPr>
        <w:t>㎡】</w:t>
      </w:r>
    </w:p>
    <w:p w14:paraId="0B2B4242">
      <w:pPr>
        <w:widowControl/>
        <w:snapToGrid w:val="0"/>
        <w:spacing w:line="4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4.双方商定采取下列【第种】工程承包方式:（1）乙方包工、包全部材料；（2）乙方包工、部分包料，甲方提供部分材料；（3）乙方包工、甲方包全部材料。</w:t>
      </w:r>
    </w:p>
    <w:p w14:paraId="38BBEB40">
      <w:pPr>
        <w:widowControl/>
        <w:snapToGrid w:val="0"/>
        <w:spacing w:line="4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5.工程范围：</w:t>
      </w:r>
    </w:p>
    <w:p w14:paraId="602EAC85">
      <w:pPr>
        <w:widowControl/>
        <w:snapToGrid w:val="0"/>
        <w:spacing w:line="400" w:lineRule="exact"/>
        <w:ind w:firstLine="640" w:firstLineChars="200"/>
        <w:jc w:val="both"/>
        <w:rPr>
          <w:rFonts w:ascii="仿宋_GB2312" w:hAnsi="仿宋_GB2312" w:eastAsia="仿宋_GB2312" w:cs="仿宋_GB2312"/>
          <w:color w:val="FF0000"/>
          <w:kern w:val="0"/>
          <w:sz w:val="32"/>
          <w:szCs w:val="32"/>
        </w:rPr>
      </w:pPr>
      <w:r>
        <w:rPr>
          <w:rFonts w:ascii="仿宋_GB2312" w:hAnsi="仿宋_GB2312" w:eastAsia="仿宋_GB2312" w:cs="仿宋_GB2312"/>
          <w:color w:val="FF0000"/>
          <w:kern w:val="0"/>
          <w:sz w:val="32"/>
          <w:szCs w:val="32"/>
        </w:rPr>
        <w:t>天平大厦负二楼雨水池安装污水提</w:t>
      </w:r>
      <w:r>
        <w:rPr>
          <w:rFonts w:hint="eastAsia" w:ascii="仿宋_GB2312" w:hAnsi="仿宋_GB2312" w:eastAsia="仿宋_GB2312" w:cs="仿宋_GB2312"/>
          <w:color w:val="FF0000"/>
          <w:kern w:val="0"/>
          <w:sz w:val="32"/>
          <w:szCs w:val="32"/>
        </w:rPr>
        <w:t>升泵及排污管单向阀更换</w:t>
      </w:r>
      <w:r>
        <w:rPr>
          <w:rFonts w:ascii="仿宋_GB2312" w:hAnsi="仿宋_GB2312" w:eastAsia="仿宋_GB2312" w:cs="仿宋_GB2312"/>
          <w:color w:val="FF0000"/>
          <w:kern w:val="0"/>
          <w:sz w:val="32"/>
          <w:szCs w:val="32"/>
        </w:rPr>
        <w:t>,专用电路控制柜的定制更换及强电井内的电路整理及更新(</w:t>
      </w:r>
      <w:r>
        <w:rPr>
          <w:rFonts w:hint="eastAsia" w:ascii="仿宋_GB2312" w:hAnsi="仿宋_GB2312" w:eastAsia="仿宋_GB2312" w:cs="仿宋_GB2312"/>
          <w:color w:val="FF0000"/>
          <w:kern w:val="0"/>
          <w:sz w:val="32"/>
          <w:szCs w:val="32"/>
        </w:rPr>
        <w:t>包含并不限于其它在施工中可能会造成相关设施设备不作业并需要恢复相关设施设备能正常工作的内容</w:t>
      </w:r>
      <w:r>
        <w:rPr>
          <w:rFonts w:ascii="仿宋_GB2312" w:hAnsi="仿宋_GB2312" w:eastAsia="仿宋_GB2312" w:cs="仿宋_GB2312"/>
          <w:color w:val="FF0000"/>
          <w:kern w:val="0"/>
          <w:sz w:val="32"/>
          <w:szCs w:val="32"/>
        </w:rPr>
        <w:t>)</w:t>
      </w:r>
    </w:p>
    <w:p w14:paraId="3C8BE06A">
      <w:pPr>
        <w:widowControl/>
        <w:snapToGrid w:val="0"/>
        <w:spacing w:line="4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6.工程内容及做法：</w:t>
      </w:r>
    </w:p>
    <w:p w14:paraId="71765B06">
      <w:pPr>
        <w:pStyle w:val="7"/>
        <w:rPr>
          <w:rFonts w:ascii="仿宋_GB2312" w:hAnsi="仿宋_GB2312" w:eastAsia="仿宋_GB2312" w:cs="仿宋_GB2312"/>
          <w:kern w:val="0"/>
          <w:sz w:val="32"/>
          <w:szCs w:val="32"/>
        </w:rPr>
      </w:pPr>
    </w:p>
    <w:p w14:paraId="74304273">
      <w:pPr>
        <w:pStyle w:val="7"/>
        <w:rPr>
          <w:rFonts w:ascii="仿宋_GB2312" w:hAnsi="仿宋_GB2312" w:eastAsia="仿宋_GB2312" w:cs="仿宋_GB2312"/>
          <w:b w:val="0"/>
          <w:bCs w:val="0"/>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val="0"/>
          <w:bCs w:val="0"/>
          <w:color w:val="FF0000"/>
          <w:kern w:val="0"/>
          <w:sz w:val="32"/>
          <w:szCs w:val="32"/>
        </w:rPr>
        <w:t>一、电路部分</w:t>
      </w:r>
    </w:p>
    <w:p w14:paraId="015EAC22">
      <w:pPr>
        <w:pStyle w:val="7"/>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ascii="仿宋_GB2312" w:hAnsi="仿宋_GB2312" w:eastAsia="仿宋_GB2312" w:cs="仿宋_GB2312"/>
          <w:color w:val="FF0000"/>
          <w:kern w:val="0"/>
          <w:sz w:val="32"/>
          <w:szCs w:val="32"/>
        </w:rPr>
        <w:t>(1)</w:t>
      </w:r>
      <w:r>
        <w:rPr>
          <w:rFonts w:hint="eastAsia" w:ascii="仿宋_GB2312" w:hAnsi="仿宋_GB2312" w:eastAsia="仿宋_GB2312" w:cs="仿宋_GB2312"/>
          <w:color w:val="FF0000"/>
          <w:kern w:val="0"/>
          <w:sz w:val="32"/>
          <w:szCs w:val="32"/>
        </w:rPr>
        <w:t>国标金龙鱼</w:t>
      </w:r>
      <w:r>
        <w:rPr>
          <w:rFonts w:hint="eastAsia" w:ascii="仿宋_GB2312" w:hAnsi="仿宋_GB2312" w:eastAsia="仿宋_GB2312" w:cs="仿宋_GB2312"/>
          <w:kern w:val="0"/>
          <w:sz w:val="32"/>
          <w:szCs w:val="32"/>
        </w:rPr>
        <w:t>/成天泰/金环宇</w:t>
      </w:r>
      <w:r>
        <w:rPr>
          <w:rFonts w:hint="eastAsia" w:ascii="仿宋_GB2312" w:hAnsi="仿宋_GB2312" w:eastAsia="仿宋_GB2312" w:cs="仿宋_GB2312"/>
          <w:color w:val="FF0000"/>
          <w:kern w:val="0"/>
          <w:sz w:val="32"/>
          <w:szCs w:val="32"/>
        </w:rPr>
        <w:t>多芯电线，配套线管等；</w:t>
      </w:r>
    </w:p>
    <w:p w14:paraId="6EE626B7">
      <w:pPr>
        <w:pStyle w:val="7"/>
        <w:rPr>
          <w:rFonts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color w:val="FF0000"/>
          <w:kern w:val="0"/>
          <w:sz w:val="32"/>
          <w:szCs w:val="32"/>
        </w:rPr>
        <w:t>(2)现有电井内电路的整理及布设；</w:t>
      </w:r>
    </w:p>
    <w:p w14:paraId="7DA5495B">
      <w:pPr>
        <w:pStyle w:val="7"/>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color w:val="FF0000"/>
          <w:kern w:val="0"/>
          <w:sz w:val="32"/>
          <w:szCs w:val="32"/>
        </w:rPr>
        <w:t>(3）专用电路的布设；</w:t>
      </w:r>
    </w:p>
    <w:p w14:paraId="6E9D0C39">
      <w:pPr>
        <w:pStyle w:val="7"/>
        <w:rPr>
          <w:rFonts w:ascii="仿宋_GB2312" w:hAnsi="仿宋_GB2312" w:eastAsia="仿宋_GB2312" w:cs="仿宋_GB2312"/>
          <w:b w:val="0"/>
          <w:bCs w:val="0"/>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val="0"/>
          <w:bCs w:val="0"/>
          <w:color w:val="FF0000"/>
          <w:kern w:val="0"/>
          <w:sz w:val="32"/>
          <w:szCs w:val="32"/>
        </w:rPr>
        <w:t>二、控制箱部分</w:t>
      </w:r>
    </w:p>
    <w:p w14:paraId="44CB6309">
      <w:pPr>
        <w:pStyle w:val="7"/>
        <w:rPr>
          <w:rFonts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color w:val="FF0000"/>
          <w:kern w:val="0"/>
          <w:sz w:val="32"/>
          <w:szCs w:val="32"/>
        </w:rPr>
        <w:t>(1)自动智能控制</w:t>
      </w:r>
    </w:p>
    <w:p w14:paraId="26EB3D02">
      <w:pPr>
        <w:pStyle w:val="7"/>
        <w:rPr>
          <w:rFonts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color w:val="FF0000"/>
          <w:kern w:val="0"/>
          <w:sz w:val="32"/>
          <w:szCs w:val="32"/>
        </w:rPr>
        <w:t>(2)液位控制功能、双泵自由切换、自动叠加水泵功</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color w:val="FF0000"/>
          <w:kern w:val="0"/>
          <w:sz w:val="32"/>
          <w:szCs w:val="32"/>
        </w:rPr>
        <w:t>能；</w:t>
      </w:r>
    </w:p>
    <w:p w14:paraId="75D004C9">
      <w:pPr>
        <w:pStyle w:val="7"/>
        <w:rPr>
          <w:rFonts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color w:val="FF0000"/>
          <w:kern w:val="0"/>
          <w:sz w:val="32"/>
          <w:szCs w:val="32"/>
        </w:rPr>
        <w:t>(3)具有漏电、过载保护功能；手动/自动切换功能</w:t>
      </w:r>
    </w:p>
    <w:p w14:paraId="1F8DD320">
      <w:pPr>
        <w:pStyle w:val="7"/>
        <w:rPr>
          <w:rFonts w:ascii="仿宋_GB2312" w:hAnsi="仿宋_GB2312" w:eastAsia="仿宋_GB2312" w:cs="仿宋_GB2312"/>
          <w:b w:val="0"/>
          <w:bCs w:val="0"/>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val="0"/>
          <w:bCs w:val="0"/>
          <w:color w:val="FF0000"/>
          <w:kern w:val="0"/>
          <w:sz w:val="32"/>
          <w:szCs w:val="32"/>
        </w:rPr>
        <w:t>三、地面部分</w:t>
      </w:r>
    </w:p>
    <w:p w14:paraId="61018A24">
      <w:pPr>
        <w:pStyle w:val="7"/>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ascii="仿宋_GB2312" w:hAnsi="仿宋_GB2312" w:eastAsia="仿宋_GB2312" w:cs="仿宋_GB2312"/>
          <w:color w:val="FF0000"/>
          <w:kern w:val="0"/>
          <w:sz w:val="32"/>
          <w:szCs w:val="32"/>
        </w:rPr>
        <w:t>(1)</w:t>
      </w:r>
      <w:r>
        <w:rPr>
          <w:rFonts w:hint="eastAsia" w:ascii="仿宋_GB2312" w:hAnsi="仿宋_GB2312" w:eastAsia="仿宋_GB2312" w:cs="仿宋_GB2312"/>
          <w:color w:val="FF0000"/>
          <w:kern w:val="0"/>
          <w:sz w:val="32"/>
          <w:szCs w:val="32"/>
        </w:rPr>
        <w:t>地面切割，布设线路，及水泥沙浆找平；</w:t>
      </w:r>
    </w:p>
    <w:p w14:paraId="4E6CB395">
      <w:pPr>
        <w:pStyle w:val="7"/>
        <w:rPr>
          <w:rFonts w:ascii="仿宋_GB2312" w:hAnsi="仿宋_GB2312" w:eastAsia="仿宋_GB2312" w:cs="仿宋_GB2312"/>
          <w:b w:val="0"/>
          <w:bCs w:val="0"/>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val="0"/>
          <w:bCs w:val="0"/>
          <w:color w:val="FF0000"/>
          <w:kern w:val="0"/>
          <w:sz w:val="32"/>
          <w:szCs w:val="32"/>
        </w:rPr>
        <w:t>四、排污管部分</w:t>
      </w:r>
    </w:p>
    <w:p w14:paraId="354F5A1A">
      <w:pPr>
        <w:pStyle w:val="7"/>
        <w:rPr>
          <w:rFonts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color w:val="FF0000"/>
          <w:kern w:val="0"/>
          <w:sz w:val="32"/>
          <w:szCs w:val="32"/>
        </w:rPr>
        <w:t>(1)原有损坏单向阀的拆除（包括不限于切割管道及焊接）；</w:t>
      </w:r>
    </w:p>
    <w:p w14:paraId="2A095AB9">
      <w:pPr>
        <w:pStyle w:val="7"/>
        <w:rPr>
          <w:rFonts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 xml:space="preserve">       </w:t>
      </w:r>
      <w:r>
        <w:rPr>
          <w:rFonts w:ascii="仿宋_GB2312" w:hAnsi="仿宋_GB2312" w:eastAsia="仿宋_GB2312" w:cs="仿宋_GB2312"/>
          <w:color w:val="FF0000"/>
          <w:kern w:val="0"/>
          <w:sz w:val="32"/>
          <w:szCs w:val="32"/>
        </w:rPr>
        <w:t>(</w:t>
      </w:r>
      <w:r>
        <w:rPr>
          <w:rFonts w:hint="eastAsia" w:ascii="仿宋_GB2312" w:hAnsi="仿宋_GB2312" w:eastAsia="仿宋_GB2312" w:cs="仿宋_GB2312"/>
          <w:kern w:val="0"/>
          <w:sz w:val="32"/>
          <w:szCs w:val="32"/>
        </w:rPr>
        <w:t>2</w:t>
      </w:r>
      <w:r>
        <w:rPr>
          <w:rFonts w:hint="eastAsia" w:ascii="仿宋_GB2312" w:hAnsi="仿宋_GB2312" w:eastAsia="仿宋_GB2312" w:cs="仿宋_GB2312"/>
          <w:color w:val="FF0000"/>
          <w:kern w:val="0"/>
          <w:sz w:val="32"/>
          <w:szCs w:val="32"/>
        </w:rPr>
        <w:t>)单向阀及法兰的安装（包括不限于订制非标）；</w:t>
      </w:r>
    </w:p>
    <w:p w14:paraId="55B4141F">
      <w:pPr>
        <w:pStyle w:val="7"/>
        <w:rPr>
          <w:rFonts w:ascii="仿宋_GB2312" w:hAnsi="仿宋_GB2312" w:eastAsia="仿宋_GB2312" w:cs="仿宋_GB2312"/>
          <w:b w:val="0"/>
          <w:bCs w:val="0"/>
          <w:kern w:val="0"/>
          <w:sz w:val="32"/>
          <w:szCs w:val="32"/>
        </w:rPr>
      </w:pPr>
      <w:bookmarkStart w:id="65" w:name="OLE_LINK22"/>
      <w:bookmarkStart w:id="66" w:name="OLE_LINK23"/>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val="0"/>
          <w:bCs w:val="0"/>
          <w:color w:val="FF0000"/>
          <w:kern w:val="0"/>
          <w:sz w:val="32"/>
          <w:szCs w:val="32"/>
        </w:rPr>
        <w:t>五、雨水井部分</w:t>
      </w:r>
    </w:p>
    <w:bookmarkEnd w:id="65"/>
    <w:bookmarkEnd w:id="66"/>
    <w:p w14:paraId="698F3D0C">
      <w:pPr>
        <w:pStyle w:val="7"/>
        <w:rPr>
          <w:rFonts w:ascii="仿宋_GB2312" w:hAnsi="仿宋_GB2312" w:eastAsia="仿宋_GB2312" w:cs="仿宋_GB2312"/>
          <w:color w:val="FF0000"/>
          <w:kern w:val="0"/>
          <w:sz w:val="32"/>
          <w:szCs w:val="32"/>
        </w:rPr>
      </w:pPr>
      <w:bookmarkStart w:id="67" w:name="OLE_LINK25"/>
      <w:bookmarkStart w:id="68" w:name="OLE_LINK24"/>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color w:val="FF0000"/>
          <w:kern w:val="0"/>
          <w:sz w:val="32"/>
          <w:szCs w:val="32"/>
        </w:rPr>
        <w:t>(1)有限空间内的接管</w:t>
      </w:r>
    </w:p>
    <w:bookmarkEnd w:id="67"/>
    <w:bookmarkEnd w:id="68"/>
    <w:p w14:paraId="4C9C0006">
      <w:pPr>
        <w:pStyle w:val="7"/>
        <w:rPr>
          <w:rFonts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color w:val="FF0000"/>
          <w:kern w:val="0"/>
          <w:sz w:val="32"/>
          <w:szCs w:val="32"/>
        </w:rPr>
        <w:t>(2)提升泵基础的制安；</w:t>
      </w:r>
    </w:p>
    <w:p w14:paraId="6667350F">
      <w:pPr>
        <w:pStyle w:val="7"/>
        <w:rPr>
          <w:rFonts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color w:val="FF0000"/>
          <w:kern w:val="0"/>
          <w:sz w:val="32"/>
          <w:szCs w:val="32"/>
        </w:rPr>
        <w:t>(3)污水提升泵的制安</w:t>
      </w:r>
    </w:p>
    <w:p w14:paraId="4112BDF2">
      <w:pPr>
        <w:pStyle w:val="7"/>
        <w:rPr>
          <w:rFonts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color w:val="FF0000"/>
          <w:kern w:val="0"/>
          <w:sz w:val="32"/>
          <w:szCs w:val="32"/>
        </w:rPr>
        <w:t>(4)不锈钢管的制安（同现有规格一致）</w:t>
      </w:r>
    </w:p>
    <w:p w14:paraId="46D642A2">
      <w:pPr>
        <w:pStyle w:val="7"/>
        <w:rPr>
          <w:rFonts w:ascii="仿宋_GB2312" w:hAnsi="仿宋_GB2312" w:eastAsia="仿宋_GB2312" w:cs="仿宋_GB2312"/>
          <w:b w:val="0"/>
          <w:bCs w:val="0"/>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val="0"/>
          <w:bCs w:val="0"/>
          <w:color w:val="FF0000"/>
          <w:kern w:val="0"/>
          <w:sz w:val="32"/>
          <w:szCs w:val="32"/>
        </w:rPr>
        <w:t>六、其它部分</w:t>
      </w:r>
    </w:p>
    <w:p w14:paraId="200C585D">
      <w:pPr>
        <w:pStyle w:val="7"/>
        <w:rPr>
          <w:rFonts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 xml:space="preserve">       </w:t>
      </w:r>
      <w:r>
        <w:rPr>
          <w:rFonts w:ascii="仿宋_GB2312" w:hAnsi="仿宋_GB2312" w:eastAsia="仿宋_GB2312" w:cs="仿宋_GB2312"/>
          <w:color w:val="FF0000"/>
          <w:kern w:val="0"/>
          <w:sz w:val="32"/>
          <w:szCs w:val="32"/>
        </w:rPr>
        <w:t>(1)</w:t>
      </w:r>
      <w:r>
        <w:rPr>
          <w:rFonts w:hint="eastAsia" w:ascii="仿宋_GB2312" w:hAnsi="仿宋_GB2312" w:eastAsia="仿宋_GB2312" w:cs="仿宋_GB2312"/>
          <w:color w:val="FF0000"/>
          <w:kern w:val="0"/>
          <w:sz w:val="32"/>
          <w:szCs w:val="32"/>
        </w:rPr>
        <w:t>其它相关的设备的恢复及调试等</w:t>
      </w:r>
    </w:p>
    <w:p w14:paraId="5D704E46">
      <w:pPr>
        <w:widowControl/>
        <w:snapToGrid w:val="0"/>
        <w:spacing w:line="4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14:paraId="445171AF">
      <w:pPr>
        <w:widowControl/>
        <w:snapToGrid w:val="0"/>
        <w:spacing w:line="40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第二条  工程期限</w:t>
      </w:r>
    </w:p>
    <w:p w14:paraId="23A2AAF5">
      <w:pPr>
        <w:widowControl/>
        <w:snapToGrid w:val="0"/>
        <w:spacing w:line="40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1.开工日期：年月日；竣工日期：年月日。</w:t>
      </w:r>
    </w:p>
    <w:p w14:paraId="3CA70524">
      <w:pPr>
        <w:widowControl/>
        <w:snapToGrid w:val="0"/>
        <w:spacing w:line="40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工程工期总日历天数为日。</w:t>
      </w:r>
    </w:p>
    <w:p w14:paraId="4E33290C">
      <w:pPr>
        <w:widowControl/>
        <w:snapToGrid w:val="0"/>
        <w:spacing w:line="4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2.因甲方原因不能在约定日期开工的，以具备开工条件的时间为开工日期，工期相应顺延。</w:t>
      </w:r>
    </w:p>
    <w:p w14:paraId="2520FD3F">
      <w:pPr>
        <w:widowControl/>
        <w:snapToGrid w:val="0"/>
        <w:spacing w:line="4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3.对以下原因造成竣工日期延误，经甲方确认，工期相应顺延：（1）工程量变化或设计变更；（2）不可抗力；（3）甲方未按时参加阶段验收而造成的停工；（4）</w:t>
      </w:r>
      <w:r>
        <w:rPr>
          <w:rFonts w:hint="eastAsia" w:ascii="仿宋_GB2312" w:hAnsi="仿宋_GB2312" w:eastAsia="仿宋_GB2312" w:cs="仿宋_GB2312"/>
          <w:sz w:val="32"/>
          <w:szCs w:val="32"/>
        </w:rPr>
        <w:t>因甲方未按约定完成其应负责的工作而影响工期的；（5）因甲方提供的材料、设备质量不合格而影响工程质量的；（6）</w:t>
      </w:r>
      <w:r>
        <w:rPr>
          <w:rFonts w:hint="eastAsia" w:ascii="仿宋_GB2312" w:hAnsi="仿宋_GB2312" w:eastAsia="仿宋_GB2312" w:cs="仿宋_GB2312"/>
          <w:kern w:val="0"/>
          <w:sz w:val="32"/>
          <w:szCs w:val="32"/>
        </w:rPr>
        <w:t>因物业管理的限制不能施工的；（7）因政府部门对施工的限制；（8）甲方同意工期顺延的其他情况。</w:t>
      </w:r>
    </w:p>
    <w:p w14:paraId="4D3EEA95">
      <w:pPr>
        <w:widowControl/>
        <w:snapToGrid w:val="0"/>
        <w:spacing w:line="4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4.因乙方责任不能按期完工的，工期不顺延。</w:t>
      </w:r>
    </w:p>
    <w:p w14:paraId="79903C60">
      <w:pPr>
        <w:widowControl/>
        <w:snapToGrid w:val="0"/>
        <w:spacing w:line="40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第三条  工程款及支付方式</w:t>
      </w:r>
    </w:p>
    <w:p w14:paraId="6FE5A881">
      <w:pPr>
        <w:widowControl/>
        <w:snapToGrid w:val="0"/>
        <w:spacing w:line="4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1.【本工程采用总价包干方式计取价款。本工程的包干价为：¥： </w:t>
      </w:r>
      <w:r>
        <w:rPr>
          <w:rFonts w:ascii="仿宋_GB2312" w:hAnsi="仿宋_GB2312" w:eastAsia="仿宋_GB2312" w:cs="仿宋_GB2312"/>
          <w:color w:val="FF0000"/>
          <w:kern w:val="0"/>
          <w:sz w:val="32"/>
          <w:szCs w:val="32"/>
        </w:rPr>
        <w:t xml:space="preserve">****** </w:t>
      </w:r>
      <w:r>
        <w:rPr>
          <w:rFonts w:hint="eastAsia" w:ascii="仿宋_GB2312" w:hAnsi="仿宋_GB2312" w:eastAsia="仿宋_GB2312" w:cs="仿宋_GB2312"/>
          <w:kern w:val="0"/>
          <w:sz w:val="32"/>
          <w:szCs w:val="32"/>
        </w:rPr>
        <w:t xml:space="preserve">   元（含税）（大写：）。除合同另有约定外，在合同约定的施工范围以及乙方供应材料范围内，价款不会因人工费、物价的波动而调整。合同总价已包括人工费、施工费、材料费、机械费、管理费、措施项目费、安全文明施工费、规费、利润、税金以及有关协调服务费等为完成工程所发生的全部费用。】</w:t>
      </w:r>
    </w:p>
    <w:p w14:paraId="4D4C33E5">
      <w:pPr>
        <w:snapToGrid w:val="0"/>
        <w:spacing w:line="420" w:lineRule="exact"/>
        <w:ind w:left="482" w:firstLine="320" w:firstLineChars="100"/>
        <w:rPr>
          <w:rFonts w:ascii="仿宋_GB2312" w:hAnsi="仿宋_GB2312" w:eastAsia="仿宋_GB2312" w:cs="仿宋_GB2312"/>
          <w:bCs/>
          <w:color w:val="00000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bCs/>
          <w:color w:val="000000"/>
          <w:sz w:val="32"/>
          <w:szCs w:val="32"/>
        </w:rPr>
        <w:t>甲方按以下【第种】方式向乙方支付合同款项：</w:t>
      </w:r>
    </w:p>
    <w:p w14:paraId="7D69230F">
      <w:pPr>
        <w:snapToGrid w:val="0"/>
        <w:spacing w:line="42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（1）本合同签订之日起【</w:t>
      </w:r>
      <w:r>
        <w:rPr>
          <w:rFonts w:hint="eastAsia" w:ascii="仿宋_GB2312" w:hAnsi="仿宋_GB2312" w:eastAsia="仿宋_GB2312" w:cs="仿宋_GB2312"/>
          <w:bCs/>
          <w:color w:val="FF0000"/>
          <w:sz w:val="32"/>
          <w:szCs w:val="32"/>
        </w:rPr>
        <w:t>七</w:t>
      </w:r>
      <w:r>
        <w:rPr>
          <w:rFonts w:hint="eastAsia" w:ascii="仿宋_GB2312" w:hAnsi="仿宋_GB2312" w:eastAsia="仿宋_GB2312" w:cs="仿宋_GB2312"/>
          <w:bCs/>
          <w:color w:val="000000"/>
          <w:sz w:val="32"/>
          <w:szCs w:val="32"/>
        </w:rPr>
        <w:t xml:space="preserve">】个工作日内，甲方支付项目合同总金额的【  </w:t>
      </w:r>
      <w:r>
        <w:rPr>
          <w:rFonts w:ascii="仿宋_GB2312" w:hAnsi="仿宋_GB2312" w:eastAsia="仿宋_GB2312" w:cs="仿宋_GB2312"/>
          <w:bCs/>
          <w:color w:val="FF0000"/>
          <w:sz w:val="32"/>
          <w:szCs w:val="32"/>
        </w:rPr>
        <w:t>30</w:t>
      </w:r>
      <w:r>
        <w:rPr>
          <w:rFonts w:hint="eastAsia" w:ascii="仿宋_GB2312" w:hAnsi="仿宋_GB2312" w:eastAsia="仿宋_GB2312" w:cs="仿宋_GB2312"/>
          <w:bCs/>
          <w:color w:val="000000"/>
          <w:sz w:val="32"/>
          <w:szCs w:val="32"/>
        </w:rPr>
        <w:t>%】，即人民币【元】；项目竣工验收合格后【</w:t>
      </w:r>
      <w:r>
        <w:rPr>
          <w:rFonts w:hint="eastAsia" w:ascii="仿宋_GB2312" w:hAnsi="仿宋_GB2312" w:eastAsia="仿宋_GB2312" w:cs="仿宋_GB2312"/>
          <w:bCs/>
          <w:color w:val="FF0000"/>
          <w:sz w:val="32"/>
          <w:szCs w:val="32"/>
        </w:rPr>
        <w:t>七</w:t>
      </w:r>
      <w:r>
        <w:rPr>
          <w:rFonts w:hint="eastAsia" w:ascii="仿宋_GB2312" w:hAnsi="仿宋_GB2312" w:eastAsia="仿宋_GB2312" w:cs="仿宋_GB2312"/>
          <w:bCs/>
          <w:color w:val="000000"/>
          <w:sz w:val="32"/>
          <w:szCs w:val="32"/>
        </w:rPr>
        <w:t xml:space="preserve">】个工作日内，甲方向乙方支付合同总金额的【 </w:t>
      </w:r>
      <w:r>
        <w:rPr>
          <w:rFonts w:hint="eastAsia" w:ascii="仿宋_GB2312" w:hAnsi="仿宋_GB2312" w:eastAsia="仿宋_GB2312" w:cs="仿宋_GB2312"/>
          <w:bCs/>
          <w:color w:val="FF0000"/>
          <w:sz w:val="32"/>
          <w:szCs w:val="32"/>
        </w:rPr>
        <w:t>67</w:t>
      </w:r>
      <w:r>
        <w:rPr>
          <w:rFonts w:ascii="仿宋_GB2312" w:hAnsi="仿宋_GB2312" w:eastAsia="仿宋_GB2312" w:cs="仿宋_GB2312"/>
          <w:bCs/>
          <w:color w:val="FF0000"/>
          <w:sz w:val="32"/>
          <w:szCs w:val="32"/>
        </w:rPr>
        <w:t xml:space="preserve"> </w:t>
      </w:r>
      <w:r>
        <w:rPr>
          <w:rFonts w:hint="eastAsia" w:ascii="仿宋_GB2312" w:hAnsi="仿宋_GB2312" w:eastAsia="仿宋_GB2312" w:cs="仿宋_GB2312"/>
          <w:bCs/>
          <w:color w:val="000000"/>
          <w:sz w:val="32"/>
          <w:szCs w:val="32"/>
        </w:rPr>
        <w:t>%】，即人民币【元】；</w:t>
      </w:r>
    </w:p>
    <w:p w14:paraId="0A2844D4">
      <w:pPr>
        <w:snapToGrid w:val="0"/>
        <w:spacing w:line="420" w:lineRule="exact"/>
        <w:ind w:firstLine="640" w:firstLineChars="200"/>
        <w:rPr>
          <w:rFonts w:ascii="仿宋_GB2312" w:hAnsi="仿宋_GB2312" w:eastAsia="仿宋_GB2312" w:cs="仿宋_GB2312"/>
        </w:rPr>
      </w:pPr>
      <w:r>
        <w:rPr>
          <w:rFonts w:hint="eastAsia" w:ascii="仿宋_GB2312" w:hAnsi="仿宋_GB2312" w:eastAsia="仿宋_GB2312" w:cs="仿宋_GB2312"/>
          <w:bCs/>
          <w:color w:val="000000"/>
          <w:sz w:val="32"/>
          <w:szCs w:val="32"/>
        </w:rPr>
        <w:t>（2）项目竣工验收合格后【</w:t>
      </w:r>
      <w:r>
        <w:rPr>
          <w:rFonts w:ascii="仿宋_GB2312" w:hAnsi="仿宋_GB2312" w:eastAsia="仿宋_GB2312" w:cs="仿宋_GB2312"/>
          <w:bCs/>
          <w:color w:val="FF0000"/>
          <w:sz w:val="32"/>
          <w:szCs w:val="32"/>
        </w:rPr>
        <w:t>30</w:t>
      </w:r>
      <w:r>
        <w:rPr>
          <w:rFonts w:hint="eastAsia" w:ascii="仿宋_GB2312" w:hAnsi="仿宋_GB2312" w:eastAsia="仿宋_GB2312" w:cs="仿宋_GB2312"/>
          <w:bCs/>
          <w:color w:val="000000"/>
          <w:sz w:val="32"/>
          <w:szCs w:val="32"/>
        </w:rPr>
        <w:t>】个工作日内，甲方向乙方付清合同款项，即人民币【元】。</w:t>
      </w:r>
    </w:p>
    <w:p w14:paraId="314CCDAD">
      <w:pPr>
        <w:snapToGrid w:val="0"/>
        <w:spacing w:line="42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sz w:val="32"/>
          <w:szCs w:val="32"/>
        </w:rPr>
        <w:t>3.</w:t>
      </w:r>
      <w:r>
        <w:rPr>
          <w:rFonts w:hint="eastAsia" w:ascii="仿宋_GB2312" w:hAnsi="仿宋_GB2312" w:eastAsia="仿宋_GB2312" w:cs="仿宋_GB2312"/>
          <w:bCs/>
          <w:color w:val="000000"/>
          <w:sz w:val="32"/>
          <w:szCs w:val="32"/>
        </w:rPr>
        <w:t>乙方应在甲方付款前向甲方开具正式发票，否则甲方有权暂停付款且不承担逾期付款责任。</w:t>
      </w:r>
    </w:p>
    <w:p w14:paraId="7E62A04C">
      <w:pPr>
        <w:snapToGrid w:val="0"/>
        <w:spacing w:line="42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4.乙方指定银行账户信息：</w:t>
      </w:r>
    </w:p>
    <w:p w14:paraId="7947EF36">
      <w:pPr>
        <w:snapToGrid w:val="0"/>
        <w:spacing w:line="420" w:lineRule="exact"/>
        <w:ind w:left="482"/>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开户银行：【                         】</w:t>
      </w:r>
    </w:p>
    <w:p w14:paraId="5664D927">
      <w:pPr>
        <w:snapToGrid w:val="0"/>
        <w:spacing w:line="420" w:lineRule="exact"/>
        <w:ind w:left="482"/>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开户名称：【                         】</w:t>
      </w:r>
    </w:p>
    <w:p w14:paraId="1F61264C">
      <w:pPr>
        <w:snapToGrid w:val="0"/>
        <w:spacing w:line="420" w:lineRule="exact"/>
        <w:ind w:left="482"/>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银行账号：【                         】</w:t>
      </w:r>
    </w:p>
    <w:p w14:paraId="1B3D02D2">
      <w:pPr>
        <w:widowControl/>
        <w:snapToGrid w:val="0"/>
        <w:spacing w:line="420" w:lineRule="exact"/>
        <w:ind w:firstLine="640" w:firstLineChars="200"/>
        <w:jc w:val="lef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5.甲方按照乙方提供的银行账户支付款项后，因乙方提供账户或者账号相关信息遗漏、错误等原因所产生的后果由乙方自行承担。</w:t>
      </w:r>
    </w:p>
    <w:p w14:paraId="1D98A90C">
      <w:pPr>
        <w:widowControl/>
        <w:snapToGrid w:val="0"/>
        <w:spacing w:line="420" w:lineRule="exact"/>
        <w:ind w:firstLine="640" w:firstLineChars="200"/>
        <w:jc w:val="lef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6.工程竣工验收后个工作日内，乙方向甲方提交竣工结算书。结算书应包含工程量明细以及工程价款的计价依据以及具体金额。甲方收到结算书后，应在个工作日内进行审核。若甲方对结算书有异议的应在审核期限内向乙方提出。乙方应在收到甲方异议通知后个工作日内说明或者补充提供有关资料。经甲方确认项目结算金额后，甲方按照本合同约定的方式向乙方支付合同款项。</w:t>
      </w:r>
    </w:p>
    <w:p w14:paraId="266B467C">
      <w:pPr>
        <w:widowControl/>
        <w:snapToGrid w:val="0"/>
        <w:spacing w:line="420" w:lineRule="exact"/>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第四条  材料供应</w:t>
      </w:r>
    </w:p>
    <w:p w14:paraId="3618D19D">
      <w:pPr>
        <w:widowControl/>
        <w:snapToGrid w:val="0"/>
        <w:spacing w:line="4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由甲方供应的装饰材料、设备，甲方应当在材料、设备送到施工现场前通知乙方，在材料、设备送达现场后，由甲、乙双方办理验收交接手续，并由乙方负责保管。如发生材料、设备遗失或损失的，由乙方负责赔偿。未经甲方同意，乙方不得将甲方采购的材料、设备挪作他用。如乙方违反前述规定，按挪用材料、设备价款的双倍补偿给甲方。</w:t>
      </w:r>
    </w:p>
    <w:p w14:paraId="3330B5D2">
      <w:pPr>
        <w:widowControl/>
        <w:snapToGrid w:val="0"/>
        <w:spacing w:line="4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由乙方供应的材料、设备，乙方应当在材料、设备送到施工现场前通知甲方。双方就材料、设备的数量、质量、环保等内容按照约定以及国家的有关规定共同验收，由甲方确认备案。甲方对材料的确认备案，并不免除乙方应负的质量责任。按照有关规定材料需要送检的，乙方应将材料取样送检。乙方提供的材料、设备，应提前</w:t>
      </w:r>
      <w:r>
        <w:rPr>
          <w:rFonts w:hint="eastAsia" w:ascii="仿宋_GB2312" w:hAnsi="仿宋_GB2312" w:eastAsia="仿宋_GB2312" w:cs="仿宋_GB2312"/>
          <w:kern w:val="0"/>
          <w:sz w:val="32"/>
          <w:szCs w:val="32"/>
          <w:u w:val="single"/>
        </w:rPr>
        <w:t>    </w:t>
      </w:r>
      <w:r>
        <w:rPr>
          <w:rFonts w:hint="eastAsia" w:ascii="仿宋_GB2312" w:hAnsi="仿宋_GB2312" w:eastAsia="仿宋_GB2312" w:cs="仿宋_GB2312"/>
          <w:kern w:val="0"/>
          <w:sz w:val="32"/>
          <w:szCs w:val="32"/>
        </w:rPr>
        <w:t>个工作日通知甲方验收。未经甲方验收合格或不符合工程报价单要求的，应禁止使用。否则，对工程造成的损失由乙方负责。</w:t>
      </w:r>
    </w:p>
    <w:p w14:paraId="7975DEDD">
      <w:pPr>
        <w:widowControl/>
        <w:snapToGrid w:val="0"/>
        <w:spacing w:line="4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color w:val="FF0000"/>
          <w:kern w:val="0"/>
          <w:sz w:val="32"/>
          <w:szCs w:val="32"/>
        </w:rPr>
        <w:t>乙方提供的材料及设备应当符合【《泵站设备安装及验收规范》</w:t>
      </w:r>
      <w:bookmarkStart w:id="69" w:name="OLE_LINK35"/>
      <w:bookmarkStart w:id="70" w:name="OLE_LINK34"/>
      <w:r>
        <w:rPr>
          <w:rFonts w:hint="eastAsia" w:ascii="仿宋_GB2312" w:hAnsi="仿宋_GB2312" w:eastAsia="仿宋_GB2312" w:cs="仿宋_GB2312"/>
          <w:color w:val="FF0000"/>
          <w:kern w:val="0"/>
          <w:sz w:val="32"/>
          <w:szCs w:val="32"/>
        </w:rPr>
        <w:t>（</w:t>
      </w:r>
      <w:r>
        <w:rPr>
          <w:rFonts w:ascii="仿宋_GB2312" w:hAnsi="仿宋_GB2312" w:eastAsia="仿宋_GB2312" w:cs="仿宋_GB2312"/>
          <w:color w:val="FF0000"/>
          <w:kern w:val="0"/>
          <w:sz w:val="32"/>
          <w:szCs w:val="32"/>
        </w:rPr>
        <w:t>SL/T317-2023</w:t>
      </w:r>
      <w:r>
        <w:rPr>
          <w:rFonts w:hint="eastAsia" w:ascii="仿宋_GB2312" w:hAnsi="仿宋_GB2312" w:eastAsia="仿宋_GB2312" w:cs="仿宋_GB2312"/>
          <w:color w:val="FF0000"/>
          <w:kern w:val="0"/>
          <w:sz w:val="32"/>
          <w:szCs w:val="32"/>
        </w:rPr>
        <w:t>）</w:t>
      </w:r>
      <w:bookmarkEnd w:id="69"/>
      <w:bookmarkEnd w:id="70"/>
      <w:r>
        <w:rPr>
          <w:rFonts w:hint="eastAsia" w:ascii="仿宋_GB2312" w:hAnsi="仿宋_GB2312" w:eastAsia="仿宋_GB2312" w:cs="仿宋_GB2312"/>
          <w:color w:val="FF0000"/>
          <w:kern w:val="0"/>
          <w:sz w:val="32"/>
          <w:szCs w:val="32"/>
        </w:rPr>
        <w:t>、</w:t>
      </w:r>
      <w:bookmarkStart w:id="71" w:name="OLE_LINK36"/>
      <w:bookmarkStart w:id="72" w:name="OLE_LINK37"/>
      <w:r>
        <w:rPr>
          <w:rFonts w:hint="eastAsia" w:ascii="仿宋_GB2312" w:hAnsi="仿宋_GB2312" w:eastAsia="仿宋_GB2312" w:cs="仿宋_GB2312"/>
          <w:color w:val="FF0000"/>
          <w:kern w:val="0"/>
          <w:sz w:val="32"/>
          <w:szCs w:val="32"/>
        </w:rPr>
        <w:t>《潜水泵站技术规范》（</w:t>
      </w:r>
      <w:r>
        <w:rPr>
          <w:rFonts w:ascii="仿宋_GB2312" w:hAnsi="仿宋_GB2312" w:eastAsia="仿宋_GB2312" w:cs="仿宋_GB2312"/>
          <w:color w:val="FF0000"/>
          <w:kern w:val="0"/>
          <w:sz w:val="32"/>
          <w:szCs w:val="32"/>
        </w:rPr>
        <w:t>SL584-2012</w:t>
      </w:r>
      <w:r>
        <w:rPr>
          <w:rFonts w:hint="eastAsia" w:ascii="仿宋_GB2312" w:hAnsi="仿宋_GB2312" w:eastAsia="仿宋_GB2312" w:cs="仿宋_GB2312"/>
          <w:color w:val="FF0000"/>
          <w:kern w:val="0"/>
          <w:sz w:val="32"/>
          <w:szCs w:val="32"/>
        </w:rPr>
        <w:t>）</w:t>
      </w:r>
      <w:bookmarkEnd w:id="71"/>
      <w:bookmarkEnd w:id="72"/>
      <w:r>
        <w:rPr>
          <w:rFonts w:ascii="仿宋_GB2312" w:hAnsi="仿宋_GB2312" w:eastAsia="仿宋_GB2312" w:cs="仿宋_GB2312"/>
          <w:color w:val="FF0000"/>
          <w:kern w:val="0"/>
          <w:sz w:val="32"/>
          <w:szCs w:val="32"/>
        </w:rPr>
        <w:t>,</w:t>
      </w:r>
      <w:r>
        <w:rPr>
          <w:rFonts w:hint="eastAsia" w:ascii="仿宋_GB2312" w:hAnsi="仿宋_GB2312" w:eastAsia="仿宋_GB2312" w:cs="仿宋_GB2312"/>
          <w:color w:val="FF0000"/>
          <w:kern w:val="0"/>
          <w:sz w:val="32"/>
          <w:szCs w:val="32"/>
        </w:rPr>
        <w:t>《低压开关设备和控制设备》（</w:t>
      </w:r>
      <w:r>
        <w:rPr>
          <w:rFonts w:ascii="仿宋_GB2312" w:hAnsi="仿宋_GB2312" w:eastAsia="仿宋_GB2312" w:cs="仿宋_GB2312"/>
          <w:color w:val="FF0000"/>
          <w:kern w:val="0"/>
          <w:sz w:val="32"/>
          <w:szCs w:val="32"/>
        </w:rPr>
        <w:t>GB/和14048.1-2-23</w:t>
      </w:r>
      <w:r>
        <w:rPr>
          <w:rFonts w:hint="eastAsia" w:ascii="仿宋_GB2312" w:hAnsi="仿宋_GB2312" w:eastAsia="仿宋_GB2312" w:cs="仿宋_GB2312"/>
          <w:color w:val="FF0000"/>
          <w:kern w:val="0"/>
          <w:sz w:val="32"/>
          <w:szCs w:val="32"/>
        </w:rPr>
        <w:t>）】</w:t>
      </w:r>
      <w:r>
        <w:rPr>
          <w:rFonts w:hint="eastAsia" w:ascii="仿宋_GB2312" w:hAnsi="仿宋_GB2312" w:eastAsia="仿宋_GB2312" w:cs="仿宋_GB2312"/>
          <w:kern w:val="0"/>
          <w:sz w:val="32"/>
          <w:szCs w:val="32"/>
        </w:rPr>
        <w:t>所规定的要求，应当具备有效的出厂证明及合格的检验单。</w:t>
      </w:r>
    </w:p>
    <w:p w14:paraId="0549725F">
      <w:pPr>
        <w:widowControl/>
        <w:snapToGrid w:val="0"/>
        <w:spacing w:line="4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 施工中如乙方发现甲方提供的材料、设备有质量问题、规格差异或有害物质超标等问题，应及时向甲方提出。甲方仍坚持确认使用的，由此造成工程质量不符合标准或人身伤害问题，责任由甲方承担。</w:t>
      </w:r>
    </w:p>
    <w:p w14:paraId="2482F696">
      <w:pPr>
        <w:widowControl/>
        <w:snapToGrid w:val="0"/>
        <w:spacing w:line="400" w:lineRule="exact"/>
        <w:ind w:firstLine="56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5.乙方提供的材料、设备是假冒伪劣产品的，应按材料、设备价款的双倍赔偿甲方。</w:t>
      </w:r>
    </w:p>
    <w:p w14:paraId="7455D27A">
      <w:pPr>
        <w:widowControl/>
        <w:snapToGrid w:val="0"/>
        <w:spacing w:line="400" w:lineRule="exact"/>
        <w:ind w:firstLine="636" w:firstLineChars="198"/>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第五条  质量标准</w:t>
      </w:r>
    </w:p>
    <w:p w14:paraId="34D6FE7E">
      <w:pPr>
        <w:widowControl/>
        <w:snapToGrid w:val="0"/>
        <w:spacing w:line="420" w:lineRule="exact"/>
        <w:ind w:firstLine="640" w:firstLineChars="200"/>
        <w:jc w:val="lef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1.本工程施工质量按以下标准执行：【】。如国家、广东省、深圳市对标准规范另有法律法规或行业规定，从其规定。</w:t>
      </w:r>
    </w:p>
    <w:p w14:paraId="05507F14">
      <w:pPr>
        <w:widowControl/>
        <w:snapToGrid w:val="0"/>
        <w:spacing w:line="42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Cs/>
          <w:color w:val="000000"/>
          <w:sz w:val="32"/>
          <w:szCs w:val="32"/>
        </w:rPr>
        <w:t>2.工程的室内施工严格按照【</w:t>
      </w:r>
      <w:r>
        <w:rPr>
          <w:rFonts w:hint="eastAsia" w:ascii="仿宋_GB2312" w:hAnsi="仿宋_GB2312" w:eastAsia="仿宋_GB2312" w:cs="仿宋_GB2312"/>
          <w:bCs/>
          <w:color w:val="FF0000"/>
          <w:sz w:val="32"/>
          <w:szCs w:val="32"/>
        </w:rPr>
        <w:t>《风机，压缩机，泵安装工程施工及验收规范》（</w:t>
      </w:r>
      <w:r>
        <w:rPr>
          <w:rFonts w:ascii="仿宋_GB2312" w:hAnsi="仿宋_GB2312" w:eastAsia="仿宋_GB2312" w:cs="仿宋_GB2312"/>
          <w:bCs/>
          <w:color w:val="FF0000"/>
          <w:sz w:val="32"/>
          <w:szCs w:val="32"/>
        </w:rPr>
        <w:t>GB50275</w:t>
      </w:r>
      <w:r>
        <w:rPr>
          <w:rFonts w:hint="eastAsia" w:ascii="仿宋_GB2312" w:hAnsi="仿宋_GB2312" w:eastAsia="仿宋_GB2312" w:cs="仿宋_GB2312"/>
          <w:color w:val="FF0000"/>
          <w:kern w:val="0"/>
          <w:sz w:val="32"/>
          <w:szCs w:val="32"/>
        </w:rPr>
        <w:t>）</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kern w:val="0"/>
          <w:sz w:val="32"/>
          <w:szCs w:val="32"/>
        </w:rPr>
        <w:t>以及合同签订时现行有效规范的标准执行。</w:t>
      </w:r>
    </w:p>
    <w:p w14:paraId="67552F6B">
      <w:pPr>
        <w:widowControl/>
        <w:snapToGrid w:val="0"/>
        <w:spacing w:line="4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3.双方对材料、工程质量、室内空气质量发生争议的，任何一方均可委托行政主管部门认可的具有相应资质的专业检测机构进行检测认定，相关费用由责任方承担。</w:t>
      </w:r>
    </w:p>
    <w:p w14:paraId="46EAD233">
      <w:pPr>
        <w:widowControl/>
        <w:snapToGrid w:val="0"/>
        <w:spacing w:line="4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本项目需进行室内环境质量检测，在工程完工个自然日以后、交付使用以前，由乙方组织安排建设行政主管部门认可、具有室内环境质量检测资质的机构进行室内环境质量检测，检测费用由乙方负担。室内环境质量验收合格后，方可投入使用。若检测不合格，视其原因对发生的治理费用及再次检测费用按下列情况确定双方承担责任的大小：（1）乙方包工、包料的由乙方完全承担；（2）甲方提供材料的由甲方完全承担；（3）甲乙双方共同提供材料的，由甲乙双方所提供影响居室环境材料的比例相应承担。】</w:t>
      </w:r>
    </w:p>
    <w:p w14:paraId="6448C3E9">
      <w:pPr>
        <w:widowControl/>
        <w:snapToGrid w:val="0"/>
        <w:spacing w:line="400" w:lineRule="exact"/>
        <w:ind w:firstLine="643" w:firstLineChars="200"/>
        <w:jc w:val="left"/>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第六条   安全生产和防火</w:t>
      </w:r>
    </w:p>
    <w:p w14:paraId="06266DB4">
      <w:pPr>
        <w:widowControl/>
        <w:snapToGrid w:val="0"/>
        <w:spacing w:line="400" w:lineRule="exact"/>
        <w:ind w:firstLine="640" w:firstLineChars="200"/>
        <w:jc w:val="lef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甲方提供的施工图纸或施工说明及施工场地应符合防火、防事故的要求，主要保证电气线路、燃气管道、给排水和其它管道畅通、合格。乙方在施工中应采取必要的安全防护和消防措施，保障作业人员的安全，防止管道堵塞、渗漏水、停水停电、物品毁坏等事故发生。如遇上述情况发生，属甲方责任的，甲方负责修复或赔偿；属于乙方责任的，乙方负责修复或赔偿。</w:t>
      </w:r>
    </w:p>
    <w:p w14:paraId="6C85A7A4">
      <w:pPr>
        <w:widowControl/>
        <w:snapToGrid w:val="0"/>
        <w:spacing w:line="400" w:lineRule="exact"/>
        <w:ind w:firstLine="640" w:firstLineChars="200"/>
        <w:jc w:val="left"/>
        <w:rPr>
          <w:rFonts w:ascii="仿宋_GB2312" w:hAnsi="仿宋_GB2312" w:eastAsia="仿宋_GB2312" w:cs="仿宋_GB2312"/>
        </w:rPr>
      </w:pPr>
      <w:r>
        <w:rPr>
          <w:rFonts w:hint="eastAsia" w:ascii="仿宋_GB2312" w:hAnsi="仿宋_GB2312" w:eastAsia="仿宋_GB2312" w:cs="仿宋_GB2312"/>
          <w:bCs/>
          <w:color w:val="000000"/>
          <w:sz w:val="32"/>
          <w:szCs w:val="32"/>
        </w:rPr>
        <w:t>2.甲、乙双方共同遵守装饰装修和物业管理的有关规定，施工中不得擅自改变房屋承重结构，拆、改共用管线和设施。</w:t>
      </w:r>
    </w:p>
    <w:p w14:paraId="684ED308">
      <w:pPr>
        <w:widowControl/>
        <w:snapToGrid w:val="0"/>
        <w:spacing w:line="40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第七条 工程变更</w:t>
      </w:r>
    </w:p>
    <w:p w14:paraId="48568779">
      <w:pPr>
        <w:widowControl/>
        <w:snapToGrid w:val="0"/>
        <w:spacing w:line="4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因甲方原因提出变更设计、停止施工或增、减项目，应提前【】个工作日以书面形式通知乙方，列明停止施工或变更增减的原因，工程部位、时间和材料等。乙方根据变更内容向甲方提出因变更而产生的相关费用清单，变更的费用经甲方书面同意后实施。工程变更的书面确认资料，作为竣工结算和顺延工期的依据。</w:t>
      </w:r>
    </w:p>
    <w:p w14:paraId="4B1BE92C">
      <w:pPr>
        <w:widowControl/>
        <w:snapToGrid w:val="0"/>
        <w:spacing w:line="4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2.未经甲方书面同意，施工中乙方不得对工程进行变更。因乙方原因造成的变更，乙方应承担因此发生的费用，并且不得顺延工期。若因此造成甲方损失的应承担相应的赔偿责任。</w:t>
      </w:r>
    </w:p>
    <w:p w14:paraId="415F4244">
      <w:pPr>
        <w:widowControl/>
        <w:snapToGrid w:val="0"/>
        <w:spacing w:line="400" w:lineRule="exact"/>
        <w:ind w:firstLine="636" w:firstLineChars="198"/>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第八条  工程验收</w:t>
      </w:r>
    </w:p>
    <w:p w14:paraId="070742C9">
      <w:pPr>
        <w:widowControl/>
        <w:snapToGrid w:val="0"/>
        <w:spacing w:line="4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本项目包含【下列第项】验收阶段：（1）材料进场验收；（2）隐蔽工程验收（指对将被下道工序所封闭的分部、分项工程进行检查验收，隐蔽工程部分包括但不限于封闭前的水电路改造工程、防水工程等）；（3）工程中期验收（工程进度过半）验收； （4）工程竣工验收。</w:t>
      </w:r>
    </w:p>
    <w:p w14:paraId="115BB526">
      <w:pPr>
        <w:widowControl/>
        <w:snapToGrid w:val="0"/>
        <w:spacing w:line="4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2.本工程验收选用【第种】办法：（1）甲乙双方共同验收；（2）甲方、乙方、设计方及监理方共同验收。</w:t>
      </w:r>
    </w:p>
    <w:p w14:paraId="3639B325">
      <w:pPr>
        <w:widowControl/>
        <w:snapToGrid w:val="0"/>
        <w:spacing w:line="4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3.甲、乙双方应在相应工程完工后，按约定及时办理相应阶段的工程质量的检查和验收手续，各阶段验收合格后签署有关工程质量验收文件。</w:t>
      </w:r>
    </w:p>
    <w:p w14:paraId="6D735CAB">
      <w:pPr>
        <w:widowControl/>
        <w:snapToGrid w:val="0"/>
        <w:spacing w:line="4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当具备验收条件与标准时，乙方应及时通知甲方，甲方应接到验收通知后【】个工作日内进行验收。验收不合格的，乙方应对不合格部分返工、修复或采取其他补救措施，由此增加的费用和延误的工期由乙方承担。乙方在完成上述工作后，应重新通知甲方验收。在工程验收中甲方提出的不合格问题由乙方负责整改，整改完成后再次进行验收。项目竣工验收合格后，甲方结清工程款。</w:t>
      </w:r>
    </w:p>
    <w:p w14:paraId="545CDA41">
      <w:pPr>
        <w:widowControl/>
        <w:snapToGrid w:val="0"/>
        <w:spacing w:line="4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5.验收标准：</w:t>
      </w:r>
      <w:r>
        <w:rPr>
          <w:rFonts w:hint="eastAsia" w:ascii="仿宋_GB2312" w:hAnsi="仿宋_GB2312" w:eastAsia="仿宋_GB2312" w:cs="仿宋_GB2312"/>
          <w:color w:val="FF0000"/>
          <w:kern w:val="0"/>
          <w:sz w:val="32"/>
          <w:szCs w:val="32"/>
        </w:rPr>
        <w:t>按相关招标文件及大厦管理方的使用要求并符合相关设施设备的运行标准。</w:t>
      </w:r>
    </w:p>
    <w:p w14:paraId="4CACD62E">
      <w:pPr>
        <w:widowControl/>
        <w:snapToGrid w:val="0"/>
        <w:spacing w:line="4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6.工程竣工后乙方应提供项目的【建筑装饰、水电安装、机电设备】等各专业的竣工图纸【共套】给甲方，作为竣工验收和结算的依据。</w:t>
      </w:r>
    </w:p>
    <w:p w14:paraId="5FB7140B">
      <w:pPr>
        <w:widowControl/>
        <w:snapToGrid w:val="0"/>
        <w:spacing w:line="4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【7.隐蔽工程完工后，乙方应当通知甲方在</w:t>
      </w:r>
      <w:r>
        <w:rPr>
          <w:rFonts w:hint="eastAsia" w:ascii="仿宋_GB2312" w:hAnsi="仿宋_GB2312" w:eastAsia="仿宋_GB2312" w:cs="仿宋_GB2312"/>
          <w:kern w:val="0"/>
          <w:sz w:val="32"/>
          <w:szCs w:val="32"/>
          <w:u w:val="single"/>
        </w:rPr>
        <w:t>    </w:t>
      </w:r>
      <w:r>
        <w:rPr>
          <w:rFonts w:hint="eastAsia" w:ascii="仿宋_GB2312" w:hAnsi="仿宋_GB2312" w:eastAsia="仿宋_GB2312" w:cs="仿宋_GB2312"/>
          <w:kern w:val="0"/>
          <w:sz w:val="32"/>
          <w:szCs w:val="32"/>
        </w:rPr>
        <w:t>个工作日内进行验收，待双方验收合格并签字确认后，乙方方可进行下道工序施工；如甲方不进行验收，乙方有权中止施工，由此造成的损失由甲方承担；如乙方未通知甲方进行隐蔽工程验收而擅自进行下道工序施工的，甲方有权要求乙方停止施工，由此造成的损失由乙方承担。】</w:t>
      </w:r>
    </w:p>
    <w:p w14:paraId="3561B7BA">
      <w:pPr>
        <w:widowControl/>
        <w:snapToGrid w:val="0"/>
        <w:spacing w:line="400" w:lineRule="exact"/>
        <w:ind w:firstLine="57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第九条  保修责任</w:t>
      </w:r>
    </w:p>
    <w:p w14:paraId="5C506061">
      <w:pPr>
        <w:snapToGrid w:val="0"/>
        <w:spacing w:line="4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1.工程保修期从工程竣工验收合格之日起算，具体项目的保修期由双方在工程保修单中确定，但不得低于法定最低保修年限。在工程保修期内，乙方应当根据有关法律规定以及合同约定承担保修责任。</w:t>
      </w:r>
    </w:p>
    <w:p w14:paraId="77F06B86">
      <w:pPr>
        <w:snapToGrid w:val="0"/>
        <w:spacing w:line="4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【本合同有关保修期限按以下约定执行：</w:t>
      </w:r>
      <w:r>
        <w:rPr>
          <w:rFonts w:hint="eastAsia" w:ascii="仿宋_GB2312" w:hAnsi="仿宋_GB2312" w:eastAsia="仿宋_GB2312" w:cs="仿宋_GB2312"/>
          <w:color w:val="FF0000"/>
          <w:kern w:val="0"/>
          <w:sz w:val="32"/>
          <w:szCs w:val="32"/>
        </w:rPr>
        <w:t>电气管线、给排水管道、设备安装工程为</w:t>
      </w:r>
      <w:r>
        <w:rPr>
          <w:rFonts w:ascii="仿宋_GB2312" w:hAnsi="仿宋_GB2312" w:eastAsia="仿宋_GB2312" w:cs="仿宋_GB2312"/>
          <w:color w:val="FF0000"/>
          <w:kern w:val="0"/>
          <w:sz w:val="32"/>
          <w:szCs w:val="32"/>
        </w:rPr>
        <w:t>2年免费维修服务；其他项目或</w:t>
      </w:r>
      <w:r>
        <w:rPr>
          <w:rFonts w:hint="eastAsia" w:ascii="仿宋_GB2312" w:hAnsi="仿宋_GB2312" w:eastAsia="仿宋_GB2312" w:cs="仿宋_GB2312"/>
          <w:color w:val="FF0000"/>
          <w:kern w:val="0"/>
          <w:sz w:val="32"/>
          <w:szCs w:val="32"/>
        </w:rPr>
        <w:t>甲方另有特殊要求的，保修期限约定按双方另行约定执行。</w:t>
      </w:r>
      <w:r>
        <w:rPr>
          <w:rFonts w:hint="eastAsia" w:ascii="仿宋_GB2312" w:hAnsi="仿宋_GB2312" w:eastAsia="仿宋_GB2312" w:cs="仿宋_GB2312"/>
          <w:kern w:val="0"/>
          <w:sz w:val="32"/>
          <w:szCs w:val="32"/>
        </w:rPr>
        <w:t>】</w:t>
      </w:r>
    </w:p>
    <w:p w14:paraId="19B491A2">
      <w:pPr>
        <w:widowControl/>
        <w:snapToGrid w:val="0"/>
        <w:spacing w:line="400" w:lineRule="exact"/>
        <w:ind w:firstLine="573"/>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2.保修期内，因乙方原因造成工程的缺陷、损坏，乙方应负责修复，并承担修复的费用以及因工程的缺陷、损坏造成的人身伤害和财产损失。</w:t>
      </w:r>
    </w:p>
    <w:p w14:paraId="61429DBB">
      <w:pPr>
        <w:widowControl/>
        <w:snapToGrid w:val="0"/>
        <w:spacing w:line="400" w:lineRule="exact"/>
        <w:ind w:firstLine="57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3.保修期内，如甲方在使用过程中则发现已接收的工程存在缺陷或损坏的，则乙方应在收到甲方通知之日起【】个自然日内安排人员进行修复；情况紧急应立即修复缺陷或损坏的，则乙方应在收到甲方通知后【】个小时内到达工程现场并修复缺陷或损坏。</w:t>
      </w:r>
    </w:p>
    <w:p w14:paraId="5231AE48">
      <w:pPr>
        <w:widowControl/>
        <w:snapToGrid w:val="0"/>
        <w:spacing w:line="400" w:lineRule="exact"/>
        <w:ind w:firstLine="636" w:firstLineChars="198"/>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第十条  甲方权利义务</w:t>
      </w:r>
    </w:p>
    <w:p w14:paraId="117F66E4">
      <w:pPr>
        <w:widowControl/>
        <w:snapToGrid w:val="0"/>
        <w:spacing w:line="4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1.开工前配合乙方协调各方面的关系，办妥进场手续，做好水电的供应，办理现场签证。</w:t>
      </w:r>
    </w:p>
    <w:p w14:paraId="40F18655">
      <w:pPr>
        <w:widowControl/>
        <w:snapToGrid w:val="0"/>
        <w:spacing w:line="4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2.对工程质量、施工进度进行监督，按照约定对材料进行验收、隐蔽工程验收、竣工验收等施工各种节点验收及竣工验收。</w:t>
      </w:r>
    </w:p>
    <w:p w14:paraId="556B69CA">
      <w:pPr>
        <w:pStyle w:val="2"/>
        <w:widowControl/>
        <w:snapToGrid w:val="0"/>
        <w:ind w:firstLine="640" w:firstLineChars="200"/>
        <w:rPr>
          <w:rFonts w:ascii="仿宋_GB2312" w:hAnsi="仿宋_GB2312" w:eastAsia="仿宋_GB2312" w:cs="仿宋_GB2312"/>
          <w:color w:val="FF0000"/>
          <w:kern w:val="0"/>
          <w:sz w:val="32"/>
          <w:szCs w:val="32"/>
        </w:rPr>
      </w:pPr>
      <w:r>
        <w:rPr>
          <w:rFonts w:ascii="仿宋_GB2312" w:hAnsi="仿宋_GB2312" w:eastAsia="仿宋_GB2312" w:cs="仿宋_GB2312"/>
          <w:color w:val="FF0000"/>
          <w:kern w:val="0"/>
          <w:sz w:val="32"/>
          <w:szCs w:val="32"/>
        </w:rPr>
        <w:t xml:space="preserve">3. </w:t>
      </w:r>
      <w:r>
        <w:rPr>
          <w:rFonts w:hint="eastAsia" w:ascii="仿宋_GB2312" w:hAnsi="仿宋_GB2312" w:eastAsia="仿宋_GB2312" w:cs="仿宋_GB2312"/>
          <w:color w:val="FF0000"/>
          <w:kern w:val="0"/>
          <w:sz w:val="32"/>
          <w:szCs w:val="32"/>
        </w:rPr>
        <w:t>会同大厦管理部门告知大厦相关工作单位在施工期间产生的噪音及施工期间的工作</w:t>
      </w:r>
      <w:r>
        <w:rPr>
          <w:rFonts w:ascii="仿宋_GB2312" w:hAnsi="仿宋_GB2312" w:eastAsia="仿宋_GB2312" w:cs="仿宋_GB2312"/>
          <w:color w:val="FF0000"/>
          <w:kern w:val="0"/>
          <w:sz w:val="32"/>
          <w:szCs w:val="32"/>
        </w:rPr>
        <w:t>,可能对其停车及相关工作</w:t>
      </w:r>
      <w:r>
        <w:rPr>
          <w:rFonts w:hint="eastAsia" w:ascii="仿宋_GB2312" w:hAnsi="仿宋_GB2312" w:eastAsia="仿宋_GB2312" w:cs="仿宋_GB2312"/>
          <w:color w:val="FF0000"/>
          <w:kern w:val="0"/>
          <w:sz w:val="32"/>
          <w:szCs w:val="32"/>
        </w:rPr>
        <w:t>环境造成的影响</w:t>
      </w:r>
      <w:r>
        <w:rPr>
          <w:rFonts w:ascii="仿宋_GB2312" w:hAnsi="仿宋_GB2312" w:eastAsia="仿宋_GB2312" w:cs="仿宋_GB2312"/>
          <w:color w:val="FF0000"/>
          <w:kern w:val="0"/>
          <w:sz w:val="32"/>
          <w:szCs w:val="32"/>
        </w:rPr>
        <w:t>,</w:t>
      </w:r>
      <w:bookmarkStart w:id="73" w:name="OLE_LINK29"/>
      <w:bookmarkStart w:id="74" w:name="OLE_LINK28"/>
      <w:r>
        <w:rPr>
          <w:rFonts w:hint="eastAsia" w:ascii="仿宋_GB2312" w:hAnsi="仿宋_GB2312" w:eastAsia="仿宋_GB2312" w:cs="仿宋_GB2312"/>
          <w:color w:val="FF0000"/>
          <w:kern w:val="0"/>
          <w:sz w:val="32"/>
          <w:szCs w:val="32"/>
        </w:rPr>
        <w:t>会同大厦管理部门</w:t>
      </w:r>
      <w:bookmarkEnd w:id="73"/>
      <w:bookmarkEnd w:id="74"/>
      <w:r>
        <w:rPr>
          <w:rFonts w:hint="eastAsia" w:ascii="仿宋_GB2312" w:hAnsi="仿宋_GB2312" w:eastAsia="仿宋_GB2312" w:cs="仿宋_GB2312"/>
          <w:color w:val="FF0000"/>
          <w:kern w:val="0"/>
          <w:sz w:val="32"/>
          <w:szCs w:val="32"/>
        </w:rPr>
        <w:t>协调关系并理解</w:t>
      </w:r>
      <w:r>
        <w:rPr>
          <w:rFonts w:ascii="仿宋_GB2312" w:hAnsi="仿宋_GB2312" w:eastAsia="仿宋_GB2312" w:cs="仿宋_GB2312"/>
          <w:color w:val="FF0000"/>
          <w:kern w:val="0"/>
          <w:sz w:val="32"/>
          <w:szCs w:val="32"/>
        </w:rPr>
        <w:t>.</w:t>
      </w:r>
    </w:p>
    <w:p w14:paraId="79359902">
      <w:pPr>
        <w:widowControl/>
        <w:snapToGrid w:val="0"/>
        <w:spacing w:line="400" w:lineRule="exact"/>
        <w:ind w:firstLine="640" w:firstLineChars="200"/>
        <w:rPr>
          <w:rFonts w:ascii="仿宋_GB2312" w:hAnsi="仿宋_GB2312" w:eastAsia="仿宋_GB2312" w:cs="仿宋_GB2312"/>
          <w:kern w:val="0"/>
          <w:sz w:val="32"/>
          <w:szCs w:val="32"/>
        </w:rPr>
      </w:pPr>
      <w:bookmarkStart w:id="75" w:name="OLE_LINK26"/>
      <w:bookmarkStart w:id="76" w:name="OLE_LINK27"/>
      <w:r>
        <w:rPr>
          <w:rFonts w:hint="eastAsia" w:ascii="仿宋_GB2312" w:hAnsi="仿宋_GB2312" w:eastAsia="仿宋_GB2312" w:cs="仿宋_GB2312"/>
          <w:kern w:val="0"/>
          <w:sz w:val="32"/>
          <w:szCs w:val="32"/>
        </w:rPr>
        <w:t>4.按照本合同约定按时支付工程款</w:t>
      </w:r>
      <w:bookmarkEnd w:id="75"/>
      <w:bookmarkEnd w:id="76"/>
      <w:r>
        <w:rPr>
          <w:rFonts w:hint="eastAsia" w:ascii="仿宋_GB2312" w:hAnsi="仿宋_GB2312" w:eastAsia="仿宋_GB2312" w:cs="仿宋_GB2312"/>
          <w:kern w:val="0"/>
          <w:sz w:val="32"/>
          <w:szCs w:val="32"/>
        </w:rPr>
        <w:t>。</w:t>
      </w:r>
    </w:p>
    <w:p w14:paraId="01A54CB4">
      <w:pPr>
        <w:widowControl/>
        <w:snapToGrid w:val="0"/>
        <w:spacing w:line="400" w:lineRule="exact"/>
        <w:ind w:firstLine="636" w:firstLineChars="198"/>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第十一条  乙方权利义务</w:t>
      </w:r>
    </w:p>
    <w:p w14:paraId="530D68A0">
      <w:pPr>
        <w:widowControl/>
        <w:snapToGrid w:val="0"/>
        <w:spacing w:line="4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1.施工中严格执行有关法律法规及施工规范、质量标准、安全操作规程、防火规定，安全、保质、按期完成本合同约定的工程内容。</w:t>
      </w:r>
    </w:p>
    <w:p w14:paraId="66C9FEE3">
      <w:pPr>
        <w:widowControl/>
        <w:snapToGrid w:val="0"/>
        <w:spacing w:line="4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2.严格执行建设行政主管部门的施工现场管理规定，包括但不限于：</w:t>
      </w:r>
    </w:p>
    <w:p w14:paraId="415FB54A">
      <w:pPr>
        <w:widowControl/>
        <w:snapToGrid w:val="0"/>
        <w:spacing w:line="4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（1）未经主管部门批准和经设计单位出具设计文件，不得拆改建筑主体和承重结构，不得加大楼地面荷载，不得改动室内原有消防等管道设施；</w:t>
      </w:r>
    </w:p>
    <w:p w14:paraId="3D3FCAC5">
      <w:pPr>
        <w:widowControl/>
        <w:snapToGrid w:val="0"/>
        <w:spacing w:line="4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（2）不得扰民及污染环境，在规定的时间内从事产生噪声的装饰装修活动并采取相应措施减少对周边环境的影响；</w:t>
      </w:r>
    </w:p>
    <w:p w14:paraId="371F0113">
      <w:pPr>
        <w:widowControl/>
        <w:snapToGrid w:val="0"/>
        <w:spacing w:line="4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（3）严格按照有关规范、标准文明施工，承担因施工不当造成相邻方损害的，如房屋的管道堵塞、渗漏、停水、停电、墙体开裂等，由乙方承担修理和损失赔偿责任；</w:t>
      </w:r>
    </w:p>
    <w:p w14:paraId="79943E98">
      <w:pPr>
        <w:widowControl/>
        <w:snapToGrid w:val="0"/>
        <w:spacing w:line="4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乙方应按照有关规定编制安全技术措施或者施工方案，建立安全生产责任制度和治安保卫制度以及安全生产教育培训制度。乙方应严格按照安全生产的法律法规的规定履行安全生产管理职责，否则应承担未履行职责引起的一切责任；</w:t>
      </w:r>
    </w:p>
    <w:p w14:paraId="7141787E">
      <w:pPr>
        <w:widowControl/>
        <w:snapToGrid w:val="0"/>
        <w:spacing w:line="4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（5）负责工程成品、设备的保护；</w:t>
      </w:r>
    </w:p>
    <w:p w14:paraId="5FE1841F">
      <w:pPr>
        <w:widowControl/>
        <w:snapToGrid w:val="0"/>
        <w:spacing w:line="4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（6）文明施工保证施工现场整洁，及时清理现场产生的建筑垃圾。</w:t>
      </w:r>
    </w:p>
    <w:p w14:paraId="7E7CA13A">
      <w:pPr>
        <w:widowControl/>
        <w:snapToGrid w:val="0"/>
        <w:spacing w:line="4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3.乙方保证按工期完成施工。</w:t>
      </w:r>
    </w:p>
    <w:p w14:paraId="5B3F6971">
      <w:pPr>
        <w:widowControl/>
        <w:snapToGrid w:val="0"/>
        <w:spacing w:line="4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4.遵守物业管理的规章制度并承担相应责任。</w:t>
      </w:r>
    </w:p>
    <w:p w14:paraId="192CEDAE">
      <w:pPr>
        <w:widowControl/>
        <w:snapToGrid w:val="0"/>
        <w:spacing w:line="4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5.配合甲方办理相关手续并承担应由乙方承担的费用。</w:t>
      </w:r>
    </w:p>
    <w:p w14:paraId="4890B88C">
      <w:pPr>
        <w:widowControl/>
        <w:snapToGrid w:val="0"/>
        <w:spacing w:line="4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6.乙方负责施工人员的人身安全，应为从事危险作业的职工办理意外伤害保险，并为施工场地内的乙方人员生命财产办理保险，支付保险费用。</w:t>
      </w:r>
    </w:p>
    <w:p w14:paraId="28A5D7C4">
      <w:pPr>
        <w:widowControl/>
        <w:snapToGrid w:val="0"/>
        <w:spacing w:line="4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7.乙方在施工前应做好施工前的安全措施，施工中应按工作规范做好安全保护措施，文明施工。发生人员伤亡或财产损失的，造成意外伤亡事故，一切责任和赔偿均由乙方承担，与甲方无关。</w:t>
      </w:r>
    </w:p>
    <w:p w14:paraId="0E96A768">
      <w:pPr>
        <w:widowControl/>
        <w:snapToGrid w:val="0"/>
        <w:spacing w:line="4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8.</w:t>
      </w:r>
      <w:r>
        <w:rPr>
          <w:rFonts w:hint="eastAsia" w:ascii="仿宋_GB2312" w:hAnsi="仿宋_GB2312" w:eastAsia="仿宋_GB2312" w:cs="仿宋_GB2312"/>
          <w:sz w:val="32"/>
          <w:szCs w:val="32"/>
        </w:rPr>
        <w:t>因乙方拖欠工资或未购买保险等导致甲方承担责任的，乙方应以甲方所承担的责任为基数向甲方承担赔偿，甲方可在工程款中直接扣除，不足部分可向另行乙方追偿。</w:t>
      </w:r>
    </w:p>
    <w:p w14:paraId="5DBDA14A">
      <w:pPr>
        <w:widowControl/>
        <w:snapToGrid w:val="0"/>
        <w:spacing w:line="4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9.乙方在施工过程中应保证物资的安全，如有人为的损坏或盗窃行为的，乙方应按原价双倍赔偿给甲方，甲方可在工程款中直接扣除，不足部分可另行向乙方追偿。</w:t>
      </w:r>
    </w:p>
    <w:p w14:paraId="7539E7F6">
      <w:pPr>
        <w:widowControl/>
        <w:snapToGrid w:val="0"/>
        <w:spacing w:line="4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10.如因乙方提拱</w:t>
      </w:r>
      <w:r>
        <w:rPr>
          <w:rFonts w:hint="eastAsia" w:ascii="仿宋_GB2312" w:hAnsi="仿宋_GB2312" w:eastAsia="仿宋_GB2312" w:cs="仿宋_GB2312"/>
          <w:color w:val="FF0000"/>
          <w:sz w:val="32"/>
          <w:szCs w:val="32"/>
        </w:rPr>
        <w:t>设备质量不合格或安装等原因</w:t>
      </w:r>
      <w:r>
        <w:rPr>
          <w:rFonts w:hint="eastAsia" w:ascii="仿宋_GB2312" w:hAnsi="仿宋_GB2312" w:eastAsia="仿宋_GB2312" w:cs="仿宋_GB2312"/>
          <w:sz w:val="32"/>
          <w:szCs w:val="32"/>
        </w:rPr>
        <w:t xml:space="preserve">造成中途停工、返工的，由乙方承担所造成的经济损失，甲方可在工程款中直接扣除，不足部分可另行向乙方追偿。 </w:t>
      </w:r>
    </w:p>
    <w:p w14:paraId="365FFC4A">
      <w:pPr>
        <w:widowControl/>
        <w:snapToGrid w:val="0"/>
        <w:spacing w:line="400" w:lineRule="exact"/>
        <w:ind w:firstLine="630" w:firstLineChars="196"/>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第十二条  违约责任</w:t>
      </w:r>
    </w:p>
    <w:p w14:paraId="21B226A2">
      <w:pPr>
        <w:pStyle w:val="43"/>
        <w:spacing w:line="40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1.如甲方逾期支付工程款，乙方书面催告甲方并给予不少于5个工作日的履行期限后甲方仍未支付的，每延迟一日，按应支付而未支付金额的</w:t>
      </w:r>
      <w:r>
        <w:rPr>
          <w:rFonts w:hint="eastAsia" w:ascii="仿宋_GB2312" w:hAnsi="仿宋_GB2312" w:eastAsia="仿宋_GB2312" w:cs="仿宋_GB2312"/>
          <w:sz w:val="32"/>
          <w:szCs w:val="32"/>
        </w:rPr>
        <w:t>万分之五</w:t>
      </w:r>
      <w:r>
        <w:rPr>
          <w:rFonts w:hint="eastAsia" w:ascii="仿宋_GB2312" w:hAnsi="仿宋_GB2312" w:eastAsia="仿宋_GB2312" w:cs="仿宋_GB2312"/>
          <w:kern w:val="2"/>
          <w:sz w:val="32"/>
          <w:szCs w:val="32"/>
        </w:rPr>
        <w:t>的标准，由甲方向乙方支付违约金，但延期付款是由于乙方在先义务迟延履行导致的除外，违约金累计不超过合同总金额的20%。如因政府有关部门超期审批等原因造成甲方付款迟延的，不视为甲方违约，甲方不承担前述违约责任。</w:t>
      </w:r>
    </w:p>
    <w:p w14:paraId="7F85F3EB">
      <w:pPr>
        <w:pStyle w:val="43"/>
        <w:spacing w:line="40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sz w:val="32"/>
          <w:szCs w:val="32"/>
        </w:rPr>
        <w:t>2</w:t>
      </w:r>
      <w:bookmarkStart w:id="77" w:name="OLE_LINK30"/>
      <w:bookmarkStart w:id="78" w:name="OLE_LINK31"/>
      <w:r>
        <w:rPr>
          <w:rFonts w:hint="eastAsia" w:ascii="仿宋_GB2312" w:hAnsi="仿宋_GB2312" w:eastAsia="仿宋_GB2312" w:cs="仿宋_GB2312"/>
          <w:sz w:val="32"/>
          <w:szCs w:val="32"/>
        </w:rPr>
        <w:t>.</w:t>
      </w:r>
      <w:bookmarkEnd w:id="77"/>
      <w:bookmarkEnd w:id="78"/>
      <w:r>
        <w:rPr>
          <w:rFonts w:hint="eastAsia" w:ascii="仿宋_GB2312" w:hAnsi="仿宋_GB2312" w:eastAsia="仿宋_GB2312" w:cs="仿宋_GB2312"/>
          <w:sz w:val="32"/>
          <w:szCs w:val="32"/>
        </w:rPr>
        <w:t>因</w:t>
      </w:r>
      <w:bookmarkStart w:id="79" w:name="OLE_LINK32"/>
      <w:bookmarkStart w:id="80" w:name="OLE_LINK33"/>
      <w:r>
        <w:rPr>
          <w:rFonts w:hint="eastAsia" w:ascii="仿宋_GB2312" w:hAnsi="仿宋_GB2312" w:eastAsia="仿宋_GB2312" w:cs="仿宋_GB2312"/>
          <w:sz w:val="32"/>
          <w:szCs w:val="32"/>
        </w:rPr>
        <w:t>乙方</w:t>
      </w:r>
      <w:bookmarkEnd w:id="79"/>
      <w:bookmarkEnd w:id="80"/>
      <w:r>
        <w:rPr>
          <w:rFonts w:hint="eastAsia" w:ascii="仿宋_GB2312" w:hAnsi="仿宋_GB2312" w:eastAsia="仿宋_GB2312" w:cs="仿宋_GB2312"/>
          <w:sz w:val="32"/>
          <w:szCs w:val="32"/>
        </w:rPr>
        <w:t>原因造成延误工期的，每延期1日，乙方应向甲方支付合同金额的万分之五的违约金。</w:t>
      </w:r>
      <w:r>
        <w:rPr>
          <w:rFonts w:hint="eastAsia" w:ascii="仿宋_GB2312" w:hAnsi="仿宋_GB2312" w:eastAsia="仿宋_GB2312" w:cs="仿宋_GB2312"/>
          <w:kern w:val="2"/>
          <w:sz w:val="32"/>
          <w:szCs w:val="32"/>
        </w:rPr>
        <w:t>因乙方原因致使工程质量不符合约定的，甲方有权要求乙方在合理期限内无偿修理或者返工。经过修理或者返工后，造成逾期交付的，乙方应当承担逾期交付的违约责任。</w:t>
      </w:r>
    </w:p>
    <w:p w14:paraId="6E6E29DE">
      <w:pPr>
        <w:pStyle w:val="43"/>
        <w:spacing w:line="400" w:lineRule="exact"/>
        <w:ind w:firstLine="640" w:firstLineChars="200"/>
        <w:rPr>
          <w:rFonts w:ascii="仿宋_GB2312" w:hAnsi="仿宋_GB2312" w:eastAsia="仿宋_GB2312" w:cs="仿宋_GB2312"/>
          <w:kern w:val="2"/>
          <w:sz w:val="32"/>
          <w:szCs w:val="32"/>
        </w:rPr>
      </w:pPr>
      <w:r>
        <w:rPr>
          <w:rFonts w:ascii="仿宋_GB2312" w:hAnsi="仿宋_GB2312" w:eastAsia="仿宋_GB2312" w:cs="仿宋_GB2312"/>
          <w:color w:val="FF0000"/>
          <w:kern w:val="2"/>
          <w:sz w:val="32"/>
          <w:szCs w:val="32"/>
        </w:rPr>
        <w:t>3</w:t>
      </w:r>
      <w:r>
        <w:rPr>
          <w:rFonts w:ascii="仿宋_GB2312" w:hAnsi="仿宋_GB2312" w:eastAsia="仿宋_GB2312" w:cs="仿宋_GB2312"/>
          <w:color w:val="FF0000"/>
          <w:kern w:val="0"/>
          <w:sz w:val="32"/>
          <w:szCs w:val="32"/>
        </w:rPr>
        <w:t>.</w:t>
      </w:r>
      <w:r>
        <w:rPr>
          <w:rFonts w:hint="eastAsia" w:ascii="仿宋_GB2312" w:hAnsi="仿宋_GB2312" w:eastAsia="仿宋_GB2312" w:cs="仿宋_GB2312"/>
          <w:color w:val="FF0000"/>
          <w:kern w:val="0"/>
          <w:sz w:val="32"/>
          <w:szCs w:val="32"/>
        </w:rPr>
        <w:t>因乙方施工原因造成现在能正常工作的设备无法继续工作或不能使用的，由乙方免费负责此项恢复工作直到能正常使用为止</w:t>
      </w:r>
      <w:r>
        <w:rPr>
          <w:rFonts w:hint="eastAsia" w:ascii="仿宋_GB2312" w:hAnsi="仿宋_GB2312" w:eastAsia="仿宋_GB2312" w:cs="仿宋_GB2312"/>
          <w:sz w:val="32"/>
          <w:szCs w:val="32"/>
        </w:rPr>
        <w:t>。</w:t>
      </w:r>
    </w:p>
    <w:p w14:paraId="111388C9">
      <w:pPr>
        <w:pStyle w:val="43"/>
        <w:spacing w:line="40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kern w:val="2"/>
          <w:sz w:val="32"/>
          <w:szCs w:val="32"/>
        </w:rPr>
        <w:t>合同履行中出现以下情形的，乙方构成根本违约，甲方有权单方解除本合同且不再向乙方支付剩余工程款，且乙方应向甲方支付合同总金额的20%作为违约金，如该违约金不足以弥补甲方损失的，乙方还应赔偿甲方损失：</w:t>
      </w:r>
    </w:p>
    <w:p w14:paraId="2FC2D9D9">
      <w:pPr>
        <w:spacing w:line="4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kern w:val="0"/>
          <w:sz w:val="32"/>
          <w:szCs w:val="32"/>
        </w:rPr>
        <w:t>乙方延误工期超过30 个工作日；</w:t>
      </w:r>
    </w:p>
    <w:p w14:paraId="09D15A1D">
      <w:pPr>
        <w:spacing w:line="4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（2）乙方明确表示或者以自己的行为表明不能履行本合同约定的义务；</w:t>
      </w:r>
    </w:p>
    <w:p w14:paraId="21D3BD88">
      <w:pPr>
        <w:pStyle w:val="43"/>
        <w:spacing w:line="40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w:t>
      </w:r>
      <w:r>
        <w:rPr>
          <w:rFonts w:hint="eastAsia" w:ascii="仿宋_GB2312" w:hAnsi="仿宋_GB2312" w:eastAsia="仿宋_GB2312" w:cs="仿宋_GB2312"/>
          <w:bCs/>
          <w:color w:val="000000"/>
          <w:kern w:val="2"/>
          <w:sz w:val="32"/>
          <w:szCs w:val="32"/>
        </w:rPr>
        <w:t>未经甲方书面同意，乙方将本合同权利或义务全部或部分转让给第三人；</w:t>
      </w:r>
    </w:p>
    <w:p w14:paraId="47AC4777">
      <w:pPr>
        <w:pStyle w:val="43"/>
        <w:spacing w:line="40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（4）乙方累计出现3次及以上违约行为；</w:t>
      </w:r>
    </w:p>
    <w:p w14:paraId="35F93511">
      <w:pPr>
        <w:pStyle w:val="43"/>
        <w:spacing w:line="40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（5）乙方做出违反法律、法规、规章、政策或公序良俗的行为，导致甲方公信力/声誉/名誉受损或产生负面社会舆情;</w:t>
      </w:r>
    </w:p>
    <w:p w14:paraId="03C04CD0">
      <w:pPr>
        <w:pStyle w:val="43"/>
        <w:spacing w:line="40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color w:val="000000"/>
          <w:sz w:val="32"/>
          <w:szCs w:val="32"/>
        </w:rPr>
        <w:t>（6）未经甲方书面同意，乙方利用项目工作之便，对外征集广告赞助，或以甲方名义开展自身宣传、营销推广。</w:t>
      </w:r>
    </w:p>
    <w:p w14:paraId="2DCB3B83">
      <w:pPr>
        <w:pStyle w:val="43"/>
        <w:spacing w:line="40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5.甲乙双方均应认真、全面履行本合同项下的各项义务，任何一方不履行或未按约定履行均构成违约，违约方应赔偿因此给守约方造成的全部损失。</w:t>
      </w:r>
    </w:p>
    <w:p w14:paraId="7463EBC3">
      <w:pPr>
        <w:pStyle w:val="43"/>
        <w:spacing w:line="400" w:lineRule="exact"/>
        <w:ind w:firstLine="640" w:firstLineChars="200"/>
        <w:rPr>
          <w:rFonts w:ascii="仿宋_GB2312" w:hAnsi="仿宋_GB2312" w:eastAsia="仿宋_GB2312" w:cs="仿宋_GB2312"/>
          <w:bCs/>
          <w:color w:val="FF0000"/>
        </w:rPr>
      </w:pPr>
      <w:r>
        <w:rPr>
          <w:rFonts w:hint="eastAsia" w:ascii="仿宋_GB2312" w:hAnsi="仿宋_GB2312" w:eastAsia="仿宋_GB2312" w:cs="仿宋_GB2312"/>
          <w:kern w:val="2"/>
          <w:sz w:val="32"/>
          <w:szCs w:val="32"/>
        </w:rPr>
        <w:t>6.对于乙方应支付的违约金及赔偿金，甲方有权从未付款项中予以扣除，不足部分有权向乙方追偿。</w:t>
      </w:r>
    </w:p>
    <w:p w14:paraId="3A2B4367">
      <w:pPr>
        <w:spacing w:line="4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kern w:val="0"/>
          <w:sz w:val="32"/>
          <w:szCs w:val="32"/>
        </w:rPr>
        <w:t>第十三条</w:t>
      </w:r>
      <w:r>
        <w:rPr>
          <w:rFonts w:hint="eastAsia" w:ascii="仿宋_GB2312" w:hAnsi="仿宋_GB2312" w:eastAsia="仿宋_GB2312" w:cs="仿宋_GB2312"/>
          <w:b/>
          <w:bCs/>
          <w:sz w:val="32"/>
          <w:szCs w:val="32"/>
        </w:rPr>
        <w:t>合同变更与解除</w:t>
      </w:r>
    </w:p>
    <w:p w14:paraId="70915852">
      <w:pPr>
        <w:spacing w:line="4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1.除法律另有规定或因不可抗力因素导致本合同目的不能实现外，本合同一经签订，未经双方协商一致，甲乙双方不得擅自变更或解除。</w:t>
      </w:r>
    </w:p>
    <w:p w14:paraId="1AB1640C">
      <w:pPr>
        <w:widowControl/>
        <w:snapToGrid w:val="0"/>
        <w:spacing w:line="400" w:lineRule="exact"/>
        <w:ind w:firstLine="640" w:firstLineChars="200"/>
        <w:rPr>
          <w:rFonts w:ascii="仿宋_GB2312" w:hAnsi="仿宋_GB2312" w:eastAsia="仿宋_GB2312" w:cs="仿宋_GB2312"/>
          <w:b/>
          <w:bCs/>
          <w:kern w:val="0"/>
          <w:sz w:val="32"/>
          <w:szCs w:val="32"/>
        </w:rPr>
      </w:pPr>
      <w:r>
        <w:rPr>
          <w:rFonts w:hint="eastAsia" w:ascii="仿宋_GB2312" w:hAnsi="仿宋_GB2312" w:eastAsia="仿宋_GB2312" w:cs="仿宋_GB2312"/>
          <w:sz w:val="32"/>
          <w:szCs w:val="32"/>
        </w:rPr>
        <w:t>2.经双方协商一致，可以对本合同进行补充、修改或变更。对本合同的任何补充、修改或变更应以书面形式进行。</w:t>
      </w:r>
    </w:p>
    <w:p w14:paraId="6ECA31F0">
      <w:pPr>
        <w:widowControl/>
        <w:snapToGrid w:val="0"/>
        <w:spacing w:line="400" w:lineRule="exact"/>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第十四条  争议解决</w:t>
      </w:r>
    </w:p>
    <w:p w14:paraId="5F7326CC">
      <w:pPr>
        <w:snapToGrid w:val="0"/>
        <w:spacing w:line="420" w:lineRule="exact"/>
        <w:ind w:left="38"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kern w:val="0"/>
          <w:sz w:val="32"/>
          <w:szCs w:val="32"/>
        </w:rPr>
        <w:t>双方当事人在合同的履行过程中发生争议，本着互谅互让的原则，相互协调解决；若协商不成，</w:t>
      </w:r>
      <w:r>
        <w:rPr>
          <w:rFonts w:hint="eastAsia" w:ascii="仿宋_GB2312" w:hAnsi="仿宋_GB2312" w:eastAsia="仿宋_GB2312" w:cs="仿宋_GB2312"/>
          <w:bCs/>
          <w:color w:val="000000"/>
          <w:sz w:val="32"/>
          <w:szCs w:val="32"/>
        </w:rPr>
        <w:t>任何一方可以□向深圳国际仲裁院申请仲裁 </w:t>
      </w:r>
      <w:r>
        <w:rPr>
          <w:rFonts w:hint="eastAsia" w:ascii="仿宋_GB2312" w:hAnsi="仿宋_GB2312" w:eastAsia="仿宋_GB2312" w:cs="仿宋_GB2312"/>
          <w:bCs/>
          <w:color w:val="000000"/>
          <w:sz w:val="32"/>
          <w:szCs w:val="32"/>
        </w:rPr>
        <w:sym w:font="Wingdings 2" w:char="00A3"/>
      </w:r>
      <w:r>
        <w:rPr>
          <w:rFonts w:hint="eastAsia" w:ascii="仿宋_GB2312" w:hAnsi="仿宋_GB2312" w:eastAsia="仿宋_GB2312" w:cs="仿宋_GB2312"/>
          <w:bCs/>
          <w:color w:val="000000"/>
          <w:sz w:val="32"/>
          <w:szCs w:val="32"/>
        </w:rPr>
        <w:t>向甲方住所地有管辖权的人民法院提起诉讼。</w:t>
      </w:r>
    </w:p>
    <w:p w14:paraId="25EAAB7C">
      <w:pPr>
        <w:spacing w:line="400" w:lineRule="exact"/>
        <w:ind w:firstLine="643"/>
        <w:rPr>
          <w:rFonts w:ascii="仿宋_GB2312" w:hAnsi="仿宋_GB2312" w:eastAsia="仿宋_GB2312" w:cs="仿宋_GB2312"/>
          <w:b/>
          <w:sz w:val="32"/>
          <w:szCs w:val="32"/>
        </w:rPr>
      </w:pPr>
      <w:r>
        <w:rPr>
          <w:rFonts w:hint="eastAsia" w:ascii="仿宋_GB2312" w:hAnsi="仿宋_GB2312" w:eastAsia="仿宋_GB2312" w:cs="仿宋_GB2312"/>
          <w:b/>
          <w:bCs/>
          <w:kern w:val="0"/>
          <w:sz w:val="32"/>
          <w:szCs w:val="32"/>
        </w:rPr>
        <w:t xml:space="preserve">第十五条  </w:t>
      </w:r>
      <w:r>
        <w:rPr>
          <w:rFonts w:hint="eastAsia" w:ascii="仿宋_GB2312" w:hAnsi="仿宋_GB2312" w:eastAsia="仿宋_GB2312" w:cs="仿宋_GB2312"/>
          <w:b/>
          <w:sz w:val="32"/>
          <w:szCs w:val="32"/>
        </w:rPr>
        <w:t>合同生效及其它</w:t>
      </w:r>
    </w:p>
    <w:p w14:paraId="2AC53729">
      <w:pPr>
        <w:snapToGrid w:val="0"/>
        <w:spacing w:line="400" w:lineRule="exact"/>
        <w:ind w:left="38"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1.本合同自双方法定代表人或者授权代表签名、并加盖公章之日起生效。</w:t>
      </w:r>
    </w:p>
    <w:p w14:paraId="63E20831">
      <w:pPr>
        <w:snapToGrid w:val="0"/>
        <w:spacing w:line="400" w:lineRule="exact"/>
        <w:ind w:left="38"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2.本合同一式肆份，甲乙双方各执贰份，每份合同具有同等法律效力。</w:t>
      </w:r>
    </w:p>
    <w:p w14:paraId="1C31CD9E">
      <w:pPr>
        <w:snapToGrid w:val="0"/>
        <w:spacing w:line="420" w:lineRule="exact"/>
        <w:ind w:left="38"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3.下列附件为本合同的组成部分，与本合同具有同等法律效力：（1）中标通知书（如果有）；（2）</w:t>
      </w:r>
      <w:r>
        <w:rPr>
          <w:rFonts w:hint="eastAsia" w:ascii="仿宋_GB2312" w:hAnsi="仿宋_GB2312" w:eastAsia="仿宋_GB2312" w:cs="仿宋_GB2312"/>
          <w:bCs/>
          <w:color w:val="000000"/>
          <w:sz w:val="32"/>
          <w:szCs w:val="32"/>
        </w:rPr>
        <w:t>甲方招标文件（含招标文件的澄清、修改等）</w:t>
      </w:r>
      <w:r>
        <w:rPr>
          <w:rFonts w:hint="eastAsia" w:ascii="仿宋_GB2312" w:hAnsi="仿宋_GB2312" w:eastAsia="仿宋_GB2312" w:cs="仿宋_GB2312"/>
          <w:kern w:val="0"/>
          <w:sz w:val="32"/>
          <w:szCs w:val="32"/>
        </w:rPr>
        <w:t>（如果有）；（3）</w:t>
      </w:r>
      <w:r>
        <w:rPr>
          <w:rFonts w:hint="eastAsia" w:ascii="仿宋_GB2312" w:hAnsi="仿宋_GB2312" w:eastAsia="仿宋_GB2312" w:cs="仿宋_GB2312"/>
          <w:bCs/>
          <w:color w:val="000000"/>
          <w:sz w:val="32"/>
          <w:szCs w:val="32"/>
        </w:rPr>
        <w:t>乙方投标文件</w:t>
      </w:r>
      <w:r>
        <w:rPr>
          <w:rFonts w:hint="eastAsia" w:ascii="仿宋_GB2312" w:hAnsi="仿宋_GB2312" w:eastAsia="仿宋_GB2312" w:cs="仿宋_GB2312"/>
          <w:kern w:val="0"/>
          <w:sz w:val="32"/>
          <w:szCs w:val="32"/>
        </w:rPr>
        <w:t>（如果有）；（4）</w:t>
      </w:r>
      <w:r>
        <w:rPr>
          <w:rFonts w:hint="eastAsia" w:ascii="仿宋_GB2312" w:hAnsi="仿宋_GB2312" w:eastAsia="仿宋_GB2312" w:cs="仿宋_GB2312"/>
          <w:bCs/>
          <w:color w:val="000000"/>
          <w:sz w:val="32"/>
          <w:szCs w:val="32"/>
        </w:rPr>
        <w:t>中标人在评标过程中做出的有关澄清、说明、承诺或者补正文件</w:t>
      </w:r>
      <w:r>
        <w:rPr>
          <w:rFonts w:hint="eastAsia" w:ascii="仿宋_GB2312" w:hAnsi="仿宋_GB2312" w:eastAsia="仿宋_GB2312" w:cs="仿宋_GB2312"/>
          <w:kern w:val="0"/>
          <w:sz w:val="32"/>
          <w:szCs w:val="32"/>
        </w:rPr>
        <w:t>）（如果有）；（5）【施工图纸、工程量清单、工程报价单、预算书、工程质量验收单、保修单】；（6）国家/省级/市级/工程施工行业有关规定、技术标准和要求。上述各项合同文件包括合同当事人就该项合同文件所作出的补充和修改，属于同一类内容的文件，应以最新签署的为准。若上述附件与本合同存在矛盾或冲突的，以对乙方要求较高或较严格者为准。</w:t>
      </w:r>
    </w:p>
    <w:p w14:paraId="3DB42543">
      <w:pPr>
        <w:pStyle w:val="44"/>
        <w:spacing w:line="400" w:lineRule="exact"/>
        <w:ind w:firstLine="640"/>
        <w:rPr>
          <w:rFonts w:ascii="仿宋_GB2312" w:hAnsi="仿宋_GB2312" w:eastAsia="仿宋_GB2312" w:cs="仿宋_GB2312"/>
          <w:b/>
          <w:color w:val="000000"/>
          <w:sz w:val="32"/>
          <w:szCs w:val="32"/>
        </w:rPr>
      </w:pPr>
      <w:r>
        <w:rPr>
          <w:rFonts w:hint="eastAsia" w:ascii="仿宋_GB2312" w:hAnsi="仿宋_GB2312" w:eastAsia="仿宋_GB2312" w:cs="仿宋_GB2312"/>
          <w:b/>
          <w:bCs/>
          <w:kern w:val="0"/>
          <w:sz w:val="32"/>
          <w:szCs w:val="32"/>
        </w:rPr>
        <w:t>【第十六条</w:t>
      </w:r>
      <w:r>
        <w:rPr>
          <w:rFonts w:hint="eastAsia" w:ascii="仿宋_GB2312" w:hAnsi="仿宋_GB2312" w:eastAsia="仿宋_GB2312" w:cs="仿宋_GB2312"/>
          <w:b/>
          <w:color w:val="000000"/>
          <w:sz w:val="32"/>
          <w:szCs w:val="32"/>
        </w:rPr>
        <w:t>特殊条款】</w:t>
      </w:r>
    </w:p>
    <w:p w14:paraId="6F802085">
      <w:pPr>
        <w:snapToGrid w:val="0"/>
        <w:spacing w:line="400" w:lineRule="exact"/>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 xml:space="preserve">  无</w:t>
      </w:r>
    </w:p>
    <w:p w14:paraId="0312EC11">
      <w:pPr>
        <w:snapToGrid w:val="0"/>
        <w:spacing w:line="400" w:lineRule="exact"/>
        <w:ind w:left="38"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（以下无正文）</w:t>
      </w:r>
    </w:p>
    <w:p w14:paraId="52AF68AF">
      <w:pPr>
        <w:pStyle w:val="44"/>
        <w:spacing w:line="400" w:lineRule="exact"/>
        <w:ind w:firstLine="64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甲方（加盖公章）：           </w:t>
      </w:r>
    </w:p>
    <w:p w14:paraId="1B7B807C">
      <w:pPr>
        <w:pStyle w:val="44"/>
        <w:spacing w:line="400" w:lineRule="exact"/>
        <w:ind w:firstLine="64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授权代表（签名）：             </w:t>
      </w:r>
    </w:p>
    <w:p w14:paraId="655A9D04">
      <w:pPr>
        <w:pStyle w:val="44"/>
        <w:spacing w:line="400" w:lineRule="exact"/>
        <w:ind w:firstLine="64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经办人（签名）：                            </w:t>
      </w:r>
    </w:p>
    <w:p w14:paraId="0469790A">
      <w:pPr>
        <w:pStyle w:val="44"/>
        <w:spacing w:line="400" w:lineRule="exact"/>
        <w:ind w:firstLine="64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日期：   年  月  日            </w:t>
      </w:r>
    </w:p>
    <w:p w14:paraId="36BA36DE">
      <w:pPr>
        <w:pStyle w:val="44"/>
        <w:spacing w:line="400" w:lineRule="exact"/>
        <w:ind w:firstLine="0" w:firstLineChars="0"/>
        <w:rPr>
          <w:rFonts w:ascii="仿宋_GB2312" w:hAnsi="仿宋_GB2312" w:eastAsia="仿宋_GB2312" w:cs="仿宋_GB2312"/>
          <w:bCs/>
          <w:color w:val="000000"/>
          <w:sz w:val="32"/>
          <w:szCs w:val="32"/>
        </w:rPr>
      </w:pPr>
    </w:p>
    <w:p w14:paraId="2DE2CFF8">
      <w:pPr>
        <w:pStyle w:val="44"/>
        <w:spacing w:line="400" w:lineRule="exact"/>
        <w:ind w:firstLine="64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乙方（加盖公章）：           </w:t>
      </w:r>
    </w:p>
    <w:p w14:paraId="36449632">
      <w:pPr>
        <w:pStyle w:val="44"/>
        <w:spacing w:line="400" w:lineRule="exact"/>
        <w:ind w:firstLine="64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法定代表人/负责人或授权代表（签名）：             </w:t>
      </w:r>
    </w:p>
    <w:p w14:paraId="62A0B678">
      <w:pPr>
        <w:pStyle w:val="44"/>
        <w:spacing w:line="400" w:lineRule="exact"/>
        <w:ind w:firstLine="640"/>
        <w:rPr>
          <w:rFonts w:ascii="仿宋_GB2312" w:hAnsi="仿宋_GB2312" w:eastAsia="仿宋_GB2312" w:cs="仿宋_GB2312"/>
          <w:bCs/>
          <w:kern w:val="0"/>
          <w:szCs w:val="21"/>
        </w:rPr>
      </w:pPr>
      <w:r>
        <w:rPr>
          <w:rFonts w:hint="eastAsia" w:ascii="仿宋_GB2312" w:hAnsi="仿宋_GB2312" w:eastAsia="仿宋_GB2312" w:cs="仿宋_GB2312"/>
          <w:bCs/>
          <w:color w:val="000000"/>
          <w:sz w:val="32"/>
          <w:szCs w:val="32"/>
        </w:rPr>
        <w:t xml:space="preserve">日期：   年  月  日     </w:t>
      </w:r>
    </w:p>
    <w:p w14:paraId="412F3BC2">
      <w:pPr>
        <w:rPr>
          <w:rFonts w:ascii="宋体" w:hAnsi="宋体" w:cs="宋体"/>
          <w:szCs w:val="21"/>
        </w:rPr>
      </w:pPr>
    </w:p>
    <w:p w14:paraId="40F26C66">
      <w:pPr>
        <w:widowControl/>
        <w:spacing w:before="0" w:beforeAutospacing="0" w:after="0" w:afterAutospacing="0"/>
        <w:outlineLvl w:val="9"/>
        <w:rPr>
          <w:rFonts w:asciiTheme="minorEastAsia" w:hAnsiTheme="minorEastAsia" w:eastAsiaTheme="minorEastAsia" w:cstheme="minorEastAsia"/>
          <w:b/>
          <w:bCs/>
          <w:kern w:val="0"/>
          <w:sz w:val="28"/>
          <w:szCs w:val="28"/>
        </w:rPr>
      </w:pPr>
      <w:bookmarkStart w:id="81" w:name="_Toc6208"/>
      <w:r>
        <w:rPr>
          <w:rFonts w:hint="eastAsia" w:asciiTheme="minorEastAsia" w:hAnsiTheme="minorEastAsia" w:eastAsiaTheme="minorEastAsia" w:cstheme="minorEastAsia"/>
          <w:b/>
          <w:bCs/>
          <w:kern w:val="0"/>
          <w:sz w:val="28"/>
          <w:szCs w:val="28"/>
        </w:rPr>
        <w:t>附件：询价应答文件格式</w:t>
      </w:r>
      <w:bookmarkEnd w:id="81"/>
    </w:p>
    <w:p w14:paraId="0555B42B">
      <w:pPr>
        <w:jc w:val="center"/>
        <w:rPr>
          <w:rFonts w:asciiTheme="minorEastAsia" w:hAnsiTheme="minorEastAsia" w:eastAsiaTheme="minorEastAsia" w:cstheme="minorEastAsia"/>
          <w:b/>
          <w:bCs/>
          <w:sz w:val="52"/>
          <w:szCs w:val="52"/>
        </w:rPr>
      </w:pPr>
    </w:p>
    <w:p w14:paraId="1BD8420D">
      <w:pPr>
        <w:jc w:val="center"/>
        <w:rPr>
          <w:rFonts w:asciiTheme="minorEastAsia" w:hAnsiTheme="minorEastAsia" w:eastAsiaTheme="minorEastAsia" w:cstheme="minorEastAsia"/>
          <w:b/>
          <w:bCs/>
          <w:sz w:val="52"/>
          <w:szCs w:val="52"/>
        </w:rPr>
      </w:pPr>
    </w:p>
    <w:p w14:paraId="6F6D41C8">
      <w:pPr>
        <w:jc w:val="center"/>
        <w:rPr>
          <w:rFonts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rPr>
        <w:t>询价应答文件</w:t>
      </w:r>
    </w:p>
    <w:p w14:paraId="22AEDA23">
      <w:pPr>
        <w:jc w:val="center"/>
        <w:rPr>
          <w:rFonts w:asciiTheme="minorEastAsia" w:hAnsiTheme="minorEastAsia" w:eastAsiaTheme="minorEastAsia" w:cstheme="minorEastAsia"/>
          <w:b/>
          <w:bCs/>
          <w:sz w:val="28"/>
          <w:szCs w:val="28"/>
        </w:rPr>
      </w:pPr>
    </w:p>
    <w:p w14:paraId="122369C2">
      <w:pPr>
        <w:jc w:val="center"/>
        <w:rPr>
          <w:rFonts w:asciiTheme="minorEastAsia" w:hAnsiTheme="minorEastAsia" w:eastAsiaTheme="minorEastAsia" w:cstheme="minorEastAsia"/>
          <w:b/>
          <w:bCs/>
          <w:sz w:val="28"/>
          <w:szCs w:val="28"/>
        </w:rPr>
      </w:pPr>
    </w:p>
    <w:p w14:paraId="1942D039">
      <w:pPr>
        <w:jc w:val="center"/>
        <w:rPr>
          <w:rFonts w:asciiTheme="minorEastAsia" w:hAnsiTheme="minorEastAsia" w:eastAsiaTheme="minorEastAsia" w:cstheme="minorEastAsia"/>
          <w:b/>
          <w:bCs/>
          <w:sz w:val="28"/>
          <w:szCs w:val="28"/>
        </w:rPr>
      </w:pPr>
    </w:p>
    <w:p w14:paraId="1D26AC62">
      <w:pPr>
        <w:jc w:val="center"/>
        <w:rPr>
          <w:rFonts w:asciiTheme="minorEastAsia" w:hAnsiTheme="minorEastAsia" w:eastAsiaTheme="minorEastAsia" w:cstheme="minorEastAsia"/>
          <w:b/>
          <w:bCs/>
          <w:sz w:val="28"/>
          <w:szCs w:val="28"/>
        </w:rPr>
      </w:pPr>
    </w:p>
    <w:p w14:paraId="36C69648">
      <w:pPr>
        <w:jc w:val="center"/>
        <w:rPr>
          <w:rFonts w:asciiTheme="minorEastAsia" w:hAnsiTheme="minorEastAsia" w:eastAsiaTheme="minorEastAsia" w:cstheme="minorEastAsia"/>
          <w:b/>
          <w:bCs/>
          <w:sz w:val="28"/>
          <w:szCs w:val="28"/>
        </w:rPr>
      </w:pPr>
    </w:p>
    <w:p w14:paraId="6CCEC4D3">
      <w:pPr>
        <w:jc w:val="center"/>
        <w:rPr>
          <w:rFonts w:asciiTheme="minorEastAsia" w:hAnsiTheme="minorEastAsia" w:eastAsiaTheme="minorEastAsia" w:cstheme="minorEastAsia"/>
          <w:b/>
          <w:bCs/>
          <w:sz w:val="28"/>
          <w:szCs w:val="28"/>
        </w:rPr>
      </w:pPr>
    </w:p>
    <w:p w14:paraId="14080CC4">
      <w:pPr>
        <w:rPr>
          <w:rFonts w:asciiTheme="minorEastAsia" w:hAnsiTheme="minorEastAsia" w:eastAsiaTheme="minorEastAsia" w:cstheme="minorEastAsia"/>
          <w:b/>
          <w:bCs/>
          <w:color w:val="FF0000"/>
          <w:sz w:val="28"/>
          <w:szCs w:val="28"/>
        </w:rPr>
      </w:pPr>
      <w:r>
        <w:rPr>
          <w:rFonts w:hint="eastAsia" w:asciiTheme="minorEastAsia" w:hAnsiTheme="minorEastAsia" w:eastAsiaTheme="minorEastAsia" w:cstheme="minorEastAsia"/>
          <w:b/>
          <w:bCs/>
          <w:sz w:val="28"/>
          <w:szCs w:val="28"/>
        </w:rPr>
        <w:t>项目名称：</w:t>
      </w:r>
    </w:p>
    <w:p w14:paraId="294B445F">
      <w:pPr>
        <w:pStyle w:val="8"/>
      </w:pPr>
      <w:r>
        <w:rPr>
          <w:rFonts w:hint="eastAsia" w:asciiTheme="minorEastAsia" w:hAnsiTheme="minorEastAsia" w:eastAsiaTheme="minorEastAsia" w:cstheme="minorEastAsia"/>
          <w:b/>
          <w:bCs/>
          <w:sz w:val="28"/>
          <w:szCs w:val="28"/>
        </w:rPr>
        <w:t>项目编号：</w:t>
      </w:r>
    </w:p>
    <w:p w14:paraId="4F3B134B">
      <w:pP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供应商名称：</w:t>
      </w:r>
      <w:r>
        <w:rPr>
          <w:rFonts w:hint="eastAsia" w:asciiTheme="minorEastAsia" w:hAnsiTheme="minorEastAsia" w:eastAsiaTheme="minorEastAsia" w:cstheme="minorEastAsia"/>
          <w:b/>
          <w:bCs/>
          <w:sz w:val="28"/>
          <w:szCs w:val="28"/>
          <w:u w:val="single"/>
        </w:rPr>
        <w:t>（加盖公章）</w:t>
      </w:r>
    </w:p>
    <w:p w14:paraId="7377D8A7">
      <w:pP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地址：</w:t>
      </w:r>
    </w:p>
    <w:p w14:paraId="6491668E">
      <w:pPr>
        <w:rPr>
          <w:rFonts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法定代表人/被授权人：</w:t>
      </w:r>
    </w:p>
    <w:p w14:paraId="69FBC182">
      <w:pPr>
        <w:rPr>
          <w:rFonts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联系电话：</w:t>
      </w:r>
    </w:p>
    <w:p w14:paraId="4B15E847">
      <w:pPr>
        <w:rPr>
          <w:rFonts w:asciiTheme="minorEastAsia" w:hAnsiTheme="minorEastAsia" w:eastAsiaTheme="minorEastAsia" w:cstheme="minorEastAsia"/>
          <w:b/>
          <w:bCs/>
          <w:sz w:val="28"/>
          <w:szCs w:val="28"/>
          <w:u w:val="single"/>
        </w:rPr>
      </w:pPr>
    </w:p>
    <w:p w14:paraId="17E26ACD">
      <w:pP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0700C978">
      <w:pPr>
        <w:pStyle w:val="5"/>
        <w:jc w:val="center"/>
        <w:rPr>
          <w:rFonts w:asciiTheme="minorEastAsia" w:hAnsiTheme="minorEastAsia" w:eastAsiaTheme="minorEastAsia" w:cstheme="minorEastAsia"/>
        </w:rPr>
      </w:pPr>
      <w:r>
        <w:rPr>
          <w:rFonts w:hint="eastAsia" w:asciiTheme="minorEastAsia" w:hAnsiTheme="minorEastAsia" w:eastAsiaTheme="minorEastAsia" w:cstheme="minorEastAsia"/>
        </w:rPr>
        <w:t>目录</w:t>
      </w:r>
    </w:p>
    <w:p w14:paraId="082EA358">
      <w:pPr>
        <w:rPr>
          <w:rFonts w:asciiTheme="minorEastAsia" w:hAnsiTheme="minorEastAsia" w:eastAsiaTheme="minorEastAsia" w:cstheme="minorEastAsia"/>
        </w:rPr>
      </w:pPr>
    </w:p>
    <w:p w14:paraId="631DF4BF">
      <w:pPr>
        <w:rPr>
          <w:rFonts w:asciiTheme="minorEastAsia" w:hAnsiTheme="minorEastAsia" w:eastAsiaTheme="minorEastAsia" w:cstheme="minorEastAsia"/>
        </w:rPr>
      </w:pPr>
      <w:r>
        <w:rPr>
          <w:rFonts w:hint="eastAsia" w:asciiTheme="minorEastAsia" w:hAnsiTheme="minorEastAsia" w:eastAsiaTheme="minorEastAsia" w:cstheme="minorEastAsia"/>
        </w:rPr>
        <w:t>一、询价承诺函</w:t>
      </w:r>
    </w:p>
    <w:p w14:paraId="600D2089">
      <w:pPr>
        <w:rPr>
          <w:rFonts w:asciiTheme="minorEastAsia" w:hAnsiTheme="minorEastAsia" w:eastAsiaTheme="minorEastAsia" w:cstheme="minorEastAsia"/>
        </w:rPr>
      </w:pPr>
      <w:r>
        <w:rPr>
          <w:rFonts w:hint="eastAsia" w:asciiTheme="minorEastAsia" w:hAnsiTheme="minorEastAsia" w:eastAsiaTheme="minorEastAsia" w:cstheme="minorEastAsia"/>
        </w:rPr>
        <w:t>二、供应商资格证明文件</w:t>
      </w:r>
    </w:p>
    <w:p w14:paraId="429B8C34">
      <w:pPr>
        <w:rPr>
          <w:rFonts w:asciiTheme="minorEastAsia" w:hAnsiTheme="minorEastAsia" w:eastAsiaTheme="minorEastAsia" w:cstheme="minorEastAsia"/>
        </w:rPr>
      </w:pPr>
      <w:r>
        <w:rPr>
          <w:rFonts w:hint="eastAsia" w:asciiTheme="minorEastAsia" w:hAnsiTheme="minorEastAsia" w:eastAsiaTheme="minorEastAsia" w:cstheme="minorEastAsia"/>
        </w:rPr>
        <w:t>三、供应商基本情况</w:t>
      </w:r>
    </w:p>
    <w:p w14:paraId="33F4E9CE">
      <w:pPr>
        <w:rPr>
          <w:rFonts w:asciiTheme="minorEastAsia" w:hAnsiTheme="minorEastAsia" w:eastAsiaTheme="minorEastAsia" w:cstheme="minorEastAsia"/>
        </w:rPr>
      </w:pPr>
      <w:r>
        <w:rPr>
          <w:rFonts w:hint="eastAsia" w:asciiTheme="minorEastAsia" w:hAnsiTheme="minorEastAsia" w:eastAsiaTheme="minorEastAsia" w:cstheme="minorEastAsia"/>
        </w:rPr>
        <w:t>四、法定代表人（负责人或执行事务合伙人）资格证明书</w:t>
      </w:r>
    </w:p>
    <w:p w14:paraId="416B4C46">
      <w:pPr>
        <w:rPr>
          <w:rFonts w:asciiTheme="minorEastAsia" w:hAnsiTheme="minorEastAsia" w:eastAsiaTheme="minorEastAsia" w:cstheme="minorEastAsia"/>
        </w:rPr>
      </w:pPr>
      <w:r>
        <w:rPr>
          <w:rFonts w:hint="eastAsia" w:asciiTheme="minorEastAsia" w:hAnsiTheme="minorEastAsia" w:eastAsiaTheme="minorEastAsia" w:cstheme="minorEastAsia"/>
        </w:rPr>
        <w:t>五、法定代表人（负责人或执行事务合伙人）授权书</w:t>
      </w:r>
    </w:p>
    <w:p w14:paraId="69FE4CF8">
      <w:pPr>
        <w:rPr>
          <w:rFonts w:asciiTheme="minorEastAsia" w:hAnsiTheme="minorEastAsia" w:eastAsiaTheme="minorEastAsia" w:cstheme="minorEastAsia"/>
        </w:rPr>
      </w:pPr>
      <w:r>
        <w:rPr>
          <w:rFonts w:hint="eastAsia" w:asciiTheme="minorEastAsia" w:hAnsiTheme="minorEastAsia" w:eastAsiaTheme="minorEastAsia" w:cstheme="minorEastAsia"/>
        </w:rPr>
        <w:t>六、实质性条款响应情况表</w:t>
      </w:r>
    </w:p>
    <w:p w14:paraId="4D748611">
      <w:pPr>
        <w:rPr>
          <w:rFonts w:asciiTheme="minorEastAsia" w:hAnsiTheme="minorEastAsia" w:eastAsiaTheme="minorEastAsia" w:cstheme="minorEastAsia"/>
        </w:rPr>
      </w:pPr>
      <w:r>
        <w:rPr>
          <w:rFonts w:hint="eastAsia" w:asciiTheme="minorEastAsia" w:hAnsiTheme="minorEastAsia" w:eastAsiaTheme="minorEastAsia" w:cstheme="minorEastAsia"/>
        </w:rPr>
        <w:t>七、技术、商务条款偏离表</w:t>
      </w:r>
    </w:p>
    <w:p w14:paraId="14130DB5">
      <w:pPr>
        <w:rPr>
          <w:rFonts w:asciiTheme="minorEastAsia" w:hAnsiTheme="minorEastAsia" w:eastAsiaTheme="minorEastAsia" w:cstheme="minorEastAsia"/>
        </w:rPr>
      </w:pPr>
      <w:r>
        <w:rPr>
          <w:rFonts w:hint="eastAsia" w:asciiTheme="minorEastAsia" w:hAnsiTheme="minorEastAsia" w:eastAsiaTheme="minorEastAsia" w:cstheme="minorEastAsia"/>
        </w:rPr>
        <w:t>八、报价表</w:t>
      </w:r>
    </w:p>
    <w:p w14:paraId="6AEDA6DC">
      <w:pPr>
        <w:rPr>
          <w:rFonts w:asciiTheme="minorEastAsia" w:hAnsiTheme="minorEastAsia" w:eastAsiaTheme="minorEastAsia" w:cstheme="minorEastAsia"/>
        </w:rPr>
      </w:pPr>
      <w:r>
        <w:rPr>
          <w:rFonts w:hint="eastAsia" w:asciiTheme="minorEastAsia" w:hAnsiTheme="minorEastAsia" w:eastAsiaTheme="minorEastAsia" w:cstheme="minorEastAsia"/>
        </w:rPr>
        <w:t>九、政府采购违法行为风险知悉确认书</w:t>
      </w:r>
    </w:p>
    <w:p w14:paraId="644D4B61">
      <w:pPr>
        <w:rPr>
          <w:rFonts w:asciiTheme="minorEastAsia" w:hAnsiTheme="minorEastAsia" w:eastAsiaTheme="minorEastAsia" w:cstheme="minorEastAsia"/>
        </w:rPr>
      </w:pPr>
      <w:r>
        <w:rPr>
          <w:rFonts w:hint="eastAsia" w:asciiTheme="minorEastAsia" w:hAnsiTheme="minorEastAsia" w:eastAsiaTheme="minorEastAsia" w:cstheme="minorEastAsia"/>
        </w:rPr>
        <w:t>十、供应商认为需要提供的其它文件（如有）</w:t>
      </w:r>
    </w:p>
    <w:p w14:paraId="7DCC74B2">
      <w:pPr>
        <w:pStyle w:val="27"/>
        <w:rPr>
          <w:rFonts w:asciiTheme="minorEastAsia" w:hAnsiTheme="minorEastAsia" w:eastAsiaTheme="minorEastAsia" w:cstheme="minorEastAsia"/>
        </w:rPr>
      </w:pPr>
    </w:p>
    <w:p w14:paraId="75B5A385">
      <w:pPr>
        <w:widowControl/>
        <w:spacing w:before="100" w:beforeAutospacing="1" w:after="100" w:afterAutospacing="1"/>
        <w:rPr>
          <w:rFonts w:asciiTheme="minorEastAsia" w:hAnsiTheme="minorEastAsia" w:eastAsiaTheme="minorEastAsia" w:cstheme="minorEastAsia"/>
          <w:b/>
          <w:bCs/>
          <w:kern w:val="0"/>
          <w:sz w:val="24"/>
          <w:szCs w:val="36"/>
        </w:rPr>
      </w:pPr>
    </w:p>
    <w:p w14:paraId="4BE80981">
      <w:pPr>
        <w:widowControl/>
        <w:jc w:val="left"/>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74A4FAF4">
      <w:pPr>
        <w:pStyle w:val="30"/>
        <w:ind w:firstLine="0" w:firstLineChars="0"/>
        <w:jc w:val="center"/>
        <w:outlineLvl w:val="1"/>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一、询价承诺函</w:t>
      </w:r>
    </w:p>
    <w:p w14:paraId="5D65F768">
      <w:pPr>
        <w:ind w:left="480"/>
        <w:jc w:val="center"/>
        <w:rPr>
          <w:rFonts w:asciiTheme="minorEastAsia" w:hAnsiTheme="minorEastAsia" w:eastAsiaTheme="minorEastAsia" w:cstheme="minorEastAsia"/>
        </w:rPr>
      </w:pPr>
    </w:p>
    <w:p w14:paraId="0A5A72EF">
      <w:pPr>
        <w:rPr>
          <w:rFonts w:asciiTheme="minorEastAsia" w:hAnsiTheme="minorEastAsia" w:eastAsiaTheme="minorEastAsia" w:cstheme="minorEastAsia"/>
        </w:rPr>
      </w:pPr>
      <w:r>
        <w:rPr>
          <w:rFonts w:hint="eastAsia" w:asciiTheme="minorEastAsia" w:hAnsiTheme="minorEastAsia" w:eastAsiaTheme="minorEastAsia" w:cstheme="minorEastAsia"/>
        </w:rPr>
        <w:t>致：友和保险经纪有限公司</w:t>
      </w:r>
    </w:p>
    <w:p w14:paraId="51684673">
      <w:pPr>
        <w:widowControl/>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我公司申请参加项目编号为</w:t>
      </w:r>
      <w:r>
        <w:rPr>
          <w:rFonts w:hint="eastAsia" w:ascii="宋体" w:hAnsi="宋体" w:cs="宋体" w:eastAsiaTheme="minorEastAsia"/>
          <w:color w:val="FF0000"/>
          <w:kern w:val="0"/>
          <w:szCs w:val="21"/>
          <w:u w:val="single"/>
          <w:lang w:eastAsia="zh-CN"/>
        </w:rPr>
        <w:t>UHOSZSFJD2025499</w:t>
      </w:r>
      <w:r>
        <w:rPr>
          <w:rFonts w:hint="eastAsia" w:asciiTheme="minorEastAsia" w:hAnsiTheme="minorEastAsia" w:eastAsiaTheme="minorEastAsia" w:cstheme="minorEastAsia"/>
        </w:rPr>
        <w:t>的项目询价，并作出如下承诺：</w:t>
      </w:r>
    </w:p>
    <w:p w14:paraId="5E7CF084">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1、我公司已经详细研究并完全接受本次网上询价项目的所有内容（包括询价公告、询价用户需求书及询价应答文件格式等），并承诺我公司本次投标（响应）能完全响应询价要求。</w:t>
      </w:r>
    </w:p>
    <w:p w14:paraId="09B5A311">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2、我公司具备询价公告中要求的供应商资格及要求。</w:t>
      </w:r>
    </w:p>
    <w:p w14:paraId="475150F9">
      <w:pPr>
        <w:pStyle w:val="27"/>
        <w:ind w:firstLine="420" w:firstLineChars="200"/>
        <w:rPr>
          <w:rFonts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3、我公司承诺近三年内无行贿犯罪记录。</w:t>
      </w:r>
    </w:p>
    <w:p w14:paraId="66812F0A">
      <w:pPr>
        <w:pStyle w:val="27"/>
        <w:ind w:firstLine="420" w:firstLineChars="200"/>
        <w:rPr>
          <w:rFonts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4、我公司参与本项目政府采购活动时不存在被有关部门禁止参与政府采购活动且在有效期内的情况。</w:t>
      </w:r>
    </w:p>
    <w:p w14:paraId="3BA3684D">
      <w:pPr>
        <w:pStyle w:val="27"/>
        <w:ind w:firstLine="420" w:firstLineChars="200"/>
        <w:rPr>
          <w:rFonts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5、我公司具备《中华人民共和国政府采购法》第二十二条第一款的条件。</w:t>
      </w:r>
    </w:p>
    <w:p w14:paraId="40F33727">
      <w:pPr>
        <w:pStyle w:val="27"/>
        <w:ind w:firstLine="420" w:firstLineChars="200"/>
        <w:rPr>
          <w:rFonts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6、我公司不存在《深圳市财政局政府采购供应商信用信息管理办法》（深财规〔2023〕3 号）列明的严重违法失信行为，我公司未被列入失信被执行人、重大税收违法失信主体、政府采购严重违法失信行为记录名单。</w:t>
      </w:r>
    </w:p>
    <w:p w14:paraId="3CCDCE15">
      <w:pPr>
        <w:pStyle w:val="27"/>
        <w:ind w:firstLine="420" w:firstLineChars="200"/>
        <w:rPr>
          <w:rFonts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7、我单位不存在“单位负责人为同一人或者存在直接控股、管理关系的不同供应商，参加同一合同项下的政府采购活动”的情形；不存在不同投标（响应）供应商法定代表人、主要经营负责人、投标（响应）授权代表人、项目负责人、主要技术人员、投标（响应）文件编制人员为同一人、属同一单位或者在同一单位缴纳社会保险的情形。</w:t>
      </w:r>
    </w:p>
    <w:p w14:paraId="0B94ED48">
      <w:pPr>
        <w:pStyle w:val="27"/>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8.我单位不存在</w:t>
      </w:r>
      <w:r>
        <w:rPr>
          <w:rFonts w:hint="eastAsia" w:asciiTheme="minorEastAsia" w:hAnsiTheme="minorEastAsia" w:eastAsiaTheme="minorEastAsia" w:cstheme="minorEastAsia"/>
          <w:color w:val="auto"/>
          <w:kern w:val="2"/>
          <w:sz w:val="21"/>
          <w:szCs w:val="24"/>
        </w:rPr>
        <w:t>为采购项目提供整体设计、规范编制或者项目管理、监理、检测等服务的供应商</w:t>
      </w:r>
      <w:r>
        <w:rPr>
          <w:rFonts w:hint="eastAsia" w:asciiTheme="minorEastAsia" w:hAnsiTheme="minorEastAsia" w:eastAsiaTheme="minorEastAsia" w:cstheme="minorEastAsia"/>
          <w:color w:val="auto"/>
          <w:kern w:val="2"/>
          <w:sz w:val="21"/>
        </w:rPr>
        <w:t xml:space="preserve"> 。</w:t>
      </w:r>
    </w:p>
    <w:p w14:paraId="15C912D0">
      <w:pPr>
        <w:pStyle w:val="27"/>
        <w:ind w:firstLine="420" w:firstLineChars="200"/>
        <w:rPr>
          <w:rFonts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9、我司不以联合体投标（响应），不选用进口产品参与投标（响应），不转包分包。</w:t>
      </w:r>
    </w:p>
    <w:p w14:paraId="5C46B437">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10、我公司保证对本询价项目所提供的货物、服务、工程未侵犯知识产权；保证在本项目询价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14:paraId="3BDE750F">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11、我公司如果成交，将保证履行本询价项目中的所有要求（包括询价公告、询价用户需求书及询价应答文件格式等）规定的全部责任和义务，依法与采购人签订采购合同并按质、按量、按时完成履行合同义务。我公司已清楚，如违反该要求，将按《深圳经济特区政府采购条例》相关规定接受处罚。</w:t>
      </w:r>
    </w:p>
    <w:p w14:paraId="3E0FF6B3">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特此承诺！</w:t>
      </w:r>
    </w:p>
    <w:p w14:paraId="65192ED7">
      <w:pPr>
        <w:ind w:firstLine="420" w:firstLineChars="200"/>
        <w:rPr>
          <w:rFonts w:asciiTheme="minorEastAsia" w:hAnsiTheme="minorEastAsia" w:eastAsiaTheme="minorEastAsia" w:cstheme="minorEastAsia"/>
        </w:rPr>
      </w:pPr>
    </w:p>
    <w:p w14:paraId="29513A9F">
      <w:pPr>
        <w:snapToGrid w:val="0"/>
        <w:ind w:firstLine="4935" w:firstLineChars="23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供应商名称（盖章）： </w:t>
      </w:r>
    </w:p>
    <w:p w14:paraId="74CC63F7">
      <w:pPr>
        <w:snapToGrid w:val="0"/>
        <w:ind w:firstLine="4935" w:firstLineChars="23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3AD3CD8D">
      <w:pPr>
        <w:ind w:firstLine="420" w:firstLineChars="200"/>
        <w:rPr>
          <w:rFonts w:asciiTheme="minorEastAsia" w:hAnsiTheme="minorEastAsia" w:eastAsiaTheme="minorEastAsia" w:cstheme="minorEastAsia"/>
        </w:rPr>
      </w:pPr>
    </w:p>
    <w:p w14:paraId="6E4F10E2">
      <w:pPr>
        <w:widowControl/>
        <w:jc w:val="left"/>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4E3F7141">
      <w:pPr>
        <w:pStyle w:val="30"/>
        <w:ind w:firstLine="0" w:firstLineChars="0"/>
        <w:jc w:val="center"/>
        <w:outlineLvl w:val="1"/>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二、供应商资格证明文件</w:t>
      </w:r>
    </w:p>
    <w:p w14:paraId="32819DAD">
      <w:pPr>
        <w:pStyle w:val="27"/>
        <w:ind w:firstLine="420" w:firstLineChars="200"/>
        <w:rPr>
          <w:rFonts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1.供应商资格要求的证明文件：</w:t>
      </w:r>
    </w:p>
    <w:p w14:paraId="43DFD830">
      <w:pPr>
        <w:pStyle w:val="27"/>
        <w:ind w:firstLine="420" w:firstLineChars="200"/>
        <w:rPr>
          <w:rFonts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（1）营业执照复印件（加盖投标人公章）；</w:t>
      </w:r>
    </w:p>
    <w:p w14:paraId="675B21F8">
      <w:pPr>
        <w:pStyle w:val="27"/>
        <w:ind w:firstLine="420" w:firstLineChars="200"/>
        <w:rPr>
          <w:rFonts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（2）提供询价公告中关于供应商资格及要求的相关资格证明文件复印件（加盖投标人公章）。</w:t>
      </w:r>
    </w:p>
    <w:p w14:paraId="1A5C706B">
      <w:pPr>
        <w:pStyle w:val="27"/>
        <w:ind w:firstLine="420" w:firstLineChars="200"/>
        <w:rPr>
          <w:rFonts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w:t>
      </w:r>
    </w:p>
    <w:p w14:paraId="061125C2">
      <w:pPr>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294FBBBC">
      <w:pPr>
        <w:pStyle w:val="30"/>
        <w:ind w:firstLine="602"/>
        <w:jc w:val="center"/>
        <w:outlineLvl w:val="1"/>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三、供应商基本情况</w:t>
      </w:r>
    </w:p>
    <w:p w14:paraId="0D16B362">
      <w:pPr>
        <w:snapToGrid w:val="0"/>
        <w:rPr>
          <w:rFonts w:asciiTheme="minorEastAsia" w:hAnsiTheme="minorEastAsia" w:eastAsiaTheme="minorEastAsia" w:cstheme="minorEastAsia"/>
          <w:b/>
          <w:color w:val="FF0000"/>
          <w:szCs w:val="21"/>
          <w:highlight w:val="yellow"/>
        </w:rPr>
      </w:pPr>
      <w:r>
        <w:rPr>
          <w:rFonts w:hint="eastAsia" w:asciiTheme="minorEastAsia" w:hAnsiTheme="minorEastAsia" w:eastAsiaTheme="minorEastAsia" w:cstheme="minorEastAsia"/>
          <w:b/>
          <w:color w:val="FF0000"/>
          <w:szCs w:val="21"/>
        </w:rPr>
        <w:t>（注：根据《深圳经济特区政府采购条例实施细则》第七十五条规定，以下内容将作为评审委员会和主管部门判定本项目不同投标（响应）供应商是否涉嫌、属于串通投标（响应）的重要依据，请供应商认真填报，并保证所填信息的真实、准确和完整。）</w:t>
      </w:r>
    </w:p>
    <w:p w14:paraId="4E8F70C6">
      <w:pPr>
        <w:snapToGrid w:val="0"/>
        <w:rPr>
          <w:rFonts w:asciiTheme="minorEastAsia" w:hAnsiTheme="minorEastAsia" w:eastAsiaTheme="minorEastAsia" w:cstheme="minorEastAsia"/>
          <w:b/>
          <w:szCs w:val="21"/>
        </w:rPr>
      </w:pPr>
    </w:p>
    <w:p w14:paraId="1E0765A3">
      <w:pPr>
        <w:snapToGrid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1.供应商基本情况表</w:t>
      </w:r>
    </w:p>
    <w:p w14:paraId="54423F9E">
      <w:pPr>
        <w:adjustRightInd w:val="0"/>
        <w:snapToGrid w:val="0"/>
        <w:jc w:val="left"/>
        <w:rPr>
          <w:rFonts w:asciiTheme="minorEastAsia" w:hAnsiTheme="minorEastAsia" w:eastAsiaTheme="minorEastAsia" w:cstheme="minorEastAsia"/>
          <w:color w:val="9BBB59" w:themeColor="accent3"/>
          <w:sz w:val="24"/>
        </w:rPr>
      </w:pPr>
      <w:r>
        <w:rPr>
          <w:rFonts w:hint="eastAsia" w:asciiTheme="minorEastAsia" w:hAnsiTheme="minorEastAsia" w:eastAsiaTheme="minorEastAsia" w:cstheme="minorEastAsia"/>
          <w:color w:val="9BBB59" w:themeColor="accent3"/>
          <w:sz w:val="24"/>
        </w:rPr>
        <w:t>控股股东版本：</w:t>
      </w:r>
    </w:p>
    <w:p w14:paraId="6FAE97D9">
      <w:pPr>
        <w:adjustRightInd w:val="0"/>
        <w:snapToGri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填表单位（</w:t>
      </w:r>
      <w:r>
        <w:rPr>
          <w:rFonts w:hint="eastAsia" w:asciiTheme="minorEastAsia" w:hAnsiTheme="minorEastAsia" w:eastAsiaTheme="minorEastAsia" w:cstheme="minorEastAsia"/>
          <w:b/>
          <w:bCs/>
          <w:color w:val="FF0000"/>
          <w:szCs w:val="21"/>
        </w:rPr>
        <w:t>加盖单位公章</w:t>
      </w:r>
      <w:r>
        <w:rPr>
          <w:rFonts w:hint="eastAsia" w:asciiTheme="minorEastAsia" w:hAnsiTheme="minorEastAsia" w:eastAsiaTheme="minorEastAsia" w:cstheme="minorEastAsia"/>
          <w:szCs w:val="21"/>
        </w:rPr>
        <w:t>）：</w:t>
      </w:r>
    </w:p>
    <w:p w14:paraId="3F38852D">
      <w:pPr>
        <w:adjustRightInd w:val="0"/>
        <w:snapToGrid w:val="0"/>
        <w:jc w:val="left"/>
        <w:rPr>
          <w:rFonts w:asciiTheme="minorEastAsia" w:hAnsiTheme="minorEastAsia" w:eastAsiaTheme="minorEastAsia" w:cstheme="minorEastAsia"/>
        </w:rPr>
      </w:pPr>
      <w:r>
        <w:rPr>
          <w:rFonts w:hint="eastAsia" w:asciiTheme="minorEastAsia" w:hAnsiTheme="minorEastAsia" w:eastAsiaTheme="minorEastAsia" w:cstheme="minorEastAsia"/>
          <w:szCs w:val="21"/>
        </w:rPr>
        <w:t>填表日期：        年     月      日</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5"/>
        <w:gridCol w:w="1469"/>
        <w:gridCol w:w="927"/>
        <w:gridCol w:w="721"/>
        <w:gridCol w:w="1305"/>
        <w:gridCol w:w="1399"/>
        <w:gridCol w:w="1424"/>
      </w:tblGrid>
      <w:tr w14:paraId="1354D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vAlign w:val="center"/>
          </w:tcPr>
          <w:p w14:paraId="198B3BE1">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w:t>
            </w:r>
          </w:p>
        </w:tc>
        <w:tc>
          <w:tcPr>
            <w:tcW w:w="1406" w:type="pct"/>
            <w:gridSpan w:val="2"/>
            <w:vAlign w:val="center"/>
          </w:tcPr>
          <w:p w14:paraId="56257CA1">
            <w:pPr>
              <w:widowControl/>
              <w:snapToGrid w:val="0"/>
              <w:rPr>
                <w:rFonts w:asciiTheme="minorEastAsia" w:hAnsiTheme="minorEastAsia" w:eastAsiaTheme="minorEastAsia" w:cstheme="minorEastAsia"/>
                <w:bCs/>
                <w:szCs w:val="21"/>
              </w:rPr>
            </w:pPr>
          </w:p>
        </w:tc>
        <w:tc>
          <w:tcPr>
            <w:tcW w:w="1189" w:type="pct"/>
            <w:gridSpan w:val="2"/>
            <w:vAlign w:val="center"/>
          </w:tcPr>
          <w:p w14:paraId="2157DA7D">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供应商统一社会信用代码</w:t>
            </w:r>
          </w:p>
        </w:tc>
        <w:tc>
          <w:tcPr>
            <w:tcW w:w="1656" w:type="pct"/>
            <w:gridSpan w:val="2"/>
            <w:vAlign w:val="center"/>
          </w:tcPr>
          <w:p w14:paraId="20751BA7">
            <w:pPr>
              <w:widowControl/>
              <w:snapToGrid w:val="0"/>
              <w:rPr>
                <w:rFonts w:asciiTheme="minorEastAsia" w:hAnsiTheme="minorEastAsia" w:eastAsiaTheme="minorEastAsia" w:cstheme="minorEastAsia"/>
                <w:bCs/>
                <w:szCs w:val="21"/>
              </w:rPr>
            </w:pPr>
          </w:p>
        </w:tc>
      </w:tr>
      <w:tr w14:paraId="1B17C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4E5CC7C4">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投标（响应）供应商相关人员情况</w:t>
            </w:r>
          </w:p>
        </w:tc>
      </w:tr>
      <w:tr w14:paraId="547D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7" w:type="pct"/>
            <w:tcBorders>
              <w:bottom w:val="single" w:color="auto" w:sz="4" w:space="0"/>
            </w:tcBorders>
            <w:vAlign w:val="center"/>
          </w:tcPr>
          <w:p w14:paraId="402C931E">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bottom w:val="single" w:color="auto" w:sz="4" w:space="0"/>
            </w:tcBorders>
            <w:vAlign w:val="center"/>
          </w:tcPr>
          <w:p w14:paraId="483020F1">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职务</w:t>
            </w:r>
          </w:p>
        </w:tc>
        <w:tc>
          <w:tcPr>
            <w:tcW w:w="544" w:type="pct"/>
            <w:tcBorders>
              <w:bottom w:val="single" w:color="auto" w:sz="4" w:space="0"/>
            </w:tcBorders>
            <w:vAlign w:val="center"/>
          </w:tcPr>
          <w:p w14:paraId="5FBA7090">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姓名</w:t>
            </w:r>
          </w:p>
        </w:tc>
        <w:tc>
          <w:tcPr>
            <w:tcW w:w="1189" w:type="pct"/>
            <w:gridSpan w:val="2"/>
            <w:tcBorders>
              <w:bottom w:val="single" w:color="auto" w:sz="4" w:space="0"/>
            </w:tcBorders>
            <w:vAlign w:val="center"/>
          </w:tcPr>
          <w:p w14:paraId="03BD19BE">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身份证号码</w:t>
            </w:r>
          </w:p>
        </w:tc>
        <w:tc>
          <w:tcPr>
            <w:tcW w:w="821" w:type="pct"/>
            <w:tcBorders>
              <w:bottom w:val="single" w:color="auto" w:sz="4" w:space="0"/>
            </w:tcBorders>
            <w:vAlign w:val="center"/>
          </w:tcPr>
          <w:p w14:paraId="40C6924A">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劳动合同</w:t>
            </w:r>
          </w:p>
          <w:p w14:paraId="07284FD8">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关系单位</w:t>
            </w:r>
          </w:p>
        </w:tc>
        <w:tc>
          <w:tcPr>
            <w:tcW w:w="835" w:type="pct"/>
            <w:tcBorders>
              <w:bottom w:val="single" w:color="auto" w:sz="4" w:space="0"/>
            </w:tcBorders>
            <w:vAlign w:val="center"/>
          </w:tcPr>
          <w:p w14:paraId="650F88A0">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缴纳社会</w:t>
            </w:r>
          </w:p>
          <w:p w14:paraId="2F1428D7">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保险单位</w:t>
            </w:r>
          </w:p>
        </w:tc>
      </w:tr>
      <w:tr w14:paraId="2727C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25D13B2B">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3C9BF4A4">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法定代表人（或单位负责人或执行事务合伙人）</w:t>
            </w:r>
          </w:p>
        </w:tc>
        <w:tc>
          <w:tcPr>
            <w:tcW w:w="544" w:type="pct"/>
            <w:tcBorders>
              <w:top w:val="single" w:color="auto" w:sz="4" w:space="0"/>
              <w:left w:val="single" w:color="auto" w:sz="4" w:space="0"/>
              <w:bottom w:val="single" w:color="auto" w:sz="4" w:space="0"/>
              <w:right w:val="single" w:color="auto" w:sz="4" w:space="0"/>
            </w:tcBorders>
            <w:vAlign w:val="center"/>
          </w:tcPr>
          <w:p w14:paraId="432357AC">
            <w:pPr>
              <w:widowControl/>
              <w:snapToGrid w:val="0"/>
              <w:rPr>
                <w:rFonts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6C0DE6B5">
            <w:pPr>
              <w:widowControl/>
              <w:snapToGrid w:val="0"/>
              <w:rPr>
                <w:rFonts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4F07EF1F">
            <w:pPr>
              <w:widowControl/>
              <w:snapToGrid w:val="0"/>
              <w:rPr>
                <w:rFonts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26AF1C2A">
            <w:pPr>
              <w:widowControl/>
              <w:snapToGrid w:val="0"/>
              <w:rPr>
                <w:rFonts w:asciiTheme="minorEastAsia" w:hAnsiTheme="minorEastAsia" w:eastAsiaTheme="minorEastAsia" w:cstheme="minorEastAsia"/>
                <w:bCs/>
                <w:szCs w:val="21"/>
              </w:rPr>
            </w:pPr>
          </w:p>
        </w:tc>
      </w:tr>
      <w:tr w14:paraId="71CEE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4DD39CE9">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3430C962">
            <w:pPr>
              <w:widowControl/>
              <w:snapToGrid w:val="0"/>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主要经营负责人</w:t>
            </w:r>
          </w:p>
        </w:tc>
        <w:tc>
          <w:tcPr>
            <w:tcW w:w="544" w:type="pct"/>
            <w:tcBorders>
              <w:top w:val="single" w:color="auto" w:sz="4" w:space="0"/>
              <w:left w:val="single" w:color="auto" w:sz="4" w:space="0"/>
              <w:bottom w:val="single" w:color="auto" w:sz="4" w:space="0"/>
              <w:right w:val="single" w:color="auto" w:sz="4" w:space="0"/>
            </w:tcBorders>
            <w:vAlign w:val="center"/>
          </w:tcPr>
          <w:p w14:paraId="32268C20">
            <w:pPr>
              <w:widowControl/>
              <w:snapToGrid w:val="0"/>
              <w:rPr>
                <w:rFonts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43F0B998">
            <w:pPr>
              <w:widowControl/>
              <w:snapToGrid w:val="0"/>
              <w:rPr>
                <w:rFonts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67748EEA">
            <w:pPr>
              <w:widowControl/>
              <w:snapToGrid w:val="0"/>
              <w:rPr>
                <w:rFonts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2BC54E9D">
            <w:pPr>
              <w:widowControl/>
              <w:snapToGrid w:val="0"/>
              <w:rPr>
                <w:rFonts w:asciiTheme="minorEastAsia" w:hAnsiTheme="minorEastAsia" w:eastAsiaTheme="minorEastAsia" w:cstheme="minorEastAsia"/>
                <w:bCs/>
                <w:szCs w:val="21"/>
              </w:rPr>
            </w:pPr>
          </w:p>
        </w:tc>
      </w:tr>
      <w:tr w14:paraId="0D584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7B3D9234">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4CF08145">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项目投标（响应）授权代表人</w:t>
            </w:r>
          </w:p>
        </w:tc>
        <w:tc>
          <w:tcPr>
            <w:tcW w:w="544" w:type="pct"/>
            <w:tcBorders>
              <w:top w:val="single" w:color="auto" w:sz="4" w:space="0"/>
              <w:left w:val="single" w:color="auto" w:sz="4" w:space="0"/>
              <w:bottom w:val="single" w:color="auto" w:sz="4" w:space="0"/>
              <w:right w:val="single" w:color="auto" w:sz="4" w:space="0"/>
            </w:tcBorders>
            <w:vAlign w:val="center"/>
          </w:tcPr>
          <w:p w14:paraId="298583DB">
            <w:pPr>
              <w:widowControl/>
              <w:snapToGrid w:val="0"/>
              <w:rPr>
                <w:rFonts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59B10D75">
            <w:pPr>
              <w:widowControl/>
              <w:snapToGrid w:val="0"/>
              <w:rPr>
                <w:rFonts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120E8F9C">
            <w:pPr>
              <w:widowControl/>
              <w:snapToGrid w:val="0"/>
              <w:rPr>
                <w:rFonts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2E255A65">
            <w:pPr>
              <w:widowControl/>
              <w:snapToGrid w:val="0"/>
              <w:rPr>
                <w:rFonts w:asciiTheme="minorEastAsia" w:hAnsiTheme="minorEastAsia" w:eastAsiaTheme="minorEastAsia" w:cstheme="minorEastAsia"/>
                <w:bCs/>
                <w:szCs w:val="21"/>
              </w:rPr>
            </w:pPr>
          </w:p>
        </w:tc>
      </w:tr>
      <w:tr w14:paraId="1C615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7" w:type="pct"/>
            <w:tcBorders>
              <w:top w:val="single" w:color="auto" w:sz="4" w:space="0"/>
            </w:tcBorders>
            <w:vAlign w:val="center"/>
          </w:tcPr>
          <w:p w14:paraId="25DD5E63">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w:t>
            </w:r>
          </w:p>
        </w:tc>
        <w:tc>
          <w:tcPr>
            <w:tcW w:w="1223" w:type="pct"/>
            <w:gridSpan w:val="2"/>
            <w:tcBorders>
              <w:top w:val="single" w:color="auto" w:sz="4" w:space="0"/>
            </w:tcBorders>
            <w:vAlign w:val="center"/>
          </w:tcPr>
          <w:p w14:paraId="4CB1EABF">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项目负责人</w:t>
            </w:r>
          </w:p>
        </w:tc>
        <w:tc>
          <w:tcPr>
            <w:tcW w:w="544" w:type="pct"/>
            <w:tcBorders>
              <w:top w:val="single" w:color="auto" w:sz="4" w:space="0"/>
            </w:tcBorders>
            <w:vAlign w:val="center"/>
          </w:tcPr>
          <w:p w14:paraId="60CC6B11">
            <w:pPr>
              <w:widowControl/>
              <w:snapToGrid w:val="0"/>
              <w:rPr>
                <w:rFonts w:asciiTheme="minorEastAsia" w:hAnsiTheme="minorEastAsia" w:eastAsiaTheme="minorEastAsia" w:cstheme="minorEastAsia"/>
                <w:bCs/>
                <w:szCs w:val="21"/>
              </w:rPr>
            </w:pPr>
          </w:p>
        </w:tc>
        <w:tc>
          <w:tcPr>
            <w:tcW w:w="1189" w:type="pct"/>
            <w:gridSpan w:val="2"/>
            <w:tcBorders>
              <w:top w:val="single" w:color="auto" w:sz="4" w:space="0"/>
            </w:tcBorders>
            <w:vAlign w:val="center"/>
          </w:tcPr>
          <w:p w14:paraId="0FECA1BE">
            <w:pPr>
              <w:widowControl/>
              <w:snapToGrid w:val="0"/>
              <w:rPr>
                <w:rFonts w:asciiTheme="minorEastAsia" w:hAnsiTheme="minorEastAsia" w:eastAsiaTheme="minorEastAsia" w:cstheme="minorEastAsia"/>
                <w:bCs/>
                <w:szCs w:val="21"/>
              </w:rPr>
            </w:pPr>
          </w:p>
        </w:tc>
        <w:tc>
          <w:tcPr>
            <w:tcW w:w="821" w:type="pct"/>
            <w:tcBorders>
              <w:top w:val="single" w:color="auto" w:sz="4" w:space="0"/>
            </w:tcBorders>
            <w:vAlign w:val="center"/>
          </w:tcPr>
          <w:p w14:paraId="29B9E573">
            <w:pPr>
              <w:widowControl/>
              <w:snapToGrid w:val="0"/>
              <w:rPr>
                <w:rFonts w:asciiTheme="minorEastAsia" w:hAnsiTheme="minorEastAsia" w:eastAsiaTheme="minorEastAsia" w:cstheme="minorEastAsia"/>
                <w:bCs/>
                <w:szCs w:val="21"/>
              </w:rPr>
            </w:pPr>
          </w:p>
        </w:tc>
        <w:tc>
          <w:tcPr>
            <w:tcW w:w="835" w:type="pct"/>
            <w:tcBorders>
              <w:top w:val="single" w:color="auto" w:sz="4" w:space="0"/>
            </w:tcBorders>
            <w:vAlign w:val="center"/>
          </w:tcPr>
          <w:p w14:paraId="02919184">
            <w:pPr>
              <w:widowControl/>
              <w:snapToGrid w:val="0"/>
              <w:rPr>
                <w:rFonts w:asciiTheme="minorEastAsia" w:hAnsiTheme="minorEastAsia" w:eastAsiaTheme="minorEastAsia" w:cstheme="minorEastAsia"/>
                <w:bCs/>
                <w:szCs w:val="21"/>
              </w:rPr>
            </w:pPr>
          </w:p>
        </w:tc>
      </w:tr>
      <w:tr w14:paraId="065B6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49CA4C23">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p>
        </w:tc>
        <w:tc>
          <w:tcPr>
            <w:tcW w:w="1223" w:type="pct"/>
            <w:gridSpan w:val="2"/>
            <w:vAlign w:val="center"/>
          </w:tcPr>
          <w:p w14:paraId="145C33D1">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主要技术人员（如有）</w:t>
            </w:r>
          </w:p>
        </w:tc>
        <w:tc>
          <w:tcPr>
            <w:tcW w:w="544" w:type="pct"/>
            <w:vAlign w:val="center"/>
          </w:tcPr>
          <w:p w14:paraId="656DAD52">
            <w:pPr>
              <w:widowControl/>
              <w:snapToGrid w:val="0"/>
              <w:rPr>
                <w:rFonts w:asciiTheme="minorEastAsia" w:hAnsiTheme="minorEastAsia" w:eastAsiaTheme="minorEastAsia" w:cstheme="minorEastAsia"/>
                <w:bCs/>
                <w:szCs w:val="21"/>
              </w:rPr>
            </w:pPr>
          </w:p>
        </w:tc>
        <w:tc>
          <w:tcPr>
            <w:tcW w:w="1189" w:type="pct"/>
            <w:gridSpan w:val="2"/>
            <w:vAlign w:val="center"/>
          </w:tcPr>
          <w:p w14:paraId="46A5EACD">
            <w:pPr>
              <w:widowControl/>
              <w:snapToGrid w:val="0"/>
              <w:rPr>
                <w:rFonts w:asciiTheme="minorEastAsia" w:hAnsiTheme="minorEastAsia" w:eastAsiaTheme="minorEastAsia" w:cstheme="minorEastAsia"/>
                <w:bCs/>
                <w:szCs w:val="21"/>
              </w:rPr>
            </w:pPr>
          </w:p>
        </w:tc>
        <w:tc>
          <w:tcPr>
            <w:tcW w:w="821" w:type="pct"/>
            <w:vAlign w:val="center"/>
          </w:tcPr>
          <w:p w14:paraId="7E89BBFB">
            <w:pPr>
              <w:widowControl/>
              <w:snapToGrid w:val="0"/>
              <w:rPr>
                <w:rFonts w:asciiTheme="minorEastAsia" w:hAnsiTheme="minorEastAsia" w:eastAsiaTheme="minorEastAsia" w:cstheme="minorEastAsia"/>
                <w:bCs/>
                <w:szCs w:val="21"/>
              </w:rPr>
            </w:pPr>
          </w:p>
        </w:tc>
        <w:tc>
          <w:tcPr>
            <w:tcW w:w="835" w:type="pct"/>
            <w:vAlign w:val="center"/>
          </w:tcPr>
          <w:p w14:paraId="63D1CE3E">
            <w:pPr>
              <w:widowControl/>
              <w:snapToGrid w:val="0"/>
              <w:rPr>
                <w:rFonts w:asciiTheme="minorEastAsia" w:hAnsiTheme="minorEastAsia" w:eastAsiaTheme="minorEastAsia" w:cstheme="minorEastAsia"/>
                <w:bCs/>
                <w:szCs w:val="21"/>
              </w:rPr>
            </w:pPr>
          </w:p>
        </w:tc>
      </w:tr>
      <w:tr w14:paraId="76797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1102372F">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p>
        </w:tc>
        <w:tc>
          <w:tcPr>
            <w:tcW w:w="1223" w:type="pct"/>
            <w:gridSpan w:val="2"/>
            <w:vAlign w:val="center"/>
          </w:tcPr>
          <w:p w14:paraId="24993263">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投标（响应）文件编制人员</w:t>
            </w:r>
          </w:p>
        </w:tc>
        <w:tc>
          <w:tcPr>
            <w:tcW w:w="544" w:type="pct"/>
            <w:vAlign w:val="center"/>
          </w:tcPr>
          <w:p w14:paraId="700D030B">
            <w:pPr>
              <w:widowControl/>
              <w:snapToGrid w:val="0"/>
              <w:rPr>
                <w:rFonts w:asciiTheme="minorEastAsia" w:hAnsiTheme="minorEastAsia" w:eastAsiaTheme="minorEastAsia" w:cstheme="minorEastAsia"/>
                <w:bCs/>
                <w:szCs w:val="21"/>
              </w:rPr>
            </w:pPr>
          </w:p>
        </w:tc>
        <w:tc>
          <w:tcPr>
            <w:tcW w:w="1189" w:type="pct"/>
            <w:gridSpan w:val="2"/>
            <w:vAlign w:val="center"/>
          </w:tcPr>
          <w:p w14:paraId="3E395E25">
            <w:pPr>
              <w:widowControl/>
              <w:snapToGrid w:val="0"/>
              <w:rPr>
                <w:rFonts w:asciiTheme="minorEastAsia" w:hAnsiTheme="minorEastAsia" w:eastAsiaTheme="minorEastAsia" w:cstheme="minorEastAsia"/>
                <w:bCs/>
                <w:szCs w:val="21"/>
              </w:rPr>
            </w:pPr>
          </w:p>
        </w:tc>
        <w:tc>
          <w:tcPr>
            <w:tcW w:w="821" w:type="pct"/>
            <w:vAlign w:val="center"/>
          </w:tcPr>
          <w:p w14:paraId="62B7433F">
            <w:pPr>
              <w:widowControl/>
              <w:snapToGrid w:val="0"/>
              <w:rPr>
                <w:rFonts w:asciiTheme="minorEastAsia" w:hAnsiTheme="minorEastAsia" w:eastAsiaTheme="minorEastAsia" w:cstheme="minorEastAsia"/>
                <w:bCs/>
                <w:szCs w:val="21"/>
              </w:rPr>
            </w:pPr>
          </w:p>
        </w:tc>
        <w:tc>
          <w:tcPr>
            <w:tcW w:w="835" w:type="pct"/>
            <w:vAlign w:val="center"/>
          </w:tcPr>
          <w:p w14:paraId="67DCEC5D">
            <w:pPr>
              <w:widowControl/>
              <w:snapToGrid w:val="0"/>
              <w:rPr>
                <w:rFonts w:asciiTheme="minorEastAsia" w:hAnsiTheme="minorEastAsia" w:eastAsiaTheme="minorEastAsia" w:cstheme="minorEastAsia"/>
                <w:bCs/>
                <w:szCs w:val="21"/>
              </w:rPr>
            </w:pPr>
          </w:p>
        </w:tc>
      </w:tr>
      <w:tr w14:paraId="78D7A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358ED673">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说明：1.同一职务有多人担任（如主要技术人员）或同一人担任多个职务的，应分行填写。</w:t>
            </w:r>
          </w:p>
          <w:p w14:paraId="35FA11D6">
            <w:pPr>
              <w:pStyle w:val="7"/>
            </w:pPr>
            <w:r>
              <w:rPr>
                <w:rFonts w:hint="eastAsia"/>
              </w:rPr>
              <w:t>2.上述项目负责人、主要技术人员必须为供应商本单位人员。</w:t>
            </w:r>
          </w:p>
          <w:p w14:paraId="447D1980">
            <w:pPr>
              <w:pStyle w:val="7"/>
            </w:pPr>
            <w:r>
              <w:rPr>
                <w:rFonts w:hint="eastAsia"/>
              </w:rPr>
              <w:t>3.依据《民法典》第504条规定，上述单位负责人，是指非法人组织（如个体工商户、分支机构）的负责人，即对外代表该组织的自然人。</w:t>
            </w:r>
          </w:p>
        </w:tc>
      </w:tr>
      <w:tr w14:paraId="60FEE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vAlign w:val="center"/>
          </w:tcPr>
          <w:p w14:paraId="651582B6">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投标（响应）供应商关联关系情况</w:t>
            </w:r>
          </w:p>
        </w:tc>
      </w:tr>
      <w:tr w14:paraId="5BB7A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14:paraId="02297041">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2B73940B">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关联关系类型</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0B9F0EDC">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关联主体名称</w:t>
            </w: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6A4DFB40">
            <w:pPr>
              <w:widowControl/>
              <w:snapToGrid w:val="0"/>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备注</w:t>
            </w:r>
          </w:p>
        </w:tc>
      </w:tr>
      <w:tr w14:paraId="447DC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04E374D0">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3B9A3467">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控股股东</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55C3611F">
            <w:pPr>
              <w:widowControl/>
              <w:snapToGrid w:val="0"/>
              <w:rPr>
                <w:rFonts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61A87BA9">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14:paraId="52F73246">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2.如股东为法人或其他组织的,请填写法人或组织的全称及统一社会信用代码;如股东为自然人的，请填写姓名及身份证号;</w:t>
            </w:r>
          </w:p>
        </w:tc>
      </w:tr>
      <w:tr w14:paraId="0FAFE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1169EB00">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273A049E">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管理关系（如无，可不填写）</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2164DCB4">
            <w:pPr>
              <w:widowControl/>
              <w:snapToGrid w:val="0"/>
              <w:rPr>
                <w:rFonts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623AA970">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指对投标（响应）供应商不具有出资持股关系，但对其存在管理关系的主体。</w:t>
            </w:r>
          </w:p>
        </w:tc>
      </w:tr>
      <w:tr w14:paraId="2E04C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222ACEC4">
            <w:pPr>
              <w:widowControl/>
              <w:snapToGrid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p w14:paraId="3210B640">
            <w:pPr>
              <w:widowControl/>
              <w:snapToGrid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1.同一关联关系类型有多个主体的，应分行填写。</w:t>
            </w:r>
          </w:p>
          <w:p w14:paraId="46EE5DBC">
            <w:pPr>
              <w:pStyle w:val="7"/>
            </w:pPr>
            <w:r>
              <w:rPr>
                <w:rFonts w:hint="eastAsia"/>
              </w:rPr>
              <w:t>2.上述规定的控股、管理关系仅限于直接控股、直接管理关系，不包括间接的控股或管理关系。</w:t>
            </w:r>
          </w:p>
        </w:tc>
      </w:tr>
    </w:tbl>
    <w:p w14:paraId="02587E60">
      <w:pPr>
        <w:pStyle w:val="2"/>
        <w:ind w:firstLine="480"/>
        <w:rPr>
          <w:rFonts w:asciiTheme="minorEastAsia" w:hAnsiTheme="minorEastAsia" w:eastAsiaTheme="minorEastAsia" w:cstheme="minorEastAsia"/>
        </w:rPr>
      </w:pPr>
    </w:p>
    <w:p w14:paraId="3396A551">
      <w:pPr>
        <w:widowControl/>
        <w:snapToGrid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2.社保证明材料：</w:t>
      </w:r>
    </w:p>
    <w:p w14:paraId="42A77080">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（1）法定代表人（单位负责人或执行事务合伙人）</w:t>
      </w:r>
    </w:p>
    <w:p w14:paraId="54F7B921">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5725C23A">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开标前近一个月的社保缴纳凭证(须由社保部门出具，并至少载明参保人姓名、身份证号和参保单位名称)：</w:t>
      </w:r>
    </w:p>
    <w:p w14:paraId="50FDE7D0">
      <w:pPr>
        <w:widowControl/>
        <w:snapToGrid w:val="0"/>
        <w:rPr>
          <w:rFonts w:asciiTheme="minorEastAsia" w:hAnsiTheme="minorEastAsia" w:eastAsiaTheme="minorEastAsia" w:cstheme="minorEastAsia"/>
          <w:bCs/>
          <w:szCs w:val="21"/>
        </w:rPr>
      </w:pPr>
    </w:p>
    <w:p w14:paraId="17A3916F">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（2）主要经营负责人</w:t>
      </w:r>
    </w:p>
    <w:p w14:paraId="311D32C2">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7FD22DB5">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开标前近一个月的社保缴纳凭证(须由社保部门出具，并至少载明参保人姓名、身份证号和参保单位名称)：</w:t>
      </w:r>
    </w:p>
    <w:p w14:paraId="35B74F59">
      <w:pPr>
        <w:widowControl/>
        <w:snapToGrid w:val="0"/>
        <w:rPr>
          <w:rFonts w:asciiTheme="minorEastAsia" w:hAnsiTheme="minorEastAsia" w:eastAsiaTheme="minorEastAsia" w:cstheme="minorEastAsia"/>
          <w:bCs/>
          <w:szCs w:val="21"/>
        </w:rPr>
      </w:pPr>
    </w:p>
    <w:p w14:paraId="1C259A83">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（3）投标（响应）授权代表人</w:t>
      </w:r>
    </w:p>
    <w:p w14:paraId="2003CF92">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07931C4E">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开标前近一个月的社保缴纳凭证(须由社保部门出具，并至少载明参保人姓名、身份证号和参保单位名称)：</w:t>
      </w:r>
    </w:p>
    <w:p w14:paraId="37647EB2">
      <w:pPr>
        <w:widowControl/>
        <w:snapToGrid w:val="0"/>
        <w:rPr>
          <w:rFonts w:asciiTheme="minorEastAsia" w:hAnsiTheme="minorEastAsia" w:eastAsiaTheme="minorEastAsia" w:cstheme="minorEastAsia"/>
          <w:bCs/>
          <w:szCs w:val="21"/>
        </w:rPr>
      </w:pPr>
    </w:p>
    <w:p w14:paraId="512FCCD8">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（4）项目负责人</w:t>
      </w:r>
    </w:p>
    <w:p w14:paraId="1665EE2F">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493F295D">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开标前近一个月的社保缴纳凭证(须由社保部门出具，并至少载明参保人姓名、身份证号和参保单位名称)：</w:t>
      </w:r>
    </w:p>
    <w:p w14:paraId="2BABE470">
      <w:pPr>
        <w:widowControl/>
        <w:snapToGrid w:val="0"/>
        <w:rPr>
          <w:rFonts w:asciiTheme="minorEastAsia" w:hAnsiTheme="minorEastAsia" w:eastAsiaTheme="minorEastAsia" w:cstheme="minorEastAsia"/>
          <w:bCs/>
          <w:szCs w:val="21"/>
        </w:rPr>
      </w:pPr>
    </w:p>
    <w:p w14:paraId="46F9ACB1">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（5）主要技术人员</w:t>
      </w:r>
    </w:p>
    <w:p w14:paraId="6E1D3729">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524CED70">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开标前近一个月的社保缴纳凭证(须由社保部门出具，并至少载明参保人姓名、身份证号和参保单位名称)：</w:t>
      </w:r>
    </w:p>
    <w:p w14:paraId="4EBA0D5B">
      <w:pPr>
        <w:widowControl/>
        <w:snapToGrid w:val="0"/>
        <w:rPr>
          <w:rFonts w:asciiTheme="minorEastAsia" w:hAnsiTheme="minorEastAsia" w:eastAsiaTheme="minorEastAsia" w:cstheme="minorEastAsia"/>
          <w:bCs/>
          <w:szCs w:val="21"/>
        </w:rPr>
      </w:pPr>
    </w:p>
    <w:p w14:paraId="6E55D423">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（6）投标（响应）文件编制人员</w:t>
      </w:r>
    </w:p>
    <w:p w14:paraId="71297516">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323A0259">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开标前近一个月的社保缴纳凭证(须由社保部门出具，并至少载明参保人姓名、身份证号和参保单位名称)：</w:t>
      </w:r>
    </w:p>
    <w:p w14:paraId="0C377090">
      <w:pPr>
        <w:pStyle w:val="7"/>
      </w:pPr>
    </w:p>
    <w:p w14:paraId="21DFB0AD">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注：</w:t>
      </w:r>
    </w:p>
    <w:p w14:paraId="47335FC8">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1.如开标前近一个月的社保材料因社保部门原因暂时无法取得，则可以往前顺延一个月。其中项目负责人及主要技术人员社保证明须由供应商缴纳。</w:t>
      </w:r>
    </w:p>
    <w:p w14:paraId="6C17E68E">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2.供应商的项目投标（响应）授权代表人与法定代表人为同一人的，则须提供法定代表人的社保证明；本项目未安排项目负责人的，则无须提供项目负责人的社保证明。</w:t>
      </w:r>
    </w:p>
    <w:p w14:paraId="55AEF539">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3.如无法按上述要求提供人员社会保险证明材料的，提交以下材料亦视为符合：</w:t>
      </w:r>
    </w:p>
    <w:p w14:paraId="3B3E277D">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若供应商为新成立企业且成立时间不足一个月，提供加盖投标（响应）人公章的情况说明或者证明材料。若为退休人员，需提供社保部门出具的退休证明。如依法不需要缴纳社会保险的，应提供相应文件证明并对其真实性负责。若因为社保部门原因无法提供的，需提供劳动合同及社保部门官方通知证明(或官网公告截图)。</w:t>
      </w:r>
    </w:p>
    <w:p w14:paraId="5B077619">
      <w:pPr>
        <w:widowControl/>
        <w:snapToGrid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3.股权关系证明材料：</w:t>
      </w:r>
    </w:p>
    <w:p w14:paraId="5105288D">
      <w:pPr>
        <w:widowControl/>
        <w:snapToGrid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（1）股权（或管理）关系证明材料：</w:t>
      </w:r>
    </w:p>
    <w:p w14:paraId="16F4D3A3">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14:paraId="4188A67A">
      <w:pPr>
        <w:jc w:val="left"/>
        <w:rPr>
          <w:rFonts w:asciiTheme="minorEastAsia" w:hAnsiTheme="minorEastAsia" w:eastAsiaTheme="minorEastAsia" w:cstheme="minorEastAsia"/>
          <w:szCs w:val="21"/>
        </w:rPr>
      </w:pPr>
    </w:p>
    <w:p w14:paraId="6103FAFB">
      <w:pPr>
        <w:widowControl/>
        <w:snapToGrid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（2）股权关系情况承诺函</w:t>
      </w:r>
    </w:p>
    <w:p w14:paraId="0D6F2D1B">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致：深圳市司法局、友和保险经纪有限公司</w:t>
      </w:r>
    </w:p>
    <w:p w14:paraId="18F3190C">
      <w:pPr>
        <w:widowControl/>
        <w:snapToGrid w:val="0"/>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我公司申请参加天平大厦负二楼雨水池水泵及排污管闸阀更换维修项目编号为</w:t>
      </w:r>
      <w:r>
        <w:rPr>
          <w:rFonts w:hint="eastAsia" w:asciiTheme="minorEastAsia" w:hAnsiTheme="minorEastAsia" w:eastAsiaTheme="minorEastAsia" w:cstheme="minorEastAsia"/>
          <w:bCs/>
          <w:szCs w:val="21"/>
          <w:lang w:eastAsia="zh-CN"/>
        </w:rPr>
        <w:t>UHOSZSFJD2025499</w:t>
      </w:r>
      <w:r>
        <w:rPr>
          <w:rFonts w:hint="eastAsia" w:asciiTheme="minorEastAsia" w:hAnsiTheme="minorEastAsia" w:eastAsiaTheme="minorEastAsia" w:cstheme="minorEastAsia"/>
          <w:bCs/>
          <w:szCs w:val="21"/>
        </w:rPr>
        <w:t xml:space="preserve"> 的项目投标（响应），并作出如下承诺：</w:t>
      </w:r>
    </w:p>
    <w:p w14:paraId="4E12AECD">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我公司承诺所填的股权关系情况真实、准确、完整。</w:t>
      </w:r>
    </w:p>
    <w:p w14:paraId="067A16EB">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自股权关系证明材料查询之日起至本项目投标（响应）截止日止，股权关系如发生变更，将在投标（响应）文件中另行申明并附证明材料，保证不出现违背《中华人民共和国政府采购法实施条例》第十八条规定的情形。否则，自愿承担因此产生的不利后果而无异议。</w:t>
      </w:r>
    </w:p>
    <w:p w14:paraId="3CDA5907">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特此承诺！</w:t>
      </w:r>
    </w:p>
    <w:p w14:paraId="674AAE97">
      <w:pPr>
        <w:widowControl/>
        <w:snapToGrid w:val="0"/>
        <w:rPr>
          <w:rFonts w:asciiTheme="minorEastAsia" w:hAnsiTheme="minorEastAsia" w:eastAsiaTheme="minorEastAsia" w:cstheme="minorEastAsia"/>
          <w:bCs/>
          <w:szCs w:val="21"/>
        </w:rPr>
      </w:pPr>
    </w:p>
    <w:p w14:paraId="368BFFF3">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供应商名称（加盖公章</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w:t>
      </w:r>
    </w:p>
    <w:p w14:paraId="7618957A">
      <w:pPr>
        <w:widowControl/>
        <w:snapToGrid w:val="0"/>
        <w:ind w:firstLine="3360" w:firstLineChars="16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4DCD43BC">
      <w:pPr>
        <w:widowControl/>
        <w:snapToGrid w:val="0"/>
        <w:rPr>
          <w:rFonts w:asciiTheme="minorEastAsia" w:hAnsiTheme="minorEastAsia" w:eastAsiaTheme="minorEastAsia" w:cstheme="minorEastAsia"/>
          <w:bCs/>
          <w:szCs w:val="21"/>
        </w:rPr>
      </w:pPr>
    </w:p>
    <w:p w14:paraId="529EFA35">
      <w:pPr>
        <w:snapToGrid w:val="0"/>
        <w:rPr>
          <w:rFonts w:asciiTheme="minorEastAsia" w:hAnsiTheme="minorEastAsia" w:eastAsiaTheme="minorEastAsia" w:cstheme="minorEastAsia"/>
          <w:bCs/>
          <w:color w:val="FF0000"/>
          <w:szCs w:val="21"/>
        </w:rPr>
      </w:pPr>
      <w:r>
        <w:rPr>
          <w:rFonts w:hint="eastAsia" w:asciiTheme="minorEastAsia" w:hAnsiTheme="minorEastAsia" w:eastAsiaTheme="minorEastAsia" w:cstheme="minorEastAsia"/>
          <w:bCs/>
          <w:szCs w:val="21"/>
        </w:rPr>
        <w:t>注：代理机构将于截标当日同步通过上述网站进行查询，查询结果与供应商填报信息不一致的，以代理机构于截标当日的查询结果为准。</w:t>
      </w:r>
    </w:p>
    <w:p w14:paraId="3E33081A">
      <w:pPr>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79F7CCC7">
      <w:pPr>
        <w:pStyle w:val="30"/>
        <w:ind w:firstLine="0" w:firstLineChars="0"/>
        <w:jc w:val="center"/>
        <w:outlineLvl w:val="1"/>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四、法定代表人</w:t>
      </w:r>
      <w:r>
        <w:rPr>
          <w:rFonts w:hint="eastAsia" w:asciiTheme="minorEastAsia" w:hAnsiTheme="minorEastAsia" w:eastAsiaTheme="minorEastAsia" w:cstheme="minorEastAsia"/>
          <w:b/>
          <w:bCs/>
          <w:sz w:val="28"/>
          <w:szCs w:val="28"/>
        </w:rPr>
        <w:t>（负责人或执行事务合伙人）</w:t>
      </w:r>
      <w:r>
        <w:rPr>
          <w:rFonts w:hint="eastAsia" w:asciiTheme="minorEastAsia" w:hAnsiTheme="minorEastAsia" w:eastAsiaTheme="minorEastAsia" w:cstheme="minorEastAsia"/>
          <w:b/>
          <w:sz w:val="30"/>
          <w:szCs w:val="30"/>
        </w:rPr>
        <w:t>资格证明书</w:t>
      </w:r>
    </w:p>
    <w:p w14:paraId="7C72FB86">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单位名称：</w:t>
      </w:r>
    </w:p>
    <w:p w14:paraId="38B21A56">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地    址：</w:t>
      </w:r>
    </w:p>
    <w:p w14:paraId="5B608063">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姓名：     性别：    年龄：    职务：    </w:t>
      </w:r>
      <w:r>
        <w:rPr>
          <w:rFonts w:hint="eastAsia" w:asciiTheme="minorEastAsia" w:hAnsiTheme="minorEastAsia" w:eastAsiaTheme="minorEastAsia" w:cstheme="minorEastAsia"/>
          <w:sz w:val="22"/>
        </w:rPr>
        <w:t xml:space="preserve">  身份证号码：</w:t>
      </w:r>
    </w:p>
    <w:p w14:paraId="2186DF3E">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联系电话或手机号码：</w:t>
      </w:r>
      <w:r>
        <w:rPr>
          <w:rFonts w:hint="eastAsia" w:asciiTheme="minorEastAsia" w:hAnsiTheme="minorEastAsia" w:eastAsiaTheme="minorEastAsia" w:cstheme="minorEastAsia"/>
          <w:highlight w:val="yellow"/>
        </w:rPr>
        <w:t>（如法定代表人为投标（响应）人代表，则必须需填写此项）</w:t>
      </w:r>
      <w:r>
        <w:rPr>
          <w:rFonts w:hint="eastAsia" w:asciiTheme="minorEastAsia" w:hAnsiTheme="minorEastAsia" w:eastAsiaTheme="minorEastAsia" w:cstheme="minorEastAsia"/>
        </w:rPr>
        <w:t>。</w:t>
      </w:r>
    </w:p>
    <w:p w14:paraId="35847A26">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我系</w:t>
      </w:r>
      <w:r>
        <w:rPr>
          <w:rFonts w:hint="eastAsia" w:asciiTheme="minorEastAsia" w:hAnsiTheme="minorEastAsia" w:eastAsiaTheme="minorEastAsia" w:cstheme="minorEastAsia"/>
          <w:u w:val="single"/>
        </w:rPr>
        <w:t>（投标（响应）人名称）</w:t>
      </w:r>
      <w:r>
        <w:rPr>
          <w:rFonts w:hint="eastAsia" w:asciiTheme="minorEastAsia" w:hAnsiTheme="minorEastAsia" w:eastAsiaTheme="minorEastAsia" w:cstheme="minorEastAsia"/>
        </w:rPr>
        <w:t>的法定代表人（负责人或执行事务合伙人）。本证明书用于</w:t>
      </w:r>
      <w:r>
        <w:rPr>
          <w:rFonts w:hint="eastAsia" w:asciiTheme="minorEastAsia" w:hAnsiTheme="minorEastAsia" w:eastAsiaTheme="minorEastAsia" w:cstheme="minorEastAsia"/>
          <w:u w:val="single"/>
        </w:rPr>
        <w:t>（投标（响应）人名称）</w:t>
      </w:r>
      <w:r>
        <w:rPr>
          <w:rFonts w:hint="eastAsia" w:asciiTheme="minorEastAsia" w:hAnsiTheme="minorEastAsia" w:eastAsiaTheme="minorEastAsia" w:cstheme="minorEastAsia"/>
        </w:rPr>
        <w:t>签署</w:t>
      </w:r>
      <w:r>
        <w:rPr>
          <w:rFonts w:hint="eastAsia" w:asciiTheme="minorEastAsia" w:hAnsiTheme="minorEastAsia" w:eastAsiaTheme="minorEastAsia" w:cstheme="minorEastAsia"/>
          <w:u w:val="single"/>
        </w:rPr>
        <w:t>天平大厦负二楼雨水池水泵及排污管闸阀更换维修（项目编号）</w:t>
      </w:r>
      <w:r>
        <w:rPr>
          <w:rFonts w:hint="eastAsia" w:asciiTheme="minorEastAsia" w:hAnsiTheme="minorEastAsia" w:eastAsiaTheme="minorEastAsia" w:cstheme="minorEastAsia"/>
        </w:rPr>
        <w:t>项目的投标（响应）文件、进行合同投标（响应）、签署合同和处理与之有关的一切事务。</w:t>
      </w:r>
    </w:p>
    <w:p w14:paraId="17F5AC23">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特此证明。</w:t>
      </w:r>
    </w:p>
    <w:p w14:paraId="5245E8F5">
      <w:pPr>
        <w:ind w:firstLine="420" w:firstLineChars="200"/>
        <w:rPr>
          <w:rFonts w:asciiTheme="minorEastAsia" w:hAnsiTheme="minorEastAsia" w:eastAsiaTheme="minorEastAsia" w:cstheme="minorEastAsia"/>
        </w:rPr>
      </w:pPr>
    </w:p>
    <w:p w14:paraId="1D70B02C">
      <w:pPr>
        <w:snapToGrid w:val="0"/>
        <w:rPr>
          <w:rFonts w:asciiTheme="minorEastAsia" w:hAnsiTheme="minorEastAsia" w:eastAsiaTheme="minorEastAsia" w:cstheme="minorEastAsia"/>
          <w:szCs w:val="21"/>
        </w:rPr>
      </w:pPr>
    </w:p>
    <w:p w14:paraId="2B883937">
      <w:pPr>
        <w:snapToGrid w:val="0"/>
        <w:ind w:firstLine="4935" w:firstLineChars="23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供应商（盖章）： </w:t>
      </w:r>
    </w:p>
    <w:p w14:paraId="595D11DB">
      <w:pPr>
        <w:snapToGrid w:val="0"/>
        <w:ind w:firstLine="4935" w:firstLineChars="23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62BC3730">
      <w:pPr>
        <w:pStyle w:val="2"/>
        <w:ind w:firstLine="0" w:firstLineChars="0"/>
        <w:rPr>
          <w:rFonts w:asciiTheme="minorEastAsia" w:hAnsiTheme="minorEastAsia" w:eastAsiaTheme="minorEastAsia" w:cstheme="minorEastAsia"/>
          <w:b/>
          <w:bCs/>
          <w:sz w:val="22"/>
          <w:szCs w:val="20"/>
        </w:rPr>
      </w:pPr>
    </w:p>
    <w:p w14:paraId="2F7EE28A">
      <w:pPr>
        <w:ind w:firstLine="420" w:firstLineChars="200"/>
        <w:rPr>
          <w:rFonts w:asciiTheme="minorEastAsia" w:hAnsiTheme="minorEastAsia" w:eastAsiaTheme="minorEastAsia" w:cstheme="minorEastAsia"/>
          <w:szCs w:val="21"/>
        </w:rPr>
      </w:pPr>
    </w:p>
    <w:p w14:paraId="6112643E">
      <w:pPr>
        <w:numPr>
          <w:ilvl w:val="255"/>
          <w:numId w:val="0"/>
        </w:num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1776DA5B">
      <w:pPr>
        <w:numPr>
          <w:ilvl w:val="0"/>
          <w:numId w:val="4"/>
        </w:num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.本证明书要求供应商提供</w:t>
      </w:r>
      <w:r>
        <w:rPr>
          <w:rFonts w:hint="eastAsia" w:asciiTheme="minorEastAsia" w:hAnsiTheme="minorEastAsia" w:eastAsiaTheme="minorEastAsia" w:cstheme="minorEastAsia"/>
          <w:b/>
          <w:bCs/>
          <w:szCs w:val="21"/>
        </w:rPr>
        <w:t>加盖公章</w:t>
      </w:r>
      <w:r>
        <w:rPr>
          <w:rFonts w:hint="eastAsia" w:asciiTheme="minorEastAsia" w:hAnsiTheme="minorEastAsia" w:eastAsiaTheme="minorEastAsia" w:cstheme="minorEastAsia"/>
          <w:szCs w:val="21"/>
        </w:rPr>
        <w:t>后的原件方为有效；</w:t>
      </w:r>
    </w:p>
    <w:p w14:paraId="750C0F42">
      <w:pPr>
        <w:numPr>
          <w:ilvl w:val="0"/>
          <w:numId w:val="4"/>
        </w:num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须提供法定代表人（负责人或执行事务合伙人）的身份证复印件；港澳台居民可提供来往通行证复印件；非中国国籍管辖范围人员，可提供公安部门认可的身份证明材料复印件；</w:t>
      </w:r>
    </w:p>
    <w:p w14:paraId="55BE2838">
      <w:pPr>
        <w:numPr>
          <w:ilvl w:val="0"/>
          <w:numId w:val="4"/>
        </w:num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应答文件中涉及需法定代表人授权和签字（或盖私章）之处，非法人组织可由负责人或执行事务合伙人执行。</w:t>
      </w:r>
    </w:p>
    <w:p w14:paraId="6A2FDC0A">
      <w:pPr>
        <w:numPr>
          <w:ilvl w:val="0"/>
          <w:numId w:val="4"/>
        </w:num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如是法定代表人（负责人或执行事务合伙人）直接参与投标（响应），必须填写《法定代表人（负责人或执行事务合伙人）资格证明书》，可不用填写《法定代表人（负责人或执行事务合伙人）授权书》。</w:t>
      </w:r>
    </w:p>
    <w:p w14:paraId="7FED7DB1">
      <w:pPr>
        <w:pStyle w:val="2"/>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18"/>
        </w:rPr>
        <w:t>温馨提示：为避免出现《深圳经济特区政府采购条例实施细则》第七十五条第二项所列情形，请投标（响应）供应商核实贵单位法定代表人、本项目投标（响应）授权代表人、项目负责人、主要技术人员（如有）等是否在贵单位缴纳社会保险。</w:t>
      </w:r>
    </w:p>
    <w:p w14:paraId="312A3CD3">
      <w:pPr>
        <w:pStyle w:val="7"/>
      </w:pPr>
    </w:p>
    <w:tbl>
      <w:tblPr>
        <w:tblStyle w:val="21"/>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15061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trPr>
        <w:tc>
          <w:tcPr>
            <w:tcW w:w="4264" w:type="dxa"/>
          </w:tcPr>
          <w:p w14:paraId="311F9D53">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40448C81">
            <w:pPr>
              <w:pStyle w:val="2"/>
              <w:spacing w:line="240" w:lineRule="auto"/>
              <w:ind w:firstLine="480"/>
              <w:jc w:val="center"/>
              <w:rPr>
                <w:rFonts w:asciiTheme="minorEastAsia" w:hAnsiTheme="minorEastAsia" w:eastAsiaTheme="minorEastAsia" w:cstheme="minorEastAsia"/>
              </w:rPr>
            </w:pPr>
          </w:p>
          <w:p w14:paraId="1ECBB0F1">
            <w:pPr>
              <w:pStyle w:val="15"/>
              <w:spacing w:line="240" w:lineRule="auto"/>
              <w:jc w:val="center"/>
              <w:rPr>
                <w:rFonts w:asciiTheme="minorEastAsia" w:hAnsiTheme="minorEastAsia" w:eastAsiaTheme="minorEastAsia" w:cstheme="minorEastAsia"/>
              </w:rPr>
            </w:pPr>
          </w:p>
        </w:tc>
        <w:tc>
          <w:tcPr>
            <w:tcW w:w="4265" w:type="dxa"/>
          </w:tcPr>
          <w:p w14:paraId="68E349E4">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61EAB910">
            <w:pPr>
              <w:pStyle w:val="2"/>
              <w:spacing w:line="240" w:lineRule="auto"/>
              <w:ind w:firstLine="480"/>
              <w:jc w:val="center"/>
              <w:rPr>
                <w:rFonts w:asciiTheme="minorEastAsia" w:hAnsiTheme="minorEastAsia" w:eastAsiaTheme="minorEastAsia" w:cstheme="minorEastAsia"/>
              </w:rPr>
            </w:pPr>
          </w:p>
          <w:p w14:paraId="0AB73221">
            <w:pPr>
              <w:pStyle w:val="15"/>
              <w:spacing w:line="240" w:lineRule="auto"/>
              <w:jc w:val="center"/>
              <w:rPr>
                <w:rFonts w:asciiTheme="minorEastAsia" w:hAnsiTheme="minorEastAsia" w:eastAsiaTheme="minorEastAsia" w:cstheme="minorEastAsia"/>
              </w:rPr>
            </w:pPr>
          </w:p>
        </w:tc>
      </w:tr>
    </w:tbl>
    <w:p w14:paraId="0EF22794">
      <w:pPr>
        <w:snapToGrid w:val="0"/>
        <w:ind w:left="735" w:hanging="735" w:hangingChars="350"/>
        <w:rPr>
          <w:rFonts w:asciiTheme="minorEastAsia" w:hAnsiTheme="minorEastAsia" w:eastAsiaTheme="minorEastAsia" w:cstheme="minorEastAsia"/>
          <w:bCs/>
          <w:szCs w:val="21"/>
        </w:rPr>
      </w:pPr>
    </w:p>
    <w:p w14:paraId="5838312A">
      <w:pPr>
        <w:ind w:firstLine="420" w:firstLineChars="200"/>
        <w:rPr>
          <w:rFonts w:asciiTheme="minorEastAsia" w:hAnsiTheme="minorEastAsia" w:eastAsiaTheme="minorEastAsia" w:cstheme="minorEastAsia"/>
        </w:rPr>
      </w:pPr>
    </w:p>
    <w:p w14:paraId="0F4EABD2">
      <w:pPr>
        <w:widowControl/>
        <w:jc w:val="left"/>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4D4121EC">
      <w:pPr>
        <w:pStyle w:val="30"/>
        <w:ind w:firstLine="0" w:firstLineChars="0"/>
        <w:jc w:val="center"/>
        <w:outlineLvl w:val="1"/>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五、法定代表人（负责人或执行事务合伙人）授权委托书</w:t>
      </w:r>
    </w:p>
    <w:p w14:paraId="37E489D1">
      <w:pPr>
        <w:ind w:firstLine="420" w:firstLineChars="200"/>
        <w:rPr>
          <w:rFonts w:asciiTheme="minorEastAsia" w:hAnsiTheme="minorEastAsia" w:eastAsiaTheme="minorEastAsia" w:cstheme="minorEastAsia"/>
          <w:szCs w:val="21"/>
        </w:rPr>
      </w:pPr>
    </w:p>
    <w:p w14:paraId="0D322FC2">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授权委托书声明：我（姓名）系（供应商名称）的法定代表人（负责人或执行事务合伙人），现授权委托（姓名）为我公司签署本项目已递交的询价上传资料的法定代表人（负责人或执行事务合伙人）的授权委托代理人，代理人全权代表我所签署的本项目已递交的询价上传资料内容我均承认。</w:t>
      </w:r>
    </w:p>
    <w:p w14:paraId="355E16B6">
      <w:pPr>
        <w:pStyle w:val="7"/>
      </w:pPr>
      <w:r>
        <w:rPr>
          <w:rFonts w:hint="eastAsia"/>
        </w:rPr>
        <w:t>代理人无转委托权，特此委托。</w:t>
      </w:r>
    </w:p>
    <w:p w14:paraId="12A23528">
      <w:pPr>
        <w:rPr>
          <w:rFonts w:asciiTheme="minorEastAsia" w:hAnsiTheme="minorEastAsia" w:eastAsiaTheme="minorEastAsia" w:cstheme="minorEastAsia"/>
          <w:szCs w:val="21"/>
        </w:rPr>
      </w:pPr>
    </w:p>
    <w:p w14:paraId="081A6C4F">
      <w:pPr>
        <w:ind w:firstLine="539" w:firstLineChars="25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   性别：  年龄：</w:t>
      </w:r>
    </w:p>
    <w:p w14:paraId="0AA3791B">
      <w:pPr>
        <w:ind w:firstLine="539" w:firstLineChars="25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         手机：</w:t>
      </w:r>
    </w:p>
    <w:p w14:paraId="7AE0C5FE">
      <w:pPr>
        <w:ind w:firstLine="539" w:firstLineChars="25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身份证号码：       职务：</w:t>
      </w:r>
    </w:p>
    <w:p w14:paraId="2E54F53C">
      <w:pPr>
        <w:ind w:firstLine="539" w:firstLineChars="25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供应商（盖章）：</w:t>
      </w:r>
    </w:p>
    <w:p w14:paraId="5DD890F5">
      <w:pPr>
        <w:ind w:firstLine="539" w:firstLineChars="25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法定代表人（负责人或执行事务合伙人）（签字）：</w:t>
      </w:r>
    </w:p>
    <w:p w14:paraId="313B6382">
      <w:pPr>
        <w:ind w:firstLine="539" w:firstLineChars="25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授权委托日期：   年   月    日</w:t>
      </w:r>
    </w:p>
    <w:p w14:paraId="3B409786">
      <w:pPr>
        <w:ind w:firstLine="539" w:firstLineChars="257"/>
        <w:rPr>
          <w:rFonts w:asciiTheme="minorEastAsia" w:hAnsiTheme="minorEastAsia" w:eastAsiaTheme="minorEastAsia" w:cstheme="minorEastAsia"/>
          <w:szCs w:val="21"/>
        </w:rPr>
      </w:pPr>
    </w:p>
    <w:p w14:paraId="7DEF8DC2">
      <w:pPr>
        <w:pStyle w:val="7"/>
      </w:pPr>
    </w:p>
    <w:p w14:paraId="1E2D4670">
      <w:pPr>
        <w:pStyle w:val="7"/>
      </w:pPr>
    </w:p>
    <w:p w14:paraId="78CCB807">
      <w:pPr>
        <w:pStyle w:val="7"/>
      </w:pPr>
      <w:r>
        <w:rPr>
          <w:rFonts w:hint="eastAsia"/>
        </w:rPr>
        <w:t>说明：</w:t>
      </w:r>
    </w:p>
    <w:p w14:paraId="1E2A6617">
      <w:pPr>
        <w:pStyle w:val="7"/>
      </w:pPr>
      <w:r>
        <w:rPr>
          <w:rFonts w:hint="eastAsia"/>
        </w:rPr>
        <w:t>1.本授权委托书要求供应商提供有</w:t>
      </w:r>
      <w:r>
        <w:rPr>
          <w:rFonts w:hint="eastAsia"/>
          <w:b/>
          <w:bCs/>
        </w:rPr>
        <w:t>法定代表人的签字（或盖私章）和加盖公章</w:t>
      </w:r>
      <w:r>
        <w:rPr>
          <w:rFonts w:hint="eastAsia"/>
        </w:rPr>
        <w:t>后方为有效；</w:t>
      </w:r>
    </w:p>
    <w:p w14:paraId="3671666C">
      <w:pPr>
        <w:pStyle w:val="7"/>
      </w:pPr>
      <w:r>
        <w:rPr>
          <w:rFonts w:hint="eastAsia"/>
        </w:rPr>
        <w:t>2.提供被授权人的身份证复印件；港澳台居民可提供来往通行证复印件；非中国国籍管辖范围人员，可提供公安部门认可的身份证明材料复印件。</w:t>
      </w:r>
    </w:p>
    <w:p w14:paraId="218B1EBD">
      <w:pPr>
        <w:pStyle w:val="7"/>
      </w:pPr>
      <w:r>
        <w:rPr>
          <w:rFonts w:hint="eastAsia"/>
        </w:rPr>
        <w:t>3.如是代理人（受托人）参与投标（响应），则必须提供《法定代表人（负责人或执行事务合伙人）资格证明书》和《法定代表人（负责人或执行事务合伙人）授权书》。</w:t>
      </w:r>
    </w:p>
    <w:p w14:paraId="646E2338">
      <w:pPr>
        <w:pStyle w:val="7"/>
      </w:pPr>
      <w:r>
        <w:rPr>
          <w:rFonts w:hint="eastAsia"/>
        </w:rPr>
        <w:t>温馨提示：为避免出现《深圳经济特区政府采购条例实施细则》第七十五条第二项所列情形，请投标（响应）供应商核实贵单位法定代表人、本项目投标（响应）授权代表人、项目负责人、主要技术人员等是否在贵单位缴纳社会保险。</w:t>
      </w:r>
    </w:p>
    <w:tbl>
      <w:tblPr>
        <w:tblStyle w:val="21"/>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17F04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trPr>
        <w:tc>
          <w:tcPr>
            <w:tcW w:w="4264" w:type="dxa"/>
          </w:tcPr>
          <w:p w14:paraId="0F0D1B52">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36FC7350">
            <w:pPr>
              <w:pStyle w:val="2"/>
              <w:spacing w:line="240" w:lineRule="auto"/>
              <w:ind w:firstLine="480"/>
              <w:jc w:val="center"/>
              <w:rPr>
                <w:rFonts w:asciiTheme="minorEastAsia" w:hAnsiTheme="minorEastAsia" w:eastAsiaTheme="minorEastAsia" w:cstheme="minorEastAsia"/>
              </w:rPr>
            </w:pPr>
          </w:p>
          <w:p w14:paraId="6519A46B">
            <w:pPr>
              <w:pStyle w:val="15"/>
              <w:spacing w:line="240" w:lineRule="auto"/>
              <w:jc w:val="center"/>
              <w:rPr>
                <w:rFonts w:asciiTheme="minorEastAsia" w:hAnsiTheme="minorEastAsia" w:eastAsiaTheme="minorEastAsia" w:cstheme="minorEastAsia"/>
              </w:rPr>
            </w:pPr>
          </w:p>
        </w:tc>
        <w:tc>
          <w:tcPr>
            <w:tcW w:w="4265" w:type="dxa"/>
          </w:tcPr>
          <w:p w14:paraId="502CC0A9">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2DF222AA">
            <w:pPr>
              <w:pStyle w:val="2"/>
              <w:spacing w:line="240" w:lineRule="auto"/>
              <w:ind w:firstLine="480"/>
              <w:jc w:val="center"/>
              <w:rPr>
                <w:rFonts w:asciiTheme="minorEastAsia" w:hAnsiTheme="minorEastAsia" w:eastAsiaTheme="minorEastAsia" w:cstheme="minorEastAsia"/>
              </w:rPr>
            </w:pPr>
          </w:p>
          <w:p w14:paraId="6F128BE7">
            <w:pPr>
              <w:pStyle w:val="15"/>
              <w:spacing w:line="240" w:lineRule="auto"/>
              <w:jc w:val="center"/>
              <w:rPr>
                <w:rFonts w:asciiTheme="minorEastAsia" w:hAnsiTheme="minorEastAsia" w:eastAsiaTheme="minorEastAsia" w:cstheme="minorEastAsia"/>
              </w:rPr>
            </w:pPr>
          </w:p>
        </w:tc>
      </w:tr>
    </w:tbl>
    <w:p w14:paraId="0EA103A8">
      <w:pPr>
        <w:rPr>
          <w:rFonts w:asciiTheme="minorEastAsia" w:hAnsiTheme="minorEastAsia" w:eastAsiaTheme="minorEastAsia" w:cstheme="minorEastAsia"/>
        </w:rPr>
      </w:pPr>
    </w:p>
    <w:p w14:paraId="0E516CD2">
      <w:pPr>
        <w:widowControl/>
        <w:jc w:val="left"/>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42279D67">
      <w:pPr>
        <w:pStyle w:val="30"/>
        <w:ind w:firstLine="602"/>
        <w:jc w:val="center"/>
        <w:outlineLvl w:val="1"/>
        <w:rPr>
          <w:rFonts w:asciiTheme="minorEastAsia" w:hAnsiTheme="minorEastAsia" w:eastAsiaTheme="minorEastAsia" w:cstheme="minorEastAsia"/>
          <w:b/>
          <w:sz w:val="30"/>
          <w:szCs w:val="30"/>
        </w:rPr>
      </w:pPr>
      <w:bookmarkStart w:id="82" w:name="_Hlk72092634"/>
      <w:bookmarkStart w:id="83" w:name="_Toc3701"/>
      <w:r>
        <w:rPr>
          <w:rFonts w:hint="eastAsia" w:asciiTheme="minorEastAsia" w:hAnsiTheme="minorEastAsia" w:eastAsiaTheme="minorEastAsia" w:cstheme="minorEastAsia"/>
          <w:b/>
          <w:sz w:val="30"/>
          <w:szCs w:val="30"/>
        </w:rPr>
        <w:t>六、实质性条款响应情况表</w:t>
      </w:r>
      <w:bookmarkEnd w:id="82"/>
      <w:bookmarkEnd w:id="83"/>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4402"/>
        <w:gridCol w:w="2084"/>
        <w:gridCol w:w="762"/>
        <w:gridCol w:w="580"/>
      </w:tblGrid>
      <w:tr w14:paraId="6BBFA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7028D4EE">
            <w:pPr>
              <w:adjustRightInd w:val="0"/>
              <w:snapToGrid w:val="0"/>
              <w:jc w:val="center"/>
              <w:rPr>
                <w:rFonts w:asciiTheme="minorEastAsia" w:hAnsiTheme="minorEastAsia" w:eastAsiaTheme="minorEastAsia" w:cstheme="minorEastAsia"/>
                <w:szCs w:val="21"/>
              </w:rPr>
            </w:pPr>
            <w:bookmarkStart w:id="84" w:name="_Hlk72092651"/>
            <w:r>
              <w:rPr>
                <w:rFonts w:hint="eastAsia" w:asciiTheme="minorEastAsia" w:hAnsiTheme="minorEastAsia" w:eastAsiaTheme="minorEastAsia" w:cstheme="minorEastAsia"/>
                <w:szCs w:val="21"/>
              </w:rPr>
              <w:t>序号</w:t>
            </w:r>
          </w:p>
        </w:tc>
        <w:tc>
          <w:tcPr>
            <w:tcW w:w="2582" w:type="pct"/>
            <w:vAlign w:val="center"/>
          </w:tcPr>
          <w:p w14:paraId="67096765">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实质性条款具体内容</w:t>
            </w:r>
          </w:p>
        </w:tc>
        <w:tc>
          <w:tcPr>
            <w:tcW w:w="1222" w:type="pct"/>
            <w:vAlign w:val="center"/>
          </w:tcPr>
          <w:p w14:paraId="0A40613D">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响应情况</w:t>
            </w:r>
          </w:p>
        </w:tc>
        <w:tc>
          <w:tcPr>
            <w:tcW w:w="447" w:type="pct"/>
            <w:vAlign w:val="center"/>
          </w:tcPr>
          <w:p w14:paraId="61F919C0">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偏离情况</w:t>
            </w:r>
          </w:p>
        </w:tc>
        <w:tc>
          <w:tcPr>
            <w:tcW w:w="340" w:type="pct"/>
            <w:vAlign w:val="center"/>
          </w:tcPr>
          <w:p w14:paraId="1C2A0583">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tc>
      </w:tr>
      <w:bookmarkEnd w:id="84"/>
      <w:tr w14:paraId="013D8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2B4ECC19">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582" w:type="pct"/>
            <w:vAlign w:val="center"/>
          </w:tcPr>
          <w:p w14:paraId="3C12006F">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二、项目管理要求</w:t>
            </w:r>
          </w:p>
          <w:p w14:paraId="785C8854">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★1、成交单位必须作好施工记录、隐蔽工程记录、施工资料的整理、竣工资料的编制等工作。（提供承诺函）</w:t>
            </w:r>
          </w:p>
          <w:p w14:paraId="716AE96A">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★2、成交单位必须在施工现场显眼位置设置正规施工警示牌、工程概况牌，标注“温馨提示”语言。靠近人行通道边（或建设方以为有必要的其他周边）必须用整齐美观的板材围护密封施工。（提供承诺函）</w:t>
            </w:r>
          </w:p>
          <w:p w14:paraId="6D7CD282">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成交单位施工必须达到有关部门规定的安全文明施工标准，服从招标人的管理，避免干扰招标人的正常工作秩序，认真做好施工现场防护、防火、噪音、用电等安全文明施工各项管理工作，承担相应一切责任，确保施工场地区域道路通畅，保持施工现场整洁，做到工完场清，达到国家卫生城市标准。（提供承诺函）</w:t>
            </w:r>
          </w:p>
          <w:p w14:paraId="425E34D6">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★4、成交单位必须在施工过程中注意自身及周边安全，做好现场及周边安全设施搭设，遵守有关安全保护规程，负责施工过程中的所有事故处理和费用。（提供承诺函）</w:t>
            </w:r>
          </w:p>
          <w:p w14:paraId="515C9321">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★5、成交单位必须服从采购单位，监理公司的监督、指导并积极主动配合上述管理机构的工作。（提供承诺函）</w:t>
            </w:r>
          </w:p>
          <w:p w14:paraId="19B1DC70">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成交单位施工时须提供材料样板，经招标人最终确认后，方可进场使用，供应商所提供的样板或厂家应符合设计图纸要求及甲方确认要求，如供应商不能提供的可由招标人根据市场考察情况确认并实施。（提供承诺函）</w:t>
            </w:r>
          </w:p>
          <w:p w14:paraId="5B262080">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★7、用在本工程的任何材料在使用前必须得到招标人的批准，样品须在大批订货前送审。获准的样品存放在工地，作为以后验收材料的标准。样品和其包装，由中标人无偿提供。（提供承诺函）</w:t>
            </w:r>
          </w:p>
          <w:p w14:paraId="1520D59E">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★8、承包人在工程施工前，须全面检查工地情况，若发现错误须立刻通知工程师。若未能遵从此规定，使本工程的任何项目因此等错误或缺陷而错误地建造，则中标人须自费予以拆除及重建。（提供承诺函）</w:t>
            </w:r>
          </w:p>
          <w:p w14:paraId="76830C9B">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★9、实行项目经理负责制，并按应答文件配备项目管理班子。如未经招标人同意更换项目班子成员，招标人有权取消供应商的中标资格或单方面终止合同，由此造成的违约责任由承包人承担（提供承诺函）</w:t>
            </w:r>
          </w:p>
        </w:tc>
        <w:tc>
          <w:tcPr>
            <w:tcW w:w="1222" w:type="pct"/>
          </w:tcPr>
          <w:p w14:paraId="7175640D">
            <w:pPr>
              <w:adjustRightInd w:val="0"/>
              <w:snapToGrid w:val="0"/>
              <w:rPr>
                <w:rFonts w:asciiTheme="minorEastAsia" w:hAnsiTheme="minorEastAsia" w:eastAsiaTheme="minorEastAsia" w:cstheme="minorEastAsia"/>
                <w:szCs w:val="21"/>
              </w:rPr>
            </w:pPr>
          </w:p>
        </w:tc>
        <w:tc>
          <w:tcPr>
            <w:tcW w:w="447" w:type="pct"/>
          </w:tcPr>
          <w:p w14:paraId="4945AF34">
            <w:pPr>
              <w:adjustRightInd w:val="0"/>
              <w:snapToGrid w:val="0"/>
              <w:rPr>
                <w:rFonts w:asciiTheme="minorEastAsia" w:hAnsiTheme="minorEastAsia" w:eastAsiaTheme="minorEastAsia" w:cstheme="minorEastAsia"/>
                <w:szCs w:val="21"/>
              </w:rPr>
            </w:pPr>
          </w:p>
        </w:tc>
        <w:tc>
          <w:tcPr>
            <w:tcW w:w="340" w:type="pct"/>
          </w:tcPr>
          <w:p w14:paraId="2E83AA78">
            <w:pPr>
              <w:adjustRightInd w:val="0"/>
              <w:snapToGrid w:val="0"/>
              <w:rPr>
                <w:rFonts w:asciiTheme="minorEastAsia" w:hAnsiTheme="minorEastAsia" w:eastAsiaTheme="minorEastAsia" w:cstheme="minorEastAsia"/>
                <w:szCs w:val="21"/>
              </w:rPr>
            </w:pPr>
          </w:p>
        </w:tc>
      </w:tr>
    </w:tbl>
    <w:p w14:paraId="38316F5E">
      <w:pPr>
        <w:ind w:firstLine="420" w:firstLineChars="200"/>
        <w:rPr>
          <w:rFonts w:asciiTheme="minorEastAsia" w:hAnsiTheme="minorEastAsia" w:eastAsiaTheme="minorEastAsia" w:cstheme="minorEastAsia"/>
          <w:bCs/>
          <w:color w:val="000000" w:themeColor="text1"/>
          <w:szCs w:val="21"/>
        </w:rPr>
      </w:pPr>
      <w:r>
        <w:rPr>
          <w:rFonts w:hint="eastAsia" w:asciiTheme="minorEastAsia" w:hAnsiTheme="minorEastAsia" w:eastAsiaTheme="minorEastAsia" w:cstheme="minorEastAsia"/>
          <w:bCs/>
          <w:color w:val="000000" w:themeColor="text1"/>
          <w:szCs w:val="21"/>
        </w:rPr>
        <w:t>注：1. 上表所列各项均为不可负偏离条款</w:t>
      </w:r>
      <w:r>
        <w:rPr>
          <w:rFonts w:hint="eastAsia" w:asciiTheme="minorEastAsia" w:hAnsiTheme="minorEastAsia" w:eastAsiaTheme="minorEastAsia" w:cstheme="minorEastAsia"/>
          <w:color w:val="000000" w:themeColor="text1"/>
        </w:rPr>
        <w:t>，投标（响应）文件对其中任意一条不满足的将作投标（响应）无效处理</w:t>
      </w:r>
      <w:r>
        <w:rPr>
          <w:rFonts w:hint="eastAsia" w:asciiTheme="minorEastAsia" w:hAnsiTheme="minorEastAsia" w:eastAsiaTheme="minorEastAsia" w:cstheme="minorEastAsia"/>
          <w:bCs/>
          <w:color w:val="000000" w:themeColor="text1"/>
          <w:szCs w:val="21"/>
        </w:rPr>
        <w:t>。</w:t>
      </w:r>
    </w:p>
    <w:p w14:paraId="777FF525">
      <w:pPr>
        <w:ind w:firstLine="420" w:firstLineChars="200"/>
        <w:rPr>
          <w:rFonts w:asciiTheme="minorEastAsia" w:hAnsiTheme="minorEastAsia" w:eastAsiaTheme="minorEastAsia" w:cstheme="minorEastAsia"/>
          <w:bCs/>
          <w:color w:val="000000" w:themeColor="text1"/>
          <w:szCs w:val="21"/>
        </w:rPr>
      </w:pPr>
      <w:r>
        <w:rPr>
          <w:rFonts w:hint="eastAsia" w:asciiTheme="minorEastAsia" w:hAnsiTheme="minorEastAsia" w:eastAsiaTheme="minorEastAsia" w:cstheme="minorEastAsia"/>
          <w:bCs/>
          <w:color w:val="000000" w:themeColor="text1"/>
          <w:szCs w:val="21"/>
        </w:rPr>
        <w:t>2.“响应情况”一栏应当详细填写投标（响应）人自身响应情况，而不能不合理照搬照抄招实质性条款具体内容。</w:t>
      </w:r>
    </w:p>
    <w:p w14:paraId="06369F42">
      <w:pPr>
        <w:ind w:firstLine="420" w:firstLineChars="200"/>
        <w:rPr>
          <w:rFonts w:asciiTheme="minorEastAsia" w:hAnsiTheme="minorEastAsia" w:eastAsiaTheme="minorEastAsia" w:cstheme="minorEastAsia"/>
          <w:bCs/>
          <w:color w:val="000000" w:themeColor="text1"/>
          <w:szCs w:val="21"/>
        </w:rPr>
      </w:pPr>
      <w:r>
        <w:rPr>
          <w:rFonts w:hint="eastAsia" w:asciiTheme="minorEastAsia" w:hAnsiTheme="minorEastAsia" w:eastAsiaTheme="minorEastAsia" w:cstheme="minorEastAsia"/>
          <w:bCs/>
          <w:color w:val="000000" w:themeColor="text1"/>
          <w:szCs w:val="21"/>
        </w:rPr>
        <w:t>3.“偏离情况”一栏应填写“正偏离”、“负偏离”或“无偏离”，“正偏离”表示“响应情况优于实质性条款具体内容要求”，“负偏离”表示“响应情况不满足实质性条款具体内容要求”，“无偏离”表示“响应情况与实质性条款具体内容要求一致”。</w:t>
      </w:r>
    </w:p>
    <w:p w14:paraId="30B98B30">
      <w:pPr>
        <w:ind w:firstLine="420" w:firstLineChars="200"/>
        <w:rPr>
          <w:rFonts w:asciiTheme="minorEastAsia" w:hAnsiTheme="minorEastAsia" w:eastAsiaTheme="minorEastAsia" w:cstheme="minorEastAsia"/>
          <w:bCs/>
          <w:color w:val="000000" w:themeColor="text1"/>
          <w:szCs w:val="21"/>
        </w:rPr>
      </w:pPr>
      <w:r>
        <w:rPr>
          <w:rFonts w:hint="eastAsia" w:asciiTheme="minorEastAsia" w:hAnsiTheme="minorEastAsia" w:eastAsiaTheme="minorEastAsia" w:cstheme="minorEastAsia"/>
          <w:bCs/>
          <w:color w:val="000000" w:themeColor="text1"/>
          <w:szCs w:val="21"/>
        </w:rPr>
        <w:t>4.实质性响应条款“响应情况”与投标（响应）文件其它内容冲突的，以实质性响应条款“响应情况”为准。</w:t>
      </w:r>
    </w:p>
    <w:p w14:paraId="1FC0FBEB">
      <w:pPr>
        <w:rPr>
          <w:rFonts w:asciiTheme="minorEastAsia" w:hAnsiTheme="minorEastAsia" w:eastAsiaTheme="minorEastAsia" w:cstheme="minorEastAsia"/>
          <w:b/>
          <w:sz w:val="30"/>
          <w:szCs w:val="30"/>
        </w:rPr>
      </w:pPr>
    </w:p>
    <w:p w14:paraId="2939D72F">
      <w:pPr>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1B571FC2">
      <w:pPr>
        <w:pStyle w:val="30"/>
        <w:ind w:firstLine="0" w:firstLineChars="0"/>
        <w:jc w:val="center"/>
        <w:outlineLvl w:val="1"/>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七、技术、商务条款偏离表</w:t>
      </w:r>
    </w:p>
    <w:p w14:paraId="0F0FB568">
      <w:pPr>
        <w:spacing w:line="360" w:lineRule="auto"/>
        <w:rPr>
          <w:rFonts w:hint="eastAsia" w:asciiTheme="minorEastAsia" w:hAnsiTheme="minorEastAsia" w:eastAsiaTheme="minorEastAsia" w:cstheme="minorEastAsia"/>
          <w:bCs/>
          <w:color w:val="000000" w:themeColor="text1"/>
          <w:szCs w:val="21"/>
          <w:lang w:eastAsia="zh-CN"/>
        </w:rPr>
      </w:pPr>
      <w:r>
        <w:rPr>
          <w:rFonts w:hint="eastAsia" w:asciiTheme="minorEastAsia" w:hAnsiTheme="minorEastAsia" w:eastAsiaTheme="minorEastAsia" w:cstheme="minorEastAsia"/>
          <w:bCs/>
          <w:color w:val="000000" w:themeColor="text1"/>
          <w:szCs w:val="21"/>
        </w:rPr>
        <w:t>供应商名称：                               项目编号：</w:t>
      </w:r>
      <w:r>
        <w:rPr>
          <w:rFonts w:hint="eastAsia" w:ascii="宋体" w:hAnsi="宋体" w:cs="宋体" w:eastAsiaTheme="minorEastAsia"/>
          <w:color w:val="FF0000"/>
          <w:kern w:val="0"/>
          <w:szCs w:val="21"/>
          <w:u w:val="single"/>
          <w:lang w:eastAsia="zh-CN"/>
        </w:rPr>
        <w:t>UHOSZSFJD2025499</w:t>
      </w:r>
    </w:p>
    <w:tbl>
      <w:tblPr>
        <w:tblStyle w:val="20"/>
        <w:tblW w:w="4998" w:type="pct"/>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496"/>
        <w:gridCol w:w="3683"/>
        <w:gridCol w:w="2376"/>
        <w:gridCol w:w="982"/>
        <w:gridCol w:w="982"/>
      </w:tblGrid>
      <w:tr w14:paraId="414B3872">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61" w:hRule="atLeast"/>
          <w:jc w:val="center"/>
        </w:trPr>
        <w:tc>
          <w:tcPr>
            <w:tcW w:w="291" w:type="pct"/>
            <w:vAlign w:val="center"/>
          </w:tcPr>
          <w:p w14:paraId="6600535D">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161" w:type="pct"/>
            <w:vAlign w:val="center"/>
          </w:tcPr>
          <w:p w14:paraId="37F11FDE">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询价文件要求</w:t>
            </w:r>
          </w:p>
        </w:tc>
        <w:tc>
          <w:tcPr>
            <w:tcW w:w="1394" w:type="pct"/>
            <w:vAlign w:val="center"/>
          </w:tcPr>
          <w:p w14:paraId="26B44DDC">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投标（响应）文件情况</w:t>
            </w:r>
          </w:p>
        </w:tc>
        <w:tc>
          <w:tcPr>
            <w:tcW w:w="576" w:type="pct"/>
            <w:vAlign w:val="center"/>
          </w:tcPr>
          <w:p w14:paraId="18BA49C9">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偏离情况</w:t>
            </w:r>
          </w:p>
        </w:tc>
        <w:tc>
          <w:tcPr>
            <w:tcW w:w="576" w:type="pct"/>
            <w:vAlign w:val="center"/>
          </w:tcPr>
          <w:p w14:paraId="3403549E">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tc>
      </w:tr>
      <w:tr w14:paraId="1958E11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291" w:type="pct"/>
            <w:vAlign w:val="center"/>
          </w:tcPr>
          <w:p w14:paraId="2C765D6D">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161" w:type="pct"/>
            <w:vAlign w:val="center"/>
          </w:tcPr>
          <w:p w14:paraId="669432AE">
            <w:pPr>
              <w:spacing w:line="360"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《第三章 用户需求书：三、技术要求；四、材料设备要求；五、图纸；六、工程量清单》中所有条款要求。</w:t>
            </w:r>
          </w:p>
        </w:tc>
        <w:tc>
          <w:tcPr>
            <w:tcW w:w="1394" w:type="pct"/>
            <w:vAlign w:val="center"/>
          </w:tcPr>
          <w:p w14:paraId="45C8CDF4">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我公司完全响应满足采购文件中此项要求。</w:t>
            </w:r>
          </w:p>
        </w:tc>
        <w:tc>
          <w:tcPr>
            <w:tcW w:w="576" w:type="pct"/>
            <w:shd w:val="clear" w:color="auto" w:fill="auto"/>
            <w:vAlign w:val="center"/>
          </w:tcPr>
          <w:p w14:paraId="2D7E0117">
            <w:pPr>
              <w:spacing w:line="360" w:lineRule="auto"/>
              <w:jc w:val="center"/>
              <w:rPr>
                <w:rFonts w:asciiTheme="minorEastAsia" w:hAnsiTheme="minorEastAsia" w:eastAsiaTheme="minorEastAsia" w:cstheme="minorEastAsia"/>
                <w:szCs w:val="21"/>
              </w:rPr>
            </w:pPr>
          </w:p>
        </w:tc>
        <w:tc>
          <w:tcPr>
            <w:tcW w:w="576" w:type="pct"/>
            <w:vAlign w:val="center"/>
          </w:tcPr>
          <w:p w14:paraId="1D31BD16">
            <w:pPr>
              <w:spacing w:line="360" w:lineRule="auto"/>
              <w:jc w:val="center"/>
              <w:rPr>
                <w:rFonts w:asciiTheme="minorEastAsia" w:hAnsiTheme="minorEastAsia" w:eastAsiaTheme="minorEastAsia" w:cstheme="minorEastAsia"/>
                <w:szCs w:val="21"/>
              </w:rPr>
            </w:pPr>
          </w:p>
        </w:tc>
      </w:tr>
      <w:tr w14:paraId="738C0C68">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Ex>
        <w:trPr>
          <w:trHeight w:val="1341" w:hRule="atLeast"/>
          <w:jc w:val="center"/>
        </w:trPr>
        <w:tc>
          <w:tcPr>
            <w:tcW w:w="291" w:type="pct"/>
            <w:vAlign w:val="center"/>
          </w:tcPr>
          <w:p w14:paraId="2B9D5B25">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161" w:type="pct"/>
            <w:shd w:val="clear" w:color="auto" w:fill="auto"/>
            <w:vAlign w:val="center"/>
          </w:tcPr>
          <w:p w14:paraId="5A862008">
            <w:pPr>
              <w:spacing w:line="360"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《第三章 用户需求书：七、商务要求》中所有条款要求。</w:t>
            </w:r>
          </w:p>
        </w:tc>
        <w:tc>
          <w:tcPr>
            <w:tcW w:w="1394" w:type="pct"/>
            <w:shd w:val="clear" w:color="auto" w:fill="auto"/>
            <w:vAlign w:val="center"/>
          </w:tcPr>
          <w:p w14:paraId="05CD3948">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我公司完全响应满足采购文件中此项要求。</w:t>
            </w:r>
          </w:p>
        </w:tc>
        <w:tc>
          <w:tcPr>
            <w:tcW w:w="576" w:type="pct"/>
            <w:shd w:val="clear" w:color="auto" w:fill="auto"/>
            <w:vAlign w:val="center"/>
          </w:tcPr>
          <w:p w14:paraId="60B64E45">
            <w:pPr>
              <w:spacing w:line="360" w:lineRule="auto"/>
              <w:jc w:val="center"/>
              <w:rPr>
                <w:rFonts w:asciiTheme="minorEastAsia" w:hAnsiTheme="minorEastAsia" w:eastAsiaTheme="minorEastAsia" w:cstheme="minorEastAsia"/>
                <w:szCs w:val="21"/>
              </w:rPr>
            </w:pPr>
          </w:p>
        </w:tc>
        <w:tc>
          <w:tcPr>
            <w:tcW w:w="576" w:type="pct"/>
            <w:vAlign w:val="center"/>
          </w:tcPr>
          <w:p w14:paraId="44FE7C75">
            <w:pPr>
              <w:spacing w:line="360" w:lineRule="auto"/>
              <w:jc w:val="center"/>
              <w:rPr>
                <w:rFonts w:asciiTheme="minorEastAsia" w:hAnsiTheme="minorEastAsia" w:eastAsiaTheme="minorEastAsia" w:cstheme="minorEastAsia"/>
                <w:szCs w:val="21"/>
              </w:rPr>
            </w:pPr>
          </w:p>
        </w:tc>
      </w:tr>
    </w:tbl>
    <w:p w14:paraId="280467F3">
      <w:pPr>
        <w:rPr>
          <w:rFonts w:asciiTheme="minorEastAsia" w:hAnsiTheme="minorEastAsia" w:eastAsiaTheme="minorEastAsia" w:cstheme="minorEastAsia"/>
          <w:bCs/>
          <w:color w:val="000000" w:themeColor="text1"/>
          <w:szCs w:val="21"/>
        </w:rPr>
      </w:pPr>
    </w:p>
    <w:p w14:paraId="39BA5F2C">
      <w:pPr>
        <w:snapToGrid w:val="0"/>
        <w:spacing w:afterLines="25" w:line="360" w:lineRule="auto"/>
        <w:rPr>
          <w:rFonts w:asciiTheme="minorEastAsia" w:hAnsiTheme="minorEastAsia" w:eastAsiaTheme="minorEastAsia" w:cstheme="minorEastAsia"/>
          <w:b/>
          <w:szCs w:val="22"/>
        </w:rPr>
      </w:pPr>
      <w:r>
        <w:rPr>
          <w:rFonts w:hint="eastAsia" w:asciiTheme="minorEastAsia" w:hAnsiTheme="minorEastAsia" w:eastAsiaTheme="minorEastAsia" w:cstheme="minorEastAsia"/>
          <w:b/>
          <w:szCs w:val="22"/>
        </w:rPr>
        <w:t>注：</w:t>
      </w:r>
    </w:p>
    <w:p w14:paraId="526A40C6">
      <w:pPr>
        <w:snapToGrid w:val="0"/>
        <w:spacing w:afterLines="25"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b/>
          <w:bCs/>
          <w:color w:val="FF0000"/>
        </w:rPr>
        <w:t>“偏离情况”一栏应填写“正偏离”“负偏离”或“无偏离”。</w:t>
      </w:r>
      <w:r>
        <w:rPr>
          <w:rFonts w:hint="eastAsia" w:asciiTheme="minorEastAsia" w:hAnsiTheme="minorEastAsia" w:eastAsiaTheme="minorEastAsia" w:cstheme="minorEastAsia"/>
        </w:rPr>
        <w:t>其中，“正偏离”表示应答文件响应优于采购文件要求，“负偏离”表示应答文件响应不满足采购文件要求，“无偏离”表示应答文件响应与采购文件要求一致。</w:t>
      </w:r>
    </w:p>
    <w:p w14:paraId="316474C6">
      <w:pPr>
        <w:snapToGrid w:val="0"/>
        <w:spacing w:afterLines="25" w:line="360" w:lineRule="auto"/>
        <w:rPr>
          <w:rFonts w:asciiTheme="minorEastAsia" w:hAnsiTheme="minorEastAsia" w:eastAsiaTheme="minorEastAsia" w:cstheme="minorEastAsia"/>
          <w:b/>
          <w:szCs w:val="22"/>
        </w:rPr>
      </w:pPr>
      <w:r>
        <w:rPr>
          <w:rFonts w:hint="eastAsia" w:asciiTheme="minorEastAsia" w:hAnsiTheme="minorEastAsia" w:eastAsiaTheme="minorEastAsia" w:cstheme="minorEastAsia"/>
          <w:b/>
          <w:szCs w:val="22"/>
        </w:rPr>
        <w:t>2.如供应商能完全响应并满足本表【采购文件要求】栏中的内容，可在对应的【应答文件响应】栏中填写“我公司完全响应并满足采购文件中此项要求”。除询价文件另有注明外，不强制要求逐条列出投标（响应）文件情况。</w:t>
      </w:r>
    </w:p>
    <w:p w14:paraId="0D7809C7">
      <w:pPr>
        <w:ind w:firstLine="420" w:firstLineChars="200"/>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rPr>
        <w:t>3.如供应商响应情况出现“正偏离”或“负偏离”，请在【应当文件响应】栏中对存在“正偏离”或“负偏离”的条款逐条做出说明。</w:t>
      </w:r>
    </w:p>
    <w:p w14:paraId="4CE04D45">
      <w:pPr>
        <w:ind w:firstLine="420" w:firstLineChars="200"/>
        <w:rPr>
          <w:rFonts w:asciiTheme="minorEastAsia" w:hAnsiTheme="minorEastAsia" w:eastAsiaTheme="minorEastAsia" w:cstheme="minorEastAsia"/>
          <w:bCs/>
          <w:color w:val="000000" w:themeColor="text1"/>
          <w:szCs w:val="21"/>
        </w:rPr>
      </w:pPr>
    </w:p>
    <w:p w14:paraId="77D018DD">
      <w:pPr>
        <w:pStyle w:val="2"/>
        <w:ind w:firstLine="480"/>
        <w:rPr>
          <w:rFonts w:asciiTheme="minorEastAsia" w:hAnsiTheme="minorEastAsia" w:eastAsiaTheme="minorEastAsia" w:cstheme="minorEastAsia"/>
        </w:rPr>
      </w:pPr>
    </w:p>
    <w:p w14:paraId="34263870">
      <w:pPr>
        <w:rPr>
          <w:rFonts w:asciiTheme="minorEastAsia" w:hAnsiTheme="minorEastAsia" w:eastAsiaTheme="minorEastAsia" w:cstheme="minorEastAsia"/>
        </w:rPr>
      </w:pPr>
    </w:p>
    <w:p w14:paraId="216C1488">
      <w:pPr>
        <w:ind w:firstLine="3150" w:firstLineChars="1500"/>
        <w:jc w:val="left"/>
        <w:rPr>
          <w:rFonts w:asciiTheme="minorEastAsia" w:hAnsiTheme="minorEastAsia" w:eastAsiaTheme="minorEastAsia" w:cstheme="minorEastAsia"/>
          <w:color w:val="000000" w:themeColor="text1"/>
        </w:rPr>
      </w:pPr>
      <w:bookmarkStart w:id="85" w:name="_Toc22591"/>
      <w:r>
        <w:rPr>
          <w:rFonts w:hint="eastAsia" w:asciiTheme="minorEastAsia" w:hAnsiTheme="minorEastAsia" w:eastAsiaTheme="minorEastAsia" w:cstheme="minorEastAsia"/>
          <w:color w:val="000000" w:themeColor="text1"/>
        </w:rPr>
        <w:t>法定代表人或其授权委托人（</w:t>
      </w:r>
      <w:r>
        <w:rPr>
          <w:rFonts w:hint="eastAsia" w:asciiTheme="minorEastAsia" w:hAnsiTheme="minorEastAsia" w:eastAsiaTheme="minorEastAsia" w:cstheme="minorEastAsia"/>
          <w:b/>
          <w:color w:val="000000" w:themeColor="text1"/>
        </w:rPr>
        <w:t>签名或盖私章</w:t>
      </w:r>
      <w:r>
        <w:rPr>
          <w:rFonts w:hint="eastAsia" w:asciiTheme="minorEastAsia" w:hAnsiTheme="minorEastAsia" w:eastAsiaTheme="minorEastAsia" w:cstheme="minorEastAsia"/>
          <w:color w:val="000000" w:themeColor="text1"/>
        </w:rPr>
        <w:t>）：</w:t>
      </w:r>
      <w:bookmarkEnd w:id="85"/>
    </w:p>
    <w:p w14:paraId="75B8C15F">
      <w:pPr>
        <w:jc w:val="left"/>
        <w:rPr>
          <w:rFonts w:asciiTheme="minorEastAsia" w:hAnsiTheme="minorEastAsia" w:eastAsiaTheme="minorEastAsia" w:cstheme="minorEastAsia"/>
          <w:color w:val="000000" w:themeColor="text1"/>
        </w:rPr>
      </w:pPr>
    </w:p>
    <w:p w14:paraId="37748B35">
      <w:pPr>
        <w:ind w:firstLine="3150" w:firstLineChars="1500"/>
        <w:jc w:val="left"/>
        <w:rPr>
          <w:rFonts w:asciiTheme="minorEastAsia" w:hAnsiTheme="minorEastAsia" w:eastAsiaTheme="minorEastAsia" w:cstheme="minorEastAsia"/>
          <w:color w:val="000000" w:themeColor="text1"/>
        </w:rPr>
      </w:pPr>
      <w:bookmarkStart w:id="86" w:name="_Toc22524"/>
      <w:r>
        <w:rPr>
          <w:rFonts w:hint="eastAsia" w:asciiTheme="minorEastAsia" w:hAnsiTheme="minorEastAsia" w:eastAsiaTheme="minorEastAsia" w:cstheme="minorEastAsia"/>
          <w:color w:val="000000" w:themeColor="text1"/>
        </w:rPr>
        <w:t>供应商（盖章）：</w:t>
      </w:r>
      <w:bookmarkEnd w:id="86"/>
    </w:p>
    <w:p w14:paraId="26058A4D">
      <w:pPr>
        <w:jc w:val="left"/>
        <w:rPr>
          <w:rFonts w:asciiTheme="minorEastAsia" w:hAnsiTheme="minorEastAsia" w:eastAsiaTheme="minorEastAsia" w:cstheme="minorEastAsia"/>
          <w:color w:val="000000" w:themeColor="text1"/>
        </w:rPr>
      </w:pPr>
    </w:p>
    <w:p w14:paraId="03E06D3F">
      <w:pPr>
        <w:ind w:firstLine="3150" w:firstLineChars="1500"/>
        <w:jc w:val="left"/>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日期：    年  月  日</w:t>
      </w:r>
    </w:p>
    <w:p w14:paraId="52378057">
      <w:pPr>
        <w:pStyle w:val="2"/>
        <w:spacing w:line="240" w:lineRule="auto"/>
        <w:ind w:firstLine="480"/>
        <w:rPr>
          <w:rFonts w:asciiTheme="minorEastAsia" w:hAnsiTheme="minorEastAsia" w:eastAsiaTheme="minorEastAsia" w:cstheme="minorEastAsia"/>
        </w:rPr>
      </w:pPr>
    </w:p>
    <w:p w14:paraId="06B668AF">
      <w:pPr>
        <w:rPr>
          <w:rFonts w:asciiTheme="minorEastAsia" w:hAnsiTheme="minorEastAsia" w:eastAsiaTheme="minorEastAsia" w:cstheme="minorEastAsia"/>
          <w:szCs w:val="21"/>
        </w:rPr>
      </w:pPr>
    </w:p>
    <w:p w14:paraId="08467B73">
      <w:pPr>
        <w:widowControl/>
        <w:jc w:val="left"/>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Cs w:val="21"/>
        </w:rPr>
        <w:br w:type="page"/>
      </w:r>
    </w:p>
    <w:p w14:paraId="24CAE772">
      <w:pPr>
        <w:pStyle w:val="30"/>
        <w:ind w:firstLine="0" w:firstLineChars="0"/>
        <w:jc w:val="center"/>
        <w:outlineLvl w:val="1"/>
        <w:rPr>
          <w:rFonts w:asciiTheme="minorEastAsia" w:hAnsiTheme="minorEastAsia" w:eastAsiaTheme="minorEastAsia" w:cstheme="minorEastAsia"/>
        </w:rPr>
      </w:pPr>
      <w:r>
        <w:rPr>
          <w:rFonts w:hint="eastAsia" w:asciiTheme="minorEastAsia" w:hAnsiTheme="minorEastAsia" w:eastAsiaTheme="minorEastAsia" w:cstheme="minorEastAsia"/>
          <w:b/>
          <w:sz w:val="30"/>
          <w:szCs w:val="30"/>
        </w:rPr>
        <w:t>八、报价表</w:t>
      </w:r>
    </w:p>
    <w:p w14:paraId="25D1674B">
      <w:pPr>
        <w:pStyle w:val="30"/>
        <w:ind w:firstLine="0" w:firstLineChars="0"/>
        <w:jc w:val="center"/>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8"/>
          <w:szCs w:val="28"/>
        </w:rPr>
        <w:t>（一）报价一览表</w:t>
      </w:r>
      <w:bookmarkStart w:id="87" w:name="OLE_LINK46"/>
      <w:bookmarkStart w:id="88" w:name="OLE_LINK48"/>
    </w:p>
    <w:p w14:paraId="0DFF181B">
      <w:pPr>
        <w:spacing w:line="360" w:lineRule="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项目编号：</w:t>
      </w:r>
      <w:r>
        <w:rPr>
          <w:rFonts w:hint="eastAsia" w:ascii="宋体" w:hAnsi="宋体" w:cs="宋体" w:eastAsiaTheme="minorEastAsia"/>
          <w:color w:val="FF0000"/>
          <w:kern w:val="0"/>
          <w:szCs w:val="21"/>
          <w:u w:val="single"/>
          <w:lang w:eastAsia="zh-CN"/>
        </w:rPr>
        <w:t>UHOSZSFJD2025499</w:t>
      </w:r>
    </w:p>
    <w:tbl>
      <w:tblPr>
        <w:tblStyle w:val="20"/>
        <w:tblW w:w="496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2507"/>
        <w:gridCol w:w="3110"/>
        <w:gridCol w:w="976"/>
      </w:tblGrid>
      <w:tr w14:paraId="63D355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101" w:type="pct"/>
            <w:vAlign w:val="center"/>
          </w:tcPr>
          <w:p w14:paraId="701D7380">
            <w:pPr>
              <w:pStyle w:val="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p>
        </w:tc>
        <w:tc>
          <w:tcPr>
            <w:tcW w:w="1482" w:type="pct"/>
            <w:vAlign w:val="center"/>
          </w:tcPr>
          <w:p w14:paraId="5AB57A26">
            <w:pPr>
              <w:pStyle w:val="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报价总价</w:t>
            </w:r>
          </w:p>
          <w:p w14:paraId="13052DC6">
            <w:pPr>
              <w:pStyle w:val="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（人民币/元）</w:t>
            </w:r>
          </w:p>
        </w:tc>
        <w:tc>
          <w:tcPr>
            <w:tcW w:w="1838" w:type="pct"/>
            <w:vAlign w:val="center"/>
          </w:tcPr>
          <w:p w14:paraId="6CC21FBA">
            <w:pPr>
              <w:pStyle w:val="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工期</w:t>
            </w:r>
          </w:p>
        </w:tc>
        <w:tc>
          <w:tcPr>
            <w:tcW w:w="577" w:type="pct"/>
            <w:vAlign w:val="center"/>
          </w:tcPr>
          <w:p w14:paraId="7D890D98">
            <w:pPr>
              <w:pStyle w:val="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597477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1101" w:type="pct"/>
            <w:vAlign w:val="center"/>
          </w:tcPr>
          <w:p w14:paraId="1314A824">
            <w:pPr>
              <w:pStyle w:val="10"/>
              <w:rPr>
                <w:rFonts w:asciiTheme="minorEastAsia" w:hAnsiTheme="minorEastAsia" w:eastAsiaTheme="minorEastAsia" w:cstheme="minorEastAsia"/>
                <w:szCs w:val="21"/>
              </w:rPr>
            </w:pPr>
            <w:r>
              <w:rPr>
                <w:rFonts w:hint="eastAsia" w:asciiTheme="minorEastAsia" w:hAnsiTheme="minorEastAsia" w:eastAsiaTheme="minorEastAsia" w:cstheme="minorEastAsia"/>
                <w:bCs/>
                <w:color w:val="FF0000"/>
                <w:szCs w:val="21"/>
              </w:rPr>
              <w:t>天平大厦负二楼雨水池水泵及排污管闸阀更换维修</w:t>
            </w:r>
          </w:p>
        </w:tc>
        <w:tc>
          <w:tcPr>
            <w:tcW w:w="1482" w:type="pct"/>
            <w:vAlign w:val="center"/>
          </w:tcPr>
          <w:p w14:paraId="5BE8F18F">
            <w:pPr>
              <w:pStyle w:val="10"/>
              <w:rPr>
                <w:rFonts w:asciiTheme="minorEastAsia" w:hAnsiTheme="minorEastAsia" w:eastAsiaTheme="minorEastAsia" w:cstheme="minorEastAsia"/>
                <w:szCs w:val="21"/>
              </w:rPr>
            </w:pPr>
          </w:p>
          <w:p w14:paraId="055A66B4">
            <w:pPr>
              <w:pStyle w:val="1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小写：</w:t>
            </w:r>
          </w:p>
          <w:p w14:paraId="359845D9">
            <w:pPr>
              <w:pStyle w:val="10"/>
              <w:rPr>
                <w:rFonts w:asciiTheme="minorEastAsia" w:hAnsiTheme="minorEastAsia" w:eastAsiaTheme="minorEastAsia" w:cstheme="minorEastAsia"/>
                <w:szCs w:val="21"/>
              </w:rPr>
            </w:pPr>
          </w:p>
          <w:p w14:paraId="1F302335">
            <w:pPr>
              <w:pStyle w:val="1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大写：</w:t>
            </w:r>
          </w:p>
          <w:p w14:paraId="0B51490C">
            <w:pPr>
              <w:pStyle w:val="10"/>
              <w:rPr>
                <w:rFonts w:asciiTheme="minorEastAsia" w:hAnsiTheme="minorEastAsia" w:eastAsiaTheme="minorEastAsia" w:cstheme="minorEastAsia"/>
                <w:szCs w:val="21"/>
              </w:rPr>
            </w:pPr>
          </w:p>
        </w:tc>
        <w:tc>
          <w:tcPr>
            <w:tcW w:w="1838" w:type="pct"/>
            <w:vAlign w:val="center"/>
          </w:tcPr>
          <w:p w14:paraId="0CF9D5EE">
            <w:pPr>
              <w:pStyle w:val="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合同签订后15个日历天</w:t>
            </w:r>
          </w:p>
        </w:tc>
        <w:tc>
          <w:tcPr>
            <w:tcW w:w="577" w:type="pct"/>
            <w:vAlign w:val="center"/>
          </w:tcPr>
          <w:p w14:paraId="6FA10AAD">
            <w:pPr>
              <w:pStyle w:val="10"/>
              <w:rPr>
                <w:rFonts w:asciiTheme="minorEastAsia" w:hAnsiTheme="minorEastAsia" w:eastAsiaTheme="minorEastAsia" w:cstheme="minorEastAsia"/>
                <w:szCs w:val="21"/>
              </w:rPr>
            </w:pPr>
          </w:p>
        </w:tc>
      </w:tr>
    </w:tbl>
    <w:p w14:paraId="0FE842FB">
      <w:pPr>
        <w:rPr>
          <w:rFonts w:asciiTheme="minorEastAsia" w:hAnsiTheme="minorEastAsia" w:eastAsiaTheme="minorEastAsia" w:cstheme="minorEastAsia"/>
          <w:szCs w:val="21"/>
        </w:rPr>
      </w:pPr>
    </w:p>
    <w:p w14:paraId="2E387441">
      <w:pPr>
        <w:spacing w:line="360" w:lineRule="auto"/>
        <w:ind w:firstLine="422" w:firstLineChars="200"/>
        <w:rPr>
          <w:rFonts w:asciiTheme="minorEastAsia" w:hAnsiTheme="minorEastAsia" w:eastAsiaTheme="minorEastAsia" w:cstheme="minorEastAsia"/>
          <w:b/>
          <w:szCs w:val="21"/>
        </w:rPr>
      </w:pPr>
    </w:p>
    <w:p w14:paraId="1DC0BADB">
      <w:pPr>
        <w:pStyle w:val="2"/>
        <w:ind w:firstLine="420"/>
        <w:rPr>
          <w:rFonts w:asciiTheme="minorEastAsia" w:hAnsiTheme="minorEastAsia" w:eastAsiaTheme="minorEastAsia" w:cstheme="minorEastAsia"/>
          <w:sz w:val="21"/>
          <w:szCs w:val="21"/>
        </w:rPr>
      </w:pPr>
    </w:p>
    <w:p w14:paraId="4C015FFC">
      <w:pPr>
        <w:widowControl/>
        <w:spacing w:line="360" w:lineRule="auto"/>
        <w:ind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注：</w:t>
      </w:r>
    </w:p>
    <w:p w14:paraId="0E3EDB85">
      <w:pPr>
        <w:widowControl/>
        <w:spacing w:line="360" w:lineRule="auto"/>
        <w:ind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1.价格应按“询价文件”中规定的货币单位填写。</w:t>
      </w:r>
    </w:p>
    <w:p w14:paraId="60987F51">
      <w:pPr>
        <w:widowControl/>
        <w:spacing w:line="360" w:lineRule="auto"/>
        <w:ind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2.供应商如果需要对报价或其他内容加以说明，可在备注栏填写。</w:t>
      </w:r>
    </w:p>
    <w:p w14:paraId="72D70850">
      <w:pPr>
        <w:widowControl/>
        <w:spacing w:line="360" w:lineRule="auto"/>
        <w:ind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3.若报价一览表中大写金额和小写金额不一致的，以大写金额为准。</w:t>
      </w:r>
    </w:p>
    <w:p w14:paraId="5279A007">
      <w:pPr>
        <w:widowControl/>
        <w:spacing w:line="360" w:lineRule="auto"/>
        <w:ind w:firstLine="422" w:firstLineChars="200"/>
        <w:rPr>
          <w:rFonts w:asciiTheme="minorEastAsia" w:hAnsiTheme="minorEastAsia" w:eastAsiaTheme="minorEastAsia" w:cstheme="minorEastAsia"/>
          <w:b/>
          <w:bCs/>
          <w:kern w:val="0"/>
          <w:szCs w:val="21"/>
        </w:rPr>
      </w:pPr>
    </w:p>
    <w:p w14:paraId="305E571D">
      <w:pPr>
        <w:widowControl/>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73AAA07A">
      <w:pPr>
        <w:widowControl/>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6EF2DF60">
      <w:pPr>
        <w:widowControl/>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352720D5">
      <w:pP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4E1CEA01">
      <w:pPr>
        <w:jc w:val="center"/>
        <w:outlineLvl w:val="2"/>
        <w:rPr>
          <w:rFonts w:ascii="宋体" w:hAnsi="宋体" w:cs="宋体"/>
          <w:bCs/>
          <w:szCs w:val="21"/>
        </w:rPr>
      </w:pPr>
      <w:r>
        <w:rPr>
          <w:rFonts w:hint="eastAsia" w:ascii="宋体" w:hAnsi="宋体" w:cs="宋体"/>
          <w:b/>
          <w:bCs/>
          <w:sz w:val="28"/>
          <w:szCs w:val="28"/>
        </w:rPr>
        <w:t>（二）工程量清单报价表</w:t>
      </w:r>
    </w:p>
    <w:p w14:paraId="6659548D">
      <w:pPr>
        <w:snapToGrid w:val="0"/>
        <w:jc w:val="center"/>
        <w:rPr>
          <w:rFonts w:ascii="仿宋" w:hAnsi="仿宋" w:eastAsia="仿宋" w:cs="仿宋"/>
          <w:color w:val="000000"/>
          <w:sz w:val="24"/>
        </w:rPr>
      </w:pPr>
      <w:r>
        <w:rPr>
          <w:rFonts w:hint="eastAsia" w:ascii="仿宋" w:hAnsi="仿宋" w:eastAsia="仿宋" w:cs="仿宋"/>
        </w:rPr>
        <w:t>（参考格式，投标人可根据征集文件要求和自身实际情况修改）</w:t>
      </w:r>
    </w:p>
    <w:p w14:paraId="6E5AF572">
      <w:pPr>
        <w:ind w:firstLine="480" w:firstLineChars="200"/>
        <w:rPr>
          <w:rFonts w:asciiTheme="minorEastAsia" w:hAnsiTheme="minorEastAsia" w:eastAsiaTheme="minorEastAsia" w:cstheme="minorEastAsia"/>
          <w:bCs/>
          <w:color w:val="000000" w:themeColor="text1"/>
          <w:sz w:val="24"/>
        </w:rPr>
      </w:pPr>
    </w:p>
    <w:p w14:paraId="5C9BC9DE">
      <w:pPr>
        <w:ind w:firstLine="480" w:firstLineChars="200"/>
        <w:rPr>
          <w:rFonts w:asciiTheme="minorEastAsia" w:hAnsiTheme="minorEastAsia" w:eastAsiaTheme="minorEastAsia" w:cstheme="minorEastAsia"/>
          <w:bCs/>
          <w:color w:val="000000" w:themeColor="text1"/>
          <w:sz w:val="24"/>
        </w:rPr>
      </w:pPr>
    </w:p>
    <w:p w14:paraId="6E7C36C9">
      <w:pPr>
        <w:ind w:firstLine="420"/>
        <w:jc w:val="left"/>
        <w:rPr>
          <w:rFonts w:asciiTheme="minorEastAsia" w:hAnsiTheme="minorEastAsia" w:eastAsiaTheme="minorEastAsia" w:cstheme="minorEastAsia"/>
          <w:color w:val="000000" w:themeColor="text1"/>
          <w:sz w:val="24"/>
        </w:rPr>
      </w:pPr>
    </w:p>
    <w:p w14:paraId="4C75F249">
      <w:pPr>
        <w:widowControl/>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628B8CC4">
      <w:pPr>
        <w:widowControl/>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7A63F6A0">
      <w:pPr>
        <w:widowControl/>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4538654A">
      <w:pPr>
        <w:ind w:firstLine="422" w:firstLineChars="200"/>
        <w:rPr>
          <w:rFonts w:asciiTheme="minorEastAsia" w:hAnsiTheme="minorEastAsia" w:eastAsiaTheme="minorEastAsia" w:cstheme="minorEastAsia"/>
          <w:b/>
          <w:bCs/>
          <w:szCs w:val="21"/>
        </w:rPr>
      </w:pPr>
    </w:p>
    <w:bookmarkEnd w:id="87"/>
    <w:bookmarkEnd w:id="88"/>
    <w:p w14:paraId="2B4E6221">
      <w:pPr>
        <w:widowControl/>
        <w:jc w:val="left"/>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69521A4D">
      <w:pPr>
        <w:pStyle w:val="30"/>
        <w:ind w:firstLine="602"/>
        <w:jc w:val="center"/>
        <w:outlineLvl w:val="1"/>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九、政府采购违法行为风险知悉确认书</w:t>
      </w:r>
    </w:p>
    <w:p w14:paraId="33228137">
      <w:pPr>
        <w:spacing w:afterLines="50" w:line="360" w:lineRule="exact"/>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我单位在投标（响应）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0321A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Pr>
          <w:p w14:paraId="17439D95">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7811" w:type="dxa"/>
          </w:tcPr>
          <w:p w14:paraId="44F15F21">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供应商参与投标（响应）禁止情形</w:t>
            </w:r>
          </w:p>
        </w:tc>
      </w:tr>
      <w:tr w14:paraId="4FEF4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0E1A4ACD">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7811" w:type="dxa"/>
            <w:vAlign w:val="center"/>
          </w:tcPr>
          <w:p w14:paraId="39849CEA">
            <w:pPr>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与其他投标（响应）供应商的法定代表人、主要经营负责人、投标（响应）授权代表人、项目负责人、主要技术人员为</w:t>
            </w:r>
            <w:r>
              <w:rPr>
                <w:rFonts w:hint="eastAsia" w:asciiTheme="minorEastAsia" w:hAnsiTheme="minorEastAsia" w:eastAsiaTheme="minorEastAsia" w:cstheme="minorEastAsia"/>
                <w:b/>
                <w:bCs/>
                <w:szCs w:val="21"/>
              </w:rPr>
              <w:t>同一人、属同一单位或者在同一单位缴纳社会保险</w:t>
            </w:r>
            <w:r>
              <w:rPr>
                <w:rFonts w:hint="eastAsia" w:asciiTheme="minorEastAsia" w:hAnsiTheme="minorEastAsia" w:eastAsiaTheme="minorEastAsia" w:cstheme="minorEastAsia"/>
                <w:szCs w:val="21"/>
              </w:rPr>
              <w:t>。</w:t>
            </w:r>
          </w:p>
        </w:tc>
      </w:tr>
      <w:tr w14:paraId="20117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6202EBAC">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7811" w:type="dxa"/>
            <w:vAlign w:val="center"/>
          </w:tcPr>
          <w:p w14:paraId="042656D2">
            <w:pPr>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参与本项目政府采购活动时，与其他投标（响应）供应商存在单位负责人为</w:t>
            </w:r>
            <w:r>
              <w:rPr>
                <w:rFonts w:hint="eastAsia" w:asciiTheme="minorEastAsia" w:hAnsiTheme="minorEastAsia" w:eastAsiaTheme="minorEastAsia" w:cstheme="minorEastAsia"/>
                <w:b/>
                <w:bCs/>
                <w:szCs w:val="21"/>
              </w:rPr>
              <w:t>同一人或直接控股、管理关系</w:t>
            </w:r>
            <w:r>
              <w:rPr>
                <w:rFonts w:hint="eastAsia" w:asciiTheme="minorEastAsia" w:hAnsiTheme="minorEastAsia" w:eastAsiaTheme="minorEastAsia" w:cstheme="minorEastAsia"/>
                <w:szCs w:val="21"/>
              </w:rPr>
              <w:t>。</w:t>
            </w:r>
          </w:p>
        </w:tc>
      </w:tr>
      <w:tr w14:paraId="1D3F9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595B84C7">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7811" w:type="dxa"/>
            <w:vAlign w:val="center"/>
          </w:tcPr>
          <w:p w14:paraId="75FC0221">
            <w:pPr>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与其他投标（响应）供应商的投标（响应）文件或部分投标（响应）文件</w:t>
            </w:r>
            <w:r>
              <w:rPr>
                <w:rFonts w:hint="eastAsia" w:asciiTheme="minorEastAsia" w:hAnsiTheme="minorEastAsia" w:eastAsiaTheme="minorEastAsia" w:cstheme="minorEastAsia"/>
                <w:b/>
                <w:bCs/>
                <w:szCs w:val="21"/>
              </w:rPr>
              <w:t>相互混装或存在非正常一致</w:t>
            </w:r>
            <w:r>
              <w:rPr>
                <w:rFonts w:hint="eastAsia" w:asciiTheme="minorEastAsia" w:hAnsiTheme="minorEastAsia" w:eastAsiaTheme="minorEastAsia" w:cstheme="minorEastAsia"/>
                <w:szCs w:val="21"/>
              </w:rPr>
              <w:t>。</w:t>
            </w:r>
          </w:p>
        </w:tc>
      </w:tr>
      <w:tr w14:paraId="00AD7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5791785C">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7811" w:type="dxa"/>
            <w:vAlign w:val="center"/>
          </w:tcPr>
          <w:p w14:paraId="15C1976B">
            <w:pPr>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与其他投标（响应）供应商的投标（响应）文件由</w:t>
            </w:r>
            <w:r>
              <w:rPr>
                <w:rFonts w:hint="eastAsia" w:asciiTheme="minorEastAsia" w:hAnsiTheme="minorEastAsia" w:eastAsiaTheme="minorEastAsia" w:cstheme="minorEastAsia"/>
                <w:b/>
                <w:bCs/>
                <w:szCs w:val="21"/>
              </w:rPr>
              <w:t>同一单位或者同一人编制</w:t>
            </w:r>
            <w:r>
              <w:rPr>
                <w:rFonts w:hint="eastAsia" w:asciiTheme="minorEastAsia" w:hAnsiTheme="minorEastAsia" w:eastAsiaTheme="minorEastAsia" w:cstheme="minorEastAsia"/>
                <w:szCs w:val="21"/>
              </w:rPr>
              <w:t>，或者使用</w:t>
            </w:r>
            <w:r>
              <w:rPr>
                <w:rFonts w:hint="eastAsia" w:asciiTheme="minorEastAsia" w:hAnsiTheme="minorEastAsia" w:eastAsiaTheme="minorEastAsia" w:cstheme="minorEastAsia"/>
                <w:b/>
                <w:bCs/>
                <w:szCs w:val="21"/>
              </w:rPr>
              <w:t>同一设备编制</w:t>
            </w:r>
            <w:r>
              <w:rPr>
                <w:rFonts w:hint="eastAsia" w:asciiTheme="minorEastAsia" w:hAnsiTheme="minorEastAsia" w:eastAsiaTheme="minorEastAsia" w:cstheme="minorEastAsia"/>
                <w:szCs w:val="21"/>
              </w:rPr>
              <w:t>（“文件制作机器码”“文件创建标识码”一致）。</w:t>
            </w:r>
          </w:p>
        </w:tc>
      </w:tr>
      <w:tr w14:paraId="5121C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7C295E18">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7811" w:type="dxa"/>
            <w:vAlign w:val="center"/>
          </w:tcPr>
          <w:p w14:paraId="3561AF82">
            <w:pPr>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r w14:paraId="7579E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31ADBA02">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7811" w:type="dxa"/>
            <w:vAlign w:val="center"/>
          </w:tcPr>
          <w:p w14:paraId="13F65C79">
            <w:pPr>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擅自将投标（响应）密钥或电子营业执照出借他人使用或未妥善保管。</w:t>
            </w:r>
          </w:p>
        </w:tc>
      </w:tr>
    </w:tbl>
    <w:p w14:paraId="290EA8A3">
      <w:pPr>
        <w:spacing w:beforeLines="50" w:line="380" w:lineRule="exact"/>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一、我单位已充分知悉“隐瞒真实情况，提供虚假资料”的法定情形，包括但不限于：</w:t>
      </w:r>
    </w:p>
    <w:p w14:paraId="70D18AA2">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（一）通过转让或者租借等方式从其他单位获取资格或者资质证书投标（响应）的。</w:t>
      </w:r>
    </w:p>
    <w:p w14:paraId="08ED8184">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（二）由其他单位或者其他单位负责人在投标（响应）供应商编制的投标（响应）文件上加盖印章或者签字的。</w:t>
      </w:r>
    </w:p>
    <w:p w14:paraId="0C3A2731">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027B3DAA">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（四）投标（响应）保证金不是从投标（响应）供应商基本账户转出的。</w:t>
      </w:r>
    </w:p>
    <w:p w14:paraId="133A9F9B">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14:paraId="73950BB7">
      <w:pPr>
        <w:spacing w:line="380" w:lineRule="exact"/>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二、我单位已充分知悉“与其他采购参加人串通投标（响应）”的法定情形，包括但不限于：</w:t>
      </w:r>
    </w:p>
    <w:p w14:paraId="5A5F7482">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（一）投标（响应）供应商之间相互约定给予未中标（成交）的供应商利益补偿。</w:t>
      </w:r>
    </w:p>
    <w:p w14:paraId="148BBA68">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（二）不同投标（响应）供应商的法定代表人、主要经营负责人、项目投标（响应）授权代表人、项目负责人、主要技术人员为同一人、属同一单位或者在同一单位缴纳社会保险。</w:t>
      </w:r>
    </w:p>
    <w:p w14:paraId="033F35FA">
      <w:pPr>
        <w:spacing w:line="3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（三）不同投标（响应）供应商的投标（响应）文件由同一单位或者同一人编制，或者由同一人分阶段参与编制的。</w:t>
      </w:r>
    </w:p>
    <w:p w14:paraId="02498744">
      <w:pPr>
        <w:spacing w:line="3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（四）不同投标（响应）供应商的投标（响应）文件或部分投标（响应）文件相互混装。</w:t>
      </w:r>
    </w:p>
    <w:p w14:paraId="4B0B12C3">
      <w:pPr>
        <w:spacing w:line="3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（五）不同投标（响应）供应商的投标（响应）文件内容存在非正常一致。</w:t>
      </w:r>
    </w:p>
    <w:p w14:paraId="27D313F3">
      <w:pPr>
        <w:spacing w:line="3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（六）由同一单位工作人员为两家以上（含两家）供应商进行同一项投标（响应）活动的。</w:t>
      </w:r>
    </w:p>
    <w:p w14:paraId="09F87664">
      <w:pPr>
        <w:spacing w:line="3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（七）不同投标（响应）人的投标（响应）报价呈规律性差异。</w:t>
      </w:r>
    </w:p>
    <w:p w14:paraId="4C41D82D">
      <w:pPr>
        <w:spacing w:line="3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（八）不同投标（响应）人的投标（响应）保证金从同一单位或者个人的账户转出。</w:t>
      </w:r>
    </w:p>
    <w:p w14:paraId="3E0D2EDD">
      <w:pPr>
        <w:spacing w:line="3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14:paraId="11525CCB">
      <w:pPr>
        <w:spacing w:line="340" w:lineRule="exact"/>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三、我单位已充分知悉下列情形存在法律风险，在投标（响应）前已对相关风险事项进行排查。</w:t>
      </w:r>
    </w:p>
    <w:p w14:paraId="77E34E5F">
      <w:pPr>
        <w:spacing w:line="340" w:lineRule="exact"/>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（一）对于从其他主体获取的投标（响应）资料，我单位应审慎核查，确保其真实性。</w:t>
      </w:r>
      <w:r>
        <w:rPr>
          <w:rFonts w:hint="eastAsia" w:asciiTheme="minorEastAsia" w:hAnsiTheme="minorEastAsia" w:eastAsiaTheme="minorEastAsia" w:cstheme="minorEastAsia"/>
          <w:b/>
          <w:szCs w:val="21"/>
        </w:rPr>
        <w:t>如主管部门查实投标（响应）文件中存在虚假资料的，无论相关资料是否由第三方或本公司员工提供，均不影响主管部门对供应商存在“隐瞒真实情况，提供虚假资料”违法行为的认定。</w:t>
      </w:r>
    </w:p>
    <w:p w14:paraId="58D487F5">
      <w:pPr>
        <w:spacing w:line="3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（二）对于涉及国家机关出具的公文、证件、证明材料等文件，一旦涉嫌虚假，经查实，主管部门将依法从严处理，并移送有关部门追究法律责任；涉嫌犯罪的，移送司法机关处理。</w:t>
      </w:r>
    </w:p>
    <w:p w14:paraId="65580D82">
      <w:pPr>
        <w:spacing w:line="3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（三）我单位对投标（响应）电子密钥或电子营业执照负有妥善保管、及时变更和续期等主体责任；使用电子密钥或电子营业执照在深圳政府采购网站进行的活动，均具有法律效力，须承担相应的法律后果。若</w:t>
      </w:r>
      <w:r>
        <w:rPr>
          <w:rFonts w:hint="eastAsia" w:asciiTheme="minorEastAsia" w:hAnsiTheme="minorEastAsia" w:eastAsiaTheme="minorEastAsia" w:cstheme="minorEastAsia"/>
          <w:b/>
          <w:bCs/>
          <w:szCs w:val="21"/>
        </w:rPr>
        <w:t>擅自将投标（响应）密钥或电子营业执照出借他人使用所造成的法律后果，由我单位自行承担</w:t>
      </w:r>
      <w:r>
        <w:rPr>
          <w:rFonts w:hint="eastAsia" w:asciiTheme="minorEastAsia" w:hAnsiTheme="minorEastAsia" w:eastAsiaTheme="minorEastAsia" w:cstheme="minorEastAsia"/>
          <w:szCs w:val="21"/>
        </w:rPr>
        <w:t>。</w:t>
      </w:r>
    </w:p>
    <w:p w14:paraId="7BB521AC">
      <w:pPr>
        <w:spacing w:line="340" w:lineRule="exact"/>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四、我单位已充分知悉政府采购违法、违规行为的法律后果。</w:t>
      </w:r>
    </w:p>
    <w:p w14:paraId="21E5F442">
      <w:pPr>
        <w:spacing w:line="3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4E9DC0A0">
      <w:pPr>
        <w:widowControl/>
        <w:spacing w:line="360" w:lineRule="exact"/>
        <w:ind w:firstLine="422" w:firstLineChars="200"/>
        <w:jc w:val="left"/>
        <w:rPr>
          <w:rFonts w:asciiTheme="minorEastAsia" w:hAnsiTheme="minorEastAsia" w:eastAsiaTheme="minorEastAsia" w:cstheme="minorEastAsia"/>
          <w:b/>
          <w:bCs/>
          <w:color w:val="000000" w:themeColor="text1"/>
          <w:kern w:val="0"/>
          <w:sz w:val="22"/>
        </w:rPr>
      </w:pPr>
      <w:r>
        <w:rPr>
          <w:rFonts w:hint="eastAsia" w:asciiTheme="minorEastAsia" w:hAnsiTheme="minorEastAsia" w:eastAsiaTheme="minorEastAsia" w:cstheme="minorEastAsia"/>
          <w:b/>
          <w:bCs/>
          <w:color w:val="FF0000"/>
          <w:szCs w:val="21"/>
          <w:highlight w:val="yellow"/>
        </w:rPr>
        <w:t>以下文字请投标（响应）供应商抄写并确认：“我单位已仔细阅读《政府采购违法行为风险知悉确认书》，充分知悉违法行为的法律后果，并承诺将严谨、诚信、依法依规参与政府采购活动”。</w:t>
      </w:r>
    </w:p>
    <w:p w14:paraId="42AB8BF0">
      <w:pPr>
        <w:autoSpaceDE w:val="0"/>
        <w:autoSpaceDN w:val="0"/>
        <w:adjustRightInd w:val="0"/>
        <w:spacing w:line="360" w:lineRule="exact"/>
        <w:ind w:firstLine="440" w:firstLineChars="200"/>
        <w:rPr>
          <w:rFonts w:asciiTheme="minorEastAsia" w:hAnsiTheme="minorEastAsia" w:eastAsiaTheme="minorEastAsia" w:cstheme="minorEastAsia"/>
          <w:color w:val="000000" w:themeColor="text1"/>
          <w:sz w:val="22"/>
          <w:u w:val="single"/>
        </w:rPr>
      </w:pPr>
    </w:p>
    <w:p w14:paraId="6DD0CD39">
      <w:pPr>
        <w:autoSpaceDE w:val="0"/>
        <w:autoSpaceDN w:val="0"/>
        <w:adjustRightInd w:val="0"/>
        <w:spacing w:line="360" w:lineRule="exact"/>
        <w:ind w:firstLine="440" w:firstLineChars="200"/>
        <w:rPr>
          <w:rFonts w:asciiTheme="minorEastAsia" w:hAnsiTheme="minorEastAsia" w:eastAsiaTheme="minorEastAsia" w:cstheme="minorEastAsia"/>
          <w:color w:val="000000" w:themeColor="text1"/>
          <w:sz w:val="22"/>
          <w:u w:val="single"/>
        </w:rPr>
      </w:pPr>
    </w:p>
    <w:p w14:paraId="58F3AB56">
      <w:pPr>
        <w:autoSpaceDE w:val="0"/>
        <w:autoSpaceDN w:val="0"/>
        <w:adjustRightInd w:val="0"/>
        <w:spacing w:line="360" w:lineRule="exact"/>
        <w:ind w:firstLine="440" w:firstLineChars="200"/>
        <w:rPr>
          <w:rFonts w:asciiTheme="minorEastAsia" w:hAnsiTheme="minorEastAsia" w:eastAsiaTheme="minorEastAsia" w:cstheme="minorEastAsia"/>
          <w:color w:val="000000" w:themeColor="text1"/>
          <w:sz w:val="22"/>
          <w:u w:val="single"/>
        </w:rPr>
      </w:pPr>
    </w:p>
    <w:p w14:paraId="7711EFB1">
      <w:pPr>
        <w:autoSpaceDE w:val="0"/>
        <w:autoSpaceDN w:val="0"/>
        <w:adjustRightInd w:val="0"/>
        <w:spacing w:line="360" w:lineRule="exact"/>
        <w:ind w:firstLine="440" w:firstLineChars="200"/>
        <w:rPr>
          <w:rFonts w:asciiTheme="minorEastAsia" w:hAnsiTheme="minorEastAsia" w:eastAsiaTheme="minorEastAsia" w:cstheme="minorEastAsia"/>
          <w:color w:val="000000" w:themeColor="text1"/>
          <w:sz w:val="22"/>
          <w:u w:val="single"/>
        </w:rPr>
      </w:pPr>
    </w:p>
    <w:p w14:paraId="69B1722F">
      <w:pPr>
        <w:autoSpaceDE w:val="0"/>
        <w:autoSpaceDN w:val="0"/>
        <w:adjustRightInd w:val="0"/>
        <w:spacing w:line="360" w:lineRule="exact"/>
        <w:ind w:firstLine="440" w:firstLineChars="200"/>
        <w:rPr>
          <w:rFonts w:asciiTheme="minorEastAsia" w:hAnsiTheme="minorEastAsia" w:eastAsiaTheme="minorEastAsia" w:cstheme="minorEastAsia"/>
          <w:color w:val="000000" w:themeColor="text1"/>
          <w:sz w:val="22"/>
        </w:rPr>
      </w:pPr>
    </w:p>
    <w:p w14:paraId="1549B02C">
      <w:pPr>
        <w:widowControl/>
        <w:wordWrap w:val="0"/>
        <w:autoSpaceDE w:val="0"/>
        <w:autoSpaceDN w:val="0"/>
        <w:spacing w:line="400" w:lineRule="exact"/>
        <w:ind w:right="808" w:firstLine="404" w:firstLineChars="200"/>
        <w:jc w:val="right"/>
        <w:rPr>
          <w:rFonts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负责人/投标（响应）授权代表签名：</w:t>
      </w:r>
    </w:p>
    <w:p w14:paraId="7D0087F2">
      <w:pPr>
        <w:widowControl/>
        <w:wordWrap w:val="0"/>
        <w:autoSpaceDE w:val="0"/>
        <w:autoSpaceDN w:val="0"/>
        <w:spacing w:line="400" w:lineRule="exact"/>
        <w:ind w:right="808" w:firstLine="404" w:firstLineChars="200"/>
        <w:jc w:val="right"/>
        <w:rPr>
          <w:rFonts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知悉人（公章）：</w:t>
      </w:r>
    </w:p>
    <w:p w14:paraId="448EFA5F">
      <w:pPr>
        <w:widowControl/>
        <w:wordWrap w:val="0"/>
        <w:autoSpaceDE w:val="0"/>
        <w:autoSpaceDN w:val="0"/>
        <w:spacing w:line="400" w:lineRule="exact"/>
        <w:ind w:right="808" w:firstLine="404" w:firstLineChars="200"/>
        <w:jc w:val="right"/>
        <w:rPr>
          <w:rFonts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 xml:space="preserve">     日期：</w:t>
      </w:r>
    </w:p>
    <w:p w14:paraId="5E0D4E10">
      <w:pPr>
        <w:widowControl/>
        <w:autoSpaceDE w:val="0"/>
        <w:autoSpaceDN w:val="0"/>
        <w:spacing w:line="400" w:lineRule="exact"/>
        <w:ind w:firstLine="406" w:firstLineChars="200"/>
        <w:jc w:val="left"/>
        <w:rPr>
          <w:rFonts w:asciiTheme="minorEastAsia" w:hAnsiTheme="minorEastAsia" w:eastAsiaTheme="minorEastAsia" w:cstheme="minorEastAsia"/>
          <w:b/>
          <w:bCs/>
          <w:color w:val="FF0000"/>
          <w:spacing w:val="-4"/>
          <w:kern w:val="0"/>
          <w:szCs w:val="21"/>
        </w:rPr>
      </w:pPr>
      <w:r>
        <w:rPr>
          <w:rFonts w:hint="eastAsia" w:asciiTheme="minorEastAsia" w:hAnsiTheme="minorEastAsia" w:eastAsiaTheme="minorEastAsia" w:cstheme="minorEastAsia"/>
          <w:b/>
          <w:bCs/>
          <w:color w:val="FF0000"/>
          <w:spacing w:val="-4"/>
          <w:kern w:val="0"/>
          <w:szCs w:val="21"/>
        </w:rPr>
        <w:t>注：</w:t>
      </w:r>
    </w:p>
    <w:p w14:paraId="0780AB74">
      <w:pPr>
        <w:widowControl/>
        <w:autoSpaceDE w:val="0"/>
        <w:autoSpaceDN w:val="0"/>
        <w:spacing w:line="400" w:lineRule="exact"/>
        <w:ind w:firstLine="406" w:firstLineChars="200"/>
        <w:jc w:val="left"/>
        <w:rPr>
          <w:rFonts w:asciiTheme="minorEastAsia" w:hAnsiTheme="minorEastAsia" w:eastAsiaTheme="minorEastAsia" w:cstheme="minorEastAsia"/>
          <w:b/>
          <w:bCs/>
          <w:color w:val="FF0000"/>
          <w:spacing w:val="-4"/>
          <w:kern w:val="0"/>
          <w:szCs w:val="21"/>
        </w:rPr>
      </w:pPr>
      <w:r>
        <w:rPr>
          <w:rFonts w:hint="eastAsia" w:asciiTheme="minorEastAsia" w:hAnsiTheme="minorEastAsia" w:eastAsiaTheme="minorEastAsia" w:cstheme="minorEastAsia"/>
          <w:b/>
          <w:bCs/>
          <w:color w:val="FF0000"/>
          <w:spacing w:val="-4"/>
          <w:kern w:val="0"/>
          <w:szCs w:val="21"/>
        </w:rPr>
        <w:t>1.投标（响应）供应商负责人或投标（响应）授权代表签字并加盖单位公章后，扫描上传至投标（响应）文件一并提交。</w:t>
      </w:r>
    </w:p>
    <w:p w14:paraId="7E4D52BB">
      <w:pPr>
        <w:widowControl/>
        <w:autoSpaceDE w:val="0"/>
        <w:autoSpaceDN w:val="0"/>
        <w:spacing w:line="400" w:lineRule="exact"/>
        <w:ind w:firstLine="406" w:firstLineChars="200"/>
        <w:jc w:val="left"/>
        <w:rPr>
          <w:rFonts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color w:val="FF0000"/>
          <w:spacing w:val="-4"/>
          <w:kern w:val="0"/>
          <w:szCs w:val="21"/>
        </w:rPr>
        <w:t>2.该风险知悉确认书用于对供应商违法行为的警示，不作为供应商资格性审查及符合性审查条件。</w:t>
      </w:r>
      <w:r>
        <w:rPr>
          <w:rFonts w:hint="eastAsia" w:asciiTheme="minorEastAsia" w:hAnsiTheme="minorEastAsia" w:eastAsiaTheme="minorEastAsia" w:cstheme="minorEastAsia"/>
          <w:b/>
          <w:bCs/>
          <w:kern w:val="0"/>
          <w:sz w:val="32"/>
          <w:szCs w:val="32"/>
        </w:rPr>
        <w:br w:type="page"/>
      </w:r>
    </w:p>
    <w:p w14:paraId="37DB28FC">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十、供应商认为需要提供的其它文件（如有）</w:t>
      </w:r>
    </w:p>
    <w:p w14:paraId="579CCF8B">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（一）承诺函</w:t>
      </w:r>
    </w:p>
    <w:p w14:paraId="2F30D5CB">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致：深圳市司法局、友和保险经纪有限公司</w:t>
      </w:r>
    </w:p>
    <w:p w14:paraId="67A1E852">
      <w:pPr>
        <w:pStyle w:val="30"/>
        <w:ind w:firstLine="420" w:firstLineChars="200"/>
        <w:jc w:val="left"/>
        <w:outlineLvl w:val="9"/>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kern w:val="2"/>
          <w:sz w:val="21"/>
          <w:szCs w:val="21"/>
          <w:lang w:val="en-US" w:eastAsia="zh-CN" w:bidi="ar-SA"/>
        </w:rPr>
        <w:t>我公司申请参加2025年天平大厦负二楼雨水池水泵及排污管闸阀更换维修编号为UHOSZSFJD2025499的项目投标（响应），并作出如下承诺：</w:t>
      </w:r>
    </w:p>
    <w:p w14:paraId="0943673E">
      <w:pPr>
        <w:ind w:firstLine="417" w:firstLineChars="199"/>
        <w:jc w:val="left"/>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bCs/>
          <w:kern w:val="2"/>
          <w:sz w:val="21"/>
          <w:szCs w:val="21"/>
          <w:lang w:val="en-US" w:eastAsia="zh-CN" w:bidi="ar-SA"/>
        </w:rPr>
        <w:t>1</w:t>
      </w:r>
      <w:r>
        <w:rPr>
          <w:rFonts w:hint="eastAsia" w:asciiTheme="minorEastAsia" w:hAnsiTheme="minorEastAsia" w:eastAsiaTheme="minorEastAsia" w:cstheme="minorEastAsia"/>
          <w:kern w:val="0"/>
          <w:szCs w:val="20"/>
        </w:rPr>
        <w:t>、</w:t>
      </w:r>
      <w:r>
        <w:rPr>
          <w:rFonts w:hint="eastAsia" w:asciiTheme="minorEastAsia" w:hAnsiTheme="minorEastAsia" w:eastAsiaTheme="minorEastAsia" w:cstheme="minorEastAsia"/>
          <w:kern w:val="0"/>
          <w:szCs w:val="20"/>
          <w:lang w:eastAsia="zh-CN"/>
        </w:rPr>
        <w:t>我</w:t>
      </w:r>
      <w:r>
        <w:rPr>
          <w:rFonts w:hint="eastAsia" w:asciiTheme="minorEastAsia" w:hAnsiTheme="minorEastAsia" w:eastAsiaTheme="minorEastAsia" w:cstheme="minorEastAsia"/>
          <w:kern w:val="0"/>
          <w:szCs w:val="20"/>
        </w:rPr>
        <w:t>单位必须作好施工记录、隐蔽工程记录、施工资料的整理、竣工资料的编制等工作。</w:t>
      </w:r>
    </w:p>
    <w:p w14:paraId="271CDC2C">
      <w:pPr>
        <w:ind w:firstLine="417" w:firstLineChars="199"/>
        <w:jc w:val="left"/>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2、</w:t>
      </w:r>
      <w:r>
        <w:rPr>
          <w:rFonts w:hint="eastAsia" w:asciiTheme="minorEastAsia" w:hAnsiTheme="minorEastAsia" w:eastAsiaTheme="minorEastAsia" w:cstheme="minorEastAsia"/>
          <w:kern w:val="0"/>
          <w:szCs w:val="20"/>
          <w:lang w:eastAsia="zh-CN"/>
        </w:rPr>
        <w:t>我</w:t>
      </w:r>
      <w:r>
        <w:rPr>
          <w:rFonts w:hint="eastAsia" w:asciiTheme="minorEastAsia" w:hAnsiTheme="minorEastAsia" w:eastAsiaTheme="minorEastAsia" w:cstheme="minorEastAsia"/>
          <w:kern w:val="0"/>
          <w:szCs w:val="20"/>
        </w:rPr>
        <w:t>单位必须在施工现场显眼位置设置正规施工警示牌、工程概况牌，标注“温馨提示”语言。靠近人行通道边（或建设方以为有必要的其他周边）必须用整齐美观的板材围护密封施工。</w:t>
      </w:r>
    </w:p>
    <w:p w14:paraId="31E5AB2F">
      <w:pPr>
        <w:ind w:firstLine="417" w:firstLineChars="199"/>
        <w:jc w:val="left"/>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3、</w:t>
      </w:r>
      <w:r>
        <w:rPr>
          <w:rFonts w:hint="eastAsia" w:asciiTheme="minorEastAsia" w:hAnsiTheme="minorEastAsia" w:eastAsiaTheme="minorEastAsia" w:cstheme="minorEastAsia"/>
          <w:kern w:val="0"/>
          <w:szCs w:val="20"/>
          <w:lang w:eastAsia="zh-CN"/>
        </w:rPr>
        <w:t>我</w:t>
      </w:r>
      <w:r>
        <w:rPr>
          <w:rFonts w:hint="eastAsia" w:asciiTheme="minorEastAsia" w:hAnsiTheme="minorEastAsia" w:eastAsiaTheme="minorEastAsia" w:cstheme="minorEastAsia"/>
          <w:kern w:val="0"/>
          <w:szCs w:val="20"/>
        </w:rPr>
        <w:t>单位施工必须达到有关部门规定的安全文明施工标准，服从招标人的管理，避免干扰招标人的正常工作秩序，认真做好施工现场防护、防火、噪音、用电等安全文明施工各项管理工作，承担相应一切责任，确保施工场地区域道路通畅，保持施工现场整洁，做到工完场清，达到国家卫生城市标准。</w:t>
      </w:r>
    </w:p>
    <w:p w14:paraId="08C7EDC1">
      <w:pPr>
        <w:ind w:firstLine="417" w:firstLineChars="199"/>
        <w:jc w:val="left"/>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4、</w:t>
      </w:r>
      <w:r>
        <w:rPr>
          <w:rFonts w:hint="eastAsia" w:asciiTheme="minorEastAsia" w:hAnsiTheme="minorEastAsia" w:eastAsiaTheme="minorEastAsia" w:cstheme="minorEastAsia"/>
          <w:kern w:val="0"/>
          <w:szCs w:val="20"/>
          <w:lang w:eastAsia="zh-CN"/>
        </w:rPr>
        <w:t>我</w:t>
      </w:r>
      <w:r>
        <w:rPr>
          <w:rFonts w:hint="eastAsia" w:asciiTheme="minorEastAsia" w:hAnsiTheme="minorEastAsia" w:eastAsiaTheme="minorEastAsia" w:cstheme="minorEastAsia"/>
          <w:kern w:val="0"/>
          <w:szCs w:val="20"/>
        </w:rPr>
        <w:t>单位必须在施工过程中注意自身及周边安全，做好现场及周边安全设施搭设，遵守有关安全保护规程，负责施工过程中的所有事故处理和费用。</w:t>
      </w:r>
    </w:p>
    <w:p w14:paraId="168B491B">
      <w:pPr>
        <w:ind w:firstLine="417" w:firstLineChars="199"/>
        <w:jc w:val="left"/>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5、</w:t>
      </w:r>
      <w:r>
        <w:rPr>
          <w:rFonts w:hint="eastAsia" w:asciiTheme="minorEastAsia" w:hAnsiTheme="minorEastAsia" w:eastAsiaTheme="minorEastAsia" w:cstheme="minorEastAsia"/>
          <w:kern w:val="0"/>
          <w:szCs w:val="20"/>
          <w:lang w:eastAsia="zh-CN"/>
        </w:rPr>
        <w:t>我</w:t>
      </w:r>
      <w:r>
        <w:rPr>
          <w:rFonts w:hint="eastAsia" w:asciiTheme="minorEastAsia" w:hAnsiTheme="minorEastAsia" w:eastAsiaTheme="minorEastAsia" w:cstheme="minorEastAsia"/>
          <w:kern w:val="0"/>
          <w:szCs w:val="20"/>
        </w:rPr>
        <w:t>单位必须服从采购单位，监理公司的监督、指导并积极主动配合上述管理机构的工作。</w:t>
      </w:r>
    </w:p>
    <w:p w14:paraId="6D218D48">
      <w:pPr>
        <w:ind w:firstLine="417" w:firstLineChars="199"/>
        <w:jc w:val="left"/>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6、</w:t>
      </w:r>
      <w:r>
        <w:rPr>
          <w:rFonts w:hint="eastAsia" w:asciiTheme="minorEastAsia" w:hAnsiTheme="minorEastAsia" w:eastAsiaTheme="minorEastAsia" w:cstheme="minorEastAsia"/>
          <w:kern w:val="0"/>
          <w:szCs w:val="20"/>
          <w:lang w:eastAsia="zh-CN"/>
        </w:rPr>
        <w:t>我</w:t>
      </w:r>
      <w:r>
        <w:rPr>
          <w:rFonts w:hint="eastAsia" w:asciiTheme="minorEastAsia" w:hAnsiTheme="minorEastAsia" w:eastAsiaTheme="minorEastAsia" w:cstheme="minorEastAsia"/>
          <w:kern w:val="0"/>
          <w:szCs w:val="20"/>
        </w:rPr>
        <w:t>单位施工时须提供材料样板，经招标人最终确认后，方可进场使用，供应商所提供的样板或厂家应符合设计图纸要求及甲方确认要求，如供应商不能提供的可由招标人根据市场考察情况确认并实施。</w:t>
      </w:r>
    </w:p>
    <w:p w14:paraId="228B1459">
      <w:pPr>
        <w:ind w:firstLine="417" w:firstLineChars="199"/>
        <w:jc w:val="left"/>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7、用在本工程的任何材料在使用前必须得到招标人的批准，样品须在大批订货前送审。获准的样品存放在工地，作为以后验收材料的标准。样品和其包装，由</w:t>
      </w:r>
      <w:r>
        <w:rPr>
          <w:rFonts w:hint="eastAsia" w:asciiTheme="minorEastAsia" w:hAnsiTheme="minorEastAsia" w:eastAsiaTheme="minorEastAsia" w:cstheme="minorEastAsia"/>
          <w:kern w:val="0"/>
          <w:szCs w:val="20"/>
          <w:lang w:val="en-US" w:eastAsia="zh-CN"/>
        </w:rPr>
        <w:t>我单位</w:t>
      </w:r>
      <w:r>
        <w:rPr>
          <w:rFonts w:hint="eastAsia" w:asciiTheme="minorEastAsia" w:hAnsiTheme="minorEastAsia" w:eastAsiaTheme="minorEastAsia" w:cstheme="minorEastAsia"/>
          <w:kern w:val="0"/>
          <w:szCs w:val="20"/>
        </w:rPr>
        <w:t>无偿提供。</w:t>
      </w:r>
    </w:p>
    <w:p w14:paraId="79255DD9">
      <w:pPr>
        <w:ind w:firstLine="417" w:firstLineChars="199"/>
        <w:jc w:val="left"/>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8、</w:t>
      </w:r>
      <w:r>
        <w:rPr>
          <w:rFonts w:hint="eastAsia" w:asciiTheme="minorEastAsia" w:hAnsiTheme="minorEastAsia" w:eastAsiaTheme="minorEastAsia" w:cstheme="minorEastAsia"/>
          <w:kern w:val="0"/>
          <w:szCs w:val="20"/>
          <w:lang w:val="en-US" w:eastAsia="zh-CN"/>
        </w:rPr>
        <w:t>我单位</w:t>
      </w:r>
      <w:r>
        <w:rPr>
          <w:rFonts w:hint="eastAsia" w:asciiTheme="minorEastAsia" w:hAnsiTheme="minorEastAsia" w:eastAsiaTheme="minorEastAsia" w:cstheme="minorEastAsia"/>
          <w:kern w:val="0"/>
          <w:szCs w:val="20"/>
        </w:rPr>
        <w:t>在工程施工前，须全面检查工地情况，若发现错误须立刻通知工程师。若未能遵从此规定，使本工程的任何项目因此等错误或缺陷而错误地建造，则</w:t>
      </w:r>
      <w:r>
        <w:rPr>
          <w:rFonts w:hint="eastAsia" w:asciiTheme="minorEastAsia" w:hAnsiTheme="minorEastAsia" w:eastAsiaTheme="minorEastAsia" w:cstheme="minorEastAsia"/>
          <w:kern w:val="0"/>
          <w:szCs w:val="20"/>
          <w:lang w:val="en-US" w:eastAsia="zh-CN"/>
        </w:rPr>
        <w:t>我单位</w:t>
      </w:r>
      <w:r>
        <w:rPr>
          <w:rFonts w:hint="eastAsia" w:asciiTheme="minorEastAsia" w:hAnsiTheme="minorEastAsia" w:eastAsiaTheme="minorEastAsia" w:cstheme="minorEastAsia"/>
          <w:kern w:val="0"/>
          <w:szCs w:val="20"/>
        </w:rPr>
        <w:t>须自费予以拆除及重建。</w:t>
      </w:r>
    </w:p>
    <w:p w14:paraId="448D4788">
      <w:pPr>
        <w:ind w:firstLine="417" w:firstLineChars="199"/>
        <w:jc w:val="left"/>
        <w:rPr>
          <w:rFonts w:hint="eastAsia" w:asciiTheme="minorEastAsia" w:hAnsiTheme="minorEastAsia" w:eastAsiaTheme="minorEastAsia" w:cstheme="minorEastAsia"/>
          <w:kern w:val="0"/>
          <w:szCs w:val="20"/>
          <w:lang w:eastAsia="zh-CN"/>
        </w:rPr>
      </w:pPr>
      <w:r>
        <w:rPr>
          <w:rFonts w:hint="eastAsia" w:asciiTheme="minorEastAsia" w:hAnsiTheme="minorEastAsia" w:eastAsiaTheme="minorEastAsia" w:cstheme="minorEastAsia"/>
          <w:kern w:val="0"/>
          <w:szCs w:val="20"/>
        </w:rPr>
        <w:t>9、实行项目经理负责制，并按应答文件配备项目管理班子。如未经招标人同意更换项目班子成员，招标人有权取消</w:t>
      </w:r>
      <w:r>
        <w:rPr>
          <w:rFonts w:hint="eastAsia" w:asciiTheme="minorEastAsia" w:hAnsiTheme="minorEastAsia" w:eastAsiaTheme="minorEastAsia" w:cstheme="minorEastAsia"/>
          <w:kern w:val="0"/>
          <w:szCs w:val="20"/>
          <w:lang w:val="en-US" w:eastAsia="zh-CN"/>
        </w:rPr>
        <w:t>我单位</w:t>
      </w:r>
      <w:r>
        <w:rPr>
          <w:rFonts w:hint="eastAsia" w:asciiTheme="minorEastAsia" w:hAnsiTheme="minorEastAsia" w:eastAsiaTheme="minorEastAsia" w:cstheme="minorEastAsia"/>
          <w:kern w:val="0"/>
          <w:szCs w:val="20"/>
        </w:rPr>
        <w:t>的中标资格或单方面终止合同，由此造成的违约责任由</w:t>
      </w:r>
      <w:r>
        <w:rPr>
          <w:rFonts w:hint="eastAsia" w:asciiTheme="minorEastAsia" w:hAnsiTheme="minorEastAsia" w:eastAsiaTheme="minorEastAsia" w:cstheme="minorEastAsia"/>
          <w:kern w:val="0"/>
          <w:szCs w:val="20"/>
          <w:lang w:val="en-US" w:eastAsia="zh-CN"/>
        </w:rPr>
        <w:t>我单位</w:t>
      </w:r>
      <w:r>
        <w:rPr>
          <w:rFonts w:hint="eastAsia" w:asciiTheme="minorEastAsia" w:hAnsiTheme="minorEastAsia" w:eastAsiaTheme="minorEastAsia" w:cstheme="minorEastAsia"/>
          <w:kern w:val="0"/>
          <w:szCs w:val="20"/>
        </w:rPr>
        <w:t>承担</w:t>
      </w:r>
      <w:r>
        <w:rPr>
          <w:rFonts w:hint="eastAsia" w:asciiTheme="minorEastAsia" w:hAnsiTheme="minorEastAsia" w:eastAsiaTheme="minorEastAsia" w:cstheme="minorEastAsia"/>
          <w:kern w:val="0"/>
          <w:szCs w:val="20"/>
          <w:lang w:eastAsia="zh-CN"/>
        </w:rPr>
        <w:t>。</w:t>
      </w:r>
    </w:p>
    <w:p w14:paraId="3800ACC3">
      <w:pPr>
        <w:pStyle w:val="2"/>
        <w:rPr>
          <w:rFonts w:hint="eastAsia" w:asciiTheme="minorEastAsia" w:hAnsiTheme="minorEastAsia" w:eastAsiaTheme="minorEastAsia" w:cstheme="minorEastAsia"/>
          <w:kern w:val="0"/>
          <w:szCs w:val="20"/>
        </w:rPr>
      </w:pPr>
    </w:p>
    <w:p w14:paraId="7C994564">
      <w:pPr>
        <w:rPr>
          <w:rFonts w:hint="eastAsia" w:asciiTheme="minorEastAsia" w:hAnsiTheme="minorEastAsia" w:eastAsiaTheme="minorEastAsia" w:cstheme="minorEastAsia"/>
          <w:kern w:val="0"/>
          <w:szCs w:val="20"/>
        </w:rPr>
      </w:pPr>
    </w:p>
    <w:p w14:paraId="007F9624">
      <w:pPr>
        <w:pStyle w:val="2"/>
        <w:rPr>
          <w:rFonts w:hint="eastAsia"/>
        </w:rPr>
      </w:pPr>
    </w:p>
    <w:p w14:paraId="6B75C506">
      <w:pPr>
        <w:jc w:val="center"/>
        <w:rPr>
          <w:rFonts w:hint="eastAsia"/>
        </w:rPr>
      </w:pPr>
      <w:r>
        <w:rPr>
          <w:rFonts w:hint="eastAsia"/>
        </w:rPr>
        <w:t xml:space="preserve">负责人/投标（响应）授权代表签名：              </w:t>
      </w:r>
    </w:p>
    <w:p w14:paraId="2A081C58">
      <w:pPr>
        <w:jc w:val="center"/>
        <w:rPr>
          <w:rFonts w:hint="default" w:eastAsia="宋体"/>
          <w:lang w:val="en-US" w:eastAsia="zh-CN"/>
        </w:rPr>
      </w:pPr>
      <w:r>
        <w:rPr>
          <w:rFonts w:hint="eastAsia"/>
        </w:rPr>
        <w:t xml:space="preserve">知悉人（公章）：              </w:t>
      </w:r>
      <w:r>
        <w:rPr>
          <w:rFonts w:hint="eastAsia"/>
          <w:lang w:val="en-US" w:eastAsia="zh-CN"/>
        </w:rPr>
        <w:t xml:space="preserve">        </w:t>
      </w:r>
    </w:p>
    <w:p w14:paraId="3C178749">
      <w:pPr>
        <w:jc w:val="center"/>
        <w:rPr>
          <w:rFonts w:hint="default" w:eastAsia="宋体"/>
          <w:lang w:val="en-US" w:eastAsia="zh-CN"/>
        </w:rPr>
      </w:pPr>
      <w:r>
        <w:rPr>
          <w:rFonts w:hint="eastAsia"/>
        </w:rPr>
        <w:t xml:space="preserve">     日期：              </w:t>
      </w:r>
      <w:r>
        <w:rPr>
          <w:rFonts w:hint="eastAsia"/>
          <w:lang w:val="en-US" w:eastAsia="zh-CN"/>
        </w:rPr>
        <w:t xml:space="preserve">           </w:t>
      </w:r>
    </w:p>
    <w:sectPr>
      <w:footerReference r:id="rId3" w:type="default"/>
      <w:pgSz w:w="11906" w:h="16838"/>
      <w:pgMar w:top="1440"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 Yb 2gj">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汉仪叶叶相思体简">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07A2D">
    <w:pPr>
      <w:pStyle w:val="12"/>
    </w:pPr>
    <w:r>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M6pebnPAAAABQEAAA8A&#10;AAAAAAAAAQAgAAAAOAAAAGRycy9kb3ducmV2LnhtbFBLAQIUABQAAAAIAIdO4kDPHLs70QEAAKcD&#10;AAAOAAAAAAAAAAEAIAAAADQBAABkcnMvZTJvRG9jLnhtbFBLBQYAAAAABgAGAFkBAAB3BQAAAAA=&#10;">
          <v:path/>
          <v:fill on="f" focussize="0,0"/>
          <v:stroke on="f" joinstyle="miter"/>
          <v:imagedata o:title=""/>
          <o:lock v:ext="edit"/>
          <v:textbox inset="0mm,0mm,0mm,0mm" style="mso-fit-shape-to-text:t;">
            <w:txbxContent>
              <w:p w14:paraId="33846AF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13</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E4713E"/>
    <w:multiLevelType w:val="singleLevel"/>
    <w:tmpl w:val="E4E4713E"/>
    <w:lvl w:ilvl="0" w:tentative="0">
      <w:start w:val="1"/>
      <w:numFmt w:val="decimal"/>
      <w:suff w:val="nothing"/>
      <w:lvlText w:val="%1、"/>
      <w:lvlJc w:val="left"/>
    </w:lvl>
  </w:abstractNum>
  <w:abstractNum w:abstractNumId="1">
    <w:nsid w:val="EED54E70"/>
    <w:multiLevelType w:val="multilevel"/>
    <w:tmpl w:val="EED54E70"/>
    <w:lvl w:ilvl="0" w:tentative="0">
      <w:start w:val="1"/>
      <w:numFmt w:val="decimal"/>
      <w:lvlText w:val="%1."/>
      <w:lvlJc w:val="left"/>
      <w:pPr>
        <w:ind w:left="704"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2C74CDE"/>
    <w:multiLevelType w:val="singleLevel"/>
    <w:tmpl w:val="12C74CDE"/>
    <w:lvl w:ilvl="0" w:tentative="0">
      <w:start w:val="4"/>
      <w:numFmt w:val="chineseCounting"/>
      <w:suff w:val="nothing"/>
      <w:lvlText w:val="%1、"/>
      <w:lvlJc w:val="left"/>
      <w:rPr>
        <w:rFonts w:hint="eastAsia"/>
      </w:rPr>
    </w:lvl>
  </w:abstractNum>
  <w:abstractNum w:abstractNumId="3">
    <w:nsid w:val="1BB5B2B7"/>
    <w:multiLevelType w:val="singleLevel"/>
    <w:tmpl w:val="1BB5B2B7"/>
    <w:lvl w:ilvl="0" w:tentative="0">
      <w:start w:val="3"/>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kwY2I3ZDZlZWEzMmQ5ZjFhOGExOTU0NWEzZmIyNWEifQ=="/>
  </w:docVars>
  <w:rsids>
    <w:rsidRoot w:val="001C2472"/>
    <w:rsid w:val="000006BE"/>
    <w:rsid w:val="0000450A"/>
    <w:rsid w:val="00004730"/>
    <w:rsid w:val="00006AF1"/>
    <w:rsid w:val="00007984"/>
    <w:rsid w:val="00007EF8"/>
    <w:rsid w:val="0001220E"/>
    <w:rsid w:val="00014FAA"/>
    <w:rsid w:val="00015B1A"/>
    <w:rsid w:val="0002039F"/>
    <w:rsid w:val="00022310"/>
    <w:rsid w:val="000231A4"/>
    <w:rsid w:val="00023E36"/>
    <w:rsid w:val="00026043"/>
    <w:rsid w:val="00027446"/>
    <w:rsid w:val="00031C0D"/>
    <w:rsid w:val="00033E58"/>
    <w:rsid w:val="00034725"/>
    <w:rsid w:val="00035A61"/>
    <w:rsid w:val="000365C0"/>
    <w:rsid w:val="00036721"/>
    <w:rsid w:val="00037750"/>
    <w:rsid w:val="00043933"/>
    <w:rsid w:val="0005002F"/>
    <w:rsid w:val="00050F07"/>
    <w:rsid w:val="00051E0D"/>
    <w:rsid w:val="00053510"/>
    <w:rsid w:val="000541BA"/>
    <w:rsid w:val="0005522D"/>
    <w:rsid w:val="00056297"/>
    <w:rsid w:val="00061D57"/>
    <w:rsid w:val="000624F9"/>
    <w:rsid w:val="00062636"/>
    <w:rsid w:val="000632DB"/>
    <w:rsid w:val="0006343A"/>
    <w:rsid w:val="00063727"/>
    <w:rsid w:val="00070802"/>
    <w:rsid w:val="0007083C"/>
    <w:rsid w:val="00070960"/>
    <w:rsid w:val="000720D2"/>
    <w:rsid w:val="0007238F"/>
    <w:rsid w:val="00072473"/>
    <w:rsid w:val="00072C17"/>
    <w:rsid w:val="000736CB"/>
    <w:rsid w:val="00074067"/>
    <w:rsid w:val="0007488F"/>
    <w:rsid w:val="00075197"/>
    <w:rsid w:val="00086A91"/>
    <w:rsid w:val="000874FA"/>
    <w:rsid w:val="00087F4F"/>
    <w:rsid w:val="00090B05"/>
    <w:rsid w:val="000934D3"/>
    <w:rsid w:val="0009624B"/>
    <w:rsid w:val="00097CA5"/>
    <w:rsid w:val="000A35D4"/>
    <w:rsid w:val="000A5D18"/>
    <w:rsid w:val="000A5D25"/>
    <w:rsid w:val="000A5FE9"/>
    <w:rsid w:val="000A6E25"/>
    <w:rsid w:val="000A740E"/>
    <w:rsid w:val="000B223B"/>
    <w:rsid w:val="000B78F7"/>
    <w:rsid w:val="000B7B20"/>
    <w:rsid w:val="000C20A2"/>
    <w:rsid w:val="000C3D5C"/>
    <w:rsid w:val="000C7AB4"/>
    <w:rsid w:val="000D0366"/>
    <w:rsid w:val="000D2468"/>
    <w:rsid w:val="000D7C7D"/>
    <w:rsid w:val="000E0DC9"/>
    <w:rsid w:val="000E4086"/>
    <w:rsid w:val="000E40E8"/>
    <w:rsid w:val="000E5067"/>
    <w:rsid w:val="000E52CD"/>
    <w:rsid w:val="000E561A"/>
    <w:rsid w:val="000F0668"/>
    <w:rsid w:val="000F0F4D"/>
    <w:rsid w:val="000F47A0"/>
    <w:rsid w:val="000F5803"/>
    <w:rsid w:val="000F7C84"/>
    <w:rsid w:val="001006B0"/>
    <w:rsid w:val="00100C02"/>
    <w:rsid w:val="00103DDE"/>
    <w:rsid w:val="001061EB"/>
    <w:rsid w:val="00107FE1"/>
    <w:rsid w:val="001137B9"/>
    <w:rsid w:val="00113EAD"/>
    <w:rsid w:val="00114859"/>
    <w:rsid w:val="00115BA5"/>
    <w:rsid w:val="00116C7A"/>
    <w:rsid w:val="0012263A"/>
    <w:rsid w:val="001227FB"/>
    <w:rsid w:val="00123552"/>
    <w:rsid w:val="00123CAD"/>
    <w:rsid w:val="00124865"/>
    <w:rsid w:val="001249CE"/>
    <w:rsid w:val="00126E1F"/>
    <w:rsid w:val="001277BA"/>
    <w:rsid w:val="00127E53"/>
    <w:rsid w:val="00131597"/>
    <w:rsid w:val="00132BFC"/>
    <w:rsid w:val="00132F28"/>
    <w:rsid w:val="00133F57"/>
    <w:rsid w:val="0013420C"/>
    <w:rsid w:val="00137485"/>
    <w:rsid w:val="0013760A"/>
    <w:rsid w:val="00143075"/>
    <w:rsid w:val="00144D67"/>
    <w:rsid w:val="0014571B"/>
    <w:rsid w:val="00145B01"/>
    <w:rsid w:val="0015210C"/>
    <w:rsid w:val="00152BAA"/>
    <w:rsid w:val="00156B0D"/>
    <w:rsid w:val="001621EE"/>
    <w:rsid w:val="00163D23"/>
    <w:rsid w:val="001653BF"/>
    <w:rsid w:val="00167AAE"/>
    <w:rsid w:val="001706C4"/>
    <w:rsid w:val="00170C5C"/>
    <w:rsid w:val="001714EF"/>
    <w:rsid w:val="00172B5F"/>
    <w:rsid w:val="001732E6"/>
    <w:rsid w:val="00173D1C"/>
    <w:rsid w:val="0017481E"/>
    <w:rsid w:val="0018320E"/>
    <w:rsid w:val="001839FD"/>
    <w:rsid w:val="00183F9A"/>
    <w:rsid w:val="00185F98"/>
    <w:rsid w:val="00191250"/>
    <w:rsid w:val="00191315"/>
    <w:rsid w:val="00192559"/>
    <w:rsid w:val="001974C6"/>
    <w:rsid w:val="001978C2"/>
    <w:rsid w:val="001A0C9B"/>
    <w:rsid w:val="001A1FC3"/>
    <w:rsid w:val="001A2AB7"/>
    <w:rsid w:val="001A301A"/>
    <w:rsid w:val="001A30B7"/>
    <w:rsid w:val="001B0FD3"/>
    <w:rsid w:val="001B3C22"/>
    <w:rsid w:val="001B4C56"/>
    <w:rsid w:val="001B7A41"/>
    <w:rsid w:val="001B7DD8"/>
    <w:rsid w:val="001C1DF0"/>
    <w:rsid w:val="001C2472"/>
    <w:rsid w:val="001C517D"/>
    <w:rsid w:val="001C5C3D"/>
    <w:rsid w:val="001C64C4"/>
    <w:rsid w:val="001C75F9"/>
    <w:rsid w:val="001D2C46"/>
    <w:rsid w:val="001D31A7"/>
    <w:rsid w:val="001D78A5"/>
    <w:rsid w:val="001E125A"/>
    <w:rsid w:val="001E7290"/>
    <w:rsid w:val="001F585A"/>
    <w:rsid w:val="00200F18"/>
    <w:rsid w:val="00203237"/>
    <w:rsid w:val="00205057"/>
    <w:rsid w:val="0020524D"/>
    <w:rsid w:val="002054EF"/>
    <w:rsid w:val="0020680D"/>
    <w:rsid w:val="00206E92"/>
    <w:rsid w:val="0021043C"/>
    <w:rsid w:val="002128D3"/>
    <w:rsid w:val="0021433A"/>
    <w:rsid w:val="00214F80"/>
    <w:rsid w:val="00220D7B"/>
    <w:rsid w:val="00221565"/>
    <w:rsid w:val="0022324B"/>
    <w:rsid w:val="002233ED"/>
    <w:rsid w:val="00227848"/>
    <w:rsid w:val="002304C1"/>
    <w:rsid w:val="002316DA"/>
    <w:rsid w:val="00233AF8"/>
    <w:rsid w:val="00233FF9"/>
    <w:rsid w:val="00235049"/>
    <w:rsid w:val="002351F8"/>
    <w:rsid w:val="00240E31"/>
    <w:rsid w:val="002417E7"/>
    <w:rsid w:val="00241EC9"/>
    <w:rsid w:val="00242882"/>
    <w:rsid w:val="002431F6"/>
    <w:rsid w:val="00244BCA"/>
    <w:rsid w:val="00245C07"/>
    <w:rsid w:val="0025015F"/>
    <w:rsid w:val="0025047A"/>
    <w:rsid w:val="00254A58"/>
    <w:rsid w:val="00255580"/>
    <w:rsid w:val="002556F8"/>
    <w:rsid w:val="0025791A"/>
    <w:rsid w:val="00257F06"/>
    <w:rsid w:val="0026228E"/>
    <w:rsid w:val="00263346"/>
    <w:rsid w:val="0026355E"/>
    <w:rsid w:val="00274725"/>
    <w:rsid w:val="0028143C"/>
    <w:rsid w:val="002820A0"/>
    <w:rsid w:val="0028540A"/>
    <w:rsid w:val="00286C18"/>
    <w:rsid w:val="00287BBC"/>
    <w:rsid w:val="002901C2"/>
    <w:rsid w:val="002918A8"/>
    <w:rsid w:val="00291E68"/>
    <w:rsid w:val="00292560"/>
    <w:rsid w:val="00293406"/>
    <w:rsid w:val="0029443B"/>
    <w:rsid w:val="00295AED"/>
    <w:rsid w:val="00295FAE"/>
    <w:rsid w:val="002A222F"/>
    <w:rsid w:val="002A560E"/>
    <w:rsid w:val="002A56B1"/>
    <w:rsid w:val="002A5F62"/>
    <w:rsid w:val="002A7244"/>
    <w:rsid w:val="002B0D2C"/>
    <w:rsid w:val="002B16BB"/>
    <w:rsid w:val="002B35C2"/>
    <w:rsid w:val="002B528F"/>
    <w:rsid w:val="002B7181"/>
    <w:rsid w:val="002C7B47"/>
    <w:rsid w:val="002D12DC"/>
    <w:rsid w:val="002D177C"/>
    <w:rsid w:val="002D3F42"/>
    <w:rsid w:val="002D4D6E"/>
    <w:rsid w:val="002D6D62"/>
    <w:rsid w:val="002E1840"/>
    <w:rsid w:val="002E1D3D"/>
    <w:rsid w:val="002E54B9"/>
    <w:rsid w:val="002F2609"/>
    <w:rsid w:val="002F5FE4"/>
    <w:rsid w:val="002F7BE9"/>
    <w:rsid w:val="00302A50"/>
    <w:rsid w:val="00304CCB"/>
    <w:rsid w:val="003074C2"/>
    <w:rsid w:val="003147CC"/>
    <w:rsid w:val="00315CD7"/>
    <w:rsid w:val="0032032F"/>
    <w:rsid w:val="0032183A"/>
    <w:rsid w:val="003227C8"/>
    <w:rsid w:val="003238A2"/>
    <w:rsid w:val="00336777"/>
    <w:rsid w:val="0034043A"/>
    <w:rsid w:val="003414DF"/>
    <w:rsid w:val="00342B2F"/>
    <w:rsid w:val="00342D01"/>
    <w:rsid w:val="003438B2"/>
    <w:rsid w:val="003475F3"/>
    <w:rsid w:val="00347BCA"/>
    <w:rsid w:val="00351F27"/>
    <w:rsid w:val="00353C2E"/>
    <w:rsid w:val="00353F1F"/>
    <w:rsid w:val="00354375"/>
    <w:rsid w:val="00354D0E"/>
    <w:rsid w:val="00355DD1"/>
    <w:rsid w:val="00356AAF"/>
    <w:rsid w:val="00360494"/>
    <w:rsid w:val="0036262B"/>
    <w:rsid w:val="00365A0D"/>
    <w:rsid w:val="0036603E"/>
    <w:rsid w:val="003662F8"/>
    <w:rsid w:val="00370DF2"/>
    <w:rsid w:val="0037715F"/>
    <w:rsid w:val="00380A06"/>
    <w:rsid w:val="00383772"/>
    <w:rsid w:val="0038397E"/>
    <w:rsid w:val="003916D1"/>
    <w:rsid w:val="00391ECD"/>
    <w:rsid w:val="00392A43"/>
    <w:rsid w:val="003A4659"/>
    <w:rsid w:val="003A625D"/>
    <w:rsid w:val="003B1BCE"/>
    <w:rsid w:val="003B1E7E"/>
    <w:rsid w:val="003B24C1"/>
    <w:rsid w:val="003B2560"/>
    <w:rsid w:val="003C36F6"/>
    <w:rsid w:val="003C44DE"/>
    <w:rsid w:val="003C5AAD"/>
    <w:rsid w:val="003C6A31"/>
    <w:rsid w:val="003D1A2D"/>
    <w:rsid w:val="003D1A3D"/>
    <w:rsid w:val="003D2EAE"/>
    <w:rsid w:val="003D547D"/>
    <w:rsid w:val="003D636B"/>
    <w:rsid w:val="003E05F1"/>
    <w:rsid w:val="003E7CAD"/>
    <w:rsid w:val="003F4518"/>
    <w:rsid w:val="003F4EB3"/>
    <w:rsid w:val="003F6B38"/>
    <w:rsid w:val="003F7864"/>
    <w:rsid w:val="00402D92"/>
    <w:rsid w:val="00403013"/>
    <w:rsid w:val="00403D5E"/>
    <w:rsid w:val="00403DC7"/>
    <w:rsid w:val="00404733"/>
    <w:rsid w:val="00404962"/>
    <w:rsid w:val="004063FC"/>
    <w:rsid w:val="0041127E"/>
    <w:rsid w:val="00411FD9"/>
    <w:rsid w:val="004138D9"/>
    <w:rsid w:val="004154F9"/>
    <w:rsid w:val="0042100B"/>
    <w:rsid w:val="00423F35"/>
    <w:rsid w:val="00424EBA"/>
    <w:rsid w:val="004251F6"/>
    <w:rsid w:val="00431985"/>
    <w:rsid w:val="00434312"/>
    <w:rsid w:val="00437CC7"/>
    <w:rsid w:val="00440F4F"/>
    <w:rsid w:val="004423F1"/>
    <w:rsid w:val="00442AD7"/>
    <w:rsid w:val="00442E17"/>
    <w:rsid w:val="00444A0D"/>
    <w:rsid w:val="00444AA7"/>
    <w:rsid w:val="00444FC3"/>
    <w:rsid w:val="00447899"/>
    <w:rsid w:val="00450F9A"/>
    <w:rsid w:val="004517A4"/>
    <w:rsid w:val="0045323F"/>
    <w:rsid w:val="00453926"/>
    <w:rsid w:val="00454909"/>
    <w:rsid w:val="004571C3"/>
    <w:rsid w:val="00460790"/>
    <w:rsid w:val="00460950"/>
    <w:rsid w:val="004623FC"/>
    <w:rsid w:val="004627B3"/>
    <w:rsid w:val="00465B95"/>
    <w:rsid w:val="00471DA6"/>
    <w:rsid w:val="0047249E"/>
    <w:rsid w:val="00472BD9"/>
    <w:rsid w:val="00476007"/>
    <w:rsid w:val="0047743D"/>
    <w:rsid w:val="0048069F"/>
    <w:rsid w:val="004806FF"/>
    <w:rsid w:val="00482B7F"/>
    <w:rsid w:val="00482B96"/>
    <w:rsid w:val="00483FFD"/>
    <w:rsid w:val="00484AE0"/>
    <w:rsid w:val="00485FA1"/>
    <w:rsid w:val="00486BF1"/>
    <w:rsid w:val="004872F5"/>
    <w:rsid w:val="00492174"/>
    <w:rsid w:val="00492BC7"/>
    <w:rsid w:val="0049325F"/>
    <w:rsid w:val="0049367C"/>
    <w:rsid w:val="0049373F"/>
    <w:rsid w:val="00495568"/>
    <w:rsid w:val="00495B8B"/>
    <w:rsid w:val="004968D6"/>
    <w:rsid w:val="00497C55"/>
    <w:rsid w:val="00497C7C"/>
    <w:rsid w:val="00497FDD"/>
    <w:rsid w:val="004A0B42"/>
    <w:rsid w:val="004A0CA5"/>
    <w:rsid w:val="004A19A6"/>
    <w:rsid w:val="004A27C7"/>
    <w:rsid w:val="004A4BED"/>
    <w:rsid w:val="004A57D2"/>
    <w:rsid w:val="004B0D35"/>
    <w:rsid w:val="004B1B63"/>
    <w:rsid w:val="004B2893"/>
    <w:rsid w:val="004B2B77"/>
    <w:rsid w:val="004B2BF5"/>
    <w:rsid w:val="004B41B9"/>
    <w:rsid w:val="004B5A97"/>
    <w:rsid w:val="004C082C"/>
    <w:rsid w:val="004C344D"/>
    <w:rsid w:val="004C426C"/>
    <w:rsid w:val="004C66CB"/>
    <w:rsid w:val="004D7012"/>
    <w:rsid w:val="004E096D"/>
    <w:rsid w:val="004E0CFD"/>
    <w:rsid w:val="004E1093"/>
    <w:rsid w:val="004E14E2"/>
    <w:rsid w:val="004E195F"/>
    <w:rsid w:val="004E3F53"/>
    <w:rsid w:val="004E5355"/>
    <w:rsid w:val="004E61F7"/>
    <w:rsid w:val="004F1553"/>
    <w:rsid w:val="004F3C5A"/>
    <w:rsid w:val="004F48E1"/>
    <w:rsid w:val="004F5189"/>
    <w:rsid w:val="004F7CCB"/>
    <w:rsid w:val="0050244C"/>
    <w:rsid w:val="0050428A"/>
    <w:rsid w:val="005043CE"/>
    <w:rsid w:val="005109B5"/>
    <w:rsid w:val="0051395F"/>
    <w:rsid w:val="005139EF"/>
    <w:rsid w:val="00513F1C"/>
    <w:rsid w:val="0051414C"/>
    <w:rsid w:val="00514E17"/>
    <w:rsid w:val="005154A9"/>
    <w:rsid w:val="00515731"/>
    <w:rsid w:val="0051623D"/>
    <w:rsid w:val="005162F8"/>
    <w:rsid w:val="005205FF"/>
    <w:rsid w:val="00522272"/>
    <w:rsid w:val="00522BCD"/>
    <w:rsid w:val="00522D94"/>
    <w:rsid w:val="0052714C"/>
    <w:rsid w:val="00531090"/>
    <w:rsid w:val="0053206C"/>
    <w:rsid w:val="00532490"/>
    <w:rsid w:val="00532679"/>
    <w:rsid w:val="00533747"/>
    <w:rsid w:val="00533B54"/>
    <w:rsid w:val="00533E8D"/>
    <w:rsid w:val="00534563"/>
    <w:rsid w:val="00534963"/>
    <w:rsid w:val="00537062"/>
    <w:rsid w:val="005377D0"/>
    <w:rsid w:val="005413BE"/>
    <w:rsid w:val="00541AB8"/>
    <w:rsid w:val="005426DD"/>
    <w:rsid w:val="00543B5F"/>
    <w:rsid w:val="00544048"/>
    <w:rsid w:val="00551741"/>
    <w:rsid w:val="00551A5C"/>
    <w:rsid w:val="00554E0F"/>
    <w:rsid w:val="00555C62"/>
    <w:rsid w:val="0055747B"/>
    <w:rsid w:val="00561A73"/>
    <w:rsid w:val="00565193"/>
    <w:rsid w:val="00566F92"/>
    <w:rsid w:val="00572D0A"/>
    <w:rsid w:val="005756A2"/>
    <w:rsid w:val="00577C76"/>
    <w:rsid w:val="00580598"/>
    <w:rsid w:val="005828AA"/>
    <w:rsid w:val="00584718"/>
    <w:rsid w:val="005942CC"/>
    <w:rsid w:val="00594D54"/>
    <w:rsid w:val="005A039E"/>
    <w:rsid w:val="005A053D"/>
    <w:rsid w:val="005A3D23"/>
    <w:rsid w:val="005A524D"/>
    <w:rsid w:val="005A5A6C"/>
    <w:rsid w:val="005A5C2D"/>
    <w:rsid w:val="005A6071"/>
    <w:rsid w:val="005A6F0A"/>
    <w:rsid w:val="005A6F9A"/>
    <w:rsid w:val="005B1573"/>
    <w:rsid w:val="005B1F1A"/>
    <w:rsid w:val="005B5215"/>
    <w:rsid w:val="005B61BE"/>
    <w:rsid w:val="005B76FF"/>
    <w:rsid w:val="005C0054"/>
    <w:rsid w:val="005C2634"/>
    <w:rsid w:val="005D3BC1"/>
    <w:rsid w:val="005D5E80"/>
    <w:rsid w:val="005D668A"/>
    <w:rsid w:val="005D749D"/>
    <w:rsid w:val="005E3252"/>
    <w:rsid w:val="005E39D6"/>
    <w:rsid w:val="005E749F"/>
    <w:rsid w:val="005F0680"/>
    <w:rsid w:val="005F0A51"/>
    <w:rsid w:val="005F1C34"/>
    <w:rsid w:val="005F1F88"/>
    <w:rsid w:val="005F29BF"/>
    <w:rsid w:val="005F2BDE"/>
    <w:rsid w:val="005F38FF"/>
    <w:rsid w:val="005F3B6D"/>
    <w:rsid w:val="005F4172"/>
    <w:rsid w:val="005F5701"/>
    <w:rsid w:val="0060183B"/>
    <w:rsid w:val="00602621"/>
    <w:rsid w:val="00606B7A"/>
    <w:rsid w:val="00614B80"/>
    <w:rsid w:val="00614D1E"/>
    <w:rsid w:val="00621BB8"/>
    <w:rsid w:val="006244C1"/>
    <w:rsid w:val="00624554"/>
    <w:rsid w:val="00626455"/>
    <w:rsid w:val="00630769"/>
    <w:rsid w:val="00633219"/>
    <w:rsid w:val="006338B6"/>
    <w:rsid w:val="0063620B"/>
    <w:rsid w:val="00637BF0"/>
    <w:rsid w:val="0064318E"/>
    <w:rsid w:val="00643CAC"/>
    <w:rsid w:val="00644330"/>
    <w:rsid w:val="0064643E"/>
    <w:rsid w:val="0064733A"/>
    <w:rsid w:val="006473C2"/>
    <w:rsid w:val="00654A70"/>
    <w:rsid w:val="00654AE2"/>
    <w:rsid w:val="00656043"/>
    <w:rsid w:val="00656504"/>
    <w:rsid w:val="00664670"/>
    <w:rsid w:val="006648BF"/>
    <w:rsid w:val="006671CA"/>
    <w:rsid w:val="006722A3"/>
    <w:rsid w:val="00677AB7"/>
    <w:rsid w:val="006867CF"/>
    <w:rsid w:val="00692190"/>
    <w:rsid w:val="0069406E"/>
    <w:rsid w:val="0069764E"/>
    <w:rsid w:val="006A097D"/>
    <w:rsid w:val="006A2741"/>
    <w:rsid w:val="006A3599"/>
    <w:rsid w:val="006A48B6"/>
    <w:rsid w:val="006A54AA"/>
    <w:rsid w:val="006A6299"/>
    <w:rsid w:val="006A7A2C"/>
    <w:rsid w:val="006B05FE"/>
    <w:rsid w:val="006B3605"/>
    <w:rsid w:val="006B5362"/>
    <w:rsid w:val="006B6DE3"/>
    <w:rsid w:val="006B6FAF"/>
    <w:rsid w:val="006B749C"/>
    <w:rsid w:val="006B7A96"/>
    <w:rsid w:val="006C1546"/>
    <w:rsid w:val="006C7C3C"/>
    <w:rsid w:val="006D02E8"/>
    <w:rsid w:val="006D17E8"/>
    <w:rsid w:val="006D2C31"/>
    <w:rsid w:val="006D6BA4"/>
    <w:rsid w:val="006E1451"/>
    <w:rsid w:val="006E7C28"/>
    <w:rsid w:val="006E7FE8"/>
    <w:rsid w:val="006F0455"/>
    <w:rsid w:val="006F25E9"/>
    <w:rsid w:val="006F50EF"/>
    <w:rsid w:val="006F570A"/>
    <w:rsid w:val="006F6421"/>
    <w:rsid w:val="006F7732"/>
    <w:rsid w:val="0070101E"/>
    <w:rsid w:val="00703237"/>
    <w:rsid w:val="00705F64"/>
    <w:rsid w:val="00707551"/>
    <w:rsid w:val="00710FEC"/>
    <w:rsid w:val="00711640"/>
    <w:rsid w:val="00712281"/>
    <w:rsid w:val="00720932"/>
    <w:rsid w:val="007216E4"/>
    <w:rsid w:val="0072455F"/>
    <w:rsid w:val="00725C02"/>
    <w:rsid w:val="00730895"/>
    <w:rsid w:val="00730DCA"/>
    <w:rsid w:val="0073170E"/>
    <w:rsid w:val="007322E6"/>
    <w:rsid w:val="00736256"/>
    <w:rsid w:val="007363FE"/>
    <w:rsid w:val="00745456"/>
    <w:rsid w:val="00746F74"/>
    <w:rsid w:val="0075017F"/>
    <w:rsid w:val="0075107F"/>
    <w:rsid w:val="007511CF"/>
    <w:rsid w:val="00754A1C"/>
    <w:rsid w:val="00756287"/>
    <w:rsid w:val="00757265"/>
    <w:rsid w:val="00762C98"/>
    <w:rsid w:val="00767114"/>
    <w:rsid w:val="00767A80"/>
    <w:rsid w:val="00770443"/>
    <w:rsid w:val="00771987"/>
    <w:rsid w:val="0077538E"/>
    <w:rsid w:val="0077544B"/>
    <w:rsid w:val="00780321"/>
    <w:rsid w:val="00781E36"/>
    <w:rsid w:val="0078317B"/>
    <w:rsid w:val="0079130D"/>
    <w:rsid w:val="007921BD"/>
    <w:rsid w:val="0079370D"/>
    <w:rsid w:val="00793822"/>
    <w:rsid w:val="00793A3D"/>
    <w:rsid w:val="007942A2"/>
    <w:rsid w:val="007979BF"/>
    <w:rsid w:val="007A0FB8"/>
    <w:rsid w:val="007A6434"/>
    <w:rsid w:val="007A6C4E"/>
    <w:rsid w:val="007A6C82"/>
    <w:rsid w:val="007B0929"/>
    <w:rsid w:val="007B2898"/>
    <w:rsid w:val="007B4FC1"/>
    <w:rsid w:val="007B6320"/>
    <w:rsid w:val="007B7149"/>
    <w:rsid w:val="007C37A4"/>
    <w:rsid w:val="007C426B"/>
    <w:rsid w:val="007C439A"/>
    <w:rsid w:val="007C552F"/>
    <w:rsid w:val="007C6149"/>
    <w:rsid w:val="007C62F3"/>
    <w:rsid w:val="007D1B4E"/>
    <w:rsid w:val="007D57CC"/>
    <w:rsid w:val="007E2565"/>
    <w:rsid w:val="007E3749"/>
    <w:rsid w:val="007E40CF"/>
    <w:rsid w:val="007E622A"/>
    <w:rsid w:val="007E7352"/>
    <w:rsid w:val="007E76EB"/>
    <w:rsid w:val="007F0604"/>
    <w:rsid w:val="007F1142"/>
    <w:rsid w:val="007F548C"/>
    <w:rsid w:val="007F61BE"/>
    <w:rsid w:val="007F7978"/>
    <w:rsid w:val="0080317F"/>
    <w:rsid w:val="00807D66"/>
    <w:rsid w:val="00811D59"/>
    <w:rsid w:val="008140C8"/>
    <w:rsid w:val="00814262"/>
    <w:rsid w:val="00815115"/>
    <w:rsid w:val="00815CBA"/>
    <w:rsid w:val="0081688D"/>
    <w:rsid w:val="008217CB"/>
    <w:rsid w:val="00821F9A"/>
    <w:rsid w:val="00823064"/>
    <w:rsid w:val="00823B59"/>
    <w:rsid w:val="00826210"/>
    <w:rsid w:val="00826D6B"/>
    <w:rsid w:val="008270E0"/>
    <w:rsid w:val="00831797"/>
    <w:rsid w:val="00831D24"/>
    <w:rsid w:val="00832FB4"/>
    <w:rsid w:val="0083422E"/>
    <w:rsid w:val="00834BFC"/>
    <w:rsid w:val="00835565"/>
    <w:rsid w:val="00844E93"/>
    <w:rsid w:val="008476DD"/>
    <w:rsid w:val="00852339"/>
    <w:rsid w:val="00852691"/>
    <w:rsid w:val="008529E2"/>
    <w:rsid w:val="00852CD2"/>
    <w:rsid w:val="00855F43"/>
    <w:rsid w:val="00862C06"/>
    <w:rsid w:val="00865FD2"/>
    <w:rsid w:val="008671A2"/>
    <w:rsid w:val="00872100"/>
    <w:rsid w:val="00872823"/>
    <w:rsid w:val="00874877"/>
    <w:rsid w:val="0087673A"/>
    <w:rsid w:val="0087777A"/>
    <w:rsid w:val="00882C02"/>
    <w:rsid w:val="00882C5A"/>
    <w:rsid w:val="008836C5"/>
    <w:rsid w:val="00883B62"/>
    <w:rsid w:val="0088449D"/>
    <w:rsid w:val="00885AC1"/>
    <w:rsid w:val="008925AF"/>
    <w:rsid w:val="00892D35"/>
    <w:rsid w:val="00896F77"/>
    <w:rsid w:val="008A079E"/>
    <w:rsid w:val="008A089C"/>
    <w:rsid w:val="008A249A"/>
    <w:rsid w:val="008A2ADA"/>
    <w:rsid w:val="008A2B0B"/>
    <w:rsid w:val="008A2DE8"/>
    <w:rsid w:val="008A3518"/>
    <w:rsid w:val="008A58AA"/>
    <w:rsid w:val="008A6830"/>
    <w:rsid w:val="008A76EA"/>
    <w:rsid w:val="008B150A"/>
    <w:rsid w:val="008B2FD2"/>
    <w:rsid w:val="008B2FE3"/>
    <w:rsid w:val="008B7082"/>
    <w:rsid w:val="008B7942"/>
    <w:rsid w:val="008C06F8"/>
    <w:rsid w:val="008C1334"/>
    <w:rsid w:val="008C2103"/>
    <w:rsid w:val="008C2294"/>
    <w:rsid w:val="008C386F"/>
    <w:rsid w:val="008C38C4"/>
    <w:rsid w:val="008C77D3"/>
    <w:rsid w:val="008C7B12"/>
    <w:rsid w:val="008D14DB"/>
    <w:rsid w:val="008E0DEF"/>
    <w:rsid w:val="008E1E29"/>
    <w:rsid w:val="008E2873"/>
    <w:rsid w:val="008E4731"/>
    <w:rsid w:val="008E6478"/>
    <w:rsid w:val="008F10A5"/>
    <w:rsid w:val="008F671A"/>
    <w:rsid w:val="008F691E"/>
    <w:rsid w:val="008F77FE"/>
    <w:rsid w:val="0090093B"/>
    <w:rsid w:val="0090603F"/>
    <w:rsid w:val="009073FE"/>
    <w:rsid w:val="00907A88"/>
    <w:rsid w:val="00910F84"/>
    <w:rsid w:val="00913A3C"/>
    <w:rsid w:val="00915301"/>
    <w:rsid w:val="00916BFD"/>
    <w:rsid w:val="009209D0"/>
    <w:rsid w:val="0092115C"/>
    <w:rsid w:val="0092159C"/>
    <w:rsid w:val="00922D2F"/>
    <w:rsid w:val="00925EB8"/>
    <w:rsid w:val="00926A84"/>
    <w:rsid w:val="00927371"/>
    <w:rsid w:val="009275C4"/>
    <w:rsid w:val="00927A96"/>
    <w:rsid w:val="0093252A"/>
    <w:rsid w:val="009326EF"/>
    <w:rsid w:val="00934225"/>
    <w:rsid w:val="009346C1"/>
    <w:rsid w:val="00935644"/>
    <w:rsid w:val="009377E7"/>
    <w:rsid w:val="009378FA"/>
    <w:rsid w:val="00945A0A"/>
    <w:rsid w:val="009469ED"/>
    <w:rsid w:val="00946EE9"/>
    <w:rsid w:val="009478F2"/>
    <w:rsid w:val="00950AC4"/>
    <w:rsid w:val="00950EBD"/>
    <w:rsid w:val="00951F64"/>
    <w:rsid w:val="00952704"/>
    <w:rsid w:val="00952825"/>
    <w:rsid w:val="009533F0"/>
    <w:rsid w:val="009536A9"/>
    <w:rsid w:val="00954C64"/>
    <w:rsid w:val="00955D87"/>
    <w:rsid w:val="009615AA"/>
    <w:rsid w:val="009620E0"/>
    <w:rsid w:val="00963A83"/>
    <w:rsid w:val="00964035"/>
    <w:rsid w:val="00964A22"/>
    <w:rsid w:val="00965BA9"/>
    <w:rsid w:val="00966136"/>
    <w:rsid w:val="00966D8E"/>
    <w:rsid w:val="00972258"/>
    <w:rsid w:val="00974941"/>
    <w:rsid w:val="0097563A"/>
    <w:rsid w:val="00981EA9"/>
    <w:rsid w:val="009877B1"/>
    <w:rsid w:val="00990039"/>
    <w:rsid w:val="00991F26"/>
    <w:rsid w:val="00995E52"/>
    <w:rsid w:val="00997397"/>
    <w:rsid w:val="00997AAC"/>
    <w:rsid w:val="009A1F68"/>
    <w:rsid w:val="009A220A"/>
    <w:rsid w:val="009A4FAA"/>
    <w:rsid w:val="009B07A6"/>
    <w:rsid w:val="009B4CEA"/>
    <w:rsid w:val="009B5933"/>
    <w:rsid w:val="009B66D6"/>
    <w:rsid w:val="009B74FC"/>
    <w:rsid w:val="009C029A"/>
    <w:rsid w:val="009C0D5A"/>
    <w:rsid w:val="009C61BC"/>
    <w:rsid w:val="009C7DF1"/>
    <w:rsid w:val="009D0B68"/>
    <w:rsid w:val="009D3D24"/>
    <w:rsid w:val="009D4864"/>
    <w:rsid w:val="009D5149"/>
    <w:rsid w:val="009E1A75"/>
    <w:rsid w:val="009E22B7"/>
    <w:rsid w:val="009E4477"/>
    <w:rsid w:val="009E494F"/>
    <w:rsid w:val="009E4B9F"/>
    <w:rsid w:val="009E5482"/>
    <w:rsid w:val="009E70C9"/>
    <w:rsid w:val="009E7B44"/>
    <w:rsid w:val="009F0626"/>
    <w:rsid w:val="009F0848"/>
    <w:rsid w:val="009F1463"/>
    <w:rsid w:val="009F1FF8"/>
    <w:rsid w:val="009F3261"/>
    <w:rsid w:val="009F5EF4"/>
    <w:rsid w:val="00A06149"/>
    <w:rsid w:val="00A06CC7"/>
    <w:rsid w:val="00A074EE"/>
    <w:rsid w:val="00A10DD4"/>
    <w:rsid w:val="00A11507"/>
    <w:rsid w:val="00A12F10"/>
    <w:rsid w:val="00A138F0"/>
    <w:rsid w:val="00A15A64"/>
    <w:rsid w:val="00A15B51"/>
    <w:rsid w:val="00A15BAD"/>
    <w:rsid w:val="00A16B15"/>
    <w:rsid w:val="00A179A2"/>
    <w:rsid w:val="00A20152"/>
    <w:rsid w:val="00A214D8"/>
    <w:rsid w:val="00A26DAD"/>
    <w:rsid w:val="00A311C2"/>
    <w:rsid w:val="00A31E33"/>
    <w:rsid w:val="00A34F4E"/>
    <w:rsid w:val="00A358AF"/>
    <w:rsid w:val="00A37260"/>
    <w:rsid w:val="00A37EC5"/>
    <w:rsid w:val="00A408CE"/>
    <w:rsid w:val="00A424DD"/>
    <w:rsid w:val="00A42B01"/>
    <w:rsid w:val="00A51EAB"/>
    <w:rsid w:val="00A54281"/>
    <w:rsid w:val="00A57661"/>
    <w:rsid w:val="00A604E1"/>
    <w:rsid w:val="00A62E2B"/>
    <w:rsid w:val="00A639C3"/>
    <w:rsid w:val="00A66A40"/>
    <w:rsid w:val="00A67B72"/>
    <w:rsid w:val="00A67D97"/>
    <w:rsid w:val="00A67D9E"/>
    <w:rsid w:val="00A734DC"/>
    <w:rsid w:val="00A73783"/>
    <w:rsid w:val="00A73EC0"/>
    <w:rsid w:val="00A7648E"/>
    <w:rsid w:val="00A8351F"/>
    <w:rsid w:val="00A83E9D"/>
    <w:rsid w:val="00A86F51"/>
    <w:rsid w:val="00A8730A"/>
    <w:rsid w:val="00A91BCF"/>
    <w:rsid w:val="00A948F7"/>
    <w:rsid w:val="00A964C6"/>
    <w:rsid w:val="00AA32F6"/>
    <w:rsid w:val="00AB031A"/>
    <w:rsid w:val="00AB25A8"/>
    <w:rsid w:val="00AB457C"/>
    <w:rsid w:val="00AB485D"/>
    <w:rsid w:val="00AB6477"/>
    <w:rsid w:val="00AC2795"/>
    <w:rsid w:val="00AC39B2"/>
    <w:rsid w:val="00AC67AD"/>
    <w:rsid w:val="00AD015B"/>
    <w:rsid w:val="00AD48E5"/>
    <w:rsid w:val="00AD4E7F"/>
    <w:rsid w:val="00AD69C8"/>
    <w:rsid w:val="00AE374D"/>
    <w:rsid w:val="00AE4D92"/>
    <w:rsid w:val="00AE6824"/>
    <w:rsid w:val="00AF184C"/>
    <w:rsid w:val="00AF2C70"/>
    <w:rsid w:val="00AF64C9"/>
    <w:rsid w:val="00AF7EBE"/>
    <w:rsid w:val="00B06069"/>
    <w:rsid w:val="00B0738E"/>
    <w:rsid w:val="00B07E62"/>
    <w:rsid w:val="00B105EC"/>
    <w:rsid w:val="00B10DE9"/>
    <w:rsid w:val="00B11695"/>
    <w:rsid w:val="00B128F0"/>
    <w:rsid w:val="00B1349C"/>
    <w:rsid w:val="00B14997"/>
    <w:rsid w:val="00B150D1"/>
    <w:rsid w:val="00B261C0"/>
    <w:rsid w:val="00B27646"/>
    <w:rsid w:val="00B34E79"/>
    <w:rsid w:val="00B35BC9"/>
    <w:rsid w:val="00B36A4A"/>
    <w:rsid w:val="00B41C31"/>
    <w:rsid w:val="00B462CD"/>
    <w:rsid w:val="00B47A9E"/>
    <w:rsid w:val="00B47D28"/>
    <w:rsid w:val="00B520A1"/>
    <w:rsid w:val="00B5351E"/>
    <w:rsid w:val="00B553FC"/>
    <w:rsid w:val="00B561B3"/>
    <w:rsid w:val="00B564E7"/>
    <w:rsid w:val="00B56E6B"/>
    <w:rsid w:val="00B60237"/>
    <w:rsid w:val="00B62342"/>
    <w:rsid w:val="00B62C7D"/>
    <w:rsid w:val="00B6593E"/>
    <w:rsid w:val="00B66200"/>
    <w:rsid w:val="00B67090"/>
    <w:rsid w:val="00B707FF"/>
    <w:rsid w:val="00B718CD"/>
    <w:rsid w:val="00B73E74"/>
    <w:rsid w:val="00B7525E"/>
    <w:rsid w:val="00B77B57"/>
    <w:rsid w:val="00B81375"/>
    <w:rsid w:val="00B81C92"/>
    <w:rsid w:val="00B82498"/>
    <w:rsid w:val="00B8666B"/>
    <w:rsid w:val="00BA04C9"/>
    <w:rsid w:val="00BA4064"/>
    <w:rsid w:val="00BA5243"/>
    <w:rsid w:val="00BA531A"/>
    <w:rsid w:val="00BA5EA4"/>
    <w:rsid w:val="00BA5FDA"/>
    <w:rsid w:val="00BA776D"/>
    <w:rsid w:val="00BB3A82"/>
    <w:rsid w:val="00BB41A6"/>
    <w:rsid w:val="00BC1259"/>
    <w:rsid w:val="00BC283E"/>
    <w:rsid w:val="00BC40D8"/>
    <w:rsid w:val="00BC475C"/>
    <w:rsid w:val="00BC6296"/>
    <w:rsid w:val="00BC6FD3"/>
    <w:rsid w:val="00BC754E"/>
    <w:rsid w:val="00BC791B"/>
    <w:rsid w:val="00BD05D0"/>
    <w:rsid w:val="00BD0C95"/>
    <w:rsid w:val="00BD214F"/>
    <w:rsid w:val="00BD354C"/>
    <w:rsid w:val="00BD4156"/>
    <w:rsid w:val="00BD49D0"/>
    <w:rsid w:val="00BD4C10"/>
    <w:rsid w:val="00BD73AC"/>
    <w:rsid w:val="00BE01C0"/>
    <w:rsid w:val="00BE064A"/>
    <w:rsid w:val="00BE0F8A"/>
    <w:rsid w:val="00BE475D"/>
    <w:rsid w:val="00BF0743"/>
    <w:rsid w:val="00BF251E"/>
    <w:rsid w:val="00BF272C"/>
    <w:rsid w:val="00BF28D0"/>
    <w:rsid w:val="00BF5799"/>
    <w:rsid w:val="00BF58A7"/>
    <w:rsid w:val="00BF6025"/>
    <w:rsid w:val="00C04D8E"/>
    <w:rsid w:val="00C1087B"/>
    <w:rsid w:val="00C1159E"/>
    <w:rsid w:val="00C119E4"/>
    <w:rsid w:val="00C16733"/>
    <w:rsid w:val="00C1782B"/>
    <w:rsid w:val="00C20EA6"/>
    <w:rsid w:val="00C23CC5"/>
    <w:rsid w:val="00C27AC5"/>
    <w:rsid w:val="00C3468A"/>
    <w:rsid w:val="00C354BE"/>
    <w:rsid w:val="00C35E5D"/>
    <w:rsid w:val="00C36317"/>
    <w:rsid w:val="00C37631"/>
    <w:rsid w:val="00C419E1"/>
    <w:rsid w:val="00C41B46"/>
    <w:rsid w:val="00C42842"/>
    <w:rsid w:val="00C43087"/>
    <w:rsid w:val="00C437BD"/>
    <w:rsid w:val="00C50E32"/>
    <w:rsid w:val="00C5228A"/>
    <w:rsid w:val="00C52428"/>
    <w:rsid w:val="00C57E6F"/>
    <w:rsid w:val="00C604DC"/>
    <w:rsid w:val="00C60BA4"/>
    <w:rsid w:val="00C642EE"/>
    <w:rsid w:val="00C66188"/>
    <w:rsid w:val="00C6734A"/>
    <w:rsid w:val="00C70B85"/>
    <w:rsid w:val="00C719C7"/>
    <w:rsid w:val="00C72F47"/>
    <w:rsid w:val="00C74B00"/>
    <w:rsid w:val="00C75E8B"/>
    <w:rsid w:val="00C80F02"/>
    <w:rsid w:val="00C80F76"/>
    <w:rsid w:val="00C81EFE"/>
    <w:rsid w:val="00C8249B"/>
    <w:rsid w:val="00C8373A"/>
    <w:rsid w:val="00C871C7"/>
    <w:rsid w:val="00C87772"/>
    <w:rsid w:val="00C94874"/>
    <w:rsid w:val="00CA175A"/>
    <w:rsid w:val="00CA17DC"/>
    <w:rsid w:val="00CA2A9A"/>
    <w:rsid w:val="00CA40B5"/>
    <w:rsid w:val="00CA44FB"/>
    <w:rsid w:val="00CA4537"/>
    <w:rsid w:val="00CA6755"/>
    <w:rsid w:val="00CB2DD5"/>
    <w:rsid w:val="00CC1250"/>
    <w:rsid w:val="00CC143A"/>
    <w:rsid w:val="00CC1BCC"/>
    <w:rsid w:val="00CC2A82"/>
    <w:rsid w:val="00CC2F9B"/>
    <w:rsid w:val="00CC5CD5"/>
    <w:rsid w:val="00CC63A4"/>
    <w:rsid w:val="00CC726F"/>
    <w:rsid w:val="00CD1B91"/>
    <w:rsid w:val="00CD1E2A"/>
    <w:rsid w:val="00CE09BD"/>
    <w:rsid w:val="00CE2838"/>
    <w:rsid w:val="00CE7AA6"/>
    <w:rsid w:val="00CF196E"/>
    <w:rsid w:val="00CF3C50"/>
    <w:rsid w:val="00CF5580"/>
    <w:rsid w:val="00CF6186"/>
    <w:rsid w:val="00CF6F06"/>
    <w:rsid w:val="00CF7FAE"/>
    <w:rsid w:val="00D01EA3"/>
    <w:rsid w:val="00D04542"/>
    <w:rsid w:val="00D066C5"/>
    <w:rsid w:val="00D073F5"/>
    <w:rsid w:val="00D07B89"/>
    <w:rsid w:val="00D119A7"/>
    <w:rsid w:val="00D12A08"/>
    <w:rsid w:val="00D13EBB"/>
    <w:rsid w:val="00D27229"/>
    <w:rsid w:val="00D309C2"/>
    <w:rsid w:val="00D40823"/>
    <w:rsid w:val="00D442AB"/>
    <w:rsid w:val="00D44550"/>
    <w:rsid w:val="00D46571"/>
    <w:rsid w:val="00D47D0B"/>
    <w:rsid w:val="00D52CF3"/>
    <w:rsid w:val="00D54C9B"/>
    <w:rsid w:val="00D62394"/>
    <w:rsid w:val="00D62604"/>
    <w:rsid w:val="00D62700"/>
    <w:rsid w:val="00D63192"/>
    <w:rsid w:val="00D666E7"/>
    <w:rsid w:val="00D71E82"/>
    <w:rsid w:val="00D73B18"/>
    <w:rsid w:val="00D750C5"/>
    <w:rsid w:val="00D80735"/>
    <w:rsid w:val="00D80A3E"/>
    <w:rsid w:val="00D812D8"/>
    <w:rsid w:val="00D83EE1"/>
    <w:rsid w:val="00D86C53"/>
    <w:rsid w:val="00D91BFB"/>
    <w:rsid w:val="00D945CC"/>
    <w:rsid w:val="00D94604"/>
    <w:rsid w:val="00D95E0B"/>
    <w:rsid w:val="00D97190"/>
    <w:rsid w:val="00D97546"/>
    <w:rsid w:val="00DA18F9"/>
    <w:rsid w:val="00DA1C2C"/>
    <w:rsid w:val="00DA29E4"/>
    <w:rsid w:val="00DB05B1"/>
    <w:rsid w:val="00DB0EB5"/>
    <w:rsid w:val="00DB6EE6"/>
    <w:rsid w:val="00DC1B74"/>
    <w:rsid w:val="00DC5A0F"/>
    <w:rsid w:val="00DC5E6F"/>
    <w:rsid w:val="00DC6025"/>
    <w:rsid w:val="00DC7F67"/>
    <w:rsid w:val="00DD155F"/>
    <w:rsid w:val="00DD1A45"/>
    <w:rsid w:val="00DD3454"/>
    <w:rsid w:val="00DD3B9E"/>
    <w:rsid w:val="00DD7E76"/>
    <w:rsid w:val="00DE28B5"/>
    <w:rsid w:val="00DE2E44"/>
    <w:rsid w:val="00DE2E5E"/>
    <w:rsid w:val="00DE6FE5"/>
    <w:rsid w:val="00DE7E15"/>
    <w:rsid w:val="00DF20FB"/>
    <w:rsid w:val="00DF292E"/>
    <w:rsid w:val="00E00906"/>
    <w:rsid w:val="00E010B6"/>
    <w:rsid w:val="00E04C62"/>
    <w:rsid w:val="00E067D3"/>
    <w:rsid w:val="00E07C2B"/>
    <w:rsid w:val="00E13FD4"/>
    <w:rsid w:val="00E14241"/>
    <w:rsid w:val="00E143F3"/>
    <w:rsid w:val="00E144CE"/>
    <w:rsid w:val="00E1528E"/>
    <w:rsid w:val="00E16058"/>
    <w:rsid w:val="00E215A7"/>
    <w:rsid w:val="00E2227C"/>
    <w:rsid w:val="00E233F3"/>
    <w:rsid w:val="00E25815"/>
    <w:rsid w:val="00E2674A"/>
    <w:rsid w:val="00E303D4"/>
    <w:rsid w:val="00E311C3"/>
    <w:rsid w:val="00E3236C"/>
    <w:rsid w:val="00E32A89"/>
    <w:rsid w:val="00E36CB7"/>
    <w:rsid w:val="00E37D03"/>
    <w:rsid w:val="00E42400"/>
    <w:rsid w:val="00E43040"/>
    <w:rsid w:val="00E4388E"/>
    <w:rsid w:val="00E500C4"/>
    <w:rsid w:val="00E50E87"/>
    <w:rsid w:val="00E540B6"/>
    <w:rsid w:val="00E54AC9"/>
    <w:rsid w:val="00E55724"/>
    <w:rsid w:val="00E604D4"/>
    <w:rsid w:val="00E60574"/>
    <w:rsid w:val="00E66A0D"/>
    <w:rsid w:val="00E66DCF"/>
    <w:rsid w:val="00E70450"/>
    <w:rsid w:val="00E718D9"/>
    <w:rsid w:val="00E71BF0"/>
    <w:rsid w:val="00E750E2"/>
    <w:rsid w:val="00E76246"/>
    <w:rsid w:val="00E80062"/>
    <w:rsid w:val="00E83F98"/>
    <w:rsid w:val="00E86643"/>
    <w:rsid w:val="00E92313"/>
    <w:rsid w:val="00E93ACE"/>
    <w:rsid w:val="00E93FC4"/>
    <w:rsid w:val="00EA3651"/>
    <w:rsid w:val="00EA444B"/>
    <w:rsid w:val="00EA5622"/>
    <w:rsid w:val="00EA762D"/>
    <w:rsid w:val="00EA7770"/>
    <w:rsid w:val="00EA7B33"/>
    <w:rsid w:val="00EB55C2"/>
    <w:rsid w:val="00EB5719"/>
    <w:rsid w:val="00EB5BC9"/>
    <w:rsid w:val="00EB67BF"/>
    <w:rsid w:val="00EB6999"/>
    <w:rsid w:val="00EC47B6"/>
    <w:rsid w:val="00EC48C9"/>
    <w:rsid w:val="00ED38E9"/>
    <w:rsid w:val="00ED3DEC"/>
    <w:rsid w:val="00ED4724"/>
    <w:rsid w:val="00ED4E3B"/>
    <w:rsid w:val="00ED5C70"/>
    <w:rsid w:val="00ED6179"/>
    <w:rsid w:val="00ED63A4"/>
    <w:rsid w:val="00ED6DCF"/>
    <w:rsid w:val="00EE0473"/>
    <w:rsid w:val="00EE399B"/>
    <w:rsid w:val="00EE40DF"/>
    <w:rsid w:val="00EE48CD"/>
    <w:rsid w:val="00EF7412"/>
    <w:rsid w:val="00EF7DD8"/>
    <w:rsid w:val="00F0270C"/>
    <w:rsid w:val="00F13A1B"/>
    <w:rsid w:val="00F13A58"/>
    <w:rsid w:val="00F14C0D"/>
    <w:rsid w:val="00F15299"/>
    <w:rsid w:val="00F15E97"/>
    <w:rsid w:val="00F25A3B"/>
    <w:rsid w:val="00F267B4"/>
    <w:rsid w:val="00F31AD3"/>
    <w:rsid w:val="00F328BD"/>
    <w:rsid w:val="00F35B81"/>
    <w:rsid w:val="00F36C63"/>
    <w:rsid w:val="00F44854"/>
    <w:rsid w:val="00F45D49"/>
    <w:rsid w:val="00F46911"/>
    <w:rsid w:val="00F50BDB"/>
    <w:rsid w:val="00F517F0"/>
    <w:rsid w:val="00F57563"/>
    <w:rsid w:val="00F639CA"/>
    <w:rsid w:val="00F64FB5"/>
    <w:rsid w:val="00F65298"/>
    <w:rsid w:val="00F65D07"/>
    <w:rsid w:val="00F65D7E"/>
    <w:rsid w:val="00F668CF"/>
    <w:rsid w:val="00F73E9E"/>
    <w:rsid w:val="00F740E6"/>
    <w:rsid w:val="00F76AAF"/>
    <w:rsid w:val="00F76AE9"/>
    <w:rsid w:val="00F7792D"/>
    <w:rsid w:val="00F82B65"/>
    <w:rsid w:val="00F82DF2"/>
    <w:rsid w:val="00F875C6"/>
    <w:rsid w:val="00F9292E"/>
    <w:rsid w:val="00F94760"/>
    <w:rsid w:val="00F94929"/>
    <w:rsid w:val="00F957B6"/>
    <w:rsid w:val="00FA0D47"/>
    <w:rsid w:val="00FA35C4"/>
    <w:rsid w:val="00FA3678"/>
    <w:rsid w:val="00FA4665"/>
    <w:rsid w:val="00FA4F12"/>
    <w:rsid w:val="00FA542F"/>
    <w:rsid w:val="00FA65C2"/>
    <w:rsid w:val="00FB2CF9"/>
    <w:rsid w:val="00FB301A"/>
    <w:rsid w:val="00FB39CA"/>
    <w:rsid w:val="00FB41A4"/>
    <w:rsid w:val="00FB4B0C"/>
    <w:rsid w:val="00FB575E"/>
    <w:rsid w:val="00FB60C3"/>
    <w:rsid w:val="00FC00B2"/>
    <w:rsid w:val="00FC4A4A"/>
    <w:rsid w:val="00FC5662"/>
    <w:rsid w:val="00FD1EF2"/>
    <w:rsid w:val="00FD266A"/>
    <w:rsid w:val="00FD5A99"/>
    <w:rsid w:val="00FE0710"/>
    <w:rsid w:val="00FE14AF"/>
    <w:rsid w:val="00FE2C1C"/>
    <w:rsid w:val="00FE378B"/>
    <w:rsid w:val="00FE50C2"/>
    <w:rsid w:val="00FE66BE"/>
    <w:rsid w:val="01282E62"/>
    <w:rsid w:val="01336407"/>
    <w:rsid w:val="013E61E2"/>
    <w:rsid w:val="015F07C5"/>
    <w:rsid w:val="017B7436"/>
    <w:rsid w:val="01987FE8"/>
    <w:rsid w:val="01C35078"/>
    <w:rsid w:val="01E81859"/>
    <w:rsid w:val="02300221"/>
    <w:rsid w:val="02676536"/>
    <w:rsid w:val="027F313D"/>
    <w:rsid w:val="02A4476B"/>
    <w:rsid w:val="02E05B6E"/>
    <w:rsid w:val="031E62CB"/>
    <w:rsid w:val="03253AFD"/>
    <w:rsid w:val="038156D1"/>
    <w:rsid w:val="03AF5DCA"/>
    <w:rsid w:val="03E05C76"/>
    <w:rsid w:val="0403584D"/>
    <w:rsid w:val="043011FB"/>
    <w:rsid w:val="043438CC"/>
    <w:rsid w:val="049D76C3"/>
    <w:rsid w:val="04B107F3"/>
    <w:rsid w:val="04F41598"/>
    <w:rsid w:val="052C24B6"/>
    <w:rsid w:val="055E5996"/>
    <w:rsid w:val="056C5A14"/>
    <w:rsid w:val="056C63BB"/>
    <w:rsid w:val="05797C69"/>
    <w:rsid w:val="05B253F0"/>
    <w:rsid w:val="05C313AC"/>
    <w:rsid w:val="05E64275"/>
    <w:rsid w:val="05F11A75"/>
    <w:rsid w:val="05FE0636"/>
    <w:rsid w:val="0627033B"/>
    <w:rsid w:val="062736E9"/>
    <w:rsid w:val="06A80B5A"/>
    <w:rsid w:val="06EF56F4"/>
    <w:rsid w:val="07081FF5"/>
    <w:rsid w:val="072E1469"/>
    <w:rsid w:val="07E33CEA"/>
    <w:rsid w:val="08662E4F"/>
    <w:rsid w:val="089B6610"/>
    <w:rsid w:val="08B131D7"/>
    <w:rsid w:val="08EB5608"/>
    <w:rsid w:val="08FA3336"/>
    <w:rsid w:val="093750AF"/>
    <w:rsid w:val="094C2162"/>
    <w:rsid w:val="096802A0"/>
    <w:rsid w:val="097A07E5"/>
    <w:rsid w:val="09840E52"/>
    <w:rsid w:val="09A3577C"/>
    <w:rsid w:val="09CA0D6F"/>
    <w:rsid w:val="09EC2210"/>
    <w:rsid w:val="09F45FD8"/>
    <w:rsid w:val="09F61AD0"/>
    <w:rsid w:val="09FB7366"/>
    <w:rsid w:val="0A1C52DC"/>
    <w:rsid w:val="0A3960E0"/>
    <w:rsid w:val="0A461B56"/>
    <w:rsid w:val="0A61636D"/>
    <w:rsid w:val="0A666A2D"/>
    <w:rsid w:val="0A7661F1"/>
    <w:rsid w:val="0A832B12"/>
    <w:rsid w:val="0AD81243"/>
    <w:rsid w:val="0B5036E2"/>
    <w:rsid w:val="0B5A7049"/>
    <w:rsid w:val="0BA35963"/>
    <w:rsid w:val="0BA8707A"/>
    <w:rsid w:val="0BD25EA5"/>
    <w:rsid w:val="0C2B1A59"/>
    <w:rsid w:val="0C437F82"/>
    <w:rsid w:val="0D077DD0"/>
    <w:rsid w:val="0D0F0D82"/>
    <w:rsid w:val="0D466B4A"/>
    <w:rsid w:val="0D8C66E1"/>
    <w:rsid w:val="0D9C6D87"/>
    <w:rsid w:val="0D9F625A"/>
    <w:rsid w:val="0DB85E58"/>
    <w:rsid w:val="0E520BCC"/>
    <w:rsid w:val="0E8B5192"/>
    <w:rsid w:val="0EF06EE0"/>
    <w:rsid w:val="0F0162C2"/>
    <w:rsid w:val="0F1F58A5"/>
    <w:rsid w:val="0F3533BA"/>
    <w:rsid w:val="0F6452D8"/>
    <w:rsid w:val="0FE32D76"/>
    <w:rsid w:val="10576B90"/>
    <w:rsid w:val="108C6F6A"/>
    <w:rsid w:val="11BE04B1"/>
    <w:rsid w:val="11E903EC"/>
    <w:rsid w:val="12045226"/>
    <w:rsid w:val="12244421"/>
    <w:rsid w:val="12716791"/>
    <w:rsid w:val="12770708"/>
    <w:rsid w:val="129355BA"/>
    <w:rsid w:val="12FE7EC7"/>
    <w:rsid w:val="13225853"/>
    <w:rsid w:val="132E255A"/>
    <w:rsid w:val="137B7981"/>
    <w:rsid w:val="13C609E5"/>
    <w:rsid w:val="144B0EEA"/>
    <w:rsid w:val="14563F68"/>
    <w:rsid w:val="14737DC2"/>
    <w:rsid w:val="14A34E7B"/>
    <w:rsid w:val="14FB46BE"/>
    <w:rsid w:val="15055500"/>
    <w:rsid w:val="154A79FC"/>
    <w:rsid w:val="1577316E"/>
    <w:rsid w:val="157E709D"/>
    <w:rsid w:val="15FB3E98"/>
    <w:rsid w:val="163D0D06"/>
    <w:rsid w:val="166B1C91"/>
    <w:rsid w:val="166B462C"/>
    <w:rsid w:val="16757794"/>
    <w:rsid w:val="168B0B0C"/>
    <w:rsid w:val="16AF7EAC"/>
    <w:rsid w:val="16B26FFE"/>
    <w:rsid w:val="16F21AF1"/>
    <w:rsid w:val="172D2B29"/>
    <w:rsid w:val="176F0DD6"/>
    <w:rsid w:val="177E5469"/>
    <w:rsid w:val="17824C23"/>
    <w:rsid w:val="17AE643A"/>
    <w:rsid w:val="17AF7D4D"/>
    <w:rsid w:val="17D27321"/>
    <w:rsid w:val="18471012"/>
    <w:rsid w:val="18C179CD"/>
    <w:rsid w:val="18F66CD4"/>
    <w:rsid w:val="192D6E10"/>
    <w:rsid w:val="1930072A"/>
    <w:rsid w:val="19B65058"/>
    <w:rsid w:val="19C21C4E"/>
    <w:rsid w:val="19D674A8"/>
    <w:rsid w:val="19F416DC"/>
    <w:rsid w:val="1A0C111B"/>
    <w:rsid w:val="1AF64450"/>
    <w:rsid w:val="1B720258"/>
    <w:rsid w:val="1B903EE9"/>
    <w:rsid w:val="1BA51042"/>
    <w:rsid w:val="1BE20386"/>
    <w:rsid w:val="1BEC2FB3"/>
    <w:rsid w:val="1C3861F8"/>
    <w:rsid w:val="1CA27B15"/>
    <w:rsid w:val="1CDF6673"/>
    <w:rsid w:val="1CE617B0"/>
    <w:rsid w:val="1D0E117B"/>
    <w:rsid w:val="1D1D7568"/>
    <w:rsid w:val="1D2247B2"/>
    <w:rsid w:val="1D232E70"/>
    <w:rsid w:val="1D393246"/>
    <w:rsid w:val="1D8636DD"/>
    <w:rsid w:val="1DA04055"/>
    <w:rsid w:val="1DB16262"/>
    <w:rsid w:val="1DB95116"/>
    <w:rsid w:val="1DBA49EB"/>
    <w:rsid w:val="1DD00AB6"/>
    <w:rsid w:val="1DD12FC1"/>
    <w:rsid w:val="1DF20628"/>
    <w:rsid w:val="1DF71106"/>
    <w:rsid w:val="1E396257"/>
    <w:rsid w:val="1E5666BC"/>
    <w:rsid w:val="1E57048B"/>
    <w:rsid w:val="1EA627BB"/>
    <w:rsid w:val="1EC07C63"/>
    <w:rsid w:val="1F042EFE"/>
    <w:rsid w:val="1F1F71FB"/>
    <w:rsid w:val="1F9C084C"/>
    <w:rsid w:val="1F9C4138"/>
    <w:rsid w:val="1FB57B5F"/>
    <w:rsid w:val="1FBD5D4F"/>
    <w:rsid w:val="202645B9"/>
    <w:rsid w:val="206104AB"/>
    <w:rsid w:val="20B971DB"/>
    <w:rsid w:val="20C067BC"/>
    <w:rsid w:val="20EB1A8B"/>
    <w:rsid w:val="210B483A"/>
    <w:rsid w:val="21463165"/>
    <w:rsid w:val="21606EA4"/>
    <w:rsid w:val="2166459E"/>
    <w:rsid w:val="217F114F"/>
    <w:rsid w:val="21D06ED2"/>
    <w:rsid w:val="21EC60B0"/>
    <w:rsid w:val="22066450"/>
    <w:rsid w:val="22465845"/>
    <w:rsid w:val="224C30E3"/>
    <w:rsid w:val="22603DB2"/>
    <w:rsid w:val="23413A63"/>
    <w:rsid w:val="23810484"/>
    <w:rsid w:val="238D507B"/>
    <w:rsid w:val="23912533"/>
    <w:rsid w:val="23BA1BE8"/>
    <w:rsid w:val="23DA7B95"/>
    <w:rsid w:val="249E5066"/>
    <w:rsid w:val="24B350EE"/>
    <w:rsid w:val="24F966A0"/>
    <w:rsid w:val="252C08C4"/>
    <w:rsid w:val="257E7594"/>
    <w:rsid w:val="25A20B86"/>
    <w:rsid w:val="25BF34E6"/>
    <w:rsid w:val="25DA3E7C"/>
    <w:rsid w:val="26555BF8"/>
    <w:rsid w:val="26633E71"/>
    <w:rsid w:val="268D6456"/>
    <w:rsid w:val="26955FF5"/>
    <w:rsid w:val="26A7167B"/>
    <w:rsid w:val="26B307E8"/>
    <w:rsid w:val="26FB75E8"/>
    <w:rsid w:val="27150D4A"/>
    <w:rsid w:val="272929CC"/>
    <w:rsid w:val="273A24BC"/>
    <w:rsid w:val="275B4A1E"/>
    <w:rsid w:val="27624129"/>
    <w:rsid w:val="27765E26"/>
    <w:rsid w:val="277A333A"/>
    <w:rsid w:val="27912BBD"/>
    <w:rsid w:val="279C24E3"/>
    <w:rsid w:val="27A908DC"/>
    <w:rsid w:val="283917B1"/>
    <w:rsid w:val="284321AC"/>
    <w:rsid w:val="284C2BA9"/>
    <w:rsid w:val="28CF1AF5"/>
    <w:rsid w:val="290C194A"/>
    <w:rsid w:val="291A2C1F"/>
    <w:rsid w:val="298A2F5B"/>
    <w:rsid w:val="2A0B0ABF"/>
    <w:rsid w:val="2ABF1892"/>
    <w:rsid w:val="2AF27382"/>
    <w:rsid w:val="2B27276C"/>
    <w:rsid w:val="2B304156"/>
    <w:rsid w:val="2B406E0E"/>
    <w:rsid w:val="2BBD12AA"/>
    <w:rsid w:val="2BF07614"/>
    <w:rsid w:val="2C1F6654"/>
    <w:rsid w:val="2C2B3683"/>
    <w:rsid w:val="2C8B2374"/>
    <w:rsid w:val="2C8E59C0"/>
    <w:rsid w:val="2CBF1BAC"/>
    <w:rsid w:val="2CE630CE"/>
    <w:rsid w:val="2CF450C9"/>
    <w:rsid w:val="2D2B793A"/>
    <w:rsid w:val="2D3A31BB"/>
    <w:rsid w:val="2D3E1194"/>
    <w:rsid w:val="2D7B7823"/>
    <w:rsid w:val="2DAC211D"/>
    <w:rsid w:val="2DE03FF9"/>
    <w:rsid w:val="2E5860CE"/>
    <w:rsid w:val="2E755BFA"/>
    <w:rsid w:val="2ECD27D0"/>
    <w:rsid w:val="2EDE3101"/>
    <w:rsid w:val="2F266384"/>
    <w:rsid w:val="2F46425F"/>
    <w:rsid w:val="2F713AA3"/>
    <w:rsid w:val="2F7D2448"/>
    <w:rsid w:val="2FA31782"/>
    <w:rsid w:val="2FC82472"/>
    <w:rsid w:val="2FC8645A"/>
    <w:rsid w:val="2FCA31B3"/>
    <w:rsid w:val="2FFE2E5D"/>
    <w:rsid w:val="30135E4B"/>
    <w:rsid w:val="303845C1"/>
    <w:rsid w:val="304940D8"/>
    <w:rsid w:val="30CD2521"/>
    <w:rsid w:val="30E57296"/>
    <w:rsid w:val="31061FC9"/>
    <w:rsid w:val="310D15A9"/>
    <w:rsid w:val="313564FF"/>
    <w:rsid w:val="3196159F"/>
    <w:rsid w:val="31CA749A"/>
    <w:rsid w:val="31E0281A"/>
    <w:rsid w:val="32676A97"/>
    <w:rsid w:val="32867865"/>
    <w:rsid w:val="32E7407C"/>
    <w:rsid w:val="33314CA9"/>
    <w:rsid w:val="33923FE8"/>
    <w:rsid w:val="33F97BC3"/>
    <w:rsid w:val="3445338B"/>
    <w:rsid w:val="34476B80"/>
    <w:rsid w:val="3448340A"/>
    <w:rsid w:val="346305AB"/>
    <w:rsid w:val="348C7842"/>
    <w:rsid w:val="34A75871"/>
    <w:rsid w:val="34F67EE0"/>
    <w:rsid w:val="350C0041"/>
    <w:rsid w:val="35152498"/>
    <w:rsid w:val="3575771D"/>
    <w:rsid w:val="35A63D7A"/>
    <w:rsid w:val="3600792F"/>
    <w:rsid w:val="360C62D3"/>
    <w:rsid w:val="366724DD"/>
    <w:rsid w:val="369003F3"/>
    <w:rsid w:val="369F457E"/>
    <w:rsid w:val="36AA789A"/>
    <w:rsid w:val="36D94439"/>
    <w:rsid w:val="372C73BF"/>
    <w:rsid w:val="372E2279"/>
    <w:rsid w:val="373B0242"/>
    <w:rsid w:val="37783EB8"/>
    <w:rsid w:val="37855B5B"/>
    <w:rsid w:val="380A4A95"/>
    <w:rsid w:val="38591578"/>
    <w:rsid w:val="38C56C0D"/>
    <w:rsid w:val="38CB70E9"/>
    <w:rsid w:val="38D8249D"/>
    <w:rsid w:val="392A7EE0"/>
    <w:rsid w:val="39522C4F"/>
    <w:rsid w:val="3995213C"/>
    <w:rsid w:val="39965EB4"/>
    <w:rsid w:val="399B59F0"/>
    <w:rsid w:val="399F2FBB"/>
    <w:rsid w:val="39B60CF9"/>
    <w:rsid w:val="39C233C9"/>
    <w:rsid w:val="3A021ADF"/>
    <w:rsid w:val="3A3C2EFF"/>
    <w:rsid w:val="3AC11C0B"/>
    <w:rsid w:val="3AC5785E"/>
    <w:rsid w:val="3AE570F3"/>
    <w:rsid w:val="3AFD61EB"/>
    <w:rsid w:val="3B0C4680"/>
    <w:rsid w:val="3B3E6803"/>
    <w:rsid w:val="3B5D0EF4"/>
    <w:rsid w:val="3B626996"/>
    <w:rsid w:val="3B84632D"/>
    <w:rsid w:val="3BDF3B42"/>
    <w:rsid w:val="3C1B05CA"/>
    <w:rsid w:val="3C44609B"/>
    <w:rsid w:val="3C4F6FF3"/>
    <w:rsid w:val="3C530AC4"/>
    <w:rsid w:val="3C8E1078"/>
    <w:rsid w:val="3CA56B3A"/>
    <w:rsid w:val="3CAA4150"/>
    <w:rsid w:val="3CB74ABF"/>
    <w:rsid w:val="3CD825B8"/>
    <w:rsid w:val="3D690867"/>
    <w:rsid w:val="3D697B26"/>
    <w:rsid w:val="3D9D1B97"/>
    <w:rsid w:val="3DB6486B"/>
    <w:rsid w:val="3DD35929"/>
    <w:rsid w:val="3DF819A8"/>
    <w:rsid w:val="3DFA4C63"/>
    <w:rsid w:val="3E12360F"/>
    <w:rsid w:val="3E15655F"/>
    <w:rsid w:val="3E171CB9"/>
    <w:rsid w:val="3E306FF6"/>
    <w:rsid w:val="3E381B5E"/>
    <w:rsid w:val="3E5500EC"/>
    <w:rsid w:val="3E6F38A3"/>
    <w:rsid w:val="3E815608"/>
    <w:rsid w:val="3E9155A2"/>
    <w:rsid w:val="3EA72163"/>
    <w:rsid w:val="3EA91FFD"/>
    <w:rsid w:val="3F3D74FE"/>
    <w:rsid w:val="3F4145DB"/>
    <w:rsid w:val="3FF51B86"/>
    <w:rsid w:val="3FFB2F15"/>
    <w:rsid w:val="40F80C31"/>
    <w:rsid w:val="410B53D9"/>
    <w:rsid w:val="41320BB8"/>
    <w:rsid w:val="41695F34"/>
    <w:rsid w:val="41A424B8"/>
    <w:rsid w:val="41BC69C3"/>
    <w:rsid w:val="41F63994"/>
    <w:rsid w:val="422B3CC4"/>
    <w:rsid w:val="423554FC"/>
    <w:rsid w:val="425273BE"/>
    <w:rsid w:val="4280189C"/>
    <w:rsid w:val="42ED2D88"/>
    <w:rsid w:val="42FE39BD"/>
    <w:rsid w:val="43052AF8"/>
    <w:rsid w:val="43615785"/>
    <w:rsid w:val="43987A99"/>
    <w:rsid w:val="43A951BC"/>
    <w:rsid w:val="43AC20E7"/>
    <w:rsid w:val="43B3073F"/>
    <w:rsid w:val="43F3453F"/>
    <w:rsid w:val="43FB7987"/>
    <w:rsid w:val="4400183B"/>
    <w:rsid w:val="442451E1"/>
    <w:rsid w:val="44F71EFD"/>
    <w:rsid w:val="457D6C89"/>
    <w:rsid w:val="45D06B81"/>
    <w:rsid w:val="45EA380F"/>
    <w:rsid w:val="46625A9C"/>
    <w:rsid w:val="46B3016A"/>
    <w:rsid w:val="46BD0F24"/>
    <w:rsid w:val="474D5277"/>
    <w:rsid w:val="4783067C"/>
    <w:rsid w:val="47F3043A"/>
    <w:rsid w:val="480A7E67"/>
    <w:rsid w:val="48442464"/>
    <w:rsid w:val="48497225"/>
    <w:rsid w:val="485968EF"/>
    <w:rsid w:val="486610FE"/>
    <w:rsid w:val="48DF33D4"/>
    <w:rsid w:val="499F2B63"/>
    <w:rsid w:val="49A30BB6"/>
    <w:rsid w:val="49C64593"/>
    <w:rsid w:val="4A757FD0"/>
    <w:rsid w:val="4A9D3546"/>
    <w:rsid w:val="4B2538B6"/>
    <w:rsid w:val="4B4844F0"/>
    <w:rsid w:val="4BBE5874"/>
    <w:rsid w:val="4BC94BDB"/>
    <w:rsid w:val="4BD8290E"/>
    <w:rsid w:val="4BE0566A"/>
    <w:rsid w:val="4C011ADB"/>
    <w:rsid w:val="4C2A5769"/>
    <w:rsid w:val="4C5256D4"/>
    <w:rsid w:val="4C705852"/>
    <w:rsid w:val="4C735875"/>
    <w:rsid w:val="4C742085"/>
    <w:rsid w:val="4D0E297B"/>
    <w:rsid w:val="4D1041A6"/>
    <w:rsid w:val="4D16138E"/>
    <w:rsid w:val="4D700CFE"/>
    <w:rsid w:val="4E015B9A"/>
    <w:rsid w:val="4E141D71"/>
    <w:rsid w:val="4E3F37F1"/>
    <w:rsid w:val="4E8B06CC"/>
    <w:rsid w:val="4EB235F2"/>
    <w:rsid w:val="4EC866B8"/>
    <w:rsid w:val="4FAE5403"/>
    <w:rsid w:val="4FC560A3"/>
    <w:rsid w:val="4FD96448"/>
    <w:rsid w:val="4FDE2637"/>
    <w:rsid w:val="4FE56379"/>
    <w:rsid w:val="501871CB"/>
    <w:rsid w:val="50722D7F"/>
    <w:rsid w:val="50A56CB1"/>
    <w:rsid w:val="50EB46B7"/>
    <w:rsid w:val="51123B65"/>
    <w:rsid w:val="51143A06"/>
    <w:rsid w:val="51522CC3"/>
    <w:rsid w:val="5169648F"/>
    <w:rsid w:val="519A015A"/>
    <w:rsid w:val="523613C1"/>
    <w:rsid w:val="525A7F6F"/>
    <w:rsid w:val="525F7333"/>
    <w:rsid w:val="5294522F"/>
    <w:rsid w:val="52952D55"/>
    <w:rsid w:val="52A9519F"/>
    <w:rsid w:val="531E7EBF"/>
    <w:rsid w:val="53373E0C"/>
    <w:rsid w:val="53591BE0"/>
    <w:rsid w:val="536F35A6"/>
    <w:rsid w:val="53A25729"/>
    <w:rsid w:val="53A45945"/>
    <w:rsid w:val="5408474F"/>
    <w:rsid w:val="54813591"/>
    <w:rsid w:val="548666A1"/>
    <w:rsid w:val="553B5E36"/>
    <w:rsid w:val="554E3DBB"/>
    <w:rsid w:val="555409D5"/>
    <w:rsid w:val="555654C5"/>
    <w:rsid w:val="55717AA9"/>
    <w:rsid w:val="55720E2B"/>
    <w:rsid w:val="559B4B26"/>
    <w:rsid w:val="55AC06EC"/>
    <w:rsid w:val="55FB7373"/>
    <w:rsid w:val="56093A85"/>
    <w:rsid w:val="56746023"/>
    <w:rsid w:val="56B20379"/>
    <w:rsid w:val="56E66C7F"/>
    <w:rsid w:val="56F95FA8"/>
    <w:rsid w:val="570606C5"/>
    <w:rsid w:val="57097B86"/>
    <w:rsid w:val="57144B90"/>
    <w:rsid w:val="57315742"/>
    <w:rsid w:val="57D00083"/>
    <w:rsid w:val="586D7B70"/>
    <w:rsid w:val="58BA1767"/>
    <w:rsid w:val="59041801"/>
    <w:rsid w:val="595D6AB0"/>
    <w:rsid w:val="59E569BE"/>
    <w:rsid w:val="59E97ED0"/>
    <w:rsid w:val="5A1D3D5C"/>
    <w:rsid w:val="5A8756A7"/>
    <w:rsid w:val="5B783FF8"/>
    <w:rsid w:val="5B8B2F47"/>
    <w:rsid w:val="5BB167DD"/>
    <w:rsid w:val="5BD540F2"/>
    <w:rsid w:val="5BE80C99"/>
    <w:rsid w:val="5C203689"/>
    <w:rsid w:val="5C2761A7"/>
    <w:rsid w:val="5CA65493"/>
    <w:rsid w:val="5D0F6392"/>
    <w:rsid w:val="5D3513BC"/>
    <w:rsid w:val="5D741361"/>
    <w:rsid w:val="5DB06C95"/>
    <w:rsid w:val="5E184528"/>
    <w:rsid w:val="5E2876F5"/>
    <w:rsid w:val="5E4775F9"/>
    <w:rsid w:val="5E564D2B"/>
    <w:rsid w:val="5ED33B35"/>
    <w:rsid w:val="5EFF4E22"/>
    <w:rsid w:val="5F2463D8"/>
    <w:rsid w:val="5F85500D"/>
    <w:rsid w:val="5FDE62FC"/>
    <w:rsid w:val="601B6CAE"/>
    <w:rsid w:val="6023724B"/>
    <w:rsid w:val="604D4D70"/>
    <w:rsid w:val="6062696C"/>
    <w:rsid w:val="6074044E"/>
    <w:rsid w:val="60765F74"/>
    <w:rsid w:val="60EA2253"/>
    <w:rsid w:val="61665FE8"/>
    <w:rsid w:val="619C5EAE"/>
    <w:rsid w:val="61FE26C5"/>
    <w:rsid w:val="620A4B83"/>
    <w:rsid w:val="624352C6"/>
    <w:rsid w:val="627961EF"/>
    <w:rsid w:val="62A52B40"/>
    <w:rsid w:val="62D97490"/>
    <w:rsid w:val="63291771"/>
    <w:rsid w:val="635B53F4"/>
    <w:rsid w:val="63F83144"/>
    <w:rsid w:val="64030466"/>
    <w:rsid w:val="6431561E"/>
    <w:rsid w:val="6437112D"/>
    <w:rsid w:val="646A06F8"/>
    <w:rsid w:val="64AD0920"/>
    <w:rsid w:val="64D71912"/>
    <w:rsid w:val="64E9765C"/>
    <w:rsid w:val="64EE6A20"/>
    <w:rsid w:val="654B3E73"/>
    <w:rsid w:val="65646CE3"/>
    <w:rsid w:val="65913850"/>
    <w:rsid w:val="6593581A"/>
    <w:rsid w:val="65BC6B1F"/>
    <w:rsid w:val="662A7F2C"/>
    <w:rsid w:val="66486604"/>
    <w:rsid w:val="666E68A3"/>
    <w:rsid w:val="66B912B0"/>
    <w:rsid w:val="66E9529F"/>
    <w:rsid w:val="670466C9"/>
    <w:rsid w:val="67246C2F"/>
    <w:rsid w:val="673D43D6"/>
    <w:rsid w:val="678371C8"/>
    <w:rsid w:val="68144CE6"/>
    <w:rsid w:val="68D46D23"/>
    <w:rsid w:val="68EA39A3"/>
    <w:rsid w:val="68F147C3"/>
    <w:rsid w:val="694B5840"/>
    <w:rsid w:val="69845BA5"/>
    <w:rsid w:val="6A015822"/>
    <w:rsid w:val="6A294057"/>
    <w:rsid w:val="6A325FF9"/>
    <w:rsid w:val="6A4B221F"/>
    <w:rsid w:val="6A576651"/>
    <w:rsid w:val="6AB727B2"/>
    <w:rsid w:val="6AD55F8D"/>
    <w:rsid w:val="6AE54422"/>
    <w:rsid w:val="6B246507"/>
    <w:rsid w:val="6B563571"/>
    <w:rsid w:val="6BD3740E"/>
    <w:rsid w:val="6BFA10DE"/>
    <w:rsid w:val="6C0F51AF"/>
    <w:rsid w:val="6C892A9E"/>
    <w:rsid w:val="6CDE737B"/>
    <w:rsid w:val="6D182CDF"/>
    <w:rsid w:val="6D3B69F3"/>
    <w:rsid w:val="6D3C7582"/>
    <w:rsid w:val="6DA92C5D"/>
    <w:rsid w:val="6DD8026E"/>
    <w:rsid w:val="6DFE1580"/>
    <w:rsid w:val="6E9D4964"/>
    <w:rsid w:val="6EA41EA1"/>
    <w:rsid w:val="6EDC5B3C"/>
    <w:rsid w:val="6F03131A"/>
    <w:rsid w:val="6F0532E4"/>
    <w:rsid w:val="6F59A396"/>
    <w:rsid w:val="6F8D32DA"/>
    <w:rsid w:val="6FA83BAF"/>
    <w:rsid w:val="7000585A"/>
    <w:rsid w:val="700F0193"/>
    <w:rsid w:val="703C530B"/>
    <w:rsid w:val="70723796"/>
    <w:rsid w:val="708E10B8"/>
    <w:rsid w:val="70904E30"/>
    <w:rsid w:val="71013E28"/>
    <w:rsid w:val="71347EB1"/>
    <w:rsid w:val="714479C8"/>
    <w:rsid w:val="714707D4"/>
    <w:rsid w:val="7186404B"/>
    <w:rsid w:val="719402E3"/>
    <w:rsid w:val="72BF06E3"/>
    <w:rsid w:val="72D87E05"/>
    <w:rsid w:val="72DF25B8"/>
    <w:rsid w:val="72EE0533"/>
    <w:rsid w:val="72FF44EF"/>
    <w:rsid w:val="737B4CAA"/>
    <w:rsid w:val="746565D3"/>
    <w:rsid w:val="74D774D1"/>
    <w:rsid w:val="754E0C44"/>
    <w:rsid w:val="756E2459"/>
    <w:rsid w:val="75753004"/>
    <w:rsid w:val="75851546"/>
    <w:rsid w:val="76313693"/>
    <w:rsid w:val="766F0BFF"/>
    <w:rsid w:val="766F3739"/>
    <w:rsid w:val="76720DAB"/>
    <w:rsid w:val="768C42EB"/>
    <w:rsid w:val="769F35AF"/>
    <w:rsid w:val="76ED179B"/>
    <w:rsid w:val="76F123A0"/>
    <w:rsid w:val="77000835"/>
    <w:rsid w:val="77404F00"/>
    <w:rsid w:val="776159F6"/>
    <w:rsid w:val="776948B3"/>
    <w:rsid w:val="77B90D24"/>
    <w:rsid w:val="77F250B7"/>
    <w:rsid w:val="788121DE"/>
    <w:rsid w:val="789417E7"/>
    <w:rsid w:val="78A31478"/>
    <w:rsid w:val="78C0027C"/>
    <w:rsid w:val="79442C5B"/>
    <w:rsid w:val="79691145"/>
    <w:rsid w:val="79817886"/>
    <w:rsid w:val="79881DE9"/>
    <w:rsid w:val="79A9499F"/>
    <w:rsid w:val="79C47907"/>
    <w:rsid w:val="79DD3120"/>
    <w:rsid w:val="7A477AC9"/>
    <w:rsid w:val="7A497E37"/>
    <w:rsid w:val="7AA53BCD"/>
    <w:rsid w:val="7ACD5E42"/>
    <w:rsid w:val="7AEC7106"/>
    <w:rsid w:val="7B005A90"/>
    <w:rsid w:val="7B0138FB"/>
    <w:rsid w:val="7B8657AD"/>
    <w:rsid w:val="7B9A3006"/>
    <w:rsid w:val="7BAC1C5B"/>
    <w:rsid w:val="7BB06386"/>
    <w:rsid w:val="7BDC299A"/>
    <w:rsid w:val="7C173D7F"/>
    <w:rsid w:val="7C332759"/>
    <w:rsid w:val="7C910C34"/>
    <w:rsid w:val="7CDB7433"/>
    <w:rsid w:val="7D110775"/>
    <w:rsid w:val="7D172435"/>
    <w:rsid w:val="7D4C363C"/>
    <w:rsid w:val="7D50598D"/>
    <w:rsid w:val="7D570C13"/>
    <w:rsid w:val="7D824D38"/>
    <w:rsid w:val="7DAF5F6F"/>
    <w:rsid w:val="7DD8172B"/>
    <w:rsid w:val="7DE93DD1"/>
    <w:rsid w:val="7EA63A70"/>
    <w:rsid w:val="7EB77A2B"/>
    <w:rsid w:val="7EC42148"/>
    <w:rsid w:val="7FA35A4A"/>
    <w:rsid w:val="7FC00B62"/>
    <w:rsid w:val="7FDC2818"/>
    <w:rsid w:val="7FEE3921"/>
    <w:rsid w:val="7FFFE13E"/>
    <w:rsid w:val="EF4F0367"/>
    <w:rsid w:val="EF7BAE2F"/>
    <w:rsid w:val="F5F77E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3"/>
    <w:basedOn w:val="1"/>
    <w:next w:val="1"/>
    <w:link w:val="35"/>
    <w:qFormat/>
    <w:uiPriority w:val="0"/>
    <w:pPr>
      <w:adjustRightInd w:val="0"/>
      <w:spacing w:before="260" w:after="260" w:line="416" w:lineRule="auto"/>
      <w:jc w:val="left"/>
      <w:outlineLvl w:val="2"/>
    </w:pPr>
    <w:rPr>
      <w:kern w:val="0"/>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before="10" w:after="10" w:line="360" w:lineRule="auto"/>
      <w:ind w:firstLine="200" w:firstLineChars="200"/>
    </w:pPr>
    <w:rPr>
      <w:sz w:val="24"/>
    </w:rPr>
  </w:style>
  <w:style w:type="paragraph" w:styleId="7">
    <w:name w:val="Normal Indent"/>
    <w:basedOn w:val="1"/>
    <w:link w:val="31"/>
    <w:qFormat/>
    <w:uiPriority w:val="0"/>
    <w:pPr>
      <w:spacing w:line="340" w:lineRule="exact"/>
      <w:jc w:val="left"/>
    </w:pPr>
    <w:rPr>
      <w:rFonts w:ascii="宋体" w:hAnsi="宋体" w:cs="宋体"/>
      <w:color w:val="FF0000"/>
      <w:szCs w:val="21"/>
    </w:rPr>
  </w:style>
  <w:style w:type="paragraph" w:styleId="8">
    <w:name w:val="annotation text"/>
    <w:basedOn w:val="1"/>
    <w:link w:val="33"/>
    <w:qFormat/>
    <w:uiPriority w:val="0"/>
    <w:pPr>
      <w:jc w:val="left"/>
    </w:pPr>
  </w:style>
  <w:style w:type="paragraph" w:styleId="9">
    <w:name w:val="Body Text Indent"/>
    <w:basedOn w:val="1"/>
    <w:unhideWhenUsed/>
    <w:qFormat/>
    <w:uiPriority w:val="99"/>
    <w:pPr>
      <w:ind w:left="420" w:leftChars="200"/>
    </w:pPr>
  </w:style>
  <w:style w:type="paragraph" w:styleId="10">
    <w:name w:val="Plain Text"/>
    <w:basedOn w:val="1"/>
    <w:qFormat/>
    <w:uiPriority w:val="0"/>
    <w:rPr>
      <w:rFonts w:ascii="宋体" w:hAnsi="Courier New"/>
    </w:rPr>
  </w:style>
  <w:style w:type="paragraph" w:styleId="11">
    <w:name w:val="Balloon Text"/>
    <w:basedOn w:val="1"/>
    <w:link w:val="32"/>
    <w:qFormat/>
    <w:uiPriority w:val="0"/>
    <w:rPr>
      <w:sz w:val="18"/>
      <w:szCs w:val="18"/>
    </w:rPr>
  </w:style>
  <w:style w:type="paragraph" w:styleId="12">
    <w:name w:val="footer"/>
    <w:basedOn w:val="1"/>
    <w:link w:val="29"/>
    <w:qFormat/>
    <w:uiPriority w:val="0"/>
    <w:pPr>
      <w:tabs>
        <w:tab w:val="center" w:pos="4153"/>
        <w:tab w:val="right" w:pos="8306"/>
      </w:tabs>
      <w:snapToGrid w:val="0"/>
      <w:jc w:val="left"/>
    </w:pPr>
    <w:rPr>
      <w:sz w:val="18"/>
      <w:szCs w:val="18"/>
    </w:rPr>
  </w:style>
  <w:style w:type="paragraph" w:styleId="13">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unhideWhenUsed/>
    <w:qFormat/>
    <w:uiPriority w:val="0"/>
  </w:style>
  <w:style w:type="paragraph" w:styleId="15">
    <w:name w:val="Body Text 2"/>
    <w:basedOn w:val="1"/>
    <w:qFormat/>
    <w:uiPriority w:val="0"/>
    <w:pPr>
      <w:spacing w:after="120" w:line="480" w:lineRule="auto"/>
    </w:p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18">
    <w:name w:val="annotation subject"/>
    <w:basedOn w:val="8"/>
    <w:next w:val="8"/>
    <w:link w:val="34"/>
    <w:qFormat/>
    <w:uiPriority w:val="0"/>
    <w:rPr>
      <w:b/>
      <w:bCs/>
    </w:rPr>
  </w:style>
  <w:style w:type="paragraph" w:styleId="19">
    <w:name w:val="Body Text First Indent 2"/>
    <w:basedOn w:val="9"/>
    <w:unhideWhenUsed/>
    <w:qFormat/>
    <w:uiPriority w:val="99"/>
    <w:pPr>
      <w:spacing w:line="360" w:lineRule="auto"/>
    </w:pPr>
    <w:rPr>
      <w:sz w:val="24"/>
    </w:rPr>
  </w:style>
  <w:style w:type="table" w:styleId="21">
    <w:name w:val="Table Grid"/>
    <w:basedOn w:val="2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Strong"/>
    <w:qFormat/>
    <w:uiPriority w:val="0"/>
    <w:rPr>
      <w:b/>
      <w:bCs/>
    </w:rPr>
  </w:style>
  <w:style w:type="character" w:styleId="24">
    <w:name w:val="FollowedHyperlink"/>
    <w:basedOn w:val="22"/>
    <w:unhideWhenUsed/>
    <w:qFormat/>
    <w:uiPriority w:val="0"/>
    <w:rPr>
      <w:color w:val="800080"/>
      <w:u w:val="single"/>
    </w:rPr>
  </w:style>
  <w:style w:type="character" w:styleId="25">
    <w:name w:val="Hyperlink"/>
    <w:basedOn w:val="22"/>
    <w:qFormat/>
    <w:uiPriority w:val="0"/>
    <w:rPr>
      <w:color w:val="0000FF"/>
      <w:u w:val="single"/>
    </w:rPr>
  </w:style>
  <w:style w:type="character" w:styleId="26">
    <w:name w:val="annotation reference"/>
    <w:basedOn w:val="22"/>
    <w:qFormat/>
    <w:uiPriority w:val="0"/>
    <w:rPr>
      <w:sz w:val="21"/>
      <w:szCs w:val="21"/>
    </w:rPr>
  </w:style>
  <w:style w:type="paragraph" w:customStyle="1" w:styleId="27">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character" w:customStyle="1" w:styleId="28">
    <w:name w:val="页眉 Char"/>
    <w:basedOn w:val="22"/>
    <w:link w:val="13"/>
    <w:qFormat/>
    <w:uiPriority w:val="0"/>
    <w:rPr>
      <w:kern w:val="2"/>
      <w:sz w:val="18"/>
      <w:szCs w:val="18"/>
    </w:rPr>
  </w:style>
  <w:style w:type="character" w:customStyle="1" w:styleId="29">
    <w:name w:val="页脚 Char"/>
    <w:basedOn w:val="22"/>
    <w:link w:val="12"/>
    <w:qFormat/>
    <w:uiPriority w:val="0"/>
    <w:rPr>
      <w:kern w:val="2"/>
      <w:sz w:val="18"/>
      <w:szCs w:val="18"/>
    </w:rPr>
  </w:style>
  <w:style w:type="paragraph" w:customStyle="1" w:styleId="30">
    <w:name w:val="列出段落1"/>
    <w:basedOn w:val="1"/>
    <w:qFormat/>
    <w:uiPriority w:val="34"/>
    <w:pPr>
      <w:ind w:firstLine="420" w:firstLineChars="200"/>
    </w:pPr>
    <w:rPr>
      <w:szCs w:val="21"/>
    </w:rPr>
  </w:style>
  <w:style w:type="character" w:customStyle="1" w:styleId="31">
    <w:name w:val="正文缩进 Char"/>
    <w:basedOn w:val="22"/>
    <w:link w:val="7"/>
    <w:qFormat/>
    <w:uiPriority w:val="0"/>
    <w:rPr>
      <w:rFonts w:ascii="宋体" w:hAnsi="宋体" w:cs="宋体"/>
      <w:color w:val="FF0000"/>
      <w:kern w:val="2"/>
      <w:sz w:val="21"/>
      <w:szCs w:val="21"/>
    </w:rPr>
  </w:style>
  <w:style w:type="character" w:customStyle="1" w:styleId="32">
    <w:name w:val="批注框文本 Char"/>
    <w:basedOn w:val="22"/>
    <w:link w:val="11"/>
    <w:qFormat/>
    <w:uiPriority w:val="0"/>
    <w:rPr>
      <w:kern w:val="2"/>
      <w:sz w:val="18"/>
      <w:szCs w:val="18"/>
    </w:rPr>
  </w:style>
  <w:style w:type="character" w:customStyle="1" w:styleId="33">
    <w:name w:val="批注文字 Char"/>
    <w:basedOn w:val="22"/>
    <w:link w:val="8"/>
    <w:qFormat/>
    <w:uiPriority w:val="0"/>
    <w:rPr>
      <w:kern w:val="2"/>
      <w:sz w:val="21"/>
      <w:szCs w:val="24"/>
    </w:rPr>
  </w:style>
  <w:style w:type="character" w:customStyle="1" w:styleId="34">
    <w:name w:val="批注主题 Char"/>
    <w:basedOn w:val="33"/>
    <w:link w:val="18"/>
    <w:qFormat/>
    <w:uiPriority w:val="0"/>
    <w:rPr>
      <w:b/>
      <w:bCs/>
      <w:kern w:val="2"/>
      <w:sz w:val="21"/>
      <w:szCs w:val="24"/>
    </w:rPr>
  </w:style>
  <w:style w:type="character" w:customStyle="1" w:styleId="35">
    <w:name w:val="标题 3 Char"/>
    <w:basedOn w:val="22"/>
    <w:link w:val="5"/>
    <w:qFormat/>
    <w:uiPriority w:val="0"/>
    <w:rPr>
      <w:rFonts w:ascii="Arial" w:hAnsi="Arial"/>
      <w:b/>
      <w:bCs/>
      <w:sz w:val="32"/>
      <w:szCs w:val="32"/>
    </w:rPr>
  </w:style>
  <w:style w:type="paragraph" w:customStyle="1" w:styleId="36">
    <w:name w:val="Table Paragraph"/>
    <w:basedOn w:val="1"/>
    <w:qFormat/>
    <w:uiPriority w:val="1"/>
    <w:pPr>
      <w:autoSpaceDE w:val="0"/>
      <w:autoSpaceDN w:val="0"/>
      <w:spacing w:line="311" w:lineRule="exact"/>
      <w:ind w:left="437" w:right="4"/>
      <w:jc w:val="center"/>
    </w:pPr>
    <w:rPr>
      <w:rFonts w:ascii="微软雅黑" w:hAnsi="微软雅黑" w:eastAsia="微软雅黑" w:cs="微软雅黑"/>
      <w:kern w:val="0"/>
      <w:sz w:val="22"/>
      <w:szCs w:val="22"/>
      <w:lang w:val="zh-CN" w:bidi="zh-CN"/>
    </w:rPr>
  </w:style>
  <w:style w:type="paragraph" w:customStyle="1" w:styleId="37">
    <w:name w:val="彩色列表 - 强调文字颜色 111"/>
    <w:basedOn w:val="1"/>
    <w:qFormat/>
    <w:uiPriority w:val="0"/>
    <w:pPr>
      <w:ind w:firstLine="420" w:firstLineChars="200"/>
    </w:pPr>
  </w:style>
  <w:style w:type="paragraph" w:styleId="38">
    <w:name w:val="List Paragraph"/>
    <w:basedOn w:val="1"/>
    <w:unhideWhenUsed/>
    <w:qFormat/>
    <w:uiPriority w:val="99"/>
    <w:pPr>
      <w:ind w:firstLine="420" w:firstLineChars="200"/>
    </w:pPr>
  </w:style>
  <w:style w:type="paragraph" w:customStyle="1" w:styleId="39">
    <w:name w:val="正文1"/>
    <w:basedOn w:val="1"/>
    <w:qFormat/>
    <w:uiPriority w:val="0"/>
    <w:pPr>
      <w:tabs>
        <w:tab w:val="left" w:pos="4"/>
      </w:tabs>
    </w:pPr>
    <w:rPr>
      <w:rFonts w:ascii="宋体" w:hAnsi="宋体"/>
      <w:sz w:val="18"/>
    </w:rPr>
  </w:style>
  <w:style w:type="table" w:customStyle="1" w:styleId="40">
    <w:name w:val="Table Normal"/>
    <w:semiHidden/>
    <w:unhideWhenUsed/>
    <w:qFormat/>
    <w:uiPriority w:val="0"/>
    <w:rPr>
      <w:rFonts w:ascii="Arial" w:hAnsi="Arial" w:cs="Arial" w:eastAsiaTheme="minorEastAsia"/>
      <w:snapToGrid w:val="0"/>
      <w:color w:val="000000"/>
      <w:sz w:val="21"/>
      <w:szCs w:val="21"/>
      <w:lang w:eastAsia="en-US"/>
    </w:rPr>
    <w:tblPr>
      <w:tblCellMar>
        <w:top w:w="0" w:type="dxa"/>
        <w:left w:w="0" w:type="dxa"/>
        <w:bottom w:w="0" w:type="dxa"/>
        <w:right w:w="0" w:type="dxa"/>
      </w:tblCellMar>
    </w:tblPr>
  </w:style>
  <w:style w:type="paragraph" w:customStyle="1" w:styleId="41">
    <w:name w:val="Table Text"/>
    <w:basedOn w:val="1"/>
    <w:semiHidden/>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lang w:eastAsia="en-US"/>
    </w:rPr>
  </w:style>
  <w:style w:type="paragraph" w:styleId="42">
    <w:name w:val="No Spacing"/>
    <w:qFormat/>
    <w:uiPriority w:val="1"/>
    <w:rPr>
      <w:rFonts w:ascii="Times New Roman" w:hAnsi="Times New Roman" w:eastAsia="宋体" w:cs="Times New Roman"/>
      <w:sz w:val="22"/>
      <w:szCs w:val="22"/>
      <w:lang w:val="en-US" w:eastAsia="zh-CN" w:bidi="ar-SA"/>
    </w:rPr>
  </w:style>
  <w:style w:type="paragraph" w:customStyle="1" w:styleId="43">
    <w:name w:val="p0"/>
    <w:basedOn w:val="1"/>
    <w:qFormat/>
    <w:uiPriority w:val="0"/>
    <w:pPr>
      <w:widowControl/>
    </w:pPr>
    <w:rPr>
      <w:kern w:val="0"/>
      <w:szCs w:val="21"/>
    </w:rPr>
  </w:style>
  <w:style w:type="paragraph" w:customStyle="1" w:styleId="44">
    <w:name w:val="NormalIndent"/>
    <w:basedOn w:val="1"/>
    <w:qFormat/>
    <w:uiPriority w:val="0"/>
    <w:pPr>
      <w:ind w:firstLine="420" w:firstLineChars="200"/>
      <w:textAlignment w:val="baseline"/>
    </w:pPr>
  </w:style>
  <w:style w:type="character" w:styleId="45">
    <w:name w:val="Placeholder Text"/>
    <w:basedOn w:val="22"/>
    <w:unhideWhenUsed/>
    <w:qFormat/>
    <w:uiPriority w:val="99"/>
    <w:rPr>
      <w:color w:val="80808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47</Pages>
  <Words>2136</Words>
  <Characters>2188</Characters>
  <Lines>233</Lines>
  <Paragraphs>65</Paragraphs>
  <TotalTime>0</TotalTime>
  <ScaleCrop>false</ScaleCrop>
  <LinksUpToDate>false</LinksUpToDate>
  <CharactersWithSpaces>2220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2025-04-17T18:30:00Z</dcterms:created>
  <dc:creator>谢嘉骏</dc:creator>
  <cp:lastModifiedBy>秦佳涛</cp:lastModifiedBy>
  <dcterms:modified xsi:type="dcterms:W3CDTF">2025-08-15T08:49:23Z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A48175AEC94541F58C03321C558B799A_13</vt:lpwstr>
  </property>
  <property fmtid="{D5CDD505-2E9C-101B-9397-08002B2CF9AE}" pid="4" name="KSOTemplateDocerSaveRecord">
    <vt:lpwstr>eyJoZGlkIjoiMGUzMTYxM2VjYmRjNDdlNTVjMDgxZWRmNGRiYWM1YzAiLCJ1c2VySWQiOiIzMDQ2MDIwNzMifQ==</vt:lpwstr>
  </property>
</Properties>
</file>