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4.9.0.0 -->
  <w:body>
    <w:p>
      <w:pPr>
        <w:jc w:val="right"/>
        <w:rPr>
          <w:rFonts w:ascii="黑体" w:eastAsia="黑体" w:hAnsi="Arial" w:cs="Arial"/>
          <w:sz w:val="52"/>
          <w:szCs w:val="52"/>
        </w:rPr>
      </w:pPr>
      <w:r>
        <w:rPr>
          <w:rFonts w:ascii="宋体" w:hAnsi="宋体" w:hint="eastAsia"/>
          <w:b/>
          <w:spacing w:val="20"/>
          <w:sz w:val="28"/>
        </w:rPr>
        <w:t xml:space="preserve">项目编号：SZDL2024002287 </w:t>
      </w:r>
    </w:p>
    <w:p>
      <w:pPr>
        <w:pStyle w:val="BodyText"/>
      </w:pPr>
    </w:p>
    <w:p>
      <w:pPr>
        <w:jc w:val="center"/>
        <w:rPr>
          <w:rFonts w:ascii="黑体" w:eastAsia="黑体" w:hAnsi="Arial" w:cs="Arial"/>
          <w:sz w:val="52"/>
          <w:szCs w:val="52"/>
        </w:rPr>
      </w:pPr>
    </w:p>
    <w:p>
      <w:pPr>
        <w:pStyle w:val="BodyText"/>
      </w:pPr>
    </w:p>
    <w:p>
      <w:pPr>
        <w:pStyle w:val="BodyText2"/>
      </w:pPr>
    </w:p>
    <w:p>
      <w:pPr>
        <w:pStyle w:val="BodyText2"/>
      </w:pPr>
    </w:p>
    <w:p>
      <w:pPr>
        <w:jc w:val="center"/>
        <w:rPr>
          <w:rFonts w:ascii="黑体" w:eastAsia="黑体" w:hAnsi="Arial" w:cs="Arial"/>
          <w:sz w:val="52"/>
          <w:szCs w:val="52"/>
        </w:rPr>
      </w:pPr>
      <w:r>
        <w:rPr>
          <w:rFonts w:ascii="黑体" w:eastAsia="黑体" w:hAnsi="Arial" w:cs="Arial" w:hint="eastAsia"/>
          <w:sz w:val="52"/>
          <w:szCs w:val="52"/>
        </w:rPr>
        <w:t>【服务类】</w:t>
      </w:r>
    </w:p>
    <w:p>
      <w:pPr>
        <w:jc w:val="center"/>
        <w:rPr>
          <w:rFonts w:ascii="黑体" w:eastAsia="黑体" w:hint="eastAsia"/>
          <w:sz w:val="52"/>
          <w:szCs w:val="52"/>
          <w:lang w:eastAsia="zh-CN"/>
        </w:rPr>
      </w:pPr>
      <w:r>
        <w:rPr>
          <w:rFonts w:ascii="黑体" w:eastAsia="黑体" w:hint="eastAsia"/>
          <w:sz w:val="52"/>
          <w:szCs w:val="52"/>
          <w:lang w:eastAsia="zh-CN"/>
        </w:rPr>
        <w:t>2025年引航船艇管理服务</w:t>
      </w:r>
    </w:p>
    <w:p/>
    <w:p/>
    <w:p/>
    <w:p/>
    <w:p>
      <w:pPr>
        <w:keepNext w:val="0"/>
        <w:keepLines w:val="0"/>
        <w:pageBreakBefore w:val="0"/>
        <w:widowControl w:val="0"/>
        <w:kinsoku/>
        <w:wordWrap/>
        <w:overflowPunct/>
        <w:topLinePunct w:val="0"/>
        <w:autoSpaceDE/>
        <w:autoSpaceDN/>
        <w:bidi w:val="0"/>
        <w:adjustRightInd/>
        <w:snapToGrid/>
        <w:spacing w:after="96" w:afterLines="40"/>
        <w:jc w:val="center"/>
        <w:textAlignment w:val="auto"/>
        <w:rPr>
          <w:rFonts w:ascii="黑体" w:eastAsia="黑体" w:hint="eastAsia"/>
          <w:color w:val="000000" w:themeColor="text1"/>
          <w:sz w:val="72"/>
          <w:szCs w:val="52"/>
          <w14:textFill>
            <w14:solidFill>
              <w14:schemeClr w14:val="tx1"/>
            </w14:solidFill>
          </w14:textFill>
        </w:rPr>
      </w:pPr>
      <w:r>
        <w:rPr>
          <w:rFonts w:ascii="黑体" w:eastAsia="黑体" w:hint="eastAsia"/>
          <w:color w:val="000000" w:themeColor="text1"/>
          <w:sz w:val="72"/>
          <w:szCs w:val="52"/>
          <w14:textFill>
            <w14:solidFill>
              <w14:schemeClr w14:val="tx1"/>
            </w14:solidFill>
          </w14:textFill>
        </w:rPr>
        <w:t>招 标 文 件</w:t>
      </w:r>
    </w:p>
    <w:p>
      <w:pPr>
        <w:pStyle w:val="BodyText2"/>
        <w:rPr>
          <w:rFonts w:hint="eastAsia"/>
        </w:rPr>
      </w:pPr>
    </w:p>
    <w:p>
      <w:pPr>
        <w:pStyle w:val="BodyText"/>
        <w:rPr>
          <w:rFonts w:hint="eastAsia"/>
          <w:lang w:eastAsia="zh-CN"/>
        </w:rPr>
      </w:pPr>
    </w:p>
    <w:p>
      <w:pPr>
        <w:pStyle w:val="BodyText2"/>
        <w:rPr>
          <w:rFonts w:hint="eastAsia"/>
          <w:lang w:eastAsia="zh-CN"/>
        </w:rPr>
      </w:pPr>
    </w:p>
    <w:p>
      <w:pPr>
        <w:pStyle w:val="BodyText2"/>
        <w:rPr>
          <w:rFonts w:hint="eastAsia"/>
          <w:lang w:eastAsia="zh-CN"/>
        </w:rPr>
      </w:pPr>
    </w:p>
    <w:p>
      <w:pPr>
        <w:pStyle w:val="BodyText2"/>
        <w:rPr>
          <w:rFonts w:hint="eastAsia"/>
          <w:lang w:eastAsia="zh-CN"/>
        </w:rPr>
      </w:pPr>
    </w:p>
    <w:p>
      <w:pPr>
        <w:pStyle w:val="BodyText2"/>
        <w:rPr>
          <w:rFonts w:hint="eastAsia"/>
          <w:lang w:eastAsia="zh-CN"/>
        </w:rPr>
      </w:pPr>
    </w:p>
    <w:p>
      <w:pPr>
        <w:pStyle w:val="BodyText2"/>
        <w:keepNext w:val="0"/>
        <w:keepLines w:val="0"/>
        <w:pageBreakBefore w:val="0"/>
        <w:widowControl w:val="0"/>
        <w:kinsoku/>
        <w:wordWrap/>
        <w:overflowPunct/>
        <w:topLinePunct w:val="0"/>
        <w:autoSpaceDE/>
        <w:autoSpaceDN/>
        <w:bidi w:val="0"/>
        <w:adjustRightInd/>
        <w:snapToGrid/>
        <w:spacing w:after="0"/>
        <w:jc w:val="center"/>
        <w:textAlignment w:val="auto"/>
        <w:rPr>
          <w:rFonts w:eastAsia="宋体" w:hint="eastAsia"/>
          <w:lang w:eastAsia="zh-CN"/>
        </w:rPr>
      </w:pPr>
      <w:r>
        <w:rPr>
          <w:rFonts w:ascii="Arial" w:eastAsia="仿宋_GB2312" w:hAnsi="Arial" w:cs="Arial" w:hint="eastAsia"/>
          <w:sz w:val="44"/>
          <w:lang w:eastAsia="zh-CN"/>
        </w:rPr>
        <w:drawing>
          <wp:inline distT="0" distB="0" distL="114300" distR="114300">
            <wp:extent cx="1210945" cy="1210945"/>
            <wp:effectExtent l="0" t="0" r="8255" b="8255"/>
            <wp:docPr id="3" name="图片 3" descr="b6bbc1c3021ac190a7f1ff08bab79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6bbc1c3021ac190a7f1ff08bab79ef"/>
                    <pic:cNvPicPr>
                      <a:picLocks noChangeAspect="1"/>
                    </pic:cNvPicPr>
                  </pic:nvPicPr>
                  <pic:blipFill>
                    <a:blip xmlns:r="http://schemas.openxmlformats.org/officeDocument/2006/relationships" r:embed="rId5"/>
                    <a:stretch>
                      <a:fillRect/>
                    </a:stretch>
                  </pic:blipFill>
                  <pic:spPr>
                    <a:xfrm>
                      <a:off x="0" y="0"/>
                      <a:ext cx="1210945" cy="1210945"/>
                    </a:xfrm>
                    <a:prstGeom prst="rect">
                      <a:avLst/>
                    </a:prstGeom>
                  </pic:spPr>
                </pic:pic>
              </a:graphicData>
            </a:graphic>
          </wp:inline>
        </w:drawing>
      </w:r>
    </w:p>
    <w:p>
      <w:pPr>
        <w:pStyle w:val="BodyText2"/>
        <w:keepNext w:val="0"/>
        <w:keepLines w:val="0"/>
        <w:pageBreakBefore w:val="0"/>
        <w:widowControl w:val="0"/>
        <w:kinsoku/>
        <w:wordWrap/>
        <w:overflowPunct/>
        <w:topLinePunct w:val="0"/>
        <w:autoSpaceDE/>
        <w:autoSpaceDN/>
        <w:bidi w:val="0"/>
        <w:adjustRightInd/>
        <w:snapToGrid/>
        <w:spacing w:after="0"/>
        <w:textAlignment w:val="auto"/>
        <w:rPr>
          <w:rFonts w:eastAsia="宋体" w:hint="eastAsia"/>
          <w:lang w:eastAsia="zh-CN"/>
        </w:rPr>
      </w:pPr>
    </w:p>
    <w:p>
      <w:pPr>
        <w:pStyle w:val="BodyText2"/>
        <w:keepNext w:val="0"/>
        <w:keepLines w:val="0"/>
        <w:pageBreakBefore w:val="0"/>
        <w:widowControl w:val="0"/>
        <w:kinsoku/>
        <w:wordWrap/>
        <w:overflowPunct/>
        <w:topLinePunct w:val="0"/>
        <w:autoSpaceDE/>
        <w:autoSpaceDN/>
        <w:bidi w:val="0"/>
        <w:adjustRightInd/>
        <w:snapToGrid/>
        <w:spacing w:after="0"/>
        <w:textAlignment w:val="auto"/>
        <w:rPr>
          <w:rFonts w:eastAsia="宋体" w:hint="eastAsia"/>
          <w:lang w:eastAsia="zh-CN"/>
        </w:rPr>
      </w:pPr>
    </w:p>
    <w:p>
      <w:pPr>
        <w:snapToGrid w:val="0"/>
        <w:jc w:val="center"/>
        <w:rPr>
          <w:rFonts w:ascii="仿宋_GB2312" w:eastAsia="仿宋_GB2312" w:hAnsi="宋体" w:cs="Arial"/>
          <w:b/>
          <w:bCs/>
          <w:sz w:val="36"/>
          <w:szCs w:val="36"/>
        </w:rPr>
      </w:pPr>
      <w:r>
        <w:rPr>
          <w:rFonts w:ascii="仿宋_GB2312" w:eastAsia="仿宋_GB2312" w:hAnsi="宋体" w:cs="Arial" w:hint="eastAsia"/>
          <w:b/>
          <w:bCs/>
          <w:sz w:val="36"/>
          <w:szCs w:val="36"/>
        </w:rPr>
        <w:t>友和保险经纪有限公司</w:t>
      </w:r>
    </w:p>
    <w:p>
      <w:pPr>
        <w:snapToGrid w:val="0"/>
        <w:jc w:val="center"/>
        <w:rPr>
          <w:rFonts w:ascii="仿宋_GB2312" w:eastAsia="仿宋_GB2312" w:hAnsi="宋体" w:cs="Arial"/>
          <w:b/>
          <w:bCs/>
          <w:sz w:val="21"/>
          <w:szCs w:val="21"/>
        </w:rPr>
      </w:pPr>
    </w:p>
    <w:p>
      <w:pPr>
        <w:jc w:val="center"/>
      </w:pPr>
      <w:r>
        <w:rPr>
          <w:rFonts w:ascii="仿宋_GB2312" w:eastAsia="仿宋_GB2312" w:hAnsi="Arial" w:cs="Arial" w:hint="eastAsia"/>
          <w:b/>
          <w:bCs/>
          <w:sz w:val="36"/>
          <w:szCs w:val="36"/>
        </w:rPr>
        <w:t>二</w:t>
      </w:r>
      <w:r>
        <w:rPr>
          <w:rFonts w:ascii="仿宋_GB2312" w:hAnsi="宋体" w:cs="宋体" w:hint="eastAsia"/>
          <w:b/>
          <w:bCs/>
          <w:sz w:val="36"/>
          <w:szCs w:val="36"/>
        </w:rPr>
        <w:t>〇</w:t>
      </w:r>
      <w:r>
        <w:rPr>
          <w:rFonts w:ascii="仿宋_GB2312" w:eastAsia="仿宋_GB2312" w:hAnsi="Arial" w:cs="Arial" w:hint="eastAsia"/>
          <w:b/>
          <w:bCs/>
          <w:sz w:val="36"/>
          <w:szCs w:val="36"/>
        </w:rPr>
        <w:t>二</w:t>
      </w:r>
      <w:r>
        <w:rPr>
          <w:rFonts w:ascii="仿宋_GB2312" w:eastAsia="仿宋_GB2312" w:hAnsi="Arial" w:cs="Arial" w:hint="eastAsia"/>
          <w:b/>
          <w:bCs/>
          <w:sz w:val="36"/>
          <w:szCs w:val="36"/>
          <w:lang w:eastAsia="zh-CN"/>
        </w:rPr>
        <w:t>四</w:t>
      </w:r>
      <w:r>
        <w:rPr>
          <w:rFonts w:ascii="仿宋_GB2312" w:eastAsia="仿宋_GB2312" w:hAnsi="Arial" w:cs="Arial" w:hint="eastAsia"/>
          <w:b/>
          <w:bCs/>
          <w:sz w:val="36"/>
          <w:szCs w:val="36"/>
        </w:rPr>
        <w:t>年</w:t>
      </w:r>
      <w:r>
        <w:rPr>
          <w:rFonts w:ascii="仿宋_GB2312" w:eastAsia="仿宋_GB2312" w:hAnsi="宋体" w:cs="宋体" w:hint="eastAsia"/>
          <w:b/>
          <w:bCs/>
          <w:sz w:val="36"/>
          <w:szCs w:val="36"/>
          <w:lang w:val="en-US" w:eastAsia="zh-CN"/>
        </w:rPr>
        <w:t>十二</w:t>
      </w:r>
      <w:r>
        <w:rPr>
          <w:rFonts w:ascii="仿宋_GB2312" w:eastAsia="仿宋_GB2312" w:hAnsi="Arial" w:cs="Arial" w:hint="eastAsia"/>
          <w:b/>
          <w:bCs/>
          <w:sz w:val="36"/>
          <w:szCs w:val="36"/>
        </w:rPr>
        <w:t>月</w:t>
      </w:r>
    </w:p>
    <w:p>
      <w:pPr>
        <w:spacing w:beforeAutospacing="1" w:afterAutospacing="1"/>
        <w:jc w:val="center"/>
        <w:outlineLvl w:val="9"/>
        <w:rPr>
          <w:rFonts w:hint="eastAsia"/>
          <w:b/>
          <w:bCs/>
          <w:color w:val="000000" w:themeColor="text1"/>
          <w:sz w:val="40"/>
          <w:szCs w:val="40"/>
          <w14:textFill>
            <w14:solidFill>
              <w14:schemeClr w14:val="tx1"/>
            </w14:solidFill>
          </w14:textFill>
        </w:rPr>
      </w:pPr>
    </w:p>
    <w:p>
      <w:pPr>
        <w:spacing w:beforeAutospacing="1" w:afterAutospacing="1"/>
        <w:jc w:val="center"/>
        <w:outlineLvl w:val="9"/>
        <w:rPr>
          <w:rFonts w:hint="eastAsia"/>
          <w:b/>
          <w:bCs/>
          <w:color w:val="000000" w:themeColor="text1"/>
          <w:sz w:val="40"/>
          <w:szCs w:val="40"/>
          <w14:textFill>
            <w14:solidFill>
              <w14:schemeClr w14:val="tx1"/>
            </w14:solidFill>
          </w14:textFill>
        </w:rPr>
        <w:sectPr>
          <w:type w:val="continuous"/>
          <w:pgSz w:w="11906" w:h="16838"/>
          <w:pgMar w:top="1440" w:right="1800" w:bottom="1440" w:left="1800" w:header="720" w:footer="720" w:gutter="0"/>
          <w:pgNumType w:fmt="decimal"/>
          <w:cols w:num="1" w:space="720"/>
        </w:sectPr>
      </w:pPr>
    </w:p>
    <w:p>
      <w:pPr>
        <w:spacing w:beforeAutospacing="1" w:afterAutospacing="1"/>
        <w:jc w:val="center"/>
        <w:outlineLvl w:val="1"/>
        <w:rPr>
          <w:rFonts w:ascii="黑体" w:eastAsia="黑体" w:hAnsi="宋体" w:cs="黑体"/>
          <w:color w:val="000000" w:themeColor="text1"/>
          <w:sz w:val="40"/>
          <w:szCs w:val="40"/>
          <w14:textFill>
            <w14:solidFill>
              <w14:schemeClr w14:val="tx1"/>
            </w14:solidFill>
          </w14:textFill>
        </w:rPr>
      </w:pPr>
      <w:r>
        <w:rPr>
          <w:rFonts w:hint="eastAsia"/>
          <w:b/>
          <w:bCs/>
          <w:color w:val="000000" w:themeColor="text1"/>
          <w:sz w:val="40"/>
          <w:szCs w:val="40"/>
          <w14:textFill>
            <w14:solidFill>
              <w14:schemeClr w14:val="tx1"/>
            </w14:solidFill>
          </w14:textFill>
        </w:rPr>
        <w:t>招</w:t>
      </w:r>
      <w:r>
        <w:rPr>
          <w:rFonts w:ascii="黑体" w:eastAsia="黑体" w:hAnsi="宋体" w:cs="黑体" w:hint="eastAsia"/>
          <w:color w:val="000000" w:themeColor="text1"/>
          <w:sz w:val="40"/>
          <w:szCs w:val="40"/>
          <w14:textFill>
            <w14:solidFill>
              <w14:schemeClr w14:val="tx1"/>
            </w14:solidFill>
          </w14:textFill>
        </w:rPr>
        <w:t>标文件信息</w:t>
      </w:r>
    </w:p>
    <w:tbl>
      <w:tblPr>
        <w:tblStyle w:val="TableNormal"/>
        <w:tblW w:w="7943" w:type="dxa"/>
        <w:jc w:val="center"/>
        <w:tblCellSpacing w:w="0" w:type="dxa"/>
        <w:tblLayout w:type="fixed"/>
        <w:tblCellMar>
          <w:top w:w="45" w:type="dxa"/>
          <w:left w:w="45" w:type="dxa"/>
          <w:bottom w:w="45" w:type="dxa"/>
          <w:right w:w="45" w:type="dxa"/>
        </w:tblCellMar>
      </w:tblPr>
      <w:tblGrid>
        <w:gridCol w:w="2723"/>
        <w:gridCol w:w="5220"/>
      </w:tblGrid>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项目编号：</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hint="default"/>
                <w:color w:val="000000" w:themeColor="text1"/>
                <w:sz w:val="30"/>
                <w:szCs w:val="30"/>
                <w14:textFill>
                  <w14:solidFill>
                    <w14:schemeClr w14:val="tx1"/>
                  </w14:solidFill>
                </w14:textFill>
              </w:rPr>
            </w:pPr>
            <w:r>
              <w:rPr>
                <w:rFonts w:hint="eastAsia"/>
                <w:color w:val="000000" w:themeColor="text1"/>
                <w:sz w:val="30"/>
                <w:szCs w:val="30"/>
                <w14:textFill>
                  <w14:solidFill>
                    <w14:schemeClr w14:val="tx1"/>
                  </w14:solidFill>
                </w14:textFill>
              </w:rPr>
              <w:t>SZDL2024002287</w:t>
            </w:r>
          </w:p>
        </w:tc>
      </w:tr>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项目名称：</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eastAsiaTheme="minorEastAsia" w:hint="eastAsia"/>
                <w:color w:val="000000" w:themeColor="text1"/>
                <w:sz w:val="30"/>
                <w:szCs w:val="30"/>
                <w:lang w:eastAsia="zh-CN"/>
                <w14:textFill>
                  <w14:solidFill>
                    <w14:schemeClr w14:val="tx1"/>
                  </w14:solidFill>
                </w14:textFill>
              </w:rPr>
            </w:pPr>
            <w:r>
              <w:rPr>
                <w:rFonts w:eastAsiaTheme="minorEastAsia" w:hint="eastAsia"/>
                <w:color w:val="000000" w:themeColor="text1"/>
                <w:sz w:val="30"/>
                <w:szCs w:val="30"/>
                <w:lang w:eastAsia="zh-CN"/>
                <w14:textFill>
                  <w14:solidFill>
                    <w14:schemeClr w14:val="tx1"/>
                  </w14:solidFill>
                </w14:textFill>
              </w:rPr>
              <w:t>2025年引航船艇管理服务</w:t>
            </w:r>
          </w:p>
        </w:tc>
      </w:tr>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 xml:space="preserve">包 </w:t>
            </w:r>
            <w:r>
              <w:rPr>
                <w:rFonts w:ascii="宋体" w:hAnsi="宋体" w:cs="宋体" w:hint="eastAsia"/>
                <w:color w:val="000000" w:themeColor="text1"/>
                <w:sz w:val="30"/>
                <w:szCs w:val="30"/>
                <w14:textFill>
                  <w14:solidFill>
                    <w14:schemeClr w14:val="tx1"/>
                  </w14:solidFill>
                </w14:textFill>
              </w:rPr>
              <w:t xml:space="preserve">  </w:t>
            </w:r>
            <w:r>
              <w:rPr>
                <w:rFonts w:ascii="宋体" w:hAnsi="宋体" w:cs="宋体" w:hint="default"/>
                <w:color w:val="000000" w:themeColor="text1"/>
                <w:sz w:val="30"/>
                <w:szCs w:val="30"/>
                <w14:textFill>
                  <w14:solidFill>
                    <w14:schemeClr w14:val="tx1"/>
                  </w14:solidFill>
                </w14:textFill>
              </w:rPr>
              <w:t>号：</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A</w:t>
            </w:r>
          </w:p>
        </w:tc>
      </w:tr>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项目类型：</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hint="default"/>
                <w:color w:val="000000" w:themeColor="text1"/>
                <w:sz w:val="30"/>
                <w:szCs w:val="30"/>
                <w14:textFill>
                  <w14:solidFill>
                    <w14:schemeClr w14:val="tx1"/>
                  </w14:solidFill>
                </w14:textFill>
              </w:rPr>
            </w:pPr>
            <w:r>
              <w:rPr>
                <w:rFonts w:ascii="宋体" w:hAnsi="宋体" w:cs="宋体" w:hint="eastAsia"/>
                <w:color w:val="000000" w:themeColor="text1"/>
                <w:sz w:val="30"/>
                <w:szCs w:val="30"/>
                <w14:textFill>
                  <w14:solidFill>
                    <w14:schemeClr w14:val="tx1"/>
                  </w14:solidFill>
                </w14:textFill>
              </w:rPr>
              <w:t>服务</w:t>
            </w:r>
            <w:r>
              <w:rPr>
                <w:rFonts w:ascii="宋体" w:hAnsi="宋体" w:cs="宋体" w:hint="default"/>
                <w:color w:val="000000" w:themeColor="text1"/>
                <w:sz w:val="30"/>
                <w:szCs w:val="30"/>
                <w14:textFill>
                  <w14:solidFill>
                    <w14:schemeClr w14:val="tx1"/>
                  </w14:solidFill>
                </w14:textFill>
              </w:rPr>
              <w:t>类</w:t>
            </w:r>
          </w:p>
        </w:tc>
      </w:tr>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采购方式：</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公开招标</w:t>
            </w:r>
          </w:p>
        </w:tc>
      </w:tr>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货币类型：</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人民币</w:t>
            </w:r>
          </w:p>
        </w:tc>
      </w:tr>
      <w:tr>
        <w:tblPrEx>
          <w:tblW w:w="7943" w:type="dxa"/>
          <w:jc w:val="center"/>
          <w:tblCellSpacing w:w="0" w:type="dxa"/>
          <w:tblLayout w:type="fixed"/>
          <w:tblCellMar>
            <w:top w:w="45" w:type="dxa"/>
            <w:left w:w="45" w:type="dxa"/>
            <w:bottom w:w="45" w:type="dxa"/>
            <w:right w:w="45" w:type="dxa"/>
          </w:tblCellMar>
        </w:tblPrEx>
        <w:trPr>
          <w:trHeight w:val="738"/>
          <w:tblCellSpacing w:w="0" w:type="dxa"/>
          <w:jc w:val="center"/>
        </w:trPr>
        <w:tc>
          <w:tcPr>
            <w:tcW w:w="2723" w:type="dxa"/>
            <w:shd w:val="clear" w:color="auto" w:fill="auto"/>
            <w:vAlign w:val="center"/>
          </w:tcPr>
          <w:p>
            <w:pPr>
              <w:keepNext w:val="0"/>
              <w:keepLines w:val="0"/>
              <w:widowControl/>
              <w:suppressLineNumbers w:val="0"/>
              <w:spacing w:before="0" w:beforeAutospacing="0" w:after="0" w:afterAutospacing="0"/>
              <w:ind w:left="0" w:right="0"/>
              <w:jc w:val="right"/>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评标方法：</w:t>
            </w:r>
          </w:p>
        </w:tc>
        <w:tc>
          <w:tcPr>
            <w:tcW w:w="5220" w:type="dxa"/>
            <w:shd w:val="clear" w:color="auto" w:fill="auto"/>
            <w:vAlign w:val="center"/>
          </w:tcPr>
          <w:p>
            <w:pPr>
              <w:keepNext w:val="0"/>
              <w:keepLines w:val="0"/>
              <w:widowControl/>
              <w:suppressLineNumbers w:val="0"/>
              <w:spacing w:before="0" w:beforeAutospacing="0" w:after="0" w:afterAutospacing="0"/>
              <w:ind w:left="0" w:right="0"/>
              <w:rPr>
                <w:rFonts w:hint="default"/>
                <w:color w:val="000000" w:themeColor="text1"/>
                <w:sz w:val="30"/>
                <w:szCs w:val="30"/>
                <w14:textFill>
                  <w14:solidFill>
                    <w14:schemeClr w14:val="tx1"/>
                  </w14:solidFill>
                </w14:textFill>
              </w:rPr>
            </w:pPr>
            <w:r>
              <w:rPr>
                <w:rFonts w:ascii="宋体" w:hAnsi="宋体" w:cs="宋体" w:hint="default"/>
                <w:color w:val="000000" w:themeColor="text1"/>
                <w:sz w:val="30"/>
                <w:szCs w:val="30"/>
                <w14:textFill>
                  <w14:solidFill>
                    <w14:schemeClr w14:val="tx1"/>
                  </w14:solidFill>
                </w14:textFill>
              </w:rPr>
              <w:t>综合评分法（新价格分算法）</w:t>
            </w:r>
          </w:p>
        </w:tc>
      </w:tr>
    </w:tbl>
    <w:p>
      <w:pPr>
        <w:pStyle w:val="NormalWeb"/>
        <w:jc w:val="center"/>
        <w:outlineLvl w:val="1"/>
        <w:rPr>
          <w:rFonts w:ascii="黑体" w:eastAsia="黑体" w:hAnsi="黑体"/>
          <w:color w:val="000000" w:themeColor="text1"/>
          <w:sz w:val="40"/>
          <w:szCs w:val="40"/>
          <w14:textFill>
            <w14:solidFill>
              <w14:schemeClr w14:val="tx1"/>
            </w14:solidFill>
          </w14:textFill>
        </w:rPr>
      </w:pPr>
      <w:r>
        <w:rPr>
          <w:rFonts w:ascii="黑体" w:eastAsia="黑体" w:hAnsi="黑体" w:hint="eastAsia"/>
          <w:color w:val="000000" w:themeColor="text1"/>
          <w:sz w:val="40"/>
          <w:szCs w:val="40"/>
          <w14:textFill>
            <w14:solidFill>
              <w14:schemeClr w14:val="tx1"/>
            </w14:solidFill>
          </w14:textFill>
        </w:rPr>
        <w:t>资格性审查表</w:t>
      </w:r>
    </w:p>
    <w:tbl>
      <w:tblPr>
        <w:tblStyle w:val="TableNormal"/>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20" w:type="dxa"/>
          <w:left w:w="108" w:type="dxa"/>
          <w:bottom w:w="20" w:type="dxa"/>
          <w:right w:w="108" w:type="dxa"/>
        </w:tblCellMar>
      </w:tblPr>
      <w:tblGrid>
        <w:gridCol w:w="794"/>
        <w:gridCol w:w="8278"/>
      </w:tblGrid>
      <w:tr>
        <w:tblPrEx>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shd w:val="clear" w:color="auto" w:fill="E6EFFA"/>
            <w:vAlign w:val="center"/>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 w:val="28"/>
                <w:szCs w:val="28"/>
                <w14:textFill>
                  <w14:solidFill>
                    <w14:schemeClr w14:val="tx1"/>
                  </w14:solidFill>
                </w14:textFill>
              </w:rPr>
            </w:pPr>
            <w:r>
              <w:rPr>
                <w:rFonts w:hint="default"/>
                <w:color w:val="000000" w:themeColor="text1"/>
                <w:sz w:val="28"/>
                <w:szCs w:val="28"/>
                <w14:textFill>
                  <w14:solidFill>
                    <w14:schemeClr w14:val="tx1"/>
                  </w14:solidFill>
                </w14:textFill>
              </w:rPr>
              <w:t>序号</w:t>
            </w:r>
          </w:p>
        </w:tc>
        <w:tc>
          <w:tcPr>
            <w:tcW w:w="8278" w:type="dxa"/>
            <w:tcBorders>
              <w:top w:val="single" w:sz="8" w:space="0" w:color="000000"/>
              <w:left w:val="single" w:sz="8" w:space="0" w:color="000000"/>
              <w:bottom w:val="single" w:sz="8" w:space="0" w:color="000000"/>
              <w:right w:val="single" w:sz="8" w:space="0" w:color="000000"/>
            </w:tcBorders>
            <w:shd w:val="clear" w:color="auto" w:fill="E6EFFA"/>
            <w:vAlign w:val="center"/>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 w:val="28"/>
                <w:szCs w:val="28"/>
                <w14:textFill>
                  <w14:solidFill>
                    <w14:schemeClr w14:val="tx1"/>
                  </w14:solidFill>
                </w14:textFill>
              </w:rPr>
            </w:pPr>
            <w:r>
              <w:rPr>
                <w:rFonts w:hint="default"/>
                <w:color w:val="000000" w:themeColor="text1"/>
                <w:sz w:val="28"/>
                <w:szCs w:val="28"/>
                <w14:textFill>
                  <w14:solidFill>
                    <w14:schemeClr w14:val="tx1"/>
                  </w14:solidFill>
                </w14:textFill>
              </w:rPr>
              <w:t>内容</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1</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ascii="宋体" w:hAnsi="宋体" w:cs="宋体" w:hint="default"/>
                <w:color w:val="000000" w:themeColor="text1"/>
                <w:szCs w:val="21"/>
                <w14:textFill>
                  <w14:solidFill>
                    <w14:schemeClr w14:val="tx1"/>
                  </w14:solidFill>
                </w14:textFill>
              </w:rPr>
              <w:t>投标人不</w:t>
            </w:r>
            <w:r>
              <w:rPr>
                <w:rFonts w:ascii="宋体" w:hAnsi="宋体" w:cs="宋体" w:hint="eastAsia"/>
                <w:color w:val="000000" w:themeColor="text1"/>
                <w:szCs w:val="21"/>
                <w14:textFill>
                  <w14:solidFill>
                    <w14:schemeClr w14:val="tx1"/>
                  </w14:solidFill>
                </w14:textFill>
              </w:rPr>
              <w:t>符合</w:t>
            </w:r>
            <w:r>
              <w:rPr>
                <w:rFonts w:ascii="宋体" w:hAnsi="宋体" w:cs="宋体" w:hint="default"/>
                <w:color w:val="000000" w:themeColor="text1"/>
                <w:szCs w:val="21"/>
                <w14:textFill>
                  <w14:solidFill>
                    <w14:schemeClr w14:val="tx1"/>
                  </w14:solidFill>
                </w14:textFill>
              </w:rPr>
              <w:t>资格要求，或未提交相应的资格证明资料（详见招标公告</w:t>
            </w:r>
            <w:r>
              <w:rPr>
                <w:rFonts w:ascii="宋体" w:hAnsi="宋体" w:hint="eastAsia"/>
                <w:color w:val="000000" w:themeColor="text1"/>
                <w:szCs w:val="21"/>
                <w14:textFill>
                  <w14:solidFill>
                    <w14:schemeClr w14:val="tx1"/>
                  </w14:solidFill>
                </w14:textFill>
              </w:rPr>
              <w:t>投标人资格要求，即申请人的资格要求</w:t>
            </w:r>
            <w:r>
              <w:rPr>
                <w:rFonts w:ascii="宋体" w:hAnsi="宋体" w:cs="宋体" w:hint="default"/>
                <w:color w:val="000000" w:themeColor="text1"/>
                <w:szCs w:val="21"/>
                <w14:textFill>
                  <w14:solidFill>
                    <w14:schemeClr w14:val="tx1"/>
                  </w14:solidFill>
                </w14:textFill>
              </w:rPr>
              <w:t>）</w:t>
            </w:r>
          </w:p>
        </w:tc>
      </w:tr>
    </w:tbl>
    <w:p>
      <w:pPr>
        <w:pStyle w:val="NormalWeb"/>
        <w:spacing w:before="280"/>
        <w:jc w:val="center"/>
        <w:outlineLvl w:val="1"/>
        <w:rPr>
          <w:rFonts w:ascii="黑体" w:eastAsia="黑体" w:hAnsi="黑体"/>
          <w:color w:val="000000" w:themeColor="text1"/>
          <w:sz w:val="40"/>
          <w:szCs w:val="40"/>
          <w14:textFill>
            <w14:solidFill>
              <w14:schemeClr w14:val="tx1"/>
            </w14:solidFill>
          </w14:textFill>
        </w:rPr>
      </w:pPr>
      <w:r>
        <w:rPr>
          <w:rFonts w:ascii="黑体" w:eastAsia="黑体" w:hAnsi="黑体" w:hint="eastAsia"/>
          <w:color w:val="000000" w:themeColor="text1"/>
          <w:sz w:val="40"/>
          <w:szCs w:val="40"/>
          <w14:textFill>
            <w14:solidFill>
              <w14:schemeClr w14:val="tx1"/>
            </w14:solidFill>
          </w14:textFill>
        </w:rPr>
        <w:t>符合性审查表</w:t>
      </w:r>
    </w:p>
    <w:tbl>
      <w:tblPr>
        <w:tblStyle w:val="TableNormal"/>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20" w:type="dxa"/>
          <w:left w:w="108" w:type="dxa"/>
          <w:bottom w:w="20" w:type="dxa"/>
          <w:right w:w="108" w:type="dxa"/>
        </w:tblCellMar>
      </w:tblPr>
      <w:tblGrid>
        <w:gridCol w:w="794"/>
        <w:gridCol w:w="8278"/>
      </w:tblGrid>
      <w:tr>
        <w:tblPrEx>
          <w:tblW w:w="90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shd w:val="clear" w:color="auto" w:fill="E6EFFA"/>
            <w:vAlign w:val="center"/>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 w:val="28"/>
                <w:szCs w:val="28"/>
                <w14:textFill>
                  <w14:solidFill>
                    <w14:schemeClr w14:val="tx1"/>
                  </w14:solidFill>
                </w14:textFill>
              </w:rPr>
            </w:pPr>
            <w:r>
              <w:rPr>
                <w:rFonts w:hint="default"/>
                <w:color w:val="000000" w:themeColor="text1"/>
                <w:sz w:val="28"/>
                <w:szCs w:val="28"/>
                <w14:textFill>
                  <w14:solidFill>
                    <w14:schemeClr w14:val="tx1"/>
                  </w14:solidFill>
                </w14:textFill>
              </w:rPr>
              <w:t>序号</w:t>
            </w:r>
          </w:p>
        </w:tc>
        <w:tc>
          <w:tcPr>
            <w:tcW w:w="8278" w:type="dxa"/>
            <w:tcBorders>
              <w:top w:val="single" w:sz="8" w:space="0" w:color="000000"/>
              <w:left w:val="single" w:sz="8" w:space="0" w:color="000000"/>
              <w:bottom w:val="single" w:sz="8" w:space="0" w:color="000000"/>
              <w:right w:val="single" w:sz="8" w:space="0" w:color="000000"/>
            </w:tcBorders>
            <w:shd w:val="clear" w:color="auto" w:fill="E6EFFA"/>
            <w:vAlign w:val="center"/>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 w:val="28"/>
                <w:szCs w:val="28"/>
                <w14:textFill>
                  <w14:solidFill>
                    <w14:schemeClr w14:val="tx1"/>
                  </w14:solidFill>
                </w14:textFill>
              </w:rPr>
            </w:pPr>
            <w:r>
              <w:rPr>
                <w:rFonts w:hint="default"/>
                <w:color w:val="000000" w:themeColor="text1"/>
                <w:sz w:val="28"/>
                <w:szCs w:val="28"/>
                <w14:textFill>
                  <w14:solidFill>
                    <w14:schemeClr w14:val="tx1"/>
                  </w14:solidFill>
                </w14:textFill>
              </w:rPr>
              <w:t>内容</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1</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将一个包或一个标段的内容拆开投标；</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2</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对同一项目投标时，提供两套以上的投标方案（招标文件另有规定的除外）；</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3</w:t>
            </w:r>
          </w:p>
        </w:tc>
        <w:tc>
          <w:tcPr>
            <w:tcW w:w="8278" w:type="dxa"/>
            <w:tcBorders>
              <w:top w:val="single" w:sz="8" w:space="0" w:color="000000"/>
              <w:left w:val="single" w:sz="8" w:space="0" w:color="000000"/>
              <w:bottom w:val="single" w:sz="8" w:space="0" w:color="000000"/>
              <w:right w:val="single" w:sz="8" w:space="0" w:color="000000"/>
            </w:tcBorders>
            <w:vAlign w:val="top"/>
          </w:tcPr>
          <w:p>
            <w:pPr>
              <w:keepNext w:val="0"/>
              <w:keepLines w:val="0"/>
              <w:widowControl/>
              <w:suppressLineNumbers w:val="0"/>
              <w:spacing w:before="0" w:beforeAutospacing="0" w:after="0" w:afterAutospacing="0"/>
              <w:ind w:left="0" w:right="0"/>
              <w:jc w:val="left"/>
              <w:rPr>
                <w:rFonts w:ascii="宋体" w:hAnsi="宋体" w:cs="宋体" w:hint="default"/>
                <w:color w:val="000000" w:themeColor="text1"/>
                <w:szCs w:val="21"/>
                <w14:textFill>
                  <w14:solidFill>
                    <w14:schemeClr w14:val="tx1"/>
                  </w14:solidFill>
                </w14:textFill>
              </w:rPr>
            </w:pPr>
            <w:r>
              <w:rPr>
                <w:rFonts w:hint="eastAsia"/>
                <w:highlight w:val="none"/>
              </w:rPr>
              <w:t>分项报价或投标总价高于</w:t>
            </w:r>
            <w:bookmarkStart w:id="0" w:name="_Hlk71832186"/>
            <w:r>
              <w:rPr>
                <w:rFonts w:hint="eastAsia"/>
                <w:highlight w:val="none"/>
              </w:rPr>
              <w:t>相应财政预算金额（或设定的财政预算金额下的最高限价）</w:t>
            </w:r>
            <w:bookmarkEnd w:id="0"/>
            <w:r>
              <w:rPr>
                <w:rFonts w:hint="eastAsia"/>
                <w:highlight w:val="none"/>
              </w:rPr>
              <w:t>；</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4</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评审委员会认为投标人的报价明显低于其他通过符合性审查投标人的报价，有可能影响产品质量或者不能诚信履约的，应当要求其在评审现场合理的时间内提供书面说明，必要时提交相关证明材料；在此情况下，投标人仍不能证明其报价合理性的（评审委员会成员对投标人提供的说明材料判断不一致的，按照“少数服从多数”的原则确定评审委员会的意见）；</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5</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rPr>
              <w:t>所投货物、服务在技术、商务等方面没有实质性满足招标文件要求的（是否实质性满足招标文件要求，由评审委员会根据《实质性条款响应情况表》做出评判）</w:t>
            </w:r>
            <w:r>
              <w:rPr>
                <w:rFonts w:ascii="宋体" w:eastAsia="宋体" w:hAnsi="宋体" w:hint="eastAsia"/>
                <w:lang w:eastAsia="zh-CN"/>
              </w:rPr>
              <w:t>，投标文件的轻微瑕疵、非关键内容不得作为认定投标无效的依据</w:t>
            </w:r>
            <w:r>
              <w:rPr>
                <w:rFonts w:ascii="宋体" w:eastAsia="宋体" w:hAnsi="宋体" w:hint="eastAsia"/>
              </w:rPr>
              <w:t>）</w:t>
            </w:r>
            <w:r>
              <w:rPr>
                <w:rFonts w:hint="eastAsia"/>
              </w:rPr>
              <w:t>；</w:t>
            </w:r>
          </w:p>
        </w:tc>
      </w:tr>
      <w:tr>
        <w:tblPrEx>
          <w:tblW w:w="9072" w:type="dxa"/>
          <w:jc w:val="center"/>
          <w:tblLayout w:type="fixed"/>
          <w:tblCellMar>
            <w:top w:w="20" w:type="dxa"/>
            <w:left w:w="108" w:type="dxa"/>
            <w:bottom w:w="20" w:type="dxa"/>
            <w:right w:w="108" w:type="dxa"/>
          </w:tblCellMar>
        </w:tblPrEx>
        <w:trPr>
          <w:trHeight w:val="318"/>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hAnsi="宋体" w:cs="宋体" w:hint="default"/>
                <w:color w:val="000000" w:themeColor="text1"/>
                <w:szCs w:val="21"/>
                <w14:textFill>
                  <w14:solidFill>
                    <w14:schemeClr w14:val="tx1"/>
                  </w14:solidFill>
                </w14:textFill>
              </w:rPr>
            </w:pPr>
            <w:r>
              <w:rPr>
                <w:rFonts w:hint="default"/>
                <w:color w:val="000000" w:themeColor="text1"/>
                <w:szCs w:val="21"/>
                <w14:textFill>
                  <w14:solidFill>
                    <w14:schemeClr w14:val="tx1"/>
                  </w14:solidFill>
                </w14:textFill>
              </w:rPr>
              <w:t>6</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未按招标文件所提供的样式填写《投标函》；</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eastAsia="宋体" w:hint="eastAsia"/>
                <w:color w:val="000000" w:themeColor="text1"/>
                <w:szCs w:val="21"/>
                <w:lang w:val="en-US" w:eastAsia="zh-CN"/>
                <w14:textFill>
                  <w14:solidFill>
                    <w14:schemeClr w14:val="tx1"/>
                  </w14:solidFill>
                </w14:textFill>
              </w:rPr>
            </w:pPr>
            <w:r>
              <w:rPr>
                <w:rFonts w:eastAsia="宋体" w:hint="eastAsia"/>
                <w:color w:val="000000" w:themeColor="text1"/>
                <w:szCs w:val="21"/>
                <w:lang w:val="en-US" w:eastAsia="zh-CN"/>
                <w14:textFill>
                  <w14:solidFill>
                    <w14:schemeClr w14:val="tx1"/>
                  </w14:solidFill>
                </w14:textFill>
              </w:rPr>
              <w:t>7</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未按招标文件所提供的《政府采购投标及履约承诺函》进行承诺</w:t>
            </w:r>
            <w:r>
              <w:rPr>
                <w:rFonts w:hint="eastAsia"/>
                <w:color w:val="auto"/>
              </w:rPr>
              <w:t>或不符合承诺的</w:t>
            </w:r>
            <w:r>
              <w:rPr>
                <w:rFonts w:hint="eastAsia"/>
                <w:color w:val="000000" w:themeColor="text1"/>
                <w14:textFill>
                  <w14:solidFill>
                    <w14:schemeClr w14:val="tx1"/>
                  </w14:solidFill>
                </w14:textFill>
              </w:rPr>
              <w:t>；</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themeColor="text1"/>
                <w:szCs w:val="21"/>
                <w:lang w:eastAsia="zh-CN"/>
                <w14:textFill>
                  <w14:solidFill>
                    <w14:schemeClr w14:val="tx1"/>
                  </w14:solidFill>
                </w14:textFill>
              </w:rPr>
            </w:pPr>
            <w:r>
              <w:rPr>
                <w:rFonts w:eastAsia="宋体" w:hint="eastAsia"/>
                <w:color w:val="000000" w:themeColor="text1"/>
                <w:szCs w:val="21"/>
                <w:lang w:val="en-US" w:eastAsia="zh-CN"/>
                <w14:textFill>
                  <w14:solidFill>
                    <w14:schemeClr w14:val="tx1"/>
                  </w14:solidFill>
                </w14:textFill>
              </w:rPr>
              <w:t>8</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ascii="宋体" w:eastAsia="宋体" w:hAnsi="宋体" w:hint="eastAsia"/>
                <w:lang w:eastAsia="zh-CN"/>
              </w:rPr>
              <w:t>投标文件对</w:t>
            </w:r>
            <w:r>
              <w:rPr>
                <w:rFonts w:ascii="宋体" w:eastAsia="宋体" w:hAnsi="宋体" w:cs="Times New Roman" w:hint="eastAsia"/>
                <w:kern w:val="0"/>
                <w:sz w:val="24"/>
                <w:szCs w:val="24"/>
                <w:lang w:val="en-US" w:eastAsia="zh-CN"/>
              </w:rPr>
              <w:t>采购标的响应不全（响应不全情形包括：</w:t>
            </w:r>
            <w:r>
              <w:rPr>
                <w:rFonts w:ascii="宋体" w:eastAsia="宋体" w:hAnsi="宋体" w:hint="eastAsia"/>
              </w:rPr>
              <w:t>投标报价有缺漏</w:t>
            </w:r>
            <w:r>
              <w:rPr>
                <w:rFonts w:ascii="宋体" w:eastAsia="宋体" w:hAnsi="宋体" w:hint="eastAsia"/>
                <w:lang w:eastAsia="zh-CN"/>
              </w:rPr>
              <w:t>项，</w:t>
            </w:r>
            <w:r>
              <w:rPr>
                <w:rFonts w:ascii="宋体" w:eastAsia="宋体" w:hAnsi="宋体" w:hint="eastAsia"/>
              </w:rPr>
              <w:t>对招标文件规定的项目需求内容或者需求数量进行修改</w:t>
            </w:r>
            <w:r>
              <w:rPr>
                <w:rFonts w:ascii="宋体" w:eastAsia="宋体" w:hAnsi="宋体" w:cs="Times New Roman" w:hint="eastAsia"/>
                <w:kern w:val="0"/>
                <w:sz w:val="24"/>
                <w:szCs w:val="24"/>
                <w:lang w:val="en-US" w:eastAsia="zh-CN"/>
              </w:rPr>
              <w:t>），</w:t>
            </w:r>
            <w:r>
              <w:rPr>
                <w:rFonts w:ascii="宋体" w:eastAsia="宋体" w:hAnsi="宋体" w:hint="eastAsia"/>
              </w:rPr>
              <w:t>由评审委员会根据《</w:t>
            </w:r>
            <w:r>
              <w:rPr>
                <w:rFonts w:ascii="宋体" w:eastAsia="宋体" w:hAnsi="宋体" w:hint="eastAsia"/>
                <w:b w:val="0"/>
                <w:lang w:eastAsia="zh-CN"/>
              </w:rPr>
              <w:t>项目详细报价</w:t>
            </w:r>
            <w:r>
              <w:rPr>
                <w:rFonts w:ascii="宋体" w:eastAsia="宋体" w:hAnsi="宋体" w:hint="eastAsia"/>
              </w:rPr>
              <w:t>》做出评判）</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vAlign w:val="top"/>
          </w:tcPr>
          <w:p>
            <w:pPr>
              <w:keepNext w:val="0"/>
              <w:keepLines w:val="0"/>
              <w:widowControl/>
              <w:suppressLineNumbers w:val="0"/>
              <w:spacing w:before="0" w:beforeAutospacing="0" w:after="0" w:afterAutospacing="0"/>
              <w:ind w:left="0" w:right="0"/>
              <w:jc w:val="center"/>
              <w:textAlignment w:val="top"/>
              <w:rPr>
                <w:rFonts w:ascii="宋体" w:eastAsia="宋体" w:hAnsi="宋体" w:cs="宋体" w:hint="default"/>
                <w:color w:val="000000" w:themeColor="text1"/>
                <w:szCs w:val="21"/>
                <w:lang w:val="en-US" w:eastAsia="zh-CN"/>
                <w14:textFill>
                  <w14:solidFill>
                    <w14:schemeClr w14:val="tx1"/>
                  </w14:solidFill>
                </w14:textFill>
              </w:rPr>
            </w:pPr>
            <w:r>
              <w:rPr>
                <w:rFonts w:ascii="宋体" w:eastAsia="宋体" w:hAnsi="宋体" w:cs="宋体" w:hint="eastAsia"/>
                <w:szCs w:val="21"/>
                <w:lang w:val="en-US" w:eastAsia="zh-CN"/>
              </w:rPr>
              <w:t>9</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投标文件存在列放位置错误，导致属于信息公开情形的没有被公开；</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vAlign w:val="top"/>
          </w:tcPr>
          <w:p>
            <w:pPr>
              <w:keepNext w:val="0"/>
              <w:keepLines w:val="0"/>
              <w:widowControl/>
              <w:suppressLineNumbers w:val="0"/>
              <w:spacing w:before="0" w:beforeAutospacing="0" w:after="0" w:afterAutospacing="0"/>
              <w:ind w:left="0" w:right="0"/>
              <w:jc w:val="center"/>
              <w:textAlignment w:val="top"/>
              <w:rPr>
                <w:rFonts w:ascii="宋体" w:eastAsia="宋体" w:hAnsi="宋体" w:cs="宋体" w:hint="default"/>
                <w:color w:val="000000" w:themeColor="text1"/>
                <w:szCs w:val="21"/>
                <w:lang w:val="en-US" w:eastAsia="zh-CN"/>
                <w14:textFill>
                  <w14:solidFill>
                    <w14:schemeClr w14:val="tx1"/>
                  </w14:solidFill>
                </w14:textFill>
              </w:rPr>
            </w:pPr>
            <w:r>
              <w:rPr>
                <w:rFonts w:ascii="宋体" w:eastAsia="宋体" w:hAnsi="宋体" w:cs="宋体" w:hint="eastAsia"/>
                <w:szCs w:val="21"/>
              </w:rPr>
              <w:t>1</w:t>
            </w:r>
            <w:r>
              <w:rPr>
                <w:rFonts w:ascii="宋体" w:eastAsia="宋体" w:hAnsi="宋体" w:cs="宋体" w:hint="eastAsia"/>
                <w:szCs w:val="21"/>
                <w:lang w:val="en-US" w:eastAsia="zh-CN"/>
              </w:rPr>
              <w:t>0</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投标文件电子文档带病毒；</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vAlign w:val="top"/>
          </w:tcPr>
          <w:p>
            <w:pPr>
              <w:keepNext w:val="0"/>
              <w:keepLines w:val="0"/>
              <w:widowControl/>
              <w:suppressLineNumbers w:val="0"/>
              <w:spacing w:before="0" w:beforeAutospacing="0" w:after="0" w:afterAutospacing="0"/>
              <w:ind w:left="0" w:right="0"/>
              <w:jc w:val="center"/>
              <w:textAlignment w:val="top"/>
              <w:rPr>
                <w:rFonts w:ascii="宋体" w:eastAsia="宋体" w:hAnsi="宋体" w:cs="宋体" w:hint="eastAsia"/>
                <w:color w:val="000000" w:themeColor="text1"/>
                <w:szCs w:val="21"/>
                <w:lang w:eastAsia="zh-CN"/>
                <w14:textFill>
                  <w14:solidFill>
                    <w14:schemeClr w14:val="tx1"/>
                  </w14:solidFill>
                </w14:textFill>
              </w:rPr>
            </w:pPr>
            <w:r>
              <w:rPr>
                <w:rFonts w:ascii="宋体" w:eastAsia="宋体" w:hAnsi="宋体" w:cs="宋体" w:hint="eastAsia"/>
                <w:szCs w:val="21"/>
              </w:rPr>
              <w:t>1</w:t>
            </w:r>
            <w:r>
              <w:rPr>
                <w:rFonts w:ascii="宋体" w:eastAsia="宋体" w:hAnsi="宋体" w:cs="宋体" w:hint="eastAsia"/>
                <w:szCs w:val="21"/>
                <w:lang w:val="en-US" w:eastAsia="zh-CN"/>
              </w:rPr>
              <w:t>1</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投标文件用不属于本公司的电子密钥进行加密的；</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vAlign w:val="top"/>
          </w:tcPr>
          <w:p>
            <w:pPr>
              <w:keepNext w:val="0"/>
              <w:keepLines w:val="0"/>
              <w:widowControl/>
              <w:suppressLineNumbers w:val="0"/>
              <w:spacing w:before="0" w:beforeAutospacing="0" w:after="0" w:afterAutospacing="0"/>
              <w:ind w:left="0" w:right="0"/>
              <w:jc w:val="center"/>
              <w:rPr>
                <w:rFonts w:eastAsia="宋体" w:hint="default"/>
                <w:color w:val="000000" w:themeColor="text1"/>
                <w:szCs w:val="21"/>
                <w:lang w:val="en-US" w:eastAsia="zh-CN"/>
                <w14:textFill>
                  <w14:solidFill>
                    <w14:schemeClr w14:val="tx1"/>
                  </w14:solidFill>
                </w14:textFill>
              </w:rPr>
            </w:pPr>
            <w:r>
              <w:rPr>
                <w:rFonts w:eastAsia="宋体" w:hint="eastAsia"/>
                <w:color w:val="000000" w:themeColor="text1"/>
                <w:szCs w:val="21"/>
                <w:lang w:val="en-US" w:eastAsia="zh-CN"/>
                <w14:textFill>
                  <w14:solidFill>
                    <w14:schemeClr w14:val="tx1"/>
                  </w14:solidFill>
                </w14:textFill>
              </w:rPr>
              <w:t>12</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hint="eastAsia"/>
                <w:color w:val="000000" w:themeColor="text1"/>
                <w:highlight w:val="none"/>
                <w14:textFill>
                  <w14:solidFill>
                    <w14:schemeClr w14:val="tx1"/>
                  </w14:solidFill>
                </w14:textFill>
              </w:rPr>
            </w:pPr>
            <w:r>
              <w:rPr>
                <w:rFonts w:hint="default"/>
                <w:highlight w:val="none"/>
              </w:rPr>
              <w:t>不同投标供应商投标文件“文件制作机器码”</w:t>
            </w:r>
            <w:r>
              <w:rPr>
                <w:rFonts w:eastAsia="宋体" w:hint="eastAsia"/>
                <w:highlight w:val="none"/>
                <w:lang w:val="en-US" w:eastAsia="zh-CN"/>
              </w:rPr>
              <w:t>或</w:t>
            </w:r>
            <w:r>
              <w:rPr>
                <w:rFonts w:hint="default"/>
                <w:highlight w:val="none"/>
              </w:rPr>
              <w:t>“文件创建标</w:t>
            </w:r>
            <w:r>
              <w:rPr>
                <w:rFonts w:hint="eastAsia"/>
                <w:highlight w:val="none"/>
              </w:rPr>
              <w:t>识码”一致</w:t>
            </w:r>
            <w:r>
              <w:rPr>
                <w:rFonts w:hint="eastAsia"/>
                <w:highlight w:val="none"/>
                <w:lang w:eastAsia="zh-CN"/>
              </w:rPr>
              <w:t>的</w:t>
            </w:r>
            <w:r>
              <w:rPr>
                <w:rFonts w:hint="eastAsia"/>
                <w:color w:val="000000" w:themeColor="text1"/>
                <w:highlight w:val="none"/>
                <w14:textFill>
                  <w14:solidFill>
                    <w14:schemeClr w14:val="tx1"/>
                  </w14:solidFill>
                </w14:textFill>
              </w:rPr>
              <w:t>；</w:t>
            </w:r>
          </w:p>
        </w:tc>
      </w:tr>
      <w:tr>
        <w:tblPrEx>
          <w:tblW w:w="9072" w:type="dxa"/>
          <w:jc w:val="center"/>
          <w:tblLayout w:type="fixed"/>
          <w:tblCellMar>
            <w:top w:w="20" w:type="dxa"/>
            <w:left w:w="108" w:type="dxa"/>
            <w:bottom w:w="20" w:type="dxa"/>
            <w:right w:w="108" w:type="dxa"/>
          </w:tblCellMar>
        </w:tblPrEx>
        <w:trPr>
          <w:jc w:val="center"/>
        </w:trPr>
        <w:tc>
          <w:tcPr>
            <w:tcW w:w="794" w:type="dxa"/>
            <w:tcBorders>
              <w:top w:val="single" w:sz="8" w:space="0" w:color="000000"/>
              <w:left w:val="single" w:sz="8" w:space="0" w:color="000000"/>
              <w:bottom w:val="single" w:sz="8" w:space="0" w:color="000000"/>
              <w:right w:val="single" w:sz="8" w:space="0" w:color="000000"/>
            </w:tcBorders>
            <w:vAlign w:val="top"/>
          </w:tcPr>
          <w:p>
            <w:pPr>
              <w:keepNext w:val="0"/>
              <w:keepLines w:val="0"/>
              <w:widowControl/>
              <w:suppressLineNumbers w:val="0"/>
              <w:spacing w:before="0" w:beforeAutospacing="0" w:after="0" w:afterAutospacing="0"/>
              <w:ind w:left="0" w:right="0"/>
              <w:jc w:val="center"/>
              <w:textAlignment w:val="top"/>
              <w:rPr>
                <w:rFonts w:ascii="宋体" w:eastAsia="宋体" w:hAnsi="宋体" w:cs="宋体" w:hint="eastAsia"/>
                <w:color w:val="000000" w:themeColor="text1"/>
                <w:szCs w:val="21"/>
                <w:lang w:val="en-US" w:eastAsia="zh-CN"/>
                <w14:textFill>
                  <w14:solidFill>
                    <w14:schemeClr w14:val="tx1"/>
                  </w14:solidFill>
                </w14:textFill>
              </w:rPr>
            </w:pPr>
            <w:r>
              <w:rPr>
                <w:rFonts w:ascii="宋体" w:eastAsia="宋体" w:hAnsi="宋体" w:cs="宋体" w:hint="eastAsia"/>
                <w:szCs w:val="21"/>
                <w:lang w:val="en-US" w:eastAsia="zh-CN"/>
              </w:rPr>
              <w:t>13</w:t>
            </w:r>
          </w:p>
        </w:tc>
        <w:tc>
          <w:tcPr>
            <w:tcW w:w="8278" w:type="dxa"/>
            <w:tcBorders>
              <w:top w:val="single" w:sz="8" w:space="0" w:color="000000"/>
              <w:left w:val="single" w:sz="8" w:space="0" w:color="000000"/>
              <w:bottom w:val="single" w:sz="8" w:space="0" w:color="000000"/>
              <w:right w:val="single" w:sz="8" w:space="0" w:color="000000"/>
            </w:tcBorders>
          </w:tcPr>
          <w:p>
            <w:pPr>
              <w:keepNext w:val="0"/>
              <w:keepLines w:val="0"/>
              <w:widowControl/>
              <w:suppressLineNumbers w:val="0"/>
              <w:spacing w:before="0" w:beforeAutospacing="0" w:after="0" w:afterAutospacing="0"/>
              <w:ind w:left="0" w:right="0"/>
              <w:rPr>
                <w:rFonts w:ascii="宋体" w:hAnsi="宋体" w:cs="宋体" w:hint="default"/>
                <w:color w:val="000000" w:themeColor="text1"/>
                <w:szCs w:val="21"/>
                <w14:textFill>
                  <w14:solidFill>
                    <w14:schemeClr w14:val="tx1"/>
                  </w14:solidFill>
                </w14:textFill>
              </w:rPr>
            </w:pPr>
            <w:r>
              <w:rPr>
                <w:rFonts w:hint="eastAsia"/>
                <w:color w:val="000000" w:themeColor="text1"/>
                <w14:textFill>
                  <w14:solidFill>
                    <w14:schemeClr w14:val="tx1"/>
                  </w14:solidFill>
                </w14:textFill>
              </w:rPr>
              <w:t>法律、法规、规章、规范性文件规定的其他情形。</w:t>
            </w:r>
          </w:p>
        </w:tc>
      </w:tr>
    </w:tbl>
    <w:p>
      <w:pPr>
        <w:pStyle w:val="NormalWeb"/>
        <w:jc w:val="center"/>
        <w:outlineLvl w:val="1"/>
        <w:rPr>
          <w:rFonts w:ascii="黑体" w:eastAsia="黑体" w:hAnsi="黑体"/>
          <w:color w:val="000000" w:themeColor="text1"/>
          <w:sz w:val="40"/>
          <w:szCs w:val="40"/>
          <w14:textFill>
            <w14:solidFill>
              <w14:schemeClr w14:val="tx1"/>
            </w14:solidFill>
          </w14:textFill>
        </w:rPr>
      </w:pPr>
      <w:r>
        <w:rPr>
          <w:rFonts w:ascii="黑体" w:eastAsia="黑体" w:hAnsi="黑体" w:hint="eastAsia"/>
          <w:color w:val="000000" w:themeColor="text1"/>
          <w:sz w:val="40"/>
          <w:szCs w:val="40"/>
          <w14:textFill>
            <w14:solidFill>
              <w14:schemeClr w14:val="tx1"/>
            </w14:solidFill>
          </w14:textFill>
        </w:rPr>
        <w:t>评标信息</w:t>
      </w:r>
    </w:p>
    <w:tbl>
      <w:tblPr>
        <w:tblStyle w:val="TableNormal"/>
        <w:tblW w:w="9072" w:type="dxa"/>
        <w:jc w:val="center"/>
        <w:tblCellSpacing w:w="0" w:type="dxa"/>
        <w:tblLayout w:type="fixed"/>
        <w:tblCellMar>
          <w:top w:w="45" w:type="dxa"/>
          <w:left w:w="45" w:type="dxa"/>
          <w:bottom w:w="45" w:type="dxa"/>
          <w:right w:w="45" w:type="dxa"/>
        </w:tblCellMar>
      </w:tblPr>
      <w:tblGrid>
        <w:gridCol w:w="8867"/>
        <w:gridCol w:w="205"/>
      </w:tblGrid>
      <w:tr>
        <w:tblPrEx>
          <w:tblW w:w="9072" w:type="dxa"/>
          <w:jc w:val="center"/>
          <w:tblCellSpacing w:w="0" w:type="dxa"/>
          <w:tblLayout w:type="fixed"/>
          <w:tblCellMar>
            <w:top w:w="45" w:type="dxa"/>
            <w:left w:w="45" w:type="dxa"/>
            <w:bottom w:w="45" w:type="dxa"/>
            <w:right w:w="45" w:type="dxa"/>
          </w:tblCellMar>
        </w:tblPrEx>
        <w:trPr>
          <w:tblCellSpacing w:w="0" w:type="dxa"/>
          <w:jc w:val="center"/>
        </w:trPr>
        <w:tc>
          <w:tcPr>
            <w:tcW w:w="8867" w:type="dxa"/>
            <w:tcBorders>
              <w:top w:val="nil"/>
              <w:left w:val="nil"/>
              <w:bottom w:val="nil"/>
              <w:right w:val="nil"/>
            </w:tcBorders>
            <w:vAlign w:val="center"/>
          </w:tcPr>
          <w:p>
            <w:pPr>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0" w:right="0"/>
              <w:textAlignment w:val="auto"/>
              <w:rPr>
                <w:rFonts w:ascii="宋体" w:eastAsia="宋体" w:hAnsi="宋体" w:cs="宋体" w:hint="eastAsia"/>
                <w:b/>
                <w:bCs/>
                <w:color w:val="000000" w:themeColor="text1"/>
                <w:sz w:val="24"/>
                <w:szCs w:val="24"/>
                <w14:textFill>
                  <w14:solidFill>
                    <w14:schemeClr w14:val="tx1"/>
                  </w14:solidFill>
                </w14:textFill>
              </w:rPr>
            </w:pPr>
            <w:r>
              <w:rPr>
                <w:rFonts w:ascii="宋体" w:eastAsia="宋体" w:hAnsi="宋体" w:cs="宋体" w:hint="eastAsia"/>
                <w:b/>
                <w:bCs/>
                <w:color w:val="000000" w:themeColor="text1"/>
                <w:sz w:val="24"/>
                <w:szCs w:val="24"/>
                <w14:textFill>
                  <w14:solidFill>
                    <w14:schemeClr w14:val="tx1"/>
                  </w14:solidFill>
                </w14:textFill>
              </w:rPr>
              <w:t>评标方法：最低价法/综合评分法（新价格分算法）</w:t>
            </w:r>
          </w:p>
        </w:tc>
        <w:tc>
          <w:tcPr>
            <w:tcW w:w="205" w:type="dxa"/>
            <w:tcBorders>
              <w:top w:val="nil"/>
              <w:left w:val="nil"/>
              <w:bottom w:val="nil"/>
              <w:right w:val="nil"/>
            </w:tcBorders>
            <w:vAlign w:val="center"/>
          </w:tcPr>
          <w:p>
            <w:pPr>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0" w:right="0"/>
              <w:jc w:val="right"/>
              <w:textAlignment w:val="auto"/>
              <w:rPr>
                <w:rFonts w:ascii="宋体" w:eastAsia="宋体" w:hAnsi="宋体" w:cs="宋体" w:hint="eastAsia"/>
                <w:b/>
                <w:bCs/>
                <w:color w:val="000000" w:themeColor="text1"/>
                <w:sz w:val="24"/>
                <w:szCs w:val="24"/>
                <w14:textFill>
                  <w14:solidFill>
                    <w14:schemeClr w14:val="tx1"/>
                  </w14:solidFill>
                </w14:textFill>
              </w:rPr>
            </w:pPr>
          </w:p>
        </w:tc>
      </w:tr>
      <w:tr>
        <w:tblPrEx>
          <w:tblW w:w="9072" w:type="dxa"/>
          <w:jc w:val="center"/>
          <w:tblCellSpacing w:w="0" w:type="dxa"/>
          <w:tblLayout w:type="fixed"/>
          <w:tblCellMar>
            <w:top w:w="45" w:type="dxa"/>
            <w:left w:w="45" w:type="dxa"/>
            <w:bottom w:w="45" w:type="dxa"/>
            <w:right w:w="45" w:type="dxa"/>
          </w:tblCellMar>
        </w:tblPrEx>
        <w:trPr>
          <w:tblCellSpacing w:w="0" w:type="dxa"/>
          <w:jc w:val="center"/>
        </w:trPr>
        <w:tc>
          <w:tcPr>
            <w:tcW w:w="9072" w:type="dxa"/>
            <w:gridSpan w:val="2"/>
            <w:tcBorders>
              <w:top w:val="nil"/>
              <w:left w:val="nil"/>
              <w:bottom w:val="nil"/>
              <w:right w:val="nil"/>
            </w:tcBorders>
            <w:vAlign w:val="center"/>
          </w:tcPr>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0" w:right="0" w:firstLine="42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综合评分法，是指投标文件满足招标文件全部实质性要求，且按照评审因素的量化指标评审得分最高的投标人为中标候选人的评标方法。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0" w:right="0" w:firstLine="42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价格分计算方法：</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采用低价优先法计算，即满足招标文件要求且投标价格最低的投标报价为评标基准价，其价格分为满分。其他投标人的价格分统一按照下列公式计算：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投标报价得分=(评标基准价／投标报价)×100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评标总得分＝F1×A1＋F2×A2＋……＋Fn×An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F1、F2……Fn分别为各项评审因素的得分；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A1、A2、……An 分别为各项评审因素所占的权重(A1＋A2＋……＋An＝1)。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评标过程中，不得去掉报价中的最高报价和最低报价。 </w:t>
            </w:r>
          </w:p>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r>
              <w:rPr>
                <w:rFonts w:ascii="宋体" w:eastAsia="宋体" w:hAnsi="宋体" w:cs="宋体" w:hint="eastAsia"/>
                <w:color w:val="000000" w:themeColor="text1"/>
                <w:sz w:val="24"/>
                <w:szCs w:val="24"/>
                <w14:textFill>
                  <w14:solidFill>
                    <w14:schemeClr w14:val="tx1"/>
                  </w14:solidFill>
                </w14:textFill>
              </w:rPr>
              <w:t xml:space="preserve">此方法适用于货物类、服务类、工程类项目。 </w:t>
            </w:r>
          </w:p>
        </w:tc>
      </w:tr>
      <w:tr>
        <w:tblPrEx>
          <w:tblW w:w="9072" w:type="dxa"/>
          <w:jc w:val="center"/>
          <w:tblCellSpacing w:w="0" w:type="dxa"/>
          <w:tblLayout w:type="fixed"/>
          <w:tblCellMar>
            <w:top w:w="45" w:type="dxa"/>
            <w:left w:w="45" w:type="dxa"/>
            <w:bottom w:w="45" w:type="dxa"/>
            <w:right w:w="45" w:type="dxa"/>
          </w:tblCellMar>
        </w:tblPrEx>
        <w:trPr>
          <w:tblCellSpacing w:w="0" w:type="dxa"/>
          <w:jc w:val="center"/>
        </w:trPr>
        <w:tc>
          <w:tcPr>
            <w:tcW w:w="9072" w:type="dxa"/>
            <w:gridSpan w:val="2"/>
            <w:tcBorders>
              <w:top w:val="nil"/>
              <w:left w:val="nil"/>
              <w:bottom w:val="nil"/>
              <w:right w:val="nil"/>
            </w:tcBorders>
            <w:vAlign w:val="center"/>
          </w:tcPr>
          <w:tbl>
            <w:tblPr>
              <w:tblStyle w:val="TableNormal"/>
              <w:tblW w:w="896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20" w:type="dxa"/>
                <w:left w:w="108" w:type="dxa"/>
                <w:bottom w:w="20" w:type="dxa"/>
                <w:right w:w="108" w:type="dxa"/>
              </w:tblCellMar>
            </w:tblPr>
            <w:tblGrid>
              <w:gridCol w:w="474"/>
              <w:gridCol w:w="473"/>
              <w:gridCol w:w="992"/>
              <w:gridCol w:w="803"/>
              <w:gridCol w:w="6220"/>
            </w:tblGrid>
            <w:tr>
              <w:tblPrEx>
                <w:tblW w:w="896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20" w:type="dxa"/>
                  <w:left w:w="108" w:type="dxa"/>
                  <w:bottom w:w="20" w:type="dxa"/>
                  <w:right w:w="108" w:type="dxa"/>
                </w:tblCellMar>
              </w:tblPrEx>
              <w:trPr>
                <w:jc w:val="center"/>
              </w:trPr>
              <w:tc>
                <w:tcPr>
                  <w:tcW w:w="474" w:type="dxa"/>
                  <w:tcBorders>
                    <w:top w:val="single" w:sz="8" w:space="0" w:color="000000"/>
                    <w:left w:val="single" w:sz="8" w:space="0" w:color="000000"/>
                    <w:bottom w:val="single" w:sz="8" w:space="0" w:color="000000"/>
                    <w:right w:val="single" w:sz="8"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序号</w:t>
                  </w:r>
                </w:p>
              </w:tc>
              <w:tc>
                <w:tcPr>
                  <w:tcW w:w="2268" w:type="dxa"/>
                  <w:gridSpan w:val="3"/>
                  <w:tcBorders>
                    <w:top w:val="single" w:sz="8" w:space="0" w:color="000000"/>
                    <w:left w:val="single" w:sz="8" w:space="0" w:color="000000"/>
                    <w:bottom w:val="single" w:sz="8" w:space="0" w:color="000000"/>
                    <w:right w:val="single" w:sz="8"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评分项</w:t>
                  </w:r>
                </w:p>
              </w:tc>
              <w:tc>
                <w:tcPr>
                  <w:tcW w:w="6220" w:type="dxa"/>
                  <w:tcBorders>
                    <w:top w:val="single" w:sz="8" w:space="0" w:color="000000"/>
                    <w:left w:val="single" w:sz="8" w:space="0" w:color="000000"/>
                    <w:bottom w:val="single" w:sz="8" w:space="0" w:color="000000"/>
                    <w:right w:val="single" w:sz="8"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权重(%)</w:t>
                  </w:r>
                </w:p>
              </w:tc>
            </w:tr>
            <w:tr>
              <w:tblPrEx>
                <w:tblW w:w="8962" w:type="dxa"/>
                <w:jc w:val="center"/>
                <w:tblLayout w:type="fixed"/>
                <w:tblCellMar>
                  <w:top w:w="20" w:type="dxa"/>
                  <w:left w:w="108" w:type="dxa"/>
                  <w:bottom w:w="20" w:type="dxa"/>
                  <w:right w:w="108" w:type="dxa"/>
                </w:tblCellMar>
              </w:tblPrEx>
              <w:trPr>
                <w:jc w:val="center"/>
              </w:trPr>
              <w:tc>
                <w:tcPr>
                  <w:tcW w:w="474"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1</w:t>
                  </w:r>
                </w:p>
              </w:tc>
              <w:tc>
                <w:tcPr>
                  <w:tcW w:w="2268" w:type="dxa"/>
                  <w:gridSpan w:val="3"/>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价格</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default"/>
                      <w:b/>
                      <w:bCs/>
                      <w:sz w:val="24"/>
                      <w:szCs w:val="24"/>
                      <w:lang w:val="en-US" w:eastAsia="zh-CN"/>
                    </w:rPr>
                  </w:pPr>
                  <w:r>
                    <w:rPr>
                      <w:rFonts w:ascii="宋体" w:eastAsia="Times New Roman" w:hAnsi="宋体" w:cs="宋体" w:hint="eastAsia"/>
                      <w:b/>
                      <w:bCs/>
                      <w:color w:val="auto"/>
                      <w:kern w:val="0"/>
                      <w:sz w:val="24"/>
                      <w:szCs w:val="24"/>
                      <w:highlight w:val="none"/>
                      <w:lang w:val="en-US" w:eastAsia="zh-CN"/>
                    </w:rPr>
                    <w:t>10</w:t>
                  </w:r>
                </w:p>
              </w:tc>
            </w:tr>
            <w:tr>
              <w:tblPrEx>
                <w:tblW w:w="8962" w:type="dxa"/>
                <w:jc w:val="center"/>
                <w:tblLayout w:type="fixed"/>
                <w:tblCellMar>
                  <w:top w:w="20" w:type="dxa"/>
                  <w:left w:w="108" w:type="dxa"/>
                  <w:bottom w:w="20" w:type="dxa"/>
                  <w:right w:w="108" w:type="dxa"/>
                </w:tblCellMar>
              </w:tblPrEx>
              <w:trPr>
                <w:jc w:val="center"/>
              </w:trPr>
              <w:tc>
                <w:tcPr>
                  <w:tcW w:w="474" w:type="dxa"/>
                  <w:vMerge w:val="restart"/>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2</w:t>
                  </w:r>
                </w:p>
              </w:tc>
              <w:tc>
                <w:tcPr>
                  <w:tcW w:w="2268" w:type="dxa"/>
                  <w:gridSpan w:val="3"/>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技术部分</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default"/>
                      <w:b/>
                      <w:bCs/>
                      <w:sz w:val="24"/>
                      <w:szCs w:val="24"/>
                      <w:lang w:val="en-US" w:eastAsia="zh-CN"/>
                    </w:rPr>
                  </w:pPr>
                  <w:r>
                    <w:rPr>
                      <w:rFonts w:ascii="宋体" w:eastAsia="宋体" w:hAnsi="宋体" w:cs="宋体" w:hint="eastAsia"/>
                      <w:b/>
                      <w:bCs/>
                      <w:sz w:val="24"/>
                      <w:szCs w:val="24"/>
                      <w:lang w:val="en-US" w:eastAsia="zh-CN"/>
                    </w:rPr>
                    <w:t>40</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序号</w:t>
                  </w:r>
                </w:p>
              </w:tc>
              <w:tc>
                <w:tcPr>
                  <w:tcW w:w="992"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lang w:eastAsia="zh-CN"/>
                    </w:rPr>
                  </w:pPr>
                  <w:r>
                    <w:rPr>
                      <w:rFonts w:ascii="宋体" w:eastAsia="宋体" w:hAnsi="宋体" w:cs="宋体" w:hint="eastAsia"/>
                      <w:sz w:val="24"/>
                      <w:szCs w:val="24"/>
                      <w:lang w:eastAsia="zh-CN"/>
                    </w:rPr>
                    <w:t>评审因素</w:t>
                  </w:r>
                </w:p>
              </w:tc>
              <w:tc>
                <w:tcPr>
                  <w:tcW w:w="803"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权重(%)</w:t>
                  </w:r>
                </w:p>
              </w:tc>
              <w:tc>
                <w:tcPr>
                  <w:tcW w:w="6220"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评分准则</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1</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jc w:val="center"/>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实施方案</w:t>
                  </w:r>
                </w:p>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default"/>
                      <w:sz w:val="24"/>
                      <w:szCs w:val="24"/>
                      <w:lang w:val="en-US" w:eastAsia="zh-CN"/>
                    </w:rPr>
                  </w:pPr>
                  <w:r>
                    <w:rPr>
                      <w:rFonts w:ascii="宋体" w:eastAsia="宋体" w:hAnsi="宋体" w:cs="宋体" w:hint="eastAsia"/>
                      <w:kern w:val="2"/>
                      <w:sz w:val="24"/>
                      <w:szCs w:val="24"/>
                      <w:lang w:val="en-US" w:eastAsia="zh-CN"/>
                    </w:rPr>
                    <w:t>12</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根据本项目的特点，针对服务需求分析、服务定位、服务内容、服务优势、管理措施等要点进行项目运行整体设想和策划，要求有针对性、科学性、合理性、适用性，包含以下4点内容：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1.项目总体规划；</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2.项目人员配置；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3.实施过程控制；</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kern w:val="2"/>
                      <w:sz w:val="24"/>
                      <w:szCs w:val="24"/>
                      <w:lang w:val="en-US" w:eastAsia="zh-CN"/>
                    </w:rPr>
                    <w:t>4.应急备用方案。</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b/>
                      <w:bCs/>
                      <w:color w:val="000000"/>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1.投标人提供的《实施方案》满足上述4项考察内容的，得60%分，每缺少一项扣15%分</w:t>
                  </w:r>
                  <w:r>
                    <w:rPr>
                      <w:rFonts w:ascii="宋体" w:eastAsia="宋体" w:hAnsi="宋体" w:cs="宋体" w:hint="eastAsia"/>
                      <w:color w:val="000000"/>
                      <w:kern w:val="2"/>
                      <w:sz w:val="24"/>
                      <w:szCs w:val="24"/>
                      <w:lang w:val="en-US" w:eastAsia="zh-CN"/>
                    </w:rPr>
                    <w:t>，扣完为止</w:t>
                  </w:r>
                  <w:r>
                    <w:rPr>
                      <w:rFonts w:ascii="宋体" w:eastAsia="宋体" w:hAnsi="宋体" w:cs="宋体" w:hint="eastAsia"/>
                      <w:kern w:val="2"/>
                      <w:sz w:val="24"/>
                      <w:szCs w:val="24"/>
                      <w:lang w:val="en-US" w:eastAsia="zh-CN"/>
                    </w:rPr>
                    <w:t xml:space="preserve">。 </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 xml:space="preserve">2.在此基础上，评标专家根据投标人提供的《实施方案》的合理性进行评分。 </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优评分标准：方案内容全面、具体，可行性高，加40%分。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良评分标准：方案内容较全面，可行性较高，加30%分。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中评分标准：方案全面性、可行性一般，加20%分。</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rPr>
                  </w:pPr>
                  <w:r>
                    <w:rPr>
                      <w:rFonts w:ascii="宋体" w:eastAsia="宋体" w:hAnsi="宋体" w:cs="宋体" w:hint="eastAsia"/>
                      <w:kern w:val="2"/>
                      <w:sz w:val="24"/>
                      <w:szCs w:val="24"/>
                      <w:lang w:val="en-US" w:eastAsia="zh-CN"/>
                    </w:rPr>
                    <w:t>差评分标准：方案不全，可行性低，不加分。如果评分为差，专家须书面说明理由。</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2</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项目重点难点分析、应对措施及相关的合理化建议</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12</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 xml:space="preserve">（一）评分内容： </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根据对项目的理解及自身经验，针对本项目提出重点难点分析、应对措施及相关的合理化建议（问题包括但不限于新旧两个合同期管理衔接问题、日常船员临时休假船员替代问题、发生海损或机损事故时应急处理问题、船艇防台避台问题、如何建立服务考评机制、如何保障船员工作积极性，建立船员激励机制问题、防止船员疲劳作业问题等）包含以下4点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1.详细阐述本项目存在的重难点问题；</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2.根据项目重难点，详细阐述对应的应对措施；</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3.提出初步的研究思路及解决方案；</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kern w:val="2"/>
                      <w:sz w:val="24"/>
                      <w:szCs w:val="24"/>
                      <w:lang w:val="en-US" w:eastAsia="zh-CN"/>
                    </w:rPr>
                    <w:t>4.向采购方提出项目实施及与其他建设项目协调的具体建议。</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b/>
                      <w:bCs/>
                      <w:color w:val="000000"/>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1.投标人提供的《项目重点难点分析、应对措施及相关的合理化建议》满足上述4项考察内容的，得60%分，每缺少一项扣15%分。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 xml:space="preserve">2.评标专家根据投标人提供的《项目重点难点分析、应对措施及相关的合理化建议》的合理性进行评分。 </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优评分标准：方案内容全面、具体，可行性高，加40%分。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良评分标准：方案内容较全面，可行性较高，加30%分。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中评分标准：方案全面性、可行性一般，加20%分。</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rPr>
                  </w:pPr>
                  <w:r>
                    <w:rPr>
                      <w:rFonts w:ascii="宋体" w:eastAsia="宋体" w:hAnsi="宋体" w:cs="宋体" w:hint="eastAsia"/>
                      <w:kern w:val="2"/>
                      <w:sz w:val="24"/>
                      <w:szCs w:val="24"/>
                      <w:lang w:val="en-US" w:eastAsia="zh-CN"/>
                    </w:rPr>
                    <w:t>差评分标准：方案不全，可行性低，不加分。如果评分为差，专家须书面说明理由。</w:t>
                  </w:r>
                  <w:r>
                    <w:rPr>
                      <w:rFonts w:ascii="宋体" w:eastAsia="宋体" w:hAnsi="宋体" w:cs="宋体" w:hint="eastAsia"/>
                      <w:color w:val="000000"/>
                      <w:kern w:val="2"/>
                      <w:sz w:val="24"/>
                      <w:szCs w:val="24"/>
                      <w:lang w:val="en-US" w:eastAsia="zh-CN"/>
                    </w:rPr>
                    <w:t>。</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3</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质量保障措施及方案</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12</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b/>
                      <w:bCs/>
                      <w:kern w:val="2"/>
                      <w:sz w:val="24"/>
                      <w:szCs w:val="24"/>
                      <w:lang w:val="en-US" w:eastAsia="zh-CN"/>
                    </w:rPr>
                    <w:t>（一）措施及方案（50%分）</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b/>
                      <w:bCs/>
                      <w:color w:val="000000"/>
                      <w:kern w:val="2"/>
                      <w:sz w:val="24"/>
                      <w:szCs w:val="24"/>
                      <w:lang w:val="en-US" w:eastAsia="zh-CN"/>
                    </w:rPr>
                    <w:t>1.评分内容：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color w:val="000000"/>
                      <w:kern w:val="2"/>
                      <w:sz w:val="24"/>
                      <w:szCs w:val="24"/>
                    </w:rPr>
                  </w:pPr>
                  <w:r>
                    <w:rPr>
                      <w:rFonts w:ascii="宋体" w:eastAsia="宋体" w:hAnsi="宋体" w:cs="宋体" w:hint="eastAsia"/>
                      <w:kern w:val="2"/>
                      <w:sz w:val="24"/>
                      <w:szCs w:val="24"/>
                      <w:lang w:val="en-US" w:eastAsia="zh-CN"/>
                    </w:rPr>
                    <w:t>从自身单位的管理体系及结构、管理层人员数量及质量经验等，说明质量保障措施及方案。</w:t>
                  </w:r>
                  <w:r>
                    <w:rPr>
                      <w:rFonts w:ascii="宋体" w:eastAsia="宋体" w:hAnsi="宋体" w:cs="宋体" w:hint="eastAsia"/>
                      <w:color w:val="000000"/>
                      <w:kern w:val="2"/>
                      <w:sz w:val="24"/>
                      <w:szCs w:val="24"/>
                      <w:lang w:val="en-US" w:eastAsia="zh-CN"/>
                    </w:rPr>
                    <w:t>包括但不限于以下内容：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（1）给出分阶段项目时间安排、工作进度与阶段性成果；</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（2）详细阐述项目时间管理制度与措施；</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（3）详细阐述项目质量管理制度与措施；</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（4）详细阐述项目资料、成果安全性保障制度与措施。</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b/>
                      <w:bCs/>
                      <w:color w:val="000000"/>
                      <w:kern w:val="2"/>
                      <w:sz w:val="24"/>
                      <w:szCs w:val="24"/>
                      <w:lang w:val="en-US" w:eastAsia="zh-CN"/>
                    </w:rPr>
                    <w:t>2.评分依据：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color w:val="000000"/>
                      <w:kern w:val="2"/>
                      <w:sz w:val="24"/>
                      <w:szCs w:val="24"/>
                      <w:lang w:val="en-US" w:eastAsia="zh-CN"/>
                    </w:rPr>
                    <w:t>（1）</w:t>
                  </w:r>
                  <w:r>
                    <w:rPr>
                      <w:rFonts w:ascii="宋体" w:eastAsia="宋体" w:hAnsi="宋体" w:cs="宋体" w:hint="eastAsia"/>
                      <w:kern w:val="2"/>
                      <w:sz w:val="24"/>
                      <w:szCs w:val="24"/>
                      <w:lang w:val="en-US" w:eastAsia="zh-CN"/>
                    </w:rPr>
                    <w:t>投标人提供的《质量保障措施及方案》满足上述4项考察内容的，得30%分，每缺少一项扣7.5%分。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 xml:space="preserve">（2）评标专家根据投标人提供的《质量保障措施及方案》的合理性进行评分。 </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优评分标准：方案内容全面、具体，可行性高，加20%分。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良评分标准：方案内容较全面，可行性较高，加15%分。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中评分标准：方案全面性、可行性一般，加10%分。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差评分标准：方案不全，可行性低，不加分。如果评分为差，专家须书面说明理由。</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（二）安全保障要求（50%分）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b/>
                      <w:bCs/>
                      <w:kern w:val="2"/>
                      <w:sz w:val="24"/>
                      <w:szCs w:val="24"/>
                      <w:lang w:val="en-US" w:eastAsia="zh-CN"/>
                    </w:rPr>
                    <w:t>1.评分内容</w:t>
                  </w:r>
                  <w:r>
                    <w:rPr>
                      <w:rFonts w:ascii="宋体" w:eastAsia="宋体" w:hAnsi="宋体" w:cs="宋体" w:hint="eastAsia"/>
                      <w:kern w:val="2"/>
                      <w:sz w:val="24"/>
                      <w:szCs w:val="24"/>
                      <w:lang w:val="en-US" w:eastAsia="zh-CN"/>
                    </w:rPr>
                    <w:t>：</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default"/>
                      <w:kern w:val="2"/>
                      <w:sz w:val="24"/>
                      <w:szCs w:val="24"/>
                      <w:lang w:val="en-US" w:eastAsia="zh-CN"/>
                    </w:rPr>
                  </w:pPr>
                  <w:r>
                    <w:rPr>
                      <w:rFonts w:ascii="宋体" w:eastAsia="宋体" w:hAnsi="宋体" w:cs="宋体" w:hint="eastAsia"/>
                      <w:kern w:val="2"/>
                      <w:sz w:val="24"/>
                      <w:szCs w:val="24"/>
                      <w:lang w:val="en-US" w:eastAsia="zh-CN"/>
                    </w:rPr>
                    <w:t>投标人承诺管理船舶自2022年1月1日以来没有发生过海事部门定性为一般及以上等级责任事故，得50%分，若未提供不得分。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default"/>
                      <w:b/>
                      <w:bCs/>
                      <w:kern w:val="2"/>
                      <w:sz w:val="21"/>
                      <w:szCs w:val="21"/>
                    </w:rPr>
                  </w:pPr>
                  <w:r>
                    <w:rPr>
                      <w:rFonts w:ascii="宋体" w:eastAsia="宋体" w:hAnsi="宋体" w:cs="宋体" w:hint="eastAsia"/>
                      <w:b/>
                      <w:bCs/>
                      <w:kern w:val="2"/>
                      <w:sz w:val="21"/>
                      <w:szCs w:val="21"/>
                      <w:lang w:val="en-US" w:eastAsia="zh-CN"/>
                    </w:rPr>
                    <w:t>2.评分依据：</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rPr>
                  </w:pPr>
                  <w:r>
                    <w:rPr>
                      <w:rFonts w:ascii="宋体" w:eastAsia="宋体" w:hAnsi="宋体" w:cs="宋体" w:hint="eastAsia"/>
                      <w:kern w:val="2"/>
                      <w:sz w:val="24"/>
                      <w:szCs w:val="24"/>
                      <w:lang w:val="en-US" w:eastAsia="zh-CN"/>
                    </w:rPr>
                    <w:t>投标人需提供满足上述要求的承诺函（格式自拟）。</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4</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项目完成（服务期满）后的服务承诺</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2</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pStyle w:val="CommentText"/>
                    <w:widowControl/>
                    <w:spacing w:line="240" w:lineRule="auto"/>
                    <w:rPr>
                      <w:rFonts w:ascii="宋体" w:eastAsia="宋体" w:hAnsi="宋体" w:cs="宋体" w:hint="eastAsia"/>
                      <w:b w:val="0"/>
                      <w:bCs w:val="0"/>
                      <w:kern w:val="2"/>
                      <w:sz w:val="24"/>
                      <w:szCs w:val="24"/>
                    </w:rPr>
                  </w:pPr>
                  <w:r>
                    <w:rPr>
                      <w:rFonts w:ascii="宋体" w:eastAsia="宋体" w:hAnsi="宋体" w:cs="宋体" w:hint="eastAsia"/>
                      <w:b/>
                      <w:bCs/>
                      <w:kern w:val="2"/>
                      <w:sz w:val="24"/>
                      <w:szCs w:val="24"/>
                    </w:rPr>
                    <w:t>（一）评分内容：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color w:val="000000"/>
                      <w:kern w:val="2"/>
                      <w:sz w:val="24"/>
                      <w:szCs w:val="24"/>
                      <w:lang w:val="en-US" w:eastAsia="zh-CN"/>
                    </w:rPr>
                    <w:t>根据对项目的理解及自身管理经验，提出项目完成（服务期满）后的服务承诺</w:t>
                  </w:r>
                  <w:r>
                    <w:rPr>
                      <w:rFonts w:ascii="宋体" w:eastAsia="宋体" w:hAnsi="宋体" w:cs="宋体" w:hint="eastAsia"/>
                      <w:kern w:val="2"/>
                      <w:sz w:val="24"/>
                      <w:szCs w:val="24"/>
                      <w:lang w:val="en-US" w:eastAsia="zh-CN"/>
                    </w:rPr>
                    <w:t>，包括但不限于以下内容：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1.提供项目完成后服务负责人信息与联系方式；</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2.后续服务公司未到位前仍按原合同服务承诺提供服务；</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3.与后续服务公司进行交接，处理好跟下一个合同期的过渡；</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kern w:val="2"/>
                      <w:sz w:val="24"/>
                      <w:szCs w:val="24"/>
                      <w:lang w:val="en-US" w:eastAsia="zh-CN"/>
                    </w:rPr>
                    <w:t>4.服务响应时间不超过24小时。</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b/>
                      <w:bCs/>
                      <w:color w:val="000000"/>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 xml:space="preserve">1.提供《项目完成（服务期满）后的服务承诺》且承诺满足上述考察内容的，得100%分。 </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highlight w:val="yellow"/>
                    </w:rPr>
                  </w:pPr>
                  <w:r>
                    <w:rPr>
                      <w:rFonts w:ascii="宋体" w:eastAsia="宋体" w:hAnsi="宋体" w:cs="宋体" w:hint="eastAsia"/>
                      <w:kern w:val="2"/>
                      <w:sz w:val="24"/>
                      <w:szCs w:val="24"/>
                      <w:lang w:val="en-US" w:eastAsia="zh-CN"/>
                    </w:rPr>
                    <w:t>2.未提供《项目完成（服务期满）后的服务承诺》或提供的《项目完成（服务期满）后的服务承诺》未能体现承诺满足上述考察内容的，不得分。</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5</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违约承诺</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2</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kern w:val="2"/>
                      <w:sz w:val="24"/>
                      <w:szCs w:val="24"/>
                      <w:lang w:val="en-US" w:eastAsia="zh-CN"/>
                    </w:rPr>
                    <w:t xml:space="preserve">承诺满足采购文件项目商务要求“第五条 </w:t>
                  </w:r>
                  <w:r>
                    <w:rPr>
                      <w:rFonts w:ascii="宋体" w:eastAsia="宋体" w:hAnsi="宋体" w:cs="宋体" w:hint="eastAsia"/>
                      <w:color w:val="000000"/>
                      <w:kern w:val="2"/>
                      <w:sz w:val="24"/>
                      <w:szCs w:val="24"/>
                      <w:lang w:val="en-US" w:eastAsia="zh-CN"/>
                    </w:rPr>
                    <w:t>违约责任</w:t>
                  </w:r>
                  <w:r>
                    <w:rPr>
                      <w:rFonts w:ascii="宋体" w:eastAsia="宋体" w:hAnsi="宋体" w:cs="宋体" w:hint="eastAsia"/>
                      <w:kern w:val="2"/>
                      <w:sz w:val="24"/>
                      <w:szCs w:val="24"/>
                      <w:lang w:val="en-US" w:eastAsia="zh-CN"/>
                    </w:rPr>
                    <w:t>”中关于违约责任的全部内容，并提供《违约承诺函》。</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color w:val="000000"/>
                      <w:kern w:val="2"/>
                      <w:sz w:val="24"/>
                      <w:szCs w:val="24"/>
                    </w:rPr>
                  </w:pPr>
                  <w:r>
                    <w:rPr>
                      <w:rFonts w:ascii="宋体" w:eastAsia="宋体" w:hAnsi="宋体" w:cs="宋体" w:hint="eastAsia"/>
                      <w:b/>
                      <w:bCs/>
                      <w:color w:val="000000"/>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1.提供《违约承诺函》且承诺满足上述考察内容的，得100%分。</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highlight w:val="yellow"/>
                    </w:rPr>
                  </w:pPr>
                  <w:r>
                    <w:rPr>
                      <w:rFonts w:ascii="宋体" w:eastAsia="宋体" w:hAnsi="宋体" w:cs="宋体" w:hint="eastAsia"/>
                      <w:kern w:val="2"/>
                      <w:sz w:val="24"/>
                      <w:szCs w:val="24"/>
                      <w:lang w:val="en-US" w:eastAsia="zh-CN"/>
                    </w:rPr>
                    <w:t>2.未提供《违约承诺函》或提供的《违约承诺函》未能体现承诺满足上述考察内容的，不得分。</w:t>
                  </w:r>
                </w:p>
              </w:tc>
            </w:tr>
            <w:tr>
              <w:tblPrEx>
                <w:tblW w:w="8962" w:type="dxa"/>
                <w:jc w:val="center"/>
                <w:tblLayout w:type="fixed"/>
                <w:tblCellMar>
                  <w:top w:w="20" w:type="dxa"/>
                  <w:left w:w="108" w:type="dxa"/>
                  <w:bottom w:w="20" w:type="dxa"/>
                  <w:right w:w="108" w:type="dxa"/>
                </w:tblCellMar>
              </w:tblPrEx>
              <w:trPr>
                <w:trHeight w:val="90"/>
                <w:jc w:val="center"/>
              </w:trPr>
              <w:tc>
                <w:tcPr>
                  <w:tcW w:w="474" w:type="dxa"/>
                  <w:vMerge w:val="restart"/>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3</w:t>
                  </w:r>
                </w:p>
              </w:tc>
              <w:tc>
                <w:tcPr>
                  <w:tcW w:w="2268" w:type="dxa"/>
                  <w:gridSpan w:val="3"/>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lang w:eastAsia="zh-CN"/>
                    </w:rPr>
                  </w:pPr>
                  <w:r>
                    <w:rPr>
                      <w:rFonts w:ascii="宋体" w:eastAsia="宋体" w:hAnsi="宋体" w:cs="宋体" w:hint="eastAsia"/>
                      <w:b/>
                      <w:bCs/>
                      <w:sz w:val="24"/>
                      <w:szCs w:val="24"/>
                      <w:lang w:val="en-US" w:eastAsia="zh-CN"/>
                    </w:rPr>
                    <w:t>综合实力部分</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default"/>
                      <w:b/>
                      <w:bCs/>
                      <w:sz w:val="24"/>
                      <w:szCs w:val="24"/>
                      <w:lang w:val="en-US" w:eastAsia="zh-CN"/>
                    </w:rPr>
                  </w:pPr>
                  <w:r>
                    <w:rPr>
                      <w:rFonts w:ascii="宋体" w:eastAsia="宋体" w:hAnsi="宋体" w:cs="宋体" w:hint="eastAsia"/>
                      <w:sz w:val="24"/>
                      <w:szCs w:val="24"/>
                      <w:lang w:val="en-US" w:eastAsia="zh-CN"/>
                    </w:rPr>
                    <w:t>45</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8488" w:type="dxa"/>
                  <w:gridSpan w:val="4"/>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sz w:val="24"/>
                      <w:szCs w:val="24"/>
                    </w:rPr>
                  </w:pP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序号</w:t>
                  </w:r>
                </w:p>
              </w:tc>
              <w:tc>
                <w:tcPr>
                  <w:tcW w:w="992"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lang w:eastAsia="zh-CN"/>
                    </w:rPr>
                  </w:pPr>
                  <w:r>
                    <w:rPr>
                      <w:rFonts w:ascii="宋体" w:eastAsia="宋体" w:hAnsi="宋体" w:cs="宋体" w:hint="eastAsia"/>
                      <w:sz w:val="24"/>
                      <w:szCs w:val="24"/>
                      <w:lang w:eastAsia="zh-CN"/>
                    </w:rPr>
                    <w:t>评审因素</w:t>
                  </w:r>
                </w:p>
              </w:tc>
              <w:tc>
                <w:tcPr>
                  <w:tcW w:w="803"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权重(%)</w:t>
                  </w:r>
                </w:p>
              </w:tc>
              <w:tc>
                <w:tcPr>
                  <w:tcW w:w="6220"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评分准则</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1</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供应商资质、认证情况</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5</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b w:val="0"/>
                      <w:bCs w:val="0"/>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w:t>
                  </w:r>
                  <w:r>
                    <w:rPr>
                      <w:rFonts w:ascii="宋体" w:eastAsia="宋体" w:hAnsi="宋体" w:cs="宋体" w:hint="eastAsia"/>
                      <w:kern w:val="0"/>
                      <w:sz w:val="24"/>
                      <w:szCs w:val="24"/>
                      <w:lang w:val="en-US" w:eastAsia="zh-CN"/>
                    </w:rPr>
                    <w:t>具有中华人民共和国海事局或其指定的海事管理机构签发的《中华人民共和国船舶安全营运和防止污染管理规则》符合证明（简称符合证明或DOC证书），适用船舶种类含高速船艇的得100%分</w:t>
                  </w:r>
                  <w:r>
                    <w:rPr>
                      <w:rFonts w:ascii="宋体" w:eastAsia="宋体" w:hAnsi="宋体" w:cs="宋体" w:hint="eastAsia"/>
                      <w:kern w:val="2"/>
                      <w:sz w:val="24"/>
                      <w:szCs w:val="24"/>
                      <w:lang w:val="en-US" w:eastAsia="zh-CN"/>
                    </w:rPr>
                    <w:t>。</w:t>
                  </w:r>
                </w:p>
                <w:p>
                  <w:pPr>
                    <w:keepNext w:val="0"/>
                    <w:keepLines w:val="0"/>
                    <w:widowControl w:val="0"/>
                    <w:suppressLineNumbers w:val="0"/>
                    <w:spacing w:before="0" w:beforeAutospacing="0" w:after="0" w:afterAutospacing="0" w:line="240" w:lineRule="auto"/>
                    <w:ind w:left="0" w:right="0"/>
                    <w:jc w:val="left"/>
                    <w:rPr>
                      <w:rFonts w:ascii="Times New Roman" w:hAnsi="Times New Roman" w:cs="Times New Roman" w:hint="default"/>
                      <w:kern w:val="2"/>
                      <w:sz w:val="21"/>
                      <w:szCs w:val="21"/>
                    </w:rPr>
                  </w:pPr>
                  <w:r>
                    <w:rPr>
                      <w:rFonts w:ascii="宋体" w:eastAsia="宋体" w:hAnsi="宋体" w:cs="宋体" w:hint="eastAsia"/>
                      <w:kern w:val="2"/>
                      <w:sz w:val="24"/>
                      <w:szCs w:val="24"/>
                      <w:lang w:val="en-US" w:eastAsia="zh-CN"/>
                    </w:rPr>
                    <w:t>2.</w:t>
                  </w:r>
                  <w:r>
                    <w:rPr>
                      <w:rFonts w:ascii="宋体" w:eastAsia="宋体" w:hAnsi="宋体" w:cs="宋体" w:hint="eastAsia"/>
                      <w:kern w:val="0"/>
                      <w:sz w:val="24"/>
                      <w:szCs w:val="24"/>
                      <w:lang w:val="en-US" w:eastAsia="zh-CN"/>
                    </w:rPr>
                    <w:t>具有中华人民共和国海事局或其指定的海事管理机构签发的《中华人民共和国船舶安全营运和防止污染管理规则》临时符合证明（简称临时符合证明或临时DOC证书），适用船舶种类含高速船艇的得50%分</w:t>
                  </w:r>
                  <w:r>
                    <w:rPr>
                      <w:rFonts w:ascii="宋体" w:eastAsia="宋体" w:hAnsi="宋体" w:cs="宋体" w:hint="eastAsia"/>
                      <w:kern w:val="2"/>
                      <w:sz w:val="24"/>
                      <w:szCs w:val="24"/>
                      <w:lang w:val="en-US" w:eastAsia="zh-CN"/>
                    </w:rPr>
                    <w:t>。</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最高得100%分。</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1.提供相关认证机构颁发的有效期内的认证证书扫描件。相关证书在公开渠道无法查询的，投标人需提供颁发部门或者监管机构的证明材料，证明证书真实有效且为合法机构颁发。</w:t>
                  </w:r>
                </w:p>
                <w:p>
                  <w:pPr>
                    <w:pStyle w:val="NormalWeb"/>
                    <w:keepNext w:val="0"/>
                    <w:keepLines w:val="0"/>
                    <w:widowControl w:val="0"/>
                    <w:suppressLineNumbers w:val="0"/>
                    <w:spacing w:before="0" w:beforeAutospacing="0" w:after="0" w:afterAutospacing="0" w:line="240" w:lineRule="auto"/>
                    <w:ind w:left="0" w:right="0" w:leftChars="0" w:rightChars="0"/>
                    <w:jc w:val="left"/>
                    <w:rPr>
                      <w:rFonts w:ascii="宋体" w:eastAsia="宋体" w:hAnsi="宋体" w:cs="宋体" w:hint="eastAsia"/>
                      <w:sz w:val="24"/>
                      <w:szCs w:val="24"/>
                    </w:rPr>
                  </w:pPr>
                  <w:r>
                    <w:rPr>
                      <w:rFonts w:ascii="宋体" w:eastAsia="宋体" w:hAnsi="宋体" w:cs="宋体" w:hint="eastAsia"/>
                      <w:kern w:val="2"/>
                      <w:sz w:val="24"/>
                      <w:szCs w:val="24"/>
                      <w:lang w:val="en-US" w:eastAsia="zh-CN"/>
                    </w:rPr>
                    <w:t>2.以上资料均要求提供扫描件，原件备查。评分中出现无证明资料或专家无法凭所提供资料判断是否得分的情况，一律作不得分处理。</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2</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供应商同类业绩情况</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8</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考察投标人自有船舶数量或投标人管理过的（工作内容应至少包含海务、机务和人事管理相关内容）船舶数量，续签的同一艘船舶合同可重复计分：：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（1）6艘以上（含6艘）得100%分；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（2）4（含）~5（含）艘得70%分；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（3）2（含）~3（含）艘得30%分；</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val="0"/>
                      <w:bCs w:val="0"/>
                      <w:kern w:val="2"/>
                      <w:sz w:val="24"/>
                      <w:szCs w:val="24"/>
                    </w:rPr>
                  </w:pPr>
                  <w:r>
                    <w:rPr>
                      <w:rFonts w:ascii="宋体" w:eastAsia="宋体" w:hAnsi="宋体" w:cs="宋体" w:hint="eastAsia"/>
                      <w:kern w:val="2"/>
                      <w:sz w:val="24"/>
                      <w:szCs w:val="24"/>
                      <w:lang w:val="en-US" w:eastAsia="zh-CN"/>
                    </w:rPr>
                    <w:t xml:space="preserve">其他情况不得分。   </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lang w:val="en-US" w:eastAsia="zh-CN"/>
                    </w:rPr>
                  </w:pPr>
                  <w:r>
                    <w:rPr>
                      <w:rFonts w:ascii="宋体" w:eastAsia="宋体" w:hAnsi="宋体" w:cs="宋体" w:hint="eastAsia"/>
                      <w:kern w:val="2"/>
                      <w:sz w:val="24"/>
                      <w:szCs w:val="24"/>
                      <w:lang w:val="en-US" w:eastAsia="zh-CN"/>
                    </w:rPr>
                    <w:t>1.①投标人管理过的非自有船舶要求同时提供合同关键信息（关键信息包含但不限于合同合作双方盖章页、合同签订时间页、合作内容页等）和项目履约（验收）合格评价证明文件作为得分依据，评价证明文件需加盖合同甲方公章或甲方业务章；</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②自有船舶提供船舶所有权证书作为得分依据。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2.通过合同关键信息无法判断是否得分的，也可以提供能证明得分的其它证明资料，如项目报告或合同甲方出具的证明文件等。</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3.上述管理项目开展时间必须在2022年1月1日起至投标截止日期止，以合同签订日期或合同中载明的履约时间为准。</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rPr>
                  </w:pPr>
                  <w:r>
                    <w:rPr>
                      <w:rFonts w:ascii="宋体" w:eastAsia="宋体" w:hAnsi="宋体" w:cs="宋体" w:hint="eastAsia"/>
                      <w:kern w:val="2"/>
                      <w:sz w:val="24"/>
                      <w:szCs w:val="24"/>
                      <w:lang w:val="en-US" w:eastAsia="zh-CN"/>
                    </w:rPr>
                    <w:t>4.以上资料均要求提供扫描件，原件备查。评分中出现无证明资料或专家无法凭所提供资料判断是否得分的情况，一律作不得分处理。</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3</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jc w:val="center"/>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拟安排的项目负责人情况（仅限一人）</w:t>
                  </w:r>
                </w:p>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jc w:val="center"/>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8</w:t>
                  </w:r>
                </w:p>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pStyle w:val="NormalWeb"/>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b/>
                      <w:bCs/>
                      <w:kern w:val="2"/>
                      <w:sz w:val="24"/>
                      <w:szCs w:val="24"/>
                      <w:lang w:val="en-US" w:eastAsia="zh-CN"/>
                    </w:rPr>
                    <w:t>（一）评分内容：</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项目负责人要求</w:t>
                  </w:r>
                  <w:r>
                    <w:rPr>
                      <w:rFonts w:ascii="宋体" w:eastAsia="宋体" w:hAnsi="宋体" w:cs="宋体" w:hint="default"/>
                      <w:kern w:val="2"/>
                      <w:sz w:val="24"/>
                      <w:szCs w:val="24"/>
                      <w:lang w:val="en-US" w:eastAsia="zh-CN"/>
                    </w:rPr>
                    <w:t>为</w:t>
                  </w:r>
                  <w:r>
                    <w:rPr>
                      <w:rFonts w:ascii="宋体" w:eastAsia="宋体" w:hAnsi="宋体" w:cs="宋体" w:hint="eastAsia"/>
                      <w:kern w:val="2"/>
                      <w:sz w:val="24"/>
                      <w:szCs w:val="24"/>
                      <w:lang w:val="en-US" w:eastAsia="zh-CN"/>
                    </w:rPr>
                    <w:t>船舶类中级（或大副、大管轮）或以上职称（或职务），且本科或以上学历，否则本项不得分。在此基础上进行评分：</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 xml:space="preserve">1.具有中华人民共和国海船船员适任证书，适任职务为船长或轮机长，适用航区为无限航区(或甲类证书）的，得40%分；适用航区为中国沿海航区（或乙类或丙类证书）的，得25%分；  </w:t>
                  </w:r>
                </w:p>
                <w:p>
                  <w:pPr>
                    <w:pStyle w:val="CommentTex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项目负责人2022年1月1日起至投标截止日期（以合同签订时间为准）负责过高速船艇管理（含托管）项目的，每个项目得30%分，续签的业绩合同可重复计分，最高60%分；负责过高速船艇以外其他船舶管理（含托管）项目的，每个项目得15%，续签的业绩合同可重复计分，最高30%。本小项最高得60%分。</w:t>
                  </w:r>
                </w:p>
                <w:p>
                  <w:pPr>
                    <w:pStyle w:val="NormalWeb"/>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kern w:val="2"/>
                      <w:sz w:val="24"/>
                      <w:szCs w:val="24"/>
                      <w:lang w:val="en-US" w:eastAsia="zh-CN"/>
                    </w:rPr>
                    <w:t>以上2项累计得分，最高得100%分。</w:t>
                  </w:r>
                </w:p>
                <w:p>
                  <w:pPr>
                    <w:pStyle w:val="NormalWeb"/>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（二）评分依据：</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要求提供通过投标人缴纳的项目负责人近三个月内任意一个月的的社保证明（如供应商为新成立单位且成立时间不足一个月的，可提供加盖公章的情况说明或者证明材料亦视为符合。如为退休返聘人员则提供劳动合同或返聘协议扫描件）。社保证明资料可为社保收缴部门盖章证明资料、社保窗口打印资料或社保官网截图。</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要求提供项目负责人上述职称/资格证书、学历证书以及学信网查询记录（原件备查）、中华人民共和国海事局官网（互联网）在线查询证书信息及证书原件扫描件。对于较早颁发的学历、学位证书，学信网无法查询的，除要求提供证书扫描件，还需提供其他佐证材料（如毕业院校、人社部门等颁发机构或监管机构等单位出具的证明），海外留学（含港澳台）人员学历无法通过学信网站查询，应当提供教育部留学服务中心出具的国外学历认证证书以及教育部留学服务中心官网查询截图；如在线查询证书信息与证书原件不一致，以在线查询信息为准。</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项目负责人负责过船舶管理（含托管）项目业绩，如为投标人自有船艇，提供船舶所有权证书及负责人在广东省水运信息网的备案证明（http://210.76.77.102:188/login）及公司任命书（海务、机务任命书）等相关材料；如为托管船舶，要求提供项目合同关键信息作为得分依据，合同有效时间必须包含在2022年1月1日起至投标截止日期止，以合同签订日期或合同中载明的履约时间为准。</w:t>
                  </w:r>
                </w:p>
                <w:p>
                  <w:pPr>
                    <w:pStyle w:val="NormalWeb"/>
                    <w:keepNext w:val="0"/>
                    <w:keepLines w:val="0"/>
                    <w:widowControl/>
                    <w:suppressLineNumbers w:val="0"/>
                    <w:spacing w:before="0" w:beforeAutospacing="0" w:after="0" w:afterAutospacing="0"/>
                    <w:ind w:left="0" w:right="0"/>
                    <w:rPr>
                      <w:rFonts w:ascii="宋体" w:eastAsia="宋体" w:hAnsi="宋体" w:cs="宋体" w:hint="eastAsia"/>
                      <w:sz w:val="24"/>
                      <w:szCs w:val="24"/>
                    </w:rPr>
                  </w:pPr>
                  <w:r>
                    <w:rPr>
                      <w:rFonts w:ascii="宋体" w:eastAsia="宋体" w:hAnsi="宋体" w:cs="宋体" w:hint="eastAsia"/>
                      <w:kern w:val="2"/>
                      <w:sz w:val="24"/>
                      <w:szCs w:val="24"/>
                      <w:lang w:val="en-US" w:eastAsia="zh-CN"/>
                    </w:rPr>
                    <w:t>4.以上资料均要求提供扫描件（或官方网站截图），原件备查。评分中出现无证明资料或专家无法凭所提供资料判断是否得分的情况，一律作不得分处理。</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default"/>
                      <w:b/>
                      <w:bCs/>
                      <w:sz w:val="24"/>
                      <w:szCs w:val="24"/>
                      <w:lang w:val="en-US" w:eastAsia="zh-CN"/>
                    </w:rPr>
                  </w:pPr>
                  <w:r>
                    <w:rPr>
                      <w:rFonts w:ascii="宋体" w:eastAsia="宋体" w:hAnsi="宋体" w:cs="宋体" w:hint="eastAsia"/>
                      <w:b/>
                      <w:bCs/>
                      <w:sz w:val="24"/>
                      <w:szCs w:val="24"/>
                      <w:lang w:eastAsia="zh-CN"/>
                    </w:rPr>
                    <w:t xml:space="preserve"> </w:t>
                  </w:r>
                  <w:r>
                    <w:rPr>
                      <w:rFonts w:ascii="宋体" w:eastAsia="宋体" w:hAnsi="宋体" w:cs="宋体" w:hint="eastAsia"/>
                      <w:b/>
                      <w:bCs/>
                      <w:sz w:val="24"/>
                      <w:szCs w:val="24"/>
                      <w:lang w:val="en-US" w:eastAsia="zh-CN"/>
                    </w:rPr>
                    <w:t xml:space="preserve"> </w:t>
                  </w: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4</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jc w:val="center"/>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拟安排的项目主要团队成员（主要技术人员）情况（项目负责人除外）</w:t>
                  </w:r>
                </w:p>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jc w:val="center"/>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14</w:t>
                  </w:r>
                </w:p>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1.高级管理员（70%分）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高级管理员至少3人或以上，其中不少于2人具有船舶类专业的中级（或大副、大管轮）或以上职称（或职务），否则本项不得分。在此基础上进行评分，项目团队成员（项目负责人除外）中：</w:t>
                  </w:r>
                </w:p>
                <w:p>
                  <w:pPr>
                    <w:pStyle w:val="NormalWeb"/>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（1）项目团队成员具有中华人民共和国高速船船员特殊培训合格证的，每提供1人得10%分，最高得20%分；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（2）项目团队成员具有本科或以上学历的，每提供1人得10%分，最高得20%分。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（3）项目团队成员具有高速船管理经验的，每提供1人得15%分，最高得30%分；具有非高速船管理经验的，每提供1人得10%分，</w:t>
                  </w:r>
                  <w:r>
                    <w:rPr>
                      <w:rFonts w:ascii="宋体" w:eastAsia="宋体" w:hAnsi="宋体" w:cs="宋体" w:hint="eastAsia"/>
                      <w:kern w:val="2"/>
                      <w:sz w:val="21"/>
                      <w:szCs w:val="21"/>
                      <w:lang w:val="en-US" w:eastAsia="zh-CN"/>
                    </w:rPr>
                    <w:t>最</w:t>
                  </w:r>
                  <w:r>
                    <w:rPr>
                      <w:rFonts w:ascii="宋体" w:eastAsia="宋体" w:hAnsi="宋体" w:cs="宋体" w:hint="eastAsia"/>
                      <w:kern w:val="2"/>
                      <w:sz w:val="24"/>
                      <w:szCs w:val="24"/>
                      <w:lang w:val="en-US" w:eastAsia="zh-CN"/>
                    </w:rPr>
                    <w:t>高得20%分。本小项最高得30%分。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以上（1）-（3）项累计得分，最高得70%分。</w:t>
                  </w:r>
                </w:p>
                <w:p>
                  <w:pPr>
                    <w:keepNext w:val="0"/>
                    <w:keepLines w:val="0"/>
                    <w:widowControl w:val="0"/>
                    <w:suppressLineNumbers w:val="0"/>
                    <w:spacing w:before="0" w:beforeAutospacing="0" w:after="0" w:afterAutospacing="0" w:line="240" w:lineRule="auto"/>
                    <w:ind w:left="0" w:right="0"/>
                    <w:jc w:val="both"/>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2.船员配备情况（30%分）</w:t>
                  </w:r>
                </w:p>
                <w:p>
                  <w:pPr>
                    <w:keepNext w:val="0"/>
                    <w:keepLines w:val="0"/>
                    <w:widowControl w:val="0"/>
                    <w:suppressLineNumbers w:val="0"/>
                    <w:spacing w:before="0" w:beforeAutospacing="0" w:after="0" w:afterAutospacing="0" w:line="240" w:lineRule="auto"/>
                    <w:ind w:left="0" w:right="0"/>
                    <w:jc w:val="both"/>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投标人提供具有中华人民共和国高速船船员特殊培训合格证的船员，每提供10人得15%分，最高得30%分。</w:t>
                  </w:r>
                </w:p>
                <w:p>
                  <w:pPr>
                    <w:keepNext w:val="0"/>
                    <w:keepLines w:val="0"/>
                    <w:widowControl w:val="0"/>
                    <w:suppressLineNumbers w:val="0"/>
                    <w:autoSpaceDE w:val="0"/>
                    <w:autoSpaceDN/>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要求提供通过投标人缴纳的项目高级管理员近三个月内任意一个月的社保证明（如供应商为新成立单位且成立时间不足一个月的，可提供加盖公章的情况说明或者证明材料亦视为符合。如为退休返聘人员则提供劳动合同或返聘协议扫描件）。社保证明资料应当至少包含医疗保险，证明资料可为社保收缴部门盖章证明资料、社保窗口打印资料或社保官网截图。</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船员如为自有人员，要求提供通过投标人缴纳的近三个月内任意一个月的社保证明（如供应商为新成立单位且成立时间不足一个月的，可提供加盖公章的情况说明或者证明材料亦视为符合）。如为非自有人员（即外包人员）要求提供有效期内的外包服务合同，以及通过外包服务公司为外包人员缴纳的近三个月内任意一个月的社保证明（如外包服务公司为新成立单位且成立时间不足一个月的，可提供加盖公章的情况说明或者证明材料亦视为符合）。前述社保证明资料可为社保收缴部门盖章证明资料、社保窗口打印资料或社保官网截图。</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要求提供上述人员职称/资格证书、中华人民共和国高速船船员特殊培训合格证、学历证书以及学信网查询记录（原件备查）。对于较早颁发的学历、学位证书，学信网无法查询的，除要求提供证书扫描件，还需提供其他佐证材料（如毕业院校、人社部门等颁发机构或监管机构等单位出具的证明），海外留学（含港澳台）人员学历无法通过学信网站查询，应当提供教育部留学服务中心出具的国外学历认证证书以及教育部留学服务中心官网查询截图。</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4.团队成员高速船管理经验，如为投标人自有船艇，提供船舶所有权证书及成员在广东省水运信息网的备案证明（http://210.76.77.102:188/login）及公司任命书（海务、机务任命书）等相关材料；如为托管船舶，要求提供项目合同关键信息作为得分依据，合同有效时间必须包含在2022年1月1日起至投标截止日期止，以合同签订日期或合同中载明的履约时间为准。</w:t>
                  </w:r>
                </w:p>
                <w:p>
                  <w:pPr>
                    <w:keepNext w:val="0"/>
                    <w:keepLines w:val="0"/>
                    <w:widowControl w:val="0"/>
                    <w:suppressLineNumbers w:val="0"/>
                    <w:autoSpaceDE w:val="0"/>
                    <w:autoSpaceDN/>
                    <w:spacing w:before="0" w:beforeAutospacing="0" w:after="0" w:afterAutospacing="0" w:line="240" w:lineRule="auto"/>
                    <w:ind w:left="0" w:right="0" w:leftChars="0" w:rightChars="0"/>
                    <w:jc w:val="left"/>
                    <w:rPr>
                      <w:rFonts w:ascii="宋体" w:eastAsia="宋体" w:hAnsi="宋体" w:cs="宋体" w:hint="eastAsia"/>
                      <w:sz w:val="24"/>
                      <w:szCs w:val="24"/>
                    </w:rPr>
                  </w:pPr>
                  <w:r>
                    <w:rPr>
                      <w:rFonts w:ascii="宋体" w:eastAsia="宋体" w:hAnsi="宋体" w:cs="宋体" w:hint="eastAsia"/>
                      <w:kern w:val="2"/>
                      <w:sz w:val="24"/>
                      <w:szCs w:val="24"/>
                      <w:lang w:val="en-US" w:eastAsia="zh-CN"/>
                    </w:rPr>
                    <w:t>5.以上资料均要求提供扫描件（或官方网站截图），原件备查。评分中出现无证明资料或专家无法凭所提供资料判断是否得分的情况，一律作不得分处理。</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5</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项目拟使用的场地、工具、机器等情况</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5</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autoSpaceDE w:val="0"/>
                    <w:autoSpaceDN/>
                    <w:spacing w:before="0" w:beforeAutospacing="0" w:after="0" w:afterAutospacing="0" w:line="240" w:lineRule="auto"/>
                    <w:ind w:left="0" w:right="0"/>
                    <w:jc w:val="both"/>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当发生紧急情况时，投标人能于4小时内提供替代执行引航任务的船艇情况：</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1.能提供3艘或以上替代执行引航任务的船艇的得100%分；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2.能提供2艘替代执行引航任务的船艇的得80%分；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3.能提供1艘替代执行引航任务的船艇的得40%分。</w:t>
                  </w:r>
                </w:p>
                <w:p>
                  <w:pPr>
                    <w:keepNext w:val="0"/>
                    <w:keepLines w:val="0"/>
                    <w:widowControl w:val="0"/>
                    <w:suppressLineNumbers w:val="0"/>
                    <w:autoSpaceDE w:val="0"/>
                    <w:autoSpaceDN/>
                    <w:spacing w:before="0" w:beforeAutospacing="0" w:after="0" w:afterAutospacing="0" w:line="240" w:lineRule="auto"/>
                    <w:ind w:left="0" w:right="0"/>
                    <w:jc w:val="both"/>
                    <w:rPr>
                      <w:rFonts w:ascii="宋体" w:eastAsia="宋体" w:hAnsi="宋体" w:cs="宋体" w:hint="eastAsia"/>
                      <w:b/>
                      <w:bCs/>
                      <w:kern w:val="2"/>
                      <w:sz w:val="24"/>
                      <w:szCs w:val="24"/>
                    </w:rPr>
                  </w:pPr>
                  <w:r>
                    <w:rPr>
                      <w:rFonts w:ascii="宋体" w:eastAsia="宋体" w:hAnsi="宋体" w:cs="宋体" w:hint="eastAsia"/>
                      <w:kern w:val="2"/>
                      <w:sz w:val="24"/>
                      <w:szCs w:val="24"/>
                      <w:lang w:val="en-US" w:eastAsia="zh-CN"/>
                    </w:rPr>
                    <w:t>其他情况不得分。</w:t>
                  </w:r>
                </w:p>
                <w:p>
                  <w:pPr>
                    <w:keepNext w:val="0"/>
                    <w:keepLines w:val="0"/>
                    <w:widowControl w:val="0"/>
                    <w:suppressLineNumbers w:val="0"/>
                    <w:autoSpaceDE w:val="0"/>
                    <w:autoSpaceDN/>
                    <w:spacing w:before="0" w:beforeAutospacing="0" w:after="0" w:afterAutospacing="0" w:line="240" w:lineRule="auto"/>
                    <w:ind w:left="0" w:right="0"/>
                    <w:jc w:val="both"/>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1.本项所指“替代执行引航艇任务的船艇”定义为：长度介于10米（含10米）至50米（含50米）的拖轮或高速船艇。</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2.自有船艇（适合接送引航员）提供所有权证书；</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3.非自有船艇提供租赁合同或协议（主要页面包含不限于合同合作双方盖章页、合作时间页、合作内容页等）及被租赁船艇的国籍证书或所有权证书，且租赁期限需覆盖本项目合同服务期限，如未能覆盖本项目合同服务期限，须承诺到期后继续租赁满足项目需求的船艇（提供承诺函，格式自拟）。不提供或提供的材料不满足要求不得分；</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4.提供4小时内提供替代船艇的承诺函（格式自拟）作为得分依据；不提供不得分。</w:t>
                  </w:r>
                </w:p>
                <w:p>
                  <w:pPr>
                    <w:keepNext w:val="0"/>
                    <w:keepLines w:val="0"/>
                    <w:widowControl w:val="0"/>
                    <w:suppressLineNumbers w:val="0"/>
                    <w:autoSpaceDE w:val="0"/>
                    <w:autoSpaceDN/>
                    <w:spacing w:before="0" w:beforeAutospacing="0" w:after="0" w:afterAutospacing="0" w:line="240" w:lineRule="auto"/>
                    <w:ind w:left="0" w:right="0" w:leftChars="0" w:rightChars="0"/>
                    <w:jc w:val="both"/>
                    <w:rPr>
                      <w:rFonts w:ascii="宋体" w:eastAsia="宋体" w:hAnsi="宋体" w:cs="宋体" w:hint="eastAsia"/>
                      <w:sz w:val="24"/>
                      <w:szCs w:val="24"/>
                    </w:rPr>
                  </w:pPr>
                  <w:r>
                    <w:rPr>
                      <w:rFonts w:ascii="宋体" w:eastAsia="宋体" w:hAnsi="宋体" w:cs="宋体" w:hint="eastAsia"/>
                      <w:kern w:val="2"/>
                      <w:sz w:val="24"/>
                      <w:szCs w:val="24"/>
                      <w:lang w:val="en-US" w:eastAsia="zh-CN"/>
                    </w:rPr>
                    <w:t>5.以上资料均要求提供扫描件（或官方网站截图），原件备查。评分中出现无证明资料或专家无法凭所提供资料判断是否得分的情况，一律作不得分处理。</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lang w:val="en-US" w:eastAsia="zh-CN"/>
                    </w:rPr>
                  </w:pPr>
                  <w:r>
                    <w:rPr>
                      <w:rFonts w:ascii="宋体" w:eastAsia="宋体" w:hAnsi="宋体" w:cs="宋体" w:hint="eastAsia"/>
                      <w:sz w:val="24"/>
                      <w:szCs w:val="24"/>
                      <w:lang w:val="en-US" w:eastAsia="zh-CN"/>
                    </w:rPr>
                    <w:t>6</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rPr>
                  </w:pPr>
                  <w:r>
                    <w:rPr>
                      <w:rFonts w:ascii="宋体" w:eastAsia="宋体" w:hAnsi="宋体" w:cs="宋体" w:hint="eastAsia"/>
                      <w:kern w:val="2"/>
                      <w:sz w:val="24"/>
                      <w:szCs w:val="24"/>
                      <w:lang w:val="en-US" w:eastAsia="zh-CN"/>
                    </w:rPr>
                    <w:t>具备船艇维修保障技术力量情况</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widowControl w:val="0"/>
                    <w:suppressLineNumbers w:val="0"/>
                    <w:autoSpaceDE w:val="0"/>
                    <w:autoSpaceDN/>
                    <w:spacing w:before="0" w:beforeAutospacing="0" w:after="0" w:afterAutospacing="0" w:line="240" w:lineRule="auto"/>
                    <w:ind w:left="0" w:right="0" w:leftChars="0" w:rightChars="0"/>
                    <w:jc w:val="center"/>
                    <w:rPr>
                      <w:rFonts w:ascii="宋体" w:eastAsia="宋体" w:hAnsi="宋体" w:cs="宋体" w:hint="eastAsia"/>
                      <w:sz w:val="24"/>
                      <w:szCs w:val="24"/>
                      <w:lang w:val="en-US" w:eastAsia="zh-CN"/>
                    </w:rPr>
                  </w:pPr>
                  <w:r>
                    <w:rPr>
                      <w:rFonts w:ascii="宋体" w:eastAsia="宋体" w:hAnsi="宋体" w:cs="宋体" w:hint="eastAsia"/>
                      <w:kern w:val="2"/>
                      <w:sz w:val="24"/>
                      <w:szCs w:val="24"/>
                      <w:lang w:val="en-US" w:eastAsia="zh-CN"/>
                    </w:rPr>
                    <w:t>5</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（一）评分内容：</w:t>
                  </w:r>
                </w:p>
                <w:p>
                  <w:pPr>
                    <w:keepNext w:val="0"/>
                    <w:keepLines w:val="0"/>
                    <w:widowControl w:val="0"/>
                    <w:suppressLineNumbers w:val="0"/>
                    <w:spacing w:before="0" w:beforeAutospacing="0" w:after="0" w:afterAutospacing="0" w:line="240" w:lineRule="auto"/>
                    <w:ind w:left="0" w:right="0"/>
                    <w:jc w:val="both"/>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投标人具备船艇维修技术人员，能及时对船艇设备突发故障进行维修：</w:t>
                  </w:r>
                </w:p>
                <w:p>
                  <w:pPr>
                    <w:keepNext w:val="0"/>
                    <w:keepLines w:val="0"/>
                    <w:widowControl w:val="0"/>
                    <w:suppressLineNumbers w:val="0"/>
                    <w:spacing w:before="0" w:beforeAutospacing="0" w:after="0" w:afterAutospacing="0" w:line="240" w:lineRule="auto"/>
                    <w:ind w:left="0" w:right="0"/>
                    <w:jc w:val="both"/>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1.技术人员持有参加船舶主机设备厂家维修相关培训的证书：</w:t>
                  </w:r>
                </w:p>
                <w:p>
                  <w:pPr>
                    <w:keepNext w:val="0"/>
                    <w:keepLines w:val="0"/>
                    <w:widowControl w:val="0"/>
                    <w:suppressLineNumbers w:val="0"/>
                    <w:spacing w:before="0" w:beforeAutospacing="0" w:after="0" w:afterAutospacing="0" w:line="240" w:lineRule="auto"/>
                    <w:ind w:left="0" w:right="0"/>
                    <w:jc w:val="both"/>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提供一名自有人员或非自有人员（外包人员）得30%分，最高得60%分数。同一成员具有不同企业的培训证书，可重复计分，但最多不超过60%分；</w:t>
                  </w:r>
                </w:p>
                <w:p>
                  <w:pPr>
                    <w:keepNext w:val="0"/>
                    <w:keepLines w:val="0"/>
                    <w:widowControl w:val="0"/>
                    <w:suppressLineNumbers w:val="0"/>
                    <w:spacing w:before="0" w:beforeAutospacing="0" w:after="0" w:afterAutospacing="0" w:line="240" w:lineRule="auto"/>
                    <w:ind w:left="0" w:right="0"/>
                    <w:jc w:val="both"/>
                    <w:rPr>
                      <w:rFonts w:ascii="宋体" w:eastAsia="宋体" w:hAnsi="宋体" w:cs="宋体" w:hint="eastAsia"/>
                      <w:kern w:val="2"/>
                      <w:sz w:val="24"/>
                      <w:szCs w:val="24"/>
                    </w:rPr>
                  </w:pPr>
                  <w:r>
                    <w:rPr>
                      <w:rFonts w:ascii="宋体" w:eastAsia="宋体" w:hAnsi="宋体" w:cs="宋体" w:hint="eastAsia"/>
                      <w:kern w:val="2"/>
                      <w:sz w:val="21"/>
                      <w:szCs w:val="21"/>
                      <w:lang w:val="en-US" w:eastAsia="zh-CN"/>
                    </w:rPr>
                    <w:t>2.</w:t>
                  </w:r>
                  <w:r>
                    <w:rPr>
                      <w:rFonts w:eastAsia="宋体" w:hint="eastAsia"/>
                      <w:lang w:eastAsia="zh-CN"/>
                    </w:rPr>
                    <w:t>投标人</w:t>
                  </w:r>
                  <w:r>
                    <w:rPr>
                      <w:rFonts w:ascii="宋体" w:eastAsia="宋体" w:hAnsi="宋体" w:cs="宋体" w:hint="eastAsia"/>
                      <w:kern w:val="2"/>
                      <w:sz w:val="24"/>
                      <w:szCs w:val="24"/>
                      <w:lang w:val="en-US" w:eastAsia="zh-CN"/>
                    </w:rPr>
                    <w:t>具有船舶主机设备维修经验，每提供一份维修合同或维修报告，且合同或维修报告里能体现有上述评分项1的技术人员参与的，得20%分，最高得40%分数</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b/>
                      <w:bCs/>
                      <w:kern w:val="2"/>
                      <w:sz w:val="24"/>
                      <w:szCs w:val="24"/>
                    </w:rPr>
                  </w:pPr>
                  <w:r>
                    <w:rPr>
                      <w:rFonts w:ascii="宋体" w:eastAsia="宋体" w:hAnsi="宋体" w:cs="宋体" w:hint="eastAsia"/>
                      <w:b/>
                      <w:bCs/>
                      <w:kern w:val="2"/>
                      <w:sz w:val="24"/>
                      <w:szCs w:val="24"/>
                      <w:lang w:val="en-US" w:eastAsia="zh-CN"/>
                    </w:rPr>
                    <w:t>（二）评分依据：</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1.自有人员要求提供通过投标人缴纳的技术人员近三个月内任意一个月的社保证明（如供应商为新成立单位且成立时间不足一个月的，可提供加盖公章的情况说明或者证明材料亦视为符合。如为退休返聘人员则提供劳动合同或返聘协议扫描件）。非自有人员（外包人员）要求提供有效期内的外包服务合同，以及通过外包服务公司为外包技术人员缴纳的近三个月内任意一个月的社保证明（如外包服务公司为新成立单位且成立时间不足一个月的，可提供加盖公章的情况说明或者证明材料亦视为符合。如为退休返聘人员则提供劳动合同或返聘协议扫描件）。社保证明资料可为社保收缴部门盖章证明资料、社保窗口打印资料或社保官网截图。</w:t>
                  </w:r>
                </w:p>
                <w:p>
                  <w:pPr>
                    <w:keepNext w:val="0"/>
                    <w:keepLines w:val="0"/>
                    <w:widowControl w:val="0"/>
                    <w:suppressLineNumbers w:val="0"/>
                    <w:spacing w:before="0" w:beforeAutospacing="0" w:after="0" w:afterAutospacing="0" w:line="240" w:lineRule="auto"/>
                    <w:ind w:left="0" w:right="0"/>
                    <w:jc w:val="left"/>
                    <w:rPr>
                      <w:rFonts w:ascii="宋体" w:eastAsia="宋体" w:hAnsi="宋体" w:cs="宋体" w:hint="eastAsia"/>
                      <w:kern w:val="2"/>
                      <w:sz w:val="24"/>
                      <w:szCs w:val="24"/>
                    </w:rPr>
                  </w:pPr>
                  <w:r>
                    <w:rPr>
                      <w:rFonts w:ascii="宋体" w:eastAsia="宋体" w:hAnsi="宋体" w:cs="宋体" w:hint="eastAsia"/>
                      <w:kern w:val="2"/>
                      <w:sz w:val="24"/>
                      <w:szCs w:val="24"/>
                      <w:lang w:val="en-US" w:eastAsia="zh-CN"/>
                    </w:rPr>
                    <w:t>2.要求提供技术人员有效期内的相关证书；主机维修经验，要求提供维修合同或维修报告关键信息作为得分依据。</w:t>
                  </w:r>
                </w:p>
                <w:p>
                  <w:pPr>
                    <w:keepNext w:val="0"/>
                    <w:keepLines w:val="0"/>
                    <w:widowControl w:val="0"/>
                    <w:suppressLineNumbers w:val="0"/>
                    <w:autoSpaceDE w:val="0"/>
                    <w:autoSpaceDN/>
                    <w:spacing w:before="0" w:beforeAutospacing="0" w:after="0" w:afterAutospacing="0" w:line="240" w:lineRule="auto"/>
                    <w:ind w:left="0" w:right="0" w:leftChars="0" w:rightChars="0"/>
                    <w:jc w:val="both"/>
                    <w:rPr>
                      <w:rFonts w:ascii="宋体" w:eastAsia="宋体" w:hAnsi="宋体" w:cs="宋体" w:hint="eastAsia"/>
                      <w:sz w:val="24"/>
                      <w:szCs w:val="24"/>
                    </w:rPr>
                  </w:pPr>
                  <w:r>
                    <w:rPr>
                      <w:rFonts w:ascii="宋体" w:eastAsia="宋体" w:hAnsi="宋体" w:cs="宋体" w:hint="eastAsia"/>
                      <w:kern w:val="2"/>
                      <w:sz w:val="24"/>
                      <w:szCs w:val="24"/>
                      <w:lang w:val="en-US" w:eastAsia="zh-CN"/>
                    </w:rPr>
                    <w:t>3.以上资料均要求提供扫描件（或官方网站截图），原件备查。评分中出现无证明资料或专家无法凭所提供资料判断是否得分的情况，一律作不得分处理。</w:t>
                  </w:r>
                </w:p>
              </w:tc>
            </w:tr>
            <w:tr>
              <w:tblPrEx>
                <w:tblW w:w="8962" w:type="dxa"/>
                <w:jc w:val="center"/>
                <w:tblLayout w:type="fixed"/>
                <w:tblCellMar>
                  <w:top w:w="20" w:type="dxa"/>
                  <w:left w:w="108" w:type="dxa"/>
                  <w:bottom w:w="20" w:type="dxa"/>
                  <w:right w:w="108" w:type="dxa"/>
                </w:tblCellMar>
              </w:tblPrEx>
              <w:trPr>
                <w:jc w:val="center"/>
              </w:trPr>
              <w:tc>
                <w:tcPr>
                  <w:tcW w:w="474" w:type="dxa"/>
                  <w:tcBorders>
                    <w:top w:val="single" w:sz="8" w:space="0" w:color="000000"/>
                    <w:left w:val="single" w:sz="8" w:space="0" w:color="000000"/>
                    <w:bottom w:val="single" w:sz="4" w:space="0" w:color="auto"/>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4</w:t>
                  </w:r>
                </w:p>
              </w:tc>
              <w:tc>
                <w:tcPr>
                  <w:tcW w:w="2268" w:type="dxa"/>
                  <w:gridSpan w:val="3"/>
                  <w:tcBorders>
                    <w:top w:val="single" w:sz="8" w:space="0" w:color="000000"/>
                    <w:left w:val="single" w:sz="8" w:space="0" w:color="000000"/>
                    <w:bottom w:val="single" w:sz="4" w:space="0" w:color="auto"/>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诚信情况</w:t>
                  </w:r>
                </w:p>
              </w:tc>
              <w:tc>
                <w:tcPr>
                  <w:tcW w:w="6220" w:type="dxa"/>
                  <w:tcBorders>
                    <w:top w:val="single" w:sz="8" w:space="0" w:color="000000"/>
                    <w:left w:val="single" w:sz="8" w:space="0" w:color="000000"/>
                    <w:bottom w:val="single" w:sz="4" w:space="0" w:color="auto"/>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b/>
                      <w:bCs/>
                      <w:sz w:val="24"/>
                      <w:szCs w:val="24"/>
                    </w:rPr>
                  </w:pPr>
                  <w:r>
                    <w:rPr>
                      <w:rFonts w:ascii="宋体" w:eastAsia="宋体" w:hAnsi="宋体" w:cs="宋体" w:hint="eastAsia"/>
                      <w:b/>
                      <w:bCs/>
                      <w:sz w:val="24"/>
                      <w:szCs w:val="24"/>
                    </w:rPr>
                    <w:t>5</w:t>
                  </w:r>
                </w:p>
              </w:tc>
            </w:tr>
            <w:tr>
              <w:tblPrEx>
                <w:tblW w:w="8962" w:type="dxa"/>
                <w:jc w:val="center"/>
                <w:tblLayout w:type="fixed"/>
                <w:tblCellMar>
                  <w:top w:w="20" w:type="dxa"/>
                  <w:left w:w="108" w:type="dxa"/>
                  <w:bottom w:w="20" w:type="dxa"/>
                  <w:right w:w="108" w:type="dxa"/>
                </w:tblCellMar>
              </w:tblPrEx>
              <w:trPr>
                <w:jc w:val="center"/>
              </w:trPr>
              <w:tc>
                <w:tcPr>
                  <w:tcW w:w="474" w:type="dxa"/>
                  <w:vMerge w:val="restart"/>
                  <w:tcBorders>
                    <w:top w:val="single" w:sz="8" w:space="0" w:color="000000"/>
                    <w:left w:val="single" w:sz="8" w:space="0" w:color="000000"/>
                    <w:bottom w:val="single" w:sz="8" w:space="0" w:color="000000"/>
                    <w:right w:val="single" w:sz="8"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序号</w:t>
                  </w:r>
                </w:p>
              </w:tc>
              <w:tc>
                <w:tcPr>
                  <w:tcW w:w="992"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lang w:eastAsia="zh-CN"/>
                    </w:rPr>
                  </w:pPr>
                  <w:r>
                    <w:rPr>
                      <w:rFonts w:ascii="宋体" w:eastAsia="宋体" w:hAnsi="宋体" w:cs="宋体" w:hint="eastAsia"/>
                      <w:sz w:val="24"/>
                      <w:szCs w:val="24"/>
                      <w:lang w:eastAsia="zh-CN"/>
                    </w:rPr>
                    <w:t>评审因素</w:t>
                  </w:r>
                </w:p>
              </w:tc>
              <w:tc>
                <w:tcPr>
                  <w:tcW w:w="803"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权重(%)</w:t>
                  </w:r>
                </w:p>
              </w:tc>
              <w:tc>
                <w:tcPr>
                  <w:tcW w:w="6220" w:type="dxa"/>
                  <w:tcBorders>
                    <w:top w:val="outset" w:sz="6" w:space="0" w:color="000000"/>
                    <w:left w:val="outset" w:sz="6" w:space="0" w:color="000000"/>
                    <w:bottom w:val="outset" w:sz="6" w:space="0" w:color="000000"/>
                    <w:right w:val="outset" w:sz="6" w:space="0" w:color="000000"/>
                  </w:tcBorders>
                  <w:shd w:val="clear" w:color="auto" w:fill="E6EFF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评分准则</w:t>
                  </w:r>
                </w:p>
              </w:tc>
            </w:tr>
            <w:tr>
              <w:tblPrEx>
                <w:tblW w:w="8962" w:type="dxa"/>
                <w:jc w:val="center"/>
                <w:tblLayout w:type="fixed"/>
                <w:tblCellMar>
                  <w:top w:w="20" w:type="dxa"/>
                  <w:left w:w="108" w:type="dxa"/>
                  <w:bottom w:w="20" w:type="dxa"/>
                  <w:right w:w="108" w:type="dxa"/>
                </w:tblCellMar>
              </w:tblPrEx>
              <w:trPr>
                <w:jc w:val="center"/>
              </w:trPr>
              <w:tc>
                <w:tcPr>
                  <w:tcW w:w="474" w:type="dxa"/>
                  <w:vMerge/>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textAlignment w:val="auto"/>
                    <w:rPr>
                      <w:rFonts w:ascii="宋体" w:eastAsia="宋体" w:hAnsi="宋体" w:cs="宋体" w:hint="eastAsia"/>
                      <w:b/>
                      <w:bCs/>
                      <w:sz w:val="24"/>
                      <w:szCs w:val="24"/>
                    </w:rPr>
                  </w:pPr>
                </w:p>
              </w:tc>
              <w:tc>
                <w:tcPr>
                  <w:tcW w:w="47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1</w:t>
                  </w:r>
                </w:p>
              </w:tc>
              <w:tc>
                <w:tcPr>
                  <w:tcW w:w="992"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市财政局诚信管理情况</w:t>
                  </w:r>
                </w:p>
              </w:tc>
              <w:tc>
                <w:tcPr>
                  <w:tcW w:w="803" w:type="dxa"/>
                  <w:tcBorders>
                    <w:top w:val="single" w:sz="8" w:space="0" w:color="000000"/>
                    <w:left w:val="single" w:sz="8" w:space="0" w:color="000000"/>
                    <w:bottom w:val="single" w:sz="8" w:space="0" w:color="000000"/>
                    <w:right w:val="single" w:sz="8" w:space="0" w:color="00000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ascii="宋体" w:eastAsia="宋体" w:hAnsi="宋体" w:cs="宋体" w:hint="eastAsia"/>
                      <w:sz w:val="24"/>
                      <w:szCs w:val="24"/>
                    </w:rPr>
                  </w:pPr>
                  <w:r>
                    <w:rPr>
                      <w:rFonts w:ascii="宋体" w:eastAsia="宋体" w:hAnsi="宋体" w:cs="宋体" w:hint="eastAsia"/>
                      <w:sz w:val="24"/>
                      <w:szCs w:val="24"/>
                    </w:rPr>
                    <w:t>5</w:t>
                  </w:r>
                </w:p>
              </w:tc>
              <w:tc>
                <w:tcPr>
                  <w:tcW w:w="6220" w:type="dxa"/>
                  <w:tcBorders>
                    <w:top w:val="single" w:sz="8" w:space="0" w:color="000000"/>
                    <w:left w:val="single" w:sz="8" w:space="0" w:color="000000"/>
                    <w:bottom w:val="single" w:sz="8" w:space="0" w:color="000000"/>
                    <w:right w:val="single" w:sz="8" w:space="0" w:color="000000"/>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ascii="宋体" w:eastAsia="宋体" w:hAnsi="宋体" w:cs="宋体" w:hint="eastAsia"/>
                      <w:sz w:val="24"/>
                      <w:szCs w:val="24"/>
                    </w:rPr>
                  </w:pPr>
                  <w:r>
                    <w:rPr>
                      <w:rFonts w:ascii="宋体" w:eastAsia="宋体" w:hAnsi="宋体" w:cs="宋体" w:hint="eastAsia"/>
                      <w:sz w:val="24"/>
                      <w:szCs w:val="24"/>
                    </w:rPr>
                    <w:t>（一）评分内容：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ascii="宋体" w:eastAsia="宋体" w:hAnsi="宋体" w:cs="宋体" w:hint="eastAsia"/>
                      <w:sz w:val="24"/>
                      <w:szCs w:val="24"/>
                    </w:rPr>
                  </w:pPr>
                  <w:r>
                    <w:rPr>
                      <w:rFonts w:ascii="宋体" w:eastAsia="宋体" w:hAnsi="宋体" w:cs="宋体" w:hint="eastAsia"/>
                      <w:sz w:val="24"/>
                      <w:szCs w:val="24"/>
                    </w:rPr>
                    <w:t>根据《深圳市财政局关于印发&lt;深圳市财政局政府采购供应商信用信息管理办法&gt;的通知》（深财规〔2023〕3号）相关规定，如供应商在全国范围内存在因政府采购违法、违规行为受到财政部门罚款等一般行政处罚信息，或者存在该办法第十一条所称在本市集中采购活动中的一般违法失信行为记录信息，且在公示期内的，本项不得分，否则得5分。</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ascii="宋体" w:eastAsia="宋体" w:hAnsi="宋体" w:cs="宋体" w:hint="eastAsia"/>
                      <w:sz w:val="24"/>
                      <w:szCs w:val="24"/>
                    </w:rPr>
                  </w:pPr>
                  <w:r>
                    <w:rPr>
                      <w:rFonts w:ascii="宋体" w:eastAsia="宋体" w:hAnsi="宋体" w:cs="宋体" w:hint="eastAsia"/>
                      <w:sz w:val="24"/>
                      <w:szCs w:val="24"/>
                    </w:rPr>
                    <w:t>（二）评分依据:</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ascii="宋体" w:eastAsia="宋体" w:hAnsi="宋体" w:cs="宋体" w:hint="eastAsia"/>
                      <w:sz w:val="24"/>
                      <w:szCs w:val="24"/>
                    </w:rPr>
                  </w:pPr>
                  <w:r>
                    <w:rPr>
                      <w:rFonts w:ascii="宋体" w:eastAsia="宋体" w:hAnsi="宋体" w:cs="宋体" w:hint="eastAsia"/>
                      <w:sz w:val="24"/>
                      <w:szCs w:val="24"/>
                    </w:rPr>
                    <w:t>采购代理机构通过“信用中国”、“中国政府采购网”、“深圳市政府采购监管网”以及市、区财政部门认定的其他渠道查询供应商信用信息，投标人无需提供证明材料。</w:t>
                  </w:r>
                </w:p>
              </w:tc>
            </w:tr>
          </w:tbl>
          <w:p>
            <w:pPr>
              <w:pStyle w:val="NormalWeb"/>
              <w:keepNext w:val="0"/>
              <w:keepLines w:val="0"/>
              <w:pageBreakBefore w:val="0"/>
              <w:widowControl/>
              <w:suppressLineNumbers w:val="0"/>
              <w:kinsoku/>
              <w:overflowPunct/>
              <w:topLinePunct w:val="0"/>
              <w:autoSpaceDE/>
              <w:autoSpaceDN/>
              <w:bidi w:val="0"/>
              <w:adjustRightInd/>
              <w:snapToGrid/>
              <w:spacing w:before="0" w:beforeAutospacing="0" w:after="0" w:afterAutospacing="0" w:line="240" w:lineRule="auto"/>
              <w:ind w:left="420" w:right="0"/>
              <w:textAlignment w:val="auto"/>
              <w:rPr>
                <w:rFonts w:ascii="宋体" w:eastAsia="宋体" w:hAnsi="宋体" w:cs="宋体" w:hint="eastAsia"/>
                <w:color w:val="000000" w:themeColor="text1"/>
                <w:sz w:val="24"/>
                <w:szCs w:val="24"/>
                <w14:textFill>
                  <w14:solidFill>
                    <w14:schemeClr w14:val="tx1"/>
                  </w14:solidFill>
                </w14:textFill>
              </w:rPr>
            </w:pPr>
          </w:p>
        </w:tc>
      </w:tr>
    </w:tbl>
    <w:p>
      <w:pPr>
        <w:rPr>
          <w:vanish/>
          <w:color w:val="000000" w:themeColor="text1"/>
          <w14:textFill>
            <w14:solidFill>
              <w14:schemeClr w14:val="tx1"/>
            </w14:solidFill>
          </w14:textFill>
        </w:rPr>
      </w:pPr>
    </w:p>
    <w:p>
      <w:pPr>
        <w:rPr>
          <w:rFonts w:eastAsia="黑体"/>
        </w:rPr>
      </w:pPr>
    </w:p>
    <w:p>
      <w:pPr>
        <w:rPr>
          <w:rFonts w:eastAsia="黑体"/>
        </w:rPr>
      </w:pPr>
    </w:p>
    <w:p>
      <w:pPr>
        <w:rPr>
          <w:rFonts w:eastAsia="黑体"/>
        </w:rPr>
      </w:pPr>
      <w:r>
        <w:rPr>
          <w:rFonts w:eastAsia="黑体"/>
        </w:rPr>
        <w:br w:type="page"/>
      </w:r>
    </w:p>
    <w:p>
      <w:pPr>
        <w:pStyle w:val="NormalWeb"/>
        <w:spacing w:line="360" w:lineRule="auto"/>
        <w:jc w:val="center"/>
        <w:outlineLvl w:val="1"/>
        <w:rPr>
          <w:rFonts w:ascii="黑体" w:eastAsia="黑体" w:hAnsi="黑体"/>
          <w:color w:val="000000" w:themeColor="text1"/>
          <w:sz w:val="40"/>
          <w:szCs w:val="40"/>
          <w14:textFill>
            <w14:solidFill>
              <w14:schemeClr w14:val="tx1"/>
            </w14:solidFill>
          </w14:textFill>
        </w:rPr>
      </w:pPr>
      <w:r>
        <w:rPr>
          <w:rFonts w:ascii="黑体" w:eastAsia="黑体" w:hAnsi="黑体" w:hint="eastAsia"/>
          <w:color w:val="000000" w:themeColor="text1"/>
          <w:sz w:val="40"/>
          <w:szCs w:val="40"/>
          <w14:textFill>
            <w14:solidFill>
              <w14:schemeClr w14:val="tx1"/>
            </w14:solidFill>
          </w14:textFill>
        </w:rPr>
        <w:t>投标书目录</w:t>
      </w:r>
    </w:p>
    <w:tbl>
      <w:tblPr>
        <w:tblStyle w:val="TableNormal"/>
        <w:tblW w:w="9072" w:type="dxa"/>
        <w:jc w:val="center"/>
        <w:tblCellSpacing w:w="0" w:type="dxa"/>
        <w:tblLayout w:type="fixed"/>
        <w:tblCellMar>
          <w:top w:w="45" w:type="dxa"/>
          <w:left w:w="45" w:type="dxa"/>
          <w:bottom w:w="45" w:type="dxa"/>
          <w:right w:w="45" w:type="dxa"/>
        </w:tblCellMar>
      </w:tblPr>
      <w:tblGrid>
        <w:gridCol w:w="9072"/>
      </w:tblGrid>
      <w:tr>
        <w:tblPrEx>
          <w:tblW w:w="9072" w:type="dxa"/>
          <w:jc w:val="center"/>
          <w:tblCellSpacing w:w="0" w:type="dxa"/>
          <w:tblLayout w:type="fixed"/>
          <w:tblCellMar>
            <w:top w:w="45" w:type="dxa"/>
            <w:left w:w="45" w:type="dxa"/>
            <w:bottom w:w="45" w:type="dxa"/>
            <w:right w:w="45" w:type="dxa"/>
          </w:tblCellMar>
        </w:tblPrEx>
        <w:trPr>
          <w:trHeight w:val="11432"/>
          <w:tblCellSpacing w:w="0" w:type="dxa"/>
          <w:jc w:val="center"/>
        </w:trPr>
        <w:tc>
          <w:tcPr>
            <w:tcW w:w="9072" w:type="dxa"/>
            <w:vAlign w:val="center"/>
          </w:tcPr>
          <w:p>
            <w:pPr>
              <w:keepNext w:val="0"/>
              <w:keepLines w:val="0"/>
              <w:widowControl/>
              <w:suppressLineNumbers w:val="0"/>
              <w:spacing w:before="0" w:beforeAutospacing="0" w:after="0" w:afterAutospacing="0"/>
              <w:ind w:left="0" w:right="0"/>
              <w:outlineLvl w:val="1"/>
              <w:rPr>
                <w:rFonts w:ascii="宋体" w:hAnsi="宋体" w:hint="default"/>
                <w:b/>
                <w:bCs/>
                <w:color w:val="FF0000"/>
                <w:sz w:val="28"/>
                <w:szCs w:val="28"/>
              </w:rPr>
            </w:pPr>
            <w:r>
              <w:rPr>
                <w:rFonts w:ascii="宋体" w:hAnsi="宋体" w:hint="eastAsia"/>
                <w:b/>
                <w:bCs/>
                <w:color w:val="FF0000"/>
                <w:sz w:val="28"/>
                <w:szCs w:val="28"/>
              </w:rPr>
              <w:t>1.投标文件正文（信息公开部分）：</w:t>
            </w:r>
          </w:p>
          <w:p>
            <w:pPr>
              <w:keepNext w:val="0"/>
              <w:keepLines w:val="0"/>
              <w:widowControl/>
              <w:suppressLineNumbers w:val="0"/>
              <w:spacing w:before="0" w:beforeAutospacing="0" w:after="0" w:afterAutospacing="0"/>
              <w:ind w:left="0" w:right="0"/>
              <w:outlineLvl w:val="1"/>
              <w:rPr>
                <w:rFonts w:ascii="宋体" w:hAnsi="宋体" w:hint="default"/>
                <w:sz w:val="28"/>
                <w:szCs w:val="28"/>
              </w:rPr>
            </w:pPr>
            <w:r>
              <w:rPr>
                <w:rFonts w:ascii="宋体" w:hAnsi="宋体" w:hint="eastAsia"/>
                <w:sz w:val="28"/>
                <w:szCs w:val="28"/>
              </w:rPr>
              <w:t>（1）投标函</w:t>
            </w:r>
          </w:p>
          <w:p>
            <w:pPr>
              <w:keepNext w:val="0"/>
              <w:keepLines w:val="0"/>
              <w:widowControl/>
              <w:suppressLineNumbers w:val="0"/>
              <w:spacing w:before="0" w:beforeAutospacing="0" w:after="0" w:afterAutospacing="0"/>
              <w:ind w:left="0" w:right="0"/>
              <w:outlineLvl w:val="1"/>
              <w:rPr>
                <w:rFonts w:ascii="宋体" w:hAnsi="宋体" w:hint="default"/>
                <w:sz w:val="28"/>
                <w:szCs w:val="28"/>
              </w:rPr>
            </w:pPr>
            <w:r>
              <w:rPr>
                <w:rFonts w:ascii="宋体" w:hAnsi="宋体" w:hint="eastAsia"/>
                <w:sz w:val="28"/>
                <w:szCs w:val="28"/>
              </w:rPr>
              <w:t>（2）政府采购投标及履约承诺函</w:t>
            </w:r>
          </w:p>
          <w:p>
            <w:pPr>
              <w:keepNext w:val="0"/>
              <w:keepLines w:val="0"/>
              <w:widowControl/>
              <w:suppressLineNumbers w:val="0"/>
              <w:spacing w:before="0" w:beforeAutospacing="0" w:after="0" w:afterAutospacing="0"/>
              <w:ind w:left="0" w:right="0"/>
              <w:outlineLvl w:val="1"/>
              <w:rPr>
                <w:rFonts w:ascii="宋体" w:hAnsi="宋体" w:hint="default"/>
                <w:sz w:val="28"/>
                <w:szCs w:val="28"/>
              </w:rPr>
            </w:pPr>
            <w:r>
              <w:rPr>
                <w:rFonts w:ascii="宋体" w:hAnsi="宋体" w:hint="eastAsia"/>
                <w:sz w:val="28"/>
                <w:szCs w:val="28"/>
              </w:rPr>
              <w:t>（3）投标人情况及资格证明文件</w:t>
            </w:r>
          </w:p>
          <w:p>
            <w:pPr>
              <w:keepNext w:val="0"/>
              <w:keepLines w:val="0"/>
              <w:widowControl/>
              <w:suppressLineNumbers w:val="0"/>
              <w:spacing w:before="0" w:beforeAutospacing="0" w:after="0" w:afterAutospacing="0"/>
              <w:ind w:left="0" w:right="0"/>
              <w:outlineLvl w:val="1"/>
              <w:rPr>
                <w:rFonts w:ascii="宋体" w:hAnsi="宋体" w:hint="default"/>
                <w:sz w:val="28"/>
                <w:szCs w:val="28"/>
                <w:highlight w:val="none"/>
              </w:rPr>
            </w:pPr>
            <w:r>
              <w:rPr>
                <w:rFonts w:ascii="宋体" w:hAnsi="宋体" w:hint="eastAsia"/>
                <w:sz w:val="28"/>
                <w:szCs w:val="28"/>
              </w:rPr>
              <w:t>（4）</w:t>
            </w:r>
            <w:r>
              <w:rPr>
                <w:rFonts w:ascii="宋体" w:hAnsi="宋体" w:hint="eastAsia"/>
                <w:sz w:val="28"/>
                <w:szCs w:val="28"/>
                <w:highlight w:val="none"/>
              </w:rPr>
              <w:t>项目详细报价</w:t>
            </w:r>
          </w:p>
          <w:p>
            <w:pPr>
              <w:keepNext w:val="0"/>
              <w:keepLines w:val="0"/>
              <w:widowControl/>
              <w:suppressLineNumbers w:val="0"/>
              <w:spacing w:before="0" w:beforeAutospacing="0" w:after="0" w:afterAutospacing="0"/>
              <w:ind w:left="0" w:right="0"/>
              <w:outlineLvl w:val="1"/>
              <w:rPr>
                <w:rFonts w:ascii="宋体" w:hAnsi="宋体" w:hint="default"/>
                <w:sz w:val="28"/>
                <w:szCs w:val="28"/>
                <w:highlight w:val="none"/>
              </w:rPr>
            </w:pPr>
            <w:r>
              <w:rPr>
                <w:rFonts w:ascii="宋体" w:hAnsi="宋体" w:hint="eastAsia"/>
                <w:sz w:val="28"/>
                <w:szCs w:val="28"/>
                <w:highlight w:val="none"/>
              </w:rPr>
              <w:t>（</w:t>
            </w:r>
            <w:r>
              <w:rPr>
                <w:rFonts w:ascii="宋体" w:hAnsi="宋体" w:hint="default"/>
                <w:sz w:val="28"/>
                <w:szCs w:val="28"/>
                <w:highlight w:val="none"/>
              </w:rPr>
              <w:t>5</w:t>
            </w:r>
            <w:r>
              <w:rPr>
                <w:rFonts w:ascii="宋体" w:hAnsi="宋体" w:hint="eastAsia"/>
                <w:sz w:val="28"/>
                <w:szCs w:val="28"/>
                <w:highlight w:val="none"/>
              </w:rPr>
              <w:t>）项目完成（服务期满）后的服务承诺（格式自定）</w:t>
            </w:r>
          </w:p>
          <w:p>
            <w:pPr>
              <w:keepNext w:val="0"/>
              <w:keepLines w:val="0"/>
              <w:widowControl/>
              <w:suppressLineNumbers w:val="0"/>
              <w:spacing w:before="0" w:beforeAutospacing="0" w:after="0" w:afterAutospacing="0"/>
              <w:ind w:left="0" w:right="0"/>
              <w:outlineLvl w:val="1"/>
              <w:rPr>
                <w:rFonts w:ascii="宋体" w:hAnsi="宋体" w:hint="default"/>
                <w:sz w:val="28"/>
                <w:szCs w:val="28"/>
                <w:highlight w:val="none"/>
              </w:rPr>
            </w:pPr>
            <w:r>
              <w:rPr>
                <w:rFonts w:ascii="宋体" w:hAnsi="宋体" w:hint="eastAsia"/>
                <w:sz w:val="28"/>
                <w:szCs w:val="28"/>
                <w:highlight w:val="none"/>
              </w:rPr>
              <w:t>（</w:t>
            </w:r>
            <w:r>
              <w:rPr>
                <w:rFonts w:ascii="宋体" w:hAnsi="宋体" w:hint="default"/>
                <w:sz w:val="28"/>
                <w:szCs w:val="28"/>
                <w:highlight w:val="none"/>
              </w:rPr>
              <w:t>6</w:t>
            </w:r>
            <w:r>
              <w:rPr>
                <w:rFonts w:ascii="宋体" w:hAnsi="宋体" w:hint="eastAsia"/>
                <w:sz w:val="28"/>
                <w:szCs w:val="28"/>
                <w:highlight w:val="none"/>
              </w:rPr>
              <w:t>）违约承诺（格式自定）</w:t>
            </w:r>
          </w:p>
          <w:p>
            <w:pPr>
              <w:keepNext w:val="0"/>
              <w:keepLines w:val="0"/>
              <w:widowControl/>
              <w:suppressLineNumbers w:val="0"/>
              <w:spacing w:before="0" w:beforeAutospacing="0" w:after="0" w:afterAutospacing="0"/>
              <w:ind w:left="0" w:right="0"/>
              <w:outlineLvl w:val="1"/>
              <w:rPr>
                <w:rFonts w:ascii="宋体" w:hAnsi="宋体" w:hint="eastAsia"/>
                <w:sz w:val="28"/>
                <w:szCs w:val="28"/>
                <w:highlight w:val="none"/>
              </w:rPr>
            </w:pPr>
            <w:r>
              <w:rPr>
                <w:rFonts w:ascii="宋体" w:hAnsi="宋体" w:hint="eastAsia"/>
                <w:sz w:val="28"/>
                <w:szCs w:val="28"/>
                <w:highlight w:val="none"/>
              </w:rPr>
              <w:t>（</w:t>
            </w:r>
            <w:r>
              <w:rPr>
                <w:rFonts w:ascii="宋体" w:hAnsi="宋体" w:hint="default"/>
                <w:sz w:val="28"/>
                <w:szCs w:val="28"/>
                <w:highlight w:val="none"/>
              </w:rPr>
              <w:t>7</w:t>
            </w:r>
            <w:r>
              <w:rPr>
                <w:rFonts w:ascii="宋体" w:hAnsi="宋体" w:hint="eastAsia"/>
                <w:sz w:val="28"/>
                <w:szCs w:val="28"/>
                <w:highlight w:val="none"/>
              </w:rPr>
              <w:t>）供应商资质、认证情况</w:t>
            </w:r>
          </w:p>
          <w:p>
            <w:pPr>
              <w:keepNext w:val="0"/>
              <w:keepLines w:val="0"/>
              <w:widowControl/>
              <w:suppressLineNumbers w:val="0"/>
              <w:spacing w:before="0" w:beforeAutospacing="0" w:after="0" w:afterAutospacing="0"/>
              <w:ind w:left="0" w:right="0"/>
              <w:outlineLvl w:val="1"/>
              <w:rPr>
                <w:rFonts w:ascii="宋体" w:hAnsi="宋体" w:hint="default"/>
                <w:sz w:val="28"/>
                <w:szCs w:val="28"/>
                <w:highlight w:val="none"/>
              </w:rPr>
            </w:pPr>
            <w:r>
              <w:rPr>
                <w:rFonts w:ascii="宋体" w:hAnsi="宋体" w:hint="eastAsia"/>
                <w:sz w:val="28"/>
                <w:szCs w:val="28"/>
                <w:highlight w:val="none"/>
                <w:lang w:eastAsia="zh-CN"/>
              </w:rPr>
              <w:t>（</w:t>
            </w:r>
            <w:r>
              <w:rPr>
                <w:rFonts w:ascii="宋体" w:hAnsi="宋体" w:hint="eastAsia"/>
                <w:sz w:val="28"/>
                <w:szCs w:val="28"/>
                <w:highlight w:val="none"/>
                <w:lang w:val="en-US" w:eastAsia="zh-CN"/>
              </w:rPr>
              <w:t>8</w:t>
            </w:r>
            <w:r>
              <w:rPr>
                <w:rFonts w:ascii="宋体" w:hAnsi="宋体" w:hint="eastAsia"/>
                <w:sz w:val="28"/>
                <w:szCs w:val="28"/>
                <w:highlight w:val="none"/>
                <w:lang w:eastAsia="zh-CN"/>
              </w:rPr>
              <w:t>）</w:t>
            </w:r>
            <w:r>
              <w:rPr>
                <w:rFonts w:ascii="宋体" w:hAnsi="宋体" w:hint="eastAsia"/>
                <w:sz w:val="28"/>
                <w:szCs w:val="28"/>
                <w:highlight w:val="none"/>
              </w:rPr>
              <w:t>供应商同类业绩情况</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w:t>
            </w:r>
            <w:r>
              <w:rPr>
                <w:rFonts w:ascii="宋体" w:eastAsia="宋体" w:hAnsi="宋体" w:cs="Times New Roman" w:hint="eastAsia"/>
                <w:sz w:val="28"/>
                <w:szCs w:val="28"/>
                <w:highlight w:val="none"/>
                <w:lang w:val="en-US" w:eastAsia="zh-CN"/>
              </w:rPr>
              <w:t>9</w:t>
            </w:r>
            <w:r>
              <w:rPr>
                <w:rFonts w:ascii="宋体" w:hAnsi="宋体" w:cs="Times New Roman" w:hint="eastAsia"/>
                <w:sz w:val="28"/>
                <w:szCs w:val="28"/>
                <w:highlight w:val="none"/>
              </w:rPr>
              <w:t>）项目拟使用的场地、工具、机器等情况</w:t>
            </w:r>
          </w:p>
          <w:p>
            <w:pPr>
              <w:keepNext w:val="0"/>
              <w:keepLines w:val="0"/>
              <w:widowControl/>
              <w:suppressLineNumbers w:val="0"/>
              <w:spacing w:before="0" w:beforeAutospacing="0" w:after="0" w:afterAutospacing="0"/>
              <w:ind w:left="0" w:right="0"/>
              <w:outlineLvl w:val="1"/>
              <w:rPr>
                <w:rFonts w:ascii="宋体" w:hAnsi="宋体" w:hint="eastAsia"/>
                <w:sz w:val="28"/>
                <w:szCs w:val="28"/>
                <w:highlight w:val="none"/>
                <w:lang w:val="en-US" w:eastAsia="zh-CN"/>
              </w:rPr>
            </w:pPr>
            <w:r>
              <w:rPr>
                <w:rFonts w:ascii="宋体" w:hAnsi="宋体" w:hint="eastAsia"/>
                <w:sz w:val="28"/>
                <w:szCs w:val="28"/>
                <w:highlight w:val="none"/>
                <w:lang w:val="en-US" w:eastAsia="zh-CN"/>
              </w:rPr>
              <w:t>（10）具备船艇维修保障技术力量情况</w:t>
            </w:r>
          </w:p>
          <w:p>
            <w:pPr>
              <w:keepNext w:val="0"/>
              <w:keepLines w:val="0"/>
              <w:widowControl/>
              <w:suppressLineNumbers w:val="0"/>
              <w:spacing w:before="0" w:beforeAutospacing="0" w:after="0" w:afterAutospacing="0"/>
              <w:ind w:left="0" w:right="0"/>
              <w:outlineLvl w:val="1"/>
              <w:rPr>
                <w:rFonts w:ascii="宋体" w:eastAsia="宋体" w:hAnsi="宋体" w:hint="eastAsia"/>
                <w:sz w:val="28"/>
                <w:szCs w:val="28"/>
                <w:highlight w:val="none"/>
                <w:lang w:val="en-US" w:eastAsia="zh-CN"/>
              </w:rPr>
            </w:pPr>
            <w:r>
              <w:rPr>
                <w:rFonts w:ascii="宋体" w:hAnsi="宋体" w:hint="eastAsia"/>
                <w:sz w:val="28"/>
                <w:szCs w:val="28"/>
                <w:highlight w:val="none"/>
                <w:lang w:val="en-US" w:eastAsia="zh-CN"/>
              </w:rPr>
              <w:t>（11）投标人认为需要加以说明的其他内容（格式自定）</w:t>
            </w:r>
          </w:p>
          <w:p>
            <w:pPr>
              <w:keepNext w:val="0"/>
              <w:keepLines w:val="0"/>
              <w:widowControl/>
              <w:suppressLineNumbers w:val="0"/>
              <w:spacing w:before="0" w:beforeAutospacing="0" w:after="0" w:afterAutospacing="0"/>
              <w:ind w:left="0" w:right="0"/>
              <w:outlineLvl w:val="1"/>
              <w:rPr>
                <w:rFonts w:ascii="宋体" w:hAnsi="宋体" w:hint="default"/>
                <w:b/>
                <w:bCs/>
                <w:color w:val="FF0000"/>
                <w:sz w:val="28"/>
                <w:szCs w:val="28"/>
                <w:highlight w:val="none"/>
              </w:rPr>
            </w:pPr>
            <w:r>
              <w:rPr>
                <w:rFonts w:ascii="宋体" w:hAnsi="宋体" w:hint="eastAsia"/>
                <w:b/>
                <w:bCs/>
                <w:color w:val="FF0000"/>
                <w:sz w:val="28"/>
                <w:szCs w:val="28"/>
                <w:highlight w:val="none"/>
              </w:rPr>
              <w:t>2.投标文件附件（信息不公开部分）：</w:t>
            </w:r>
          </w:p>
          <w:p>
            <w:pPr>
              <w:keepNext w:val="0"/>
              <w:keepLines w:val="0"/>
              <w:widowControl/>
              <w:suppressLineNumbers w:val="0"/>
              <w:spacing w:before="0" w:beforeAutospacing="0" w:after="0" w:afterAutospacing="0"/>
              <w:ind w:left="0" w:right="0"/>
              <w:outlineLvl w:val="1"/>
              <w:rPr>
                <w:rFonts w:ascii="宋体" w:eastAsia="宋体" w:hAnsi="宋体" w:cs="Times New Roman" w:hint="eastAsia"/>
                <w:sz w:val="28"/>
                <w:szCs w:val="28"/>
                <w:highlight w:val="none"/>
                <w:lang w:eastAsia="zh-CN"/>
              </w:rPr>
            </w:pPr>
            <w:r>
              <w:rPr>
                <w:rFonts w:ascii="宋体" w:hAnsi="宋体" w:cs="Times New Roman" w:hint="eastAsia"/>
                <w:sz w:val="28"/>
                <w:szCs w:val="28"/>
                <w:highlight w:val="none"/>
              </w:rPr>
              <w:t>（1）</w:t>
            </w:r>
            <w:r>
              <w:rPr>
                <w:rFonts w:ascii="宋体" w:eastAsia="宋体" w:hAnsi="宋体" w:cs="Times New Roman" w:hint="eastAsia"/>
                <w:sz w:val="28"/>
                <w:szCs w:val="28"/>
                <w:highlight w:val="none"/>
                <w:lang w:eastAsia="zh-CN"/>
              </w:rPr>
              <w:t>法定代表人（负责人或执行事务合伙人）资格证明书</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（2）投标文件签署授权委托书</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（3）供应商法定代表人等缴纳社会保险情况一览表</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eastAsia="宋体" w:hAnsi="宋体" w:cs="Times New Roman" w:hint="eastAsia"/>
                <w:sz w:val="28"/>
                <w:szCs w:val="28"/>
                <w:highlight w:val="none"/>
                <w:lang w:eastAsia="zh-CN"/>
              </w:rPr>
              <w:t>（</w:t>
            </w:r>
            <w:r>
              <w:rPr>
                <w:rFonts w:ascii="宋体" w:eastAsia="宋体" w:hAnsi="宋体" w:cs="Times New Roman" w:hint="eastAsia"/>
                <w:sz w:val="28"/>
                <w:szCs w:val="28"/>
                <w:highlight w:val="none"/>
                <w:lang w:val="en-US" w:eastAsia="zh-CN"/>
              </w:rPr>
              <w:t>4</w:t>
            </w:r>
            <w:r>
              <w:rPr>
                <w:rFonts w:ascii="宋体" w:eastAsia="宋体" w:hAnsi="宋体" w:cs="Times New Roman" w:hint="eastAsia"/>
                <w:sz w:val="28"/>
                <w:szCs w:val="28"/>
                <w:highlight w:val="none"/>
                <w:lang w:eastAsia="zh-CN"/>
              </w:rPr>
              <w:t>）</w:t>
            </w:r>
            <w:r>
              <w:rPr>
                <w:rFonts w:ascii="宋体" w:hAnsi="宋体" w:cs="Times New Roman" w:hint="eastAsia"/>
                <w:sz w:val="28"/>
                <w:szCs w:val="28"/>
                <w:highlight w:val="none"/>
              </w:rPr>
              <w:t>实质性条款响应情况表</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w:t>
            </w:r>
            <w:r>
              <w:rPr>
                <w:rFonts w:ascii="宋体" w:eastAsia="宋体" w:hAnsi="宋体" w:cs="Times New Roman" w:hint="eastAsia"/>
                <w:sz w:val="28"/>
                <w:szCs w:val="28"/>
                <w:highlight w:val="none"/>
                <w:lang w:val="en-US" w:eastAsia="zh-CN"/>
              </w:rPr>
              <w:t>5</w:t>
            </w:r>
            <w:r>
              <w:rPr>
                <w:rFonts w:ascii="宋体" w:hAnsi="宋体" w:cs="Times New Roman" w:hint="eastAsia"/>
                <w:sz w:val="28"/>
                <w:szCs w:val="28"/>
                <w:highlight w:val="none"/>
              </w:rPr>
              <w:t>）商务、</w:t>
            </w:r>
            <w:r>
              <w:rPr>
                <w:rFonts w:ascii="宋体" w:eastAsia="宋体" w:hAnsi="宋体" w:cs="Times New Roman" w:hint="eastAsia"/>
                <w:sz w:val="28"/>
                <w:szCs w:val="28"/>
                <w:highlight w:val="none"/>
                <w:lang w:val="en-US" w:eastAsia="zh-CN"/>
              </w:rPr>
              <w:t>服务</w:t>
            </w:r>
            <w:r>
              <w:rPr>
                <w:rFonts w:ascii="宋体" w:hAnsi="宋体" w:cs="Times New Roman" w:hint="eastAsia"/>
                <w:sz w:val="28"/>
                <w:szCs w:val="28"/>
                <w:highlight w:val="none"/>
              </w:rPr>
              <w:t>条款偏离表</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w:t>
            </w:r>
            <w:r>
              <w:rPr>
                <w:rFonts w:ascii="宋体" w:eastAsia="宋体" w:hAnsi="宋体" w:cs="Times New Roman" w:hint="eastAsia"/>
                <w:sz w:val="28"/>
                <w:szCs w:val="28"/>
                <w:highlight w:val="none"/>
                <w:lang w:val="en-US" w:eastAsia="zh-CN"/>
              </w:rPr>
              <w:t>6</w:t>
            </w:r>
            <w:r>
              <w:rPr>
                <w:rFonts w:ascii="宋体" w:hAnsi="宋体" w:cs="Times New Roman" w:hint="eastAsia"/>
                <w:sz w:val="28"/>
                <w:szCs w:val="28"/>
                <w:highlight w:val="none"/>
              </w:rPr>
              <w:t>）拟安排的项目负责人情况（仅限一人）</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w:t>
            </w:r>
            <w:r>
              <w:rPr>
                <w:rFonts w:ascii="宋体" w:eastAsia="宋体" w:hAnsi="宋体" w:cs="Times New Roman" w:hint="eastAsia"/>
                <w:sz w:val="28"/>
                <w:szCs w:val="28"/>
                <w:highlight w:val="none"/>
                <w:lang w:val="en-US" w:eastAsia="zh-CN"/>
              </w:rPr>
              <w:t>7</w:t>
            </w:r>
            <w:r>
              <w:rPr>
                <w:rFonts w:ascii="宋体" w:hAnsi="宋体" w:cs="Times New Roman" w:hint="eastAsia"/>
                <w:sz w:val="28"/>
                <w:szCs w:val="28"/>
                <w:highlight w:val="none"/>
              </w:rPr>
              <w:t>）拟安排的项目主要团队成员（主要技术人员）情况（项目负责人除外）</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lang w:eastAsia="zh-CN"/>
              </w:rPr>
              <w:t>（</w:t>
            </w:r>
            <w:r>
              <w:rPr>
                <w:rFonts w:ascii="宋体" w:hAnsi="宋体" w:cs="Times New Roman" w:hint="eastAsia"/>
                <w:sz w:val="28"/>
                <w:szCs w:val="28"/>
                <w:highlight w:val="none"/>
                <w:lang w:val="en-US" w:eastAsia="zh-CN"/>
              </w:rPr>
              <w:t>8）实施方案</w:t>
            </w:r>
            <w:r>
              <w:rPr>
                <w:rFonts w:ascii="宋体" w:hAnsi="宋体" w:cs="Times New Roman" w:hint="eastAsia"/>
                <w:sz w:val="28"/>
                <w:szCs w:val="28"/>
                <w:highlight w:val="none"/>
              </w:rPr>
              <w:t>（格式自定）</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lang w:eastAsia="zh-CN"/>
              </w:rPr>
              <w:t>（</w:t>
            </w:r>
            <w:r>
              <w:rPr>
                <w:rFonts w:ascii="宋体" w:hAnsi="宋体" w:cs="Times New Roman" w:hint="eastAsia"/>
                <w:sz w:val="28"/>
                <w:szCs w:val="28"/>
                <w:highlight w:val="none"/>
                <w:lang w:val="en-US" w:eastAsia="zh-CN"/>
              </w:rPr>
              <w:t>9</w:t>
            </w:r>
            <w:r>
              <w:rPr>
                <w:rFonts w:ascii="宋体" w:hAnsi="宋体" w:cs="Times New Roman" w:hint="eastAsia"/>
                <w:sz w:val="28"/>
                <w:szCs w:val="28"/>
                <w:highlight w:val="none"/>
                <w:lang w:eastAsia="zh-CN"/>
              </w:rPr>
              <w:t>）项目重点难点分析、应对措施及相关的合理化建议</w:t>
            </w:r>
            <w:r>
              <w:rPr>
                <w:rFonts w:ascii="宋体" w:hAnsi="宋体" w:cs="Times New Roman" w:hint="eastAsia"/>
                <w:sz w:val="28"/>
                <w:szCs w:val="28"/>
                <w:highlight w:val="none"/>
              </w:rPr>
              <w:t>（格式自定）</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lang w:eastAsia="zh-CN"/>
              </w:rPr>
              <w:t>（</w:t>
            </w:r>
            <w:r>
              <w:rPr>
                <w:rFonts w:ascii="宋体" w:hAnsi="宋体" w:cs="Times New Roman" w:hint="eastAsia"/>
                <w:sz w:val="28"/>
                <w:szCs w:val="28"/>
                <w:highlight w:val="none"/>
                <w:lang w:val="en-US" w:eastAsia="zh-CN"/>
              </w:rPr>
              <w:t>10</w:t>
            </w:r>
            <w:r>
              <w:rPr>
                <w:rFonts w:ascii="宋体" w:hAnsi="宋体" w:cs="Times New Roman" w:hint="eastAsia"/>
                <w:sz w:val="28"/>
                <w:szCs w:val="28"/>
                <w:highlight w:val="none"/>
                <w:lang w:eastAsia="zh-CN"/>
              </w:rPr>
              <w:t>）质量保障措施及方案</w:t>
            </w:r>
            <w:r>
              <w:rPr>
                <w:rFonts w:ascii="宋体" w:hAnsi="宋体" w:cs="Times New Roman" w:hint="eastAsia"/>
                <w:sz w:val="28"/>
                <w:szCs w:val="28"/>
                <w:highlight w:val="none"/>
              </w:rPr>
              <w:t>（格式自定）</w:t>
            </w:r>
          </w:p>
          <w:p>
            <w:pPr>
              <w:keepNext w:val="0"/>
              <w:keepLines w:val="0"/>
              <w:widowControl/>
              <w:suppressLineNumbers w:val="0"/>
              <w:spacing w:before="0" w:beforeAutospacing="0" w:after="0" w:afterAutospacing="0"/>
              <w:ind w:left="0" w:right="0"/>
              <w:outlineLvl w:val="1"/>
              <w:rPr>
                <w:rFonts w:ascii="宋体" w:hAnsi="宋体" w:cs="Times New Roman" w:hint="eastAsia"/>
                <w:sz w:val="28"/>
                <w:szCs w:val="28"/>
                <w:highlight w:val="none"/>
              </w:rPr>
            </w:pPr>
            <w:r>
              <w:rPr>
                <w:rFonts w:ascii="宋体" w:hAnsi="宋体" w:cs="Times New Roman" w:hint="eastAsia"/>
                <w:sz w:val="28"/>
                <w:szCs w:val="28"/>
                <w:highlight w:val="none"/>
              </w:rPr>
              <w:t>（11）承诺函</w:t>
            </w:r>
          </w:p>
          <w:p>
            <w:pPr>
              <w:keepNext w:val="0"/>
              <w:keepLines w:val="0"/>
              <w:widowControl/>
              <w:suppressLineNumbers w:val="0"/>
              <w:spacing w:before="0" w:beforeAutospacing="0" w:after="0" w:afterAutospacing="0"/>
              <w:ind w:left="0" w:right="0"/>
              <w:outlineLvl w:val="1"/>
              <w:rPr>
                <w:rFonts w:ascii="宋体" w:hAnsi="宋体" w:cs="宋体" w:hint="default"/>
              </w:rPr>
            </w:pPr>
            <w:r>
              <w:rPr>
                <w:rFonts w:ascii="宋体" w:hAnsi="宋体" w:cs="Times New Roman" w:hint="eastAsia"/>
                <w:sz w:val="28"/>
                <w:szCs w:val="28"/>
                <w:highlight w:val="none"/>
              </w:rPr>
              <w:t>（</w:t>
            </w:r>
            <w:r>
              <w:rPr>
                <w:rFonts w:ascii="宋体" w:hAnsi="宋体" w:cs="Times New Roman" w:hint="eastAsia"/>
                <w:sz w:val="28"/>
                <w:szCs w:val="28"/>
                <w:highlight w:val="none"/>
                <w:lang w:val="en-US" w:eastAsia="zh-CN"/>
              </w:rPr>
              <w:t>12</w:t>
            </w:r>
            <w:bookmarkStart w:id="1" w:name="_GoBack"/>
            <w:bookmarkEnd w:id="1"/>
            <w:r>
              <w:rPr>
                <w:rFonts w:ascii="宋体" w:hAnsi="宋体" w:cs="Times New Roman" w:hint="eastAsia"/>
                <w:sz w:val="28"/>
                <w:szCs w:val="28"/>
                <w:highlight w:val="none"/>
              </w:rPr>
              <w:t>）投标人认为需要加以说明的其他内容（格式自定）</w:t>
            </w:r>
          </w:p>
        </w:tc>
      </w:tr>
    </w:tbl>
    <w:p/>
    <w:p>
      <w:pPr>
        <w:pStyle w:val="NormalIndent"/>
      </w:pPr>
    </w:p>
    <w:p>
      <w:r>
        <w:br w:type="page"/>
      </w:r>
    </w:p>
    <w:p/>
    <w:p/>
    <w:p/>
    <w:p/>
    <w:p/>
    <w:p/>
    <w:p/>
    <w:p>
      <w:pPr>
        <w:jc w:val="center"/>
        <w:rPr>
          <w:b/>
          <w:color w:val="000000" w:themeColor="text1"/>
          <w:sz w:val="120"/>
          <w:szCs w:val="120"/>
          <w14:textFill>
            <w14:solidFill>
              <w14:schemeClr w14:val="tx1"/>
            </w14:solidFill>
          </w14:textFill>
        </w:rPr>
      </w:pPr>
      <w:r>
        <w:rPr>
          <w:rFonts w:hint="eastAsia"/>
          <w:b/>
          <w:color w:val="000000" w:themeColor="text1"/>
          <w:sz w:val="120"/>
          <w:szCs w:val="120"/>
          <w14:textFill>
            <w14:solidFill>
              <w14:schemeClr w14:val="tx1"/>
            </w14:solidFill>
          </w14:textFill>
        </w:rPr>
        <w:t>政府采购</w:t>
      </w:r>
    </w:p>
    <w:p>
      <w:pPr>
        <w:jc w:val="center"/>
        <w:rPr>
          <w:b/>
          <w:color w:val="000000" w:themeColor="text1"/>
          <w:sz w:val="120"/>
          <w:szCs w:val="120"/>
          <w14:textFill>
            <w14:solidFill>
              <w14:schemeClr w14:val="tx1"/>
            </w14:solidFill>
          </w14:textFill>
        </w:rPr>
      </w:pPr>
      <w:r>
        <w:rPr>
          <w:rFonts w:hint="eastAsia"/>
          <w:b/>
          <w:color w:val="000000" w:themeColor="text1"/>
          <w:sz w:val="120"/>
          <w:szCs w:val="120"/>
          <w14:textFill>
            <w14:solidFill>
              <w14:schemeClr w14:val="tx1"/>
            </w14:solidFill>
          </w14:textFill>
        </w:rPr>
        <w:t>招标文件</w:t>
      </w:r>
    </w:p>
    <w:p>
      <w:pPr>
        <w:jc w:val="center"/>
        <w:rPr>
          <w:b/>
          <w:color w:val="000000" w:themeColor="text1"/>
          <w:sz w:val="52"/>
          <w:szCs w:val="52"/>
          <w14:textFill>
            <w14:solidFill>
              <w14:schemeClr w14:val="tx1"/>
            </w14:solidFill>
          </w14:textFill>
        </w:rPr>
      </w:pPr>
    </w:p>
    <w:p>
      <w:pPr>
        <w:jc w:val="center"/>
        <w:rPr>
          <w:b/>
          <w:color w:val="000000" w:themeColor="text1"/>
          <w:sz w:val="52"/>
          <w:szCs w:val="52"/>
          <w14:textFill>
            <w14:solidFill>
              <w14:schemeClr w14:val="tx1"/>
            </w14:solidFill>
          </w14:textFill>
        </w:rPr>
      </w:pPr>
    </w:p>
    <w:p>
      <w:pPr>
        <w:jc w:val="center"/>
        <w:rPr>
          <w:b/>
          <w:color w:val="000000" w:themeColor="text1"/>
          <w:sz w:val="52"/>
          <w:szCs w:val="52"/>
          <w14:textFill>
            <w14:solidFill>
              <w14:schemeClr w14:val="tx1"/>
            </w14:solidFill>
          </w14:textFill>
        </w:rPr>
      </w:pPr>
    </w:p>
    <w:p>
      <w:pPr>
        <w:jc w:val="center"/>
        <w:rPr>
          <w:b/>
          <w:color w:val="000000" w:themeColor="text1"/>
          <w:sz w:val="52"/>
          <w:szCs w:val="52"/>
          <w14:textFill>
            <w14:solidFill>
              <w14:schemeClr w14:val="tx1"/>
            </w14:solidFill>
          </w14:textFill>
        </w:rPr>
      </w:pPr>
      <w:r>
        <w:rPr>
          <w:rFonts w:hint="eastAsia"/>
          <w:b/>
          <w:color w:val="000000" w:themeColor="text1"/>
          <w:sz w:val="52"/>
          <w:szCs w:val="52"/>
          <w14:textFill>
            <w14:solidFill>
              <w14:schemeClr w14:val="tx1"/>
            </w14:solidFill>
          </w14:textFill>
        </w:rPr>
        <w:t>（服务类）</w:t>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jc w:val="center"/>
        <w:rPr>
          <w:b/>
          <w:color w:val="000000" w:themeColor="text1"/>
          <w:sz w:val="44"/>
          <w:szCs w:val="44"/>
          <w14:textFill>
            <w14:solidFill>
              <w14:schemeClr w14:val="tx1"/>
            </w14:solidFill>
          </w14:textFill>
        </w:rPr>
      </w:pPr>
    </w:p>
    <w:p>
      <w:pPr>
        <w:jc w:val="center"/>
        <w:rPr>
          <w:b/>
          <w:color w:val="000000" w:themeColor="text1"/>
          <w:sz w:val="44"/>
          <w:szCs w:val="44"/>
          <w14:textFill>
            <w14:solidFill>
              <w14:schemeClr w14:val="tx1"/>
            </w14:solidFill>
          </w14:textFill>
        </w:rPr>
      </w:pPr>
    </w:p>
    <w:p>
      <w:pPr>
        <w:jc w:val="center"/>
        <w:rPr>
          <w:b/>
          <w:color w:val="000000" w:themeColor="text1"/>
          <w:sz w:val="44"/>
          <w:szCs w:val="44"/>
          <w14:textFill>
            <w14:solidFill>
              <w14:schemeClr w14:val="tx1"/>
            </w14:solidFill>
          </w14:textFill>
        </w:rPr>
      </w:pPr>
    </w:p>
    <w:p>
      <w:pPr>
        <w:jc w:val="center"/>
        <w:rPr>
          <w:rFonts w:eastAsia="宋体"/>
          <w:b/>
          <w:color w:val="000000" w:themeColor="text1"/>
          <w:sz w:val="44"/>
          <w:szCs w:val="44"/>
          <w14:textFill>
            <w14:solidFill>
              <w14:schemeClr w14:val="tx1"/>
            </w14:solidFill>
          </w14:textFill>
        </w:rPr>
      </w:pPr>
      <w:bookmarkStart w:id="2" w:name="_Hlk71465316"/>
      <w:r>
        <w:rPr>
          <w:rFonts w:eastAsia="宋体" w:hint="eastAsia"/>
          <w:b/>
          <w:color w:val="000000" w:themeColor="text1"/>
          <w:sz w:val="44"/>
          <w:szCs w:val="44"/>
          <w14:textFill>
            <w14:solidFill>
              <w14:schemeClr w14:val="tx1"/>
            </w14:solidFill>
          </w14:textFill>
        </w:rPr>
        <w:t>友和保险经纪有限公司</w:t>
      </w:r>
    </w:p>
    <w:p>
      <w:pPr>
        <w:keepNext w:val="0"/>
        <w:keepLines w:val="0"/>
        <w:pageBreakBefore w:val="0"/>
        <w:widowControl/>
        <w:kinsoku/>
        <w:wordWrap/>
        <w:overflowPunct/>
        <w:topLinePunct w:val="0"/>
        <w:autoSpaceDE/>
        <w:autoSpaceDN/>
        <w:bidi w:val="0"/>
        <w:adjustRightInd/>
        <w:snapToGrid/>
        <w:spacing w:line="360" w:lineRule="auto"/>
        <w:ind w:firstLine="3600" w:firstLineChars="1500"/>
        <w:textAlignment w:val="auto"/>
        <w:outlineLvl w:val="1"/>
        <w:rPr>
          <w:rFonts w:ascii="宋体" w:hAnsi="宋体"/>
          <w:color w:val="FF0000"/>
          <w:sz w:val="30"/>
          <w:szCs w:val="30"/>
        </w:rPr>
      </w:pPr>
      <w:bookmarkEnd w:id="2"/>
      <w:r>
        <w:rPr>
          <w:rFonts w:hint="eastAsia"/>
          <w:color w:val="000000" w:themeColor="text1"/>
          <w14:textFill>
            <w14:solidFill>
              <w14:schemeClr w14:val="tx1"/>
            </w14:solidFill>
          </w14:textFill>
        </w:rPr>
        <w:br w:type="page"/>
      </w:r>
      <w:r>
        <w:rPr>
          <w:rFonts w:ascii="宋体" w:eastAsia="黑体" w:hAnsi="宋体" w:hint="eastAsia"/>
          <w:b/>
          <w:bCs/>
          <w:color w:val="FF0000"/>
          <w:kern w:val="44"/>
          <w:sz w:val="30"/>
          <w:szCs w:val="30"/>
        </w:rPr>
        <w:t>警示条款</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一、</w:t>
      </w:r>
      <w:r>
        <w:rPr>
          <w:rFonts w:ascii="宋体" w:hAnsi="宋体" w:hint="eastAsia"/>
          <w:b/>
          <w:bCs/>
          <w:color w:val="000000" w:themeColor="text1"/>
          <w14:textFill>
            <w14:solidFill>
              <w14:schemeClr w14:val="tx1"/>
            </w14:solidFill>
          </w14:textFill>
        </w:rPr>
        <w:t>《深圳经济特区政府采购条例》第五十七条</w:t>
      </w:r>
      <w:r>
        <w:rPr>
          <w:rFonts w:ascii="宋体" w:hAnsi="宋体" w:hint="eastAsia"/>
          <w:color w:val="000000" w:themeColor="text1"/>
          <w14:textFill>
            <w14:solidFill>
              <w14:schemeClr w14:val="tx1"/>
            </w14:solidFill>
          </w14:textFill>
        </w:rPr>
        <w:t xml:space="preserve">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（一）在采购活动中应当回避而未回避的；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（二）未按本条例规定签订、履行采购合同，造成严重后果的；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（三）隐瞒真实情况，提供虚假资料的；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（四）以非法手段排斥其他供应商参与竞争的；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（五）与其他采购参加人串通投标的；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（六）恶意投诉的；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（七）向采购项目相关人行贿或者提供其他不当利益的；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（八）阻碍、抗拒主管部门监督检查的；</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（九）其他违反本条例规定的行为。</w:t>
      </w:r>
    </w:p>
    <w:p>
      <w:pPr>
        <w:ind w:firstLine="480" w:firstLineChars="200"/>
        <w:rPr>
          <w:rFonts w:ascii="宋体" w:hAnsi="宋体"/>
          <w:color w:val="000000" w:themeColor="text1"/>
          <w14:textFill>
            <w14:solidFill>
              <w14:schemeClr w14:val="tx1"/>
            </w14:solidFill>
          </w14:textFill>
        </w:rPr>
      </w:pPr>
      <w:r>
        <w:rPr>
          <w:rFonts w:ascii="宋体" w:eastAsia="宋体" w:hAnsi="宋体" w:hint="eastAsia"/>
          <w:b/>
          <w:bCs/>
          <w:color w:val="000000" w:themeColor="text1"/>
          <w:lang w:eastAsia="zh-CN"/>
          <w14:textFill>
            <w14:solidFill>
              <w14:schemeClr w14:val="tx1"/>
            </w14:solidFill>
          </w14:textFill>
        </w:rPr>
        <w:t>二</w:t>
      </w:r>
      <w:r>
        <w:rPr>
          <w:rFonts w:ascii="宋体" w:hAnsi="宋体" w:hint="eastAsia"/>
          <w:b/>
          <w:bCs/>
          <w:color w:val="000000" w:themeColor="text1"/>
          <w14:textFill>
            <w14:solidFill>
              <w14:schemeClr w14:val="tx1"/>
            </w14:solidFill>
          </w14:textFill>
        </w:rPr>
        <w:t>、《深圳经济特区政府采购条例实施细则》第七十五条 </w:t>
      </w:r>
      <w:r>
        <w:rPr>
          <w:rFonts w:ascii="宋体" w:hAnsi="宋体" w:hint="eastAsia"/>
          <w:color w:val="000000" w:themeColor="text1"/>
          <w14:textFill>
            <w14:solidFill>
              <w14:schemeClr w14:val="tx1"/>
            </w14:solidFill>
          </w14:textFill>
        </w:rPr>
        <w:t>供应商有下列情形的，属于采购条例所称的串通投标行为，按照采购条例第五十七条有关规定处理：（一）投标供应商之间相互约定给予未中标的供应商利益补偿；（二）不同投标供应商的法定代表人、主要经营负责人、项目投标授权代表人、项目负责人、主要技术人员为同一人、属同一单位或者在同一单位缴纳社会保险；（三）不同投标供应商的投标文件由同一单位或者同一人编制，或者由同一人分阶段参与编制的；（四）不同投标供应商的投标文件或部分投标文件相互混装；（五）不同投标供应商的投标文件内容存在非正常一致；（六）由同一单位工作人员为两家以上（含两家）供应商进行同一项投标活动的；（七）主管部门依照法律、法规认定的其他情形。</w:t>
      </w:r>
    </w:p>
    <w:p>
      <w:pPr>
        <w:ind w:firstLine="480" w:firstLineChars="200"/>
        <w:rPr>
          <w:rFonts w:ascii="宋体" w:hAnsi="宋体"/>
          <w:color w:val="000000" w:themeColor="text1"/>
          <w14:textFill>
            <w14:solidFill>
              <w14:schemeClr w14:val="tx1"/>
            </w14:solidFill>
          </w14:textFill>
        </w:rPr>
      </w:pPr>
      <w:r>
        <w:rPr>
          <w:rFonts w:ascii="宋体" w:eastAsia="宋体" w:hAnsi="宋体" w:hint="eastAsia"/>
          <w:b/>
          <w:bCs/>
          <w:color w:val="000000" w:themeColor="text1"/>
          <w:lang w:eastAsia="zh-CN"/>
          <w14:textFill>
            <w14:solidFill>
              <w14:schemeClr w14:val="tx1"/>
            </w14:solidFill>
          </w14:textFill>
        </w:rPr>
        <w:t>三</w:t>
      </w:r>
      <w:r>
        <w:rPr>
          <w:rFonts w:ascii="宋体" w:hAnsi="宋体" w:hint="eastAsia"/>
          <w:b/>
          <w:bCs/>
          <w:color w:val="000000" w:themeColor="text1"/>
          <w14:textFill>
            <w14:solidFill>
              <w14:schemeClr w14:val="tx1"/>
            </w14:solidFill>
          </w14:textFill>
        </w:rPr>
        <w:t>、《深圳经济特区政府采购条例实施细则》第七十七条 </w:t>
      </w:r>
      <w:r>
        <w:rPr>
          <w:rFonts w:ascii="宋体" w:hAnsi="宋体" w:hint="eastAsia"/>
          <w:color w:val="000000" w:themeColor="text1"/>
          <w14:textFill>
            <w14:solidFill>
              <w14:schemeClr w14:val="tx1"/>
            </w14:solidFill>
          </w14:textFill>
        </w:rPr>
        <w:t>供应商有下列情形之一的，属于隐瞒真实情况，提供虚假资料，按照采购条例第五十七的有关规定处理：（一）通过转让或者租借等方式从其他单位获取资格或者资质证书投标的；（二）由其他单位或者其他单位负责人在投标供应商编制的投标文件上加盖印章或者签字的；（三）项目负责人或者主要技术人员不是本单位人员的；（四）投标保证金不是从投标供应商基本账户转出的；（五）其他隐瞒真实情况、提供虚假资料的行为。</w:t>
      </w:r>
    </w:p>
    <w:p>
      <w:pPr>
        <w:ind w:firstLine="480" w:firstLineChars="200"/>
        <w:rPr>
          <w:rFonts w:ascii="宋体" w:hAnsi="宋体" w:hint="eastAsia"/>
          <w:color w:val="000000" w:themeColor="text1"/>
          <w:highlight w:val="none"/>
          <w14:textFill>
            <w14:solidFill>
              <w14:schemeClr w14:val="tx1"/>
            </w14:solidFill>
          </w14:textFill>
        </w:rPr>
      </w:pPr>
      <w:r>
        <w:rPr>
          <w:rFonts w:ascii="宋体" w:hAnsi="宋体" w:hint="eastAsia"/>
          <w:color w:val="000000" w:themeColor="text1"/>
          <w:highlight w:val="none"/>
          <w14:textFill>
            <w14:solidFill>
              <w14:schemeClr w14:val="tx1"/>
            </w14:solidFill>
          </w14:textFill>
        </w:rPr>
        <w:t>投标供应商不能提供项目负责人或者主要技术人员的劳动合同、社会保险等劳动关系证明材料的，视为存在前款第（三）项规定的情形。</w:t>
      </w:r>
    </w:p>
    <w:p>
      <w:pPr>
        <w:ind w:firstLine="480" w:firstLineChars="200"/>
        <w:rPr>
          <w:rFonts w:ascii="宋体" w:eastAsia="宋体" w:hAnsi="宋体" w:cs="Times New Roman" w:hint="eastAsia"/>
          <w:color w:val="FF0000"/>
          <w:highlight w:val="none"/>
          <w:lang w:eastAsia="zh-CN"/>
        </w:rPr>
      </w:pPr>
      <w:r>
        <w:rPr>
          <w:rFonts w:ascii="宋体" w:eastAsia="Times New Roman" w:hAnsi="宋体" w:cs="Times New Roman" w:hint="eastAsia"/>
          <w:color w:val="FF0000"/>
          <w:highlight w:val="none"/>
        </w:rPr>
        <w:t>四、请投标供应商阅读《政府采购违法行为风险知悉确认书》（内容详见“投标文件附件（信息不公开部分）”中“投标人认为需要加以说明的其他内容（格式自定）”</w:t>
      </w:r>
      <w:r>
        <w:rPr>
          <w:rFonts w:ascii="宋体" w:eastAsia="宋体" w:hAnsi="宋体" w:cs="Times New Roman" w:hint="eastAsia"/>
          <w:color w:val="FF0000"/>
          <w:highlight w:val="none"/>
          <w:lang w:eastAsia="zh-CN"/>
        </w:rPr>
        <w:t>）</w:t>
      </w:r>
      <w:r>
        <w:rPr>
          <w:rFonts w:ascii="宋体" w:eastAsia="Times New Roman" w:hAnsi="宋体" w:cs="Times New Roman" w:hint="eastAsia"/>
          <w:color w:val="FF0000"/>
          <w:highlight w:val="none"/>
        </w:rPr>
        <w:t>，并经各投标供应商负责人或投标授权代表签字并加盖单位公章后，扫描上传至投标文件一并提交。</w:t>
      </w:r>
    </w:p>
    <w:p>
      <w:pPr>
        <w:ind w:firstLine="480" w:firstLineChars="200"/>
        <w:rPr>
          <w:rFonts w:ascii="宋体" w:eastAsia="Times New Roman" w:hAnsi="宋体" w:cs="Times New Roman" w:hint="eastAsia"/>
          <w:color w:val="FF0000"/>
          <w:highlight w:val="none"/>
        </w:rPr>
      </w:pPr>
      <w:r>
        <w:rPr>
          <w:rFonts w:ascii="宋体" w:eastAsia="Times New Roman" w:hAnsi="宋体" w:cs="Times New Roman" w:hint="eastAsia"/>
          <w:color w:val="FF0000"/>
          <w:highlight w:val="none"/>
        </w:rPr>
        <w:t>注：该风险知悉确认书用于对供应商违法行为的警示，不作为供应商资格性审查及符合性审查条件。</w:t>
      </w:r>
    </w:p>
    <w:p>
      <w:pPr>
        <w:keepNext w:val="0"/>
        <w:keepLines w:val="0"/>
        <w:pageBreakBefore w:val="0"/>
        <w:widowControl/>
        <w:numPr>
          <w:ilvl w:val="0"/>
          <w:numId w:val="0"/>
        </w:numPr>
        <w:kinsoku/>
        <w:wordWrap/>
        <w:overflowPunct/>
        <w:topLinePunct w:val="0"/>
        <w:autoSpaceDE/>
        <w:autoSpaceDN/>
        <w:bidi w:val="0"/>
        <w:adjustRightInd/>
        <w:snapToGrid/>
        <w:ind w:firstLine="480" w:firstLineChars="200"/>
        <w:textAlignment w:val="auto"/>
        <w:rPr>
          <w:rFonts w:ascii="宋体" w:eastAsia="Times New Roman" w:hAnsi="宋体" w:cs="Times New Roman" w:hint="eastAsia"/>
          <w:b w:val="0"/>
          <w:bCs w:val="0"/>
          <w:color w:val="000000" w:themeColor="text1"/>
          <w:highlight w:val="none"/>
          <w:lang w:val="en-US" w:eastAsia="zh-CN"/>
          <w14:textFill>
            <w14:solidFill>
              <w14:schemeClr w14:val="tx1"/>
            </w14:solidFill>
          </w14:textFill>
        </w:rPr>
      </w:pPr>
      <w:r>
        <w:rPr>
          <w:rFonts w:ascii="宋体" w:eastAsia="Times New Roman" w:hAnsi="宋体" w:cs="Times New Roman" w:hint="eastAsia"/>
          <w:b w:val="0"/>
          <w:bCs w:val="0"/>
          <w:color w:val="000000" w:themeColor="text1"/>
          <w:sz w:val="24"/>
          <w:szCs w:val="24"/>
          <w:highlight w:val="none"/>
          <w:lang w:val="en-US" w:eastAsia="zh-CN"/>
          <w14:textFill>
            <w14:solidFill>
              <w14:schemeClr w14:val="tx1"/>
            </w14:solidFill>
          </w14:textFill>
        </w:rPr>
        <w:t>五、</w:t>
      </w:r>
      <w:r>
        <w:rPr>
          <w:rFonts w:ascii="宋体" w:eastAsia="Times New Roman" w:hAnsi="宋体" w:cs="Times New Roman" w:hint="eastAsia"/>
          <w:b w:val="0"/>
          <w:bCs w:val="0"/>
          <w:color w:val="000000" w:themeColor="text1"/>
          <w:highlight w:val="none"/>
          <w14:textFill>
            <w14:solidFill>
              <w14:schemeClr w14:val="tx1"/>
            </w14:solidFill>
          </w14:textFill>
        </w:rPr>
        <w:t>供应商在使用深圳政府采购智慧平台的投标文件制作工具创建投标文件时，该工具将自动在投标文件中记录文件创建标识码，同时提取投标文件制作电脑的网卡MAC地址、硬盘序列号、CPU 序列号、主板序列号和工具标识号，经加密生成文件制作机器码并在投标文件中记录。文件制作机器码一致表明不同供应商使用了同一设备编制投标文件，文件创建标识码一致表明不同供应商的投标文件为同一份文件，IP 地址一致表明上传投标文件时使用了相同的网络。</w:t>
      </w:r>
    </w:p>
    <w:p>
      <w:pPr>
        <w:keepNext w:val="0"/>
        <w:keepLines w:val="0"/>
        <w:pageBreakBefore w:val="0"/>
        <w:widowControl/>
        <w:numPr>
          <w:ilvl w:val="0"/>
          <w:numId w:val="0"/>
        </w:numPr>
        <w:kinsoku/>
        <w:wordWrap/>
        <w:overflowPunct/>
        <w:topLinePunct w:val="0"/>
        <w:autoSpaceDE/>
        <w:autoSpaceDN/>
        <w:bidi w:val="0"/>
        <w:adjustRightInd/>
        <w:snapToGrid/>
        <w:ind w:firstLine="480" w:firstLineChars="200"/>
        <w:textAlignment w:val="auto"/>
        <w:rPr>
          <w:rFonts w:ascii="宋体" w:eastAsia="Times New Roman" w:hAnsi="宋体" w:cs="Times New Roman" w:hint="eastAsia"/>
          <w:b w:val="0"/>
          <w:bCs w:val="0"/>
          <w:color w:val="000000" w:themeColor="text1"/>
          <w:highlight w:val="none"/>
          <w14:textFill>
            <w14:solidFill>
              <w14:schemeClr w14:val="tx1"/>
            </w14:solidFill>
          </w14:textFill>
        </w:rPr>
      </w:pPr>
      <w:r>
        <w:rPr>
          <w:rFonts w:ascii="宋体" w:eastAsia="Times New Roman" w:hAnsi="宋体" w:cs="Times New Roman" w:hint="eastAsia"/>
          <w:b w:val="0"/>
          <w:bCs w:val="0"/>
          <w:color w:val="000000" w:themeColor="text1"/>
          <w:highlight w:val="none"/>
          <w14:textFill>
            <w14:solidFill>
              <w14:schemeClr w14:val="tx1"/>
            </w14:solidFill>
          </w14:textFill>
        </w:rPr>
        <w:t>六、为避免出现不同供应商投标文件的文件制作机器码、文件创建标识码、IP 地址一致的异常情况，建议各供应商编制、上传投标文件时不要使用公共电脑设备或公共网络。</w:t>
      </w:r>
    </w:p>
    <w:p>
      <w:pPr>
        <w:keepNext w:val="0"/>
        <w:keepLines w:val="0"/>
        <w:pageBreakBefore w:val="0"/>
        <w:widowControl/>
        <w:numPr>
          <w:ilvl w:val="0"/>
          <w:numId w:val="0"/>
        </w:numPr>
        <w:kinsoku/>
        <w:wordWrap/>
        <w:overflowPunct/>
        <w:topLinePunct w:val="0"/>
        <w:autoSpaceDE/>
        <w:autoSpaceDN/>
        <w:bidi w:val="0"/>
        <w:adjustRightInd/>
        <w:snapToGrid/>
        <w:ind w:firstLine="480" w:firstLineChars="200"/>
        <w:textAlignment w:val="auto"/>
        <w:rPr>
          <w:rFonts w:ascii="宋体" w:eastAsia="Times New Roman" w:hAnsi="宋体" w:cs="Times New Roman" w:hint="eastAsia"/>
          <w:b w:val="0"/>
          <w:bCs w:val="0"/>
          <w:color w:val="000000" w:themeColor="text1"/>
          <w:highlight w:val="none"/>
          <w:lang w:val="en-US" w:eastAsia="zh-CN"/>
          <w14:textFill>
            <w14:solidFill>
              <w14:schemeClr w14:val="tx1"/>
            </w14:solidFill>
          </w14:textFill>
        </w:rPr>
      </w:pPr>
      <w:r>
        <w:rPr>
          <w:rFonts w:ascii="宋体" w:eastAsia="Times New Roman" w:hAnsi="宋体" w:cs="Times New Roman" w:hint="eastAsia"/>
          <w:b w:val="0"/>
          <w:bCs w:val="0"/>
          <w:color w:val="000000" w:themeColor="text1"/>
          <w:highlight w:val="none"/>
          <w14:textFill>
            <w14:solidFill>
              <w14:schemeClr w14:val="tx1"/>
            </w14:solidFill>
          </w14:textFill>
        </w:rPr>
        <w:t>七、根据《深圳经济特区政府采购条例实施细则》第七十五条规定，不同投标供应商的投标文件由同一单位或者同一人编制，或者由同一人分阶段参与编制的，或者由同一单位工作人员为两家以上（含两家）供应商进行同一项投标活动的，属于串通投标行为。一经查实，供应商将面临罚款、一定年限内禁止参与政府采购活动的行政处罚，请各供应商独立编制、上传投标文件，妥善保管和使用电子秘钥。</w:t>
      </w:r>
    </w:p>
    <w:p>
      <w:pPr>
        <w:rPr>
          <w:color w:val="000000" w:themeColor="text1"/>
          <w14:textFill>
            <w14:solidFill>
              <w14:schemeClr w14:val="tx1"/>
            </w14:solidFill>
          </w14:textFill>
        </w:rPr>
      </w:pPr>
    </w:p>
    <w:p>
      <w:pPr>
        <w:pStyle w:val="Heading1"/>
        <w:rPr>
          <w:color w:val="000000" w:themeColor="text1"/>
          <w14:textFill>
            <w14:solidFill>
              <w14:schemeClr w14:val="tx1"/>
            </w14:solidFill>
          </w14:textFill>
        </w:rPr>
      </w:pPr>
      <w:r>
        <w:rPr>
          <w:rFonts w:hint="eastAsia"/>
          <w:color w:val="000000" w:themeColor="text1"/>
          <w14:textFill>
            <w14:solidFill>
              <w14:schemeClr w14:val="tx1"/>
            </w14:solidFill>
          </w14:textFill>
        </w:rPr>
        <w:br w:type="page"/>
      </w:r>
      <w:r>
        <w:rPr>
          <w:rFonts w:hint="eastAsia"/>
          <w:color w:val="000000" w:themeColor="text1"/>
          <w14:textFill>
            <w14:solidFill>
              <w14:schemeClr w14:val="tx1"/>
            </w14:solidFill>
          </w14:textFill>
        </w:rPr>
        <w:t>目   录</w:t>
      </w:r>
    </w:p>
    <w:p>
      <w:pPr>
        <w:spacing w:line="360" w:lineRule="auto"/>
        <w:outlineLvl w:val="1"/>
        <w:rPr>
          <w:rFonts w:ascii="宋体" w:eastAsia="宋体" w:hAnsi="宋体"/>
          <w:b/>
          <w:color w:val="000000" w:themeColor="text1"/>
          <w14:textFill>
            <w14:solidFill>
              <w14:schemeClr w14:val="tx1"/>
            </w14:solidFill>
          </w14:textFill>
        </w:rPr>
      </w:pPr>
      <w:r>
        <w:rPr>
          <w:rFonts w:ascii="宋体" w:eastAsia="宋体" w:hAnsi="宋体" w:hint="eastAsia"/>
          <w:b/>
          <w:color w:val="000000" w:themeColor="text1"/>
          <w14:textFill>
            <w14:solidFill>
              <w14:schemeClr w14:val="tx1"/>
            </w14:solidFill>
          </w14:textFill>
        </w:rPr>
        <w:t>第一册  专用条款</w:t>
      </w:r>
    </w:p>
    <w:p>
      <w:pPr>
        <w:spacing w:line="360" w:lineRule="auto"/>
        <w:ind w:left="720" w:firstLine="470" w:leftChars="300" w:firstLineChars="196"/>
        <w:rPr>
          <w:rFonts w:ascii="宋体" w:eastAsia="宋体" w:hAnsi="宋体" w:hint="eastAsia"/>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第一章  招标公告</w:t>
      </w:r>
    </w:p>
    <w:p>
      <w:pPr>
        <w:spacing w:line="360" w:lineRule="auto"/>
        <w:ind w:left="720" w:firstLine="470" w:leftChars="300" w:firstLineChars="196"/>
        <w:rPr>
          <w:rFonts w:ascii="宋体" w:eastAsia="宋体" w:hAnsi="宋体" w:hint="eastAsia"/>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 xml:space="preserve">第二章  </w:t>
      </w:r>
      <w:bookmarkStart w:id="3" w:name="_Hlk71994379"/>
      <w:r>
        <w:rPr>
          <w:rFonts w:ascii="宋体" w:eastAsia="宋体" w:hAnsi="宋体" w:hint="eastAsia"/>
          <w:color w:val="000000" w:themeColor="text1"/>
          <w:szCs w:val="21"/>
          <w14:textFill>
            <w14:solidFill>
              <w14:schemeClr w14:val="tx1"/>
            </w14:solidFill>
          </w14:textFill>
        </w:rPr>
        <w:t>对通用条款的补充内容及其他关键信息</w:t>
      </w:r>
      <w:bookmarkEnd w:id="3"/>
    </w:p>
    <w:p>
      <w:pPr>
        <w:spacing w:line="360" w:lineRule="auto"/>
        <w:ind w:left="720" w:firstLine="470" w:leftChars="300" w:firstLineChars="196"/>
        <w:rPr>
          <w:rFonts w:ascii="宋体" w:eastAsia="宋体" w:hAnsi="宋体" w:hint="eastAsia"/>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第三章  用户需求书</w:t>
      </w:r>
    </w:p>
    <w:p>
      <w:pPr>
        <w:spacing w:line="360" w:lineRule="auto"/>
        <w:ind w:left="720" w:firstLine="470" w:leftChars="300" w:firstLineChars="196"/>
        <w:rPr>
          <w:rFonts w:ascii="宋体" w:eastAsia="宋体" w:hAnsi="宋体" w:hint="eastAsia"/>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第四章  投标文件组成要求及格式</w:t>
      </w:r>
    </w:p>
    <w:p>
      <w:pPr>
        <w:spacing w:line="360" w:lineRule="auto"/>
        <w:ind w:left="720" w:firstLine="470" w:leftChars="300" w:firstLineChars="196"/>
        <w:rPr>
          <w:rFonts w:ascii="宋体" w:eastAsia="宋体" w:hAnsi="宋体" w:hint="eastAsia"/>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第五章  合同条款及格式</w:t>
      </w:r>
    </w:p>
    <w:p>
      <w:pPr>
        <w:rPr>
          <w:rFonts w:eastAsia="宋体"/>
        </w:rPr>
      </w:pPr>
    </w:p>
    <w:p>
      <w:pPr>
        <w:spacing w:line="360" w:lineRule="auto"/>
        <w:outlineLvl w:val="1"/>
        <w:rPr>
          <w:rFonts w:ascii="宋体" w:eastAsia="宋体" w:hAnsi="宋体"/>
          <w:b/>
          <w:color w:val="000000" w:themeColor="text1"/>
          <w14:textFill>
            <w14:solidFill>
              <w14:schemeClr w14:val="tx1"/>
            </w14:solidFill>
          </w14:textFill>
        </w:rPr>
      </w:pPr>
      <w:r>
        <w:rPr>
          <w:rFonts w:ascii="宋体" w:eastAsia="宋体" w:hAnsi="宋体" w:hint="eastAsia"/>
          <w:b/>
          <w:color w:val="000000" w:themeColor="text1"/>
          <w14:textFill>
            <w14:solidFill>
              <w14:schemeClr w14:val="tx1"/>
            </w14:solidFill>
          </w14:textFill>
        </w:rPr>
        <w:t>第二册  通用条款</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第一章  总则</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第二章  招标文件</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第三章  投标文件的编制</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第四章  投标文件的递交</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第五章  开标</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第六章  评审要求</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第七章  评审程序及评审方法</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第八章  定标及公示</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第九章  公开招标失败的后续处理</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第十章  合同的授予与备案</w:t>
      </w:r>
    </w:p>
    <w:p>
      <w:pPr>
        <w:spacing w:line="360" w:lineRule="auto"/>
        <w:ind w:left="720" w:firstLine="470" w:leftChars="300" w:firstLineChars="196"/>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第十一章  质疑处理</w:t>
      </w:r>
    </w:p>
    <w:p>
      <w:pPr>
        <w:spacing w:line="360" w:lineRule="auto"/>
        <w:ind w:firstLine="480" w:firstLineChars="200"/>
        <w:rPr>
          <w:rFonts w:ascii="宋体" w:eastAsia="宋体" w:hAnsi="宋体"/>
          <w:color w:val="000000" w:themeColor="text1"/>
          <w:szCs w:val="21"/>
          <w14:textFill>
            <w14:solidFill>
              <w14:schemeClr w14:val="tx1"/>
            </w14:solidFill>
          </w14:textFill>
        </w:rPr>
      </w:pPr>
    </w:p>
    <w:p>
      <w:pPr>
        <w:pStyle w:val="Heading1"/>
        <w:rPr>
          <w:color w:val="000000" w:themeColor="text1"/>
          <w:sz w:val="24"/>
          <w14:textFill>
            <w14:solidFill>
              <w14:schemeClr w14:val="tx1"/>
            </w14:solidFill>
          </w14:textFill>
        </w:rPr>
      </w:pPr>
      <w:r>
        <w:rPr>
          <w:rFonts w:eastAsia="宋体"/>
          <w:color w:val="000000" w:themeColor="text1"/>
          <w14:textFill>
            <w14:solidFill>
              <w14:schemeClr w14:val="tx1"/>
            </w14:solidFill>
          </w14:textFill>
        </w:rPr>
        <w:br w:type="page"/>
      </w:r>
      <w:bookmarkStart w:id="4" w:name="bt投标人情况介绍"/>
      <w:bookmarkEnd w:id="4"/>
      <w:bookmarkStart w:id="5" w:name="bt说明"/>
      <w:bookmarkEnd w:id="5"/>
      <w:bookmarkStart w:id="6" w:name="bt投标函"/>
      <w:bookmarkEnd w:id="6"/>
      <w:bookmarkStart w:id="7" w:name="bt投标文件签署授权委托书"/>
      <w:bookmarkEnd w:id="7"/>
      <w:bookmarkStart w:id="8" w:name="bt项目管理班子配备情况"/>
      <w:bookmarkEnd w:id="8"/>
      <w:bookmarkStart w:id="9" w:name="bt投标报价汇总表"/>
      <w:bookmarkEnd w:id="9"/>
      <w:bookmarkStart w:id="10" w:name="bt合同条款及格式"/>
      <w:bookmarkEnd w:id="10"/>
      <w:bookmarkStart w:id="11" w:name="bt投标人须知"/>
      <w:bookmarkEnd w:id="11"/>
      <w:bookmarkStart w:id="12" w:name="bt商务标投标文件格式"/>
      <w:bookmarkEnd w:id="12"/>
      <w:bookmarkStart w:id="13" w:name="bt开标一览表"/>
      <w:bookmarkEnd w:id="13"/>
      <w:bookmarkStart w:id="14" w:name="bt其他资料2"/>
      <w:bookmarkEnd w:id="14"/>
      <w:bookmarkStart w:id="15" w:name="bt其他资料由投标人自定"/>
      <w:bookmarkEnd w:id="15"/>
      <w:bookmarkStart w:id="16" w:name="bt本工程承诺书"/>
      <w:bookmarkEnd w:id="16"/>
      <w:bookmarkStart w:id="17" w:name="bt技术标投标文件格式"/>
      <w:bookmarkEnd w:id="17"/>
      <w:bookmarkStart w:id="18" w:name="bt合同格式"/>
      <w:bookmarkEnd w:id="18"/>
      <w:bookmarkStart w:id="19" w:name="合同格式"/>
      <w:bookmarkEnd w:id="19"/>
      <w:bookmarkStart w:id="20" w:name="bt合同条款"/>
      <w:bookmarkEnd w:id="20"/>
      <w:r>
        <w:rPr>
          <w:rFonts w:hint="eastAsia"/>
          <w:color w:val="000000" w:themeColor="text1"/>
          <w14:textFill>
            <w14:solidFill>
              <w14:schemeClr w14:val="tx1"/>
            </w14:solidFill>
          </w14:textFill>
        </w:rPr>
        <w:t>第一册专用条款</w:t>
      </w:r>
    </w:p>
    <w:p>
      <w:pPr>
        <w:pStyle w:val="Heading2"/>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 xml:space="preserve">第一章  </w:t>
      </w:r>
      <w:r>
        <w:rPr>
          <w:rFonts w:cs="宋体" w:hint="eastAsia"/>
          <w:b/>
          <w:bCs/>
          <w:color w:val="000000" w:themeColor="text1"/>
          <w:szCs w:val="21"/>
          <w14:textFill>
            <w14:solidFill>
              <w14:schemeClr w14:val="tx1"/>
            </w14:solidFill>
          </w14:textFill>
        </w:rPr>
        <w:t>招标公告</w:t>
      </w:r>
      <w:r>
        <w:rPr>
          <w:rFonts w:hint="eastAsia"/>
          <w:b/>
          <w:bCs/>
          <w:color w:val="000000" w:themeColor="text1"/>
          <w14:textFill>
            <w14:solidFill>
              <w14:schemeClr w14:val="tx1"/>
            </w14:solidFill>
          </w14:textFill>
        </w:rPr>
        <w:t xml:space="preserve">  </w:t>
      </w:r>
    </w:p>
    <w:p>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ascii="仿宋" w:eastAsia="仿宋" w:hAnsi="仿宋" w:cs="仿宋" w:hint="eastAsia"/>
          <w:b/>
          <w:bCs/>
          <w:color w:val="FF0000"/>
          <w:sz w:val="28"/>
          <w:szCs w:val="28"/>
          <w:lang w:val="en-US" w:eastAsia="zh-CN"/>
        </w:rPr>
      </w:pPr>
      <w:r>
        <w:rPr>
          <w:rFonts w:ascii="仿宋" w:eastAsia="仿宋" w:hAnsi="仿宋" w:cs="仿宋" w:hint="eastAsia"/>
          <w:b/>
          <w:bCs/>
          <w:color w:val="FF0000"/>
          <w:sz w:val="28"/>
          <w:szCs w:val="28"/>
          <w:lang w:val="en-US" w:eastAsia="zh-CN"/>
        </w:rPr>
        <w:t>本公告内涉及时间的相关内容均以对外发布的招标公告内容为准</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lang w:eastAsia="zh-CN"/>
          <w14:textFill>
            <w14:solidFill>
              <w14:schemeClr w14:val="tx1"/>
            </w14:solidFill>
          </w14:textFill>
        </w:rPr>
      </w:pPr>
      <w:r>
        <w:rPr>
          <w:rFonts w:ascii="宋体" w:eastAsia="宋体" w:hAnsi="宋体" w:cs="宋体" w:hint="eastAsia"/>
          <w:b/>
          <w:color w:val="000000" w:themeColor="text1"/>
          <w:szCs w:val="21"/>
          <w:lang w:eastAsia="zh-CN"/>
          <w14:textFill>
            <w14:solidFill>
              <w14:schemeClr w14:val="tx1"/>
            </w14:solidFill>
          </w14:textFill>
        </w:rPr>
        <w:t>一、项目概况：</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color w:val="FF0000"/>
          <w:highlight w:val="yellow"/>
          <w:u w:val="single"/>
          <w:lang w:val="en-US" w:eastAsia="zh-CN"/>
        </w:rPr>
        <w:t>2025年引航船艇管理服务</w:t>
      </w:r>
      <w:r>
        <w:rPr>
          <w:rFonts w:ascii="宋体" w:eastAsia="宋体" w:hAnsi="宋体" w:cs="宋体" w:hint="eastAsia"/>
        </w:rPr>
        <w:t>的潜在投标人应在（本公告附件中）获取招标文件，于</w:t>
      </w:r>
      <w:r>
        <w:rPr>
          <w:rFonts w:ascii="宋体" w:eastAsia="宋体" w:hAnsi="宋体" w:cs="宋体" w:hint="eastAsia"/>
          <w:color w:val="FF0000"/>
          <w:highlight w:val="yellow"/>
          <w:lang w:eastAsia="zh-CN"/>
        </w:rPr>
        <w:t>2024年</w:t>
      </w:r>
      <w:r>
        <w:rPr>
          <w:rFonts w:ascii="宋体" w:eastAsia="宋体" w:hAnsi="宋体" w:cs="宋体" w:hint="eastAsia"/>
          <w:color w:val="FF0000"/>
          <w:highlight w:val="yellow"/>
          <w:lang w:val="en-US" w:eastAsia="zh-CN"/>
        </w:rPr>
        <w:t>X</w:t>
      </w:r>
      <w:r>
        <w:rPr>
          <w:rFonts w:ascii="宋体" w:eastAsia="宋体" w:hAnsi="宋体" w:cs="宋体" w:hint="eastAsia"/>
          <w:color w:val="FF0000"/>
          <w:highlight w:val="yellow"/>
          <w:lang w:eastAsia="zh-CN"/>
        </w:rPr>
        <w:t>月</w:t>
      </w:r>
      <w:r>
        <w:rPr>
          <w:rFonts w:ascii="宋体" w:eastAsia="宋体" w:hAnsi="宋体" w:cs="宋体" w:hint="eastAsia"/>
          <w:color w:val="FF0000"/>
          <w:highlight w:val="yellow"/>
          <w:lang w:val="en-US" w:eastAsia="zh-CN"/>
        </w:rPr>
        <w:t>X</w:t>
      </w:r>
      <w:r>
        <w:rPr>
          <w:rFonts w:ascii="宋体" w:eastAsia="宋体" w:hAnsi="宋体" w:cs="宋体" w:hint="eastAsia"/>
          <w:color w:val="FF0000"/>
          <w:highlight w:val="yellow"/>
          <w:lang w:eastAsia="zh-CN"/>
        </w:rPr>
        <w:t>日</w:t>
      </w:r>
      <w:r>
        <w:rPr>
          <w:rFonts w:ascii="宋体" w:eastAsia="宋体" w:hAnsi="宋体" w:cs="宋体" w:hint="eastAsia"/>
          <w:color w:val="FF0000"/>
          <w:highlight w:val="yellow"/>
          <w:lang w:val="en-US" w:eastAsia="zh-CN"/>
        </w:rPr>
        <w:t>XX时XX分XX秒</w:t>
      </w:r>
      <w:r>
        <w:rPr>
          <w:rFonts w:ascii="宋体" w:eastAsia="宋体" w:hAnsi="宋体" w:cs="宋体" w:hint="eastAsia"/>
        </w:rPr>
        <w:t>（北京时间）前递交投标文件。</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一、项目基本情况</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default"/>
          <w:lang w:val="en-US" w:eastAsia="zh-CN"/>
        </w:rPr>
      </w:pPr>
      <w:r>
        <w:rPr>
          <w:rFonts w:ascii="宋体" w:eastAsia="宋体" w:hAnsi="宋体" w:cs="宋体" w:hint="eastAsia"/>
        </w:rPr>
        <w:t>1.项目编号：</w:t>
      </w:r>
      <w:r>
        <w:rPr>
          <w:rFonts w:ascii="宋体" w:eastAsia="宋体" w:hAnsi="宋体" w:cs="宋体" w:hint="eastAsia"/>
          <w:color w:val="FF0000"/>
          <w:highlight w:val="yellow"/>
          <w:u w:val="single"/>
          <w:lang w:val="en-US" w:eastAsia="zh-CN"/>
        </w:rPr>
        <w:t>SZDL2024002287</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lang w:eastAsia="zh-CN"/>
        </w:rPr>
      </w:pPr>
      <w:r>
        <w:rPr>
          <w:rFonts w:ascii="宋体" w:eastAsia="宋体" w:hAnsi="宋体" w:cs="宋体" w:hint="eastAsia"/>
        </w:rPr>
        <w:t>2.项目名称：</w:t>
      </w:r>
      <w:r>
        <w:rPr>
          <w:rFonts w:ascii="宋体" w:eastAsia="宋体" w:hAnsi="宋体" w:cs="宋体" w:hint="eastAsia"/>
          <w:color w:val="FF0000"/>
          <w:highlight w:val="yellow"/>
          <w:u w:val="single"/>
          <w:lang w:val="en-US" w:eastAsia="zh-CN"/>
        </w:rPr>
        <w:t>2025年引航船艇管理服务</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3.预算金额：</w:t>
      </w:r>
      <w:r>
        <w:rPr>
          <w:rFonts w:ascii="宋体" w:eastAsia="宋体" w:hAnsi="宋体" w:cs="宋体" w:hint="eastAsia"/>
          <w:color w:val="FF0000"/>
          <w:highlight w:val="yellow"/>
          <w:lang w:val="en-US" w:eastAsia="zh-CN"/>
        </w:rPr>
        <w:t>11,500,000.00元</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4.最高限价：</w:t>
      </w:r>
      <w:r>
        <w:rPr>
          <w:rFonts w:ascii="宋体" w:eastAsia="宋体" w:hAnsi="宋体" w:cs="宋体" w:hint="eastAsia"/>
          <w:color w:val="FF0000"/>
          <w:highlight w:val="yellow"/>
          <w:lang w:val="en-US" w:eastAsia="zh-CN"/>
        </w:rPr>
        <w:t>11,500,000.00元</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5.采购需求：</w:t>
      </w:r>
    </w:p>
    <w:tbl>
      <w:tblPr>
        <w:tblStyle w:val="TableNormal"/>
        <w:tblW w:w="7941" w:type="dxa"/>
        <w:tblInd w:w="0" w:type="dxa"/>
        <w:tblBorders>
          <w:top w:val="outset" w:sz="6" w:space="0" w:color="AAAAAA"/>
          <w:left w:val="outset" w:sz="6" w:space="0" w:color="AAAAAA"/>
          <w:bottom w:val="outset" w:sz="6" w:space="0" w:color="AAAAAA"/>
          <w:right w:val="outset" w:sz="6" w:space="0" w:color="AAAAAA"/>
          <w:insideH w:val="nil"/>
          <w:insideV w:val="nil"/>
        </w:tblBorders>
        <w:tblLayout w:type="fixed"/>
        <w:tblCellMar>
          <w:top w:w="60" w:type="dxa"/>
          <w:left w:w="60" w:type="dxa"/>
          <w:bottom w:w="60" w:type="dxa"/>
          <w:right w:w="60" w:type="dxa"/>
        </w:tblCellMar>
      </w:tblPr>
      <w:tblGrid>
        <w:gridCol w:w="2228"/>
        <w:gridCol w:w="714"/>
        <w:gridCol w:w="714"/>
        <w:gridCol w:w="3571"/>
        <w:gridCol w:w="714"/>
      </w:tblGrid>
      <w:tr>
        <w:tblPrEx>
          <w:tblW w:w="7941" w:type="dxa"/>
          <w:tblInd w:w="0" w:type="dxa"/>
          <w:tblBorders>
            <w:top w:val="outset" w:sz="6" w:space="0" w:color="AAAAAA"/>
            <w:left w:val="outset" w:sz="6" w:space="0" w:color="AAAAAA"/>
            <w:bottom w:val="outset" w:sz="6" w:space="0" w:color="AAAAAA"/>
            <w:right w:val="outset" w:sz="6" w:space="0" w:color="AAAAAA"/>
            <w:insideH w:val="nil"/>
            <w:insideV w:val="nil"/>
          </w:tblBorders>
          <w:tblLayout w:type="fixed"/>
          <w:tblCellMar>
            <w:top w:w="60" w:type="dxa"/>
            <w:left w:w="60" w:type="dxa"/>
            <w:bottom w:w="60" w:type="dxa"/>
            <w:right w:w="60" w:type="dxa"/>
          </w:tblCellMar>
        </w:tblPrEx>
        <w:tc>
          <w:tcPr>
            <w:tcW w:w="2228"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rPr>
            </w:pPr>
            <w:r>
              <w:rPr>
                <w:rFonts w:asciiTheme="minorEastAsia" w:eastAsiaTheme="minorEastAsia" w:hAnsiTheme="minorEastAsia" w:cs="宋体" w:hint="default"/>
                <w:szCs w:val="21"/>
              </w:rPr>
              <w:t>标的名称</w:t>
            </w:r>
          </w:p>
        </w:tc>
        <w:tc>
          <w:tcPr>
            <w:tcW w:w="714"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rPr>
            </w:pPr>
            <w:r>
              <w:rPr>
                <w:rFonts w:asciiTheme="minorEastAsia" w:eastAsiaTheme="minorEastAsia" w:hAnsiTheme="minorEastAsia" w:cs="宋体" w:hint="default"/>
                <w:szCs w:val="21"/>
              </w:rPr>
              <w:t>数量</w:t>
            </w:r>
          </w:p>
        </w:tc>
        <w:tc>
          <w:tcPr>
            <w:tcW w:w="714"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rPr>
            </w:pPr>
            <w:r>
              <w:rPr>
                <w:rFonts w:asciiTheme="minorEastAsia" w:eastAsiaTheme="minorEastAsia" w:hAnsiTheme="minorEastAsia" w:cs="宋体" w:hint="default"/>
                <w:szCs w:val="21"/>
              </w:rPr>
              <w:t>单位</w:t>
            </w:r>
          </w:p>
        </w:tc>
        <w:tc>
          <w:tcPr>
            <w:tcW w:w="3571"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rPr>
            </w:pPr>
            <w:r>
              <w:rPr>
                <w:rFonts w:asciiTheme="minorEastAsia" w:eastAsiaTheme="minorEastAsia" w:hAnsiTheme="minorEastAsia" w:cs="宋体" w:hint="default"/>
                <w:szCs w:val="21"/>
              </w:rPr>
              <w:t>简要技术需求（服务需求）</w:t>
            </w:r>
          </w:p>
        </w:tc>
        <w:tc>
          <w:tcPr>
            <w:tcW w:w="714" w:type="dxa"/>
            <w:tcBorders>
              <w:top w:val="outset" w:sz="6" w:space="0" w:color="AAAAAA"/>
              <w:left w:val="outset" w:sz="6" w:space="0" w:color="AAAAAA"/>
              <w:bottom w:val="outset" w:sz="6" w:space="0" w:color="AAAAAA"/>
              <w:right w:val="outset" w:sz="6" w:space="0" w:color="AAAAAA"/>
            </w:tcBorders>
            <w:shd w:val="clear" w:color="auto" w:fill="ABCDEF"/>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rPr>
            </w:pPr>
            <w:r>
              <w:rPr>
                <w:rFonts w:asciiTheme="minorEastAsia" w:eastAsiaTheme="minorEastAsia" w:hAnsiTheme="minorEastAsia" w:cs="宋体" w:hint="default"/>
                <w:szCs w:val="21"/>
              </w:rPr>
              <w:t>备注</w:t>
            </w:r>
          </w:p>
        </w:tc>
      </w:tr>
      <w:tr>
        <w:tblPrEx>
          <w:tblW w:w="7941" w:type="dxa"/>
          <w:tblInd w:w="0" w:type="dxa"/>
          <w:tblLayout w:type="fixed"/>
          <w:tblCellMar>
            <w:top w:w="60" w:type="dxa"/>
            <w:left w:w="60" w:type="dxa"/>
            <w:bottom w:w="60" w:type="dxa"/>
            <w:right w:w="60" w:type="dxa"/>
          </w:tblCellMar>
        </w:tblPrEx>
        <w:tc>
          <w:tcPr>
            <w:tcW w:w="2228" w:type="dxa"/>
            <w:tcBorders>
              <w:top w:val="outset" w:sz="6" w:space="0" w:color="AAAAAA"/>
              <w:left w:val="outset" w:sz="6" w:space="0" w:color="AAAAAA"/>
              <w:bottom w:val="outset" w:sz="6" w:space="0" w:color="AAAAAA"/>
              <w:right w:val="outset" w:sz="6" w:space="0" w:color="AAAAAA"/>
            </w:tcBorders>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eastAsia"/>
                <w:szCs w:val="21"/>
                <w:highlight w:val="yellow"/>
                <w:lang w:eastAsia="zh-CN"/>
              </w:rPr>
            </w:pPr>
            <w:r>
              <w:rPr>
                <w:rFonts w:ascii="宋体" w:eastAsia="宋体" w:hAnsi="宋体" w:cs="宋体" w:hint="eastAsia"/>
                <w:color w:val="FF0000"/>
                <w:highlight w:val="yellow"/>
                <w:u w:val="single"/>
                <w:lang w:val="en-US" w:eastAsia="zh-CN"/>
              </w:rPr>
              <w:t>2025年引航船艇管理服务</w:t>
            </w:r>
          </w:p>
        </w:tc>
        <w:tc>
          <w:tcPr>
            <w:tcW w:w="714" w:type="dxa"/>
            <w:tcBorders>
              <w:top w:val="outset" w:sz="6" w:space="0" w:color="AAAAAA"/>
              <w:left w:val="outset" w:sz="6" w:space="0" w:color="AAAAAA"/>
              <w:bottom w:val="outset" w:sz="6" w:space="0" w:color="AAAAAA"/>
              <w:right w:val="outset" w:sz="6" w:space="0" w:color="AAAAAA"/>
            </w:tcBorders>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highlight w:val="yellow"/>
              </w:rPr>
            </w:pPr>
            <w:r>
              <w:rPr>
                <w:rFonts w:asciiTheme="minorEastAsia" w:eastAsiaTheme="minorEastAsia" w:hAnsiTheme="minorEastAsia" w:cs="宋体" w:hint="default"/>
                <w:szCs w:val="21"/>
                <w:highlight w:val="yellow"/>
              </w:rPr>
              <w:t>1.0</w:t>
            </w:r>
          </w:p>
        </w:tc>
        <w:tc>
          <w:tcPr>
            <w:tcW w:w="714" w:type="dxa"/>
            <w:tcBorders>
              <w:top w:val="outset" w:sz="6" w:space="0" w:color="AAAAAA"/>
              <w:left w:val="outset" w:sz="6" w:space="0" w:color="AAAAAA"/>
              <w:bottom w:val="outset" w:sz="6" w:space="0" w:color="AAAAAA"/>
              <w:right w:val="outset" w:sz="6" w:space="0" w:color="AAAAAA"/>
            </w:tcBorders>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highlight w:val="yellow"/>
              </w:rPr>
            </w:pPr>
            <w:r>
              <w:rPr>
                <w:rFonts w:asciiTheme="minorEastAsia" w:eastAsiaTheme="minorEastAsia" w:hAnsiTheme="minorEastAsia" w:cs="宋体" w:hint="default"/>
                <w:szCs w:val="21"/>
                <w:highlight w:val="yellow"/>
              </w:rPr>
              <w:t>项</w:t>
            </w:r>
          </w:p>
        </w:tc>
        <w:tc>
          <w:tcPr>
            <w:tcW w:w="3571" w:type="dxa"/>
            <w:tcBorders>
              <w:top w:val="outset" w:sz="6" w:space="0" w:color="AAAAAA"/>
              <w:left w:val="outset" w:sz="6" w:space="0" w:color="AAAAAA"/>
              <w:bottom w:val="outset" w:sz="6" w:space="0" w:color="AAAAAA"/>
              <w:right w:val="outset" w:sz="6" w:space="0" w:color="AAAAAA"/>
            </w:tcBorders>
            <w:vAlign w:val="center"/>
          </w:tcPr>
          <w:p>
            <w:pPr>
              <w:keepNext w:val="0"/>
              <w:keepLines w:val="0"/>
              <w:widowControl/>
              <w:suppressLineNumbers w:val="0"/>
              <w:spacing w:before="100" w:beforeAutospacing="1" w:after="100" w:afterAutospacing="1"/>
              <w:ind w:left="0" w:right="0"/>
              <w:jc w:val="center"/>
              <w:rPr>
                <w:rFonts w:asciiTheme="minorEastAsia" w:eastAsiaTheme="minorEastAsia" w:hAnsiTheme="minorEastAsia" w:cs="宋体" w:hint="default"/>
                <w:szCs w:val="21"/>
                <w:highlight w:val="yellow"/>
              </w:rPr>
            </w:pPr>
            <w:r>
              <w:rPr>
                <w:rFonts w:asciiTheme="minorEastAsia" w:eastAsiaTheme="minorEastAsia" w:hAnsiTheme="minorEastAsia" w:cs="宋体" w:hint="default"/>
                <w:szCs w:val="21"/>
                <w:highlight w:val="yellow"/>
              </w:rPr>
              <w:t>详见采购文件</w:t>
            </w:r>
          </w:p>
        </w:tc>
        <w:tc>
          <w:tcPr>
            <w:tcW w:w="714" w:type="dxa"/>
            <w:tcBorders>
              <w:top w:val="outset" w:sz="6" w:space="0" w:color="AAAAAA"/>
              <w:left w:val="outset" w:sz="6" w:space="0" w:color="AAAAAA"/>
              <w:bottom w:val="outset" w:sz="6" w:space="0" w:color="AAAAAA"/>
              <w:right w:val="outset" w:sz="6" w:space="0" w:color="AAAAAA"/>
            </w:tcBorders>
            <w:vAlign w:val="center"/>
          </w:tcPr>
          <w:p>
            <w:pPr>
              <w:keepNext w:val="0"/>
              <w:keepLines w:val="0"/>
              <w:widowControl/>
              <w:suppressLineNumbers w:val="0"/>
              <w:spacing w:before="0" w:beforeAutospacing="0" w:after="0" w:afterAutospacing="0"/>
              <w:ind w:left="0" w:right="0"/>
              <w:jc w:val="center"/>
              <w:rPr>
                <w:rFonts w:asciiTheme="minorEastAsia" w:eastAsiaTheme="minorEastAsia" w:hAnsiTheme="minorEastAsia" w:cs="宋体" w:hint="default"/>
                <w:szCs w:val="21"/>
              </w:rPr>
            </w:pPr>
          </w:p>
        </w:tc>
      </w:tr>
    </w:tbl>
    <w:p>
      <w:pPr>
        <w:spacing w:line="400" w:lineRule="exact"/>
        <w:ind w:firstLine="480" w:firstLineChars="200"/>
        <w:rPr>
          <w:rFonts w:ascii="宋体" w:eastAsia="宋体" w:hAnsi="宋体" w:cs="宋体" w:hint="eastAsia"/>
        </w:rPr>
      </w:pPr>
      <w:r>
        <w:rPr>
          <w:rFonts w:ascii="宋体" w:eastAsia="宋体" w:hAnsi="宋体" w:cs="宋体" w:hint="eastAsia"/>
        </w:rPr>
        <w:t>6.合同履行期限：详见招标文件。</w:t>
      </w:r>
    </w:p>
    <w:p>
      <w:pPr>
        <w:spacing w:line="400" w:lineRule="exact"/>
        <w:ind w:firstLine="480" w:firstLineChars="200"/>
        <w:rPr>
          <w:rFonts w:ascii="宋体" w:eastAsia="宋体" w:hAnsi="宋体" w:cs="宋体" w:hint="eastAsia"/>
        </w:rPr>
      </w:pPr>
      <w:r>
        <w:rPr>
          <w:rFonts w:ascii="宋体" w:eastAsia="宋体" w:hAnsi="宋体" w:cs="宋体" w:hint="eastAsia"/>
        </w:rPr>
        <w:t>7.本项目</w:t>
      </w:r>
      <w:r>
        <w:rPr>
          <w:rFonts w:ascii="宋体" w:eastAsia="宋体" w:hAnsi="宋体" w:cs="宋体" w:hint="eastAsia"/>
          <w:lang w:val="en-US" w:eastAsia="zh-CN"/>
        </w:rPr>
        <w:t>不</w:t>
      </w:r>
      <w:r>
        <w:rPr>
          <w:rFonts w:ascii="宋体" w:eastAsia="宋体" w:hAnsi="宋体" w:cs="宋体" w:hint="eastAsia"/>
        </w:rPr>
        <w:t>接受联合体投标。</w:t>
      </w:r>
    </w:p>
    <w:p>
      <w:pPr>
        <w:spacing w:beforeLines="0" w:afterLines="0" w:line="240" w:lineRule="auto"/>
        <w:rPr>
          <w:rFonts w:ascii="宋体" w:eastAsia="宋体" w:hAnsi="宋体" w:cs="宋体" w:hint="eastAsia"/>
          <w:b/>
          <w:color w:val="000000" w:themeColor="text1"/>
          <w:szCs w:val="21"/>
          <w:lang w:eastAsia="zh-CN"/>
          <w14:textFill>
            <w14:solidFill>
              <w14:schemeClr w14:val="tx1"/>
            </w14:solidFill>
          </w14:textFill>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b/>
          <w:color w:val="000000" w:themeColor="text1"/>
          <w:szCs w:val="21"/>
          <w14:textFill>
            <w14:solidFill>
              <w14:schemeClr w14:val="tx1"/>
            </w14:solidFill>
          </w14:textFill>
        </w:rPr>
      </w:pPr>
      <w:r>
        <w:rPr>
          <w:rFonts w:ascii="宋体" w:eastAsia="宋体" w:hAnsi="宋体" w:cs="宋体" w:hint="eastAsia"/>
          <w:b/>
          <w:color w:val="000000" w:themeColor="text1"/>
          <w:szCs w:val="21"/>
          <w:lang w:eastAsia="zh-CN"/>
          <w14:textFill>
            <w14:solidFill>
              <w14:schemeClr w14:val="tx1"/>
            </w14:solidFill>
          </w14:textFill>
        </w:rPr>
        <w:t>二、</w:t>
      </w:r>
      <w:r>
        <w:rPr>
          <w:rFonts w:ascii="宋体" w:eastAsia="宋体" w:hAnsi="宋体" w:cs="宋体" w:hint="eastAsia"/>
          <w:b/>
          <w:color w:val="000000" w:themeColor="text1"/>
          <w:szCs w:val="21"/>
          <w14:textFill>
            <w14:solidFill>
              <w14:schemeClr w14:val="tx1"/>
            </w14:solidFill>
          </w14:textFill>
        </w:rPr>
        <w:t>投标人的资格要求：</w:t>
      </w:r>
    </w:p>
    <w:p>
      <w:pPr>
        <w:spacing w:beforeLines="0" w:afterLines="0"/>
        <w:ind w:firstLine="480" w:firstLineChars="200"/>
        <w:jc w:val="both"/>
        <w:rPr>
          <w:rFonts w:ascii="宋体" w:eastAsia="宋体" w:hAnsi="宋体"/>
          <w:szCs w:val="21"/>
        </w:rPr>
      </w:pPr>
      <w:r>
        <w:rPr>
          <w:rFonts w:ascii="宋体" w:eastAsia="宋体" w:hAnsi="宋体" w:hint="eastAsia"/>
        </w:rPr>
        <w:t>1.具有独立法人资格或是具有独立承担民事责任能力的其它组织（提供营业执照或事业单位法人证书</w:t>
      </w:r>
      <w:r>
        <w:rPr>
          <w:rFonts w:ascii="宋体" w:hAnsi="宋体" w:hint="eastAsia"/>
          <w:color w:val="auto"/>
          <w:kern w:val="0"/>
          <w:highlight w:val="none"/>
        </w:rPr>
        <w:t>或其他证明材料扫描件，原件备查）；</w:t>
      </w:r>
    </w:p>
    <w:p>
      <w:pPr>
        <w:ind w:firstLine="480" w:firstLineChars="200"/>
        <w:jc w:val="both"/>
        <w:rPr>
          <w:rFonts w:ascii="宋体" w:eastAsia="宋体" w:hAnsi="宋体"/>
        </w:rPr>
      </w:pPr>
      <w:r>
        <w:rPr>
          <w:rFonts w:ascii="宋体" w:eastAsia="宋体" w:hAnsi="宋体" w:hint="eastAsia"/>
        </w:rPr>
        <w:t>2.本项目不接受联合体投标，不接受进口产品参与投标（由供应商在《政府采购投标及履约承诺函》中作出声明）；</w:t>
      </w:r>
    </w:p>
    <w:p>
      <w:pPr>
        <w:spacing w:beforeLines="0" w:afterLines="0"/>
        <w:ind w:firstLine="480" w:firstLineChars="200"/>
        <w:jc w:val="both"/>
        <w:rPr>
          <w:rFonts w:ascii="宋体" w:eastAsia="宋体" w:hAnsi="宋体"/>
        </w:rPr>
      </w:pPr>
      <w:r>
        <w:rPr>
          <w:rFonts w:ascii="宋体" w:eastAsia="宋体" w:hAnsi="宋体" w:hint="eastAsia"/>
          <w:lang w:val="en-US" w:eastAsia="zh-CN"/>
        </w:rPr>
        <w:t>3</w:t>
      </w:r>
      <w:r>
        <w:rPr>
          <w:rFonts w:ascii="宋体" w:eastAsia="宋体" w:hAnsi="宋体" w:hint="eastAsia"/>
        </w:rPr>
        <w:t>.参与本项目政府采购活动时不存在被有关部门禁止参与政府采购活动且在有效期内的情况（由供应商在《政府采购投标及履约承诺函》中作出声明）；</w:t>
      </w:r>
    </w:p>
    <w:p>
      <w:pPr>
        <w:spacing w:beforeLines="0" w:afterLines="0"/>
        <w:ind w:firstLine="480" w:firstLineChars="200"/>
        <w:jc w:val="both"/>
        <w:rPr>
          <w:rFonts w:ascii="宋体" w:eastAsia="宋体" w:hAnsi="宋体"/>
        </w:rPr>
      </w:pPr>
      <w:r>
        <w:rPr>
          <w:rFonts w:ascii="宋体" w:eastAsia="宋体" w:hAnsi="宋体" w:hint="eastAsia"/>
          <w:lang w:val="en-US" w:eastAsia="zh-CN"/>
        </w:rPr>
        <w:t>4</w:t>
      </w:r>
      <w:r>
        <w:rPr>
          <w:rFonts w:ascii="宋体" w:eastAsia="宋体" w:hAnsi="宋体" w:hint="eastAsia"/>
        </w:rPr>
        <w:t>.具备《中华人民共和国政府采购法》第二十二条第一款的条件（由供应商在《政府采购投标及履约承诺函》中作出声明）；</w:t>
      </w:r>
    </w:p>
    <w:p>
      <w:pPr>
        <w:spacing w:beforeLines="0" w:afterLines="0"/>
        <w:ind w:firstLine="480" w:firstLineChars="200"/>
        <w:jc w:val="both"/>
        <w:rPr>
          <w:rFonts w:ascii="宋体" w:eastAsia="宋体" w:hAnsi="宋体"/>
        </w:rPr>
      </w:pPr>
      <w:r>
        <w:rPr>
          <w:rFonts w:ascii="宋体" w:eastAsia="宋体" w:hAnsi="宋体" w:hint="eastAsia"/>
          <w:lang w:val="en-US" w:eastAsia="zh-CN"/>
        </w:rPr>
        <w:t>5</w:t>
      </w:r>
      <w:r>
        <w:rPr>
          <w:rFonts w:ascii="宋体" w:eastAsia="宋体" w:hAnsi="宋体" w:hint="eastAsia"/>
        </w:rPr>
        <w:t>.未被列入失信被执行人、</w:t>
      </w:r>
      <w:r>
        <w:rPr>
          <w:rFonts w:ascii="宋体" w:eastAsia="宋体" w:hAnsi="宋体" w:hint="eastAsia"/>
          <w:lang w:eastAsia="zh-CN"/>
        </w:rPr>
        <w:t>重大税收违法失信主体</w:t>
      </w:r>
      <w:r>
        <w:rPr>
          <w:rFonts w:ascii="宋体" w:eastAsia="宋体" w:hAnsi="宋体" w:hint="eastAsia"/>
        </w:rPr>
        <w:t>、政府采购严重违法失信行为记录名单（由供应商在《政府采购投标及履约承诺函》中作出声明）。</w:t>
      </w:r>
    </w:p>
    <w:p>
      <w:pPr>
        <w:spacing w:beforeLines="0" w:afterLines="0"/>
        <w:ind w:firstLine="480" w:firstLineChars="200"/>
        <w:jc w:val="both"/>
      </w:pPr>
      <w:r>
        <w:rPr>
          <w:rFonts w:ascii="宋体" w:eastAsia="宋体" w:hAnsi="宋体" w:hint="eastAsia"/>
          <w:color w:val="4F81BD" w:themeColor="accent1"/>
          <w:lang w:val="en-US" w:eastAsia="zh-CN"/>
          <w14:textFill>
            <w14:solidFill>
              <w14:schemeClr w14:val="accent1"/>
            </w14:solidFill>
          </w14:textFill>
        </w:rPr>
        <w:t>6</w:t>
      </w:r>
      <w:r>
        <w:rPr>
          <w:rFonts w:ascii="宋体" w:eastAsia="宋体" w:hAnsi="宋体" w:hint="eastAsia"/>
          <w:color w:val="4F81BD" w:themeColor="accent1"/>
          <w14:textFill>
            <w14:solidFill>
              <w14:schemeClr w14:val="accent1"/>
            </w14:solidFill>
          </w14:textFill>
        </w:rPr>
        <w:t>.单位法定代表人（负责人）为同一人或者存在直接控股、管理关系的不同供应商，不得同时参加本项目投标（由供应商在《政府采购投标及履约承诺函》中作出声明）</w:t>
      </w:r>
      <w:r>
        <w:rPr>
          <w:rFonts w:ascii="宋体" w:hAnsi="宋体" w:cs="宋体" w:hint="eastAsia"/>
          <w:szCs w:val="21"/>
        </w:rPr>
        <w:t>【注：采购代理机构将通过国家企业信用信息公示系统(https://www.gsxt.gov.cn/index.html）、机关赋码和事业单位登记管理网（http://gjsy.gov.cn/sydwfrxxcx/)、全国社会组织信用信息公示平台（https://xxgs.chinanpo.mca.gov.cn/gsxt/newList 等网站查询供应商信息，相关信息以截标当日的查询结果为准】</w:t>
      </w:r>
      <w:r>
        <w:rPr>
          <w:rFonts w:ascii="宋体" w:hAnsi="宋体" w:cs="宋体" w:hint="eastAsia"/>
          <w:kern w:val="0"/>
          <w:lang w:eastAsia="zh-CN"/>
        </w:rPr>
        <w:t>；</w:t>
      </w:r>
    </w:p>
    <w:p>
      <w:pPr>
        <w:spacing w:beforeLines="0" w:afterLines="0"/>
        <w:ind w:firstLine="480" w:firstLineChars="200"/>
        <w:jc w:val="both"/>
        <w:rPr>
          <w:rFonts w:ascii="宋体" w:eastAsia="宋体" w:hAnsi="宋体" w:hint="eastAsia"/>
          <w:lang w:val="en-US" w:eastAsia="zh-CN"/>
        </w:rPr>
      </w:pPr>
      <w:r>
        <w:rPr>
          <w:rFonts w:ascii="宋体" w:eastAsia="宋体" w:hAnsi="宋体" w:hint="eastAsia"/>
          <w:lang w:val="en-US" w:eastAsia="zh-CN"/>
        </w:rPr>
        <w:t>7.不存在《深圳市财政局政府采购供应商信用信息管理办法》（深财规〔2023〕3 号）列明的严重违法失信行为</w:t>
      </w:r>
      <w:r>
        <w:rPr>
          <w:rFonts w:ascii="宋体" w:eastAsia="宋体" w:hAnsi="宋体" w:hint="eastAsia"/>
        </w:rPr>
        <w:t>（由供应商在《政府采购投标及履约承诺函》中作出声明）</w:t>
      </w:r>
      <w:r>
        <w:rPr>
          <w:rFonts w:ascii="宋体" w:eastAsia="宋体" w:hAnsi="宋体" w:hint="eastAsia"/>
          <w:lang w:val="en-US" w:eastAsia="zh-CN"/>
        </w:rPr>
        <w:t>；</w:t>
      </w:r>
    </w:p>
    <w:p>
      <w:pPr>
        <w:spacing w:beforeLines="0" w:afterLines="0"/>
        <w:ind w:firstLine="480" w:firstLineChars="200"/>
        <w:jc w:val="both"/>
        <w:rPr>
          <w:rFonts w:ascii="宋体" w:eastAsia="宋体" w:hAnsi="宋体"/>
          <w:color w:val="4F81BD" w:themeColor="accent1"/>
          <w14:textFill>
            <w14:solidFill>
              <w14:schemeClr w14:val="accent1"/>
            </w14:solidFill>
          </w14:textFill>
        </w:rPr>
      </w:pPr>
      <w:r>
        <w:rPr>
          <w:rFonts w:ascii="宋体" w:eastAsia="宋体" w:hAnsi="宋体" w:hint="eastAsia"/>
          <w:color w:val="4F81BD" w:themeColor="accent1"/>
          <w14:textFill>
            <w14:solidFill>
              <w14:schemeClr w14:val="accent1"/>
            </w14:solidFill>
          </w14:textFill>
        </w:rPr>
        <w:t>8.为本项目提供整体设计、规范编制或者项目管理、监理、检测等服务的供应商，不得参加本项目投标。（由供应商在《政府采购投标及履约承诺函》中作出声明）；</w:t>
      </w:r>
    </w:p>
    <w:p>
      <w:pPr>
        <w:spacing w:beforeLines="0" w:afterLines="0"/>
        <w:ind w:firstLine="480" w:firstLineChars="200"/>
        <w:jc w:val="both"/>
        <w:rPr>
          <w:rFonts w:ascii="宋体" w:eastAsia="宋体" w:hAnsi="宋体" w:hint="eastAsia"/>
          <w:lang w:eastAsia="zh-CN"/>
        </w:rPr>
      </w:pPr>
      <w:r>
        <w:rPr>
          <w:rFonts w:ascii="宋体" w:eastAsia="宋体" w:hAnsi="宋体" w:hint="eastAsia"/>
        </w:rPr>
        <w:t>9.本项目是否专门面向中小</w:t>
      </w:r>
      <w:r>
        <w:rPr>
          <w:rFonts w:ascii="宋体" w:eastAsia="宋体" w:hAnsi="宋体" w:hint="eastAsia"/>
          <w:lang w:eastAsia="zh-CN"/>
        </w:rPr>
        <w:t>微</w:t>
      </w:r>
      <w:r>
        <w:rPr>
          <w:rFonts w:ascii="宋体" w:eastAsia="宋体" w:hAnsi="宋体" w:hint="eastAsia"/>
        </w:rPr>
        <w:t>企业采购：否</w:t>
      </w:r>
      <w:r>
        <w:rPr>
          <w:rFonts w:ascii="宋体" w:eastAsia="宋体" w:hAnsi="宋体" w:hint="eastAsia"/>
          <w:color w:val="auto"/>
          <w:kern w:val="0"/>
          <w:highlight w:val="none"/>
          <w:lang w:val="en-US" w:eastAsia="zh-CN"/>
        </w:rPr>
        <w:t>；</w:t>
      </w:r>
    </w:p>
    <w:p>
      <w:pPr>
        <w:pStyle w:val="BodyText"/>
        <w:spacing w:beforeLines="0" w:after="0" w:afterLines="0" w:line="240" w:lineRule="auto"/>
        <w:ind w:firstLine="480" w:firstLineChars="200"/>
        <w:rPr>
          <w:rFonts w:ascii="宋体" w:eastAsia="宋体" w:hAnsi="宋体"/>
          <w:b/>
          <w:bCs/>
        </w:rPr>
      </w:pPr>
      <w:r>
        <w:rPr>
          <w:rFonts w:ascii="宋体" w:eastAsia="宋体" w:hAnsi="宋体" w:hint="eastAsia"/>
          <w:b/>
          <w:bCs/>
        </w:rPr>
        <w:t>本项目所属行业类型为：</w:t>
      </w:r>
      <w:r>
        <w:rPr>
          <w:rFonts w:ascii="宋体" w:eastAsia="宋体" w:hAnsi="宋体" w:cs="宋体" w:hint="eastAsia"/>
          <w:sz w:val="24"/>
          <w:lang w:eastAsia="zh-CN"/>
        </w:rPr>
        <w:t>交通运输业</w:t>
      </w:r>
      <w:r>
        <w:rPr>
          <w:rFonts w:ascii="宋体" w:eastAsia="宋体" w:hAnsi="宋体" w:hint="eastAsia"/>
          <w:b/>
          <w:bCs/>
        </w:rPr>
        <w:t>。</w:t>
      </w:r>
    </w:p>
    <w:p>
      <w:pPr>
        <w:spacing w:beforeLines="0" w:afterLines="0"/>
        <w:ind w:firstLine="480" w:firstLineChars="200"/>
        <w:jc w:val="both"/>
        <w:rPr>
          <w:rFonts w:ascii="宋体" w:eastAsia="宋体" w:hAnsi="宋体"/>
        </w:rPr>
      </w:pPr>
      <w:r>
        <w:rPr>
          <w:rFonts w:ascii="宋体" w:eastAsia="宋体" w:hAnsi="宋体" w:hint="eastAsia"/>
        </w:rPr>
        <w:t>注：（1）采购代理机构将通过“信用中国”中“信用服务”栏的“</w:t>
      </w:r>
      <w:r>
        <w:rPr>
          <w:rFonts w:ascii="宋体" w:eastAsia="宋体" w:hAnsi="宋体" w:hint="eastAsia"/>
          <w:lang w:eastAsia="zh-CN"/>
        </w:rPr>
        <w:t>重大税收违法失信主体</w:t>
      </w:r>
      <w:r>
        <w:rPr>
          <w:rFonts w:ascii="宋体" w:eastAsia="宋体" w:hAnsi="宋体" w:hint="eastAsia"/>
        </w:rPr>
        <w:t>”“失信被执行人”</w:t>
      </w:r>
      <w:r>
        <w:rPr>
          <w:rFonts w:ascii="宋体" w:eastAsia="宋体" w:hAnsi="宋体" w:hint="eastAsia"/>
          <w:lang w:eastAsia="zh-CN"/>
        </w:rPr>
        <w:t>，</w:t>
      </w:r>
      <w:r>
        <w:rPr>
          <w:rFonts w:ascii="宋体" w:eastAsia="宋体" w:hAnsi="宋体" w:hint="eastAsia"/>
        </w:rPr>
        <w:t>“中国政府采购网”中的“政府采购严重违法失信行为记录名单”“深圳信用网”以及“深圳市政府采购监管网”为供应商信用信息的查询渠道，相关信息以开标当日的查询结果为准。信用信息查询记录应当作为项目档案材料一并保存；</w:t>
      </w:r>
    </w:p>
    <w:p>
      <w:pPr>
        <w:spacing w:beforeLines="0" w:afterLines="0"/>
        <w:ind w:firstLine="480" w:firstLineChars="200"/>
        <w:jc w:val="both"/>
        <w:rPr>
          <w:rFonts w:ascii="宋体" w:eastAsia="宋体" w:hAnsi="宋体" w:hint="eastAsia"/>
          <w:color w:val="auto"/>
          <w:kern w:val="0"/>
          <w:highlight w:val="none"/>
          <w:lang w:eastAsia="zh-CN"/>
        </w:rPr>
      </w:pPr>
      <w:r>
        <w:rPr>
          <w:rFonts w:ascii="宋体" w:hAnsi="宋体" w:hint="eastAsia"/>
          <w:color w:val="auto"/>
          <w:kern w:val="0"/>
          <w:highlight w:val="none"/>
          <w:lang w:eastAsia="zh-CN"/>
        </w:rPr>
        <w:t>（</w:t>
      </w:r>
      <w:r>
        <w:rPr>
          <w:rFonts w:ascii="宋体" w:hAnsi="宋体" w:hint="eastAsia"/>
          <w:color w:val="auto"/>
          <w:kern w:val="0"/>
          <w:highlight w:val="none"/>
          <w:lang w:val="en-US" w:eastAsia="zh-CN"/>
        </w:rPr>
        <w:t>2</w:t>
      </w:r>
      <w:r>
        <w:rPr>
          <w:rFonts w:ascii="宋体" w:hAnsi="宋体" w:hint="eastAsia"/>
          <w:color w:val="auto"/>
          <w:kern w:val="0"/>
          <w:highlight w:val="none"/>
          <w:lang w:eastAsia="zh-CN"/>
        </w:rPr>
        <w:t>）</w:t>
      </w:r>
      <w:r>
        <w:rPr>
          <w:rFonts w:ascii="仿宋" w:eastAsia="仿宋" w:hAnsi="仿宋" w:cs="仿宋" w:hint="eastAsia"/>
          <w:color w:val="FF0000"/>
          <w:sz w:val="24"/>
        </w:rPr>
        <w:t>采购代理机构将通过国家企业信用信息公示系统(https://www.gsxt.gov.cn/index.html）或机关赋码和事业单位登记管理网（http://gjsy.gov.cn/sydwfrxxcx/)或全国社会组织信用信息公示平台（https://xxgs.chinanpo.mca.gov.cn/gsxt/newList 等网站查询供应商信息，相关信息以截标当日的查询结果为准</w:t>
      </w:r>
      <w:r>
        <w:rPr>
          <w:rFonts w:ascii="宋体" w:eastAsia="宋体" w:hAnsi="宋体" w:hint="eastAsia"/>
          <w:color w:val="auto"/>
          <w:kern w:val="0"/>
          <w:highlight w:val="none"/>
          <w:lang w:eastAsia="zh-CN"/>
        </w:rPr>
        <w:t>；</w:t>
      </w:r>
    </w:p>
    <w:p>
      <w:pPr>
        <w:spacing w:beforeLines="0" w:afterLines="0"/>
        <w:ind w:firstLine="480" w:firstLineChars="200"/>
        <w:jc w:val="both"/>
        <w:rPr>
          <w:rFonts w:ascii="宋体" w:eastAsia="宋体" w:hAnsi="宋体"/>
          <w:color w:val="4F81BD" w:themeColor="accent1"/>
          <w14:textFill>
            <w14:solidFill>
              <w14:schemeClr w14:val="accent1"/>
            </w14:solidFill>
          </w14:textFill>
        </w:rPr>
      </w:pPr>
      <w:r>
        <w:rPr>
          <w:rFonts w:ascii="宋体" w:eastAsia="宋体" w:hAnsi="宋体" w:hint="eastAsia"/>
          <w:color w:val="4F81BD" w:themeColor="accent1"/>
          <w14:textFill>
            <w14:solidFill>
              <w14:schemeClr w14:val="accent1"/>
            </w14:solidFill>
          </w14:textFill>
        </w:rPr>
        <w:t>（</w:t>
      </w:r>
      <w:r>
        <w:rPr>
          <w:rFonts w:ascii="宋体" w:eastAsia="宋体" w:hAnsi="宋体" w:hint="eastAsia"/>
          <w:color w:val="4F81BD" w:themeColor="accent1"/>
          <w:lang w:val="en-US" w:eastAsia="zh-CN"/>
          <w14:textFill>
            <w14:solidFill>
              <w14:schemeClr w14:val="accent1"/>
            </w14:solidFill>
          </w14:textFill>
        </w:rPr>
        <w:t>3</w:t>
      </w:r>
      <w:r>
        <w:rPr>
          <w:rFonts w:ascii="宋体" w:eastAsia="宋体" w:hAnsi="宋体" w:hint="eastAsia"/>
          <w:color w:val="4F81BD" w:themeColor="accent1"/>
          <w14:textFill>
            <w14:solidFill>
              <w14:schemeClr w14:val="accent1"/>
            </w14:solidFill>
          </w14:textFill>
        </w:rPr>
        <w:t>）供应商投标（上传投标文件）请先行办理注册手续，具体请按照本公告“六、其他补充事宜”相关内容指引办理。</w:t>
      </w: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default"/>
          <w:b/>
          <w:color w:val="000000" w:themeColor="text1"/>
          <w:szCs w:val="21"/>
          <w:lang w:val="en-US" w:eastAsia="zh-CN"/>
          <w14:textFill>
            <w14:solidFill>
              <w14:schemeClr w14:val="tx1"/>
            </w14:solidFill>
          </w14:textFill>
        </w:rPr>
      </w:pPr>
      <w:r>
        <w:rPr>
          <w:rFonts w:ascii="宋体" w:eastAsia="宋体" w:hAnsi="宋体" w:cs="宋体" w:hint="eastAsia"/>
          <w:b/>
          <w:color w:val="000000" w:themeColor="text1"/>
          <w:szCs w:val="21"/>
          <w14:textFill>
            <w14:solidFill>
              <w14:schemeClr w14:val="tx1"/>
            </w14:solidFill>
          </w14:textFill>
        </w:rPr>
        <w:t>三、获取招标文件</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时间：发布招标公告当日至</w:t>
      </w:r>
      <w:r>
        <w:rPr>
          <w:rFonts w:ascii="宋体" w:eastAsia="宋体" w:hAnsi="宋体" w:cs="宋体" w:hint="eastAsia"/>
          <w:color w:val="FF0000"/>
          <w:highlight w:val="yellow"/>
          <w:lang w:val="en-US" w:eastAsia="zh-CN"/>
        </w:rPr>
        <w:t>2024年X月X日XX时XX分XX秒</w:t>
      </w:r>
      <w:r>
        <w:rPr>
          <w:rFonts w:ascii="宋体" w:eastAsia="宋体" w:hAnsi="宋体" w:cs="宋体" w:hint="eastAsia"/>
        </w:rPr>
        <w:t xml:space="preserve">（北京时间） </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地点：登录深圳政府采购智慧平台（http://zfcg.szggzy.com:8081）下载本项目的招标文件。</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 xml:space="preserve">方式：在线下载。 </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售价：免费。</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both"/>
        <w:textAlignment w:val="auto"/>
        <w:rPr>
          <w:rFonts w:ascii="宋体" w:eastAsia="宋体" w:hAnsi="宋体" w:cs="宋体" w:hint="eastAsia"/>
        </w:rPr>
      </w:pPr>
      <w:r>
        <w:rPr>
          <w:rFonts w:ascii="宋体" w:eastAsia="宋体" w:hAnsi="宋体" w:cs="宋体" w:hint="eastAsia"/>
        </w:rPr>
        <w:t>凡已注册的深圳市网上政府采购供应商，按照授予的操作权限，可于发布招标公告当日至</w:t>
      </w:r>
      <w:r>
        <w:rPr>
          <w:rFonts w:ascii="宋体" w:eastAsia="宋体" w:hAnsi="宋体" w:cs="宋体" w:hint="eastAsia"/>
          <w:color w:val="FF0000"/>
          <w:highlight w:val="yellow"/>
          <w:lang w:val="en-US" w:eastAsia="zh-CN"/>
        </w:rPr>
        <w:t>2024年X月X日XX时XX分XX秒</w:t>
      </w:r>
      <w:r>
        <w:rPr>
          <w:rFonts w:ascii="宋体" w:eastAsia="宋体" w:hAnsi="宋体" w:cs="宋体" w:hint="eastAsia"/>
        </w:rPr>
        <w:t>（北京时间）期间登录深圳政府采购智慧平台（http://zfcg.szggzy.com:8081/）下载本项目的采购文件。投标人如确定参加投标，首先要在深圳政府采购智慧平台网上办事子系统（http://zfcg.szggzy.com:8081/TPBidder/memberLogin）网上报名投标，方法为在网上办事子系统后点击“【招标公告】→【我要报名】”；如果网上报名后上传了投标文件，又不参加投标，应再到【我的项目】→【项目流程】→【递交投标(应答)文件】功能点中进行“【撤回本次投标】”操作；如果是未注册为深圳政府采购智慧平台（http://zfcg.szggzy.com:8081/）的供应商，请先办理密钥（请点击），并前往深圳公共资源交易中心（深圳交易集团有限公司政府采购业务分公司）绑定深圳政府采购智慧平台用户（地址：</w:t>
      </w:r>
      <w:r>
        <w:rPr>
          <w:rFonts w:ascii="宋体" w:eastAsia="宋体" w:hAnsi="宋体" w:cs="宋体" w:hint="eastAsia"/>
          <w:lang w:eastAsia="zh-CN"/>
        </w:rPr>
        <w:t>深圳市南山区沙河西路3185号南山智谷A座（深圳交易集团总部大楼）3楼前台，咨询电话：0755-83948165、0755-83938966、4008301330</w:t>
      </w:r>
      <w:r>
        <w:rPr>
          <w:rFonts w:ascii="宋体" w:eastAsia="宋体" w:hAnsi="宋体" w:cs="宋体" w:hint="eastAsia"/>
        </w:rPr>
        <w:t>），再进行投标报名。在网上报名后，点击“【我的项目】→【项目流程】→【采购文件下载】”进行招标文件的下载。</w:t>
      </w: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r>
        <w:rPr>
          <w:rFonts w:ascii="宋体" w:eastAsia="宋体" w:hAnsi="宋体" w:cs="宋体" w:hint="eastAsia"/>
          <w:b/>
          <w:color w:val="000000" w:themeColor="text1"/>
          <w:szCs w:val="21"/>
          <w14:textFill>
            <w14:solidFill>
              <w14:schemeClr w14:val="tx1"/>
            </w14:solidFill>
          </w14:textFill>
        </w:rPr>
        <w:t>四、提交投标文件截止时间、开标时间和地点</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1.投标截止时间：所有投标文件应于</w:t>
      </w:r>
      <w:r>
        <w:rPr>
          <w:rFonts w:ascii="宋体" w:eastAsia="宋体" w:hAnsi="宋体" w:cs="宋体" w:hint="eastAsia"/>
          <w:color w:val="FF0000"/>
          <w:highlight w:val="yellow"/>
          <w:lang w:val="en-US" w:eastAsia="zh-CN"/>
        </w:rPr>
        <w:t>2024年X月X日XX时XX分XX秒（北京时间）</w:t>
      </w:r>
      <w:r>
        <w:rPr>
          <w:rFonts w:ascii="宋体" w:eastAsia="宋体" w:hAnsi="宋体" w:cs="宋体" w:hint="eastAsia"/>
        </w:rPr>
        <w:t>之前上传到深圳政府采购智慧平台（http://zfcg.szggzy.com:8081/）。具体操作为登录“深圳政府采购智慧平台用户网上办事子系统（http://zfcg.szggzy.com:8081/TPBidder/memberLogin）”，用“【我的项目】→【项目流程】→【递交投标(应答)文件】”功能点上传投标文件。本项目电子投标文件最大容量为100MB，超过此容量的文件将被拒绝。    </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2.开标时间和地点：定于</w:t>
      </w:r>
      <w:r>
        <w:rPr>
          <w:rFonts w:ascii="宋体" w:eastAsia="宋体" w:hAnsi="宋体" w:cs="宋体" w:hint="eastAsia"/>
          <w:color w:val="FF0000"/>
          <w:highlight w:val="yellow"/>
          <w:lang w:val="en-US" w:eastAsia="zh-CN"/>
        </w:rPr>
        <w:t>2024年X月X日XX时XX分XX秒（北京时间）</w:t>
      </w:r>
      <w:r>
        <w:rPr>
          <w:rFonts w:ascii="宋体" w:eastAsia="宋体" w:hAnsi="宋体" w:cs="宋体" w:hint="eastAsia"/>
        </w:rPr>
        <w:t>，在</w:t>
      </w:r>
      <w:r>
        <w:rPr>
          <w:rFonts w:ascii="宋体" w:eastAsia="宋体" w:hAnsi="宋体" w:cs="宋体" w:hint="eastAsia"/>
          <w:highlight w:val="yellow"/>
        </w:rPr>
        <w:t>友和保险经纪有限公司</w:t>
      </w:r>
      <w:r>
        <w:rPr>
          <w:rFonts w:ascii="宋体" w:eastAsia="宋体" w:hAnsi="宋体" w:cs="宋体" w:hint="eastAsia"/>
        </w:rPr>
        <w:t>公开开标。供应商可以登录“深圳政府采购智慧平台用户网上办事子系统（http://zfcg.szggzy.com:8081/TPBidder/memberLogin）”，在“【我的项目】→【项目流程】→【开标及解密】”进行在线解密、查询开标情况。</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3.在线解密：投标人须在</w:t>
      </w:r>
      <w:r>
        <w:rPr>
          <w:rFonts w:ascii="宋体" w:eastAsia="宋体" w:hAnsi="宋体" w:cs="宋体" w:hint="eastAsia"/>
          <w:color w:val="FF0000"/>
          <w:highlight w:val="yellow"/>
          <w:lang w:val="en-US" w:eastAsia="zh-CN"/>
        </w:rPr>
        <w:t>开标当日XX:XX:XX-XX:XX:XX期间</w:t>
      </w:r>
      <w:r>
        <w:rPr>
          <w:rFonts w:ascii="宋体" w:eastAsia="宋体" w:hAnsi="宋体" w:cs="宋体" w:hint="eastAsia"/>
        </w:rPr>
        <w:t>进行解密，逾期未解密的作无效处理。解密方法：登录“深圳政府采购智慧平台用户网上办事子系统（http://zfcg.szggzy.com:8081/TPBidder/memberLogin）”，使用本单位制作电子投标文件同一个电子密钥，在“【我的项目】→【项目流程】→【开标及解密】”进行在线解密、查询开标情况。</w:t>
      </w: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r>
        <w:rPr>
          <w:rFonts w:ascii="宋体" w:eastAsia="宋体" w:hAnsi="宋体" w:cs="宋体" w:hint="eastAsia"/>
          <w:b/>
          <w:color w:val="000000" w:themeColor="text1"/>
          <w:szCs w:val="21"/>
          <w14:textFill>
            <w14:solidFill>
              <w14:schemeClr w14:val="tx1"/>
            </w14:solidFill>
          </w14:textFill>
        </w:rPr>
        <w:t>五、公告期限</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自本公告发布之日起5个工作日。</w:t>
      </w: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r>
        <w:rPr>
          <w:rFonts w:ascii="宋体" w:eastAsia="宋体" w:hAnsi="宋体" w:cs="宋体" w:hint="eastAsia"/>
          <w:b/>
          <w:color w:val="000000" w:themeColor="text1"/>
          <w:szCs w:val="21"/>
          <w14:textFill>
            <w14:solidFill>
              <w14:schemeClr w14:val="tx1"/>
            </w14:solidFill>
          </w14:textFill>
        </w:rPr>
        <w:t>六、其他补充事宜</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1.本项目实行网上投标，采用电子投标文件。</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2.报名操作：投标人如确定参加投标，首先要在深圳政府采购网上报名投标，方法为登录深圳公共资源交易中心（深圳交易集团有限公司政府采购业务分公司）网后点击“招标公告”选中要报名标段点击“我要报名”或“代办→邀请提醒”；如果网上报名后上传了投标文件，又不参加投标，应再到【我的项目】→【项目流程】→【递交投标(应答)文件】→【上传投标文件】功能点中进行“撤标”操作；如果是未注册为深圳政府采购的供应商，请访问深圳公共资源交易中心（深圳交易集团有限公司政府采购业务分公司）（http://www.szzfcg.cn/）,先办理注册手续（注册咨询：83938966；电子密钥咨询：83948165</w:t>
      </w:r>
      <w:r>
        <w:rPr>
          <w:rFonts w:ascii="宋体" w:eastAsia="宋体" w:hAnsi="宋体" w:cs="宋体" w:hint="eastAsia"/>
          <w:lang w:eastAsia="zh-CN"/>
        </w:rPr>
        <w:t>、</w:t>
      </w:r>
      <w:r>
        <w:rPr>
          <w:rFonts w:ascii="宋体" w:eastAsia="宋体" w:hAnsi="宋体" w:cs="宋体" w:hint="eastAsia"/>
        </w:rPr>
        <w:t>4008301330 ），再进行投标报名。在网上报名后，点击“我的项目→项目流程”中进行招标文件的下载。</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3.开标操作：投标人可以登录“深圳公共资源交易中心（深圳交易集团有限公司政府采购业务分公司）网站”，在系统登录首页面即可查看开标情况。</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4.投标操作：具体操作为登录“深圳公共资源交易中心（深圳交易集团有限公司政府采购业务分公司）网站”，用“我的项目→项目流程→递交投标(应答)文件→上传投标文件”功能点上传投标文件。本项目电子投标文件最大容量为100MB，超过此容量的文件将被拒绝。</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5.采购文件澄清/修改事项：</w:t>
      </w:r>
      <w:r>
        <w:rPr>
          <w:rFonts w:ascii="宋体" w:eastAsia="宋体" w:hAnsi="宋体" w:cs="宋体" w:hint="eastAsia"/>
          <w:color w:val="FF0000"/>
          <w:highlight w:val="yellow"/>
          <w:lang w:val="en-US" w:eastAsia="zh-CN"/>
        </w:rPr>
        <w:t>2024年X月X日XX:XX:XX（北京时间）前</w:t>
      </w:r>
      <w:r>
        <w:rPr>
          <w:rFonts w:ascii="宋体" w:eastAsia="宋体" w:hAnsi="宋体" w:cs="宋体" w:hint="eastAsia"/>
        </w:rPr>
        <w:t>，供应商如果认为采购文件存在不明确、不清晰和前后不一致等问题，可登录深圳公共资源交易中心网（http://zfcg.szggzy.com:8081/）→“深圳政府采购智慧平台用户网上办事子系统（http://zfcg.szggzy.com:8081/TPBidder/memberLogin）”，在“【我的项目】→【项目流程】→【提问】”功能点中填写需澄清内容</w:t>
      </w:r>
      <w:r>
        <w:rPr>
          <w:rFonts w:ascii="宋体" w:eastAsia="宋体" w:hAnsi="宋体" w:cs="宋体" w:hint="eastAsia"/>
          <w:color w:val="FF0000"/>
          <w:highlight w:val="yellow"/>
          <w:lang w:val="en-US" w:eastAsia="zh-CN"/>
        </w:rPr>
        <w:t>2024年X月X日XX:XX:XX（北京时间）</w:t>
      </w:r>
      <w:r>
        <w:rPr>
          <w:rFonts w:ascii="宋体" w:eastAsia="宋体" w:hAnsi="宋体" w:cs="宋体" w:hint="eastAsia"/>
        </w:rPr>
        <w:t>前将采购文件澄清/修改情况在“【我的项目】→【项目流程】→【答疑澄清文件下载】”中公布，望投标人予以关注。</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重要提示：“提出采购文件澄清要求”不等同于“对采购文件质疑”，供应商提出的澄清要求内容如出现“质疑”字眼，将予以退回。供应商如认为采购文件存在限制性、倾向性、其权益受到损害，应在采购文件公布之日起七个工作日内以书面形式提出质疑。请质疑供应商根据深圳公共资源交易中心网（ https://www.szggzy.com/globalSearch/details.html?contentId=1211037）所发布的质疑指引、质疑函模板填写质疑函并提交质疑材料。质疑材料可以采用现场或邮寄方式提交，采用邮寄方式提交的，交邮时间应在本公告发布之日起七个工作日内。质疑材料现场提交、邮寄地址：深圳市福田区福田体育公园西北角友和招标代理服务中心（靠近北门）。</w:t>
      </w:r>
      <w:r>
        <w:rPr>
          <w:rFonts w:ascii="宋体" w:eastAsia="宋体" w:hAnsi="宋体" w:cs="宋体" w:hint="eastAsia"/>
          <w:color w:val="FF0000"/>
          <w:highlight w:val="yellow"/>
          <w:lang w:val="en-US" w:eastAsia="zh-CN"/>
        </w:rPr>
        <w:t>质疑咨询电话：0755-83881282</w:t>
      </w:r>
      <w:r>
        <w:rPr>
          <w:rFonts w:ascii="宋体" w:eastAsia="宋体" w:hAnsi="宋体" w:cs="宋体" w:hint="eastAsia"/>
          <w:lang w:val="en-US" w:eastAsia="zh-CN"/>
        </w:rPr>
        <w:t>，</w:t>
      </w:r>
      <w:r>
        <w:rPr>
          <w:rFonts w:ascii="宋体" w:eastAsia="宋体" w:hAnsi="宋体" w:cs="宋体" w:hint="eastAsia"/>
          <w:lang w:eastAsia="zh-CN"/>
        </w:rPr>
        <w:t>质疑材料提交邮箱：ywjd@uho.cn</w:t>
      </w:r>
      <w:r>
        <w:rPr>
          <w:rFonts w:ascii="宋体" w:eastAsia="宋体" w:hAnsi="宋体" w:cs="宋体" w:hint="eastAsia"/>
          <w:b w:val="0"/>
          <w:bCs w:val="0"/>
        </w:rPr>
        <w:t>。</w:t>
      </w:r>
      <w:r>
        <w:rPr>
          <w:rFonts w:ascii="宋体" w:eastAsia="宋体" w:hAnsi="宋体" w:cs="宋体" w:hint="eastAsia"/>
        </w:rPr>
        <w:t xml:space="preserve">根据《深圳经济特区政府采购条例》第四十二条“供应商投诉的事项应当是经过质疑的事项”的规定，未经正式质疑的，将影响供应商行使向财政部门提起投诉的权利。） </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6.</w:t>
      </w:r>
      <w:r>
        <w:rPr>
          <w:rFonts w:ascii="宋体" w:eastAsia="宋体" w:hAnsi="宋体" w:cs="宋体" w:hint="eastAsia"/>
          <w:highlight w:val="yellow"/>
        </w:rPr>
        <w:t>友和保险经纪有限公司</w:t>
      </w:r>
      <w:r>
        <w:rPr>
          <w:rFonts w:ascii="宋体" w:eastAsia="宋体" w:hAnsi="宋体" w:cs="宋体" w:hint="eastAsia"/>
        </w:rPr>
        <w:t xml:space="preserve">有权对投标人就本项目要求提供的相关证明资料（原件）进行审查。供应商提供虚假资料被查实的，则可能面临被取消本项目中标资格、列入不良行为记录名单和三年内禁止参与深圳市政府采购活动的风险。 </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7.本招标公告及本项目招标文件所涉及的时间一律为北京时间。投标人有义务在招标活动期间浏览深圳公共资源交易中心（深圳交易集团有限公司政府采购业务分公司）网（http://zfcg.szggzy.com:8081），在深圳公共资源交易中心（深圳交易集团有限公司政府采购业务分公司）网上公布的与本次招标项目有关的信息视为已送达各投标人。</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8.本项目不需要投标保证金。</w:t>
      </w: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p>
    <w:p>
      <w:pPr>
        <w:keepNext w:val="0"/>
        <w:keepLines w:val="0"/>
        <w:pageBreakBefore w:val="0"/>
        <w:widowControl/>
        <w:kinsoku/>
        <w:wordWrap/>
        <w:overflowPunct/>
        <w:topLinePunct w:val="0"/>
        <w:autoSpaceDE/>
        <w:autoSpaceDN/>
        <w:bidi w:val="0"/>
        <w:adjustRightInd/>
        <w:snapToGrid/>
        <w:spacing w:beforeLines="0" w:afterLines="0" w:line="240" w:lineRule="auto"/>
        <w:ind w:firstLine="480" w:firstLineChars="200"/>
        <w:textAlignment w:val="auto"/>
        <w:rPr>
          <w:rFonts w:ascii="宋体" w:eastAsia="宋体" w:hAnsi="宋体" w:cs="宋体" w:hint="eastAsia"/>
          <w:b/>
          <w:color w:val="000000" w:themeColor="text1"/>
          <w:szCs w:val="21"/>
          <w14:textFill>
            <w14:solidFill>
              <w14:schemeClr w14:val="tx1"/>
            </w14:solidFill>
          </w14:textFill>
        </w:rPr>
      </w:pPr>
      <w:r>
        <w:rPr>
          <w:rFonts w:ascii="宋体" w:eastAsia="宋体" w:hAnsi="宋体" w:cs="宋体" w:hint="eastAsia"/>
          <w:b/>
          <w:color w:val="000000" w:themeColor="text1"/>
          <w:szCs w:val="21"/>
          <w14:textFill>
            <w14:solidFill>
              <w14:schemeClr w14:val="tx1"/>
            </w14:solidFill>
          </w14:textFill>
        </w:rPr>
        <w:t>七、对本次采购提出询问，请按以下方式联系</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r>
        <w:rPr>
          <w:rFonts w:ascii="宋体" w:eastAsia="宋体" w:hAnsi="宋体" w:cs="宋体" w:hint="eastAsia"/>
        </w:rPr>
        <w:t>1.采购人信息</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rPr>
      </w:pPr>
      <w:r>
        <w:rPr>
          <w:rFonts w:ascii="宋体" w:eastAsia="宋体" w:hAnsi="宋体" w:cs="宋体" w:hint="eastAsia"/>
          <w:color w:val="auto"/>
          <w:highlight w:val="none"/>
        </w:rPr>
        <w:t>名　称：深圳港引航站</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lang w:val="en-US" w:eastAsia="zh-CN"/>
        </w:rPr>
      </w:pPr>
      <w:r>
        <w:rPr>
          <w:rFonts w:ascii="宋体" w:eastAsia="宋体" w:hAnsi="宋体" w:cs="宋体" w:hint="eastAsia"/>
          <w:color w:val="auto"/>
          <w:highlight w:val="none"/>
        </w:rPr>
        <w:t>地　址：</w:t>
      </w:r>
      <w:r>
        <w:rPr>
          <w:rFonts w:ascii="宋体" w:eastAsia="宋体" w:hAnsi="宋体" w:cs="宋体" w:hint="eastAsia"/>
          <w:color w:val="auto"/>
          <w:highlight w:val="none"/>
          <w:lang w:val="en-US" w:eastAsia="zh-CN"/>
        </w:rPr>
        <w:t>深圳市福田区竹子林紫竹七道16号2114</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default"/>
          <w:color w:val="auto"/>
          <w:highlight w:val="none"/>
          <w:lang w:val="en-US" w:eastAsia="zh-CN"/>
        </w:rPr>
      </w:pPr>
      <w:r>
        <w:rPr>
          <w:rFonts w:ascii="宋体" w:eastAsia="宋体" w:hAnsi="宋体" w:cs="宋体" w:hint="eastAsia"/>
          <w:color w:val="auto"/>
          <w:highlight w:val="none"/>
        </w:rPr>
        <w:t>联系方式：</w:t>
      </w:r>
      <w:r>
        <w:rPr>
          <w:rFonts w:ascii="宋体" w:eastAsia="宋体" w:hAnsi="宋体" w:cs="宋体" w:hint="eastAsia"/>
          <w:color w:val="auto"/>
          <w:highlight w:val="none"/>
          <w:lang w:val="en-US" w:eastAsia="zh-CN"/>
        </w:rPr>
        <w:t>刘工，0755-</w:t>
      </w:r>
      <w:r>
        <w:rPr>
          <w:rFonts w:eastAsia="宋体" w:hint="eastAsia"/>
          <w:color w:val="auto"/>
          <w:highlight w:val="none"/>
          <w:lang w:val="en-US" w:eastAsia="zh-CN"/>
        </w:rPr>
        <w:t>83797236</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rPr>
      </w:pPr>
      <w:r>
        <w:rPr>
          <w:rFonts w:ascii="宋体" w:eastAsia="宋体" w:hAnsi="宋体" w:cs="宋体" w:hint="eastAsia"/>
          <w:color w:val="auto"/>
          <w:highlight w:val="none"/>
        </w:rPr>
        <w:t>2.招标机构</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rPr>
      </w:pPr>
      <w:r>
        <w:rPr>
          <w:rFonts w:ascii="宋体" w:eastAsia="宋体" w:hAnsi="宋体" w:cs="宋体" w:hint="eastAsia"/>
          <w:color w:val="auto"/>
          <w:highlight w:val="none"/>
        </w:rPr>
        <w:t>名　称：友和保险经纪有限公司</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rPr>
      </w:pPr>
      <w:r>
        <w:rPr>
          <w:rFonts w:ascii="宋体" w:eastAsia="宋体" w:hAnsi="宋体" w:cs="宋体" w:hint="eastAsia"/>
          <w:color w:val="auto"/>
          <w:highlight w:val="none"/>
        </w:rPr>
        <w:t>地　址：深圳市福田区福田体育公园西北角友和招标代理服务中心（靠近北门）</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sz w:val="24"/>
          <w:szCs w:val="24"/>
          <w:highlight w:val="none"/>
          <w:lang w:val="en-US" w:eastAsia="zh-CN"/>
        </w:rPr>
      </w:pPr>
      <w:r>
        <w:rPr>
          <w:rFonts w:ascii="宋体" w:eastAsia="宋体" w:hAnsi="宋体" w:cs="宋体" w:hint="eastAsia"/>
          <w:color w:val="auto"/>
          <w:sz w:val="24"/>
          <w:szCs w:val="24"/>
          <w:highlight w:val="none"/>
          <w:lang w:val="en-US" w:eastAsia="zh-CN"/>
        </w:rPr>
        <w:t>监督举报：0755-83889803、83889016</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rPr>
      </w:pPr>
      <w:r>
        <w:rPr>
          <w:rFonts w:ascii="宋体" w:eastAsia="宋体" w:hAnsi="宋体" w:cs="宋体" w:hint="eastAsia"/>
          <w:color w:val="auto"/>
          <w:highlight w:val="none"/>
        </w:rPr>
        <w:t>3.项目联系方式</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lang w:val="en-US" w:eastAsia="zh-CN"/>
        </w:rPr>
      </w:pPr>
      <w:r>
        <w:rPr>
          <w:rFonts w:ascii="宋体" w:eastAsia="宋体" w:hAnsi="宋体" w:cs="宋体" w:hint="eastAsia"/>
          <w:color w:val="auto"/>
          <w:highlight w:val="none"/>
        </w:rPr>
        <w:t>项目联系人：</w:t>
      </w:r>
      <w:r>
        <w:rPr>
          <w:rFonts w:ascii="宋体" w:eastAsia="宋体" w:hAnsi="宋体" w:cs="宋体" w:hint="eastAsia"/>
          <w:color w:val="auto"/>
          <w:highlight w:val="none"/>
          <w:lang w:val="en-US" w:eastAsia="zh-CN"/>
        </w:rPr>
        <w:t>方婕/张挺/刘建成</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color w:val="auto"/>
          <w:highlight w:val="none"/>
          <w:lang w:val="en-US" w:eastAsia="zh-CN"/>
        </w:rPr>
      </w:pPr>
      <w:r>
        <w:rPr>
          <w:rFonts w:ascii="宋体" w:eastAsia="宋体" w:hAnsi="宋体" w:cs="宋体" w:hint="eastAsia"/>
          <w:color w:val="auto"/>
          <w:highlight w:val="none"/>
          <w:lang w:eastAsia="zh-CN"/>
        </w:rPr>
        <w:t>项目咨询</w:t>
      </w:r>
      <w:r>
        <w:rPr>
          <w:rFonts w:ascii="宋体" w:eastAsia="宋体" w:hAnsi="宋体" w:cs="宋体" w:hint="eastAsia"/>
          <w:color w:val="auto"/>
          <w:highlight w:val="none"/>
        </w:rPr>
        <w:t>：0755-8388</w:t>
      </w:r>
      <w:r>
        <w:rPr>
          <w:rFonts w:ascii="宋体" w:eastAsia="宋体" w:hAnsi="宋体" w:cs="宋体" w:hint="eastAsia"/>
          <w:color w:val="auto"/>
          <w:highlight w:val="none"/>
          <w:lang w:val="en-US" w:eastAsia="zh-CN"/>
        </w:rPr>
        <w:t>1283、0755-83889026</w:t>
      </w:r>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left"/>
        <w:textAlignment w:val="auto"/>
        <w:outlineLvl w:val="9"/>
        <w:rPr>
          <w:rFonts w:ascii="宋体" w:eastAsia="宋体" w:hAnsi="宋体" w:cs="宋体" w:hint="eastAsia"/>
          <w:color w:val="auto"/>
          <w:sz w:val="24"/>
          <w:szCs w:val="24"/>
          <w:highlight w:val="none"/>
        </w:rPr>
      </w:pPr>
      <w:r>
        <w:rPr>
          <w:rFonts w:ascii="宋体" w:eastAsia="宋体" w:hAnsi="宋体" w:cs="宋体" w:hint="eastAsia"/>
          <w:color w:val="auto"/>
          <w:sz w:val="24"/>
          <w:szCs w:val="24"/>
          <w:highlight w:val="none"/>
        </w:rPr>
        <w:t>投标报名：0755-83881111（总机）</w:t>
      </w:r>
    </w:p>
    <w:p>
      <w:pPr>
        <w:pStyle w:val="-111"/>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ind w:left="480" w:leftChars="200"/>
        <w:jc w:val="left"/>
        <w:textAlignment w:val="auto"/>
        <w:outlineLvl w:val="9"/>
        <w:rPr>
          <w:rFonts w:ascii="宋体" w:eastAsia="宋体" w:hAnsi="宋体" w:cs="宋体" w:hint="eastAsia"/>
          <w:sz w:val="24"/>
          <w:szCs w:val="24"/>
        </w:rPr>
      </w:pPr>
      <w:r>
        <w:rPr>
          <w:rFonts w:ascii="宋体" w:eastAsia="宋体" w:hAnsi="宋体" w:cs="宋体" w:hint="eastAsia"/>
          <w:lang w:val="en-US" w:eastAsia="zh-CN"/>
        </w:rPr>
        <w:t>4.</w:t>
      </w:r>
      <w:r>
        <w:rPr>
          <w:rFonts w:ascii="宋体" w:eastAsia="宋体" w:hAnsi="宋体" w:cs="宋体" w:hint="eastAsia"/>
          <w:sz w:val="24"/>
          <w:szCs w:val="24"/>
        </w:rPr>
        <w:t>相关项目信息查询网址</w:t>
      </w:r>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left"/>
        <w:textAlignment w:val="auto"/>
        <w:outlineLvl w:val="9"/>
        <w:rPr>
          <w:rFonts w:ascii="宋体" w:eastAsia="宋体" w:hAnsi="宋体" w:cs="宋体" w:hint="eastAsia"/>
          <w:sz w:val="24"/>
          <w:szCs w:val="24"/>
        </w:rPr>
      </w:pPr>
      <w:r>
        <w:rPr>
          <w:rFonts w:ascii="宋体" w:eastAsia="宋体" w:hAnsi="宋体" w:cs="宋体" w:hint="eastAsia"/>
          <w:sz w:val="24"/>
          <w:szCs w:val="24"/>
        </w:rPr>
        <w:t>深圳政府采购智慧平台 </w:t>
      </w:r>
      <w:r>
        <w:rPr>
          <w:rFonts w:ascii="宋体" w:eastAsia="宋体" w:hAnsi="宋体" w:cs="宋体" w:hint="eastAsia"/>
          <w:color w:val="auto"/>
          <w:sz w:val="24"/>
          <w:szCs w:val="24"/>
          <w:u w:val="none"/>
        </w:rPr>
        <w:t>http://zfcg.szggzy.com:8081/</w:t>
      </w:r>
    </w:p>
    <w:p>
      <w:pPr>
        <w:keepNext w:val="0"/>
        <w:keepLines w:val="0"/>
        <w:pageBreakBefore w:val="0"/>
        <w:widowControl w:val="0"/>
        <w:kinsoku/>
        <w:wordWrap/>
        <w:overflowPunct/>
        <w:topLinePunct w:val="0"/>
        <w:autoSpaceDE/>
        <w:autoSpaceDN/>
        <w:bidi w:val="0"/>
        <w:adjustRightInd w:val="0"/>
        <w:snapToGrid w:val="0"/>
        <w:spacing w:line="400" w:lineRule="exact"/>
        <w:ind w:firstLine="480" w:firstLineChars="200"/>
        <w:jc w:val="left"/>
        <w:textAlignment w:val="auto"/>
        <w:outlineLvl w:val="9"/>
        <w:rPr>
          <w:rFonts w:ascii="宋体" w:eastAsia="宋体" w:hAnsi="宋体" w:cs="宋体" w:hint="eastAsia"/>
          <w:sz w:val="24"/>
          <w:szCs w:val="24"/>
        </w:rPr>
      </w:pPr>
      <w:r>
        <w:rPr>
          <w:rFonts w:ascii="宋体" w:eastAsia="宋体" w:hAnsi="宋体" w:cs="宋体" w:hint="eastAsia"/>
          <w:sz w:val="24"/>
          <w:szCs w:val="24"/>
        </w:rPr>
        <w:t>友和招标代理服务网 http://yhzb.uho.cn/</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eastAsia="宋体" w:hint="default"/>
          <w:lang w:val="en-US" w:eastAsia="zh-CN"/>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ascii="宋体" w:eastAsia="宋体" w:hAnsi="宋体" w:cs="宋体" w:hint="eastAsia"/>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right"/>
        <w:textAlignment w:val="auto"/>
        <w:rPr>
          <w:rFonts w:ascii="宋体" w:eastAsia="宋体" w:hAnsi="宋体" w:cs="宋体" w:hint="eastAsia"/>
          <w:highlight w:val="yellow"/>
        </w:rPr>
      </w:pPr>
      <w:r>
        <w:rPr>
          <w:rFonts w:ascii="宋体" w:eastAsia="宋体" w:hAnsi="宋体" w:cs="宋体" w:hint="eastAsia"/>
          <w:highlight w:val="yellow"/>
        </w:rPr>
        <w:t>友和保险经纪有限公司</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right"/>
        <w:textAlignment w:val="auto"/>
        <w:rPr>
          <w:rFonts w:ascii="宋体" w:eastAsia="宋体" w:hAnsi="宋体" w:cs="宋体" w:hint="eastAsia"/>
        </w:rPr>
      </w:pPr>
      <w:r>
        <w:rPr>
          <w:rFonts w:ascii="宋体" w:eastAsia="宋体" w:hAnsi="宋体" w:cs="宋体" w:hint="eastAsia"/>
          <w:lang w:eastAsia="zh-CN"/>
        </w:rPr>
        <w:t>20</w:t>
      </w:r>
      <w:r>
        <w:rPr>
          <w:rFonts w:ascii="宋体" w:eastAsia="宋体" w:hAnsi="宋体" w:cs="宋体" w:hint="eastAsia"/>
          <w:lang w:val="en-US" w:eastAsia="zh-CN"/>
        </w:rPr>
        <w:t>24</w:t>
      </w:r>
      <w:r>
        <w:rPr>
          <w:rFonts w:ascii="宋体" w:eastAsia="宋体" w:hAnsi="宋体" w:cs="宋体" w:hint="eastAsia"/>
        </w:rPr>
        <w:t>年</w:t>
      </w:r>
      <w:r>
        <w:rPr>
          <w:rFonts w:ascii="宋体" w:eastAsia="宋体" w:hAnsi="宋体" w:cs="宋体" w:hint="eastAsia"/>
          <w:lang w:val="en-US" w:eastAsia="zh-CN"/>
        </w:rPr>
        <w:t>X</w:t>
      </w:r>
      <w:r>
        <w:rPr>
          <w:rFonts w:ascii="宋体" w:eastAsia="宋体" w:hAnsi="宋体" w:cs="宋体" w:hint="eastAsia"/>
        </w:rPr>
        <w:t>月</w:t>
      </w:r>
      <w:r>
        <w:rPr>
          <w:rFonts w:ascii="宋体" w:eastAsia="宋体" w:hAnsi="宋体" w:cs="宋体" w:hint="eastAsia"/>
          <w:lang w:val="en-US" w:eastAsia="zh-CN"/>
        </w:rPr>
        <w:t>X</w:t>
      </w:r>
      <w:r>
        <w:rPr>
          <w:rFonts w:ascii="宋体" w:eastAsia="宋体" w:hAnsi="宋体" w:cs="宋体" w:hint="eastAsia"/>
        </w:rPr>
        <w:t>日</w:t>
      </w:r>
    </w:p>
    <w:p/>
    <w:p>
      <w:pPr>
        <w:spacing w:beforeLines="0" w:afterLines="0"/>
        <w:rPr>
          <w:rFonts w:ascii="宋体" w:eastAsia="宋体" w:hAnsi="宋体" w:cs="宋体"/>
          <w:b/>
          <w:bCs/>
          <w:szCs w:val="21"/>
        </w:rPr>
      </w:pPr>
    </w:p>
    <w:p>
      <w:pPr>
        <w:pStyle w:val="NormalIndent"/>
        <w:spacing w:before="0" w:beforeLines="0" w:after="0" w:afterLines="0" w:line="240" w:lineRule="auto"/>
        <w:ind w:firstLine="0"/>
        <w:rPr>
          <w:rFonts w:ascii="宋体" w:eastAsia="宋体" w:hAnsi="宋体"/>
          <w:b/>
          <w:color w:val="auto"/>
          <w:sz w:val="28"/>
          <w:szCs w:val="28"/>
          <w:highlight w:val="yellow"/>
        </w:rPr>
      </w:pPr>
      <w:r>
        <w:rPr>
          <w:rFonts w:hint="eastAsia"/>
          <w:color w:val="auto"/>
          <w:szCs w:val="20"/>
          <w:highlight w:val="none"/>
        </w:rPr>
        <w:t>完整公告内容详见：</w:t>
      </w:r>
      <w:r>
        <w:rPr>
          <w:rFonts w:hint="eastAsia"/>
          <w:color w:val="auto"/>
          <w:szCs w:val="20"/>
          <w:highlight w:val="yellow"/>
        </w:rPr>
        <w:t>http://zfcg.szggzy.com:8081/</w:t>
      </w:r>
    </w:p>
    <w:p>
      <w:pPr>
        <w:spacing w:line="360" w:lineRule="auto"/>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br w:type="page"/>
      </w:r>
    </w:p>
    <w:p>
      <w:pPr>
        <w:pStyle w:val="Heading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第二章 对通用条款的补充内容及其他关键信息</w:t>
      </w:r>
    </w:p>
    <w:p>
      <w:pPr>
        <w:jc w:val="center"/>
        <w:outlineLvl w:val="2"/>
        <w:rPr>
          <w:b/>
          <w:bCs/>
          <w:sz w:val="28"/>
          <w:szCs w:val="28"/>
        </w:rPr>
      </w:pPr>
      <w:bookmarkStart w:id="21" w:name="_Toc73521635"/>
      <w:bookmarkStart w:id="22" w:name="_Toc60560625"/>
      <w:bookmarkStart w:id="23" w:name="_Toc73518117"/>
      <w:bookmarkStart w:id="24" w:name="_Toc73521547"/>
      <w:bookmarkStart w:id="25" w:name="_Toc101074876"/>
      <w:bookmarkStart w:id="26" w:name="_Toc100052364"/>
      <w:bookmarkStart w:id="27" w:name="_Toc60631620"/>
      <w:bookmarkStart w:id="28" w:name="_Toc73517639"/>
      <w:r>
        <w:rPr>
          <w:rFonts w:ascii="宋体" w:eastAsia="宋体" w:hAnsi="宋体" w:cs="宋体" w:hint="eastAsia"/>
          <w:b/>
          <w:bCs/>
          <w:sz w:val="28"/>
          <w:szCs w:val="28"/>
        </w:rPr>
        <w:t>一、对通用条款的补充内容</w:t>
      </w:r>
    </w:p>
    <w:tbl>
      <w:tblPr>
        <w:tblStyle w:val="TableNormal"/>
        <w:tblW w:w="836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top w:w="0" w:type="dxa"/>
          <w:left w:w="108" w:type="dxa"/>
          <w:bottom w:w="0" w:type="dxa"/>
          <w:right w:w="108" w:type="dxa"/>
        </w:tblCellMar>
      </w:tblPr>
      <w:tblGrid>
        <w:gridCol w:w="978"/>
        <w:gridCol w:w="1888"/>
        <w:gridCol w:w="5501"/>
      </w:tblGrid>
      <w:tr>
        <w:tblPrEx>
          <w:tblW w:w="836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b/>
                <w:bCs/>
                <w:color w:val="000000" w:themeColor="text1"/>
                <w14:textFill>
                  <w14:solidFill>
                    <w14:schemeClr w14:val="tx1"/>
                  </w14:solidFill>
                </w14:textFill>
              </w:rPr>
            </w:pPr>
            <w:bookmarkEnd w:id="21"/>
            <w:bookmarkEnd w:id="22"/>
            <w:bookmarkEnd w:id="23"/>
            <w:bookmarkEnd w:id="24"/>
            <w:bookmarkEnd w:id="25"/>
            <w:bookmarkEnd w:id="26"/>
            <w:bookmarkEnd w:id="27"/>
            <w:bookmarkEnd w:id="28"/>
            <w:r>
              <w:rPr>
                <w:rFonts w:ascii="宋体" w:hAnsi="宋体" w:hint="eastAsia"/>
                <w:b/>
                <w:bCs/>
                <w:color w:val="000000" w:themeColor="text1"/>
                <w14:textFill>
                  <w14:solidFill>
                    <w14:schemeClr w14:val="tx1"/>
                  </w14:solidFill>
                </w14:textFill>
              </w:rPr>
              <w:t>通用条款序号</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b/>
                <w:bCs/>
                <w:color w:val="000000" w:themeColor="text1"/>
                <w14:textFill>
                  <w14:solidFill>
                    <w14:schemeClr w14:val="tx1"/>
                  </w14:solidFill>
                </w14:textFill>
              </w:rPr>
            </w:pPr>
            <w:r>
              <w:rPr>
                <w:rFonts w:ascii="宋体" w:hAnsi="宋体" w:hint="eastAsia"/>
                <w:b/>
                <w:bCs/>
                <w:color w:val="000000" w:themeColor="text1"/>
                <w14:textFill>
                  <w14:solidFill>
                    <w14:schemeClr w14:val="tx1"/>
                  </w14:solidFill>
                </w14:textFill>
              </w:rPr>
              <w:t>涉及事项</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b/>
                <w:bCs/>
                <w:color w:val="000000" w:themeColor="text1"/>
                <w14:textFill>
                  <w14:solidFill>
                    <w14:schemeClr w14:val="tx1"/>
                  </w14:solidFill>
                </w14:textFill>
              </w:rPr>
            </w:pPr>
            <w:r>
              <w:rPr>
                <w:rFonts w:ascii="宋体" w:hAnsi="宋体" w:hint="eastAsia"/>
                <w:b/>
                <w:bCs/>
                <w:color w:val="000000" w:themeColor="text1"/>
                <w14:textFill>
                  <w14:solidFill>
                    <w14:schemeClr w14:val="tx1"/>
                  </w14:solidFill>
                </w14:textFill>
              </w:rPr>
              <w:t xml:space="preserve">具 </w:t>
            </w:r>
            <w:r>
              <w:rPr>
                <w:rFonts w:ascii="宋体" w:hAnsi="宋体" w:hint="default"/>
                <w:b/>
                <w:bCs/>
                <w:color w:val="000000" w:themeColor="text1"/>
                <w14:textFill>
                  <w14:solidFill>
                    <w14:schemeClr w14:val="tx1"/>
                  </w14:solidFill>
                </w14:textFill>
              </w:rPr>
              <w:t xml:space="preserve"> </w:t>
            </w:r>
            <w:r>
              <w:rPr>
                <w:rFonts w:ascii="宋体" w:hAnsi="宋体" w:hint="eastAsia"/>
                <w:b/>
                <w:bCs/>
                <w:color w:val="000000" w:themeColor="text1"/>
                <w14:textFill>
                  <w14:solidFill>
                    <w14:schemeClr w14:val="tx1"/>
                  </w14:solidFill>
                </w14:textFill>
              </w:rPr>
              <w:t xml:space="preserve">体 </w:t>
            </w:r>
            <w:r>
              <w:rPr>
                <w:rFonts w:ascii="宋体" w:hAnsi="宋体" w:hint="default"/>
                <w:b/>
                <w:bCs/>
                <w:color w:val="000000" w:themeColor="text1"/>
                <w14:textFill>
                  <w14:solidFill>
                    <w14:schemeClr w14:val="tx1"/>
                  </w14:solidFill>
                </w14:textFill>
              </w:rPr>
              <w:t xml:space="preserve"> </w:t>
            </w:r>
            <w:r>
              <w:rPr>
                <w:rFonts w:ascii="宋体" w:hAnsi="宋体" w:hint="eastAsia"/>
                <w:b/>
                <w:bCs/>
                <w:color w:val="000000" w:themeColor="text1"/>
                <w14:textFill>
                  <w14:solidFill>
                    <w14:schemeClr w14:val="tx1"/>
                  </w14:solidFill>
                </w14:textFill>
              </w:rPr>
              <w:t xml:space="preserve">补 </w:t>
            </w:r>
            <w:r>
              <w:rPr>
                <w:rFonts w:ascii="宋体" w:hAnsi="宋体" w:hint="default"/>
                <w:b/>
                <w:bCs/>
                <w:color w:val="000000" w:themeColor="text1"/>
                <w14:textFill>
                  <w14:solidFill>
                    <w14:schemeClr w14:val="tx1"/>
                  </w14:solidFill>
                </w14:textFill>
              </w:rPr>
              <w:t xml:space="preserve"> </w:t>
            </w:r>
            <w:r>
              <w:rPr>
                <w:rFonts w:ascii="宋体" w:hAnsi="宋体" w:hint="eastAsia"/>
                <w:b/>
                <w:bCs/>
                <w:color w:val="000000" w:themeColor="text1"/>
                <w14:textFill>
                  <w14:solidFill>
                    <w14:schemeClr w14:val="tx1"/>
                  </w14:solidFill>
                </w14:textFill>
              </w:rPr>
              <w:t xml:space="preserve">充 </w:t>
            </w:r>
            <w:r>
              <w:rPr>
                <w:rFonts w:ascii="宋体" w:hAnsi="宋体" w:hint="default"/>
                <w:b/>
                <w:bCs/>
                <w:color w:val="000000" w:themeColor="text1"/>
                <w14:textFill>
                  <w14:solidFill>
                    <w14:schemeClr w14:val="tx1"/>
                  </w14:solidFill>
                </w14:textFill>
              </w:rPr>
              <w:t xml:space="preserve"> </w:t>
            </w:r>
            <w:r>
              <w:rPr>
                <w:rFonts w:ascii="宋体" w:hAnsi="宋体" w:hint="eastAsia"/>
                <w:b/>
                <w:bCs/>
                <w:color w:val="000000" w:themeColor="text1"/>
                <w14:textFill>
                  <w14:solidFill>
                    <w14:schemeClr w14:val="tx1"/>
                  </w14:solidFill>
                </w14:textFill>
              </w:rPr>
              <w:t xml:space="preserve">内 </w:t>
            </w:r>
            <w:r>
              <w:rPr>
                <w:rFonts w:ascii="宋体" w:hAnsi="宋体" w:hint="default"/>
                <w:b/>
                <w:bCs/>
                <w:color w:val="000000" w:themeColor="text1"/>
                <w14:textFill>
                  <w14:solidFill>
                    <w14:schemeClr w14:val="tx1"/>
                  </w14:solidFill>
                </w14:textFill>
              </w:rPr>
              <w:t xml:space="preserve"> </w:t>
            </w:r>
            <w:r>
              <w:rPr>
                <w:rFonts w:ascii="宋体" w:hAnsi="宋体" w:hint="eastAsia"/>
                <w:b/>
                <w:bCs/>
                <w:color w:val="000000" w:themeColor="text1"/>
                <w14:textFill>
                  <w14:solidFill>
                    <w14:schemeClr w14:val="tx1"/>
                  </w14:solidFill>
                </w14:textFill>
              </w:rPr>
              <w:t>容</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w:t>
            </w:r>
            <w:r>
              <w:rPr>
                <w:rFonts w:ascii="宋体" w:hAnsi="宋体" w:hint="default"/>
                <w:color w:val="000000" w:themeColor="text1"/>
                <w14:textFill>
                  <w14:solidFill>
                    <w14:schemeClr w14:val="tx1"/>
                  </w14:solidFill>
                </w14:textFill>
              </w:rPr>
              <w:t>.1</w:t>
            </w:r>
          </w:p>
        </w:tc>
        <w:tc>
          <w:tcPr>
            <w:tcW w:w="1888" w:type="dxa"/>
            <w:vAlign w:val="center"/>
          </w:tcPr>
          <w:p>
            <w:pPr>
              <w:keepNext w:val="0"/>
              <w:keepLines w:val="0"/>
              <w:widowControl/>
              <w:suppressLineNumbers w:val="0"/>
              <w:spacing w:before="0" w:beforeAutospacing="0" w:after="0" w:afterAutospacing="0"/>
              <w:ind w:left="0" w:right="0"/>
              <w:jc w:val="center"/>
              <w:rPr>
                <w:rFonts w:hint="default"/>
                <w:color w:val="000000" w:themeColor="text1"/>
                <w14:textFill>
                  <w14:solidFill>
                    <w14:schemeClr w14:val="tx1"/>
                  </w14:solidFill>
                </w14:textFill>
              </w:rPr>
            </w:pPr>
            <w:r>
              <w:rPr>
                <w:rFonts w:hint="eastAsia"/>
                <w:color w:val="000000" w:themeColor="text1"/>
                <w14:textFill>
                  <w14:solidFill>
                    <w14:schemeClr w14:val="tx1"/>
                  </w14:solidFill>
                </w14:textFill>
              </w:rPr>
              <w:t>采购人</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eastAsiaTheme="minorEastAsia" w:hint="eastAsia"/>
                <w:color w:val="000000" w:themeColor="text1"/>
                <w:lang w:eastAsia="zh-CN"/>
                <w14:textFill>
                  <w14:solidFill>
                    <w14:schemeClr w14:val="tx1"/>
                  </w14:solidFill>
                </w14:textFill>
              </w:rPr>
            </w:pPr>
            <w:r>
              <w:rPr>
                <w:rFonts w:hint="eastAsia"/>
              </w:rPr>
              <w:t>深圳港引航站</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w:t>
            </w:r>
            <w:r>
              <w:rPr>
                <w:rFonts w:ascii="宋体" w:hAnsi="宋体" w:hint="default"/>
                <w:color w:val="000000" w:themeColor="text1"/>
                <w14:textFill>
                  <w14:solidFill>
                    <w14:schemeClr w14:val="tx1"/>
                  </w14:solidFill>
                </w14:textFill>
              </w:rPr>
              <w:t>.2</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采购机构</w:t>
            </w:r>
          </w:p>
        </w:tc>
        <w:tc>
          <w:tcPr>
            <w:tcW w:w="5501" w:type="dxa"/>
            <w:vAlign w:val="center"/>
          </w:tcPr>
          <w:p>
            <w:pPr>
              <w:keepNext w:val="0"/>
              <w:keepLines w:val="0"/>
              <w:widowControl/>
              <w:suppressLineNumbers w:val="0"/>
              <w:spacing w:before="0" w:beforeAutospacing="0" w:after="0" w:afterAutospacing="0"/>
              <w:ind w:left="0" w:right="0"/>
              <w:jc w:val="center"/>
              <w:rPr>
                <w:rFonts w:ascii="宋体" w:eastAsia="宋体" w:hAnsi="宋体" w:hint="default"/>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友和保险经纪有限公司</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5</w:t>
            </w:r>
            <w:r>
              <w:rPr>
                <w:rFonts w:ascii="宋体" w:hAnsi="宋体" w:hint="default"/>
                <w:color w:val="000000" w:themeColor="text1"/>
                <w14:textFill>
                  <w14:solidFill>
                    <w14:schemeClr w14:val="tx1"/>
                  </w14:solidFill>
                </w14:textFill>
              </w:rPr>
              <w:t>.3</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联合体投标</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不接受</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9</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踏勘现场</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不组织</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w:t>
            </w:r>
            <w:r>
              <w:rPr>
                <w:rFonts w:ascii="宋体" w:hAnsi="宋体" w:hint="default"/>
                <w:color w:val="000000" w:themeColor="text1"/>
                <w14:textFill>
                  <w14:solidFill>
                    <w14:schemeClr w14:val="tx1"/>
                  </w14:solidFill>
                </w14:textFill>
              </w:rPr>
              <w:t>0</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标前会议</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不组织</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w:t>
            </w:r>
            <w:r>
              <w:rPr>
                <w:rFonts w:ascii="宋体" w:hAnsi="宋体" w:hint="default"/>
                <w:color w:val="000000" w:themeColor="text1"/>
                <w14:textFill>
                  <w14:solidFill>
                    <w14:schemeClr w14:val="tx1"/>
                  </w14:solidFill>
                </w14:textFill>
              </w:rPr>
              <w:t>2</w:t>
            </w:r>
            <w:r>
              <w:rPr>
                <w:rFonts w:ascii="宋体" w:hAnsi="宋体" w:hint="eastAsia"/>
                <w:color w:val="000000" w:themeColor="text1"/>
                <w14:textFill>
                  <w14:solidFill>
                    <w14:schemeClr w14:val="tx1"/>
                  </w14:solidFill>
                </w14:textFill>
              </w:rPr>
              <w:t>/1</w:t>
            </w:r>
            <w:r>
              <w:rPr>
                <w:rFonts w:ascii="宋体" w:hAnsi="宋体" w:hint="default"/>
                <w:color w:val="000000" w:themeColor="text1"/>
                <w14:textFill>
                  <w14:solidFill>
                    <w14:schemeClr w14:val="tx1"/>
                  </w14:solidFill>
                </w14:textFill>
              </w:rPr>
              <w:t>3</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招标文件的澄清和修改</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不晚于投标截止日三日前（详见招标公告），投标人有义务在招标期间在</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网站浏览与本项目有关的澄清和修改信息</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w:t>
            </w:r>
            <w:r>
              <w:rPr>
                <w:rFonts w:ascii="宋体" w:hAnsi="宋体" w:hint="default"/>
                <w:color w:val="000000" w:themeColor="text1"/>
                <w14:textFill>
                  <w14:solidFill>
                    <w14:schemeClr w14:val="tx1"/>
                  </w14:solidFill>
                </w14:textFill>
              </w:rPr>
              <w:t>0</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投标有效期</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120个日历日</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w:t>
            </w:r>
            <w:r>
              <w:rPr>
                <w:rFonts w:ascii="宋体" w:hAnsi="宋体" w:hint="default"/>
                <w:color w:val="000000" w:themeColor="text1"/>
                <w14:textFill>
                  <w14:solidFill>
                    <w14:schemeClr w14:val="tx1"/>
                  </w14:solidFill>
                </w14:textFill>
              </w:rPr>
              <w:t>2</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投标人的替代方案</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不接受</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w:t>
            </w:r>
            <w:r>
              <w:rPr>
                <w:rFonts w:ascii="宋体" w:hAnsi="宋体" w:hint="default"/>
                <w:color w:val="000000" w:themeColor="text1"/>
                <w14:textFill>
                  <w14:solidFill>
                    <w14:schemeClr w14:val="tx1"/>
                  </w14:solidFill>
                </w14:textFill>
              </w:rPr>
              <w:t>5</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投标文件的大小</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投标文件大小不得超过</w:t>
            </w:r>
            <w:r>
              <w:rPr>
                <w:rFonts w:ascii="宋体" w:hAnsi="宋体" w:hint="default"/>
                <w:color w:val="000000" w:themeColor="text1"/>
                <w14:textFill>
                  <w14:solidFill>
                    <w14:schemeClr w14:val="tx1"/>
                  </w14:solidFill>
                </w14:textFill>
              </w:rPr>
              <w:t>1</w:t>
            </w:r>
            <w:r>
              <w:rPr>
                <w:rFonts w:ascii="宋体" w:hAnsi="宋体" w:hint="eastAsia"/>
                <w:color w:val="000000" w:themeColor="text1"/>
                <w14:textFill>
                  <w14:solidFill>
                    <w14:schemeClr w14:val="tx1"/>
                  </w14:solidFill>
                </w14:textFill>
              </w:rPr>
              <w:t>00MB</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w:t>
            </w:r>
            <w:r>
              <w:rPr>
                <w:rFonts w:ascii="宋体" w:hAnsi="宋体" w:hint="default"/>
                <w:color w:val="000000" w:themeColor="text1"/>
                <w14:textFill>
                  <w14:solidFill>
                    <w14:schemeClr w14:val="tx1"/>
                  </w14:solidFill>
                </w14:textFill>
              </w:rPr>
              <w:t>6</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bookmarkStart w:id="29" w:name="_Hlk71664860"/>
            <w:r>
              <w:rPr>
                <w:rFonts w:ascii="宋体" w:hAnsi="宋体" w:hint="eastAsia"/>
                <w:color w:val="000000" w:themeColor="text1"/>
                <w14:textFill>
                  <w14:solidFill>
                    <w14:schemeClr w14:val="tx1"/>
                  </w14:solidFill>
                </w14:textFill>
              </w:rPr>
              <w:t>样品、现场演示、方案讲解</w:t>
            </w:r>
            <w:bookmarkEnd w:id="29"/>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Wingdings 2" w:hAnsi="Wingdings 2"/>
                <w:b/>
                <w:color w:val="000000" w:themeColor="text1"/>
                <w14:textFill>
                  <w14:solidFill>
                    <w14:schemeClr w14:val="tx1"/>
                  </w14:solidFill>
                </w14:textFill>
              </w:rPr>
              <w:sym w:font="Wingdings 2" w:char="F052"/>
            </w:r>
            <w:r>
              <w:rPr>
                <w:rFonts w:ascii="宋体" w:hAnsi="宋体" w:hint="eastAsia"/>
                <w:color w:val="000000" w:themeColor="text1"/>
                <w14:textFill>
                  <w14:solidFill>
                    <w14:schemeClr w14:val="tx1"/>
                  </w14:solidFill>
                </w14:textFill>
              </w:rPr>
              <w:t xml:space="preserve"> 无</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w:t>
            </w:r>
            <w:r>
              <w:rPr>
                <w:rFonts w:ascii="宋体" w:hAnsi="宋体" w:hint="default"/>
                <w:color w:val="000000" w:themeColor="text1"/>
                <w14:textFill>
                  <w14:solidFill>
                    <w14:schemeClr w14:val="tx1"/>
                  </w14:solidFill>
                </w14:textFill>
              </w:rPr>
              <w:t>7</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评审方法</w:t>
            </w:r>
          </w:p>
        </w:tc>
        <w:tc>
          <w:tcPr>
            <w:tcW w:w="5501"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Wingdings 2" w:hAnsi="Wingdings 2"/>
                <w:b/>
                <w:color w:val="000000" w:themeColor="text1"/>
                <w14:textFill>
                  <w14:solidFill>
                    <w14:schemeClr w14:val="tx1"/>
                  </w14:solidFill>
                </w14:textFill>
              </w:rPr>
              <w:sym w:font="Wingdings 2" w:char="F052"/>
            </w:r>
            <w:r>
              <w:rPr>
                <w:rFonts w:ascii="宋体" w:hAnsi="宋体" w:hint="eastAsia"/>
                <w:b/>
                <w:color w:val="000000" w:themeColor="text1"/>
                <w14:textFill>
                  <w14:solidFill>
                    <w14:schemeClr w14:val="tx1"/>
                  </w14:solidFill>
                </w14:textFill>
              </w:rPr>
              <w:t xml:space="preserve"> </w:t>
            </w:r>
            <w:r>
              <w:rPr>
                <w:rFonts w:ascii="宋体" w:hAnsi="宋体" w:hint="eastAsia"/>
                <w:color w:val="000000" w:themeColor="text1"/>
                <w14:textFill>
                  <w14:solidFill>
                    <w14:schemeClr w14:val="tx1"/>
                  </w14:solidFill>
                </w14:textFill>
              </w:rPr>
              <w:t>综合评分法</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w:t>
            </w:r>
            <w:r>
              <w:rPr>
                <w:rFonts w:ascii="宋体" w:hAnsi="宋体" w:hint="default"/>
                <w:color w:val="000000" w:themeColor="text1"/>
                <w14:textFill>
                  <w14:solidFill>
                    <w14:schemeClr w14:val="tx1"/>
                  </w14:solidFill>
                </w14:textFill>
              </w:rPr>
              <w:t>8</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定标方法</w:t>
            </w:r>
          </w:p>
        </w:tc>
        <w:tc>
          <w:tcPr>
            <w:tcW w:w="5501" w:type="dxa"/>
            <w:vAlign w:val="center"/>
          </w:tcPr>
          <w:p>
            <w:pPr>
              <w:keepNext w:val="0"/>
              <w:keepLines w:val="0"/>
              <w:widowControl/>
              <w:suppressLineNumbers w:val="0"/>
              <w:spacing w:before="0" w:beforeAutospacing="0" w:after="0" w:afterAutospacing="0"/>
              <w:ind w:left="0" w:right="0"/>
              <w:jc w:val="center"/>
              <w:rPr>
                <w:rFonts w:ascii="宋体" w:eastAsia="宋体" w:hAnsi="宋体" w:hint="default"/>
                <w:color w:val="000000" w:themeColor="text1"/>
                <w14:textFill>
                  <w14:solidFill>
                    <w14:schemeClr w14:val="tx1"/>
                  </w14:solidFill>
                </w14:textFill>
              </w:rPr>
            </w:pPr>
            <w:r>
              <w:rPr>
                <w:rFonts w:ascii="Wingdings 2" w:eastAsia="宋体" w:hAnsi="Wingdings 2" w:hint="default"/>
                <w:b/>
                <w:color w:val="000000" w:themeColor="text1"/>
                <w14:textFill>
                  <w14:solidFill>
                    <w14:schemeClr w14:val="tx1"/>
                  </w14:solidFill>
                </w14:textFill>
              </w:rPr>
              <w:t>无</w:t>
            </w:r>
          </w:p>
        </w:tc>
      </w:tr>
      <w:tr>
        <w:tblPrEx>
          <w:tblW w:w="8367" w:type="dxa"/>
          <w:jc w:val="center"/>
          <w:tblLayout w:type="fixed"/>
          <w:tblCellMar>
            <w:top w:w="0" w:type="dxa"/>
            <w:left w:w="108" w:type="dxa"/>
            <w:bottom w:w="0" w:type="dxa"/>
            <w:right w:w="108" w:type="dxa"/>
          </w:tblCellMar>
        </w:tblPrEx>
        <w:trPr>
          <w:cantSplit/>
          <w:trHeight w:val="20"/>
          <w:jc w:val="center"/>
        </w:trPr>
        <w:tc>
          <w:tcPr>
            <w:tcW w:w="97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4</w:t>
            </w:r>
            <w:r>
              <w:rPr>
                <w:rFonts w:ascii="宋体" w:hAnsi="宋体" w:hint="default"/>
                <w:color w:val="000000" w:themeColor="text1"/>
                <w14:textFill>
                  <w14:solidFill>
                    <w14:schemeClr w14:val="tx1"/>
                  </w14:solidFill>
                </w14:textFill>
              </w:rPr>
              <w:t>6</w:t>
            </w:r>
          </w:p>
        </w:tc>
        <w:tc>
          <w:tcPr>
            <w:tcW w:w="1888" w:type="dxa"/>
            <w:vAlign w:val="center"/>
          </w:tcPr>
          <w:p>
            <w:pPr>
              <w:keepNext w:val="0"/>
              <w:keepLines w:val="0"/>
              <w:widowControl/>
              <w:suppressLineNumbers w:val="0"/>
              <w:spacing w:before="0" w:beforeAutospacing="0" w:after="0" w:afterAutospacing="0"/>
              <w:ind w:left="0" w:right="0"/>
              <w:jc w:val="center"/>
              <w:rPr>
                <w:rFonts w:ascii="宋体" w:hAnsi="宋体" w:hint="default"/>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履约担保</w:t>
            </w:r>
          </w:p>
        </w:tc>
        <w:tc>
          <w:tcPr>
            <w:tcW w:w="5501" w:type="dxa"/>
            <w:vAlign w:val="center"/>
          </w:tcPr>
          <w:p>
            <w:pPr>
              <w:pStyle w:val="CommentText"/>
              <w:jc w:val="center"/>
              <w:rPr>
                <w:rFonts w:ascii="宋体" w:hAnsi="宋体" w:eastAsiaTheme="minorEastAsia" w:cs="宋体" w:hint="default"/>
                <w:szCs w:val="21"/>
                <w:lang w:val="en-US" w:eastAsia="zh-CN"/>
              </w:rPr>
            </w:pPr>
            <w:r>
              <w:rPr>
                <w:rFonts w:ascii="宋体" w:hAnsi="宋体" w:eastAsiaTheme="minorEastAsia" w:cs="宋体" w:hint="eastAsia"/>
                <w:szCs w:val="21"/>
                <w:lang w:val="en-US" w:eastAsia="zh-CN"/>
              </w:rPr>
              <w:t>无</w:t>
            </w:r>
          </w:p>
        </w:tc>
      </w:tr>
    </w:tbl>
    <w:p>
      <w:pPr>
        <w:rPr>
          <w:b/>
          <w:color w:val="000000" w:themeColor="text1"/>
          <w14:textFill>
            <w14:solidFill>
              <w14:schemeClr w14:val="tx1"/>
            </w14:solidFill>
          </w14:textFill>
        </w:rPr>
      </w:pPr>
      <w:r>
        <w:rPr>
          <w:rFonts w:hint="eastAsia"/>
          <w:color w:val="000000" w:themeColor="text1"/>
          <w:szCs w:val="21"/>
          <w14:textFill>
            <w14:solidFill>
              <w14:schemeClr w14:val="tx1"/>
            </w14:solidFill>
          </w14:textFill>
        </w:rPr>
        <w:t>备注：本表是通用条款相关条款的补充和明确，如与通用条款内容相冲突的，以本表为准。</w:t>
      </w:r>
      <w:r>
        <w:rPr>
          <w:rFonts w:hint="eastAsia"/>
          <w:b/>
          <w:bCs/>
          <w:color w:val="FF0000"/>
          <w:szCs w:val="21"/>
        </w:rPr>
        <w:t>本项目使用深圳政府采购智慧平台进行操作，通用条款中如有与深圳政府采购智慧平台操作流程不一致的内容，请以深圳政府采购智慧平台</w:t>
      </w:r>
      <w:r>
        <w:rPr>
          <w:b/>
          <w:bCs/>
          <w:color w:val="FF0000"/>
          <w:szCs w:val="21"/>
        </w:rPr>
        <w:t>zfcg.szggzy.com:8081</w:t>
      </w:r>
      <w:r>
        <w:rPr>
          <w:rFonts w:hint="eastAsia"/>
          <w:b/>
          <w:bCs/>
          <w:color w:val="FF0000"/>
          <w:szCs w:val="21"/>
        </w:rPr>
        <w:t>公布的操作手册内容为准。</w:t>
      </w:r>
    </w:p>
    <w:p>
      <w:pPr>
        <w:rPr>
          <w:b/>
          <w:color w:val="000000" w:themeColor="text1"/>
          <w14:textFill>
            <w14:solidFill>
              <w14:schemeClr w14:val="tx1"/>
            </w14:solidFill>
          </w14:textFill>
        </w:rPr>
      </w:pPr>
    </w:p>
    <w:p>
      <w:pPr>
        <w:rPr>
          <w:rFonts w:ascii="宋体" w:eastAsia="宋体" w:hAnsi="宋体" w:cs="宋体" w:hint="eastAsia"/>
          <w:b/>
          <w:bCs/>
          <w:sz w:val="28"/>
          <w:szCs w:val="28"/>
        </w:rPr>
      </w:pPr>
      <w:r>
        <w:rPr>
          <w:rFonts w:ascii="宋体" w:eastAsia="宋体" w:hAnsi="宋体" w:cs="宋体" w:hint="eastAsia"/>
          <w:b/>
          <w:bCs/>
          <w:sz w:val="28"/>
          <w:szCs w:val="28"/>
        </w:rPr>
        <w:br w:type="page"/>
      </w:r>
    </w:p>
    <w:p>
      <w:pPr>
        <w:jc w:val="center"/>
        <w:outlineLvl w:val="2"/>
        <w:rPr>
          <w:rFonts w:ascii="宋体" w:eastAsia="宋体" w:hAnsi="宋体" w:cs="宋体"/>
          <w:b/>
          <w:bCs/>
          <w:sz w:val="28"/>
          <w:szCs w:val="28"/>
        </w:rPr>
      </w:pPr>
      <w:r>
        <w:rPr>
          <w:rFonts w:ascii="宋体" w:eastAsia="宋体" w:hAnsi="宋体" w:cs="宋体" w:hint="eastAsia"/>
          <w:b/>
          <w:bCs/>
          <w:sz w:val="28"/>
          <w:szCs w:val="28"/>
        </w:rPr>
        <w:t>二、其他关键信息</w:t>
      </w:r>
    </w:p>
    <w:p>
      <w:pPr>
        <w:ind w:firstLine="480" w:firstLineChars="200"/>
        <w:rPr>
          <w:rFonts w:ascii="仿宋" w:eastAsia="仿宋" w:hAnsi="仿宋" w:cs="仿宋" w:hint="eastAsia"/>
          <w:b/>
          <w:color w:val="FF0000"/>
          <w:sz w:val="24"/>
        </w:rPr>
      </w:pPr>
      <w:r>
        <w:rPr>
          <w:rFonts w:hint="eastAsia"/>
          <w:b/>
          <w:bCs/>
        </w:rPr>
        <w:t>（一）评标定标信息</w:t>
      </w:r>
    </w:p>
    <w:p>
      <w:pPr>
        <w:ind w:firstLine="480" w:firstLineChars="200"/>
        <w:rPr>
          <w:rFonts w:ascii="仿宋" w:eastAsia="仿宋" w:hAnsi="仿宋" w:cs="仿宋" w:hint="eastAsia"/>
          <w:color w:val="4F81BD" w:themeColor="accent1"/>
          <w:sz w:val="24"/>
          <w14:textFill>
            <w14:solidFill>
              <w14:schemeClr w14:val="accent1"/>
            </w14:solidFill>
          </w14:textFill>
        </w:rPr>
      </w:pPr>
      <w:r>
        <w:rPr>
          <w:rFonts w:ascii="仿宋" w:eastAsia="仿宋" w:hAnsi="仿宋" w:cs="仿宋" w:hint="eastAsia"/>
          <w:color w:val="4F81BD" w:themeColor="accent1"/>
          <w:sz w:val="24"/>
          <w14:textFill>
            <w14:solidFill>
              <w14:schemeClr w14:val="accent1"/>
            </w14:solidFill>
          </w14:textFill>
        </w:rPr>
        <w:t>本次评标采用综合评分法，投标文件满足招标文件全部实质性要求，且按照招标文件中规定的各项评审因素进行量化打分，评标结果按评审后得分由高到低顺序排列。得分相同的，按投标报价由低到高顺序排列。得分且投标报价相同的，按技术/服务部分得分由高到低排列。得分、投标报价和技术/服务部分得分均相同的并列，出现并列情况采取随机抽取的方式确定，具体操作办法及流程由评审委员会确定，以评审总得分最高的投标人为中标供应商（排名第二的投标人为第一替补中标候选人、排名第三的投标人为第二替补中标候选人）。</w:t>
      </w:r>
    </w:p>
    <w:tbl>
      <w:tblPr>
        <w:tblStyle w:val="TableGrid"/>
        <w:tblW w:w="8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4090"/>
        <w:gridCol w:w="4065"/>
      </w:tblGrid>
      <w:tr>
        <w:tblPrEx>
          <w:tblW w:w="8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4090" w:type="dxa"/>
            <w:vAlign w:val="top"/>
          </w:tcPr>
          <w:p>
            <w:pPr>
              <w:keepNext w:val="0"/>
              <w:keepLines w:val="0"/>
              <w:widowControl w:val="0"/>
              <w:suppressLineNumbers w:val="0"/>
              <w:spacing w:before="0" w:beforeAutospacing="0" w:after="0" w:afterAutospacing="0"/>
              <w:ind w:left="0" w:right="0"/>
              <w:jc w:val="center"/>
              <w:rPr>
                <w:rFonts w:hint="default"/>
              </w:rPr>
            </w:pPr>
            <w:bookmarkStart w:id="30" w:name="_Hlk74239733"/>
            <w:r>
              <w:rPr>
                <w:rFonts w:hint="eastAsia"/>
              </w:rPr>
              <w:t>评标方法</w:t>
            </w:r>
          </w:p>
        </w:tc>
        <w:tc>
          <w:tcPr>
            <w:tcW w:w="4065" w:type="dxa"/>
            <w:vAlign w:val="top"/>
          </w:tcPr>
          <w:p>
            <w:pPr>
              <w:keepNext w:val="0"/>
              <w:keepLines w:val="0"/>
              <w:widowControl w:val="0"/>
              <w:suppressLineNumbers w:val="0"/>
              <w:spacing w:before="0" w:beforeAutospacing="0" w:after="0" w:afterAutospacing="0"/>
              <w:ind w:left="0" w:right="0"/>
              <w:jc w:val="center"/>
              <w:rPr>
                <w:rFonts w:hint="default"/>
              </w:rPr>
            </w:pPr>
            <w:r>
              <w:rPr>
                <w:rFonts w:hint="eastAsia"/>
              </w:rPr>
              <w:t>综合评分法</w:t>
            </w:r>
          </w:p>
        </w:tc>
      </w:tr>
      <w:tr>
        <w:tblPrEx>
          <w:tblW w:w="8155" w:type="dxa"/>
          <w:jc w:val="center"/>
          <w:tblLayout w:type="fixed"/>
          <w:tblCellMar>
            <w:top w:w="0" w:type="dxa"/>
            <w:left w:w="108" w:type="dxa"/>
            <w:bottom w:w="0" w:type="dxa"/>
            <w:right w:w="108" w:type="dxa"/>
          </w:tblCellMar>
        </w:tblPrEx>
        <w:trPr>
          <w:jc w:val="center"/>
        </w:trPr>
        <w:tc>
          <w:tcPr>
            <w:tcW w:w="4090" w:type="dxa"/>
            <w:vAlign w:val="top"/>
          </w:tcPr>
          <w:p>
            <w:pPr>
              <w:keepNext w:val="0"/>
              <w:keepLines w:val="0"/>
              <w:widowControl w:val="0"/>
              <w:suppressLineNumbers w:val="0"/>
              <w:spacing w:before="0" w:beforeAutospacing="0" w:after="0" w:afterAutospacing="0"/>
              <w:ind w:left="0" w:right="0"/>
              <w:jc w:val="center"/>
              <w:rPr>
                <w:rFonts w:hint="default"/>
              </w:rPr>
            </w:pPr>
            <w:r>
              <w:rPr>
                <w:rFonts w:hint="eastAsia"/>
              </w:rPr>
              <w:t>候选中标供应商家数</w:t>
            </w:r>
          </w:p>
        </w:tc>
        <w:tc>
          <w:tcPr>
            <w:tcW w:w="4065" w:type="dxa"/>
            <w:vAlign w:val="top"/>
          </w:tcPr>
          <w:p>
            <w:pPr>
              <w:keepNext w:val="0"/>
              <w:keepLines w:val="0"/>
              <w:widowControl w:val="0"/>
              <w:suppressLineNumbers w:val="0"/>
              <w:spacing w:before="0" w:beforeAutospacing="0" w:after="0" w:afterAutospacing="0"/>
              <w:ind w:left="0" w:right="0"/>
              <w:jc w:val="center"/>
              <w:rPr>
                <w:rFonts w:hint="default"/>
              </w:rPr>
            </w:pPr>
            <w:r>
              <w:rPr>
                <w:rFonts w:hint="eastAsia"/>
              </w:rPr>
              <w:t>3</w:t>
            </w:r>
          </w:p>
        </w:tc>
      </w:tr>
      <w:tr>
        <w:tblPrEx>
          <w:tblW w:w="8155" w:type="dxa"/>
          <w:jc w:val="center"/>
          <w:tblLayout w:type="fixed"/>
          <w:tblCellMar>
            <w:top w:w="0" w:type="dxa"/>
            <w:left w:w="108" w:type="dxa"/>
            <w:bottom w:w="0" w:type="dxa"/>
            <w:right w:w="108" w:type="dxa"/>
          </w:tblCellMar>
        </w:tblPrEx>
        <w:trPr>
          <w:jc w:val="center"/>
        </w:trPr>
        <w:tc>
          <w:tcPr>
            <w:tcW w:w="4090" w:type="dxa"/>
            <w:vAlign w:val="top"/>
          </w:tcPr>
          <w:p>
            <w:pPr>
              <w:keepNext w:val="0"/>
              <w:keepLines w:val="0"/>
              <w:widowControl w:val="0"/>
              <w:suppressLineNumbers w:val="0"/>
              <w:spacing w:before="0" w:beforeAutospacing="0" w:after="0" w:afterAutospacing="0"/>
              <w:ind w:left="0" w:right="0"/>
              <w:jc w:val="center"/>
              <w:rPr>
                <w:rFonts w:hint="default"/>
              </w:rPr>
            </w:pPr>
            <w:r>
              <w:rPr>
                <w:rFonts w:hint="eastAsia"/>
              </w:rPr>
              <w:t>中标供应商家数</w:t>
            </w:r>
          </w:p>
        </w:tc>
        <w:tc>
          <w:tcPr>
            <w:tcW w:w="4065" w:type="dxa"/>
            <w:vAlign w:val="top"/>
          </w:tcPr>
          <w:p>
            <w:pPr>
              <w:keepNext w:val="0"/>
              <w:keepLines w:val="0"/>
              <w:widowControl w:val="0"/>
              <w:suppressLineNumbers w:val="0"/>
              <w:spacing w:before="0" w:beforeAutospacing="0" w:after="0" w:afterAutospacing="0"/>
              <w:ind w:left="0" w:right="0"/>
              <w:jc w:val="center"/>
              <w:rPr>
                <w:rFonts w:hint="default"/>
              </w:rPr>
            </w:pPr>
            <w:r>
              <w:rPr>
                <w:rFonts w:hint="eastAsia"/>
              </w:rPr>
              <w:t>1</w:t>
            </w:r>
          </w:p>
        </w:tc>
      </w:tr>
    </w:tbl>
    <w:p>
      <w:pPr>
        <w:pStyle w:val="BodyText"/>
      </w:pPr>
      <w:bookmarkEnd w:id="30"/>
    </w:p>
    <w:p>
      <w:pPr>
        <w:ind w:firstLine="480" w:firstLineChars="200"/>
        <w:rPr>
          <w:rFonts w:ascii="仿宋" w:eastAsia="仿宋" w:hAnsi="仿宋" w:cs="仿宋"/>
          <w:color w:val="4F81BD" w:themeColor="accent1"/>
          <w:sz w:val="24"/>
          <w14:textFill>
            <w14:solidFill>
              <w14:schemeClr w14:val="accent1"/>
            </w14:solidFill>
          </w14:textFill>
        </w:rPr>
      </w:pPr>
      <w:r>
        <w:rPr>
          <w:rFonts w:ascii="仿宋" w:eastAsia="仿宋" w:hAnsi="仿宋" w:cs="仿宋" w:hint="eastAsia"/>
          <w:color w:val="4F81BD" w:themeColor="accent1"/>
          <w:sz w:val="24"/>
          <w14:textFill>
            <w14:solidFill>
              <w14:schemeClr w14:val="accent1"/>
            </w14:solidFill>
          </w14:textFill>
        </w:rPr>
        <w:t>评审委员会对每个通过资格性检查和符合性检查且报价不超过最高限价的投标人进行评审、打分，然后汇总每个投标人每项</w:t>
      </w:r>
      <w:r>
        <w:rPr>
          <w:rFonts w:ascii="仿宋" w:eastAsia="仿宋" w:hAnsi="仿宋" w:cs="仿宋" w:hint="eastAsia"/>
          <w:color w:val="4F81BD" w:themeColor="accent1"/>
          <w:sz w:val="24"/>
          <w:lang w:eastAsia="zh-CN"/>
          <w14:textFill>
            <w14:solidFill>
              <w14:schemeClr w14:val="accent1"/>
            </w14:solidFill>
          </w14:textFill>
        </w:rPr>
        <w:t>评审因素</w:t>
      </w:r>
      <w:r>
        <w:rPr>
          <w:rFonts w:ascii="仿宋" w:eastAsia="仿宋" w:hAnsi="仿宋" w:cs="仿宋" w:hint="eastAsia"/>
          <w:color w:val="4F81BD" w:themeColor="accent1"/>
          <w:sz w:val="24"/>
          <w14:textFill>
            <w14:solidFill>
              <w14:schemeClr w14:val="accent1"/>
            </w14:solidFill>
          </w14:textFill>
        </w:rPr>
        <w:t>的评分。</w:t>
      </w:r>
    </w:p>
    <w:p>
      <w:pPr>
        <w:ind w:firstLine="480" w:firstLineChars="200"/>
        <w:rPr>
          <w:rFonts w:ascii="仿宋" w:eastAsia="仿宋" w:hAnsi="仿宋" w:cs="仿宋" w:hint="eastAsia"/>
          <w:color w:val="4F81BD" w:themeColor="accent1"/>
          <w:sz w:val="24"/>
          <w:lang w:eastAsia="zh-CN"/>
          <w14:textFill>
            <w14:solidFill>
              <w14:schemeClr w14:val="accent1"/>
            </w14:solidFill>
          </w14:textFill>
        </w:rPr>
      </w:pPr>
      <w:r>
        <w:rPr>
          <w:rFonts w:ascii="仿宋" w:eastAsia="仿宋" w:hAnsi="仿宋" w:cs="仿宋" w:hint="eastAsia"/>
          <w:color w:val="4F81BD" w:themeColor="accent1"/>
          <w:sz w:val="24"/>
          <w14:textFill>
            <w14:solidFill>
              <w14:schemeClr w14:val="accent1"/>
            </w14:solidFill>
          </w14:textFill>
        </w:rPr>
        <w:t>评委会在评审时，按照</w:t>
      </w:r>
      <w:r>
        <w:rPr>
          <w:rFonts w:ascii="仿宋" w:eastAsia="仿宋" w:hAnsi="仿宋" w:cs="仿宋" w:hint="eastAsia"/>
          <w:color w:val="4F81BD" w:themeColor="accent1"/>
          <w:sz w:val="24"/>
          <w:lang w:eastAsia="zh-CN"/>
          <w14:textFill>
            <w14:solidFill>
              <w14:schemeClr w14:val="accent1"/>
            </w14:solidFill>
          </w14:textFill>
        </w:rPr>
        <w:t>《评标信息》中</w:t>
      </w:r>
      <w:r>
        <w:rPr>
          <w:rFonts w:ascii="仿宋" w:eastAsia="仿宋" w:hAnsi="仿宋" w:cs="仿宋" w:hint="eastAsia"/>
          <w:color w:val="4F81BD" w:themeColor="accent1"/>
          <w:sz w:val="24"/>
          <w14:textFill>
            <w14:solidFill>
              <w14:schemeClr w14:val="accent1"/>
            </w14:solidFill>
          </w14:textFill>
        </w:rPr>
        <w:t>的评审因素，对进入该阶段评审的各投标文件进行分析和比较</w:t>
      </w:r>
      <w:r>
        <w:rPr>
          <w:rFonts w:ascii="仿宋" w:eastAsia="仿宋" w:hAnsi="仿宋" w:cs="仿宋" w:hint="eastAsia"/>
          <w:color w:val="4F81BD" w:themeColor="accent1"/>
          <w:sz w:val="24"/>
          <w:lang w:eastAsia="zh-CN"/>
          <w14:textFill>
            <w14:solidFill>
              <w14:schemeClr w14:val="accent1"/>
            </w14:solidFill>
          </w14:textFill>
        </w:rPr>
        <w:t>。</w:t>
      </w:r>
    </w:p>
    <w:p>
      <w:pPr>
        <w:spacing w:line="360" w:lineRule="auto"/>
        <w:ind w:firstLine="480" w:firstLineChars="200"/>
        <w:rPr>
          <w:b/>
          <w:bCs/>
          <w:color w:val="000000" w:themeColor="text1"/>
          <w14:textFill>
            <w14:solidFill>
              <w14:schemeClr w14:val="tx1"/>
            </w14:solidFill>
          </w14:textFill>
        </w:rPr>
      </w:pPr>
      <w:r>
        <w:rPr>
          <w:rFonts w:hint="eastAsia"/>
          <w:b/>
          <w:color w:val="000000" w:themeColor="text1"/>
          <w14:textFill>
            <w14:solidFill>
              <w14:schemeClr w14:val="tx1"/>
            </w14:solidFill>
          </w14:textFill>
        </w:rPr>
        <w:t>（二）其他事项</w:t>
      </w:r>
    </w:p>
    <w:p>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b/>
          <w:bCs/>
          <w:color w:val="000000" w:themeColor="text1"/>
          <w14:textFill>
            <w14:solidFill>
              <w14:schemeClr w14:val="tx1"/>
            </w14:solidFill>
          </w14:textFill>
        </w:rPr>
      </w:pPr>
      <w:r>
        <w:rPr>
          <w:b/>
          <w:bCs/>
          <w:color w:val="000000" w:themeColor="text1"/>
          <w14:textFill>
            <w14:solidFill>
              <w14:schemeClr w14:val="tx1"/>
            </w14:solidFill>
          </w14:textFill>
        </w:rPr>
        <w:t>1</w:t>
      </w:r>
      <w:r>
        <w:rPr>
          <w:rFonts w:eastAsia="宋体" w:hint="eastAsia"/>
          <w:b/>
          <w:bCs/>
          <w:color w:val="000000" w:themeColor="text1"/>
          <w:lang w:val="en-US" w:eastAsia="zh-CN"/>
          <w14:textFill>
            <w14:solidFill>
              <w14:schemeClr w14:val="tx1"/>
            </w14:solidFill>
          </w14:textFill>
        </w:rPr>
        <w:t>.</w:t>
      </w:r>
      <w:r>
        <w:rPr>
          <w:rFonts w:hint="eastAsia"/>
          <w:b/>
          <w:bCs/>
          <w:color w:val="000000" w:themeColor="text1"/>
          <w14:textFill>
            <w14:solidFill>
              <w14:schemeClr w14:val="tx1"/>
            </w14:solidFill>
          </w14:textFill>
        </w:rPr>
        <w:t>关于享受优惠政策的主体及价格扣除比例</w:t>
      </w:r>
    </w:p>
    <w:p>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（1）投标人提供的服务</w:t>
      </w:r>
      <w:r>
        <w:rPr>
          <w:rFonts w:ascii="宋体" w:eastAsia="宋体" w:hAnsi="宋体" w:cs="宋体" w:hint="eastAsia"/>
          <w:color w:val="000000" w:themeColor="text1"/>
          <w14:textFill>
            <w14:solidFill>
              <w14:schemeClr w14:val="tx1"/>
            </w14:solidFill>
          </w14:textFill>
        </w:rPr>
        <w:t>全部</w:t>
      </w:r>
      <w:r>
        <w:rPr>
          <w:rFonts w:hint="eastAsia"/>
          <w:color w:val="000000" w:themeColor="text1"/>
          <w14:textFill>
            <w14:solidFill>
              <w14:schemeClr w14:val="tx1"/>
            </w14:solidFill>
          </w14:textFill>
        </w:rPr>
        <w:t>均由优惠主体承接，则对其投标总价给予</w:t>
      </w:r>
      <w:r>
        <w:rPr>
          <w:color w:val="000000" w:themeColor="text1"/>
          <w14:textFill>
            <w14:solidFill>
              <w14:schemeClr w14:val="tx1"/>
            </w14:solidFill>
          </w14:textFill>
        </w:rPr>
        <w:t xml:space="preserve"> </w:t>
      </w:r>
      <w:r>
        <w:rPr>
          <w:color w:val="FF0000"/>
        </w:rPr>
        <w:t>10</w:t>
      </w:r>
      <w:r>
        <w:rPr>
          <w:rFonts w:hint="eastAsia"/>
          <w:color w:val="FF0000"/>
        </w:rPr>
        <w:t>%</w:t>
      </w:r>
      <w:r>
        <w:rPr>
          <w:rFonts w:hint="eastAsia"/>
          <w:color w:val="000000" w:themeColor="text1"/>
          <w14:textFill>
            <w14:solidFill>
              <w14:schemeClr w14:val="tx1"/>
            </w14:solidFill>
          </w14:textFill>
        </w:rPr>
        <w:t>的扣除，用扣除后的价格参与评审。</w:t>
      </w:r>
    </w:p>
    <w:p>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rPr>
          <w:rFonts w:hint="eastAsia"/>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w:t>
      </w: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本项目不适用</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接受大中型企业与小微企业组成联合体或者允许大中型企业向一家或者多家小微企业分包的采购项目，对于联合协议或者分包意向协议约定小微企业的合同份额占到合同总金额30%以上的，将对联合体或者大中型企业的报价给予</w:t>
      </w:r>
      <w:r>
        <w:rPr>
          <w:rFonts w:hint="eastAsia"/>
          <w:color w:val="FF0000"/>
          <w:lang w:val="en-US" w:eastAsia="zh-CN"/>
        </w:rPr>
        <w:t>4</w:t>
      </w:r>
      <w:r>
        <w:rPr>
          <w:rFonts w:hint="eastAsia"/>
          <w:color w:val="FF0000"/>
        </w:rPr>
        <w:t>%</w:t>
      </w:r>
      <w:r>
        <w:rPr>
          <w:rFonts w:hint="eastAsia"/>
          <w:color w:val="000000" w:themeColor="text1"/>
          <w14:textFill>
            <w14:solidFill>
              <w14:schemeClr w14:val="tx1"/>
            </w14:solidFill>
          </w14:textFill>
        </w:rPr>
        <w:t>的扣除。</w:t>
      </w:r>
    </w:p>
    <w:p>
      <w:pPr>
        <w:keepNext w:val="0"/>
        <w:keepLines w:val="0"/>
        <w:pageBreakBefore w:val="0"/>
        <w:widowControl/>
        <w:kinsoku/>
        <w:wordWrap/>
        <w:overflowPunct/>
        <w:topLinePunct w:val="0"/>
        <w:autoSpaceDE/>
        <w:autoSpaceDN/>
        <w:bidi w:val="0"/>
        <w:adjustRightInd/>
        <w:snapToGrid/>
        <w:spacing w:line="240" w:lineRule="auto"/>
        <w:ind w:firstLine="480" w:firstLineChars="200"/>
        <w:jc w:val="both"/>
        <w:textAlignment w:val="auto"/>
        <w:rPr>
          <w:rFonts w:ascii="宋体" w:eastAsia="宋体" w:hAnsi="宋体" w:cs="宋体" w:hint="eastAsia"/>
          <w:b/>
          <w:bCs/>
          <w:color w:val="FF0000"/>
        </w:rPr>
      </w:pPr>
      <w:r>
        <w:rPr>
          <w:rFonts w:eastAsia="宋体" w:hint="eastAsia"/>
          <w:color w:val="000000" w:themeColor="text1"/>
          <w:lang w:eastAsia="zh-CN"/>
          <w14:textFill>
            <w14:solidFill>
              <w14:schemeClr w14:val="tx1"/>
            </w14:solidFill>
          </w14:textFill>
        </w:rPr>
        <w:t>（</w:t>
      </w:r>
      <w:r>
        <w:rPr>
          <w:rFonts w:eastAsia="宋体" w:hint="eastAsia"/>
          <w:color w:val="000000" w:themeColor="text1"/>
          <w:lang w:val="en-US" w:eastAsia="zh-CN"/>
          <w14:textFill>
            <w14:solidFill>
              <w14:schemeClr w14:val="tx1"/>
            </w14:solidFill>
          </w14:textFill>
        </w:rPr>
        <w:t>3</w:t>
      </w:r>
      <w:r>
        <w:rPr>
          <w:rFonts w:eastAsia="宋体"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满足多项优惠政策的企业，不重复享受多项价格扣除政策。</w:t>
      </w:r>
      <w:r>
        <w:rPr>
          <w:rFonts w:ascii="宋体" w:eastAsia="宋体" w:hAnsi="宋体" w:cs="宋体" w:hint="eastAsia"/>
          <w:b/>
          <w:bCs/>
          <w:color w:val="FF0000"/>
        </w:rPr>
        <w:t>政策调整后价格仅作为评审依据，不作为中标价格。享受价格扣除获得政府采购合同的，小微企业不得将合同分包给大中型企业。</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bCs/>
        </w:rPr>
      </w:pPr>
      <w:r>
        <w:rPr>
          <w:rFonts w:hint="eastAsia"/>
          <w:color w:val="000000" w:themeColor="text1"/>
          <w14:textFill>
            <w14:solidFill>
              <w14:schemeClr w14:val="tx1"/>
            </w14:solidFill>
          </w14:textFill>
        </w:rPr>
        <w:t>备注：（a）优惠主体包括小型企业、微型企业、监狱企业、残疾人福利性单位；中小企业是指在中华人民共和国境内依法设立，依据国务院批准的中小企业划分标准确定的中型企业、小型企业、微型企业，但与大企业的负责人为同一人，或者与大企业存在直接控股、管理关系的除外；符合中小企业划分标准的个体工商户，在政府采购活动中视同中小企业；(</w:t>
      </w:r>
      <w:r>
        <w:rPr>
          <w:color w:val="000000" w:themeColor="text1"/>
          <w14:textFill>
            <w14:solidFill>
              <w14:schemeClr w14:val="tx1"/>
            </w14:solidFill>
          </w14:textFill>
        </w:rPr>
        <w:t>b)</w:t>
      </w:r>
      <w:r>
        <w:rPr>
          <w:rFonts w:hint="eastAsia"/>
          <w:color w:val="000000" w:themeColor="text1"/>
          <w14:textFill>
            <w14:solidFill>
              <w14:schemeClr w14:val="tx1"/>
            </w14:solidFill>
          </w14:textFill>
        </w:rPr>
        <w:t>优惠主体承接是指提供服务的人员为中小企业依照《中华人民共和国劳动合同法》订立劳动合同的从业人员。(</w:t>
      </w:r>
      <w:r>
        <w:rPr>
          <w:color w:val="000000" w:themeColor="text1"/>
          <w14:textFill>
            <w14:solidFill>
              <w14:schemeClr w14:val="tx1"/>
            </w14:solidFill>
          </w14:textFill>
        </w:rPr>
        <w:t>c)</w:t>
      </w:r>
      <w:r>
        <w:rPr>
          <w:rFonts w:ascii="宋体" w:hAnsi="宋体" w:hint="eastAsia"/>
          <w:bCs/>
        </w:rPr>
        <w:t>小型企业、微型企业、残疾人福利性单位作为优惠主体的认定资料为《中小企业声明函》、《残疾人福利性单位声明函》；监狱企业作为优惠主体的认定资料为省级以上监狱管理局、戒毒管理局出具的监狱企业证明文件。</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rPr>
      </w:pPr>
      <w:r>
        <w:rPr>
          <w:rFonts w:ascii="宋体" w:hAnsi="宋体" w:hint="eastAsia"/>
          <w:bCs/>
        </w:rPr>
        <w:t>本项目采购标的对应的中小企业划分标准所属行业，根据《中小企业划型标准规定》（工信部联企业〔2011〕300号）、《</w:t>
      </w:r>
      <w:r>
        <w:rPr>
          <w:rFonts w:ascii="宋体" w:hAnsi="宋体"/>
          <w:bCs/>
        </w:rPr>
        <w:t>统计上大中小微型企业划分办法（2017）</w:t>
      </w:r>
      <w:r>
        <w:rPr>
          <w:rFonts w:ascii="宋体" w:hAnsi="宋体" w:hint="eastAsia"/>
          <w:bCs/>
        </w:rPr>
        <w:t>》（国统字〔2017〕213号）或国务院批准的其他中小企业划分标准文件确定。</w:t>
      </w:r>
    </w:p>
    <w:p>
      <w:pPr>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b/>
          <w:bCs/>
          <w:color w:val="000000" w:themeColor="text1"/>
          <w:lang w:val="en-US" w:eastAsia="zh-CN"/>
          <w14:textFill>
            <w14:solidFill>
              <w14:schemeClr w14:val="tx1"/>
            </w14:solidFill>
          </w14:textFill>
        </w:rPr>
      </w:pPr>
      <w:r>
        <w:rPr>
          <w:rFonts w:hint="eastAsia"/>
          <w:b/>
          <w:bCs/>
          <w:color w:val="000000" w:themeColor="text1"/>
          <w:lang w:val="en-US" w:eastAsia="zh-CN"/>
          <w14:textFill>
            <w14:solidFill>
              <w14:schemeClr w14:val="tx1"/>
            </w14:solidFill>
          </w14:textFill>
        </w:rPr>
        <w:t>2.关于落实政府绿色采购有关事项</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default"/>
          <w:bCs/>
          <w:lang w:val="en-US" w:eastAsia="zh-CN"/>
        </w:rPr>
      </w:pPr>
      <w:r>
        <w:rPr>
          <w:rFonts w:ascii="宋体" w:hAnsi="宋体" w:hint="eastAsia"/>
          <w:bCs/>
          <w:lang w:val="en-US" w:eastAsia="zh-CN"/>
        </w:rPr>
        <w:t>根据《深圳市财政局关于大力推广政府绿色采购有关事项的通知》（深财购〔2023〕49号）要求，如拟采购的产品属于节能产品或环境标志产品政府采购品目清单范围的，将在采购需求中对产品进行标识，并依据国家确认的认证机构出具的、处于有效期之内的节能产品或环境标志产品认证证书，对获得证书的产品实施政府优先采购或强制采购。如项目涉及商品包装、快递包装、绿色建筑和绿色建材、绿色数据中心等内容，需求标准将严格执行《商品包装政府采购需求标准（试行）》、《快递包装政府采购需求标准（试行）》（财办库〔2020〕123号）、《绿色建筑和绿色建材政府采购需求标准》（财办库〔2022〕35号）、《绿色数据中心政府采购需求标准（试行）》（财办库〔2023〕7号）等文件要求，并在采购文件和采购合同中载明具体需求、履约验收条款和违约责任，促进绿色包装、绿色运输、绿色建筑、绿色建材和绿色数据中心在政府采购领域的应用。</w:t>
      </w:r>
    </w:p>
    <w:p>
      <w:pPr>
        <w:spacing w:line="360" w:lineRule="auto"/>
        <w:jc w:val="center"/>
        <w:rPr>
          <w:rFonts w:cs="宋体" w:hint="eastAsia"/>
          <w:b/>
          <w:bCs/>
          <w:color w:val="000000" w:themeColor="text1"/>
          <w:sz w:val="28"/>
          <w:szCs w:val="28"/>
          <w14:textFill>
            <w14:solidFill>
              <w14:schemeClr w14:val="tx1"/>
            </w14:solidFill>
          </w14:textFill>
        </w:rPr>
      </w:pPr>
      <w:bookmarkStart w:id="31" w:name="_Toc128884461"/>
    </w:p>
    <w:p>
      <w:pPr>
        <w:keepNext w:val="0"/>
        <w:keepLines w:val="0"/>
        <w:pageBreakBefore w:val="0"/>
        <w:widowControl/>
        <w:kinsoku/>
        <w:wordWrap/>
        <w:overflowPunct/>
        <w:topLinePunct w:val="0"/>
        <w:autoSpaceDE/>
        <w:autoSpaceDN/>
        <w:bidi w:val="0"/>
        <w:adjustRightInd/>
        <w:snapToGrid/>
        <w:spacing w:line="360" w:lineRule="auto"/>
        <w:jc w:val="center"/>
        <w:textAlignment w:val="auto"/>
        <w:outlineLvl w:val="1"/>
        <w:rPr>
          <w:b/>
          <w:bCs/>
          <w:color w:val="000000" w:themeColor="text1"/>
          <w:sz w:val="28"/>
          <w:szCs w:val="28"/>
          <w14:textFill>
            <w14:solidFill>
              <w14:schemeClr w14:val="tx1"/>
            </w14:solidFill>
          </w14:textFill>
        </w:rPr>
      </w:pPr>
      <w:r>
        <w:rPr>
          <w:rFonts w:cs="宋体" w:hint="eastAsia"/>
          <w:b/>
          <w:bCs/>
          <w:color w:val="000000" w:themeColor="text1"/>
          <w:sz w:val="28"/>
          <w:szCs w:val="28"/>
          <w14:textFill>
            <w14:solidFill>
              <w14:schemeClr w14:val="tx1"/>
            </w14:solidFill>
          </w14:textFill>
        </w:rPr>
        <w:t>第三章</w:t>
      </w:r>
      <w:r>
        <w:rPr>
          <w:rFonts w:hint="eastAsia"/>
          <w:b/>
          <w:bCs/>
          <w:color w:val="000000" w:themeColor="text1"/>
          <w:sz w:val="28"/>
          <w:szCs w:val="28"/>
          <w14:textFill>
            <w14:solidFill>
              <w14:schemeClr w14:val="tx1"/>
            </w14:solidFill>
          </w14:textFill>
        </w:rPr>
        <w:t xml:space="preserve"> </w:t>
      </w:r>
      <w:r>
        <w:rPr>
          <w:rFonts w:cs="宋体" w:hint="eastAsia"/>
          <w:b/>
          <w:bCs/>
          <w:color w:val="000000" w:themeColor="text1"/>
          <w:sz w:val="28"/>
          <w:szCs w:val="28"/>
          <w14:textFill>
            <w14:solidFill>
              <w14:schemeClr w14:val="tx1"/>
            </w14:solidFill>
          </w14:textFill>
        </w:rPr>
        <w:t>用户需求书</w:t>
      </w:r>
    </w:p>
    <w:p>
      <w:pPr>
        <w:spacing w:line="360" w:lineRule="auto"/>
        <w:jc w:val="center"/>
        <w:outlineLvl w:val="2"/>
        <w:rPr>
          <w:rFonts w:eastAsia="宋体"/>
          <w:b/>
          <w:bCs/>
        </w:rPr>
      </w:pPr>
      <w:bookmarkEnd w:id="31"/>
      <w:bookmarkStart w:id="32" w:name="_Toc11426270"/>
      <w:r>
        <w:rPr>
          <w:rFonts w:ascii="宋体" w:eastAsia="宋体" w:hAnsi="宋体" w:cs="宋体" w:hint="eastAsia"/>
          <w:b/>
          <w:bCs/>
        </w:rPr>
        <w:t>一、项目基本信息</w:t>
      </w:r>
    </w:p>
    <w:tbl>
      <w:tblPr>
        <w:tblStyle w:val="TableNormal"/>
        <w:tblpPr w:leftFromText="180" w:rightFromText="180" w:vertAnchor="text" w:horzAnchor="margin" w:tblpXSpec="center" w:tblpY="173"/>
        <w:tblW w:w="820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438"/>
        <w:gridCol w:w="2166"/>
        <w:gridCol w:w="2175"/>
        <w:gridCol w:w="2205"/>
        <w:gridCol w:w="1224"/>
      </w:tblGrid>
      <w:tr>
        <w:tblPrEx>
          <w:tblW w:w="820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90"/>
        </w:trPr>
        <w:tc>
          <w:tcPr>
            <w:tcW w:w="438" w:type="dxa"/>
            <w:shd w:val="clear" w:color="auto" w:fill="C6D9F0" w:themeFill="text2" w:themeFillTint="33"/>
            <w:vAlign w:val="center"/>
          </w:tcPr>
          <w:p>
            <w:pPr>
              <w:keepNext w:val="0"/>
              <w:keepLines w:val="0"/>
              <w:widowControl/>
              <w:suppressLineNumbers w:val="0"/>
              <w:spacing w:before="0" w:beforeAutospacing="0" w:after="0" w:afterAutospacing="0"/>
              <w:ind w:left="0" w:right="0"/>
              <w:jc w:val="center"/>
              <w:rPr>
                <w:rFonts w:hint="default"/>
                <w:b/>
                <w:color w:val="000000" w:themeColor="text1"/>
                <w:szCs w:val="21"/>
                <w14:textFill>
                  <w14:solidFill>
                    <w14:schemeClr w14:val="tx1"/>
                  </w14:solidFill>
                </w14:textFill>
              </w:rPr>
            </w:pPr>
            <w:r>
              <w:rPr>
                <w:rFonts w:ascii="宋体" w:eastAsia="宋体" w:hAnsi="宋体" w:cs="宋体" w:hint="eastAsia"/>
                <w:b/>
                <w:color w:val="000000" w:themeColor="text1"/>
                <w:szCs w:val="21"/>
                <w14:textFill>
                  <w14:solidFill>
                    <w14:schemeClr w14:val="tx1"/>
                  </w14:solidFill>
                </w14:textFill>
              </w:rPr>
              <w:t>序</w:t>
            </w:r>
            <w:r>
              <w:rPr>
                <w:rFonts w:hint="eastAsia"/>
                <w:b/>
                <w:color w:val="000000" w:themeColor="text1"/>
                <w:szCs w:val="21"/>
                <w14:textFill>
                  <w14:solidFill>
                    <w14:schemeClr w14:val="tx1"/>
                  </w14:solidFill>
                </w14:textFill>
              </w:rPr>
              <w:t>号</w:t>
            </w:r>
          </w:p>
        </w:tc>
        <w:tc>
          <w:tcPr>
            <w:tcW w:w="2166" w:type="dxa"/>
            <w:shd w:val="clear" w:color="auto" w:fill="C6D9F0" w:themeFill="text2" w:themeFillTint="33"/>
            <w:vAlign w:val="center"/>
          </w:tcPr>
          <w:p>
            <w:pPr>
              <w:keepNext w:val="0"/>
              <w:keepLines w:val="0"/>
              <w:widowControl/>
              <w:suppressLineNumbers w:val="0"/>
              <w:spacing w:before="0" w:beforeAutospacing="0" w:after="0" w:afterAutospacing="0"/>
              <w:ind w:left="0" w:right="0"/>
              <w:jc w:val="center"/>
              <w:rPr>
                <w:rFonts w:hint="default"/>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采购项目名称</w:t>
            </w:r>
          </w:p>
        </w:tc>
        <w:tc>
          <w:tcPr>
            <w:tcW w:w="2175" w:type="dxa"/>
            <w:shd w:val="clear" w:color="auto" w:fill="C6D9F0" w:themeFill="text2" w:themeFillTint="33"/>
            <w:vAlign w:val="center"/>
          </w:tcPr>
          <w:p>
            <w:pPr>
              <w:keepNext w:val="0"/>
              <w:keepLines w:val="0"/>
              <w:widowControl/>
              <w:suppressLineNumbers w:val="0"/>
              <w:spacing w:before="0" w:beforeAutospacing="0" w:after="0" w:afterAutospacing="0"/>
              <w:ind w:left="0" w:right="0"/>
              <w:jc w:val="center"/>
              <w:rPr>
                <w:rFonts w:hint="default"/>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财政预算限额（元）</w:t>
            </w:r>
          </w:p>
        </w:tc>
        <w:tc>
          <w:tcPr>
            <w:tcW w:w="2205" w:type="dxa"/>
            <w:shd w:val="clear" w:color="auto" w:fill="C6D9F0" w:themeFill="text2" w:themeFillTint="33"/>
            <w:vAlign w:val="center"/>
          </w:tcPr>
          <w:p>
            <w:pPr>
              <w:keepNext w:val="0"/>
              <w:keepLines w:val="0"/>
              <w:widowControl/>
              <w:suppressLineNumbers w:val="0"/>
              <w:spacing w:before="0" w:beforeAutospacing="0" w:after="0" w:afterAutospacing="0"/>
              <w:ind w:left="0" w:right="0"/>
              <w:jc w:val="center"/>
              <w:rPr>
                <w:rFonts w:hint="default"/>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最高限价（元）</w:t>
            </w:r>
          </w:p>
        </w:tc>
        <w:tc>
          <w:tcPr>
            <w:tcW w:w="1224" w:type="dxa"/>
            <w:shd w:val="clear" w:color="auto" w:fill="C6D9F0" w:themeFill="text2" w:themeFillTint="33"/>
            <w:vAlign w:val="center"/>
          </w:tcPr>
          <w:p>
            <w:pPr>
              <w:keepNext w:val="0"/>
              <w:keepLines w:val="0"/>
              <w:widowControl/>
              <w:suppressLineNumbers w:val="0"/>
              <w:spacing w:before="0" w:beforeAutospacing="0" w:after="0" w:afterAutospacing="0"/>
              <w:ind w:left="0" w:right="0"/>
              <w:jc w:val="center"/>
              <w:rPr>
                <w:rFonts w:eastAsiaTheme="minorEastAsia" w:hint="eastAsia"/>
                <w:b/>
                <w:color w:val="000000" w:themeColor="text1"/>
                <w:szCs w:val="21"/>
                <w:lang w:eastAsia="zh-CN"/>
                <w14:textFill>
                  <w14:solidFill>
                    <w14:schemeClr w14:val="tx1"/>
                  </w14:solidFill>
                </w14:textFill>
              </w:rPr>
            </w:pPr>
            <w:r>
              <w:rPr>
                <w:rFonts w:hint="eastAsia"/>
                <w:b/>
                <w:color w:val="000000" w:themeColor="text1"/>
                <w:szCs w:val="21"/>
                <w:lang w:val="en-US" w:eastAsia="zh-CN"/>
                <w14:textFill>
                  <w14:solidFill>
                    <w14:schemeClr w14:val="tx1"/>
                  </w14:solidFill>
                </w14:textFill>
              </w:rPr>
              <w:t>备注</w:t>
            </w:r>
          </w:p>
        </w:tc>
      </w:tr>
      <w:tr>
        <w:tblPrEx>
          <w:tblW w:w="8208" w:type="dxa"/>
          <w:tblInd w:w="0" w:type="dxa"/>
          <w:tblLayout w:type="fixed"/>
          <w:tblCellMar>
            <w:top w:w="0" w:type="dxa"/>
            <w:left w:w="108" w:type="dxa"/>
            <w:bottom w:w="0" w:type="dxa"/>
            <w:right w:w="108" w:type="dxa"/>
          </w:tblCellMar>
        </w:tblPrEx>
        <w:trPr>
          <w:trHeight w:val="306"/>
        </w:trPr>
        <w:tc>
          <w:tcPr>
            <w:tcW w:w="438" w:type="dxa"/>
            <w:vAlign w:val="center"/>
          </w:tcPr>
          <w:p>
            <w:pPr>
              <w:keepNext w:val="0"/>
              <w:keepLines w:val="0"/>
              <w:widowControl/>
              <w:suppressLineNumbers w:val="0"/>
              <w:spacing w:before="0" w:beforeAutospacing="0" w:after="0" w:afterAutospacing="0"/>
              <w:ind w:left="0" w:right="0"/>
              <w:jc w:val="center"/>
              <w:rPr>
                <w:rFonts w:hint="default"/>
                <w:bCs/>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1</w:t>
            </w:r>
          </w:p>
        </w:tc>
        <w:tc>
          <w:tcPr>
            <w:tcW w:w="2166" w:type="dxa"/>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bCs/>
                <w:color w:val="FF0000"/>
                <w:szCs w:val="21"/>
                <w:lang w:eastAsia="zh-CN"/>
              </w:rPr>
            </w:pPr>
            <w:r>
              <w:rPr>
                <w:rFonts w:ascii="宋体" w:eastAsia="宋体" w:hAnsi="宋体" w:cs="宋体" w:hint="eastAsia"/>
                <w:bCs/>
                <w:color w:val="auto"/>
                <w:szCs w:val="21"/>
                <w:lang w:eastAsia="zh-CN"/>
              </w:rPr>
              <w:t>2025年引航船艇管理服务</w:t>
            </w:r>
          </w:p>
        </w:tc>
        <w:tc>
          <w:tcPr>
            <w:tcW w:w="2175" w:type="dxa"/>
            <w:vAlign w:val="center"/>
          </w:tcPr>
          <w:p>
            <w:pPr>
              <w:keepNext w:val="0"/>
              <w:keepLines w:val="0"/>
              <w:widowControl/>
              <w:suppressLineNumbers w:val="0"/>
              <w:spacing w:before="0" w:beforeAutospacing="0" w:after="0" w:afterAutospacing="0"/>
              <w:ind w:left="0" w:right="0"/>
              <w:jc w:val="center"/>
              <w:rPr>
                <w:rFonts w:eastAsiaTheme="minorEastAsia" w:hint="default"/>
                <w:b/>
                <w:bCs/>
                <w:color w:val="000000" w:themeColor="text1"/>
                <w:szCs w:val="21"/>
                <w:lang w:val="en-US" w:eastAsia="zh-CN"/>
                <w14:textFill>
                  <w14:solidFill>
                    <w14:schemeClr w14:val="tx1"/>
                  </w14:solidFill>
                </w14:textFill>
              </w:rPr>
            </w:pPr>
            <w:r>
              <w:rPr>
                <w:rFonts w:eastAsiaTheme="minorEastAsia" w:hint="eastAsia"/>
                <w:b/>
                <w:bCs/>
                <w:color w:val="000000" w:themeColor="text1"/>
                <w:szCs w:val="21"/>
                <w:lang w:eastAsia="zh-CN"/>
                <w14:textFill>
                  <w14:solidFill>
                    <w14:schemeClr w14:val="tx1"/>
                  </w14:solidFill>
                </w14:textFill>
              </w:rPr>
              <w:t>11,500,000</w:t>
            </w:r>
            <w:r>
              <w:rPr>
                <w:rFonts w:eastAsiaTheme="minorEastAsia" w:hint="eastAsia"/>
                <w:b/>
                <w:bCs/>
                <w:color w:val="000000" w:themeColor="text1"/>
                <w:szCs w:val="21"/>
                <w:lang w:val="en-US" w:eastAsia="zh-CN"/>
                <w14:textFill>
                  <w14:solidFill>
                    <w14:schemeClr w14:val="tx1"/>
                  </w14:solidFill>
                </w14:textFill>
              </w:rPr>
              <w:t>.00</w:t>
            </w:r>
          </w:p>
        </w:tc>
        <w:tc>
          <w:tcPr>
            <w:tcW w:w="2205" w:type="dxa"/>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bCs/>
                <w:color w:val="000000" w:themeColor="text1"/>
                <w:szCs w:val="21"/>
                <w:lang w:val="en-US" w:eastAsia="zh-CN"/>
                <w14:textFill>
                  <w14:solidFill>
                    <w14:schemeClr w14:val="tx1"/>
                  </w14:solidFill>
                </w14:textFill>
              </w:rPr>
            </w:pPr>
            <w:r>
              <w:rPr>
                <w:rFonts w:ascii="宋体" w:eastAsia="宋体" w:hAnsi="宋体" w:cs="宋体" w:hint="eastAsia"/>
                <w:bCs/>
                <w:color w:val="000000" w:themeColor="text1"/>
                <w:szCs w:val="21"/>
                <w:lang w:eastAsia="zh-CN"/>
                <w14:textFill>
                  <w14:solidFill>
                    <w14:schemeClr w14:val="tx1"/>
                  </w14:solidFill>
                </w14:textFill>
              </w:rPr>
              <w:t>11,500,000</w:t>
            </w:r>
            <w:r>
              <w:rPr>
                <w:rFonts w:ascii="宋体" w:eastAsia="宋体" w:hAnsi="宋体" w:cs="宋体" w:hint="eastAsia"/>
                <w:bCs/>
                <w:color w:val="000000" w:themeColor="text1"/>
                <w:szCs w:val="21"/>
                <w:lang w:val="en-US" w:eastAsia="zh-CN"/>
                <w14:textFill>
                  <w14:solidFill>
                    <w14:schemeClr w14:val="tx1"/>
                  </w14:solidFill>
                </w14:textFill>
              </w:rPr>
              <w:t>.00</w:t>
            </w:r>
          </w:p>
        </w:tc>
        <w:tc>
          <w:tcPr>
            <w:tcW w:w="1224" w:type="dxa"/>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bCs/>
                <w:color w:val="000000" w:themeColor="text1"/>
                <w:szCs w:val="21"/>
                <w:lang w:eastAsia="zh-CN"/>
                <w14:textFill>
                  <w14:solidFill>
                    <w14:schemeClr w14:val="tx1"/>
                  </w14:solidFill>
                </w14:textFill>
              </w:rPr>
            </w:pPr>
          </w:p>
        </w:tc>
      </w:tr>
    </w:tbl>
    <w:p>
      <w:pPr>
        <w:ind w:firstLine="480" w:firstLineChars="200"/>
        <w:rPr>
          <w:rFonts w:ascii="宋体" w:hAnsi="宋体"/>
          <w:b/>
          <w:color w:val="FF0000"/>
          <w:szCs w:val="21"/>
        </w:rPr>
      </w:pPr>
      <w:r>
        <w:rPr>
          <w:rFonts w:ascii="宋体" w:hAnsi="宋体" w:hint="eastAsia"/>
          <w:b/>
          <w:color w:val="FF0000"/>
          <w:szCs w:val="21"/>
        </w:rPr>
        <w:t>本项目在财政预算金额下设定最高限价，如投标人的投标报价超过最高限价，将按照符合性审查要求作投标无效处理</w:t>
      </w:r>
    </w:p>
    <w:p>
      <w:pPr>
        <w:pStyle w:val="NormalIndent"/>
      </w:pPr>
    </w:p>
    <w:p>
      <w:pPr>
        <w:spacing w:line="360" w:lineRule="auto"/>
        <w:jc w:val="center"/>
        <w:outlineLvl w:val="2"/>
        <w:rPr>
          <w:rFonts w:ascii="宋体" w:eastAsia="宋体" w:hAnsi="宋体" w:cs="宋体"/>
          <w:b/>
          <w:bCs/>
        </w:rPr>
      </w:pPr>
      <w:r>
        <w:rPr>
          <w:rFonts w:ascii="宋体" w:eastAsia="宋体" w:hAnsi="宋体" w:cs="宋体" w:hint="eastAsia"/>
          <w:b/>
          <w:bCs/>
        </w:rPr>
        <w:t>二、</w:t>
      </w:r>
      <w:bookmarkStart w:id="33" w:name="_Hlk72073432"/>
      <w:r>
        <w:rPr>
          <w:rFonts w:ascii="宋体" w:eastAsia="宋体" w:hAnsi="宋体" w:cs="宋体" w:hint="eastAsia"/>
          <w:b/>
          <w:bCs/>
        </w:rPr>
        <w:t>服务需求明细</w:t>
      </w:r>
      <w:bookmarkEnd w:id="33"/>
    </w:p>
    <w:tbl>
      <w:tblPr>
        <w:tblStyle w:val="TableNormal"/>
        <w:tblW w:w="8273" w:type="dxa"/>
        <w:jc w:val="center"/>
        <w:tblLayout w:type="fixed"/>
        <w:tblCellMar>
          <w:top w:w="0" w:type="dxa"/>
          <w:left w:w="108" w:type="dxa"/>
          <w:bottom w:w="0" w:type="dxa"/>
          <w:right w:w="108" w:type="dxa"/>
        </w:tblCellMar>
      </w:tblPr>
      <w:tblGrid>
        <w:gridCol w:w="633"/>
        <w:gridCol w:w="3641"/>
        <w:gridCol w:w="797"/>
        <w:gridCol w:w="780"/>
        <w:gridCol w:w="1414"/>
        <w:gridCol w:w="1008"/>
      </w:tblGrid>
      <w:tr>
        <w:tblPrEx>
          <w:tblW w:w="8273" w:type="dxa"/>
          <w:jc w:val="center"/>
          <w:tblLayout w:type="fixed"/>
          <w:tblCellMar>
            <w:top w:w="0" w:type="dxa"/>
            <w:left w:w="108" w:type="dxa"/>
            <w:bottom w:w="0" w:type="dxa"/>
            <w:right w:w="108" w:type="dxa"/>
          </w:tblCellMar>
        </w:tblPrEx>
        <w:trPr>
          <w:trHeight w:val="552"/>
          <w:jc w:val="center"/>
        </w:trPr>
        <w:tc>
          <w:tcPr>
            <w:tcW w:w="633" w:type="dxa"/>
            <w:tcBorders>
              <w:top w:val="single" w:sz="4" w:space="0" w:color="000000"/>
              <w:left w:val="single" w:sz="4" w:space="0" w:color="000000"/>
              <w:bottom w:val="single" w:sz="4" w:space="0" w:color="000000"/>
              <w:right w:val="single" w:sz="4" w:space="0" w:color="auto"/>
            </w:tcBorders>
            <w:shd w:val="clear" w:color="auto" w:fill="C6D9F1"/>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
                <w:bCs/>
              </w:rPr>
            </w:pPr>
            <w:r>
              <w:rPr>
                <w:rFonts w:ascii="宋体" w:eastAsia="宋体" w:hAnsi="宋体" w:cs="宋体" w:hint="eastAsia"/>
                <w:b/>
                <w:bCs/>
              </w:rPr>
              <w:t>序号</w:t>
            </w:r>
          </w:p>
        </w:tc>
        <w:tc>
          <w:tcPr>
            <w:tcW w:w="3641" w:type="dxa"/>
            <w:tcBorders>
              <w:top w:val="single" w:sz="4" w:space="0" w:color="000000"/>
              <w:left w:val="single" w:sz="4" w:space="0" w:color="auto"/>
              <w:bottom w:val="single" w:sz="4" w:space="0" w:color="000000"/>
              <w:right w:val="single" w:sz="4" w:space="0" w:color="000000"/>
            </w:tcBorders>
            <w:shd w:val="clear" w:color="auto" w:fill="C6D9F1"/>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
                <w:bCs/>
              </w:rPr>
            </w:pPr>
            <w:r>
              <w:rPr>
                <w:rFonts w:ascii="宋体" w:eastAsia="宋体" w:hAnsi="宋体" w:cs="宋体" w:hint="eastAsia"/>
                <w:b/>
                <w:bCs/>
              </w:rPr>
              <w:t>服务名称（标的名称）</w:t>
            </w:r>
          </w:p>
        </w:tc>
        <w:tc>
          <w:tcPr>
            <w:tcW w:w="797" w:type="dxa"/>
            <w:tcBorders>
              <w:top w:val="single" w:sz="4" w:space="0" w:color="000000"/>
              <w:left w:val="single" w:sz="4" w:space="0" w:color="000000"/>
              <w:bottom w:val="single" w:sz="4" w:space="0" w:color="000000"/>
              <w:right w:val="single" w:sz="4" w:space="0" w:color="000000"/>
            </w:tcBorders>
            <w:shd w:val="clear" w:color="auto" w:fill="C6D9F1"/>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
                <w:bCs/>
              </w:rPr>
            </w:pPr>
            <w:r>
              <w:rPr>
                <w:rFonts w:ascii="宋体" w:eastAsia="宋体" w:hAnsi="宋体" w:cs="宋体" w:hint="eastAsia"/>
                <w:b/>
                <w:bCs/>
              </w:rPr>
              <w:t>单位</w:t>
            </w:r>
          </w:p>
        </w:tc>
        <w:tc>
          <w:tcPr>
            <w:tcW w:w="780" w:type="dxa"/>
            <w:tcBorders>
              <w:top w:val="single" w:sz="4" w:space="0" w:color="000000"/>
              <w:left w:val="single" w:sz="4" w:space="0" w:color="000000"/>
              <w:bottom w:val="single" w:sz="4" w:space="0" w:color="000000"/>
              <w:right w:val="single" w:sz="4" w:space="0" w:color="000000"/>
            </w:tcBorders>
            <w:shd w:val="clear" w:color="auto" w:fill="C6D9F1"/>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
                <w:bCs/>
              </w:rPr>
            </w:pPr>
            <w:r>
              <w:rPr>
                <w:rFonts w:ascii="宋体" w:eastAsia="宋体" w:hAnsi="宋体" w:cs="宋体" w:hint="eastAsia"/>
                <w:b/>
                <w:bCs/>
              </w:rPr>
              <w:t>数量</w:t>
            </w:r>
          </w:p>
        </w:tc>
        <w:tc>
          <w:tcPr>
            <w:tcW w:w="1414" w:type="dxa"/>
            <w:tcBorders>
              <w:top w:val="single" w:sz="4" w:space="0" w:color="000000"/>
              <w:left w:val="single" w:sz="4" w:space="0" w:color="000000"/>
              <w:bottom w:val="single" w:sz="4" w:space="0" w:color="000000"/>
              <w:right w:val="single" w:sz="4" w:space="0" w:color="000000"/>
            </w:tcBorders>
            <w:shd w:val="clear" w:color="auto" w:fill="C6D9F1"/>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
                <w:bCs/>
                <w:highlight w:val="green"/>
              </w:rPr>
            </w:pPr>
            <w:r>
              <w:rPr>
                <w:rFonts w:ascii="宋体" w:eastAsia="宋体" w:hAnsi="宋体" w:cs="宋体" w:hint="eastAsia"/>
                <w:b/>
                <w:bCs/>
              </w:rPr>
              <w:t>所属行业</w:t>
            </w:r>
          </w:p>
        </w:tc>
        <w:tc>
          <w:tcPr>
            <w:tcW w:w="1008" w:type="dxa"/>
            <w:tcBorders>
              <w:top w:val="single" w:sz="4" w:space="0" w:color="000000"/>
              <w:left w:val="single" w:sz="4" w:space="0" w:color="000000"/>
              <w:bottom w:val="single" w:sz="4" w:space="0" w:color="000000"/>
              <w:right w:val="single" w:sz="4" w:space="0" w:color="000000"/>
            </w:tcBorders>
            <w:shd w:val="clear" w:color="auto" w:fill="C6D9F1"/>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
                <w:bCs/>
                <w:highlight w:val="green"/>
              </w:rPr>
            </w:pPr>
            <w:r>
              <w:rPr>
                <w:rFonts w:ascii="宋体" w:eastAsia="宋体" w:hAnsi="宋体" w:cs="宋体" w:hint="eastAsia"/>
                <w:b/>
                <w:bCs/>
              </w:rPr>
              <w:t>备注</w:t>
            </w:r>
          </w:p>
        </w:tc>
      </w:tr>
      <w:tr>
        <w:tblPrEx>
          <w:tblW w:w="8273" w:type="dxa"/>
          <w:jc w:val="center"/>
          <w:tblLayout w:type="fixed"/>
          <w:tblCellMar>
            <w:top w:w="0" w:type="dxa"/>
            <w:left w:w="108" w:type="dxa"/>
            <w:bottom w:w="0" w:type="dxa"/>
            <w:right w:w="108" w:type="dxa"/>
          </w:tblCellMar>
        </w:tblPrEx>
        <w:trPr>
          <w:trHeight w:val="841"/>
          <w:jc w:val="center"/>
        </w:trPr>
        <w:tc>
          <w:tcPr>
            <w:tcW w:w="633" w:type="dxa"/>
            <w:tcBorders>
              <w:top w:val="single" w:sz="4" w:space="0" w:color="000000"/>
              <w:left w:val="single" w:sz="4" w:space="0" w:color="000000"/>
              <w:bottom w:val="single" w:sz="4" w:space="0" w:color="000000"/>
              <w:right w:val="single" w:sz="4" w:space="0" w:color="auto"/>
            </w:tcBorders>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rPr>
            </w:pPr>
            <w:r>
              <w:rPr>
                <w:rFonts w:hint="eastAsia"/>
              </w:rPr>
              <w:t>1</w:t>
            </w:r>
          </w:p>
        </w:tc>
        <w:tc>
          <w:tcPr>
            <w:tcW w:w="3641" w:type="dxa"/>
            <w:tcBorders>
              <w:top w:val="single" w:sz="4" w:space="0" w:color="000000"/>
              <w:left w:val="single" w:sz="4" w:space="0" w:color="auto"/>
              <w:bottom w:val="single" w:sz="4" w:space="0" w:color="000000"/>
              <w:right w:val="single" w:sz="4" w:space="0" w:color="000000"/>
            </w:tcBorders>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asciiTheme="minorEastAsia" w:eastAsiaTheme="minorEastAsia" w:hAnsiTheme="minorEastAsia" w:hint="eastAsia"/>
                <w:b/>
                <w:bCs/>
                <w:highlight w:val="green"/>
                <w:lang w:eastAsia="zh-CN"/>
              </w:rPr>
            </w:pPr>
            <w:r>
              <w:rPr>
                <w:rFonts w:asciiTheme="minorEastAsia" w:eastAsiaTheme="minorEastAsia" w:hAnsiTheme="minorEastAsia" w:hint="eastAsia"/>
                <w:b/>
                <w:bCs/>
                <w:highlight w:val="none"/>
                <w:lang w:eastAsia="zh-CN"/>
              </w:rPr>
              <w:t>2025年引航船艇管理服务</w:t>
            </w:r>
          </w:p>
        </w:tc>
        <w:tc>
          <w:tcPr>
            <w:tcW w:w="797"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Cs/>
              </w:rPr>
            </w:pPr>
            <w:r>
              <w:rPr>
                <w:rFonts w:ascii="宋体" w:eastAsia="宋体" w:hAnsi="宋体" w:cs="宋体" w:hint="eastAsia"/>
                <w:bCs/>
              </w:rPr>
              <w:t>项</w:t>
            </w:r>
          </w:p>
        </w:tc>
        <w:tc>
          <w:tcPr>
            <w:tcW w:w="780"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Cs/>
              </w:rPr>
            </w:pPr>
            <w:r>
              <w:rPr>
                <w:rFonts w:hint="default"/>
                <w:bCs/>
              </w:rPr>
              <w:t>1</w:t>
            </w:r>
          </w:p>
        </w:tc>
        <w:tc>
          <w:tcPr>
            <w:tcW w:w="1414"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bCs/>
              </w:rPr>
            </w:pPr>
            <w:r>
              <w:rPr>
                <w:rFonts w:eastAsia="宋体" w:hint="eastAsia"/>
                <w:lang w:eastAsia="zh-CN"/>
              </w:rPr>
              <w:t>交通运输业</w:t>
            </w:r>
          </w:p>
        </w:tc>
        <w:tc>
          <w:tcPr>
            <w:tcW w:w="1008" w:type="dxa"/>
            <w:tcBorders>
              <w:top w:val="single" w:sz="4" w:space="0" w:color="000000"/>
              <w:left w:val="single" w:sz="4" w:space="0" w:color="000000"/>
              <w:bottom w:val="single" w:sz="4" w:space="0" w:color="000000"/>
              <w:right w:val="single" w:sz="4" w:space="0" w:color="000000"/>
            </w:tcBorders>
            <w:tcMar>
              <w:top w:w="15" w:type="dxa"/>
              <w:left w:w="15" w:type="dxa"/>
              <w:bottom w:w="15" w:type="dxa"/>
              <w:right w:w="15" w:type="dxa"/>
            </w:tcMar>
            <w:vAlign w:val="center"/>
          </w:tcPr>
          <w:p>
            <w:pPr>
              <w:keepNext w:val="0"/>
              <w:keepLines w:val="0"/>
              <w:widowControl/>
              <w:suppressLineNumbers w:val="0"/>
              <w:spacing w:before="0" w:beforeAutospacing="0" w:after="0" w:afterAutospacing="0"/>
              <w:ind w:left="0" w:right="0"/>
              <w:jc w:val="center"/>
              <w:rPr>
                <w:rFonts w:hint="default"/>
                <w:bCs/>
                <w:highlight w:val="green"/>
              </w:rPr>
            </w:pPr>
          </w:p>
        </w:tc>
      </w:tr>
    </w:tbl>
    <w:p>
      <w:pPr>
        <w:rPr>
          <w:b/>
          <w:sz w:val="28"/>
        </w:rPr>
      </w:pPr>
      <w:bookmarkEnd w:id="32"/>
      <w:r>
        <w:rPr>
          <w:b/>
          <w:sz w:val="28"/>
        </w:rPr>
        <w:t>项目</w:t>
      </w:r>
      <w:r>
        <w:rPr>
          <w:rFonts w:hint="eastAsia"/>
          <w:b/>
          <w:sz w:val="28"/>
        </w:rPr>
        <w:t>概况：</w:t>
      </w:r>
    </w:p>
    <w:p>
      <w:pPr>
        <w:ind w:left="547" w:firstLine="480" w:leftChars="228" w:firstLineChars="200"/>
        <w:rPr>
          <w:rFonts w:asciiTheme="minorEastAsia" w:hAnsiTheme="minorEastAsia" w:cs="仿宋"/>
          <w:sz w:val="21"/>
          <w:szCs w:val="21"/>
        </w:rPr>
      </w:pPr>
      <w:bookmarkStart w:id="34" w:name="_Toc320311558"/>
      <w:bookmarkEnd w:id="34"/>
      <w:bookmarkStart w:id="35" w:name="_Toc11426271"/>
    </w:p>
    <w:p>
      <w:pPr>
        <w:ind w:left="547" w:firstLine="480" w:leftChars="228" w:firstLineChars="200"/>
        <w:rPr>
          <w:rFonts w:asciiTheme="minorEastAsia" w:hAnsiTheme="minorEastAsia" w:cs="仿宋"/>
          <w:sz w:val="21"/>
          <w:szCs w:val="21"/>
        </w:rPr>
      </w:pPr>
    </w:p>
    <w:p>
      <w:pPr>
        <w:spacing w:line="360" w:lineRule="auto"/>
        <w:jc w:val="center"/>
        <w:outlineLvl w:val="2"/>
        <w:rPr>
          <w:rFonts w:ascii="宋体" w:eastAsia="宋体" w:hAnsi="宋体" w:cs="宋体"/>
          <w:b/>
          <w:bCs/>
        </w:rPr>
      </w:pPr>
      <w:r>
        <w:rPr>
          <w:rFonts w:ascii="宋体" w:eastAsia="宋体" w:hAnsi="宋体" w:cs="宋体" w:hint="eastAsia"/>
          <w:b/>
          <w:bCs/>
        </w:rPr>
        <w:t>三</w:t>
      </w:r>
      <w:r>
        <w:rPr>
          <w:rFonts w:ascii="宋体" w:eastAsia="宋体" w:hAnsi="宋体" w:cs="宋体"/>
          <w:b/>
          <w:bCs/>
        </w:rPr>
        <w:t>、</w:t>
      </w:r>
      <w:r>
        <w:rPr>
          <w:rFonts w:ascii="宋体" w:eastAsia="宋体" w:hAnsi="宋体" w:cs="宋体" w:hint="eastAsia"/>
          <w:b/>
          <w:bCs/>
        </w:rPr>
        <w:t>实质性条款</w:t>
      </w:r>
    </w:p>
    <w:tbl>
      <w:tblPr>
        <w:tblStyle w:val="TableNormal"/>
        <w:tblW w:w="8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05"/>
        <w:gridCol w:w="7483"/>
      </w:tblGrid>
      <w:tr>
        <w:tblPrEx>
          <w:tblW w:w="8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705" w:type="dxa"/>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sz w:val="21"/>
                <w:szCs w:val="21"/>
              </w:rPr>
            </w:pPr>
            <w:r>
              <w:rPr>
                <w:rFonts w:asciiTheme="minorEastAsia" w:hAnsiTheme="minorEastAsia" w:hint="eastAsia"/>
                <w:sz w:val="21"/>
                <w:szCs w:val="21"/>
              </w:rPr>
              <w:t>序号</w:t>
            </w:r>
          </w:p>
        </w:tc>
        <w:tc>
          <w:tcPr>
            <w:tcW w:w="7483" w:type="dxa"/>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sz w:val="21"/>
                <w:szCs w:val="21"/>
              </w:rPr>
            </w:pPr>
            <w:r>
              <w:rPr>
                <w:rFonts w:asciiTheme="minorEastAsia" w:hAnsiTheme="minorEastAsia" w:hint="eastAsia"/>
                <w:sz w:val="21"/>
                <w:szCs w:val="21"/>
              </w:rPr>
              <w:t>实质性条款具体内容</w:t>
            </w:r>
          </w:p>
        </w:tc>
      </w:tr>
      <w:tr>
        <w:tblPrEx>
          <w:tblW w:w="8188" w:type="dxa"/>
          <w:jc w:val="center"/>
          <w:tblLayout w:type="fixed"/>
          <w:tblCellMar>
            <w:top w:w="0" w:type="dxa"/>
            <w:left w:w="108" w:type="dxa"/>
            <w:bottom w:w="0" w:type="dxa"/>
            <w:right w:w="108" w:type="dxa"/>
          </w:tblCellMar>
        </w:tblPrEx>
        <w:trPr>
          <w:jc w:val="center"/>
        </w:trPr>
        <w:tc>
          <w:tcPr>
            <w:tcW w:w="705" w:type="dxa"/>
            <w:vAlign w:val="top"/>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cs="Times New Roman" w:hint="eastAsia"/>
                <w:sz w:val="21"/>
                <w:szCs w:val="21"/>
              </w:rPr>
            </w:pPr>
            <w:r>
              <w:rPr>
                <w:rFonts w:ascii="宋体" w:eastAsia="宋体" w:hAnsi="宋体" w:hint="eastAsia"/>
                <w:szCs w:val="21"/>
              </w:rPr>
              <w:t>1</w:t>
            </w:r>
          </w:p>
        </w:tc>
        <w:tc>
          <w:tcPr>
            <w:tcW w:w="7483" w:type="dxa"/>
            <w:vAlign w:val="top"/>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cs="Times New Roman" w:hint="eastAsia"/>
                <w:sz w:val="21"/>
                <w:szCs w:val="21"/>
              </w:rPr>
            </w:pPr>
            <w:r>
              <w:rPr>
                <w:rFonts w:eastAsia="宋体" w:hint="eastAsia"/>
                <w:lang w:eastAsia="zh-CN"/>
              </w:rPr>
              <w:t>★项目团队人员44人（含）以上（要求提供承诺函）</w:t>
            </w:r>
          </w:p>
        </w:tc>
      </w:tr>
    </w:tbl>
    <w:p>
      <w:pPr>
        <w:rPr>
          <w:sz w:val="21"/>
        </w:rPr>
      </w:pPr>
      <w:r>
        <w:rPr>
          <w:rFonts w:hint="eastAsia"/>
          <w:sz w:val="21"/>
        </w:rPr>
        <w:t>注：上表所列内容为不可负偏离条款，负偏离将视为未实质性满足招标文件要求作投标无效处理。</w:t>
      </w:r>
    </w:p>
    <w:p>
      <w:pPr>
        <w:pStyle w:val="Heading3"/>
        <w:jc w:val="center"/>
        <w:rPr>
          <w:rFonts w:asciiTheme="minorEastAsia" w:eastAsiaTheme="minorEastAsia" w:hAnsiTheme="minorEastAsia"/>
          <w:szCs w:val="21"/>
        </w:rPr>
      </w:pPr>
      <w:r>
        <w:rPr>
          <w:rFonts w:asciiTheme="minorEastAsia" w:eastAsiaTheme="minorEastAsia" w:hAnsiTheme="minorEastAsia" w:hint="eastAsia"/>
          <w:szCs w:val="21"/>
        </w:rPr>
        <w:t>四、项目服务要求</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bookmarkStart w:id="36" w:name="_Toc26199253"/>
      <w:r>
        <w:rPr>
          <w:rFonts w:ascii="宋体" w:eastAsia="宋体" w:hAnsi="宋体" w:cs="宋体" w:hint="eastAsia"/>
          <w:b/>
          <w:color w:val="FF0000"/>
          <w:sz w:val="24"/>
          <w:szCs w:val="24"/>
        </w:rPr>
        <w:t>（一）项目</w:t>
      </w:r>
      <w:bookmarkEnd w:id="36"/>
      <w:bookmarkStart w:id="37" w:name="_Toc26199254"/>
      <w:r>
        <w:rPr>
          <w:rFonts w:ascii="宋体" w:eastAsia="宋体" w:hAnsi="宋体" w:cs="宋体" w:hint="eastAsia"/>
          <w:b/>
          <w:color w:val="FF0000"/>
          <w:sz w:val="24"/>
          <w:szCs w:val="24"/>
          <w:lang w:val="en-US" w:eastAsia="zh-CN"/>
        </w:rPr>
        <w:t>背景</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深圳港引航站现有6艘引航交通艇、1艘港作拖轮，船员服务需求及船队管理方面的工作任务重。为使船队的管理更加规范，更加专业，更好地服务于引航业务，引航站需在船队海务、机务、安全管理、船员服务等方面，向具有专业船舶管理，尤其是高速船管理、船员管理业务的企业购买服务。</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r>
        <w:rPr>
          <w:rFonts w:ascii="宋体" w:eastAsia="宋体" w:hAnsi="宋体" w:cs="宋体" w:hint="eastAsia"/>
          <w:b/>
          <w:color w:val="FF0000"/>
          <w:sz w:val="24"/>
          <w:szCs w:val="24"/>
        </w:rPr>
        <w:t>（二）</w:t>
      </w:r>
      <w:bookmarkEnd w:id="37"/>
      <w:r>
        <w:rPr>
          <w:rFonts w:ascii="宋体" w:eastAsia="宋体" w:hAnsi="宋体" w:cs="宋体" w:hint="eastAsia"/>
          <w:b/>
          <w:color w:val="FF0000"/>
          <w:sz w:val="24"/>
          <w:szCs w:val="24"/>
          <w:lang w:val="en-US" w:eastAsia="zh-CN"/>
        </w:rPr>
        <w:t>项目目标</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1.安全管理要求：符合安全主管部门（包括但不限于海事主管部门）关于船舶海务、机务、安全管理要求，不发生任何安全责任事故、无人员伤亡。</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2.可营运要求：船艇的可营运时间定义为船艇具有良好的技术状态、满足海事局规定的营运最低配员要求、持有有效的相关证书的时间。具体停航时间按照下列要求处理：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停航修理：深港拖一、深港引1、深交法01、深港引3四艘船艇，每艇每年因修理停航时间不超过35天（日历天）；深港引5、深港引6、深港引7三艘船艇，每艇每年因修理停航时间不超过25天（日历天）。单次因修理停航时间不足6小时不计算，6（含）—12小时（不含）记0.5天；12（含）—24小时记1天。因不可抗力或因采购人书面认可的原因导致停航修理时间延期不计。</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（2）配员：所有船艇全年因配员停航时间0天。</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（3）政府查扣：不发生海事、边防、公安等政府机关滞留船舶。</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3.服务质量要求：优质服务，任务完成率不低于99.8%；客户（包括引航员、引航站管理人员、被引船舶、码头管理人员等）有效投诉率（投诉次数/作业艘次）低于0.5%。</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eastAsia="zh-CN"/>
        </w:rPr>
      </w:pPr>
      <w:r>
        <w:rPr>
          <w:rFonts w:ascii="宋体" w:eastAsia="宋体" w:hAnsi="宋体" w:cs="宋体" w:hint="eastAsia"/>
          <w:b/>
          <w:color w:val="FF0000"/>
          <w:sz w:val="24"/>
          <w:szCs w:val="24"/>
          <w:lang w:eastAsia="zh-CN"/>
        </w:rPr>
        <w:t>（</w:t>
      </w:r>
      <w:r>
        <w:rPr>
          <w:rFonts w:ascii="宋体" w:eastAsia="宋体" w:hAnsi="宋体" w:cs="宋体" w:hint="eastAsia"/>
          <w:b/>
          <w:color w:val="FF0000"/>
          <w:sz w:val="24"/>
          <w:szCs w:val="24"/>
          <w:lang w:val="en-US" w:eastAsia="zh-CN"/>
        </w:rPr>
        <w:t>三</w:t>
      </w:r>
      <w:r>
        <w:rPr>
          <w:rFonts w:ascii="宋体" w:eastAsia="宋体" w:hAnsi="宋体" w:cs="宋体" w:hint="eastAsia"/>
          <w:b/>
          <w:color w:val="FF0000"/>
          <w:sz w:val="24"/>
          <w:szCs w:val="24"/>
          <w:lang w:eastAsia="zh-CN"/>
        </w:rPr>
        <w:t>）</w:t>
      </w:r>
      <w:r>
        <w:rPr>
          <w:rFonts w:ascii="宋体" w:eastAsia="宋体" w:hAnsi="宋体" w:cs="宋体" w:hint="eastAsia"/>
          <w:b/>
          <w:color w:val="FF0000"/>
          <w:sz w:val="24"/>
          <w:szCs w:val="24"/>
        </w:rPr>
        <w:t>项目依据及参考标准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交通运输部2014年3月1日实施的《国内水路运输辅助业管理规定》。</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eastAsia="zh-CN"/>
        </w:rPr>
      </w:pPr>
      <w:r>
        <w:rPr>
          <w:rFonts w:ascii="宋体" w:eastAsia="宋体" w:hAnsi="宋体" w:cs="宋体" w:hint="eastAsia"/>
          <w:b/>
          <w:color w:val="FF0000"/>
          <w:sz w:val="24"/>
          <w:szCs w:val="24"/>
          <w:lang w:eastAsia="zh-CN"/>
        </w:rPr>
        <w:t>（</w:t>
      </w:r>
      <w:r>
        <w:rPr>
          <w:rFonts w:ascii="宋体" w:eastAsia="宋体" w:hAnsi="宋体" w:cs="宋体" w:hint="eastAsia"/>
          <w:b/>
          <w:color w:val="FF0000"/>
          <w:sz w:val="24"/>
          <w:szCs w:val="24"/>
          <w:lang w:val="en-US" w:eastAsia="zh-CN"/>
        </w:rPr>
        <w:t>四</w:t>
      </w:r>
      <w:r>
        <w:rPr>
          <w:rFonts w:ascii="宋体" w:eastAsia="宋体" w:hAnsi="宋体" w:cs="宋体" w:hint="eastAsia"/>
          <w:b/>
          <w:color w:val="FF0000"/>
          <w:sz w:val="24"/>
          <w:szCs w:val="24"/>
          <w:lang w:eastAsia="zh-CN"/>
        </w:rPr>
        <w:t>）项目工作内容</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（一）引航船艇管理服务标的</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深圳港引航站下辖船艇，包括：深港拖一、深港引1、深交法01、深港引3、深港引5、深港引6、深港引7，及随后深圳港引航站可能增减自有或租用于服务引航的船艇。船艇具体资料见《深圳港引航站船艇资料汇总表》（附件1）。</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2.引航艇基地，包括蛇口引航艇基地、东部盐田引航艇基地、桂山岛引航艇基地。</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（二）标的船艇的作业范围：</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1.“深港拖一”为港作拖轮，主要任务是在深圳港区为小型船舶靠离泊服务及接送引航员。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2.其它引航艇主要任务是在深圳港区（蛇口港区及盐田港区）及珠江口水域接送引航员。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（三）标的船艇配员要求（详见附件2）：</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1.所有引航船艇的配员均应符合海事等主管机关要求的最低安全配员，所有引航艇均为高速船，船员均应配备高速船证书。</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2.“深港拖一”最低安全配员4人，24小时驻船制，24小时作业。</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3.所有引航艇港内作业时，每艇最低安全配员3人（一个驾驶员、两个轮机员）， 跨港区航行时，按照最低安全配员证书配员，其中“深港引5”、“深港引7”均应配备一名符合船艇作业水域及船艇的证书要求的船长,“深港引7”或“深港引6”拟用于桂山水域水域作业，由于桂山水域属于跨港区作业，需照跨港区作业最低配员证书配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4.6艘引航艇驾驶员要求年龄不大于50周岁，有引航船艇服务经历并有良好安全记录的，年龄可以适当放宽，但不能超过55周岁，高中或以上文化学历、英语水平能够满足接送引航员时与外轮的沟通需要，三副驾驶员必须具有半年或以上实际操船经验。</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5.船员按照各艇轮班需要，总计需配员41人，所有船员均须经过采购方面试考核后方可录用，并建立稳定船员库。不疲劳作业（按照《中华人民共和国海船船员值班规则》第八章值班保障的要求执行）。</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（四）船员工作要求：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1.保证引航船艇正常安全营运，热情服务，完成引航员接送工作。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2.工作责任心、安全意识强，做好船艇自修及维护保养工作，小型维修立足自修。</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3.遵守引航站管理制度及中标方工作制度。</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4.完成采购方分配的其它工作。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（五）引航船艇管理服务的具体工作内容为上述标的船艇提供配员、安全管理、海务管理、机务管理、人事管理等与船艇运营相关的除船艇调度之外的一切工作。具体工作包括但不限于以下方面：</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1.海务管理：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（1）执行国家和有关部门的安全和环保政策。</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（2）部署和落实船舶安全防范工作，负责收集处理与海务管理有关的信息。</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（3）负责船舶航海图书、海图、航海通告等航用资料审定和供船工作，并监督检查船舶使用、管理和改正工作。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（4）审核、考核船长及驾驶员。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（5）跟踪掌握相关海区的气象、海况和台风情况、指导船舶避台。</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（6）负责协助办理船舶船壳险、保赔险及油污损害民事责任险等保险的相关工作。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（7）负责办理船舶相关证书、资料。</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（8）监督检查船舶通导设备和救生消防设备的使用和维护工作，协助船艇制定甲板部船舶修理计划。</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（9）负责船舶交通事故、海损事故的调查分析和处理。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（10）调查、分析船艇甲板部门不符合规定的情况、协助制定和实施纠正措施。</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（11）制定/修订与海务有关的工作程序和操作须知。</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（12）海务管理必须满足国际公约及国内相关法律、法规、规章、制度等的要求。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2.机务管理：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 xml:space="preserve">（1）制定《船舶年度修船计划》、《船舶和设备预防检修计划》和机务年度费用预算。 </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（2）掌握各种船舶证书有效期，及时申请船舶检验。</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制定船舶年度修理清单及年度修理招标采购需求，安排船舶厂修工作，掌握修理进度及质量，代表采购方审定修理单和结算单，主持船舶航次修理择厂及合同谈判，但程序需符合采购方财务管理需求、最终决定权归采购方。</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（4）负责船舶、设备的险情/事故调查、分析，提出纠正措施并监督落实，参加船队风险评估。</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（5）及时处理船艇设备缺陷，对船艇主要设备（如MTU、沃尔沃、康明斯品牌的主机）临时故障进行排查及抢修，及时向船舶提供物料、备件及技术支持或业务指导。</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（6）负责审查船舶备件、物料、油料的申请计划并报采购方审批，并组织供应，制订、完善关于船舶备件、物料、油料的采购办法；按需要安排集中处理船舶油污水。</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（7）负责船舶技术改造、技术革新项目并鉴定验收。</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（8）机务管理必须满足国际公约及国内相关法规、规章、制度等的要求。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3.安全管理: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（1）负责安全管理信息的搜集、分析及编制、发送，并将重要安全管理信息定期编制成《安全通告》下发船舶。</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（2）负责船艇的安全检查工作，单独或组织其他职能科室实施船舶安全检查。</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（3）负责收集、汇总上级主管部门对船舶安全检查的资料，采取必要的措施，协助船上进行缺陷整改工作，以确保所有检查中发现的缺陷项目在规定时间内得到整改。</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（4）制定防台应急预案，部署防台工作，指导船舶防抗台风，负责船舶恶劣天气（条件）航行和特殊作业的预警及指导工作。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 xml:space="preserve">4.人事管理： </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（1）采购方采购的是引航船艇管理服务，船员由中标方负责招聘和管理。船员与中标方建立劳动雇佣关系的人员，与采购方不存在用工关系，不存在劳动合同关系，不存在雇佣关系。</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中标方为本项目安排符合“《STCW公约》95修正案”要求的适任船员。中标方应确保提供的船员应具有符合采购方船舶要求的海上资历，所有船员必须经采购方考核同意方可录用，服务记录良好的并建立稳定的船员库。</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（3）船员若因病、伤、残、亡或其他原因而需要更换补充者，其缺员由中标方及时补充，由此产生的所有费用由中标方负责。中标方确保不得因为船舶配员问题影响船艇营运。</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（4）中标方应当依法为船员购买五险一金；中标方应为每位船员购买商业最低限额150 万元人身意外保险（团体险要求总人数不少于船员总人数，每人保额不低于150万元），工作中因公受伤、致残、死亡，其医药费、抚恤金等费用由工伤保险部门以及保险公司按规定理赔，并由中标方负责处理。中标方与船员之间的劳动纠纷由中标方按照相关法律法规妥善处理，不得影响到采购方日常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（5）组织落实船员工资的制定及分配和船员管理的具体实施办法。</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（6）向船舶提供足够的人力资源和岸基支持，按最低安全配员证书和海事局的有关要求，配齐适任合格的船员，合理安排船员值班，不得疲劳作业。</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（7）负责高级船员的适任控制，组织船员适任评估、考核并提出奖惩意见。</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（8）组织相关人员认真学习安全与防污染相关的政策法规和业务知识。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（9）负责审核船员的聘用和调动，根据船员队伍结构情况负责船员培训、考核的管理工作，负责各类船员证书申办审核工作，确保在岗船员的所有证书合格有效。</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（10）组织相关人员参与应急响应，负责与遇险船员亲属直接联络及伤亡船员的善后处理工作，组织工伤鉴定有关工作及其归档，参与船队风险评估。</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（11）定期开展消防检查、安全演习、船员政治学习。</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（12）落实船员劳动保护工作,及时发放劳保用品。</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eastAsia="zh-CN"/>
        </w:rPr>
      </w:pPr>
      <w:bookmarkStart w:id="38" w:name="_Toc26199255"/>
      <w:r>
        <w:rPr>
          <w:rFonts w:ascii="宋体" w:eastAsia="宋体" w:hAnsi="宋体" w:cs="宋体" w:hint="eastAsia"/>
          <w:b/>
          <w:color w:val="FF0000"/>
          <w:sz w:val="24"/>
          <w:szCs w:val="24"/>
        </w:rPr>
        <w:t>（</w:t>
      </w:r>
      <w:r>
        <w:rPr>
          <w:rFonts w:ascii="宋体" w:eastAsia="宋体" w:hAnsi="宋体" w:cs="宋体" w:hint="eastAsia"/>
          <w:b/>
          <w:color w:val="FF0000"/>
          <w:sz w:val="24"/>
          <w:szCs w:val="24"/>
          <w:lang w:val="en-US" w:eastAsia="zh-CN"/>
        </w:rPr>
        <w:t>五</w:t>
      </w:r>
      <w:r>
        <w:rPr>
          <w:rFonts w:ascii="宋体" w:eastAsia="宋体" w:hAnsi="宋体" w:cs="宋体" w:hint="eastAsia"/>
          <w:b/>
          <w:color w:val="FF0000"/>
          <w:sz w:val="24"/>
          <w:szCs w:val="24"/>
        </w:rPr>
        <w:t>）</w:t>
      </w:r>
      <w:bookmarkEnd w:id="38"/>
      <w:r>
        <w:rPr>
          <w:rFonts w:ascii="宋体" w:eastAsia="宋体" w:hAnsi="宋体" w:cs="宋体" w:hint="eastAsia"/>
          <w:b/>
          <w:color w:val="FF0000"/>
          <w:sz w:val="24"/>
          <w:szCs w:val="24"/>
        </w:rPr>
        <w:t>项目技术要求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1.每月至少进行一次安全培训，包括但不限于航行安全、操作安全。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2.每月至少进行一次安全检查，包括但不限于设备检查、人员技能。</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3.船艇管理服务期内，采购人有现场沟通协调需求时，中标方原则上须于5小时内安排相关负责人到达现场，紧急情况下，须于2个小时内到达现场。</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rPr>
      </w:pPr>
      <w:r>
        <w:rPr>
          <w:rFonts w:ascii="宋体" w:eastAsia="宋体" w:hAnsi="宋体" w:cs="宋体" w:hint="eastAsia"/>
          <w:b/>
          <w:color w:val="FF0000"/>
          <w:sz w:val="24"/>
          <w:szCs w:val="24"/>
        </w:rPr>
        <w:t>（</w:t>
      </w:r>
      <w:r>
        <w:rPr>
          <w:rFonts w:ascii="宋体" w:eastAsia="宋体" w:hAnsi="宋体" w:cs="宋体" w:hint="eastAsia"/>
          <w:b/>
          <w:color w:val="FF0000"/>
          <w:sz w:val="24"/>
          <w:szCs w:val="24"/>
          <w:lang w:val="en-US" w:eastAsia="zh-CN"/>
        </w:rPr>
        <w:t>六</w:t>
      </w:r>
      <w:r>
        <w:rPr>
          <w:rFonts w:ascii="宋体" w:eastAsia="宋体" w:hAnsi="宋体" w:cs="宋体" w:hint="eastAsia"/>
          <w:b/>
          <w:color w:val="FF0000"/>
          <w:sz w:val="24"/>
          <w:szCs w:val="24"/>
        </w:rPr>
        <w:t>）项目人员要求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投标人为项目投入的负责人和团队成员，应具有相关工作经验。其职称、学历、资质、经验等相关情况将作为评分的重要因素，但至少应满足以下条件：</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1.项目负责人1人，职称为船舶类中级（或大副、大管轮）或以上职称，本科或以上学历。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color w:val="FF0000"/>
          <w:lang w:val="en-US" w:eastAsia="zh-CN"/>
        </w:rPr>
      </w:pPr>
      <w:r>
        <w:rPr>
          <w:rFonts w:ascii="宋体" w:hAnsi="宋体" w:hint="eastAsia"/>
          <w:bCs/>
          <w:lang w:val="en-US" w:eastAsia="zh-CN"/>
        </w:rPr>
        <w:t>2.</w:t>
      </w:r>
      <w:r>
        <w:rPr>
          <w:rFonts w:ascii="宋体" w:hAnsi="宋体" w:hint="eastAsia"/>
          <w:b/>
          <w:bCs w:val="0"/>
          <w:color w:val="FF0000"/>
          <w:lang w:val="en-US" w:eastAsia="zh-CN"/>
        </w:rPr>
        <w:t>★项目团队人员44人（含）以上（要求提供承诺函）</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其中：（1）高级管理人员不少于3人，包括海务主管、安全主管、机务主管、人事主管等岗位，其中不少于2人具有船舶类专业的职称证书。组成人员可以由投标方相应船舶管理岗位人员兼任，但要求具备相应资历和能力。</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其中：</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①海务主管要求大专或以上学历，船长或以上职务；</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②安全主管（允许海务主管兼任）要求大专或以上学历，大副或以上职务；</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③机务主管要求大专或以上学历、轮机长或以上职务；</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④人事主管要求大专或以上学历。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 xml:space="preserve">（2）船员按照各船轮班需要，总计41人，须持有与职务相应的沿海二等或以上证书并满足船舶最低配员证书要求。 </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3.人员变更：在服务期限内，项目组人员应保持稳定，履约过程中，因客观原因确需更换人员须经采购方书面同意后方可更换。</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bookmarkStart w:id="39" w:name="_Toc222480776"/>
      <w:bookmarkStart w:id="40" w:name="_Toc260314564"/>
      <w:r>
        <w:rPr>
          <w:rFonts w:ascii="宋体" w:eastAsia="宋体" w:hAnsi="宋体" w:cs="宋体" w:hint="eastAsia"/>
          <w:b/>
          <w:color w:val="FF0000"/>
          <w:sz w:val="24"/>
          <w:szCs w:val="24"/>
          <w:lang w:val="en-US" w:eastAsia="zh-CN"/>
        </w:rPr>
        <w:t>（七）采购方的责任和权利</w:t>
      </w:r>
      <w:bookmarkEnd w:id="39"/>
      <w:bookmarkEnd w:id="40"/>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1.采购方负责引航船艇调度。</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2.</w:t>
      </w:r>
      <w:r>
        <w:rPr>
          <w:rFonts w:ascii="宋体" w:hAnsi="宋体" w:hint="eastAsia"/>
          <w:bCs/>
          <w:lang w:eastAsia="zh-CN"/>
        </w:rPr>
        <w:t>采购方有权对船员进行工作指挥、监督和考核；有权要求船员遵守采购方的规章制度和管理规范、规程，维持有序的劳动纪律；船员不服从采购方正常工作管理以及违反采购方劳动纪律的，采购方有权依据有关管理规定进行相应的处罚；对船员调配有否决权。</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3.采购方有权随时对船舶进行检查，监督船艇的配员、船艇维护保养、应急训练等工作，考核船舶管理水平。</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4.</w:t>
      </w:r>
      <w:r>
        <w:rPr>
          <w:rFonts w:ascii="宋体" w:hAnsi="宋体" w:hint="eastAsia"/>
          <w:bCs/>
          <w:lang w:eastAsia="zh-CN"/>
        </w:rPr>
        <w:t>采购方负责对船艇的拟维修事项确认、拟选择维修厂家的最终表决、维修单据审核等。</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5.采购方有权对船舶管理提出相应的保障机制和措施建议。</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6.采购方应该按合同要求及时支付维修及管理等费用。</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r>
        <w:rPr>
          <w:rFonts w:ascii="宋体" w:eastAsia="宋体" w:hAnsi="宋体" w:cs="宋体" w:hint="eastAsia"/>
          <w:b/>
          <w:color w:val="FF0000"/>
          <w:sz w:val="24"/>
          <w:szCs w:val="24"/>
          <w:lang w:val="en-US" w:eastAsia="zh-CN"/>
        </w:rPr>
        <w:t>（八）中标方的责任和要求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1.始终保持和维护船舶良好状态，使之满足船级社及海事局检查的基本要求，保证船舶安全适航。</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2.在不妨碍船长独立行使法定义务和权利的前提下，中标方对船舶安全和防污染的事务有决定权。</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中标方应当保证法定证书在有效期之内，在有效期届满之前应当及时更换。中标方负责船舶计划修理（年度维修）修理单审核、编制、询价，中标方应将报价单综合后并形成意见报给采购方。经采购方批准认可后，中标方可受采购方委托并全权负责实施。年度维修须由采购方负责公开招标，船舶进厂修理的合同由采购方直接与船厂签署。船舶厂修费用由采购人承担。</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中标方负责审批船舶抢修/航修单、经采购方认可后安排修理（必须符合采购人财务管理规定），相关费用由采购方负责对外结算。中标方督导船舶之维修保养、检验、修理和改造等事项，以确保船舶符合相关法律法规之要求以及船级社的所有要求和建议。在中标方认为有必要时，聘请第三方验船师，因此而产生之有关费用由采购方支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5.中标方负责船员调配，对船员进行面试、录用和解聘等工作，同时有权对船员的工作和行为进行监督和检查，如对船员管理船舶不满意，必须及时更换符合适任要求的船员，以符合中标方对船舶的管理要求。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6.中标方安排新船员上岗前培训。负责船员的专业技能、岗位适任培训以及相应职务要求的知识更新培训等工作。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7.中标方每月初应向采购方书面报告上月船舶技术状况、船员状况以及按照采购方要求的船艇管理等事宜。</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8.采购方对中标方或船舶检查后提出问题和质询，中标方有义务予以解释，并对确认的有关事项做出及时纠正或改进。</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9.未经采购方书面认可，中标方不得对船舶的机械设备、舱室、结构等进行更换和改造。中标方应对船舶财产，包括船舶备件、物料等进行严格管理。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10.中标方应与采购方或其委托的经营代理人保持良好的沟通和配合，使之提高船舶营运安全和提高营运效率和效益。</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11.中标方须处理好与项目上一合同供应商之间的业务交接工作，确保项目工作顺利衔接。</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12.中标方的海务管理、机务管理、人事管理及安全管理必须满足国际及国内相关公约、法规、规章、制度等的要求。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13.中标方每月须将除船艇管理费外的其他费用明细报给采购人，采购人将予以审核。</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r>
        <w:rPr>
          <w:rFonts w:ascii="宋体" w:eastAsia="宋体" w:hAnsi="宋体" w:cs="宋体" w:hint="eastAsia"/>
          <w:b/>
          <w:color w:val="FF0000"/>
          <w:sz w:val="24"/>
          <w:szCs w:val="24"/>
          <w:lang w:val="en-US" w:eastAsia="zh-CN"/>
        </w:rPr>
        <w:t>（九）服务质量考核</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1.船舶运行服务质量考核标准：按照《深圳港引航站船艇管理服务项目服务质量考核评分表》（见附件4）对船艇管理服务质量进行考核。船艇运行管理服务项目实施后，采购方依据与中标方签订的合同约定，于202</w:t>
      </w:r>
      <w:r>
        <w:rPr>
          <w:rFonts w:ascii="宋体" w:hAnsi="宋体" w:hint="default"/>
          <w:bCs/>
          <w:lang w:eastAsia="zh-CN"/>
        </w:rPr>
        <w:t>5</w:t>
      </w:r>
      <w:r>
        <w:rPr>
          <w:rFonts w:ascii="宋体" w:hAnsi="宋体" w:hint="eastAsia"/>
          <w:bCs/>
          <w:lang w:val="en-US" w:eastAsia="zh-CN"/>
        </w:rPr>
        <w:t>年</w:t>
      </w:r>
      <w:r>
        <w:rPr>
          <w:rFonts w:ascii="宋体" w:hAnsi="宋体" w:hint="default"/>
          <w:bCs/>
          <w:lang w:eastAsia="zh-CN"/>
        </w:rPr>
        <w:t>3</w:t>
      </w:r>
      <w:r>
        <w:rPr>
          <w:rFonts w:ascii="宋体" w:hAnsi="宋体" w:hint="eastAsia"/>
          <w:bCs/>
          <w:lang w:val="en-US" w:eastAsia="zh-CN"/>
        </w:rPr>
        <w:t>月末、</w:t>
      </w:r>
      <w:r>
        <w:rPr>
          <w:rFonts w:ascii="宋体" w:hAnsi="宋体" w:hint="default"/>
          <w:bCs/>
          <w:lang w:eastAsia="zh-CN"/>
        </w:rPr>
        <w:t>6</w:t>
      </w:r>
      <w:r>
        <w:rPr>
          <w:rFonts w:ascii="宋体" w:hAnsi="宋体" w:hint="eastAsia"/>
          <w:bCs/>
          <w:lang w:val="en-US" w:eastAsia="zh-CN"/>
        </w:rPr>
        <w:t>月末、</w:t>
      </w:r>
      <w:r>
        <w:rPr>
          <w:rFonts w:ascii="宋体" w:hAnsi="宋体" w:hint="default"/>
          <w:bCs/>
          <w:lang w:eastAsia="zh-CN"/>
        </w:rPr>
        <w:t>9</w:t>
      </w:r>
      <w:r>
        <w:rPr>
          <w:rFonts w:ascii="宋体" w:hAnsi="宋体" w:hint="eastAsia"/>
          <w:bCs/>
          <w:lang w:val="en-US" w:eastAsia="zh-CN"/>
        </w:rPr>
        <w:t>月末和12月上旬采购方组织人员对中标方的管理服务进行考核。</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2.考核结果及奖惩：考核结果采用100分制，80分以上（含80分），船艇管理服务费百分之百支付；低于80分（不含80分）的，每少1分，扣除船艇管理费用5000元。</w:t>
      </w:r>
    </w:p>
    <w:p>
      <w:pPr>
        <w:rPr>
          <w:rFonts w:ascii="宋体" w:eastAsia="宋体" w:hAnsi="Calibri" w:cs="Times New Roman" w:hint="eastAsia"/>
          <w:kern w:val="2"/>
          <w:sz w:val="28"/>
          <w:szCs w:val="28"/>
          <w:lang w:val="en-US" w:eastAsia="zh-CN" w:bidi="ar-SA"/>
        </w:rPr>
      </w:pPr>
      <w:r>
        <w:rPr>
          <w:rFonts w:ascii="宋体" w:eastAsia="宋体" w:hAnsi="Calibri" w:cs="Times New Roman" w:hint="eastAsia"/>
          <w:kern w:val="2"/>
          <w:sz w:val="28"/>
          <w:szCs w:val="28"/>
          <w:lang w:val="en-US" w:eastAsia="zh-CN" w:bidi="ar-SA"/>
        </w:rPr>
        <w:br w:type="page"/>
      </w:r>
    </w:p>
    <w:p>
      <w:pPr>
        <w:rPr>
          <w:rFonts w:ascii="宋体" w:eastAsia="宋体" w:hAnsi="Calibri" w:cs="Times New Roman" w:hint="eastAsia"/>
          <w:kern w:val="2"/>
          <w:sz w:val="28"/>
          <w:szCs w:val="28"/>
          <w:lang w:val="en-US" w:eastAsia="zh-CN" w:bidi="ar-SA"/>
        </w:rPr>
        <w:sectPr>
          <w:footerReference w:type="default" r:id="rId6"/>
          <w:type w:val="continuous"/>
          <w:pgSz w:w="11906" w:h="16838"/>
          <w:pgMar w:top="1191" w:right="1191" w:bottom="1191" w:left="1361" w:header="794" w:footer="794" w:gutter="0"/>
          <w:pgNumType w:fmt="decimal" w:start="1"/>
          <w:cols w:num="1" w:space="720"/>
          <w:docGrid w:linePitch="286" w:charSpace="0"/>
        </w:sectPr>
      </w:pPr>
    </w:p>
    <w:p>
      <w:pPr>
        <w:rPr>
          <w:rFonts w:ascii="宋体" w:eastAsia="宋体" w:hAnsi="Calibri" w:cs="Times New Roman"/>
          <w:kern w:val="2"/>
          <w:sz w:val="28"/>
          <w:szCs w:val="28"/>
          <w:lang w:val="en-US" w:eastAsia="zh-CN" w:bidi="ar-SA"/>
        </w:rPr>
      </w:pPr>
      <w:r>
        <w:rPr>
          <w:rFonts w:ascii="宋体" w:eastAsia="宋体" w:hAnsi="Calibri" w:cs="Times New Roman" w:hint="eastAsia"/>
          <w:kern w:val="2"/>
          <w:sz w:val="28"/>
          <w:szCs w:val="28"/>
          <w:lang w:val="en-US" w:eastAsia="zh-CN" w:bidi="ar-SA"/>
        </w:rPr>
        <w:t>附件1：</w:t>
      </w:r>
    </w:p>
    <w:p>
      <w:pPr>
        <w:widowControl w:val="0"/>
        <w:jc w:val="center"/>
        <w:rPr>
          <w:rFonts w:ascii="Calibri" w:eastAsia="宋体" w:hAnsi="Calibri" w:cs="Times New Roman"/>
          <w:kern w:val="2"/>
          <w:sz w:val="32"/>
          <w:szCs w:val="32"/>
          <w:lang w:val="en-US" w:eastAsia="zh-CN" w:bidi="ar-SA"/>
        </w:rPr>
      </w:pPr>
      <w:r>
        <w:rPr>
          <w:rFonts w:ascii="Calibri" w:eastAsia="宋体" w:hAnsi="Calibri" w:cs="Times New Roman" w:hint="eastAsia"/>
          <w:kern w:val="2"/>
          <w:sz w:val="32"/>
          <w:szCs w:val="32"/>
          <w:lang w:val="en-US" w:eastAsia="zh-CN" w:bidi="ar-SA"/>
        </w:rPr>
        <w:t>深圳港引航站船艇资料汇总表</w:t>
      </w:r>
    </w:p>
    <w:tbl>
      <w:tblPr>
        <w:tblStyle w:val="TableNormal"/>
        <w:tblW w:w="146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261"/>
        <w:gridCol w:w="1915"/>
        <w:gridCol w:w="1915"/>
        <w:gridCol w:w="1915"/>
        <w:gridCol w:w="1915"/>
        <w:gridCol w:w="1915"/>
        <w:gridCol w:w="1915"/>
        <w:gridCol w:w="1921"/>
      </w:tblGrid>
      <w:tr>
        <w:tblPrEx>
          <w:tblW w:w="146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582"/>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船舶名称</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深港拖一</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深港引1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深交法01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深港引3</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深港引5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深港引6</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深港引7</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识别号</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CN19965816223</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CN20087387209</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CN20087559880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CN20092842785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CN20205815299</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CN20205684169</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CN20200028005</w:t>
            </w:r>
          </w:p>
        </w:tc>
      </w:tr>
      <w:tr>
        <w:tblPrEx>
          <w:tblW w:w="14672" w:type="dxa"/>
          <w:jc w:val="center"/>
          <w:tblLayout w:type="fixed"/>
          <w:tblCellMar>
            <w:top w:w="0" w:type="dxa"/>
            <w:left w:w="108" w:type="dxa"/>
            <w:bottom w:w="0" w:type="dxa"/>
            <w:right w:w="108" w:type="dxa"/>
          </w:tblCellMar>
        </w:tblPrEx>
        <w:trPr>
          <w:trHeight w:val="447"/>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M</w:t>
            </w:r>
            <w:r>
              <w:rPr>
                <w:rFonts w:ascii="Times New Roman" w:eastAsia="宋体" w:hAnsi="Times New Roman" w:cs="Times New Roman" w:hint="default"/>
                <w:kern w:val="2"/>
                <w:sz w:val="24"/>
                <w:szCs w:val="24"/>
                <w:lang w:val="en-US" w:eastAsia="zh-CN" w:bidi="ar-SA"/>
              </w:rPr>
              <w:t>MSI</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412469440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413762343</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413762344</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41</w:t>
            </w:r>
            <w:r>
              <w:rPr>
                <w:rFonts w:ascii="Times New Roman" w:eastAsia="宋体" w:hAnsi="Times New Roman" w:cs="Times New Roman" w:hint="default"/>
                <w:kern w:val="2"/>
                <w:sz w:val="24"/>
                <w:szCs w:val="24"/>
                <w:lang w:val="en-US" w:eastAsia="zh-CN" w:bidi="ar-SA"/>
              </w:rPr>
              <w:t>3472770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413273970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413273980</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413274020</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船长</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8.2</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7.13</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7.13</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9.59</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19.95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18.22</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18.22</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船宽</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8</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w:t>
            </w:r>
            <w:r>
              <w:rPr>
                <w:rFonts w:ascii="Times New Roman" w:eastAsia="宋体" w:hAnsi="Times New Roman" w:cs="Times New Roman" w:hint="default"/>
                <w:kern w:val="2"/>
                <w:sz w:val="24"/>
                <w:szCs w:val="24"/>
                <w:lang w:val="en-US" w:eastAsia="zh-CN" w:bidi="ar-SA"/>
              </w:rPr>
              <w:t>.68</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4</w:t>
            </w:r>
            <w:r>
              <w:rPr>
                <w:rFonts w:ascii="Times New Roman" w:eastAsia="宋体" w:hAnsi="Times New Roman" w:cs="Times New Roman" w:hint="default"/>
                <w:kern w:val="2"/>
                <w:sz w:val="24"/>
                <w:szCs w:val="24"/>
                <w:lang w:val="en-US" w:eastAsia="zh-CN" w:bidi="ar-SA"/>
              </w:rPr>
              <w:t>.68</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5</w:t>
            </w:r>
            <w:r>
              <w:rPr>
                <w:rFonts w:ascii="Times New Roman" w:eastAsia="宋体" w:hAnsi="Times New Roman" w:cs="Times New Roman" w:hint="default"/>
                <w:kern w:val="2"/>
                <w:sz w:val="24"/>
                <w:szCs w:val="24"/>
                <w:lang w:val="en-US" w:eastAsia="zh-CN" w:bidi="ar-SA"/>
              </w:rPr>
              <w:t>.2</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6</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5</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5</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吃水</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.8</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.116</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.059</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1.059</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总吨</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210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3</w:t>
            </w:r>
            <w:r>
              <w:rPr>
                <w:rFonts w:ascii="Times New Roman" w:eastAsia="宋体" w:hAnsi="Times New Roman" w:cs="Times New Roman" w:hint="default"/>
                <w:kern w:val="2"/>
                <w:sz w:val="24"/>
                <w:szCs w:val="24"/>
                <w:lang w:val="en-US" w:eastAsia="zh-CN" w:bidi="ar-SA"/>
              </w:rPr>
              <w:t>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3</w:t>
            </w:r>
            <w:r>
              <w:rPr>
                <w:rFonts w:ascii="Times New Roman" w:eastAsia="宋体" w:hAnsi="Times New Roman" w:cs="Times New Roman" w:hint="default"/>
                <w:kern w:val="2"/>
                <w:sz w:val="24"/>
                <w:szCs w:val="24"/>
                <w:lang w:val="en-US" w:eastAsia="zh-CN" w:bidi="ar-SA"/>
              </w:rPr>
              <w:t>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6</w:t>
            </w:r>
            <w:r>
              <w:rPr>
                <w:rFonts w:ascii="Times New Roman" w:eastAsia="宋体" w:hAnsi="Times New Roman" w:cs="Times New Roman" w:hint="default"/>
                <w:kern w:val="2"/>
                <w:sz w:val="24"/>
                <w:szCs w:val="24"/>
                <w:lang w:val="en-US" w:eastAsia="zh-CN" w:bidi="ar-SA"/>
              </w:rPr>
              <w:t>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8</w:t>
            </w:r>
            <w:r>
              <w:rPr>
                <w:rFonts w:ascii="Times New Roman" w:eastAsia="宋体" w:hAnsi="Times New Roman" w:cs="Times New Roman" w:hint="default"/>
                <w:kern w:val="2"/>
                <w:sz w:val="24"/>
                <w:szCs w:val="24"/>
                <w:lang w:val="en-US" w:eastAsia="zh-CN" w:bidi="ar-SA"/>
              </w:rPr>
              <w:t>5</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5</w:t>
            </w:r>
            <w:r>
              <w:rPr>
                <w:rFonts w:ascii="Times New Roman" w:eastAsia="宋体" w:hAnsi="Times New Roman" w:cs="Times New Roman" w:hint="default"/>
                <w:kern w:val="2"/>
                <w:sz w:val="24"/>
                <w:szCs w:val="24"/>
                <w:lang w:val="en-US" w:eastAsia="zh-CN" w:bidi="ar-SA"/>
              </w:rPr>
              <w:t>2</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5</w:t>
            </w:r>
            <w:r>
              <w:rPr>
                <w:rFonts w:ascii="Times New Roman" w:eastAsia="宋体" w:hAnsi="Times New Roman" w:cs="Times New Roman" w:hint="default"/>
                <w:kern w:val="2"/>
                <w:sz w:val="24"/>
                <w:szCs w:val="24"/>
                <w:lang w:val="en-US" w:eastAsia="zh-CN" w:bidi="ar-SA"/>
              </w:rPr>
              <w:t>2</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主机功率</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7</w:t>
            </w:r>
            <w:r>
              <w:rPr>
                <w:rFonts w:ascii="Times New Roman" w:eastAsia="宋体" w:hAnsi="Times New Roman" w:cs="Times New Roman" w:hint="default"/>
                <w:kern w:val="2"/>
                <w:sz w:val="24"/>
                <w:szCs w:val="24"/>
                <w:lang w:val="en-US" w:eastAsia="zh-CN" w:bidi="ar-SA"/>
              </w:rPr>
              <w:t>86 KW</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956KW</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956KW</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102 KW</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800 KW</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800 KW</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800 KW</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最大乘员</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2</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2</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1</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1</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1</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出厂日期</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1</w:t>
            </w:r>
            <w:r>
              <w:rPr>
                <w:rFonts w:ascii="Times New Roman" w:eastAsia="宋体" w:hAnsi="Times New Roman" w:cs="Times New Roman" w:hint="default"/>
                <w:kern w:val="2"/>
                <w:sz w:val="24"/>
                <w:szCs w:val="24"/>
                <w:lang w:val="en-US" w:eastAsia="zh-CN" w:bidi="ar-SA"/>
              </w:rPr>
              <w:t>997.7.10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009.9.10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009.9.10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011.01.20</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021.6.18</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021.6.18</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2</w:t>
            </w:r>
            <w:r>
              <w:rPr>
                <w:rFonts w:ascii="Times New Roman" w:eastAsia="宋体" w:hAnsi="Times New Roman" w:cs="Times New Roman" w:hint="default"/>
                <w:kern w:val="2"/>
                <w:sz w:val="24"/>
                <w:szCs w:val="24"/>
                <w:lang w:val="en-US" w:eastAsia="zh-CN" w:bidi="ar-SA"/>
              </w:rPr>
              <w:t>021.6.18</w:t>
            </w:r>
          </w:p>
        </w:tc>
      </w:tr>
      <w:tr>
        <w:tblPrEx>
          <w:tblW w:w="14672" w:type="dxa"/>
          <w:jc w:val="center"/>
          <w:tblLayout w:type="fixed"/>
          <w:tblCellMar>
            <w:top w:w="0" w:type="dxa"/>
            <w:left w:w="108" w:type="dxa"/>
            <w:bottom w:w="0" w:type="dxa"/>
            <w:right w:w="108" w:type="dxa"/>
          </w:tblCellMar>
        </w:tblPrEx>
        <w:trPr>
          <w:trHeight w:val="496"/>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材质</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钢</w:t>
            </w:r>
            <w:r>
              <w:rPr>
                <w:rFonts w:ascii="Times New Roman" w:eastAsia="宋体" w:hAnsi="Times New Roman" w:cs="Times New Roman" w:hint="eastAsia"/>
                <w:kern w:val="2"/>
                <w:sz w:val="24"/>
                <w:szCs w:val="24"/>
                <w:lang w:val="en-US" w:eastAsia="zh-CN" w:bidi="ar-SA"/>
              </w:rPr>
              <w:t>质</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纤维增强塑料</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纤维增强塑料</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纤维增强塑料</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铝</w:t>
            </w:r>
            <w:r>
              <w:rPr>
                <w:rFonts w:ascii="Times New Roman" w:eastAsia="宋体" w:hAnsi="Times New Roman" w:cs="Times New Roman" w:hint="eastAsia"/>
                <w:kern w:val="2"/>
                <w:sz w:val="24"/>
                <w:szCs w:val="24"/>
                <w:lang w:val="en-US" w:eastAsia="zh-CN" w:bidi="ar-SA"/>
              </w:rPr>
              <w:t>合金</w:t>
            </w:r>
          </w:p>
        </w:tc>
        <w:tc>
          <w:tcPr>
            <w:tcW w:w="1915"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铝</w:t>
            </w:r>
            <w:r>
              <w:rPr>
                <w:rFonts w:ascii="Times New Roman" w:eastAsia="宋体" w:hAnsi="Times New Roman" w:cs="Times New Roman" w:hint="eastAsia"/>
                <w:kern w:val="2"/>
                <w:sz w:val="24"/>
                <w:szCs w:val="24"/>
                <w:lang w:val="en-US" w:eastAsia="zh-CN" w:bidi="ar-SA"/>
              </w:rPr>
              <w:t>合金</w:t>
            </w:r>
          </w:p>
        </w:tc>
        <w:tc>
          <w:tcPr>
            <w:tcW w:w="192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铝</w:t>
            </w:r>
            <w:r>
              <w:rPr>
                <w:rFonts w:ascii="Times New Roman" w:eastAsia="宋体" w:hAnsi="Times New Roman" w:cs="Times New Roman" w:hint="eastAsia"/>
                <w:kern w:val="2"/>
                <w:sz w:val="24"/>
                <w:szCs w:val="24"/>
                <w:lang w:val="en-US" w:eastAsia="zh-CN" w:bidi="ar-SA"/>
              </w:rPr>
              <w:t>合金</w:t>
            </w:r>
          </w:p>
        </w:tc>
      </w:tr>
      <w:tr>
        <w:tblPrEx>
          <w:tblW w:w="14672" w:type="dxa"/>
          <w:jc w:val="center"/>
          <w:tblLayout w:type="fixed"/>
          <w:tblCellMar>
            <w:top w:w="0" w:type="dxa"/>
            <w:left w:w="108" w:type="dxa"/>
            <w:bottom w:w="0" w:type="dxa"/>
            <w:right w:w="108" w:type="dxa"/>
          </w:tblCellMar>
        </w:tblPrEx>
        <w:trPr>
          <w:trHeight w:val="1692"/>
          <w:jc w:val="center"/>
        </w:trPr>
        <w:tc>
          <w:tcPr>
            <w:tcW w:w="1261" w:type="dxa"/>
            <w:noWrap w:val="0"/>
            <w:vAlign w:val="center"/>
          </w:tcPr>
          <w:p>
            <w:pPr>
              <w:keepNext w:val="0"/>
              <w:keepLines w:val="0"/>
              <w:widowControl w:val="0"/>
              <w:suppressLineNumbers w:val="0"/>
              <w:spacing w:before="0" w:beforeAutospacing="0" w:after="0" w:afterAutospacing="0"/>
              <w:ind w:left="0" w:right="0"/>
              <w:jc w:val="center"/>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最低配员</w:t>
            </w:r>
          </w:p>
        </w:tc>
        <w:tc>
          <w:tcPr>
            <w:tcW w:w="1915"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二</w:t>
            </w:r>
            <w:r>
              <w:rPr>
                <w:rFonts w:ascii="Times New Roman" w:eastAsia="宋体" w:hAnsi="Times New Roman" w:cs="Times New Roman" w:hint="eastAsia"/>
                <w:kern w:val="2"/>
                <w:sz w:val="24"/>
                <w:szCs w:val="24"/>
                <w:lang w:val="en-US" w:eastAsia="zh-CN" w:bidi="ar-SA"/>
              </w:rPr>
              <w:t>副1名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二</w:t>
            </w:r>
            <w:r>
              <w:rPr>
                <w:rFonts w:ascii="Times New Roman" w:eastAsia="宋体" w:hAnsi="Times New Roman" w:cs="Times New Roman" w:hint="eastAsia"/>
                <w:kern w:val="2"/>
                <w:sz w:val="24"/>
                <w:szCs w:val="24"/>
                <w:lang w:val="en-US" w:eastAsia="zh-CN" w:bidi="ar-SA"/>
              </w:rPr>
              <w:t>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值班机工1名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值班</w:t>
            </w:r>
            <w:r>
              <w:rPr>
                <w:rFonts w:ascii="Times New Roman" w:eastAsia="宋体" w:hAnsi="Times New Roman" w:cs="Times New Roman" w:hint="eastAsia"/>
                <w:kern w:val="2"/>
                <w:sz w:val="24"/>
                <w:szCs w:val="24"/>
                <w:lang w:val="en-US" w:eastAsia="zh-CN" w:bidi="ar-SA"/>
              </w:rPr>
              <w:t>水手1名</w:t>
            </w:r>
          </w:p>
        </w:tc>
        <w:tc>
          <w:tcPr>
            <w:tcW w:w="1915"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三</w:t>
            </w:r>
            <w:r>
              <w:rPr>
                <w:rFonts w:ascii="Times New Roman" w:eastAsia="宋体" w:hAnsi="Times New Roman" w:cs="Times New Roman" w:hint="eastAsia"/>
                <w:kern w:val="2"/>
                <w:sz w:val="24"/>
                <w:szCs w:val="24"/>
                <w:lang w:val="en-US" w:eastAsia="zh-CN" w:bidi="ar-SA"/>
              </w:rPr>
              <w:t>副1名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二管轮1名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三管轮1名</w:t>
            </w:r>
          </w:p>
        </w:tc>
        <w:tc>
          <w:tcPr>
            <w:tcW w:w="1915"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三</w:t>
            </w:r>
            <w:r>
              <w:rPr>
                <w:rFonts w:ascii="Times New Roman" w:eastAsia="宋体" w:hAnsi="Times New Roman" w:cs="Times New Roman" w:hint="eastAsia"/>
                <w:kern w:val="2"/>
                <w:sz w:val="24"/>
                <w:szCs w:val="24"/>
                <w:lang w:val="en-US" w:eastAsia="zh-CN" w:bidi="ar-SA"/>
              </w:rPr>
              <w:t>副1名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二管轮1名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三管轮1名</w:t>
            </w:r>
          </w:p>
        </w:tc>
        <w:tc>
          <w:tcPr>
            <w:tcW w:w="1915"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三</w:t>
            </w:r>
            <w:r>
              <w:rPr>
                <w:rFonts w:ascii="Times New Roman" w:eastAsia="宋体" w:hAnsi="Times New Roman" w:cs="Times New Roman" w:hint="eastAsia"/>
                <w:kern w:val="2"/>
                <w:sz w:val="24"/>
                <w:szCs w:val="24"/>
                <w:lang w:val="en-US" w:eastAsia="zh-CN" w:bidi="ar-SA"/>
              </w:rPr>
              <w:t>副1名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二管轮1名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三管轮1名</w:t>
            </w:r>
          </w:p>
        </w:tc>
        <w:tc>
          <w:tcPr>
            <w:tcW w:w="1915"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驾驶</w:t>
            </w:r>
            <w:r>
              <w:rPr>
                <w:rFonts w:ascii="Times New Roman" w:eastAsia="宋体" w:hAnsi="Times New Roman" w:cs="Times New Roman" w:hint="eastAsia"/>
                <w:kern w:val="2"/>
                <w:sz w:val="24"/>
                <w:szCs w:val="24"/>
                <w:lang w:val="en-US" w:eastAsia="zh-CN" w:bidi="ar-SA"/>
              </w:rPr>
              <w:t>员1名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二</w:t>
            </w:r>
            <w:r>
              <w:rPr>
                <w:rFonts w:ascii="Times New Roman" w:eastAsia="宋体" w:hAnsi="Times New Roman" w:cs="Times New Roman" w:hint="eastAsia"/>
                <w:kern w:val="2"/>
                <w:sz w:val="24"/>
                <w:szCs w:val="24"/>
                <w:lang w:val="en-US" w:eastAsia="zh-CN" w:bidi="ar-SA"/>
              </w:rPr>
              <w:t>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三</w:t>
            </w:r>
            <w:r>
              <w:rPr>
                <w:rFonts w:ascii="Times New Roman" w:eastAsia="宋体" w:hAnsi="Times New Roman" w:cs="Times New Roman" w:hint="eastAsia"/>
                <w:kern w:val="2"/>
                <w:sz w:val="24"/>
                <w:szCs w:val="24"/>
                <w:lang w:val="en-US" w:eastAsia="zh-CN" w:bidi="ar-SA"/>
              </w:rPr>
              <w:t>管轮1名</w:t>
            </w:r>
          </w:p>
        </w:tc>
        <w:tc>
          <w:tcPr>
            <w:tcW w:w="1915"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驾驶</w:t>
            </w:r>
            <w:r>
              <w:rPr>
                <w:rFonts w:ascii="Times New Roman" w:eastAsia="宋体" w:hAnsi="Times New Roman" w:cs="Times New Roman" w:hint="eastAsia"/>
                <w:kern w:val="2"/>
                <w:sz w:val="24"/>
                <w:szCs w:val="24"/>
                <w:lang w:val="en-US" w:eastAsia="zh-CN" w:bidi="ar-SA"/>
              </w:rPr>
              <w:t>员1名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二</w:t>
            </w:r>
            <w:r>
              <w:rPr>
                <w:rFonts w:ascii="Times New Roman" w:eastAsia="宋体" w:hAnsi="Times New Roman" w:cs="Times New Roman" w:hint="eastAsia"/>
                <w:kern w:val="2"/>
                <w:sz w:val="24"/>
                <w:szCs w:val="24"/>
                <w:lang w:val="en-US" w:eastAsia="zh-CN" w:bidi="ar-SA"/>
              </w:rPr>
              <w:t>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三</w:t>
            </w:r>
            <w:r>
              <w:rPr>
                <w:rFonts w:ascii="Times New Roman" w:eastAsia="宋体" w:hAnsi="Times New Roman" w:cs="Times New Roman" w:hint="eastAsia"/>
                <w:kern w:val="2"/>
                <w:sz w:val="24"/>
                <w:szCs w:val="24"/>
                <w:lang w:val="en-US" w:eastAsia="zh-CN" w:bidi="ar-SA"/>
              </w:rPr>
              <w:t>管轮1名</w:t>
            </w:r>
          </w:p>
        </w:tc>
        <w:tc>
          <w:tcPr>
            <w:tcW w:w="1921" w:type="dxa"/>
            <w:noWrap w:val="0"/>
            <w:vAlign w:val="center"/>
          </w:tcPr>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default"/>
                <w:kern w:val="2"/>
                <w:sz w:val="24"/>
                <w:szCs w:val="24"/>
                <w:lang w:val="en-US" w:eastAsia="zh-CN" w:bidi="ar-SA"/>
              </w:rPr>
              <w:t>驾驶</w:t>
            </w:r>
            <w:r>
              <w:rPr>
                <w:rFonts w:ascii="Times New Roman" w:eastAsia="宋体" w:hAnsi="Times New Roman" w:cs="Times New Roman" w:hint="eastAsia"/>
                <w:kern w:val="2"/>
                <w:sz w:val="24"/>
                <w:szCs w:val="24"/>
                <w:lang w:val="en-US" w:eastAsia="zh-CN" w:bidi="ar-SA"/>
              </w:rPr>
              <w:t>员1名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轮机长1名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eastAsia"/>
                <w:kern w:val="2"/>
                <w:sz w:val="24"/>
                <w:szCs w:val="24"/>
                <w:lang w:val="en-US" w:eastAsia="zh-CN" w:bidi="ar-SA"/>
              </w:rPr>
            </w:pPr>
            <w:r>
              <w:rPr>
                <w:rFonts w:ascii="Times New Roman" w:eastAsia="宋体" w:hAnsi="Times New Roman" w:cs="Times New Roman" w:hint="eastAsia"/>
                <w:kern w:val="2"/>
                <w:sz w:val="24"/>
                <w:szCs w:val="24"/>
                <w:lang w:val="en-US" w:eastAsia="zh-CN" w:bidi="ar-SA"/>
              </w:rPr>
              <w:t>大管轮1名</w:t>
            </w:r>
          </w:p>
          <w:p>
            <w:pPr>
              <w:keepNext w:val="0"/>
              <w:keepLines w:val="0"/>
              <w:widowControl w:val="0"/>
              <w:suppressLineNumbers w:val="0"/>
              <w:spacing w:before="0" w:beforeAutospacing="0" w:after="0" w:afterAutospacing="0"/>
              <w:ind w:left="0" w:right="0"/>
              <w:jc w:val="both"/>
              <w:rPr>
                <w:rFonts w:ascii="Times New Roman" w:eastAsia="宋体" w:hAnsi="Times New Roman" w:cs="Times New Roman" w:hint="default"/>
                <w:kern w:val="2"/>
                <w:sz w:val="24"/>
                <w:szCs w:val="24"/>
                <w:lang w:val="en-US" w:eastAsia="zh-CN" w:bidi="ar-SA"/>
              </w:rPr>
            </w:pPr>
            <w:r>
              <w:rPr>
                <w:rFonts w:ascii="Times New Roman" w:eastAsia="宋体" w:hAnsi="Times New Roman" w:cs="Times New Roman" w:hint="eastAsia"/>
                <w:kern w:val="2"/>
                <w:sz w:val="24"/>
                <w:szCs w:val="24"/>
                <w:lang w:val="en-US" w:eastAsia="zh-CN" w:bidi="ar-SA"/>
              </w:rPr>
              <w:t>值班机工2名</w:t>
            </w:r>
          </w:p>
        </w:tc>
      </w:tr>
    </w:tbl>
    <w:p>
      <w:pPr>
        <w:rPr>
          <w:rFonts w:ascii="宋体"/>
          <w:sz w:val="28"/>
          <w:szCs w:val="28"/>
        </w:rPr>
      </w:pPr>
      <w:r>
        <w:rPr>
          <w:rFonts w:ascii="宋体"/>
          <w:sz w:val="28"/>
          <w:szCs w:val="28"/>
        </w:rPr>
        <w:br w:type="page"/>
      </w:r>
    </w:p>
    <w:p>
      <w:pPr>
        <w:widowControl/>
        <w:jc w:val="left"/>
        <w:rPr>
          <w:rFonts w:ascii="宋体"/>
          <w:sz w:val="28"/>
          <w:szCs w:val="28"/>
        </w:rPr>
        <w:sectPr>
          <w:pgSz w:w="16838" w:h="11906" w:orient="landscape"/>
          <w:pgMar w:top="1361" w:right="1191" w:bottom="1191" w:left="1191" w:header="794" w:footer="794" w:gutter="0"/>
          <w:pgNumType w:fmt="decimal"/>
          <w:cols w:num="1" w:space="720"/>
          <w:docGrid w:linePitch="286" w:charSpace="0"/>
        </w:sectPr>
      </w:pPr>
    </w:p>
    <w:p>
      <w:pPr>
        <w:widowControl w:val="0"/>
        <w:adjustRightInd w:val="0"/>
        <w:snapToGrid w:val="0"/>
        <w:spacing w:line="360" w:lineRule="auto"/>
        <w:jc w:val="left"/>
        <w:rPr>
          <w:rFonts w:ascii="宋体" w:eastAsia="宋体" w:hAnsi="宋体" w:cs="Times New Roman" w:hint="eastAsia"/>
          <w:b/>
          <w:kern w:val="2"/>
          <w:sz w:val="28"/>
          <w:szCs w:val="28"/>
          <w:lang w:val="en-US" w:eastAsia="zh-CN" w:bidi="ar-SA"/>
        </w:rPr>
      </w:pPr>
      <w:r>
        <w:rPr>
          <w:rFonts w:ascii="宋体" w:eastAsia="宋体" w:hAnsi="宋体" w:cs="Times New Roman" w:hint="eastAsia"/>
          <w:b/>
          <w:kern w:val="2"/>
          <w:sz w:val="28"/>
          <w:szCs w:val="28"/>
          <w:lang w:val="en-US" w:eastAsia="zh-CN" w:bidi="ar-SA"/>
        </w:rPr>
        <w:t>附件2、《深圳港引航站船艇配员表》</w:t>
      </w:r>
    </w:p>
    <w:tbl>
      <w:tblPr>
        <w:tblStyle w:val="TableNormal"/>
        <w:tblW w:w="899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108" w:type="dxa"/>
          <w:bottom w:w="0" w:type="dxa"/>
          <w:right w:w="108" w:type="dxa"/>
        </w:tblCellMar>
      </w:tblPr>
      <w:tblGrid>
        <w:gridCol w:w="1783"/>
        <w:gridCol w:w="3195"/>
        <w:gridCol w:w="2655"/>
        <w:gridCol w:w="1366"/>
      </w:tblGrid>
      <w:tr>
        <w:tblPrEx>
          <w:tblW w:w="899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108" w:type="dxa"/>
            <w:bottom w:w="0" w:type="dxa"/>
            <w:right w:w="108" w:type="dxa"/>
          </w:tblCellMar>
        </w:tblPrEx>
        <w:trPr>
          <w:trHeight w:val="398"/>
          <w:jc w:val="center"/>
        </w:trPr>
        <w:tc>
          <w:tcPr>
            <w:tcW w:w="1783" w:type="dxa"/>
            <w:noWrap w:val="0"/>
            <w:vAlign w:val="top"/>
          </w:tcPr>
          <w:p>
            <w:pPr>
              <w:keepNext w:val="0"/>
              <w:keepLines w:val="0"/>
              <w:widowControl/>
              <w:suppressLineNumbers w:val="0"/>
              <w:spacing w:before="0" w:beforeAutospacing="0" w:after="0" w:afterAutospacing="0"/>
              <w:ind w:left="0" w:right="0"/>
              <w:jc w:val="center"/>
              <w:rPr>
                <w:rFonts w:ascii="宋体" w:eastAsia="宋体" w:hAnsi="宋体" w:cs="宋体" w:hint="default"/>
                <w:b/>
                <w:bCs/>
                <w:kern w:val="0"/>
                <w:sz w:val="24"/>
                <w:szCs w:val="24"/>
                <w:lang w:val="en-US" w:eastAsia="zh-CN" w:bidi="ar-SA"/>
              </w:rPr>
            </w:pPr>
            <w:r>
              <w:rPr>
                <w:rFonts w:ascii="宋体" w:eastAsia="宋体" w:hAnsi="宋体" w:cs="宋体" w:hint="eastAsia"/>
                <w:b/>
                <w:bCs/>
                <w:kern w:val="0"/>
                <w:sz w:val="24"/>
                <w:szCs w:val="24"/>
                <w:lang w:val="en-US" w:eastAsia="zh-CN" w:bidi="ar-SA"/>
              </w:rPr>
              <w:t>船名</w:t>
            </w:r>
          </w:p>
        </w:tc>
        <w:tc>
          <w:tcPr>
            <w:tcW w:w="3195" w:type="dxa"/>
            <w:noWrap w:val="0"/>
            <w:vAlign w:val="top"/>
          </w:tcPr>
          <w:p>
            <w:pPr>
              <w:keepNext w:val="0"/>
              <w:keepLines w:val="0"/>
              <w:widowControl/>
              <w:suppressLineNumbers w:val="0"/>
              <w:spacing w:before="0" w:beforeAutospacing="0" w:after="0" w:afterAutospacing="0"/>
              <w:ind w:left="0" w:right="0"/>
              <w:jc w:val="center"/>
              <w:rPr>
                <w:rFonts w:ascii="宋体" w:eastAsia="宋体" w:hAnsi="宋体" w:cs="宋体" w:hint="default"/>
                <w:b/>
                <w:bCs/>
                <w:kern w:val="0"/>
                <w:sz w:val="24"/>
                <w:szCs w:val="24"/>
                <w:lang w:val="en-US" w:eastAsia="zh-CN" w:bidi="ar-SA"/>
              </w:rPr>
            </w:pPr>
            <w:r>
              <w:rPr>
                <w:rFonts w:ascii="宋体" w:eastAsia="宋体" w:hAnsi="宋体" w:cs="宋体" w:hint="eastAsia"/>
                <w:b/>
                <w:bCs/>
                <w:kern w:val="0"/>
                <w:sz w:val="24"/>
                <w:szCs w:val="24"/>
                <w:lang w:val="en-US" w:eastAsia="zh-CN" w:bidi="ar-SA"/>
              </w:rPr>
              <w:t>职务</w:t>
            </w:r>
          </w:p>
        </w:tc>
        <w:tc>
          <w:tcPr>
            <w:tcW w:w="2655" w:type="dxa"/>
            <w:noWrap w:val="0"/>
            <w:vAlign w:val="top"/>
          </w:tcPr>
          <w:p>
            <w:pPr>
              <w:keepNext w:val="0"/>
              <w:keepLines w:val="0"/>
              <w:widowControl/>
              <w:suppressLineNumbers w:val="0"/>
              <w:spacing w:before="0" w:beforeAutospacing="0" w:after="0" w:afterAutospacing="0"/>
              <w:ind w:left="0" w:right="0"/>
              <w:jc w:val="center"/>
              <w:rPr>
                <w:rFonts w:ascii="宋体" w:eastAsia="宋体" w:hAnsi="宋体" w:cs="宋体" w:hint="default"/>
                <w:b/>
                <w:bCs/>
                <w:kern w:val="0"/>
                <w:sz w:val="24"/>
                <w:szCs w:val="24"/>
                <w:lang w:val="en-US" w:eastAsia="zh-CN" w:bidi="ar-SA"/>
              </w:rPr>
            </w:pPr>
            <w:r>
              <w:rPr>
                <w:rFonts w:ascii="宋体" w:eastAsia="宋体" w:hAnsi="宋体" w:cs="宋体" w:hint="eastAsia"/>
                <w:b/>
                <w:bCs/>
                <w:kern w:val="0"/>
                <w:sz w:val="24"/>
                <w:szCs w:val="24"/>
                <w:lang w:val="en-US" w:eastAsia="zh-CN" w:bidi="ar-SA"/>
              </w:rPr>
              <w:t>适任证书</w:t>
            </w:r>
          </w:p>
        </w:tc>
        <w:tc>
          <w:tcPr>
            <w:tcW w:w="1366" w:type="dxa"/>
            <w:noWrap w:val="0"/>
            <w:vAlign w:val="top"/>
          </w:tcPr>
          <w:p>
            <w:pPr>
              <w:keepNext w:val="0"/>
              <w:keepLines w:val="0"/>
              <w:widowControl/>
              <w:suppressLineNumbers w:val="0"/>
              <w:spacing w:before="0" w:beforeAutospacing="0" w:after="0" w:afterAutospacing="0"/>
              <w:ind w:left="0" w:right="0"/>
              <w:jc w:val="center"/>
              <w:rPr>
                <w:rFonts w:ascii="宋体" w:eastAsia="宋体" w:hAnsi="宋体" w:cs="宋体" w:hint="eastAsia"/>
                <w:b/>
                <w:bCs/>
                <w:kern w:val="0"/>
                <w:sz w:val="24"/>
                <w:szCs w:val="24"/>
                <w:lang w:val="en-US" w:eastAsia="zh-CN" w:bidi="ar-SA"/>
              </w:rPr>
            </w:pPr>
            <w:r>
              <w:rPr>
                <w:rFonts w:ascii="宋体" w:eastAsia="宋体" w:hAnsi="宋体" w:cs="宋体" w:hint="eastAsia"/>
                <w:b/>
                <w:bCs/>
                <w:kern w:val="0"/>
                <w:sz w:val="24"/>
                <w:szCs w:val="24"/>
                <w:lang w:val="en-US" w:eastAsia="zh-CN" w:bidi="ar-SA"/>
              </w:rPr>
              <w:t>数量</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深港拖一</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二副</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值班机工</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值班水手</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深港引1</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深交法01</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深港引3</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深港引5</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船长</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796"/>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eastAsia"/>
                <w:kern w:val="2"/>
                <w:sz w:val="24"/>
                <w:szCs w:val="24"/>
                <w:lang w:val="en-US" w:eastAsia="zh-CN" w:bidi="ar-SA"/>
              </w:rPr>
            </w:pPr>
          </w:p>
        </w:tc>
        <w:tc>
          <w:tcPr>
            <w:tcW w:w="3195"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（有</w:t>
            </w:r>
            <w:r>
              <w:rPr>
                <w:rFonts w:ascii="宋体" w:eastAsia="宋体" w:hAnsi="宋体" w:cs="宋体" w:hint="default"/>
                <w:kern w:val="0"/>
                <w:sz w:val="24"/>
                <w:szCs w:val="24"/>
                <w:lang w:val="en-US" w:eastAsia="zh-CN" w:bidi="ar-SA"/>
              </w:rPr>
              <w:t>半年以上</w:t>
            </w:r>
            <w:r>
              <w:rPr>
                <w:rFonts w:ascii="宋体" w:eastAsia="宋体" w:hAnsi="宋体" w:cs="宋体" w:hint="eastAsia"/>
                <w:kern w:val="0"/>
                <w:sz w:val="24"/>
                <w:szCs w:val="24"/>
                <w:lang w:val="en-US" w:eastAsia="zh-CN" w:bidi="ar-SA"/>
              </w:rPr>
              <w:t>操</w:t>
            </w:r>
            <w:r>
              <w:rPr>
                <w:rFonts w:ascii="宋体" w:eastAsia="宋体" w:hAnsi="宋体" w:cs="宋体" w:hint="default"/>
                <w:kern w:val="0"/>
                <w:sz w:val="24"/>
                <w:szCs w:val="24"/>
                <w:lang w:val="en-US" w:eastAsia="zh-CN" w:bidi="ar-SA"/>
              </w:rPr>
              <w:t>船经验</w:t>
            </w:r>
            <w:r>
              <w:rPr>
                <w:rFonts w:ascii="宋体" w:eastAsia="宋体" w:hAnsi="宋体" w:cs="宋体" w:hint="eastAsia"/>
                <w:kern w:val="0"/>
                <w:sz w:val="24"/>
                <w:szCs w:val="24"/>
                <w:lang w:val="en-US" w:eastAsia="zh-CN" w:bidi="ar-SA"/>
              </w:rPr>
              <w:t>）</w:t>
            </w:r>
          </w:p>
        </w:tc>
        <w:tc>
          <w:tcPr>
            <w:tcW w:w="2655"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深港引6</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二副</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744"/>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eastAsia"/>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（有</w:t>
            </w:r>
            <w:r>
              <w:rPr>
                <w:rFonts w:ascii="宋体" w:eastAsia="宋体" w:hAnsi="宋体" w:cs="宋体" w:hint="default"/>
                <w:kern w:val="0"/>
                <w:sz w:val="24"/>
                <w:szCs w:val="24"/>
                <w:lang w:val="en-US" w:eastAsia="zh-CN" w:bidi="ar-SA"/>
              </w:rPr>
              <w:t>半年以上</w:t>
            </w:r>
            <w:r>
              <w:rPr>
                <w:rFonts w:ascii="宋体" w:eastAsia="宋体" w:hAnsi="宋体" w:cs="宋体" w:hint="eastAsia"/>
                <w:kern w:val="0"/>
                <w:sz w:val="24"/>
                <w:szCs w:val="24"/>
                <w:lang w:val="en-US" w:eastAsia="zh-CN" w:bidi="ar-SA"/>
              </w:rPr>
              <w:t>操</w:t>
            </w:r>
            <w:r>
              <w:rPr>
                <w:rFonts w:ascii="宋体" w:eastAsia="宋体" w:hAnsi="宋体" w:cs="宋体" w:hint="default"/>
                <w:kern w:val="0"/>
                <w:sz w:val="24"/>
                <w:szCs w:val="24"/>
                <w:lang w:val="en-US" w:eastAsia="zh-CN" w:bidi="ar-SA"/>
              </w:rPr>
              <w:t>船经验</w:t>
            </w:r>
            <w:r>
              <w:rPr>
                <w:rFonts w:ascii="宋体" w:eastAsia="宋体" w:hAnsi="宋体" w:cs="宋体" w:hint="eastAsia"/>
                <w:kern w:val="0"/>
                <w:sz w:val="24"/>
                <w:szCs w:val="24"/>
                <w:lang w:val="en-US" w:eastAsia="zh-CN" w:bidi="ar-SA"/>
              </w:rPr>
              <w:t>）</w:t>
            </w:r>
          </w:p>
        </w:tc>
        <w:tc>
          <w:tcPr>
            <w:tcW w:w="2655"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val="restart"/>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default"/>
                <w:kern w:val="2"/>
                <w:sz w:val="24"/>
                <w:szCs w:val="24"/>
                <w:lang w:val="en-US" w:eastAsia="zh-CN" w:bidi="ar-SA"/>
              </w:rPr>
            </w:pPr>
            <w:r>
              <w:rPr>
                <w:rFonts w:ascii="Calibri" w:eastAsia="宋体" w:hAnsi="Calibri" w:cs="Times New Roman" w:hint="eastAsia"/>
                <w:kern w:val="2"/>
                <w:sz w:val="24"/>
                <w:szCs w:val="24"/>
                <w:lang w:val="en-US" w:eastAsia="zh-CN" w:bidi="ar-SA"/>
              </w:rPr>
              <w:t>深港引7</w:t>
            </w: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船长</w:t>
            </w:r>
          </w:p>
        </w:tc>
        <w:tc>
          <w:tcPr>
            <w:tcW w:w="265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806"/>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Calibri" w:eastAsia="宋体" w:hAnsi="Calibri" w:cs="Times New Roman" w:hint="eastAsia"/>
                <w:kern w:val="2"/>
                <w:sz w:val="24"/>
                <w:szCs w:val="24"/>
                <w:lang w:val="en-US" w:eastAsia="zh-CN" w:bidi="ar-SA"/>
              </w:rPr>
            </w:pPr>
          </w:p>
        </w:tc>
        <w:tc>
          <w:tcPr>
            <w:tcW w:w="3195"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（有</w:t>
            </w:r>
            <w:r>
              <w:rPr>
                <w:rFonts w:ascii="宋体" w:eastAsia="宋体" w:hAnsi="宋体" w:cs="宋体" w:hint="default"/>
                <w:kern w:val="0"/>
                <w:sz w:val="24"/>
                <w:szCs w:val="24"/>
                <w:lang w:val="en-US" w:eastAsia="zh-CN" w:bidi="ar-SA"/>
              </w:rPr>
              <w:t>半年以上</w:t>
            </w:r>
            <w:r>
              <w:rPr>
                <w:rFonts w:ascii="宋体" w:eastAsia="宋体" w:hAnsi="宋体" w:cs="宋体" w:hint="eastAsia"/>
                <w:kern w:val="0"/>
                <w:sz w:val="24"/>
                <w:szCs w:val="24"/>
                <w:lang w:val="en-US" w:eastAsia="zh-CN" w:bidi="ar-SA"/>
              </w:rPr>
              <w:t>操</w:t>
            </w:r>
            <w:r>
              <w:rPr>
                <w:rFonts w:ascii="宋体" w:eastAsia="宋体" w:hAnsi="宋体" w:cs="宋体" w:hint="default"/>
                <w:kern w:val="0"/>
                <w:sz w:val="24"/>
                <w:szCs w:val="24"/>
                <w:lang w:val="en-US" w:eastAsia="zh-CN" w:bidi="ar-SA"/>
              </w:rPr>
              <w:t>船经验</w:t>
            </w:r>
            <w:r>
              <w:rPr>
                <w:rFonts w:ascii="宋体" w:eastAsia="宋体" w:hAnsi="宋体" w:cs="宋体" w:hint="eastAsia"/>
                <w:kern w:val="0"/>
                <w:sz w:val="24"/>
                <w:szCs w:val="24"/>
                <w:lang w:val="en-US" w:eastAsia="zh-CN" w:bidi="ar-SA"/>
              </w:rPr>
              <w:t>）</w:t>
            </w:r>
          </w:p>
        </w:tc>
        <w:tc>
          <w:tcPr>
            <w:tcW w:w="2655"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1</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轮机长</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vMerge/>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大管轮</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2"/>
                <w:sz w:val="24"/>
                <w:szCs w:val="24"/>
                <w:lang w:val="en-US" w:eastAsia="zh-CN" w:bidi="ar-SA"/>
              </w:rPr>
            </w:pPr>
            <w:r>
              <w:rPr>
                <w:rFonts w:ascii="宋体" w:eastAsia="宋体" w:hAnsi="宋体" w:cs="宋体" w:hint="eastAsia"/>
                <w:kern w:val="0"/>
                <w:sz w:val="24"/>
                <w:szCs w:val="24"/>
                <w:lang w:val="en-US" w:eastAsia="zh-CN" w:bidi="ar-SA"/>
              </w:rPr>
              <w:t>沿海二等及以上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2</w:t>
            </w:r>
          </w:p>
        </w:tc>
      </w:tr>
      <w:tr>
        <w:tblPrEx>
          <w:tblW w:w="8999" w:type="dxa"/>
          <w:jc w:val="center"/>
          <w:tblLayout w:type="fixed"/>
          <w:tblCellMar>
            <w:top w:w="0" w:type="dxa"/>
            <w:left w:w="108" w:type="dxa"/>
            <w:bottom w:w="0" w:type="dxa"/>
            <w:right w:w="108" w:type="dxa"/>
          </w:tblCellMar>
        </w:tblPrEx>
        <w:trPr>
          <w:trHeight w:val="398"/>
          <w:jc w:val="center"/>
        </w:trPr>
        <w:tc>
          <w:tcPr>
            <w:tcW w:w="1783"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p>
        </w:tc>
        <w:tc>
          <w:tcPr>
            <w:tcW w:w="3195" w:type="dxa"/>
            <w:noWrap w:val="0"/>
            <w:vAlign w:val="center"/>
          </w:tcPr>
          <w:p>
            <w:pPr>
              <w:keepNext w:val="0"/>
              <w:keepLines w:val="0"/>
              <w:widowControl/>
              <w:suppressLineNumbers w:val="0"/>
              <w:spacing w:before="0" w:beforeAutospacing="0" w:after="0" w:afterAutospacing="0"/>
              <w:ind w:left="0" w:right="0"/>
              <w:jc w:val="center"/>
              <w:textAlignment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值班机工</w:t>
            </w:r>
          </w:p>
        </w:tc>
        <w:tc>
          <w:tcPr>
            <w:tcW w:w="2655"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eastAsia"/>
                <w:kern w:val="0"/>
                <w:sz w:val="24"/>
                <w:szCs w:val="24"/>
                <w:lang w:val="en-US" w:eastAsia="zh-CN" w:bidi="ar-SA"/>
              </w:rPr>
            </w:pPr>
            <w:r>
              <w:rPr>
                <w:rFonts w:ascii="宋体" w:eastAsia="宋体" w:hAnsi="宋体" w:cs="宋体" w:hint="eastAsia"/>
                <w:kern w:val="0"/>
                <w:sz w:val="24"/>
                <w:szCs w:val="24"/>
                <w:lang w:val="en-US" w:eastAsia="zh-CN" w:bidi="ar-SA"/>
              </w:rPr>
              <w:t>沿海一等及以上</w:t>
            </w:r>
          </w:p>
        </w:tc>
        <w:tc>
          <w:tcPr>
            <w:tcW w:w="1366" w:type="dxa"/>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3</w:t>
            </w:r>
          </w:p>
        </w:tc>
      </w:tr>
    </w:tbl>
    <w:p>
      <w:pPr>
        <w:pStyle w:val="Default"/>
        <w:snapToGrid w:val="0"/>
        <w:spacing w:line="360" w:lineRule="auto"/>
        <w:ind w:left="480" w:firstLine="0" w:leftChars="200" w:firstLineChars="0"/>
        <w:rPr>
          <w:rFonts w:eastAsia="宋体" w:hAnsi="宋体" w:cs="Times New Roman" w:hint="eastAsia"/>
          <w:color w:val="auto"/>
          <w:sz w:val="24"/>
          <w:szCs w:val="24"/>
        </w:rPr>
      </w:pPr>
      <w:r>
        <w:rPr>
          <w:rFonts w:eastAsia="宋体" w:hAnsi="宋体" w:cs="Times New Roman" w:hint="eastAsia"/>
          <w:color w:val="auto"/>
          <w:sz w:val="24"/>
          <w:szCs w:val="24"/>
        </w:rPr>
        <w:t>补充说明：</w:t>
      </w:r>
    </w:p>
    <w:p>
      <w:pPr>
        <w:pStyle w:val="Default"/>
        <w:numPr>
          <w:ilvl w:val="0"/>
          <w:numId w:val="1"/>
        </w:numPr>
        <w:tabs>
          <w:tab w:val="clear" w:pos="312"/>
        </w:tabs>
        <w:snapToGrid w:val="0"/>
        <w:spacing w:line="360" w:lineRule="auto"/>
        <w:ind w:left="704" w:hanging="70" w:leftChars="264" w:hangingChars="29"/>
        <w:rPr>
          <w:rFonts w:eastAsia="宋体" w:hAnsi="宋体" w:cs="Times New Roman" w:hint="eastAsia"/>
          <w:color w:val="auto"/>
          <w:sz w:val="24"/>
          <w:szCs w:val="24"/>
        </w:rPr>
      </w:pPr>
      <w:r>
        <w:rPr>
          <w:rFonts w:eastAsia="宋体" w:hAnsi="宋体" w:cs="Times New Roman" w:hint="eastAsia"/>
          <w:color w:val="auto"/>
          <w:sz w:val="24"/>
          <w:szCs w:val="24"/>
        </w:rPr>
        <w:t>“</w:t>
      </w:r>
      <w:r>
        <w:rPr>
          <w:rFonts w:eastAsia="宋体" w:hAnsi="宋体" w:cs="Times New Roman" w:hint="eastAsia"/>
          <w:color w:val="auto"/>
          <w:sz w:val="24"/>
          <w:szCs w:val="24"/>
          <w:lang w:eastAsia="zh-CN"/>
        </w:rPr>
        <w:t>深港引</w:t>
      </w:r>
      <w:r>
        <w:rPr>
          <w:rFonts w:eastAsia="宋体" w:hAnsi="宋体" w:cs="Times New Roman" w:hint="eastAsia"/>
          <w:color w:val="auto"/>
          <w:sz w:val="24"/>
          <w:szCs w:val="24"/>
          <w:lang w:val="en-US" w:eastAsia="zh-CN"/>
        </w:rPr>
        <w:t>1”、“深港引3”、“深交法01”、</w:t>
      </w:r>
      <w:r>
        <w:rPr>
          <w:rFonts w:eastAsia="宋体" w:hAnsi="宋体" w:cs="Times New Roman" w:hint="eastAsia"/>
          <w:color w:val="auto"/>
          <w:sz w:val="24"/>
          <w:szCs w:val="24"/>
        </w:rPr>
        <w:t>深港引5”、“深港引6”、</w:t>
      </w:r>
      <w:r>
        <w:rPr>
          <w:rFonts w:eastAsia="宋体" w:hAnsi="宋体" w:cs="Times New Roman" w:hint="eastAsia"/>
          <w:color w:val="auto"/>
          <w:sz w:val="24"/>
          <w:szCs w:val="24"/>
          <w:lang w:val="en-US" w:eastAsia="zh-CN"/>
        </w:rPr>
        <w:t xml:space="preserve"> </w:t>
      </w:r>
    </w:p>
    <w:p>
      <w:pPr>
        <w:pStyle w:val="Default"/>
        <w:numPr>
          <w:ilvl w:val="0"/>
          <w:numId w:val="0"/>
        </w:numPr>
        <w:snapToGrid w:val="0"/>
        <w:spacing w:line="360" w:lineRule="auto"/>
        <w:ind w:firstLine="720" w:firstLineChars="300"/>
        <w:rPr>
          <w:rFonts w:eastAsia="宋体" w:hAnsi="宋体" w:cs="Times New Roman" w:hint="eastAsia"/>
          <w:color w:val="auto"/>
          <w:sz w:val="24"/>
          <w:szCs w:val="24"/>
        </w:rPr>
      </w:pPr>
      <w:r>
        <w:rPr>
          <w:rFonts w:eastAsia="宋体" w:hAnsi="宋体" w:cs="Times New Roman" w:hint="eastAsia"/>
          <w:color w:val="auto"/>
          <w:sz w:val="24"/>
          <w:szCs w:val="24"/>
        </w:rPr>
        <w:t>“深港引7”船员要求</w:t>
      </w:r>
      <w:r>
        <w:rPr>
          <w:rFonts w:eastAsia="宋体" w:hAnsi="宋体" w:cs="Times New Roman" w:hint="eastAsia"/>
          <w:color w:val="auto"/>
          <w:sz w:val="24"/>
          <w:szCs w:val="24"/>
          <w:lang w:eastAsia="zh-CN"/>
        </w:rPr>
        <w:t>单体</w:t>
      </w:r>
      <w:r>
        <w:rPr>
          <w:rFonts w:eastAsia="宋体" w:hAnsi="宋体" w:cs="Times New Roman" w:hint="eastAsia"/>
          <w:color w:val="auto"/>
          <w:sz w:val="24"/>
          <w:szCs w:val="24"/>
        </w:rPr>
        <w:t>高速船证书</w:t>
      </w:r>
      <w:r>
        <w:rPr>
          <w:rFonts w:eastAsia="宋体" w:hAnsi="宋体" w:cs="Times New Roman" w:hint="eastAsia"/>
          <w:color w:val="auto"/>
          <w:sz w:val="24"/>
          <w:szCs w:val="24"/>
          <w:lang w:eastAsia="zh-CN"/>
        </w:rPr>
        <w:t>，</w:t>
      </w:r>
    </w:p>
    <w:p>
      <w:pPr>
        <w:pStyle w:val="Default"/>
        <w:numPr>
          <w:ilvl w:val="0"/>
          <w:numId w:val="1"/>
        </w:numPr>
        <w:tabs>
          <w:tab w:val="clear" w:pos="312"/>
        </w:tabs>
        <w:snapToGrid w:val="0"/>
        <w:spacing w:line="360" w:lineRule="auto"/>
        <w:ind w:left="704" w:hanging="70" w:leftChars="264" w:hangingChars="29"/>
        <w:rPr>
          <w:rFonts w:eastAsia="宋体" w:hAnsi="宋体" w:cs="Times New Roman" w:hint="eastAsia"/>
          <w:color w:val="auto"/>
          <w:sz w:val="24"/>
          <w:szCs w:val="24"/>
        </w:rPr>
      </w:pPr>
      <w:r>
        <w:rPr>
          <w:rFonts w:eastAsia="宋体" w:hAnsi="宋体" w:cs="Times New Roman" w:hint="eastAsia"/>
          <w:color w:val="auto"/>
          <w:sz w:val="24"/>
          <w:szCs w:val="24"/>
          <w:lang w:eastAsia="zh-CN"/>
        </w:rPr>
        <w:t>“深港引</w:t>
      </w:r>
      <w:r>
        <w:rPr>
          <w:rFonts w:eastAsia="宋体" w:hAnsi="宋体" w:cs="Times New Roman" w:hint="eastAsia"/>
          <w:color w:val="auto"/>
          <w:sz w:val="24"/>
          <w:szCs w:val="24"/>
          <w:lang w:val="en-US" w:eastAsia="zh-CN"/>
        </w:rPr>
        <w:t>5</w:t>
      </w:r>
      <w:r>
        <w:rPr>
          <w:rFonts w:eastAsia="宋体" w:hAnsi="宋体" w:cs="Times New Roman" w:hint="eastAsia"/>
          <w:color w:val="auto"/>
          <w:sz w:val="24"/>
          <w:szCs w:val="24"/>
          <w:lang w:eastAsia="zh-CN"/>
        </w:rPr>
        <w:t>”、“深港引</w:t>
      </w:r>
      <w:r>
        <w:rPr>
          <w:rFonts w:eastAsia="宋体" w:hAnsi="宋体" w:cs="Times New Roman" w:hint="eastAsia"/>
          <w:color w:val="auto"/>
          <w:sz w:val="24"/>
          <w:szCs w:val="24"/>
          <w:lang w:val="en-US" w:eastAsia="zh-CN"/>
        </w:rPr>
        <w:t>7</w:t>
      </w:r>
      <w:r>
        <w:rPr>
          <w:rFonts w:eastAsia="宋体" w:hAnsi="宋体" w:cs="Times New Roman" w:hint="eastAsia"/>
          <w:color w:val="auto"/>
          <w:sz w:val="24"/>
          <w:szCs w:val="24"/>
          <w:lang w:eastAsia="zh-CN"/>
        </w:rPr>
        <w:t>”要求每艘艇配备一名船长负责管理。“深港引</w:t>
      </w:r>
      <w:r>
        <w:rPr>
          <w:rFonts w:eastAsia="宋体" w:hAnsi="宋体" w:cs="Times New Roman" w:hint="eastAsia"/>
          <w:color w:val="auto"/>
          <w:sz w:val="24"/>
          <w:szCs w:val="24"/>
          <w:lang w:val="en-US" w:eastAsia="zh-CN"/>
        </w:rPr>
        <w:t>7</w:t>
      </w:r>
      <w:r>
        <w:rPr>
          <w:rFonts w:eastAsia="宋体" w:hAnsi="宋体" w:cs="Times New Roman" w:hint="eastAsia"/>
          <w:color w:val="auto"/>
          <w:sz w:val="24"/>
          <w:szCs w:val="24"/>
          <w:lang w:eastAsia="zh-CN"/>
        </w:rPr>
        <w:t>”（包含但不限于）将在桂山水域执行引航员接送任务</w:t>
      </w:r>
      <w:r>
        <w:rPr>
          <w:rFonts w:eastAsia="宋体" w:hAnsi="宋体" w:cs="Times New Roman" w:hint="eastAsia"/>
          <w:color w:val="auto"/>
          <w:sz w:val="24"/>
          <w:szCs w:val="24"/>
        </w:rPr>
        <w:t>。</w:t>
      </w:r>
    </w:p>
    <w:p>
      <w:pPr>
        <w:widowControl/>
        <w:jc w:val="both"/>
        <w:rPr>
          <w:rFonts w:ascii="宋体" w:eastAsia="宋体" w:hAnsi="宋体" w:cs="宋体" w:hint="eastAsia"/>
          <w:b/>
          <w:bCs/>
          <w:kern w:val="2"/>
          <w:sz w:val="24"/>
          <w:szCs w:val="24"/>
          <w:lang w:val="en-US" w:eastAsia="zh-CN" w:bidi="ar-SA"/>
        </w:rPr>
      </w:pPr>
    </w:p>
    <w:p>
      <w:pPr>
        <w:widowControl/>
        <w:jc w:val="both"/>
        <w:rPr>
          <w:rFonts w:ascii="宋体" w:eastAsia="宋体" w:hAnsi="宋体" w:cs="Times New Roman"/>
          <w:b/>
          <w:kern w:val="2"/>
          <w:sz w:val="24"/>
          <w:szCs w:val="24"/>
          <w:lang w:val="en-US" w:eastAsia="zh-CN" w:bidi="ar-SA"/>
        </w:rPr>
      </w:pPr>
      <w:r>
        <w:rPr>
          <w:rFonts w:ascii="宋体" w:eastAsia="宋体" w:hAnsi="宋体" w:cs="宋体" w:hint="eastAsia"/>
          <w:b/>
          <w:bCs/>
          <w:kern w:val="2"/>
          <w:sz w:val="24"/>
          <w:szCs w:val="24"/>
          <w:lang w:val="en-US" w:eastAsia="zh-CN" w:bidi="ar-SA"/>
        </w:rPr>
        <w:t>附件3</w:t>
      </w:r>
      <w:r>
        <w:rPr>
          <w:rFonts w:ascii="宋体" w:eastAsia="宋体" w:hAnsi="宋体" w:cs="Times New Roman" w:hint="eastAsia"/>
          <w:b/>
          <w:kern w:val="2"/>
          <w:sz w:val="24"/>
          <w:szCs w:val="24"/>
          <w:lang w:val="en-US" w:eastAsia="zh-CN" w:bidi="ar-SA"/>
        </w:rPr>
        <w:t>《深圳港引航站船员工资参考标准》</w:t>
      </w:r>
    </w:p>
    <w:p>
      <w:pPr>
        <w:widowControl/>
        <w:jc w:val="center"/>
        <w:rPr>
          <w:rFonts w:ascii="宋体" w:eastAsia="宋体" w:hAnsi="宋体" w:cs="宋体" w:hint="eastAsia"/>
          <w:b/>
          <w:bCs/>
          <w:kern w:val="2"/>
          <w:sz w:val="24"/>
          <w:szCs w:val="24"/>
          <w:u w:val="single"/>
          <w:lang w:val="en-US" w:eastAsia="zh-CN" w:bidi="ar-SA"/>
        </w:rPr>
      </w:pPr>
    </w:p>
    <w:tbl>
      <w:tblPr>
        <w:tblStyle w:val="TableNormal"/>
        <w:tblW w:w="8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704"/>
        <w:gridCol w:w="1166"/>
        <w:gridCol w:w="1580"/>
        <w:gridCol w:w="1928"/>
        <w:gridCol w:w="1890"/>
        <w:gridCol w:w="1712"/>
      </w:tblGrid>
      <w:tr>
        <w:tblPrEx>
          <w:tblW w:w="8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default"/>
                <w:kern w:val="2"/>
                <w:sz w:val="24"/>
                <w:szCs w:val="24"/>
                <w:lang w:val="en-US" w:eastAsia="zh-CN" w:bidi="ar-SA"/>
              </w:rPr>
              <w:br w:type="page"/>
            </w:r>
            <w:r>
              <w:rPr>
                <w:rFonts w:ascii="宋体" w:eastAsia="宋体" w:hAnsi="宋体" w:cs="宋体" w:hint="eastAsia"/>
                <w:color w:val="000000"/>
                <w:kern w:val="0"/>
                <w:sz w:val="24"/>
                <w:szCs w:val="24"/>
                <w:lang w:val="en-US" w:eastAsia="zh-CN" w:bidi="ar-SA"/>
              </w:rPr>
              <w:t>序号</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岗位  名称</w:t>
            </w:r>
          </w:p>
        </w:tc>
        <w:tc>
          <w:tcPr>
            <w:tcW w:w="158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最低要求</w:t>
            </w: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工资标准  （元/人.月）</w:t>
            </w: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其他费用   （元/人.月）</w:t>
            </w: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合计</w:t>
            </w:r>
          </w:p>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（元/月）</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船长</w:t>
            </w:r>
          </w:p>
        </w:tc>
        <w:tc>
          <w:tcPr>
            <w:tcW w:w="1580" w:type="dxa"/>
            <w:vMerge w:val="restart"/>
            <w:tcBorders>
              <w:top w:val="single" w:sz="4" w:space="0" w:color="auto"/>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default"/>
                <w:kern w:val="0"/>
                <w:sz w:val="24"/>
                <w:szCs w:val="24"/>
                <w:lang w:val="en-US" w:eastAsia="zh-CN" w:bidi="ar-SA"/>
              </w:rPr>
              <w:t>满足最低配员证书要求</w:t>
            </w: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33400</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轮机长</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30500</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default"/>
                <w:kern w:val="0"/>
                <w:sz w:val="24"/>
                <w:szCs w:val="24"/>
                <w:lang w:val="en-US" w:eastAsia="zh-CN" w:bidi="ar-SA"/>
              </w:rPr>
              <w:t>大副</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27000</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4</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default"/>
                <w:kern w:val="0"/>
                <w:sz w:val="24"/>
                <w:szCs w:val="24"/>
                <w:lang w:val="en-US" w:eastAsia="zh-CN" w:bidi="ar-SA"/>
              </w:rPr>
              <w:t>大管</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27000</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5</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二副</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21800</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6</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三副</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20500</w:t>
            </w:r>
          </w:p>
        </w:tc>
      </w:tr>
      <w:tr>
        <w:tblPrEx>
          <w:tblW w:w="8980" w:type="dxa"/>
          <w:jc w:val="center"/>
          <w:tblLayout w:type="fixed"/>
          <w:tblCellMar>
            <w:top w:w="0" w:type="dxa"/>
            <w:left w:w="108" w:type="dxa"/>
            <w:bottom w:w="0" w:type="dxa"/>
            <w:right w:w="108" w:type="dxa"/>
          </w:tblCellMar>
        </w:tblPrEx>
        <w:trPr>
          <w:trHeight w:val="226"/>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7</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二管轮</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20048</w:t>
            </w:r>
          </w:p>
        </w:tc>
      </w:tr>
      <w:tr>
        <w:tblPrEx>
          <w:tblW w:w="8980" w:type="dxa"/>
          <w:jc w:val="center"/>
          <w:tblLayout w:type="fixed"/>
          <w:tblCellMar>
            <w:top w:w="0" w:type="dxa"/>
            <w:left w:w="108" w:type="dxa"/>
            <w:bottom w:w="0" w:type="dxa"/>
            <w:right w:w="108" w:type="dxa"/>
          </w:tblCellMar>
        </w:tblPrEx>
        <w:trPr>
          <w:trHeight w:val="310"/>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8</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三管轮</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18616</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9</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机工</w:t>
            </w:r>
          </w:p>
        </w:tc>
        <w:tc>
          <w:tcPr>
            <w:tcW w:w="1580" w:type="dxa"/>
            <w:vMerge/>
            <w:tcBorders>
              <w:left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7125</w:t>
            </w:r>
          </w:p>
        </w:tc>
      </w:tr>
      <w:tr>
        <w:tblPrEx>
          <w:tblW w:w="8980" w:type="dxa"/>
          <w:jc w:val="center"/>
          <w:tblLayout w:type="fixed"/>
          <w:tblCellMar>
            <w:top w:w="0" w:type="dxa"/>
            <w:left w:w="108" w:type="dxa"/>
            <w:bottom w:w="0" w:type="dxa"/>
            <w:right w:w="108" w:type="dxa"/>
          </w:tblCellMar>
        </w:tblPrEx>
        <w:trPr>
          <w:trHeight w:val="383"/>
          <w:jc w:val="center"/>
        </w:trPr>
        <w:tc>
          <w:tcPr>
            <w:tcW w:w="704"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kern w:val="0"/>
                <w:sz w:val="24"/>
                <w:szCs w:val="24"/>
                <w:lang w:val="en-US" w:eastAsia="zh-CN" w:bidi="ar-SA"/>
              </w:rPr>
            </w:pPr>
            <w:r>
              <w:rPr>
                <w:rFonts w:ascii="宋体" w:eastAsia="宋体" w:hAnsi="宋体" w:cs="宋体" w:hint="eastAsia"/>
                <w:kern w:val="0"/>
                <w:sz w:val="24"/>
                <w:szCs w:val="24"/>
                <w:lang w:val="en-US" w:eastAsia="zh-CN" w:bidi="ar-SA"/>
              </w:rPr>
              <w:t>10</w:t>
            </w:r>
          </w:p>
        </w:tc>
        <w:tc>
          <w:tcPr>
            <w:tcW w:w="1166"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r>
              <w:rPr>
                <w:rFonts w:ascii="宋体" w:eastAsia="宋体" w:hAnsi="宋体" w:cs="宋体" w:hint="eastAsia"/>
                <w:color w:val="000000"/>
                <w:kern w:val="0"/>
                <w:sz w:val="24"/>
                <w:szCs w:val="24"/>
                <w:lang w:val="en-US" w:eastAsia="zh-CN" w:bidi="ar-SA"/>
              </w:rPr>
              <w:t>水手</w:t>
            </w:r>
          </w:p>
        </w:tc>
        <w:tc>
          <w:tcPr>
            <w:tcW w:w="1580" w:type="dxa"/>
            <w:vMerge/>
            <w:tcBorders>
              <w:left w:val="single" w:sz="4" w:space="0" w:color="auto"/>
              <w:bottom w:val="single" w:sz="4" w:space="0" w:color="auto"/>
              <w:right w:val="single" w:sz="4" w:space="0" w:color="auto"/>
            </w:tcBorders>
            <w:noWrap w:val="0"/>
            <w:vAlign w:val="center"/>
          </w:tcPr>
          <w:p>
            <w:pPr>
              <w:keepNext w:val="0"/>
              <w:keepLines w:val="0"/>
              <w:widowControl/>
              <w:suppressLineNumbers w:val="0"/>
              <w:snapToGrid w:val="0"/>
              <w:spacing w:before="100" w:beforeAutospacing="1" w:after="100" w:afterAutospacing="1"/>
              <w:ind w:left="0" w:right="0"/>
              <w:jc w:val="center"/>
              <w:rPr>
                <w:rFonts w:ascii="宋体" w:eastAsia="宋体" w:hAnsi="宋体" w:cs="宋体" w:hint="default"/>
                <w:kern w:val="0"/>
                <w:sz w:val="24"/>
                <w:szCs w:val="24"/>
                <w:lang w:val="en-US" w:eastAsia="zh-CN" w:bidi="ar-SA"/>
              </w:rPr>
            </w:pPr>
          </w:p>
        </w:tc>
        <w:tc>
          <w:tcPr>
            <w:tcW w:w="1928"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890"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val="0"/>
              <w:suppressLineNumbers w:val="0"/>
              <w:spacing w:before="0" w:beforeAutospacing="0" w:after="0" w:afterAutospacing="0"/>
              <w:ind w:left="0" w:right="0"/>
              <w:jc w:val="center"/>
              <w:rPr>
                <w:rFonts w:ascii="宋体" w:eastAsia="宋体" w:hAnsi="宋体" w:cs="宋体" w:hint="default"/>
                <w:color w:val="000000"/>
                <w:kern w:val="2"/>
                <w:sz w:val="24"/>
                <w:szCs w:val="24"/>
                <w:lang w:val="en-US" w:eastAsia="zh-CN" w:bidi="ar-SA"/>
              </w:rPr>
            </w:pPr>
          </w:p>
        </w:tc>
        <w:tc>
          <w:tcPr>
            <w:tcW w:w="1712" w:type="dxa"/>
            <w:tcBorders>
              <w:top w:val="single" w:sz="4" w:space="0" w:color="auto"/>
              <w:left w:val="single" w:sz="4" w:space="0" w:color="auto"/>
              <w:bottom w:val="single" w:sz="4" w:space="0" w:color="auto"/>
              <w:right w:val="single" w:sz="4"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1"/>
                <w:szCs w:val="21"/>
                <w:lang w:val="en-US" w:eastAsia="zh-CN" w:bidi="ar-SA"/>
              </w:rPr>
            </w:pPr>
            <w:r>
              <w:rPr>
                <w:rFonts w:ascii="宋体" w:eastAsia="宋体" w:hAnsi="宋体" w:cs="宋体" w:hint="eastAsia"/>
                <w:color w:val="000000"/>
                <w:kern w:val="0"/>
                <w:sz w:val="21"/>
                <w:szCs w:val="21"/>
                <w:lang w:val="en-US" w:eastAsia="zh-CN" w:bidi="ar-SA"/>
              </w:rPr>
              <w:t>7125</w:t>
            </w:r>
          </w:p>
        </w:tc>
      </w:tr>
    </w:tbl>
    <w:p>
      <w:pPr>
        <w:widowControl w:val="0"/>
        <w:jc w:val="left"/>
        <w:rPr>
          <w:rFonts w:ascii="宋体" w:eastAsia="宋体" w:hAnsi="宋体" w:cs="宋体"/>
          <w:kern w:val="2"/>
          <w:sz w:val="24"/>
          <w:szCs w:val="24"/>
          <w:lang w:val="en-US" w:eastAsia="zh-CN" w:bidi="ar-SA"/>
        </w:rPr>
      </w:pPr>
    </w:p>
    <w:p>
      <w:pPr>
        <w:widowControl w:val="0"/>
        <w:jc w:val="left"/>
        <w:rPr>
          <w:rFonts w:ascii="宋体" w:eastAsia="宋体" w:hAnsi="宋体" w:cs="宋体"/>
          <w:kern w:val="2"/>
          <w:sz w:val="24"/>
          <w:szCs w:val="24"/>
          <w:lang w:val="en-US" w:eastAsia="zh-CN" w:bidi="ar-SA"/>
        </w:rPr>
      </w:pPr>
      <w:r>
        <w:rPr>
          <w:rFonts w:ascii="宋体" w:eastAsia="宋体" w:hAnsi="宋体" w:cs="宋体" w:hint="eastAsia"/>
          <w:kern w:val="2"/>
          <w:sz w:val="24"/>
          <w:szCs w:val="24"/>
          <w:lang w:val="en-US" w:eastAsia="zh-CN" w:bidi="ar-SA"/>
        </w:rPr>
        <w:t>补充说明：</w:t>
      </w:r>
    </w:p>
    <w:p>
      <w:pPr>
        <w:pStyle w:val="ListParagraph"/>
        <w:numPr>
          <w:ilvl w:val="0"/>
          <w:numId w:val="2"/>
        </w:numPr>
        <w:ind w:firstLineChars="0"/>
        <w:rPr>
          <w:rFonts w:ascii="宋体" w:hAnsi="宋体" w:cs="宋体"/>
          <w:b/>
          <w:sz w:val="24"/>
          <w:szCs w:val="24"/>
        </w:rPr>
      </w:pPr>
      <w:r>
        <w:rPr>
          <w:rFonts w:ascii="宋体" w:hAnsi="宋体" w:cs="宋体" w:hint="eastAsia"/>
          <w:sz w:val="24"/>
          <w:szCs w:val="24"/>
        </w:rPr>
        <w:t>采购人只采购船舶管理外包服务，跟船员没有任何劳务关系。</w:t>
      </w:r>
      <w:r>
        <w:rPr>
          <w:rFonts w:ascii="宋体" w:hAnsi="宋体" w:cs="宋体" w:hint="eastAsia"/>
          <w:b/>
          <w:sz w:val="24"/>
          <w:szCs w:val="24"/>
        </w:rPr>
        <w:t>本船员工资标准仅是在船艇管理外包服务期间发生船员需求变动时，作为增减船员费用的依据，不作为中标人实际配员工资依据。</w:t>
      </w:r>
    </w:p>
    <w:p>
      <w:pPr>
        <w:pStyle w:val="ListParagraph"/>
        <w:widowControl/>
        <w:numPr>
          <w:ilvl w:val="0"/>
          <w:numId w:val="2"/>
        </w:numPr>
        <w:ind w:firstLineChars="0"/>
        <w:jc w:val="left"/>
        <w:rPr>
          <w:rFonts w:ascii="宋体" w:hAnsi="宋体" w:cs="宋体"/>
          <w:kern w:val="0"/>
          <w:sz w:val="24"/>
          <w:szCs w:val="24"/>
        </w:rPr>
      </w:pPr>
      <w:r>
        <w:rPr>
          <w:rFonts w:ascii="宋体" w:hAnsi="宋体" w:cs="宋体" w:hint="eastAsia"/>
          <w:kern w:val="0"/>
          <w:sz w:val="24"/>
          <w:szCs w:val="24"/>
        </w:rPr>
        <w:t xml:space="preserve">此合计费用为总包干费用，包括并不仅限于：船员伙食费、五险一金、体检费、换证升职考试培训费、加班费、值班误餐费用 、年休假路费、船员商业保险费、劳保服装费用、绩效奖、年终奖等所有费用。 </w:t>
      </w:r>
    </w:p>
    <w:p>
      <w:pPr>
        <w:widowControl w:val="0"/>
        <w:jc w:val="both"/>
        <w:rPr>
          <w:rFonts w:ascii="宋体" w:eastAsia="宋体" w:hAnsi="宋体" w:cs="宋体"/>
          <w:kern w:val="2"/>
          <w:sz w:val="24"/>
          <w:szCs w:val="24"/>
          <w:lang w:val="en-US" w:eastAsia="zh-CN" w:bidi="ar-SA"/>
        </w:rPr>
      </w:pPr>
    </w:p>
    <w:p>
      <w:pPr>
        <w:rPr>
          <w:rFonts w:ascii="宋体" w:hAnsi="宋体" w:cs="宋体"/>
          <w:sz w:val="24"/>
          <w:szCs w:val="24"/>
        </w:rPr>
        <w:sectPr>
          <w:pgSz w:w="11906" w:h="16838"/>
          <w:pgMar w:top="720" w:right="720" w:bottom="720" w:left="720" w:header="794" w:footer="794" w:gutter="0"/>
          <w:pgNumType w:fmt="decimal"/>
          <w:cols w:num="1" w:space="720"/>
          <w:docGrid w:linePitch="285" w:charSpace="0"/>
        </w:sectPr>
      </w:pPr>
    </w:p>
    <w:tbl>
      <w:tblPr>
        <w:tblStyle w:val="TableNormal"/>
        <w:tblW w:w="8522" w:type="dxa"/>
        <w:tblInd w:w="0" w:type="dxa"/>
        <w:tblLayout w:type="fixed"/>
        <w:tblCellMar>
          <w:top w:w="0" w:type="dxa"/>
          <w:left w:w="108" w:type="dxa"/>
          <w:bottom w:w="0" w:type="dxa"/>
          <w:right w:w="108" w:type="dxa"/>
        </w:tblCellMar>
      </w:tblPr>
      <w:tblGrid>
        <w:gridCol w:w="633"/>
        <w:gridCol w:w="29"/>
        <w:gridCol w:w="287"/>
        <w:gridCol w:w="159"/>
        <w:gridCol w:w="249"/>
        <w:gridCol w:w="480"/>
        <w:gridCol w:w="442"/>
        <w:gridCol w:w="5875"/>
        <w:gridCol w:w="159"/>
        <w:gridCol w:w="209"/>
      </w:tblGrid>
      <w:tr>
        <w:tblPrEx>
          <w:tblW w:w="8522" w:type="dxa"/>
          <w:tblInd w:w="0" w:type="dxa"/>
          <w:tblLayout w:type="fixed"/>
          <w:tblCellMar>
            <w:top w:w="0" w:type="dxa"/>
            <w:left w:w="108" w:type="dxa"/>
            <w:bottom w:w="0" w:type="dxa"/>
            <w:right w:w="108" w:type="dxa"/>
          </w:tblCellMar>
        </w:tblPrEx>
        <w:trPr>
          <w:trHeight w:val="375"/>
        </w:trPr>
        <w:tc>
          <w:tcPr>
            <w:tcW w:w="662" w:type="dxa"/>
            <w:gridSpan w:val="2"/>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xml:space="preserve">附件4 </w:t>
            </w:r>
          </w:p>
        </w:tc>
        <w:tc>
          <w:tcPr>
            <w:tcW w:w="446" w:type="dxa"/>
            <w:gridSpan w:val="2"/>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249" w:type="dxa"/>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p>
        </w:tc>
        <w:tc>
          <w:tcPr>
            <w:tcW w:w="6956" w:type="dxa"/>
            <w:gridSpan w:val="4"/>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209" w:type="dxa"/>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r>
      <w:tr>
        <w:tblPrEx>
          <w:tblW w:w="8522" w:type="dxa"/>
          <w:tblInd w:w="0" w:type="dxa"/>
          <w:tblLayout w:type="fixed"/>
          <w:tblCellMar>
            <w:top w:w="0" w:type="dxa"/>
            <w:left w:w="108" w:type="dxa"/>
            <w:bottom w:w="0" w:type="dxa"/>
            <w:right w:w="108" w:type="dxa"/>
          </w:tblCellMar>
        </w:tblPrEx>
        <w:trPr>
          <w:trHeight w:val="249"/>
        </w:trPr>
        <w:tc>
          <w:tcPr>
            <w:tcW w:w="8522" w:type="dxa"/>
            <w:gridSpan w:val="10"/>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深圳港引航站船艇管理服务项目服务质量考核评分表</w:t>
            </w:r>
          </w:p>
        </w:tc>
      </w:tr>
      <w:tr>
        <w:tblPrEx>
          <w:tblW w:w="8522" w:type="dxa"/>
          <w:tblInd w:w="0" w:type="dxa"/>
          <w:tblLayout w:type="fixed"/>
          <w:tblCellMar>
            <w:top w:w="0" w:type="dxa"/>
            <w:left w:w="108" w:type="dxa"/>
            <w:bottom w:w="0" w:type="dxa"/>
            <w:right w:w="108" w:type="dxa"/>
          </w:tblCellMar>
        </w:tblPrEx>
        <w:trPr>
          <w:trHeight w:val="375"/>
        </w:trPr>
        <w:tc>
          <w:tcPr>
            <w:tcW w:w="8154" w:type="dxa"/>
            <w:gridSpan w:val="8"/>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考核周期：（   年  月  日——   年  月  日）</w:t>
            </w:r>
          </w:p>
        </w:tc>
        <w:tc>
          <w:tcPr>
            <w:tcW w:w="368" w:type="dxa"/>
            <w:gridSpan w:val="2"/>
            <w:tcBorders>
              <w:top w:val="nil"/>
              <w:left w:val="nil"/>
              <w:bottom w:val="nil"/>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r>
      <w:tr>
        <w:tblPrEx>
          <w:tblW w:w="8522" w:type="dxa"/>
          <w:tblInd w:w="0" w:type="dxa"/>
          <w:tblLayout w:type="fixed"/>
          <w:tblCellMar>
            <w:top w:w="0" w:type="dxa"/>
            <w:left w:w="108" w:type="dxa"/>
            <w:bottom w:w="0" w:type="dxa"/>
            <w:right w:w="108" w:type="dxa"/>
          </w:tblCellMar>
        </w:tblPrEx>
        <w:trPr>
          <w:trHeight w:val="390"/>
        </w:trPr>
        <w:tc>
          <w:tcPr>
            <w:tcW w:w="1837" w:type="dxa"/>
            <w:gridSpan w:val="6"/>
            <w:tcBorders>
              <w:top w:val="nil"/>
              <w:left w:val="nil"/>
              <w:bottom w:val="single" w:sz="8" w:space="0" w:color="auto"/>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公司名称：</w:t>
            </w:r>
          </w:p>
        </w:tc>
        <w:tc>
          <w:tcPr>
            <w:tcW w:w="442" w:type="dxa"/>
            <w:tcBorders>
              <w:top w:val="nil"/>
              <w:left w:val="nil"/>
              <w:bottom w:val="single" w:sz="8" w:space="0" w:color="auto"/>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c>
          <w:tcPr>
            <w:tcW w:w="5875" w:type="dxa"/>
            <w:tcBorders>
              <w:top w:val="nil"/>
              <w:left w:val="nil"/>
              <w:bottom w:val="single" w:sz="8" w:space="0" w:color="auto"/>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xml:space="preserve"> 考核时间：</w:t>
            </w:r>
          </w:p>
        </w:tc>
        <w:tc>
          <w:tcPr>
            <w:tcW w:w="368" w:type="dxa"/>
            <w:gridSpan w:val="2"/>
            <w:tcBorders>
              <w:top w:val="nil"/>
              <w:left w:val="nil"/>
              <w:bottom w:val="single" w:sz="8" w:space="0" w:color="auto"/>
              <w:right w:val="nil"/>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765"/>
        </w:trPr>
        <w:tc>
          <w:tcPr>
            <w:tcW w:w="633" w:type="dxa"/>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类别</w:t>
            </w: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序号</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项  目</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分值</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考核标准及评分细则</w:t>
            </w:r>
          </w:p>
        </w:tc>
        <w:tc>
          <w:tcPr>
            <w:tcW w:w="368"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得分</w:t>
            </w:r>
          </w:p>
        </w:tc>
      </w:tr>
      <w:tr>
        <w:tblPrEx>
          <w:tblW w:w="8522" w:type="dxa"/>
          <w:tblInd w:w="0" w:type="dxa"/>
          <w:tblLayout w:type="fixed"/>
          <w:tblCellMar>
            <w:top w:w="0" w:type="dxa"/>
            <w:left w:w="108" w:type="dxa"/>
            <w:bottom w:w="0" w:type="dxa"/>
            <w:right w:w="108" w:type="dxa"/>
          </w:tblCellMar>
        </w:tblPrEx>
        <w:trPr>
          <w:trHeight w:val="959"/>
        </w:trPr>
        <w:tc>
          <w:tcPr>
            <w:tcW w:w="633" w:type="dxa"/>
            <w:vMerge w:val="restart"/>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服务质量目标（50分）</w:t>
            </w: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安全</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25</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发生特别重大安全事故及重大事故一例扣25分；发生大事故扣20分；发生较大安全事故扣15分；发生一般事故扣10分。发生非等级以上事故扣7分（事故等级确定依据国家相关规定）；发生重大险情</w:t>
            </w:r>
            <w:r>
              <w:rPr>
                <w:rFonts w:ascii="宋体" w:eastAsia="宋体" w:hAnsi="宋体" w:cs="宋体" w:hint="default"/>
                <w:color w:val="000000"/>
                <w:kern w:val="0"/>
                <w:sz w:val="24"/>
                <w:szCs w:val="24"/>
                <w:lang w:val="en-US" w:eastAsia="zh-CN" w:bidi="ar-SA"/>
              </w:rPr>
              <w:t>或小事故酌情扣分</w:t>
            </w:r>
            <w:r>
              <w:rPr>
                <w:rFonts w:ascii="宋体" w:eastAsia="宋体" w:hAnsi="宋体" w:cs="宋体" w:hint="eastAsia"/>
                <w:color w:val="000000"/>
                <w:kern w:val="0"/>
                <w:sz w:val="24"/>
                <w:szCs w:val="24"/>
                <w:lang w:val="en-US" w:eastAsia="zh-CN" w:bidi="ar-SA"/>
              </w:rPr>
              <w:t>。</w:t>
            </w:r>
          </w:p>
        </w:tc>
        <w:tc>
          <w:tcPr>
            <w:tcW w:w="368"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478"/>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营运率</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15</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每艘船艇因配员不足停航1天扣2分；每艘船艇因政府机关滞留一天扣2分；每艘船艇年度考核因修理停航天数超过采购书要求一天扣1分；</w:t>
            </w:r>
          </w:p>
        </w:tc>
        <w:tc>
          <w:tcPr>
            <w:tcW w:w="368"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360"/>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服务质量</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10</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所有船艇任务完成率低于99.8%的，每超过一单扣一分；客户书面投诉率（投诉次数/本季度总作业艘次）高于0.5%的，每超过一单扣1分。</w:t>
            </w:r>
          </w:p>
        </w:tc>
        <w:tc>
          <w:tcPr>
            <w:tcW w:w="368"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229"/>
        </w:trPr>
        <w:tc>
          <w:tcPr>
            <w:tcW w:w="633" w:type="dxa"/>
            <w:vMerge w:val="restart"/>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船员  管理</w:t>
            </w:r>
          </w:p>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（14分）</w:t>
            </w: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船员调整</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因船员休假、病、伤、亡等原因，应及时补充适任船员，每缺1名扣0.5分，扣完为止。</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762"/>
        </w:trPr>
        <w:tc>
          <w:tcPr>
            <w:tcW w:w="633" w:type="dxa"/>
            <w:vMerge/>
            <w:tcBorders>
              <w:top w:val="single" w:sz="4" w:space="0" w:color="auto"/>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single" w:sz="4" w:space="0" w:color="auto"/>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888" w:type="dxa"/>
            <w:gridSpan w:val="3"/>
            <w:tcBorders>
              <w:top w:val="single" w:sz="4" w:space="0" w:color="auto"/>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船员遵守规章制度情况</w:t>
            </w:r>
          </w:p>
        </w:tc>
        <w:tc>
          <w:tcPr>
            <w:tcW w:w="442" w:type="dxa"/>
            <w:tcBorders>
              <w:top w:val="single" w:sz="4" w:space="0" w:color="auto"/>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single" w:sz="4" w:space="0" w:color="auto"/>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外包船员应遵守深圳港引航站船员规章制度，每发现1项违规扣1.0分，扣完为止。</w:t>
            </w:r>
          </w:p>
        </w:tc>
        <w:tc>
          <w:tcPr>
            <w:tcW w:w="368" w:type="dxa"/>
            <w:gridSpan w:val="2"/>
            <w:tcBorders>
              <w:top w:val="single" w:sz="4" w:space="0" w:color="auto"/>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485"/>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教育培训情况</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每月安排船员进行教育培训，根据引航站反馈意见进行整改，如发现不整改或整改不及时，每发现一项扣1.0分，扣完为止。</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380"/>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4</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工资发放情况</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每月应及时、足额发放船员工资，每发现一例扣0.5分未及时发放，扣完为止。</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716"/>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5</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五险一金缴纳情况</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每月应按时、足额缴纳养老、医疗、工伤、生育、失业等社会保险，缴纳住房公积金，每发现一项未缴扣0.5分，扣完为止。</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739"/>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6</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人身意外险缴纳情况</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每位船员应购买人身意外险，每名船员的投保金额不低于人民币150万元，每发现一项扣0.5分，扣完为止。</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eastAsia"/>
                <w:color w:val="000000"/>
                <w:kern w:val="0"/>
                <w:sz w:val="24"/>
                <w:szCs w:val="24"/>
                <w:lang w:val="en-US" w:eastAsia="zh-CN" w:bidi="ar-SA"/>
              </w:rPr>
            </w:pPr>
          </w:p>
        </w:tc>
      </w:tr>
      <w:tr>
        <w:tblPrEx>
          <w:tblW w:w="8522" w:type="dxa"/>
          <w:tblInd w:w="0" w:type="dxa"/>
          <w:tblLayout w:type="fixed"/>
          <w:tblCellMar>
            <w:top w:w="0" w:type="dxa"/>
            <w:left w:w="108" w:type="dxa"/>
            <w:bottom w:w="0" w:type="dxa"/>
            <w:right w:w="108" w:type="dxa"/>
          </w:tblCellMar>
        </w:tblPrEx>
        <w:trPr>
          <w:trHeight w:val="739"/>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7</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文件管理</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培训船员航海日志、轮机日志规范填写，每发现一艘船艇不符合规范的扣1.0分，扣完为止。</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466"/>
        </w:trPr>
        <w:tc>
          <w:tcPr>
            <w:tcW w:w="633" w:type="dxa"/>
            <w:vMerge w:val="restart"/>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海务管理及安全训练管理（22分）</w:t>
            </w: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安全检查</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8</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定期进行安全检查，发现问题及时整改。在海事局或引航站进行的安全检查，不合格项每例扣1分，出现不符合扣留船艇项30，一例扣3分。</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765"/>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安全教育（训练）</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333333"/>
                <w:kern w:val="0"/>
                <w:sz w:val="24"/>
                <w:szCs w:val="24"/>
                <w:lang w:val="en-US" w:eastAsia="zh-CN" w:bidi="ar-SA"/>
              </w:rPr>
            </w:pPr>
            <w:r>
              <w:rPr>
                <w:rFonts w:ascii="宋体" w:eastAsia="宋体" w:hAnsi="宋体" w:cs="宋体" w:hint="eastAsia"/>
                <w:color w:val="333333"/>
                <w:kern w:val="0"/>
                <w:sz w:val="24"/>
                <w:szCs w:val="24"/>
                <w:lang w:val="en-US" w:eastAsia="zh-CN" w:bidi="ar-SA"/>
              </w:rPr>
              <w:t>负责安全管理信息的搜集、分析及编制、发送，并将重要安全管理信息定期编制成</w:t>
            </w:r>
            <w:r>
              <w:rPr>
                <w:rFonts w:ascii="华文仿宋" w:eastAsia="华文仿宋" w:hAnsi="华文仿宋" w:cs="华文仿宋" w:hint="eastAsia"/>
                <w:color w:val="333333"/>
                <w:kern w:val="0"/>
                <w:sz w:val="24"/>
                <w:szCs w:val="24"/>
                <w:lang w:val="en-US" w:eastAsia="zh-CN" w:bidi="ar-SA"/>
              </w:rPr>
              <w:t>《</w:t>
            </w:r>
            <w:r>
              <w:rPr>
                <w:rFonts w:ascii="宋体" w:eastAsia="宋体" w:hAnsi="宋体" w:cs="宋体" w:hint="eastAsia"/>
                <w:color w:val="333333"/>
                <w:kern w:val="0"/>
                <w:sz w:val="24"/>
                <w:szCs w:val="24"/>
                <w:lang w:val="en-US" w:eastAsia="zh-CN" w:bidi="ar-SA"/>
              </w:rPr>
              <w:t>安全通告》下发各引航船艇，对船员进行上岗仟培训，对船员进行集中安全培训每个月不少于一次。每少一例扣1.0分。</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eastAsia"/>
                <w:color w:val="000000"/>
                <w:kern w:val="0"/>
                <w:sz w:val="24"/>
                <w:szCs w:val="24"/>
                <w:lang w:val="en-US" w:eastAsia="zh-CN" w:bidi="ar-SA"/>
              </w:rPr>
            </w:pPr>
          </w:p>
        </w:tc>
      </w:tr>
      <w:tr>
        <w:tblPrEx>
          <w:tblW w:w="8522" w:type="dxa"/>
          <w:tblInd w:w="0" w:type="dxa"/>
          <w:tblLayout w:type="fixed"/>
          <w:tblCellMar>
            <w:top w:w="0" w:type="dxa"/>
            <w:left w:w="108" w:type="dxa"/>
            <w:bottom w:w="0" w:type="dxa"/>
            <w:right w:w="108" w:type="dxa"/>
          </w:tblCellMar>
        </w:tblPrEx>
        <w:trPr>
          <w:trHeight w:val="765"/>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季节性安全防范</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4</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333333"/>
                <w:kern w:val="0"/>
                <w:sz w:val="24"/>
                <w:szCs w:val="24"/>
                <w:lang w:val="en-US" w:eastAsia="zh-CN" w:bidi="ar-SA"/>
              </w:rPr>
            </w:pPr>
            <w:r>
              <w:rPr>
                <w:rFonts w:ascii="宋体" w:eastAsia="宋体" w:hAnsi="宋体" w:cs="宋体" w:hint="eastAsia"/>
                <w:color w:val="333333"/>
                <w:kern w:val="0"/>
                <w:sz w:val="24"/>
                <w:szCs w:val="24"/>
                <w:lang w:val="en-US" w:eastAsia="zh-CN" w:bidi="ar-SA"/>
              </w:rPr>
              <w:t>布置和落实船舶季节性安全防范工作、指导防台避台工作不到位，每例扣1.0分</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642"/>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航海图书管理</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333333"/>
                <w:kern w:val="0"/>
                <w:sz w:val="24"/>
                <w:szCs w:val="24"/>
                <w:lang w:val="en-US" w:eastAsia="zh-CN" w:bidi="ar-SA"/>
              </w:rPr>
            </w:pPr>
            <w:r>
              <w:rPr>
                <w:rFonts w:ascii="宋体" w:eastAsia="宋体" w:hAnsi="宋体" w:cs="宋体" w:hint="eastAsia"/>
                <w:color w:val="333333"/>
                <w:kern w:val="0"/>
                <w:sz w:val="24"/>
                <w:szCs w:val="24"/>
                <w:lang w:val="en-US" w:eastAsia="zh-CN" w:bidi="ar-SA"/>
              </w:rPr>
              <w:t>船舶航海图书、海图、航海通告等航用资料审定和供船工作、监督检查船舶使用、管理和改正工作不到位，每例扣1.0分</w:t>
            </w:r>
          </w:p>
        </w:tc>
        <w:tc>
          <w:tcPr>
            <w:tcW w:w="368" w:type="dxa"/>
            <w:gridSpan w:val="2"/>
            <w:tcBorders>
              <w:top w:val="nil"/>
              <w:left w:val="nil"/>
              <w:bottom w:val="single" w:sz="8" w:space="0" w:color="auto"/>
              <w:right w:val="single" w:sz="8" w:space="0" w:color="auto"/>
            </w:tcBorders>
            <w:noWrap w:val="0"/>
            <w:vAlign w:val="top"/>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765"/>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4</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船舶证书管理</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办理船舶相关证书、保险；逾期一例扣</w:t>
            </w:r>
            <w:r>
              <w:rPr>
                <w:rFonts w:ascii="Times New Roman" w:eastAsia="宋体" w:hAnsi="Times New Roman" w:cs="Times New Roman" w:hint="default"/>
                <w:color w:val="000000"/>
                <w:kern w:val="0"/>
                <w:sz w:val="24"/>
                <w:szCs w:val="24"/>
                <w:lang w:val="en-US" w:eastAsia="zh-CN" w:bidi="ar-SA"/>
              </w:rPr>
              <w:t>1</w:t>
            </w:r>
            <w:r>
              <w:rPr>
                <w:rFonts w:ascii="宋体" w:eastAsia="宋体" w:hAnsi="宋体" w:cs="宋体" w:hint="eastAsia"/>
                <w:color w:val="000000"/>
                <w:kern w:val="0"/>
                <w:sz w:val="24"/>
                <w:szCs w:val="24"/>
                <w:lang w:val="en-US" w:eastAsia="zh-CN" w:bidi="ar-SA"/>
              </w:rPr>
              <w:t>分</w:t>
            </w:r>
          </w:p>
        </w:tc>
        <w:tc>
          <w:tcPr>
            <w:tcW w:w="368"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451"/>
        </w:trPr>
        <w:tc>
          <w:tcPr>
            <w:tcW w:w="633" w:type="dxa"/>
            <w:vMerge/>
            <w:tcBorders>
              <w:top w:val="single" w:sz="4" w:space="0" w:color="auto"/>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single" w:sz="4" w:space="0" w:color="auto"/>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5</w:t>
            </w:r>
          </w:p>
        </w:tc>
        <w:tc>
          <w:tcPr>
            <w:tcW w:w="888" w:type="dxa"/>
            <w:gridSpan w:val="3"/>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设备管理</w:t>
            </w:r>
          </w:p>
        </w:tc>
        <w:tc>
          <w:tcPr>
            <w:tcW w:w="442" w:type="dxa"/>
            <w:tcBorders>
              <w:top w:val="single" w:sz="4" w:space="0" w:color="auto"/>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5875" w:type="dxa"/>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333333"/>
                <w:kern w:val="0"/>
                <w:sz w:val="24"/>
                <w:szCs w:val="24"/>
                <w:lang w:val="en-US" w:eastAsia="zh-CN" w:bidi="ar-SA"/>
              </w:rPr>
            </w:pPr>
            <w:r>
              <w:rPr>
                <w:rFonts w:ascii="宋体" w:eastAsia="宋体" w:hAnsi="宋体" w:cs="宋体" w:hint="eastAsia"/>
                <w:color w:val="333333"/>
                <w:kern w:val="0"/>
                <w:sz w:val="24"/>
                <w:szCs w:val="24"/>
                <w:lang w:val="en-US" w:eastAsia="zh-CN" w:bidi="ar-SA"/>
              </w:rPr>
              <w:t>监督检查船舶通导设备和救生消防设备的使用和维护工作，协助船艇制定甲板部船舶修理计划。发现一例不符合，扣0.5分。</w:t>
            </w:r>
          </w:p>
        </w:tc>
        <w:tc>
          <w:tcPr>
            <w:tcW w:w="368" w:type="dxa"/>
            <w:gridSpan w:val="2"/>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627"/>
        </w:trPr>
        <w:tc>
          <w:tcPr>
            <w:tcW w:w="633" w:type="dxa"/>
            <w:vMerge w:val="restart"/>
            <w:tcBorders>
              <w:top w:val="nil"/>
              <w:left w:val="single" w:sz="8" w:space="0" w:color="auto"/>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机务管理（14分）</w:t>
            </w: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修船计划及预算</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Times New Roman" w:eastAsia="宋体" w:hAnsi="Times New Roman" w:cs="Times New Roman" w:hint="default"/>
                <w:color w:val="000000"/>
                <w:kern w:val="0"/>
                <w:sz w:val="24"/>
                <w:szCs w:val="24"/>
                <w:lang w:val="en-US" w:eastAsia="zh-CN" w:bidi="ar-SA"/>
              </w:rPr>
              <w:t xml:space="preserve">  </w:t>
            </w:r>
            <w:r>
              <w:rPr>
                <w:rFonts w:ascii="宋体" w:eastAsia="宋体" w:hAnsi="宋体" w:cs="宋体" w:hint="eastAsia"/>
                <w:color w:val="000000"/>
                <w:kern w:val="0"/>
                <w:sz w:val="24"/>
                <w:szCs w:val="24"/>
                <w:lang w:val="en-US" w:eastAsia="zh-CN" w:bidi="ar-SA"/>
              </w:rPr>
              <w:t>制定《船舶年度修船计划》、《船舶和设备预防检修计划》和机务年度费用预算；发现一例不符合扣</w:t>
            </w:r>
            <w:r>
              <w:rPr>
                <w:rFonts w:ascii="Times New Roman" w:eastAsia="宋体" w:hAnsi="Times New Roman" w:cs="Times New Roman" w:hint="default"/>
                <w:color w:val="000000"/>
                <w:kern w:val="0"/>
                <w:sz w:val="24"/>
                <w:szCs w:val="24"/>
                <w:lang w:val="en-US" w:eastAsia="zh-CN" w:bidi="ar-SA"/>
              </w:rPr>
              <w:t>1</w:t>
            </w:r>
            <w:r>
              <w:rPr>
                <w:rFonts w:ascii="宋体" w:eastAsia="宋体" w:hAnsi="宋体" w:cs="宋体" w:hint="eastAsia"/>
                <w:color w:val="000000"/>
                <w:kern w:val="0"/>
                <w:sz w:val="24"/>
                <w:szCs w:val="24"/>
                <w:lang w:val="en-US" w:eastAsia="zh-CN" w:bidi="ar-SA"/>
              </w:rPr>
              <w:t xml:space="preserve">分 </w:t>
            </w:r>
          </w:p>
        </w:tc>
        <w:tc>
          <w:tcPr>
            <w:tcW w:w="368" w:type="dxa"/>
            <w:gridSpan w:val="2"/>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650"/>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2</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船艇年度修理</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制定船舶年度修理清单及年度修理招标采购需求，安排船舶厂修工作，掌握工程进度及质量，代表采购方审定修理单和结算单，主持船舶航次修理择厂及合同谈判，发现一例不符合扣</w:t>
            </w:r>
            <w:r>
              <w:rPr>
                <w:rFonts w:ascii="Times New Roman" w:eastAsia="宋体" w:hAnsi="Times New Roman" w:cs="Times New Roman" w:hint="default"/>
                <w:color w:val="000000"/>
                <w:kern w:val="0"/>
                <w:sz w:val="24"/>
                <w:szCs w:val="24"/>
                <w:lang w:val="en-US" w:eastAsia="zh-CN" w:bidi="ar-SA"/>
              </w:rPr>
              <w:t>1</w:t>
            </w:r>
            <w:r>
              <w:rPr>
                <w:rFonts w:ascii="宋体" w:eastAsia="宋体" w:hAnsi="宋体" w:cs="宋体" w:hint="eastAsia"/>
                <w:color w:val="000000"/>
                <w:kern w:val="0"/>
                <w:sz w:val="24"/>
                <w:szCs w:val="24"/>
                <w:lang w:val="en-US" w:eastAsia="zh-CN" w:bidi="ar-SA"/>
              </w:rPr>
              <w:t xml:space="preserve">分 </w:t>
            </w:r>
          </w:p>
        </w:tc>
        <w:tc>
          <w:tcPr>
            <w:tcW w:w="368" w:type="dxa"/>
            <w:gridSpan w:val="2"/>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480"/>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航次修船</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eastAsia"/>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6</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及时处理船艇设备缺陷报告，及时向船舶提供物料、备件及技术支持或业务指导；每发现一例导致船艇停航超过1天或扣留扣3分，其他一列扣1分。</w:t>
            </w:r>
          </w:p>
        </w:tc>
        <w:tc>
          <w:tcPr>
            <w:tcW w:w="368" w:type="dxa"/>
            <w:gridSpan w:val="2"/>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504"/>
        </w:trPr>
        <w:tc>
          <w:tcPr>
            <w:tcW w:w="633" w:type="dxa"/>
            <w:vMerge/>
            <w:tcBorders>
              <w:top w:val="nil"/>
              <w:left w:val="single" w:sz="8" w:space="0" w:color="auto"/>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p>
        </w:tc>
        <w:tc>
          <w:tcPr>
            <w:tcW w:w="316" w:type="dxa"/>
            <w:gridSpan w:val="2"/>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4</w:t>
            </w:r>
          </w:p>
        </w:tc>
        <w:tc>
          <w:tcPr>
            <w:tcW w:w="888" w:type="dxa"/>
            <w:gridSpan w:val="3"/>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物料管理</w:t>
            </w:r>
          </w:p>
        </w:tc>
        <w:tc>
          <w:tcPr>
            <w:tcW w:w="442" w:type="dxa"/>
            <w:tcBorders>
              <w:top w:val="nil"/>
              <w:left w:val="nil"/>
              <w:bottom w:val="single" w:sz="8" w:space="0" w:color="auto"/>
              <w:right w:val="single" w:sz="8" w:space="0" w:color="auto"/>
            </w:tcBorders>
            <w:noWrap w:val="0"/>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3</w:t>
            </w:r>
          </w:p>
        </w:tc>
        <w:tc>
          <w:tcPr>
            <w:tcW w:w="5875" w:type="dxa"/>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负责审查船舶备件、物料、油料的申请计划并报采购方审批，并组织供应，制订、完善关于船舶备件、物料、油料的采购办法；按需要安排集中处理船舶油污水；每一例扣</w:t>
            </w:r>
            <w:r>
              <w:rPr>
                <w:rFonts w:ascii="Times New Roman" w:eastAsia="宋体" w:hAnsi="Times New Roman" w:cs="Times New Roman" w:hint="default"/>
                <w:color w:val="000000"/>
                <w:kern w:val="0"/>
                <w:sz w:val="24"/>
                <w:szCs w:val="24"/>
                <w:lang w:val="en-US" w:eastAsia="zh-CN" w:bidi="ar-SA"/>
              </w:rPr>
              <w:t>1</w:t>
            </w:r>
            <w:r>
              <w:rPr>
                <w:rFonts w:ascii="宋体" w:eastAsia="宋体" w:hAnsi="宋体" w:cs="宋体" w:hint="eastAsia"/>
                <w:color w:val="000000"/>
                <w:kern w:val="0"/>
                <w:sz w:val="24"/>
                <w:szCs w:val="24"/>
                <w:lang w:val="en-US" w:eastAsia="zh-CN" w:bidi="ar-SA"/>
              </w:rPr>
              <w:t xml:space="preserve">分 </w:t>
            </w:r>
          </w:p>
        </w:tc>
        <w:tc>
          <w:tcPr>
            <w:tcW w:w="368" w:type="dxa"/>
            <w:gridSpan w:val="2"/>
            <w:tcBorders>
              <w:top w:val="nil"/>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r>
        <w:tblPrEx>
          <w:tblW w:w="8522" w:type="dxa"/>
          <w:tblInd w:w="0" w:type="dxa"/>
          <w:tblLayout w:type="fixed"/>
          <w:tblCellMar>
            <w:top w:w="0" w:type="dxa"/>
            <w:left w:w="108" w:type="dxa"/>
            <w:bottom w:w="0" w:type="dxa"/>
            <w:right w:w="108" w:type="dxa"/>
          </w:tblCellMar>
        </w:tblPrEx>
        <w:trPr>
          <w:trHeight w:val="910"/>
        </w:trPr>
        <w:tc>
          <w:tcPr>
            <w:tcW w:w="949" w:type="dxa"/>
            <w:gridSpan w:val="3"/>
            <w:tcBorders>
              <w:top w:val="single" w:sz="8" w:space="0" w:color="auto"/>
              <w:left w:val="single" w:sz="8" w:space="0" w:color="auto"/>
              <w:bottom w:val="single" w:sz="8" w:space="0" w:color="auto"/>
              <w:right w:val="single" w:sz="8" w:space="0" w:color="000000"/>
            </w:tcBorders>
            <w:noWrap/>
            <w:vAlign w:val="center"/>
          </w:tcPr>
          <w:p>
            <w:pPr>
              <w:keepNext w:val="0"/>
              <w:keepLines w:val="0"/>
              <w:widowControl/>
              <w:suppressLineNumbers w:val="0"/>
              <w:spacing w:before="0" w:beforeAutospacing="0" w:after="0" w:afterAutospacing="0"/>
              <w:ind w:left="0" w:right="0"/>
              <w:jc w:val="both"/>
              <w:rPr>
                <w:rFonts w:ascii="宋体" w:eastAsia="宋体" w:hAnsi="宋体" w:cs="宋体" w:hint="default"/>
                <w:color w:val="000000"/>
                <w:kern w:val="0"/>
                <w:sz w:val="32"/>
                <w:szCs w:val="32"/>
                <w:lang w:val="en-US" w:eastAsia="zh-CN" w:bidi="ar-SA"/>
              </w:rPr>
            </w:pPr>
            <w:r>
              <w:rPr>
                <w:rFonts w:ascii="宋体" w:eastAsia="宋体" w:hAnsi="宋体" w:cs="宋体" w:hint="eastAsia"/>
                <w:color w:val="000000"/>
                <w:kern w:val="0"/>
                <w:sz w:val="32"/>
                <w:szCs w:val="32"/>
                <w:lang w:val="en-US" w:eastAsia="zh-CN" w:bidi="ar-SA"/>
              </w:rPr>
              <w:t>合计：</w:t>
            </w:r>
          </w:p>
        </w:tc>
        <w:tc>
          <w:tcPr>
            <w:tcW w:w="888" w:type="dxa"/>
            <w:gridSpan w:val="3"/>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c>
          <w:tcPr>
            <w:tcW w:w="442" w:type="dxa"/>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center"/>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100</w:t>
            </w:r>
          </w:p>
        </w:tc>
        <w:tc>
          <w:tcPr>
            <w:tcW w:w="5875" w:type="dxa"/>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c>
          <w:tcPr>
            <w:tcW w:w="368" w:type="dxa"/>
            <w:gridSpan w:val="2"/>
            <w:tcBorders>
              <w:top w:val="single" w:sz="4" w:space="0" w:color="auto"/>
              <w:left w:val="nil"/>
              <w:bottom w:val="single" w:sz="8" w:space="0" w:color="auto"/>
              <w:right w:val="single" w:sz="8" w:space="0" w:color="auto"/>
            </w:tcBorders>
            <w:noWrap/>
            <w:vAlign w:val="center"/>
          </w:tcPr>
          <w:p>
            <w:pPr>
              <w:keepNext w:val="0"/>
              <w:keepLines w:val="0"/>
              <w:widowControl/>
              <w:suppressLineNumbers w:val="0"/>
              <w:spacing w:before="0" w:beforeAutospacing="0" w:after="0" w:afterAutospacing="0"/>
              <w:ind w:left="0" w:right="0"/>
              <w:jc w:val="left"/>
              <w:rPr>
                <w:rFonts w:ascii="宋体" w:eastAsia="宋体" w:hAnsi="宋体" w:cs="宋体" w:hint="default"/>
                <w:color w:val="000000"/>
                <w:kern w:val="0"/>
                <w:sz w:val="24"/>
                <w:szCs w:val="24"/>
                <w:lang w:val="en-US" w:eastAsia="zh-CN" w:bidi="ar-SA"/>
              </w:rPr>
            </w:pPr>
            <w:r>
              <w:rPr>
                <w:rFonts w:ascii="宋体" w:eastAsia="宋体" w:hAnsi="宋体" w:cs="宋体" w:hint="eastAsia"/>
                <w:color w:val="000000"/>
                <w:kern w:val="0"/>
                <w:sz w:val="24"/>
                <w:szCs w:val="24"/>
                <w:lang w:val="en-US" w:eastAsia="zh-CN" w:bidi="ar-SA"/>
              </w:rPr>
              <w:t>　</w:t>
            </w:r>
          </w:p>
        </w:tc>
      </w:tr>
    </w:tbl>
    <w:p>
      <w:pPr>
        <w:widowControl w:val="0"/>
        <w:tabs>
          <w:tab w:val="left" w:pos="12100"/>
        </w:tabs>
        <w:jc w:val="both"/>
        <w:rPr>
          <w:rFonts w:ascii="Calibri" w:eastAsia="宋体" w:hAnsi="Calibri" w:cs="Times New Roman" w:hint="eastAsia"/>
          <w:kern w:val="2"/>
          <w:sz w:val="28"/>
          <w:szCs w:val="28"/>
          <w:lang w:val="en-US" w:eastAsia="zh-CN" w:bidi="ar-SA"/>
        </w:rPr>
      </w:pP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p>
    <w:p>
      <w:pPr>
        <w:pStyle w:val="Heading3"/>
        <w:jc w:val="center"/>
        <w:rPr>
          <w:rFonts w:asciiTheme="minorEastAsia" w:eastAsiaTheme="minorEastAsia" w:hAnsiTheme="minorEastAsia"/>
          <w:szCs w:val="21"/>
        </w:rPr>
      </w:pPr>
      <w:r>
        <w:rPr>
          <w:rFonts w:asciiTheme="minorEastAsia" w:eastAsiaTheme="minorEastAsia" w:hAnsiTheme="minorEastAsia" w:hint="eastAsia"/>
          <w:szCs w:val="21"/>
        </w:rPr>
        <w:t>五</w:t>
      </w:r>
      <w:r>
        <w:rPr>
          <w:rFonts w:asciiTheme="minorEastAsia" w:eastAsiaTheme="minorEastAsia" w:hAnsiTheme="minorEastAsia"/>
          <w:szCs w:val="21"/>
        </w:rPr>
        <w:t>、</w:t>
      </w:r>
      <w:r>
        <w:rPr>
          <w:rFonts w:asciiTheme="minorEastAsia" w:eastAsiaTheme="minorEastAsia" w:hAnsiTheme="minorEastAsia" w:hint="eastAsia"/>
          <w:szCs w:val="21"/>
        </w:rPr>
        <w:t>项目商务要求</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r>
        <w:rPr>
          <w:rFonts w:ascii="宋体" w:eastAsia="宋体" w:hAnsi="宋体" w:cs="宋体" w:hint="eastAsia"/>
          <w:b/>
          <w:color w:val="FF0000"/>
          <w:sz w:val="24"/>
          <w:szCs w:val="24"/>
          <w:lang w:val="en-US" w:eastAsia="zh-CN"/>
        </w:rPr>
        <w:t>（一）项目服务地点及期限</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1.服务地点：深圳及珠三角地区。</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2.服务期：</w:t>
      </w:r>
      <w:r>
        <w:rPr>
          <w:rFonts w:ascii="宋体" w:hAnsi="宋体" w:hint="default"/>
          <w:bCs/>
          <w:lang w:eastAsia="zh-CN"/>
        </w:rPr>
        <w:t>12</w:t>
      </w:r>
      <w:r>
        <w:rPr>
          <w:rFonts w:ascii="宋体" w:hAnsi="宋体" w:hint="eastAsia"/>
          <w:bCs/>
          <w:lang w:val="en-US" w:eastAsia="zh-CN"/>
        </w:rPr>
        <w:t>个月，具体履约起止时间以合同约定时间为准。</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bookmarkStart w:id="41" w:name="_Toc260314563"/>
      <w:bookmarkStart w:id="42" w:name="_Toc222480775"/>
      <w:r>
        <w:rPr>
          <w:rFonts w:ascii="宋体" w:eastAsia="宋体" w:hAnsi="宋体" w:cs="宋体" w:hint="eastAsia"/>
          <w:b/>
          <w:color w:val="FF0000"/>
          <w:sz w:val="24"/>
          <w:szCs w:val="24"/>
          <w:lang w:val="en-US" w:eastAsia="zh-CN"/>
        </w:rPr>
        <w:t>（二）投标报价要求</w:t>
      </w:r>
      <w:bookmarkEnd w:id="41"/>
      <w:bookmarkEnd w:id="42"/>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本项目投标报价采用包干制，应包括成本、法定税费和相应的利润。应涵盖本项目采购范围和采购文件所列的各项内容中所述的全部。由投标人根据采购需求自行测算投标报价，一经中标投标报价即作为中标单位与采购方签订的合同金额。</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2.投标人的报价中应至少包含船舶管理费用、船员费用、桂山岛引航基地相关费用、税费等项目。</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除非采购代理机构通过修改采购文件予以更正，否则，投标人应毫无例外地按采购文件内容填报综合单价或总价。投标人未填综合单价或总价的项目，在实施后将不得以支付，并视作该项费用已包括在其它有价款的综合单价或总价内。</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投标人应根据本企业的成本自行决定报价，但不得以低于其企业成本的报价投标；评标时，评标委员会认为投标人的报价明显低于其他通过符合性审查投标人的报价，有可能影响服务质量或者不能诚信履约的，应当要求其在评标现场合理的时间内提供书面说明，必要时提交相关证明材料；投标人不能证明其报价合理性的，评标委员会应当将其作为无效投标处理。若评审委员会成员对是否须由投标人作出报价合理性说明，以及书面说明是否采纳等判断不一致的，按照“少数服从多数”的原则确定评审委员会的意见。</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5.投标人在投标报价时，应充分考虑投标报价的风险，充分了解项目的位置及任何足以影响投标报价的情况，任何因忽视或误解项目情况而导致的索赔或服务期限延长申请将不获批准。</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r>
        <w:rPr>
          <w:rFonts w:ascii="宋体" w:eastAsia="宋体" w:hAnsi="宋体" w:cs="宋体" w:hint="eastAsia"/>
          <w:b/>
          <w:color w:val="FF0000"/>
          <w:sz w:val="24"/>
          <w:szCs w:val="24"/>
          <w:lang w:val="en-US" w:eastAsia="zh-CN"/>
        </w:rPr>
        <w:t>（三）项目付款要求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（一）费用包含范围：</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1.税费；</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海务管理、机务管理、船舶安全管理、船员人事管理等与船舶管理和船员管理相关的，除了船舶调度以外的所有管理成本，统称为船艇管理费，包含办理船艇相关证书工本费以外的其它费用等，船艇管理费用占中标价的8%-10%，根据每季度末船艇管理质量考核确定管理费标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船员费用：船员费用实行总包干制，包含但不限于工资、薪补贴、交通费、伙食、加班费、保险等人员相关的全部费用。船员若发生病、伤、残、亡等情形，均由中标方负责处理并承担相关费用；若船员（或船员家属）起诉采购方，中标方应赔偿所有采购方为此承担的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eastAsia="zh-CN"/>
        </w:rPr>
        <w:t>4</w:t>
      </w:r>
      <w:r>
        <w:rPr>
          <w:rFonts w:ascii="宋体" w:hAnsi="宋体" w:hint="eastAsia"/>
          <w:bCs/>
          <w:lang w:val="en-US" w:eastAsia="zh-CN"/>
        </w:rPr>
        <w:t>.珠海桂山岛引航基地码头租赁及船员在桂山岛引航基地的食宿及交通费用，其中住宿房间不少于5间，租用时需提前与采购方确认；</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eastAsia="zh-CN"/>
        </w:rPr>
        <w:t>5</w:t>
      </w:r>
      <w:r>
        <w:rPr>
          <w:rFonts w:ascii="宋体" w:hAnsi="宋体" w:hint="eastAsia"/>
          <w:bCs/>
          <w:lang w:val="en-US" w:eastAsia="zh-CN"/>
        </w:rPr>
        <w:t>.由于中标方员工或船员的违法或渎职行为导致采购方的损失，包括但不限于造成他人人身、财产安全受到侵害以及船舶导致的环境污染，中标方要承担采购方全部损失；</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6.除本项目合同其它条款有明确规定由采购方承担的费用以外，采购人不承担任何其他费用。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（二）费用不包含范围：</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1.船舶调度费用；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2.船舶维修费用；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3.船舶保险费用；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4.船舶营运燃油、润滑油、淡水费用；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5.船舶通讯费用；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6.船舶靠泊盐田及蛇口基地或防台期间水电费、码头管理费、基地维修建设等费用；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7.船舶检验、海事管理等直接费用；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8.船艇生活污水、油污水、垃圾处理费用；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不在上述范围中的费用，中标方在开支之前必须先征求采购人书面同意。</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（三）费用支付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1.合同生效，中标方正常履约后，采购方于15个工作日内向中标方支付合同总费用的30%作为预付款。中标方需提供等额的合规发票给采购方作为付款依据。</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剩余费用按月支付，其中2025年1-11月，每月支付合同总费用的5.8%，2025年12月支付合同总费用的6.2%，其中3月末、6月末、9月末、12上旬根据《深圳港引航站船艇管理服务项目服务质量考核评分表》（见附件4）对中标方的船艇管理服务质量进行考核，根据考核结果应扣除的费用在4月、7月、10月、12月的服务费中扣除，即4月/7月</w:t>
      </w:r>
      <w:r>
        <w:rPr>
          <w:rFonts w:ascii="宋体" w:hAnsi="宋体" w:hint="eastAsia"/>
          <w:bCs/>
          <w:lang w:eastAsia="zh-CN"/>
        </w:rPr>
        <w:t>/</w:t>
      </w:r>
      <w:r>
        <w:rPr>
          <w:rFonts w:ascii="宋体" w:hAnsi="宋体" w:hint="eastAsia"/>
          <w:bCs/>
          <w:lang w:val="en-US" w:eastAsia="zh-CN"/>
        </w:rPr>
        <w:t>10月的实际支付服务费=合同总费用的5.8%-按3月</w:t>
      </w:r>
      <w:r>
        <w:rPr>
          <w:rFonts w:ascii="宋体" w:hAnsi="宋体" w:hint="eastAsia"/>
          <w:bCs/>
          <w:lang w:eastAsia="zh-CN"/>
        </w:rPr>
        <w:t>/</w:t>
      </w:r>
      <w:r>
        <w:rPr>
          <w:rFonts w:ascii="宋体" w:hAnsi="宋体" w:hint="eastAsia"/>
          <w:bCs/>
          <w:lang w:val="en-US" w:eastAsia="zh-CN"/>
        </w:rPr>
        <w:t>6月</w:t>
      </w:r>
      <w:r>
        <w:rPr>
          <w:rFonts w:ascii="宋体" w:hAnsi="宋体" w:hint="eastAsia"/>
          <w:bCs/>
          <w:lang w:eastAsia="zh-CN"/>
        </w:rPr>
        <w:t>/</w:t>
      </w:r>
      <w:r>
        <w:rPr>
          <w:rFonts w:ascii="宋体" w:hAnsi="宋体" w:hint="eastAsia"/>
          <w:bCs/>
          <w:lang w:val="en-US" w:eastAsia="zh-CN"/>
        </w:rPr>
        <w:t>9月考核结果应扣除的费用；12月的实际支付服务费=合同总费用的6.2%-按12月考核结果应扣除的费用。</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eastAsia="zh-CN"/>
        </w:rPr>
        <w:t>3.</w:t>
      </w:r>
      <w:r>
        <w:rPr>
          <w:rFonts w:ascii="宋体" w:hAnsi="宋体" w:hint="eastAsia"/>
          <w:bCs/>
          <w:lang w:val="en-US" w:eastAsia="zh-CN"/>
        </w:rPr>
        <w:t>中标方每月10日前将当月实际支付费用清单及等额合规发票提交采购方，采购方于法定期限内完成审核并支付当月费用。因采购方使用的是财政资金，采购方完成支付审核并进入财务支付程序即视为完成支付。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4.如当月船员配员人数不足41人，当月管理服务费用按人员比例相应扣减。</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5.如发生因中标方或中标方雇佣人员的失误造成引航船艇安全事故，采购人有权暂停支付当月的管理费，待安全事故处理结果再行决定如何支付该月管理费。</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val="en-US" w:eastAsia="zh-CN"/>
        </w:rPr>
      </w:pPr>
      <w:bookmarkStart w:id="43" w:name="_Toc222480774"/>
      <w:bookmarkStart w:id="44" w:name="_Toc260314562"/>
      <w:r>
        <w:rPr>
          <w:rFonts w:ascii="宋体" w:eastAsia="宋体" w:hAnsi="宋体" w:cs="宋体" w:hint="eastAsia"/>
          <w:b/>
          <w:color w:val="FF0000"/>
          <w:sz w:val="24"/>
          <w:szCs w:val="24"/>
          <w:lang w:val="en-US" w:eastAsia="zh-CN"/>
        </w:rPr>
        <w:t>（四）售后服务要求</w:t>
      </w:r>
      <w:bookmarkEnd w:id="43"/>
      <w:bookmarkEnd w:id="44"/>
    </w:p>
    <w:p>
      <w:pPr>
        <w:keepNext w:val="0"/>
        <w:keepLines w:val="0"/>
        <w:pageBreakBefore w:val="0"/>
        <w:widowControl/>
        <w:tabs>
          <w:tab w:val="left" w:pos="720"/>
        </w:tabs>
        <w:kinsoku/>
        <w:wordWrap/>
        <w:overflowPunct/>
        <w:topLinePunct w:val="0"/>
        <w:autoSpaceDE/>
        <w:autoSpaceDN/>
        <w:bidi w:val="0"/>
        <w:adjustRightInd/>
        <w:snapToGrid/>
        <w:spacing w:line="240" w:lineRule="auto"/>
        <w:ind w:left="480" w:firstLine="0" w:leftChars="200" w:firstLineChars="0"/>
        <w:jc w:val="both"/>
        <w:textAlignment w:val="auto"/>
        <w:rPr>
          <w:rFonts w:ascii="宋体" w:hAnsi="宋体" w:hint="eastAsia"/>
          <w:bCs/>
          <w:lang w:val="en-US" w:eastAsia="zh-CN"/>
        </w:rPr>
      </w:pPr>
      <w:r>
        <w:rPr>
          <w:rFonts w:ascii="宋体" w:hAnsi="宋体" w:hint="eastAsia"/>
          <w:bCs/>
          <w:lang w:val="en-US" w:eastAsia="zh-CN"/>
        </w:rPr>
        <w:t>1.售后服务内容：</w:t>
      </w:r>
      <w:r>
        <w:rPr>
          <w:rFonts w:ascii="宋体" w:hAnsi="宋体" w:hint="eastAsia"/>
          <w:bCs/>
          <w:lang w:val="en-US" w:eastAsia="zh-CN"/>
        </w:rPr>
        <w:br/>
      </w:r>
      <w:r>
        <w:rPr>
          <w:rFonts w:ascii="宋体" w:hAnsi="宋体" w:hint="eastAsia"/>
          <w:bCs/>
          <w:lang w:val="en-US" w:eastAsia="zh-CN"/>
        </w:rPr>
        <w:t>（1）提供详细的服务承诺书；</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（2）提供与下一个引航船艇管理合同服务期衔接的服务支持。</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2.售后服务要求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（1）在投标文件中应提供详细的服务承诺书，并安排专人负责与采购人联络对接，提供其联系手机、电话、传真、Email，如人员需要调整应及时通知采购人。</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2）在投标文件中应提供详细的售后服务承诺书，内容至少包括承诺处理好与下一个引航船艇管理合同的衔接事宜，包括在引航船艇的安全、机务、海务、人事等方面与下一个管理合同的中标方建立良好的沟通和协调程序；安排专人负责售后技术支持。</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3.售后服务期限：3个月。</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eastAsia="zh-CN"/>
        </w:rPr>
      </w:pPr>
      <w:r>
        <w:rPr>
          <w:rFonts w:ascii="宋体" w:eastAsia="宋体" w:hAnsi="宋体" w:cs="宋体" w:hint="eastAsia"/>
          <w:b/>
          <w:color w:val="FF0000"/>
          <w:sz w:val="24"/>
          <w:szCs w:val="24"/>
          <w:lang w:eastAsia="zh-CN"/>
        </w:rPr>
        <w:t>（</w:t>
      </w:r>
      <w:r>
        <w:rPr>
          <w:rFonts w:ascii="宋体" w:eastAsia="宋体" w:hAnsi="宋体" w:cs="宋体" w:hint="eastAsia"/>
          <w:b/>
          <w:color w:val="FF0000"/>
          <w:sz w:val="24"/>
          <w:szCs w:val="24"/>
          <w:lang w:val="en-US" w:eastAsia="zh-CN"/>
        </w:rPr>
        <w:t>五</w:t>
      </w:r>
      <w:r>
        <w:rPr>
          <w:rFonts w:ascii="宋体" w:eastAsia="宋体" w:hAnsi="宋体" w:cs="宋体" w:hint="eastAsia"/>
          <w:b/>
          <w:color w:val="FF0000"/>
          <w:sz w:val="24"/>
          <w:szCs w:val="24"/>
          <w:lang w:eastAsia="zh-CN"/>
        </w:rPr>
        <w:t>）违约责任</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1.中标方出现以下情形的（包括但不限于），视为违约，需承担对采购方造成的损失，并承担中标价格15%的违约金：</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（1）未按项目采购要求给各船艇配备符合资质要求的船员；</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default"/>
          <w:bCs/>
          <w:lang w:val="en-US" w:eastAsia="zh-CN"/>
        </w:rPr>
      </w:pPr>
      <w:r>
        <w:rPr>
          <w:rFonts w:ascii="宋体" w:hAnsi="宋体" w:hint="eastAsia"/>
          <w:bCs/>
          <w:lang w:val="en-US" w:eastAsia="zh-CN"/>
        </w:rPr>
        <w:t>（2）未按项目采购要求的人数配备船员，当缺少的船员人数少于2人（含2人）时，要求整改，如到下一月份还未整改，视为违约；当缺少的船员人数超过2人时，视为违约。因采购方需求调整而减少船员，或执行上级新规定而减少船员，不视为违约。</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（3）未经采购方允许，私自将船舶用于其他用途；</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（4）中标方必须承诺船员费用全部用于船员，保证船员工作的积极性，中标方如违反该项承诺，视为违约。</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中标方违反项目合同约定，给采购方造成的损失超过违约金的，还应承担补足责任。</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2.</w:t>
      </w:r>
      <w:r>
        <w:rPr>
          <w:rFonts w:ascii="宋体" w:hAnsi="宋体" w:hint="eastAsia"/>
          <w:bCs/>
          <w:lang w:eastAsia="zh-CN"/>
        </w:rPr>
        <w:t>中标方擅自更换项目服务人员或不按采购方要求更换项目服务人员的，采购方有权要求中标方承担</w:t>
      </w:r>
      <w:r>
        <w:rPr>
          <w:rFonts w:ascii="宋体" w:hAnsi="宋体" w:hint="eastAsia"/>
          <w:bCs/>
          <w:lang w:val="en-US" w:eastAsia="zh-CN"/>
        </w:rPr>
        <w:t>1</w:t>
      </w:r>
      <w:r>
        <w:rPr>
          <w:rFonts w:ascii="宋体" w:hAnsi="宋体" w:hint="eastAsia"/>
          <w:bCs/>
          <w:lang w:eastAsia="zh-CN"/>
        </w:rPr>
        <w:t>万元/人次的违约金。发生</w:t>
      </w:r>
      <w:r>
        <w:rPr>
          <w:rFonts w:ascii="宋体" w:hAnsi="宋体" w:hint="eastAsia"/>
          <w:bCs/>
          <w:lang w:val="en-US" w:eastAsia="zh-CN"/>
        </w:rPr>
        <w:t>3</w:t>
      </w:r>
      <w:r>
        <w:rPr>
          <w:rFonts w:ascii="宋体" w:hAnsi="宋体" w:hint="eastAsia"/>
          <w:bCs/>
          <w:lang w:eastAsia="zh-CN"/>
        </w:rPr>
        <w:t>次以上（含本数）时，采购方有权要求中标方支付相当于合同总价款20%的违约金，并有权解除合同。</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3.</w:t>
      </w:r>
      <w:r>
        <w:rPr>
          <w:rFonts w:ascii="宋体" w:hAnsi="宋体" w:hint="eastAsia"/>
          <w:bCs/>
          <w:lang w:eastAsia="zh-CN"/>
        </w:rPr>
        <w:t>中标方未按照合同约定提供咨询、现场服务及售后服务的，每发生一起，应当向采购方支付合同最高总价</w:t>
      </w:r>
      <w:r>
        <w:rPr>
          <w:rFonts w:ascii="宋体" w:hAnsi="宋体" w:hint="eastAsia"/>
          <w:bCs/>
          <w:lang w:val="en-US" w:eastAsia="zh-CN"/>
        </w:rPr>
        <w:t>5</w:t>
      </w:r>
      <w:r>
        <w:rPr>
          <w:rFonts w:ascii="宋体" w:hAnsi="宋体" w:hint="eastAsia"/>
          <w:bCs/>
          <w:lang w:eastAsia="zh-CN"/>
        </w:rPr>
        <w:t>%的违约金，且采购方有权寻求第三方提供服务，因此发生的费用由中标方予以承担。</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4.</w:t>
      </w:r>
      <w:r>
        <w:rPr>
          <w:rFonts w:ascii="宋体" w:hAnsi="宋体" w:hint="eastAsia"/>
          <w:bCs/>
          <w:lang w:eastAsia="zh-CN"/>
        </w:rPr>
        <w:t>中标方未经采购方书面同意，将采购方所委托完成的任何工作转包或分包给任何第三人的，采购方有权解除合同，中标方应向采购方支付相当于合同最高总价20%的违约金。</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val="en-US" w:eastAsia="zh-CN"/>
        </w:rPr>
        <w:t>5</w:t>
      </w:r>
      <w:r>
        <w:rPr>
          <w:rFonts w:ascii="宋体" w:hAnsi="宋体" w:hint="eastAsia"/>
          <w:bCs/>
          <w:lang w:eastAsia="zh-CN"/>
        </w:rPr>
        <w:t>.没有发生法律或者合同约定的合同解除事项，中标方解除合同的，除返还采购方全部已支付费用外，还应支付采购方合同最高总价20%的违约金。本条款不视为赋予中标方单方解除本合同的权利。因政策变化、规划调整、机构改革、履职要求、产权变更、形势变更以及公共利益需要等原因，采购方不需要中标方继续提供服务的，经采购方提前10天通知中标方，采购方有权解除本合同，这不视为采购方违约。采购方应按照中标方实际完成的合格工作量支付服务价款，此外采购方无需向中标方承担任何赔偿、补偿责任。</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6.除合同对违约责任另有约定外，中标方有任何违反合同约定的行为的，采购方有权要求中标方改正和补救，并按照合同最高总价5%每次的标准计扣违约金。中标方拒不改正、未改正至采购方满意或累计3次（含本数）出现违约行为的，采购方有权解除合同，中标方应向采购方支付相当于合同最高总价20%的违约金。</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7.中标方违反本合同，给采购方造成的损失超过违约金的，还应承担补足责任。</w:t>
      </w:r>
    </w:p>
    <w:p>
      <w:pPr>
        <w:keepNext w:val="0"/>
        <w:keepLines w:val="0"/>
        <w:pageBreakBefore w:val="0"/>
        <w:widowControl/>
        <w:kinsoku/>
        <w:wordWrap/>
        <w:overflowPunct/>
        <w:topLinePunct w:val="0"/>
        <w:autoSpaceDE/>
        <w:autoSpaceDN/>
        <w:bidi w:val="0"/>
        <w:adjustRightInd/>
        <w:snapToGrid/>
        <w:outlineLvl w:val="3"/>
        <w:rPr>
          <w:rFonts w:ascii="宋体" w:eastAsia="宋体" w:hAnsi="宋体" w:cs="宋体" w:hint="eastAsia"/>
          <w:b/>
          <w:color w:val="FF0000"/>
          <w:sz w:val="24"/>
          <w:szCs w:val="24"/>
          <w:lang w:eastAsia="zh-CN"/>
        </w:rPr>
      </w:pPr>
      <w:r>
        <w:rPr>
          <w:rFonts w:ascii="宋体" w:eastAsia="宋体" w:hAnsi="宋体" w:cs="宋体" w:hint="eastAsia"/>
          <w:b/>
          <w:color w:val="FF0000"/>
          <w:sz w:val="24"/>
          <w:szCs w:val="24"/>
          <w:lang w:eastAsia="zh-CN"/>
        </w:rPr>
        <w:t>（</w:t>
      </w:r>
      <w:r>
        <w:rPr>
          <w:rFonts w:ascii="宋体" w:eastAsia="宋体" w:hAnsi="宋体" w:cs="宋体" w:hint="eastAsia"/>
          <w:b/>
          <w:color w:val="FF0000"/>
          <w:sz w:val="24"/>
          <w:szCs w:val="24"/>
          <w:lang w:val="en-US" w:eastAsia="zh-CN"/>
        </w:rPr>
        <w:t>六</w:t>
      </w:r>
      <w:r>
        <w:rPr>
          <w:rFonts w:ascii="宋体" w:eastAsia="宋体" w:hAnsi="宋体" w:cs="宋体" w:hint="eastAsia"/>
          <w:b/>
          <w:color w:val="FF0000"/>
          <w:sz w:val="24"/>
          <w:szCs w:val="24"/>
          <w:lang w:eastAsia="zh-CN"/>
        </w:rPr>
        <w:t>）项目其他要求</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1.投标人应确保投标文件信息真实、有效。</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2.本项目实施所需相关资料及评价标准等均需由投标人自行收集，投标人使用的标准必须是国际公认或国家、地方政府颁布的同等或更高的标准。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3.当合同执行过程中，由于采购方减少船艇，或按照相关方面要求需要增加或减少船舶配员，所增加或减少的船员费用按照《深圳港引航站船员工资参考标准》（附件3）中船员岗位报价×中标价/招标价计，如增加配员，总费用不能超过中标金额。</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4.因中标方工作疏忽或失职以及违规直接给采购方造成了损失，经查证属实，由此造成的损失中标方负责赔偿。</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r>
        <w:rPr>
          <w:rFonts w:ascii="宋体" w:hAnsi="宋体" w:hint="eastAsia"/>
          <w:bCs/>
          <w:lang w:val="en-US" w:eastAsia="zh-CN"/>
        </w:rPr>
        <w:t>5.中标方不得以任何名义分包本项目工作中的主体工作内容。</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val="en-US" w:eastAsia="zh-CN"/>
        </w:rPr>
      </w:pPr>
    </w:p>
    <w:p/>
    <w:p>
      <w:pPr>
        <w:pStyle w:val="Heading3"/>
        <w:jc w:val="center"/>
        <w:rPr>
          <w:rFonts w:asciiTheme="minorEastAsia" w:eastAsiaTheme="minorEastAsia" w:hAnsiTheme="minorEastAsia"/>
          <w:szCs w:val="21"/>
        </w:rPr>
      </w:pPr>
      <w:r>
        <w:rPr>
          <w:rFonts w:asciiTheme="minorEastAsia" w:eastAsiaTheme="minorEastAsia" w:hAnsiTheme="minorEastAsia" w:hint="eastAsia"/>
          <w:szCs w:val="21"/>
        </w:rPr>
        <w:t>六、其他重要条款</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bookmarkStart w:id="45" w:name="_Hlk72257111"/>
      <w:r>
        <w:rPr>
          <w:rFonts w:ascii="宋体" w:hAnsi="宋体" w:hint="eastAsia"/>
          <w:bCs/>
          <w:lang w:eastAsia="zh-CN"/>
        </w:rPr>
        <w:t>1、本项目投标报价采用包干制，应包括成本、法定税费和相应的利润，应涵盖本项目招标范围和招标文件所列的各项内容中所述的全部。由投标人根据招标需求自行测算投标报价；一经中标，投标报价即作为中标单位与采购人签订的合同金额。</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2、投标人应充分了解项目的位置、情况、道路及任何其它足以影响投标报价的情况，任何因忽视或误解项目情况而导致的索赔或服务期限延长申请将不获批准。</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3、投标人不得期望通过索赔等方式获取补偿，否则，除可能遭到拒绝外，还可能将被作为不良行为记录在案，并可能影响其以后参加政府采购的项目投标。各投标人在投标报价时，应充分考虑投标报价的风险。</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4、鼓励采购人积极运用公共信用信息，明确对信用记录良好的供应商（特别是中小微企业）免收履约保证金，确需收取履约保证金的，列明通过保函等非现金方式收取。在采购合同中明确对上述企业加大首付款或预付款比例，具体由采购人根据项目实际情况确定。</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5、除政府采购合同继续履行将损害国家利益和社会公共利益外，双方当事人不得擅自变更、中止或者终止合同。</w:t>
      </w:r>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r>
        <w:rPr>
          <w:rFonts w:ascii="宋体" w:hAnsi="宋体" w:hint="eastAsia"/>
          <w:bCs/>
          <w:lang w:eastAsia="zh-CN"/>
        </w:rPr>
        <w:t>6、“信用中国”、“中国政府采购网”、“深圳信用网”以及“深圳市政府采购监管网”为供应商信用信息的查询渠道，相关信息以开标当日的查询结果为准。</w:t>
      </w:r>
      <w:bookmarkEnd w:id="45"/>
    </w:p>
    <w:p>
      <w:pPr>
        <w:keepNext w:val="0"/>
        <w:keepLines w:val="0"/>
        <w:pageBreakBefore w:val="0"/>
        <w:widowControl/>
        <w:tabs>
          <w:tab w:val="left" w:pos="720"/>
        </w:tabs>
        <w:kinsoku/>
        <w:wordWrap/>
        <w:overflowPunct/>
        <w:topLinePunct w:val="0"/>
        <w:autoSpaceDE/>
        <w:autoSpaceDN/>
        <w:bidi w:val="0"/>
        <w:adjustRightInd/>
        <w:snapToGrid/>
        <w:spacing w:line="240" w:lineRule="auto"/>
        <w:ind w:firstLine="480" w:firstLineChars="200"/>
        <w:jc w:val="both"/>
        <w:textAlignment w:val="auto"/>
        <w:rPr>
          <w:rFonts w:ascii="宋体" w:hAnsi="宋体" w:hint="eastAsia"/>
          <w:bCs/>
          <w:lang w:eastAsia="zh-CN"/>
        </w:rPr>
      </w:pPr>
      <w:bookmarkEnd w:id="35"/>
      <w:r>
        <w:rPr>
          <w:rFonts w:ascii="宋体" w:hAnsi="宋体" w:hint="eastAsia"/>
          <w:bCs/>
          <w:lang w:eastAsia="zh-CN"/>
        </w:rPr>
        <w:br w:type="page"/>
      </w:r>
    </w:p>
    <w:p>
      <w:pPr>
        <w:pStyle w:val="Heading2"/>
        <w:rPr>
          <w:color w:val="000000" w:themeColor="text1"/>
          <w:kern w:val="2"/>
          <w14:textFill>
            <w14:solidFill>
              <w14:schemeClr w14:val="tx1"/>
            </w14:solidFill>
          </w14:textFill>
        </w:rPr>
      </w:pPr>
      <w:r>
        <w:rPr>
          <w:rFonts w:hint="eastAsia"/>
          <w:color w:val="000000" w:themeColor="text1"/>
          <w:kern w:val="2"/>
          <w14:textFill>
            <w14:solidFill>
              <w14:schemeClr w14:val="tx1"/>
            </w14:solidFill>
          </w14:textFill>
        </w:rPr>
        <w:t>第四章 投标文件组成要求及格式</w:t>
      </w:r>
    </w:p>
    <w:p>
      <w:pPr>
        <w:spacing w:line="360" w:lineRule="auto"/>
        <w:rPr>
          <w:rStyle w:val="3Char"/>
          <w:rFonts w:ascii="宋体" w:eastAsia="宋体" w:hAnsi="宋体" w:cs="宋体"/>
          <w:b/>
          <w:bCs w:val="0"/>
          <w:color w:val="000000" w:themeColor="text1"/>
          <w:sz w:val="24"/>
          <w14:textFill>
            <w14:solidFill>
              <w14:schemeClr w14:val="tx1"/>
            </w14:solidFill>
          </w14:textFill>
        </w:rPr>
      </w:pPr>
      <w:r>
        <w:rPr>
          <w:rStyle w:val="3Char"/>
          <w:rFonts w:ascii="宋体" w:eastAsia="宋体" w:hAnsi="宋体" w:cs="宋体" w:hint="eastAsia"/>
          <w:b/>
          <w:bCs w:val="0"/>
          <w:color w:val="000000" w:themeColor="text1"/>
          <w:sz w:val="24"/>
          <w14:textFill>
            <w14:solidFill>
              <w14:schemeClr w14:val="tx1"/>
            </w14:solidFill>
          </w14:textFill>
        </w:rPr>
        <w:t>特别提醒：</w:t>
      </w:r>
    </w:p>
    <w:p>
      <w:pPr>
        <w:spacing w:line="360" w:lineRule="auto"/>
        <w:ind w:firstLine="480" w:firstLineChars="200"/>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投标文件正文将对外公开，投标文件附件不公开。投标人在编辑投标文件时，在投标文件目录中属于本节点内容的必须在本节点中填写，填写到其他节点或附件的将可能导致投标无效，一切后果由供应商自行承担。</w:t>
      </w:r>
    </w:p>
    <w:p>
      <w:pPr>
        <w:spacing w:line="360" w:lineRule="auto"/>
        <w:ind w:firstLine="480" w:firstLineChars="200"/>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投标文件正文（信息公开部分）必须编制于“投标书目录”部分，投标文件附件（非信息公开部分）必须编制于“投标书附件”部分，如下图所示。</w:t>
      </w:r>
    </w:p>
    <w:p>
      <w:pPr>
        <w:rPr>
          <w:rFonts w:ascii="宋体" w:hAnsi="宋体" w:cs="宋体"/>
          <w:color w:val="000000" w:themeColor="text1"/>
          <w14:textFill>
            <w14:solidFill>
              <w14:schemeClr w14:val="tx1"/>
            </w14:solidFill>
          </w14:textFill>
        </w:rPr>
      </w:pPr>
      <w:r>
        <w:rPr>
          <w:rFonts w:ascii="仿宋_GB2312" w:eastAsia="仿宋_GB2312"/>
          <w:color w:val="000000" w:themeColor="text1"/>
          <w14:textFill>
            <w14:solidFill>
              <w14:schemeClr w14:val="tx1"/>
            </w14:solidFill>
          </w14:textFill>
        </w:rPr>
        <w:drawing>
          <wp:inline distT="0" distB="0" distL="0" distR="0">
            <wp:extent cx="5278755" cy="4126230"/>
            <wp:effectExtent l="0" t="0" r="0" b="0"/>
            <wp:docPr id="6" name="图片 6"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形用户界面, 应用程序&#10;&#10;描述已自动生成"/>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4126230"/>
                    </a:xfrm>
                    <a:prstGeom prst="rect">
                      <a:avLst/>
                    </a:prstGeom>
                    <a:noFill/>
                    <a:ln>
                      <a:noFill/>
                    </a:ln>
                  </pic:spPr>
                </pic:pic>
              </a:graphicData>
            </a:graphic>
          </wp:inline>
        </w:drawing>
      </w:r>
    </w:p>
    <w:p>
      <w:pPr>
        <w:rPr>
          <w:rFonts w:ascii="仿宋_GB2312" w:eastAsia="仿宋_GB2312"/>
          <w:color w:val="000000" w:themeColor="text1"/>
          <w14:textFill>
            <w14:solidFill>
              <w14:schemeClr w14:val="tx1"/>
            </w14:solidFill>
          </w14:textFill>
        </w:rPr>
      </w:pPr>
    </w:p>
    <w:p>
      <w:pPr>
        <w:pStyle w:val="NormalIndent"/>
        <w:rPr>
          <w:rFonts w:eastAsia="仿宋_GB2312"/>
        </w:rPr>
      </w:pPr>
    </w:p>
    <w:p>
      <w:pPr>
        <w:rPr>
          <w:rFonts w:eastAsia="仿宋_GB2312"/>
        </w:rPr>
      </w:pPr>
    </w:p>
    <w:p>
      <w:pPr>
        <w:pStyle w:val="NormalIndent"/>
        <w:rPr>
          <w:rFonts w:eastAsia="仿宋_GB2312"/>
        </w:rPr>
      </w:pPr>
    </w:p>
    <w:p>
      <w:pPr>
        <w:rPr>
          <w:rFonts w:eastAsia="仿宋_GB2312"/>
        </w:rPr>
      </w:pPr>
    </w:p>
    <w:p>
      <w:pPr>
        <w:pStyle w:val="NormalIndent"/>
        <w:rPr>
          <w:rFonts w:eastAsia="仿宋_GB2312"/>
        </w:rPr>
      </w:pPr>
    </w:p>
    <w:p>
      <w:pPr>
        <w:rPr>
          <w:rFonts w:eastAsia="仿宋_GB2312"/>
        </w:rPr>
      </w:pPr>
    </w:p>
    <w:p>
      <w:pPr>
        <w:pStyle w:val="NormalIndent"/>
        <w:rPr>
          <w:rFonts w:eastAsia="仿宋_GB2312"/>
        </w:rPr>
      </w:pPr>
    </w:p>
    <w:p>
      <w:pPr>
        <w:rPr>
          <w:rFonts w:eastAsia="仿宋_GB2312"/>
        </w:rPr>
      </w:pPr>
    </w:p>
    <w:p>
      <w:pPr>
        <w:pStyle w:val="NormalIndent"/>
        <w:rPr>
          <w:rFonts w:eastAsia="仿宋_GB2312"/>
        </w:rPr>
      </w:pPr>
    </w:p>
    <w:p>
      <w:pPr>
        <w:rPr>
          <w:rFonts w:eastAsia="仿宋_GB2312"/>
        </w:rPr>
      </w:pPr>
    </w:p>
    <w:p>
      <w:pPr>
        <w:pStyle w:val="NormalIndent"/>
        <w:rPr>
          <w:rFonts w:eastAsia="仿宋_GB2312"/>
        </w:rPr>
      </w:pPr>
    </w:p>
    <w:p>
      <w:pPr>
        <w:rPr>
          <w:rFonts w:eastAsia="仿宋_GB2312"/>
        </w:rPr>
      </w:pPr>
    </w:p>
    <w:p>
      <w:pPr>
        <w:pStyle w:val="NormalIndent"/>
        <w:ind w:firstLine="0"/>
        <w:rPr>
          <w:rFonts w:eastAsia="仿宋_GB2312"/>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both"/>
        <w:textAlignment w:val="auto"/>
        <w:rPr>
          <w:rFonts w:ascii="仿宋_GB2312" w:eastAsia="仿宋_GB2312"/>
          <w:color w:val="000000" w:themeColor="text1"/>
          <w14:textFill>
            <w14:solidFill>
              <w14:schemeClr w14:val="tx1"/>
            </w14:solidFill>
          </w14:textFill>
        </w:rPr>
      </w:pPr>
      <w:bookmarkStart w:id="46" w:name="_Hlk72257167"/>
      <w:r>
        <w:rPr>
          <w:rFonts w:ascii="宋体" w:hAnsi="宋体" w:cs="宋体" w:hint="eastAsia"/>
          <w:color w:val="000000" w:themeColor="text1"/>
          <w14:textFill>
            <w14:solidFill>
              <w14:schemeClr w14:val="tx1"/>
            </w14:solidFill>
          </w14:textFill>
        </w:rPr>
        <w:t>招标机构公布投标文件正文（信息公开部分）时为计算机截取信息自动公布，</w:t>
      </w:r>
      <w:r>
        <w:rPr>
          <w:rFonts w:ascii="宋体" w:hAnsi="宋体" w:cs="宋体" w:hint="eastAsia"/>
          <w:b/>
          <w:bCs/>
          <w:color w:val="000000" w:themeColor="text1"/>
          <w14:textFill>
            <w14:solidFill>
              <w14:schemeClr w14:val="tx1"/>
            </w14:solidFill>
          </w14:textFill>
        </w:rPr>
        <w:t>如投标人误将涉及个人隐私的信息放入投标文件正文，相关后果由投标人自负；</w:t>
      </w:r>
      <w:r>
        <w:rPr>
          <w:rFonts w:ascii="宋体" w:hAnsi="宋体" w:cs="宋体" w:hint="eastAsia"/>
          <w:color w:val="000000" w:themeColor="text1"/>
          <w14:textFill>
            <w14:solidFill>
              <w14:schemeClr w14:val="tx1"/>
            </w14:solidFill>
          </w14:textFill>
        </w:rPr>
        <w:t>如投标人将必须放于投标文件正文（信息公开部分）的内容放入投标文件附件（非信息公开部分），将作投标无效处理。</w:t>
      </w:r>
      <w:bookmarkEnd w:id="46"/>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投标文件组成：</w:t>
      </w:r>
    </w:p>
    <w:p>
      <w:pPr>
        <w:ind w:firstLine="480" w:firstLineChars="200"/>
        <w:rPr>
          <w:rFonts w:ascii="宋体" w:hAnsi="宋体" w:cs="宋体"/>
          <w:b/>
          <w:bCs/>
          <w:color w:val="000000" w:themeColor="text1"/>
          <w14:textFill>
            <w14:solidFill>
              <w14:schemeClr w14:val="tx1"/>
            </w14:solidFill>
          </w14:textFill>
        </w:rPr>
      </w:pPr>
      <w:r>
        <w:rPr>
          <w:rFonts w:ascii="宋体" w:hAnsi="宋体" w:cs="宋体" w:hint="eastAsia"/>
          <w:b/>
          <w:bCs/>
          <w:color w:val="000000" w:themeColor="text1"/>
          <w14:textFill>
            <w14:solidFill>
              <w14:schemeClr w14:val="tx1"/>
            </w14:solidFill>
          </w14:textFill>
        </w:rPr>
        <w:t>1.投标文件正文（信息公开部分），主要包括以下内容：</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（1）投标函</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（2）政府采购投标及履约承诺函</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（3）投标人情况及资格证明文件</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（4）项目详细报价</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（5）项目完成（服务期满）后的服务承诺（格式自定）</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（6）违约承诺（格式自定）</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（7）供应商资质、认证情况</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（8）供应商同类业绩情况</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（9）项目拟使用的场地、工具、机器等情况</w:t>
      </w:r>
    </w:p>
    <w:p>
      <w:pPr>
        <w:ind w:firstLine="480" w:firstLineChars="20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（10）具备船艇维修保障技术力量情况</w:t>
      </w:r>
    </w:p>
    <w:p>
      <w:pPr>
        <w:ind w:firstLine="480" w:firstLineChars="200"/>
        <w:rPr>
          <w:rFonts w:ascii="宋体" w:hAnsi="宋体" w:cs="宋体"/>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w:t>
      </w:r>
      <w:r>
        <w:rPr>
          <w:rFonts w:ascii="宋体" w:eastAsia="宋体" w:hAnsi="宋体" w:cs="宋体" w:hint="eastAsia"/>
          <w:color w:val="000000" w:themeColor="text1"/>
          <w:lang w:val="en-US" w:eastAsia="zh-CN"/>
          <w14:textFill>
            <w14:solidFill>
              <w14:schemeClr w14:val="tx1"/>
            </w14:solidFill>
          </w14:textFill>
        </w:rPr>
        <w:t>1</w:t>
      </w:r>
      <w:r>
        <w:rPr>
          <w:rFonts w:ascii="宋体" w:hAnsi="宋体" w:cs="宋体" w:hint="eastAsia"/>
          <w:color w:val="000000" w:themeColor="text1"/>
          <w14:textFill>
            <w14:solidFill>
              <w14:schemeClr w14:val="tx1"/>
            </w14:solidFill>
          </w14:textFill>
        </w:rPr>
        <w:t>）投标人认为需要加以说明的其他内容（格式自定）</w:t>
      </w:r>
    </w:p>
    <w:p>
      <w:pPr>
        <w:ind w:firstLine="480" w:firstLineChars="200"/>
        <w:rPr>
          <w:rFonts w:ascii="宋体" w:hAnsi="宋体" w:cs="宋体"/>
          <w:b/>
          <w:bCs/>
          <w:color w:val="000000" w:themeColor="text1"/>
          <w14:textFill>
            <w14:solidFill>
              <w14:schemeClr w14:val="tx1"/>
            </w14:solidFill>
          </w14:textFill>
        </w:rPr>
      </w:pPr>
      <w:r>
        <w:rPr>
          <w:rFonts w:ascii="宋体" w:hAnsi="宋体" w:cs="宋体" w:hint="eastAsia"/>
          <w:b/>
          <w:bCs/>
          <w:color w:val="000000" w:themeColor="text1"/>
          <w14:textFill>
            <w14:solidFill>
              <w14:schemeClr w14:val="tx1"/>
            </w14:solidFill>
          </w14:textFill>
        </w:rPr>
        <w:t>2.投标文件附件（信息不公开部分）：主要包括以下内容：</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（1）法定代表人（负责人或执行事务合伙人）资格证明书</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（2）投标文件签署授权委托书</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（3）供应商法定代表人等缴纳社会保险情况一览表</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（4）实质性条款响应情况表</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（5）商务、</w:t>
      </w:r>
      <w:r>
        <w:rPr>
          <w:rFonts w:ascii="宋体" w:eastAsia="宋体" w:hAnsi="宋体" w:cs="宋体" w:hint="eastAsia"/>
          <w:color w:val="000000" w:themeColor="text1"/>
          <w:lang w:val="en-US" w:eastAsia="zh-CN"/>
          <w14:textFill>
            <w14:solidFill>
              <w14:schemeClr w14:val="tx1"/>
            </w14:solidFill>
          </w14:textFill>
        </w:rPr>
        <w:t>服务</w:t>
      </w:r>
      <w:r>
        <w:rPr>
          <w:rFonts w:ascii="宋体" w:hAnsi="宋体" w:cs="宋体" w:hint="eastAsia"/>
          <w:color w:val="000000" w:themeColor="text1"/>
          <w14:textFill>
            <w14:solidFill>
              <w14:schemeClr w14:val="tx1"/>
            </w14:solidFill>
          </w14:textFill>
        </w:rPr>
        <w:t>条款偏离表</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（6）拟安排的项目负责人情况（仅限一人）</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（7）拟安排的项目主要团队成员（主要技术人员）情况（项目负责人除外）</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（8）实施方案（格式自定）</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（9）项目重点难点分析、应对措施及相关的合理化建议（格式自定）</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（10）质量保障措施及方案（格式自定）</w:t>
      </w:r>
    </w:p>
    <w:p>
      <w:pPr>
        <w:ind w:left="480" w:firstLine="0" w:leftChars="200" w:firstLineChars="0"/>
        <w:rPr>
          <w:rFonts w:ascii="宋体" w:hAnsi="宋体" w:cs="宋体" w:hint="eastAsia"/>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（11）承诺函</w:t>
      </w:r>
    </w:p>
    <w:p>
      <w:pPr>
        <w:ind w:left="480" w:firstLine="0" w:leftChars="200" w:firstLineChars="0"/>
        <w:rPr>
          <w:rFonts w:ascii="宋体" w:hAnsi="宋体" w:cs="宋体"/>
          <w:color w:val="000000" w:themeColor="text1"/>
          <w14:textFill>
            <w14:solidFill>
              <w14:schemeClr w14:val="tx1"/>
            </w14:solidFill>
          </w14:textFill>
        </w:rPr>
      </w:pPr>
      <w:r>
        <w:rPr>
          <w:rFonts w:ascii="宋体" w:hAnsi="宋体" w:cs="宋体" w:hint="eastAsia"/>
          <w:color w:val="000000" w:themeColor="text1"/>
          <w14:textFill>
            <w14:solidFill>
              <w14:schemeClr w14:val="tx1"/>
            </w14:solidFill>
          </w14:textFill>
        </w:rPr>
        <w:t>（1</w:t>
      </w:r>
      <w:r>
        <w:rPr>
          <w:rFonts w:ascii="宋体" w:eastAsia="宋体" w:hAnsi="宋体" w:cs="宋体" w:hint="eastAsia"/>
          <w:color w:val="000000" w:themeColor="text1"/>
          <w:lang w:val="en-US" w:eastAsia="zh-CN"/>
          <w14:textFill>
            <w14:solidFill>
              <w14:schemeClr w14:val="tx1"/>
            </w14:solidFill>
          </w14:textFill>
        </w:rPr>
        <w:t>2</w:t>
      </w:r>
      <w:r>
        <w:rPr>
          <w:rFonts w:ascii="宋体" w:hAnsi="宋体" w:cs="宋体" w:hint="eastAsia"/>
          <w:color w:val="000000" w:themeColor="text1"/>
          <w14:textFill>
            <w14:solidFill>
              <w14:schemeClr w14:val="tx1"/>
            </w14:solidFill>
          </w14:textFill>
        </w:rPr>
        <w:t>）投标人认为需要加以说明的其他内容（格式自定）</w:t>
      </w:r>
    </w:p>
    <w:p>
      <w:pPr>
        <w:ind w:firstLine="485" w:firstLineChars="202"/>
        <w:rPr>
          <w:rFonts w:ascii="宋体" w:hAnsi="宋体"/>
          <w:b/>
          <w:color w:val="000000" w:themeColor="text1"/>
          <w:szCs w:val="21"/>
          <w14:textFill>
            <w14:solidFill>
              <w14:schemeClr w14:val="tx1"/>
            </w14:solidFill>
          </w14:textFill>
        </w:rPr>
      </w:pPr>
      <w:r>
        <w:rPr>
          <w:rFonts w:ascii="宋体" w:hAnsi="宋体" w:hint="eastAsia"/>
          <w:b/>
          <w:color w:val="000000" w:themeColor="text1"/>
          <w:szCs w:val="21"/>
          <w14:textFill>
            <w14:solidFill>
              <w14:schemeClr w14:val="tx1"/>
            </w14:solidFill>
          </w14:textFill>
        </w:rPr>
        <w:t>备注：</w:t>
      </w:r>
    </w:p>
    <w:p>
      <w:pPr>
        <w:ind w:firstLine="485" w:firstLineChars="202"/>
        <w:rPr>
          <w:rFonts w:ascii="宋体" w:hAnsi="宋体"/>
          <w:b/>
          <w:color w:val="000000" w:themeColor="text1"/>
          <w:szCs w:val="21"/>
          <w14:textFill>
            <w14:solidFill>
              <w14:schemeClr w14:val="tx1"/>
            </w14:solidFill>
          </w14:textFill>
        </w:rPr>
      </w:pPr>
      <w:r>
        <w:rPr>
          <w:rFonts w:ascii="宋体" w:hAnsi="宋体" w:hint="eastAsia"/>
          <w:b/>
          <w:color w:val="000000" w:themeColor="text1"/>
          <w:szCs w:val="21"/>
          <w14:textFill>
            <w14:solidFill>
              <w14:schemeClr w14:val="tx1"/>
            </w14:solidFill>
          </w14:textFill>
        </w:rPr>
        <w:t>1.本项目为网上电子投标项目，投标文件不需法人或授权委托人另行签字，无需加盖单位公章，招标文件专用条款另有规定的除外。</w:t>
      </w:r>
    </w:p>
    <w:p>
      <w:pPr>
        <w:ind w:firstLine="485" w:firstLineChars="202"/>
        <w:rPr>
          <w:rFonts w:ascii="宋体" w:hAnsi="宋体"/>
          <w:b/>
          <w:color w:val="000000" w:themeColor="text1"/>
          <w:szCs w:val="21"/>
          <w14:textFill>
            <w14:solidFill>
              <w14:schemeClr w14:val="tx1"/>
            </w14:solidFill>
          </w14:textFill>
        </w:rPr>
      </w:pPr>
      <w:r>
        <w:rPr>
          <w:rFonts w:ascii="宋体" w:hAnsi="宋体" w:hint="eastAsia"/>
          <w:b/>
          <w:color w:val="000000" w:themeColor="text1"/>
          <w:szCs w:val="21"/>
          <w14:textFill>
            <w14:solidFill>
              <w14:schemeClr w14:val="tx1"/>
            </w14:solidFill>
          </w14:textFill>
        </w:rPr>
        <w:t>2.关于填写“开标一览表”的说明：“开标一览表”中除“投标报价”外，其他信息不作评审依据。</w:t>
      </w:r>
    </w:p>
    <w:p/>
    <w:p>
      <w:pPr>
        <w:pStyle w:val="NormalIndent"/>
      </w:pPr>
    </w:p>
    <w:p/>
    <w:p>
      <w:pPr>
        <w:pStyle w:val="NormalIndent"/>
      </w:pPr>
    </w:p>
    <w:p/>
    <w:p>
      <w:pPr>
        <w:pStyle w:val="NormalIndent"/>
      </w:pPr>
      <w:r>
        <w:br w:type="page"/>
      </w:r>
    </w:p>
    <w:p>
      <w:pPr>
        <w:outlineLvl w:val="1"/>
        <w:rPr>
          <w:rFonts w:ascii="宋体" w:hAnsi="宋体"/>
          <w:b/>
          <w:color w:val="FF0000"/>
          <w:sz w:val="28"/>
          <w:szCs w:val="28"/>
        </w:rPr>
      </w:pPr>
      <w:r>
        <w:rPr>
          <w:rFonts w:ascii="宋体" w:hAnsi="宋体" w:hint="eastAsia"/>
          <w:b/>
          <w:color w:val="FF0000"/>
          <w:sz w:val="28"/>
          <w:szCs w:val="28"/>
        </w:rPr>
        <w:t>投标文件正文（信息公开部分）</w:t>
      </w:r>
    </w:p>
    <w:p>
      <w:pPr>
        <w:pStyle w:val="Heading3"/>
        <w:jc w:val="center"/>
        <w:rPr>
          <w:rFonts w:ascii="黑体" w:eastAsia="黑体"/>
          <w:b w:val="0"/>
          <w:color w:val="000000" w:themeColor="text1"/>
          <w:sz w:val="24"/>
          <w14:textFill>
            <w14:solidFill>
              <w14:schemeClr w14:val="tx1"/>
            </w14:solidFill>
          </w14:textFill>
        </w:rPr>
      </w:pPr>
      <w:r>
        <w:rPr>
          <w:rFonts w:ascii="黑体" w:eastAsia="黑体" w:hint="eastAsia"/>
          <w:b w:val="0"/>
          <w:color w:val="000000" w:themeColor="text1"/>
          <w:sz w:val="24"/>
          <w14:textFill>
            <w14:solidFill>
              <w14:schemeClr w14:val="tx1"/>
            </w14:solidFill>
          </w14:textFill>
        </w:rPr>
        <w:t>一、投标函</w:t>
      </w:r>
    </w:p>
    <w:p>
      <w:pPr>
        <w:spacing w:line="360" w:lineRule="auto"/>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致：</w:t>
      </w:r>
      <w:r>
        <w:rPr>
          <w:rFonts w:ascii="宋体" w:eastAsia="宋体" w:hAnsi="宋体" w:hint="eastAsia"/>
          <w:color w:val="000000" w:themeColor="text1"/>
          <w:u w:val="single"/>
          <w14:textFill>
            <w14:solidFill>
              <w14:schemeClr w14:val="tx1"/>
            </w14:solidFill>
          </w14:textFill>
        </w:rPr>
        <w:t xml:space="preserve">友和保险经纪有限公司 </w:t>
      </w:r>
    </w:p>
    <w:p>
      <w:pPr>
        <w:ind w:firstLine="480" w:firstLineChars="200"/>
        <w:rPr>
          <w:rFonts w:ascii="宋体" w:eastAsia="宋体" w:hAnsi="宋体"/>
          <w:color w:val="000000" w:themeColor="text1"/>
          <w14:textFill>
            <w14:solidFill>
              <w14:schemeClr w14:val="tx1"/>
            </w14:solidFill>
          </w14:textFill>
        </w:rPr>
      </w:pPr>
      <w:bookmarkStart w:id="47" w:name="_Hlk73818812"/>
      <w:r>
        <w:rPr>
          <w:rFonts w:ascii="宋体" w:eastAsia="宋体" w:hAnsi="宋体" w:hint="eastAsia"/>
          <w:color w:val="000000" w:themeColor="text1"/>
          <w14:textFill>
            <w14:solidFill>
              <w14:schemeClr w14:val="tx1"/>
            </w14:solidFill>
          </w14:textFill>
        </w:rPr>
        <w:t>1、根据已收到贵单位的项目编号为</w:t>
      </w:r>
      <w:r>
        <w:rPr>
          <w:rFonts w:ascii="宋体" w:eastAsia="宋体" w:hAnsi="宋体"/>
          <w:color w:val="000000" w:themeColor="text1"/>
          <w:u w:val="single"/>
          <w14:textFill>
            <w14:solidFill>
              <w14:schemeClr w14:val="tx1"/>
            </w14:solidFill>
          </w14:textFill>
        </w:rPr>
        <w:t xml:space="preserve"> </w:t>
      </w:r>
      <w:r>
        <w:rPr>
          <w:rFonts w:ascii="宋体" w:eastAsia="宋体" w:hAnsi="宋体" w:hint="eastAsia"/>
          <w:color w:val="000000" w:themeColor="text1"/>
          <w:u w:val="single"/>
          <w14:textFill>
            <w14:solidFill>
              <w14:schemeClr w14:val="tx1"/>
            </w14:solidFill>
          </w14:textFill>
        </w:rPr>
        <w:t xml:space="preserve">SZDL2024002287 </w:t>
      </w:r>
      <w:r>
        <w:rPr>
          <w:rFonts w:ascii="宋体" w:eastAsia="宋体" w:hAnsi="宋体" w:hint="eastAsia"/>
          <w:color w:val="000000" w:themeColor="text1"/>
          <w14:textFill>
            <w14:solidFill>
              <w14:schemeClr w14:val="tx1"/>
            </w14:solidFill>
          </w14:textFill>
        </w:rPr>
        <w:t>的</w:t>
      </w:r>
      <w:r>
        <w:rPr>
          <w:rFonts w:ascii="宋体" w:eastAsia="宋体" w:hAnsi="宋体" w:hint="eastAsia"/>
          <w:color w:val="000000" w:themeColor="text1"/>
          <w:u w:val="single"/>
          <w14:textFill>
            <w14:solidFill>
              <w14:schemeClr w14:val="tx1"/>
            </w14:solidFill>
          </w14:textFill>
        </w:rPr>
        <w:t xml:space="preserve">2025年引航船艇管理服务 </w:t>
      </w:r>
      <w:r>
        <w:rPr>
          <w:rFonts w:ascii="宋体" w:eastAsia="宋体" w:hAnsi="宋体" w:hint="eastAsia"/>
          <w:color w:val="000000" w:themeColor="text1"/>
          <w14:textFill>
            <w14:solidFill>
              <w14:schemeClr w14:val="tx1"/>
            </w14:solidFill>
          </w14:textFill>
        </w:rPr>
        <w:t>项目的招标文件，遵照《深圳经济特区政府采购条例》和《深圳网上政府采购管理暂行办法》等有关规定，我单位经研究上述招标文件的专用条款及通用条款后，</w:t>
      </w:r>
      <w:bookmarkStart w:id="48" w:name="_Hlk72263588"/>
      <w:r>
        <w:rPr>
          <w:rFonts w:ascii="宋体" w:eastAsia="宋体" w:hAnsi="宋体" w:hint="eastAsia"/>
          <w:color w:val="000000" w:themeColor="text1"/>
          <w14:textFill>
            <w14:solidFill>
              <w14:schemeClr w14:val="tx1"/>
            </w14:solidFill>
          </w14:textFill>
        </w:rPr>
        <w:t>愿意按照招标文件要求承包上述项目并修补其任何缺陷。</w:t>
      </w:r>
      <w:bookmarkEnd w:id="48"/>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color w:val="000000" w:themeColor="text1"/>
          <w14:textFill>
            <w14:solidFill>
              <w14:schemeClr w14:val="tx1"/>
            </w14:solidFill>
          </w14:textFill>
        </w:rPr>
        <w:t>2</w:t>
      </w:r>
      <w:r>
        <w:rPr>
          <w:rFonts w:ascii="宋体" w:eastAsia="宋体" w:hAnsi="宋体" w:hint="eastAsia"/>
          <w:color w:val="000000" w:themeColor="text1"/>
          <w14:textFill>
            <w14:solidFill>
              <w14:schemeClr w14:val="tx1"/>
            </w14:solidFill>
          </w14:textFill>
        </w:rPr>
        <w:t>、投标价格见投标书编制软件中《开标一览表》中填写的投标总价。</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3、如果我单位中标，我单位将按照招标文件的要求足额提交履约担保。</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4、我单位同意所递交的投标文件在“对通用条款的补充内容”中明确的投标有效期内有效，在此期间内我单位的投标有可能中标，我方将受此约束。</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5、除非另外达成协议并生效，贵单位的中标通知书和本投标文件将构成合同的重要内容。</w:t>
      </w:r>
    </w:p>
    <w:p>
      <w:pPr>
        <w:ind w:left="600" w:hanging="120" w:leftChars="200" w:hangingChars="50"/>
        <w:rPr>
          <w:rFonts w:ascii="宋体" w:eastAsia="宋体" w:hAnsi="宋体"/>
          <w:color w:val="000000" w:themeColor="text1"/>
          <w:u w:val="single"/>
          <w14:textFill>
            <w14:solidFill>
              <w14:schemeClr w14:val="tx1"/>
            </w14:solidFill>
          </w14:textFill>
        </w:rPr>
      </w:pPr>
      <w:r>
        <w:rPr>
          <w:rFonts w:ascii="宋体" w:eastAsia="宋体" w:hAnsi="宋体" w:hint="eastAsia"/>
          <w:color w:val="000000" w:themeColor="text1"/>
          <w14:textFill>
            <w14:solidFill>
              <w14:schemeClr w14:val="tx1"/>
            </w14:solidFill>
          </w14:textFill>
        </w:rPr>
        <w:t>6、我单位理解贵单位将不受必须接受所收到的最低报价或其它任何投标文件的约束。</w:t>
      </w:r>
      <w:bookmarkEnd w:id="47"/>
      <w:r>
        <w:rPr>
          <w:rFonts w:ascii="宋体" w:eastAsia="宋体" w:hAnsi="宋体" w:hint="eastAsia"/>
          <w:color w:val="000000" w:themeColor="text1"/>
          <w14:textFill>
            <w14:solidFill>
              <w14:schemeClr w14:val="tx1"/>
            </w14:solidFill>
          </w14:textFill>
        </w:rPr>
        <w:t>投标人：</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 xml:space="preserve">    单位地址：</w:t>
      </w:r>
      <w:r>
        <w:rPr>
          <w:rFonts w:ascii="宋体" w:eastAsia="宋体" w:hAnsi="宋体" w:hint="eastAsia"/>
          <w:color w:val="000000" w:themeColor="text1"/>
          <w:u w:val="single"/>
          <w14:textFill>
            <w14:solidFill>
              <w14:schemeClr w14:val="tx1"/>
            </w14:solidFill>
          </w14:textFill>
        </w:rPr>
        <w:t xml:space="preserve">               </w:t>
      </w:r>
    </w:p>
    <w:p>
      <w:pPr>
        <w:ind w:left="617" w:leftChars="257"/>
        <w:rPr>
          <w:rFonts w:ascii="宋体" w:eastAsia="宋体" w:hAnsi="宋体"/>
          <w:color w:val="000000" w:themeColor="text1"/>
          <w:u w:val="single"/>
          <w14:textFill>
            <w14:solidFill>
              <w14:schemeClr w14:val="tx1"/>
            </w14:solidFill>
          </w14:textFill>
        </w:rPr>
      </w:pPr>
      <w:r>
        <w:rPr>
          <w:rFonts w:ascii="宋体" w:eastAsia="宋体" w:hAnsi="宋体" w:hint="eastAsia"/>
          <w:color w:val="000000" w:themeColor="text1"/>
          <w14:textFill>
            <w14:solidFill>
              <w14:schemeClr w14:val="tx1"/>
            </w14:solidFill>
          </w14:textFill>
        </w:rPr>
        <w:t>法定代表人（负责人）或其委托代理人：</w:t>
      </w:r>
      <w:r>
        <w:rPr>
          <w:rFonts w:ascii="宋体" w:eastAsia="宋体" w:hAnsi="宋体" w:hint="eastAsia"/>
          <w:color w:val="000000" w:themeColor="text1"/>
          <w:u w:val="single"/>
          <w14:textFill>
            <w14:solidFill>
              <w14:schemeClr w14:val="tx1"/>
            </w14:solidFill>
          </w14:textFill>
        </w:rPr>
        <w:t xml:space="preserve">                   </w:t>
      </w:r>
    </w:p>
    <w:p>
      <w:pPr>
        <w:ind w:left="617" w:leftChars="257"/>
        <w:rPr>
          <w:rFonts w:ascii="宋体" w:eastAsia="宋体" w:hAnsi="宋体"/>
          <w:color w:val="000000" w:themeColor="text1"/>
          <w:u w:val="single"/>
          <w14:textFill>
            <w14:solidFill>
              <w14:schemeClr w14:val="tx1"/>
            </w14:solidFill>
          </w14:textFill>
        </w:rPr>
      </w:pPr>
      <w:r>
        <w:rPr>
          <w:rFonts w:ascii="宋体" w:eastAsia="宋体" w:hAnsi="宋体" w:hint="eastAsia"/>
          <w:color w:val="000000" w:themeColor="text1"/>
          <w14:textFill>
            <w14:solidFill>
              <w14:schemeClr w14:val="tx1"/>
            </w14:solidFill>
          </w14:textFill>
        </w:rPr>
        <w:t>邮政编码：</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 xml:space="preserve">  电话：</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 xml:space="preserve">  传真：</w:t>
      </w:r>
      <w:r>
        <w:rPr>
          <w:rFonts w:ascii="宋体" w:eastAsia="宋体" w:hAnsi="宋体" w:hint="eastAsia"/>
          <w:color w:val="000000" w:themeColor="text1"/>
          <w:u w:val="single"/>
          <w14:textFill>
            <w14:solidFill>
              <w14:schemeClr w14:val="tx1"/>
            </w14:solidFill>
          </w14:textFill>
        </w:rPr>
        <w:t xml:space="preserve">            </w:t>
      </w:r>
    </w:p>
    <w:p>
      <w:pPr>
        <w:ind w:left="617" w:leftChars="257"/>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开户银行名称：</w:t>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14:textFill>
            <w14:solidFill>
              <w14:schemeClr w14:val="tx1"/>
            </w14:solidFill>
          </w14:textFill>
        </w:rPr>
        <w:tab/>
      </w:r>
      <w:r>
        <w:rPr>
          <w:rFonts w:ascii="宋体" w:eastAsia="宋体" w:hAnsi="宋体" w:hint="eastAsia"/>
          <w:color w:val="000000" w:themeColor="text1"/>
          <w14:textFill>
            <w14:solidFill>
              <w14:schemeClr w14:val="tx1"/>
            </w14:solidFill>
          </w14:textFill>
        </w:rPr>
        <w:t>开户银行账号：</w:t>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p>
    <w:p>
      <w:pPr>
        <w:ind w:left="617" w:leftChars="257"/>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开户银行地址：</w:t>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14:textFill>
            <w14:solidFill>
              <w14:schemeClr w14:val="tx1"/>
            </w14:solidFill>
          </w14:textFill>
        </w:rPr>
        <w:tab/>
      </w:r>
      <w:r>
        <w:rPr>
          <w:rFonts w:ascii="宋体" w:eastAsia="宋体" w:hAnsi="宋体" w:hint="eastAsia"/>
          <w:color w:val="000000" w:themeColor="text1"/>
          <w14:textFill>
            <w14:solidFill>
              <w14:schemeClr w14:val="tx1"/>
            </w14:solidFill>
          </w14:textFill>
        </w:rPr>
        <w:t>开户银行电话：</w:t>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r>
        <w:rPr>
          <w:rFonts w:ascii="宋体" w:eastAsia="宋体" w:hAnsi="宋体" w:hint="eastAsia"/>
          <w:color w:val="000000" w:themeColor="text1"/>
          <w:u w:val="single"/>
          <w14:textFill>
            <w14:solidFill>
              <w14:schemeClr w14:val="tx1"/>
            </w14:solidFill>
          </w14:textFill>
        </w:rPr>
        <w:tab/>
      </w:r>
    </w:p>
    <w:p>
      <w:pPr>
        <w:ind w:firstLine="617" w:firstLineChars="257"/>
        <w:rPr>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日期：</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年</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月</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 xml:space="preserve">日    </w:t>
      </w:r>
      <w:r>
        <w:rPr>
          <w:rFonts w:hint="eastAsia"/>
          <w:color w:val="000000" w:themeColor="text1"/>
          <w14:textFill>
            <w14:solidFill>
              <w14:schemeClr w14:val="tx1"/>
            </w14:solidFill>
          </w14:textFill>
        </w:rPr>
        <w:t xml:space="preserve">                            </w:t>
      </w:r>
    </w:p>
    <w:p>
      <w:pPr>
        <w:rPr>
          <w:rFonts w:ascii="黑体" w:eastAsia="黑体" w:hAnsi="宋体"/>
          <w:color w:val="000000" w:themeColor="text1"/>
          <w14:textFill>
            <w14:solidFill>
              <w14:schemeClr w14:val="tx1"/>
            </w14:solidFill>
          </w14:textFill>
        </w:rPr>
      </w:pPr>
    </w:p>
    <w:p>
      <w:pPr>
        <w:rPr>
          <w:rFonts w:ascii="宋体" w:hAnsi="宋体"/>
          <w:color w:val="000000" w:themeColor="text1"/>
          <w:szCs w:val="21"/>
          <w14:textFill>
            <w14:solidFill>
              <w14:schemeClr w14:val="tx1"/>
            </w14:solidFill>
          </w14:textFill>
        </w:rPr>
      </w:pPr>
    </w:p>
    <w:p>
      <w:pPr>
        <w:rPr>
          <w:rFonts w:ascii="黑体" w:eastAsia="黑体" w:hAnsi="宋体"/>
          <w:color w:val="000000" w:themeColor="text1"/>
          <w14:textFill>
            <w14:solidFill>
              <w14:schemeClr w14:val="tx1"/>
            </w14:solidFill>
          </w14:textFill>
        </w:rPr>
      </w:pPr>
    </w:p>
    <w:p>
      <w:pPr>
        <w:rPr>
          <w:rFonts w:ascii="黑体" w:eastAsia="黑体" w:hAnsi="宋体"/>
          <w:color w:val="000000" w:themeColor="text1"/>
          <w14:textFill>
            <w14:solidFill>
              <w14:schemeClr w14:val="tx1"/>
            </w14:solidFill>
          </w14:textFill>
        </w:rPr>
      </w:pPr>
    </w:p>
    <w:p>
      <w:pPr>
        <w:rPr>
          <w:rFonts w:ascii="黑体" w:eastAsia="黑体" w:hAnsi="宋体"/>
          <w:color w:val="000000" w:themeColor="text1"/>
          <w14:textFill>
            <w14:solidFill>
              <w14:schemeClr w14:val="tx1"/>
            </w14:solidFill>
          </w14:textFill>
        </w:rPr>
      </w:pPr>
    </w:p>
    <w:p>
      <w:pPr>
        <w:pStyle w:val="Heading3"/>
        <w:jc w:val="center"/>
        <w:rPr>
          <w:rFonts w:ascii="黑体" w:eastAsia="黑体"/>
          <w:b w:val="0"/>
          <w:color w:val="000000" w:themeColor="text1"/>
          <w:sz w:val="24"/>
          <w14:textFill>
            <w14:solidFill>
              <w14:schemeClr w14:val="tx1"/>
            </w14:solidFill>
          </w14:textFill>
        </w:rPr>
      </w:pPr>
      <w:r>
        <w:rPr>
          <w:rFonts w:ascii="黑体" w:eastAsia="黑体" w:hint="eastAsia"/>
          <w:b w:val="0"/>
          <w:color w:val="000000" w:themeColor="text1"/>
          <w:sz w:val="24"/>
          <w14:textFill>
            <w14:solidFill>
              <w14:schemeClr w14:val="tx1"/>
            </w14:solidFill>
          </w14:textFill>
        </w:rPr>
        <w:br w:type="page"/>
      </w:r>
      <w:r>
        <w:rPr>
          <w:rFonts w:ascii="黑体" w:eastAsia="黑体" w:hint="eastAsia"/>
          <w:b w:val="0"/>
          <w:color w:val="000000" w:themeColor="text1"/>
          <w:sz w:val="24"/>
          <w14:textFill>
            <w14:solidFill>
              <w14:schemeClr w14:val="tx1"/>
            </w14:solidFill>
          </w14:textFill>
        </w:rPr>
        <w:t>二、政府采购投标及履约承诺函</w:t>
      </w:r>
    </w:p>
    <w:p>
      <w:pPr>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致：</w:t>
      </w:r>
      <w:r>
        <w:rPr>
          <w:rFonts w:ascii="宋体" w:eastAsia="宋体" w:hAnsi="宋体" w:hint="eastAsia"/>
          <w:color w:val="000000" w:themeColor="text1"/>
          <w:u w:val="single"/>
          <w14:textFill>
            <w14:solidFill>
              <w14:schemeClr w14:val="tx1"/>
            </w14:solidFill>
          </w14:textFill>
        </w:rPr>
        <w:t>友和保险经纪有限公司</w:t>
      </w:r>
    </w:p>
    <w:p>
      <w:pPr>
        <w:ind w:right="-815"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我单位承诺：</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1.</w:t>
      </w:r>
      <w:r>
        <w:rPr>
          <w:rFonts w:ascii="宋体" w:hAnsi="宋体" w:hint="eastAsia"/>
          <w:szCs w:val="21"/>
        </w:rPr>
        <w:t>我单位参与本项目所投标（响应）的货物、工程或服务，不存在侵犯知识产权的情况；已知悉并同意中标（成交）结果信息公示（公开）的内容。</w:t>
      </w:r>
    </w:p>
    <w:p>
      <w:pPr>
        <w:keepNext w:val="0"/>
        <w:keepLines w:val="0"/>
        <w:pageBreakBefore w:val="0"/>
        <w:widowControl/>
        <w:kinsoku/>
        <w:wordWrap/>
        <w:overflowPunct/>
        <w:topLinePunct w:val="0"/>
        <w:autoSpaceDE/>
        <w:autoSpaceDN/>
        <w:bidi w:val="0"/>
        <w:adjustRightInd/>
        <w:snapToGrid/>
        <w:ind w:firstLine="480" w:firstLineChars="200"/>
        <w:textAlignment w:val="auto"/>
        <w:rPr>
          <w:rFonts w:ascii="宋体" w:eastAsia="宋体" w:hAnsi="宋体" w:hint="eastAsia"/>
          <w:lang w:eastAsia="zh-CN"/>
        </w:rPr>
      </w:pPr>
      <w:r>
        <w:rPr>
          <w:rFonts w:ascii="宋体" w:eastAsia="宋体" w:hAnsi="宋体" w:hint="eastAsia"/>
          <w:color w:val="000000" w:themeColor="text1"/>
          <w14:textFill>
            <w14:solidFill>
              <w14:schemeClr w14:val="tx1"/>
            </w14:solidFill>
          </w14:textFill>
        </w:rPr>
        <w:t>2.</w:t>
      </w:r>
      <w:r>
        <w:rPr>
          <w:rFonts w:ascii="宋体" w:hAnsi="宋体" w:hint="eastAsia"/>
          <w:szCs w:val="21"/>
        </w:rPr>
        <w:t>我单位参与该项目投标，</w:t>
      </w:r>
      <w:r>
        <w:rPr>
          <w:rFonts w:ascii="宋体" w:eastAsia="宋体" w:hAnsi="宋体" w:hint="eastAsia"/>
        </w:rPr>
        <w:t>不</w:t>
      </w:r>
      <w:r>
        <w:rPr>
          <w:rFonts w:ascii="宋体" w:eastAsia="宋体" w:hAnsi="宋体" w:hint="eastAsia"/>
          <w:lang w:eastAsia="zh-CN"/>
        </w:rPr>
        <w:t>采用</w:t>
      </w:r>
      <w:r>
        <w:rPr>
          <w:rFonts w:ascii="宋体" w:eastAsia="宋体" w:hAnsi="宋体" w:hint="eastAsia"/>
        </w:rPr>
        <w:t>联合体投标</w:t>
      </w:r>
      <w:r>
        <w:rPr>
          <w:rFonts w:ascii="宋体" w:eastAsia="宋体" w:hAnsi="宋体" w:hint="eastAsia"/>
          <w:lang w:eastAsia="zh-CN"/>
        </w:rPr>
        <w:t>，</w:t>
      </w:r>
      <w:r>
        <w:rPr>
          <w:rFonts w:ascii="宋体" w:eastAsia="宋体" w:hAnsi="宋体" w:hint="eastAsia"/>
        </w:rPr>
        <w:t>不</w:t>
      </w:r>
      <w:r>
        <w:rPr>
          <w:rFonts w:ascii="宋体" w:eastAsia="宋体" w:hAnsi="宋体" w:hint="eastAsia"/>
          <w:lang w:eastAsia="zh-CN"/>
        </w:rPr>
        <w:t>使用</w:t>
      </w:r>
      <w:r>
        <w:rPr>
          <w:rFonts w:ascii="宋体" w:eastAsia="宋体" w:hAnsi="宋体" w:hint="eastAsia"/>
        </w:rPr>
        <w:t>进口产品参与投标</w:t>
      </w:r>
      <w:r>
        <w:rPr>
          <w:rFonts w:ascii="宋体" w:eastAsia="宋体" w:hAnsi="宋体" w:hint="eastAsia"/>
          <w:lang w:eastAsia="zh-CN"/>
        </w:rPr>
        <w:t>。</w:t>
      </w:r>
    </w:p>
    <w:p>
      <w:pPr>
        <w:keepNext w:val="0"/>
        <w:keepLines w:val="0"/>
        <w:pageBreakBefore w:val="0"/>
        <w:widowControl/>
        <w:kinsoku/>
        <w:wordWrap/>
        <w:overflowPunct/>
        <w:topLinePunct w:val="0"/>
        <w:autoSpaceDE/>
        <w:autoSpaceDN/>
        <w:bidi w:val="0"/>
        <w:adjustRightInd/>
        <w:snapToGrid/>
        <w:ind w:firstLine="480" w:firstLineChars="200"/>
        <w:textAlignment w:val="auto"/>
        <w:rPr>
          <w:rFonts w:ascii="宋体" w:hAnsi="宋体" w:hint="eastAsia"/>
          <w:szCs w:val="21"/>
        </w:rPr>
      </w:pPr>
      <w:r>
        <w:rPr>
          <w:rFonts w:ascii="宋体" w:hAnsi="宋体" w:hint="eastAsia"/>
          <w:szCs w:val="21"/>
        </w:rPr>
        <w:t>3.我单位参与本项目政府采购活动时不存在被有关部门禁止参与政府采购活动且在有效期内的情况。</w:t>
      </w:r>
    </w:p>
    <w:p>
      <w:pPr>
        <w:keepNext w:val="0"/>
        <w:keepLines w:val="0"/>
        <w:pageBreakBefore w:val="0"/>
        <w:widowControl/>
        <w:kinsoku/>
        <w:wordWrap/>
        <w:overflowPunct/>
        <w:topLinePunct w:val="0"/>
        <w:autoSpaceDE/>
        <w:autoSpaceDN/>
        <w:bidi w:val="0"/>
        <w:adjustRightInd/>
        <w:snapToGrid/>
        <w:ind w:firstLine="480" w:firstLineChars="200"/>
        <w:textAlignment w:val="auto"/>
        <w:rPr>
          <w:rFonts w:ascii="宋体" w:hAnsi="宋体" w:hint="eastAsia"/>
          <w:szCs w:val="21"/>
        </w:rPr>
      </w:pPr>
      <w:r>
        <w:rPr>
          <w:rFonts w:ascii="宋体" w:hAnsi="宋体" w:hint="eastAsia"/>
          <w:szCs w:val="21"/>
        </w:rPr>
        <w:t>4.我单位具备《中华人民共和国政府采购法》第二十二条第一款规定的六项条件。</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5.我单位未被列入失信被执行人、</w:t>
      </w:r>
      <w:r>
        <w:rPr>
          <w:rFonts w:ascii="宋体" w:eastAsia="宋体" w:hAnsi="宋体" w:hint="eastAsia"/>
          <w:color w:val="000000" w:themeColor="text1"/>
          <w:lang w:eastAsia="zh-CN"/>
          <w14:textFill>
            <w14:solidFill>
              <w14:schemeClr w14:val="tx1"/>
            </w14:solidFill>
          </w14:textFill>
        </w:rPr>
        <w:t>重大税收违法失信主体</w:t>
      </w:r>
      <w:r>
        <w:rPr>
          <w:rFonts w:ascii="宋体" w:eastAsia="宋体" w:hAnsi="宋体" w:hint="eastAsia"/>
          <w:color w:val="000000" w:themeColor="text1"/>
          <w14:textFill>
            <w14:solidFill>
              <w14:schemeClr w14:val="tx1"/>
            </w14:solidFill>
          </w14:textFill>
        </w:rPr>
        <w:t>、政府采购严重违法失信行为记录名单</w:t>
      </w:r>
      <w:r>
        <w:rPr>
          <w:rFonts w:ascii="宋体" w:eastAsia="宋体" w:hAnsi="宋体" w:hint="eastAsia"/>
          <w:color w:val="000000" w:themeColor="text1"/>
          <w:lang w:eastAsia="zh-CN"/>
          <w14:textFill>
            <w14:solidFill>
              <w14:schemeClr w14:val="tx1"/>
            </w14:solidFill>
          </w14:textFill>
        </w:rPr>
        <w:t>；不存在《深圳市财政局政府采购供应商信用信息管理办法》（深财规〔2023〕3号）列明的严重违法失信行为。</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6.我单位参与该项目投标，严格遵守政府采购相关法律，不造假，不围标、串标、陪标。我单位已清楚，如违反上述要求，投标将作无效处理，被列入不良记录名单并在网上曝光，同时将被提请政府采购主管部门给予一定年限</w:t>
      </w:r>
      <w:r>
        <w:rPr>
          <w:rFonts w:ascii="宋体" w:eastAsia="宋体" w:hAnsi="宋体"/>
          <w:color w:val="000000" w:themeColor="text1"/>
          <w14:textFill>
            <w14:solidFill>
              <w14:schemeClr w14:val="tx1"/>
            </w14:solidFill>
          </w14:textFill>
        </w:rPr>
        <w:t>内禁止参与政府采购活动或其他处罚。</w:t>
      </w:r>
    </w:p>
    <w:p>
      <w:pPr>
        <w:ind w:firstLine="480" w:firstLineChars="200"/>
        <w:rPr>
          <w:rFonts w:ascii="宋体" w:eastAsia="宋体" w:hAnsi="宋体" w:hint="eastAsia"/>
          <w:color w:val="000000" w:themeColor="text1"/>
          <w14:textFill>
            <w14:solidFill>
              <w14:schemeClr w14:val="tx1"/>
            </w14:solidFill>
          </w14:textFill>
        </w:rPr>
      </w:pPr>
      <w:r>
        <w:rPr>
          <w:rFonts w:ascii="宋体" w:eastAsia="宋体" w:hAnsi="宋体"/>
          <w:color w:val="000000" w:themeColor="text1"/>
          <w14:textFill>
            <w14:solidFill>
              <w14:schemeClr w14:val="tx1"/>
            </w14:solidFill>
          </w14:textFill>
        </w:rPr>
        <w:t>7.</w:t>
      </w:r>
      <w:r>
        <w:rPr>
          <w:rFonts w:ascii="宋体" w:eastAsia="宋体" w:hAnsi="宋体" w:hint="eastAsia"/>
          <w:color w:val="000000" w:themeColor="text1"/>
          <w14:textFill>
            <w14:solidFill>
              <w14:schemeClr w14:val="tx1"/>
            </w14:solidFill>
          </w14:textFill>
        </w:rPr>
        <w:t>我单位不存在“单位负责人为同一人或者存在直接控股、管理关系的不同供应商，参加同一合同项下的政府采购活动”的情形。</w:t>
      </w:r>
    </w:p>
    <w:p>
      <w:pPr>
        <w:ind w:firstLine="480" w:firstLineChars="200"/>
        <w:rPr>
          <w:rFonts w:ascii="宋体" w:eastAsia="宋体" w:hAnsi="宋体" w:hint="eastAsia"/>
          <w:color w:val="000000" w:themeColor="text1"/>
          <w14:textFill>
            <w14:solidFill>
              <w14:schemeClr w14:val="tx1"/>
            </w14:solidFill>
          </w14:textFill>
        </w:rPr>
      </w:pPr>
      <w:r>
        <w:rPr>
          <w:rFonts w:ascii="宋体" w:eastAsia="宋体" w:hAnsi="宋体" w:hint="eastAsia"/>
          <w:color w:val="000000" w:themeColor="text1"/>
          <w:lang w:val="en-US" w:eastAsia="zh-CN"/>
          <w14:textFill>
            <w14:solidFill>
              <w14:schemeClr w14:val="tx1"/>
            </w14:solidFill>
          </w14:textFill>
        </w:rPr>
        <w:t>8.我单位不存在</w:t>
      </w:r>
      <w:r>
        <w:rPr>
          <w:rFonts w:ascii="宋体" w:eastAsia="宋体" w:hAnsi="宋体" w:hint="eastAsia"/>
          <w:color w:val="000000" w:themeColor="text1"/>
          <w14:textFill>
            <w14:solidFill>
              <w14:schemeClr w14:val="tx1"/>
            </w14:solidFill>
          </w14:textFill>
        </w:rPr>
        <w:t>为本项目提供整体设计、规范编制或者项目管理、监理、检测等服务的</w:t>
      </w:r>
      <w:r>
        <w:rPr>
          <w:rFonts w:ascii="宋体" w:eastAsia="宋体" w:hAnsi="宋体" w:hint="eastAsia"/>
          <w:color w:val="000000" w:themeColor="text1"/>
          <w:lang w:val="en-US" w:eastAsia="zh-CN"/>
          <w14:textFill>
            <w14:solidFill>
              <w14:schemeClr w14:val="tx1"/>
            </w14:solidFill>
          </w14:textFill>
        </w:rPr>
        <w:t>情形</w:t>
      </w:r>
      <w:r>
        <w:rPr>
          <w:rFonts w:ascii="宋体" w:eastAsia="宋体" w:hAnsi="宋体" w:hint="eastAsia"/>
          <w:color w:val="000000" w:themeColor="text1"/>
          <w14:textFill>
            <w14:solidFill>
              <w14:schemeClr w14:val="tx1"/>
            </w14:solidFill>
          </w14:textFill>
        </w:rPr>
        <w:t>。</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lang w:val="en-US" w:eastAsia="zh-CN"/>
          <w14:textFill>
            <w14:solidFill>
              <w14:schemeClr w14:val="tx1"/>
            </w14:solidFill>
          </w14:textFill>
        </w:rPr>
        <w:t>9</w:t>
      </w:r>
      <w:r>
        <w:rPr>
          <w:rFonts w:ascii="宋体" w:eastAsia="宋体" w:hAnsi="宋体"/>
          <w:color w:val="000000" w:themeColor="text1"/>
          <w14:textFill>
            <w14:solidFill>
              <w14:schemeClr w14:val="tx1"/>
            </w14:solidFill>
          </w14:textFill>
        </w:rPr>
        <w:t>.我单位如果中标，做到守信，不偷工减料，依</w:t>
      </w:r>
      <w:r>
        <w:rPr>
          <w:rFonts w:ascii="宋体" w:eastAsia="宋体" w:hAnsi="宋体" w:hint="eastAsia"/>
          <w:color w:val="000000" w:themeColor="text1"/>
          <w14:textFill>
            <w14:solidFill>
              <w14:schemeClr w14:val="tx1"/>
            </w14:solidFill>
          </w14:textFill>
        </w:rPr>
        <w:t>照本项目招标文件需求内容、签署的采购合同及本单位在投标中所作的一切承诺履约。我单位对本项目的报价负责，中标后将严格按照本项目招标文件需求、签署的采购合同及我单位在投标中所作的全部承诺履行。</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lang w:val="en-US" w:eastAsia="zh-CN"/>
          <w14:textFill>
            <w14:solidFill>
              <w14:schemeClr w14:val="tx1"/>
            </w14:solidFill>
          </w14:textFill>
        </w:rPr>
        <w:t>10</w:t>
      </w:r>
      <w:r>
        <w:rPr>
          <w:rFonts w:ascii="宋体" w:eastAsia="宋体" w:hAnsi="宋体"/>
          <w:color w:val="000000" w:themeColor="text1"/>
          <w14:textFill>
            <w14:solidFill>
              <w14:schemeClr w14:val="tx1"/>
            </w14:solidFill>
          </w14:textFill>
        </w:rPr>
        <w:t>.</w:t>
      </w:r>
      <w:r>
        <w:rPr>
          <w:rFonts w:ascii="宋体" w:eastAsia="宋体" w:hAnsi="宋体" w:cs="宋体" w:hint="eastAsia"/>
          <w:color w:val="000000" w:themeColor="text1"/>
          <w14:textFill>
            <w14:solidFill>
              <w14:schemeClr w14:val="tx1"/>
            </w14:solidFill>
          </w14:textFill>
        </w:rPr>
        <w:t>我单位清楚，若以</w:t>
      </w:r>
      <w:r>
        <w:rPr>
          <w:rFonts w:ascii="宋体" w:eastAsia="宋体" w:hAnsi="宋体"/>
          <w:color w:val="000000" w:themeColor="text1"/>
          <w14:textFill>
            <w14:solidFill>
              <w14:schemeClr w14:val="tx1"/>
            </w14:solidFill>
          </w14:textFill>
        </w:rPr>
        <w:t>“</w:t>
      </w:r>
      <w:r>
        <w:rPr>
          <w:rFonts w:ascii="宋体" w:eastAsia="宋体" w:hAnsi="宋体" w:cs="宋体" w:hint="eastAsia"/>
          <w:color w:val="000000" w:themeColor="text1"/>
          <w14:textFill>
            <w14:solidFill>
              <w14:schemeClr w14:val="tx1"/>
            </w14:solidFill>
          </w14:textFill>
        </w:rPr>
        <w:t>报价太低而无法履约</w:t>
      </w:r>
      <w:r>
        <w:rPr>
          <w:rFonts w:ascii="宋体" w:eastAsia="宋体" w:hAnsi="宋体"/>
          <w:color w:val="000000" w:themeColor="text1"/>
          <w14:textFill>
            <w14:solidFill>
              <w14:schemeClr w14:val="tx1"/>
            </w14:solidFill>
          </w14:textFill>
        </w:rPr>
        <w:t>”</w:t>
      </w:r>
      <w:r>
        <w:rPr>
          <w:rFonts w:ascii="宋体" w:eastAsia="宋体" w:hAnsi="宋体" w:cs="宋体" w:hint="eastAsia"/>
          <w:color w:val="000000" w:themeColor="text1"/>
          <w14:textFill>
            <w14:solidFill>
              <w14:schemeClr w14:val="tx1"/>
            </w14:solidFill>
          </w14:textFill>
        </w:rPr>
        <w:t>为理由放弃本项目中标资格时，愿意接受主管部门的处理处罚。若我单位中标本项目，我单位的报价明显低于其他通过符合性审查投标人的报价时，我单位清楚，本项目将成为重点监管、重点验收项目，我单位将按时保质保量完成，并全力配合有关监管、验收工作；若我单位未按上述要求履约，我单位愿意接受主管部门的处理处罚。</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color w:val="000000" w:themeColor="text1"/>
          <w14:textFill>
            <w14:solidFill>
              <w14:schemeClr w14:val="tx1"/>
            </w14:solidFill>
          </w14:textFill>
        </w:rPr>
        <w:t>1</w:t>
      </w:r>
      <w:r>
        <w:rPr>
          <w:rFonts w:ascii="宋体" w:eastAsia="宋体" w:hAnsi="宋体" w:hint="eastAsia"/>
          <w:color w:val="000000" w:themeColor="text1"/>
          <w:lang w:val="en-US" w:eastAsia="zh-CN"/>
          <w14:textFill>
            <w14:solidFill>
              <w14:schemeClr w14:val="tx1"/>
            </w14:solidFill>
          </w14:textFill>
        </w:rPr>
        <w:t>1</w:t>
      </w:r>
      <w:r>
        <w:rPr>
          <w:rFonts w:ascii="宋体" w:eastAsia="宋体" w:hAnsi="宋体"/>
          <w:color w:val="000000" w:themeColor="text1"/>
          <w14:textFill>
            <w14:solidFill>
              <w14:schemeClr w14:val="tx1"/>
            </w14:solidFill>
          </w14:textFill>
        </w:rPr>
        <w:t>.</w:t>
      </w:r>
      <w:r>
        <w:rPr>
          <w:rFonts w:ascii="宋体" w:eastAsia="宋体" w:hAnsi="宋体" w:hint="eastAsia"/>
          <w:color w:val="000000" w:themeColor="text1"/>
          <w14:textFill>
            <w14:solidFill>
              <w14:schemeClr w14:val="tx1"/>
            </w14:solidFill>
          </w14:textFill>
        </w:rPr>
        <w:t>我单位已认真核实了投标文件的全部内容，所有资料均为真实资料。我单位对投标文件中全部投标资料的真实性负责，如被证实我单位的投标文件中存在虚假资料的，则视为我单位隐瞒真实情况、提供虚假资料，我单位愿意接受主管部门作出的行政处罚。</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1</w:t>
      </w:r>
      <w:r>
        <w:rPr>
          <w:rFonts w:ascii="宋体" w:eastAsia="宋体" w:hAnsi="宋体" w:hint="eastAsia"/>
          <w:color w:val="000000" w:themeColor="text1"/>
          <w:lang w:val="en-US" w:eastAsia="zh-CN"/>
          <w14:textFill>
            <w14:solidFill>
              <w14:schemeClr w14:val="tx1"/>
            </w14:solidFill>
          </w14:textFill>
        </w:rPr>
        <w:t>2</w:t>
      </w:r>
      <w:r>
        <w:rPr>
          <w:rFonts w:ascii="宋体" w:eastAsia="宋体" w:hAnsi="宋体" w:hint="eastAsia"/>
          <w:color w:val="000000" w:themeColor="text1"/>
          <w14:textFill>
            <w14:solidFill>
              <w14:schemeClr w14:val="tx1"/>
            </w14:solidFill>
          </w14:textFill>
        </w:rPr>
        <w:t>.我</w:t>
      </w:r>
      <w:r>
        <w:rPr>
          <w:rFonts w:ascii="宋体" w:eastAsia="宋体" w:hAnsi="宋体" w:hint="eastAsia"/>
          <w:color w:val="000000" w:themeColor="text1"/>
          <w:lang w:val="en-US" w:eastAsia="zh-CN"/>
          <w14:textFill>
            <w14:solidFill>
              <w14:schemeClr w14:val="tx1"/>
            </w14:solidFill>
          </w14:textFill>
        </w:rPr>
        <w:t>单位</w:t>
      </w:r>
      <w:r>
        <w:rPr>
          <w:rFonts w:ascii="宋体" w:eastAsia="宋体" w:hAnsi="宋体" w:hint="eastAsia"/>
          <w:color w:val="000000" w:themeColor="text1"/>
          <w14:textFill>
            <w14:solidFill>
              <w14:schemeClr w14:val="tx1"/>
            </w14:solidFill>
          </w14:textFill>
        </w:rPr>
        <w:t>承诺中标后项目不转包，未经采购人同意不进行分包。</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1</w:t>
      </w:r>
      <w:r>
        <w:rPr>
          <w:rFonts w:ascii="宋体" w:eastAsia="宋体" w:hAnsi="宋体" w:hint="eastAsia"/>
          <w:color w:val="000000" w:themeColor="text1"/>
          <w:lang w:val="en-US" w:eastAsia="zh-CN"/>
          <w14:textFill>
            <w14:solidFill>
              <w14:schemeClr w14:val="tx1"/>
            </w14:solidFill>
          </w14:textFill>
        </w:rPr>
        <w:t>3</w:t>
      </w:r>
      <w:r>
        <w:rPr>
          <w:rFonts w:ascii="宋体" w:eastAsia="宋体" w:hAnsi="宋体"/>
          <w:color w:val="000000" w:themeColor="text1"/>
          <w14:textFill>
            <w14:solidFill>
              <w14:schemeClr w14:val="tx1"/>
            </w14:solidFill>
          </w14:textFill>
        </w:rPr>
        <w:t>.</w:t>
      </w:r>
      <w:r>
        <w:rPr>
          <w:rFonts w:ascii="宋体" w:eastAsia="宋体" w:hAnsi="宋体" w:hint="eastAsia"/>
          <w:color w:val="000000" w:themeColor="text1"/>
          <w14:textFill>
            <w14:solidFill>
              <w14:schemeClr w14:val="tx1"/>
            </w14:solidFill>
          </w14:textFill>
        </w:rPr>
        <w:t>我单位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我单位承担全部责任。</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color w:val="000000" w:themeColor="text1"/>
          <w14:textFill>
            <w14:solidFill>
              <w14:schemeClr w14:val="tx1"/>
            </w14:solidFill>
          </w14:textFill>
        </w:rPr>
        <w:t>1</w:t>
      </w:r>
      <w:r>
        <w:rPr>
          <w:rFonts w:ascii="宋体" w:eastAsia="宋体" w:hAnsi="宋体" w:hint="eastAsia"/>
          <w:color w:val="000000" w:themeColor="text1"/>
          <w:lang w:val="en-US" w:eastAsia="zh-CN"/>
          <w14:textFill>
            <w14:solidFill>
              <w14:schemeClr w14:val="tx1"/>
            </w14:solidFill>
          </w14:textFill>
        </w:rPr>
        <w:t>4</w:t>
      </w:r>
      <w:r>
        <w:rPr>
          <w:rFonts w:ascii="宋体" w:eastAsia="宋体" w:hAnsi="宋体"/>
          <w:color w:val="000000" w:themeColor="text1"/>
          <w14:textFill>
            <w14:solidFill>
              <w14:schemeClr w14:val="tx1"/>
            </w14:solidFill>
          </w14:textFill>
        </w:rPr>
        <w:t>.</w:t>
      </w:r>
      <w:r>
        <w:rPr>
          <w:rFonts w:ascii="宋体" w:eastAsia="宋体" w:hAnsi="宋体" w:hint="eastAsia"/>
          <w:color w:val="000000" w:themeColor="text1"/>
          <w14:textFill>
            <w14:solidFill>
              <w14:schemeClr w14:val="tx1"/>
            </w14:solidFill>
          </w14:textFill>
        </w:rPr>
        <w:t>我单位保证，若所投货物涉及</w:t>
      </w:r>
      <w:r>
        <w:rPr>
          <w:rFonts w:ascii="宋体" w:eastAsia="宋体" w:hAnsi="宋体"/>
          <w:color w:val="000000" w:themeColor="text1"/>
          <w14:textFill>
            <w14:solidFill>
              <w14:schemeClr w14:val="tx1"/>
            </w14:solidFill>
          </w14:textFill>
        </w:rPr>
        <w:t>《</w:t>
      </w:r>
      <w:r>
        <w:rPr>
          <w:rFonts w:ascii="宋体" w:eastAsia="宋体" w:hAnsi="宋体" w:hint="eastAsia"/>
          <w:color w:val="000000" w:themeColor="text1"/>
          <w14:textFill>
            <w14:solidFill>
              <w14:schemeClr w14:val="tx1"/>
            </w14:solidFill>
          </w14:textFill>
        </w:rPr>
        <w:t>财政部生态环境部关于印发节能产品政府采购品目清单的通知》（财库〔20</w:t>
      </w:r>
      <w:r>
        <w:rPr>
          <w:rFonts w:ascii="宋体" w:eastAsia="宋体" w:hAnsi="宋体"/>
          <w:color w:val="000000" w:themeColor="text1"/>
          <w14:textFill>
            <w14:solidFill>
              <w14:schemeClr w14:val="tx1"/>
            </w14:solidFill>
          </w14:textFill>
        </w:rPr>
        <w:t>19</w:t>
      </w:r>
      <w:r>
        <w:rPr>
          <w:rFonts w:ascii="宋体" w:eastAsia="宋体" w:hAnsi="宋体" w:hint="eastAsia"/>
          <w:color w:val="000000" w:themeColor="text1"/>
          <w14:textFill>
            <w14:solidFill>
              <w14:schemeClr w14:val="tx1"/>
            </w14:solidFill>
          </w14:textFill>
        </w:rPr>
        <w:t>〕</w:t>
      </w:r>
      <w:r>
        <w:rPr>
          <w:rFonts w:ascii="宋体" w:eastAsia="宋体" w:hAnsi="宋体"/>
          <w:color w:val="000000" w:themeColor="text1"/>
          <w14:textFill>
            <w14:solidFill>
              <w14:schemeClr w14:val="tx1"/>
            </w14:solidFill>
          </w14:textFill>
        </w:rPr>
        <w:t>19</w:t>
      </w:r>
      <w:r>
        <w:rPr>
          <w:rFonts w:ascii="宋体" w:eastAsia="宋体" w:hAnsi="宋体" w:hint="eastAsia"/>
          <w:color w:val="000000" w:themeColor="text1"/>
          <w14:textFill>
            <w14:solidFill>
              <w14:schemeClr w14:val="tx1"/>
            </w14:solidFill>
          </w14:textFill>
        </w:rPr>
        <w:t>号）列明的政府采购强制产品，则所投该产品符合节能产品的认证要求。</w:t>
      </w:r>
    </w:p>
    <w:p>
      <w:pPr>
        <w:pStyle w:val="NormalIndent"/>
        <w:rPr>
          <w:rFonts w:ascii="宋体" w:eastAsia="宋体" w:hAnsi="宋体" w:cs="宋体"/>
          <w:color w:val="000000" w:themeColor="text1"/>
          <w:szCs w:val="24"/>
          <w14:textFill>
            <w14:solidFill>
              <w14:schemeClr w14:val="tx1"/>
            </w14:solidFill>
          </w14:textFill>
        </w:rPr>
      </w:pPr>
      <w:r>
        <w:rPr>
          <w:rFonts w:ascii="宋体" w:eastAsia="宋体" w:hAnsi="宋体" w:hint="eastAsia"/>
          <w:szCs w:val="24"/>
        </w:rPr>
        <w:t>1</w:t>
      </w:r>
      <w:r>
        <w:rPr>
          <w:rFonts w:ascii="宋体" w:eastAsia="宋体" w:hAnsi="宋体" w:hint="eastAsia"/>
          <w:szCs w:val="24"/>
          <w:lang w:val="en-US" w:eastAsia="zh-CN"/>
        </w:rPr>
        <w:t>5</w:t>
      </w:r>
      <w:r>
        <w:rPr>
          <w:rFonts w:ascii="宋体" w:eastAsia="宋体" w:hAnsi="宋体"/>
          <w:szCs w:val="24"/>
        </w:rPr>
        <w:t>.</w:t>
      </w:r>
      <w:r>
        <w:rPr>
          <w:rFonts w:ascii="宋体" w:eastAsia="宋体" w:hAnsi="宋体" w:cs="宋体" w:hint="eastAsia"/>
          <w:color w:val="000000" w:themeColor="text1"/>
          <w:szCs w:val="24"/>
          <w14:textFill>
            <w14:solidFill>
              <w14:schemeClr w14:val="tx1"/>
            </w14:solidFill>
          </w14:textFill>
        </w:rPr>
        <w:t xml:space="preserve"> 我单位承诺未为本项目提供整体设计、规范编制或者管理、监理、检测等服务。</w:t>
      </w:r>
    </w:p>
    <w:p>
      <w:pPr>
        <w:pStyle w:val="NormalIndent"/>
        <w:rPr>
          <w:rFonts w:ascii="宋体" w:eastAsia="宋体" w:hAnsi="宋体" w:cs="宋体"/>
          <w:color w:val="000000" w:themeColor="text1"/>
          <w:szCs w:val="24"/>
          <w14:textFill>
            <w14:solidFill>
              <w14:schemeClr w14:val="tx1"/>
            </w14:solidFill>
          </w14:textFill>
        </w:rPr>
      </w:pPr>
      <w:r>
        <w:rPr>
          <w:rFonts w:ascii="宋体" w:eastAsia="宋体" w:hAnsi="宋体" w:cs="宋体" w:hint="eastAsia"/>
          <w:color w:val="000000" w:themeColor="text1"/>
          <w:szCs w:val="24"/>
          <w14:textFill>
            <w14:solidFill>
              <w14:schemeClr w14:val="tx1"/>
            </w14:solidFill>
          </w14:textFill>
        </w:rPr>
        <w:t>1</w:t>
      </w:r>
      <w:r>
        <w:rPr>
          <w:rFonts w:ascii="宋体" w:eastAsia="宋体" w:hAnsi="宋体" w:cs="宋体" w:hint="eastAsia"/>
          <w:color w:val="000000" w:themeColor="text1"/>
          <w:szCs w:val="24"/>
          <w:lang w:val="en-US" w:eastAsia="zh-CN"/>
          <w14:textFill>
            <w14:solidFill>
              <w14:schemeClr w14:val="tx1"/>
            </w14:solidFill>
          </w14:textFill>
        </w:rPr>
        <w:t>6</w:t>
      </w:r>
      <w:r>
        <w:rPr>
          <w:rFonts w:ascii="宋体" w:eastAsia="宋体" w:hAnsi="宋体" w:cs="宋体"/>
          <w:color w:val="000000" w:themeColor="text1"/>
          <w:szCs w:val="24"/>
          <w14:textFill>
            <w14:solidFill>
              <w14:schemeClr w14:val="tx1"/>
            </w14:solidFill>
          </w14:textFill>
        </w:rPr>
        <w:t>.</w:t>
      </w:r>
      <w:r>
        <w:rPr>
          <w:rFonts w:ascii="宋体" w:eastAsia="宋体" w:hAnsi="宋体" w:cs="宋体" w:hint="eastAsia"/>
          <w:color w:val="000000" w:themeColor="text1"/>
          <w:szCs w:val="24"/>
          <w14:textFill>
            <w14:solidFill>
              <w14:schemeClr w14:val="tx1"/>
            </w14:solidFill>
          </w14:textFill>
        </w:rPr>
        <w:t>我单位承诺，参与本项目投标前三年内，未受过环境监测行政主管部门行政处罚或未有被政府相关部门（如质检部门等）、媒体通报弄虚作假等情形。</w:t>
      </w:r>
      <w:r>
        <w:rPr>
          <w:rFonts w:ascii="宋体" w:eastAsia="宋体" w:hAnsi="宋体" w:cs="宋体"/>
          <w:color w:val="000000" w:themeColor="text1"/>
          <w:szCs w:val="24"/>
          <w14:textFill>
            <w14:solidFill>
              <w14:schemeClr w14:val="tx1"/>
            </w14:solidFill>
          </w14:textFill>
        </w:rPr>
        <w:t xml:space="preserve"> </w:t>
      </w:r>
    </w:p>
    <w:p>
      <w:pPr>
        <w:pStyle w:val="NormalIndent"/>
        <w:rPr>
          <w:rFonts w:ascii="宋体" w:eastAsia="宋体" w:hAnsi="宋体" w:cs="宋体"/>
          <w:color w:val="000000" w:themeColor="text1"/>
          <w:szCs w:val="24"/>
          <w14:textFill>
            <w14:solidFill>
              <w14:schemeClr w14:val="tx1"/>
            </w14:solidFill>
          </w14:textFill>
        </w:rPr>
      </w:pPr>
      <w:r>
        <w:rPr>
          <w:rFonts w:ascii="宋体" w:eastAsia="宋体" w:hAnsi="宋体" w:cs="宋体" w:hint="eastAsia"/>
          <w:color w:val="000000" w:themeColor="text1"/>
          <w:szCs w:val="24"/>
          <w:lang w:val="en-US" w:eastAsia="zh-CN"/>
          <w14:textFill>
            <w14:solidFill>
              <w14:schemeClr w14:val="tx1"/>
            </w14:solidFill>
          </w14:textFill>
        </w:rPr>
        <w:t>17.我单位保证，若所投产品列入强制性产品认证目录的，则所投该产品须获得强制性产品认证证书（即CCC认证）；其中适用自我声明评价方式的产品，则所投该产品须具有“强制性认证产品符合性自我声明”；若所投产品列入工业产品生产许可证管理的产品目录的，则所投该产品生产者（制造商）须获得《全国工业产品生产许可证》。</w:t>
      </w:r>
      <w:r>
        <w:rPr>
          <w:rFonts w:ascii="宋体" w:eastAsia="宋体" w:hAnsi="宋体" w:cs="宋体"/>
          <w:color w:val="000000" w:themeColor="text1"/>
          <w:szCs w:val="24"/>
          <w14:textFill>
            <w14:solidFill>
              <w14:schemeClr w14:val="tx1"/>
            </w14:solidFill>
          </w14:textFill>
        </w:rPr>
        <w:t xml:space="preserve"> </w:t>
      </w:r>
    </w:p>
    <w:p>
      <w:pPr>
        <w:ind w:firstLine="480" w:firstLineChars="2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以上承诺，如有违反，愿依照国家相关法律法规处理，并承担由此给采购人带来的损失。</w:t>
      </w:r>
    </w:p>
    <w:p>
      <w:pPr>
        <w:spacing w:before="60" w:beforeLines="25" w:after="60" w:afterLines="25"/>
        <w:ind w:firstLine="6240" w:firstLineChars="26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 xml:space="preserve">                                    </w:t>
      </w:r>
    </w:p>
    <w:p>
      <w:pPr>
        <w:spacing w:before="60" w:beforeLines="25" w:after="60" w:afterLines="25"/>
        <w:ind w:firstLine="6240" w:firstLineChars="2600"/>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投标人：</w:t>
      </w:r>
      <w:r>
        <w:rPr>
          <w:rFonts w:ascii="宋体" w:eastAsia="宋体" w:hAnsi="宋体" w:hint="eastAsia"/>
          <w:color w:val="000000" w:themeColor="text1"/>
          <w:u w:val="single"/>
          <w14:textFill>
            <w14:solidFill>
              <w14:schemeClr w14:val="tx1"/>
            </w14:solidFill>
          </w14:textFill>
        </w:rPr>
        <w:t xml:space="preserve">              </w:t>
      </w:r>
    </w:p>
    <w:p>
      <w:pPr>
        <w:ind w:firstLine="645"/>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 xml:space="preserve">                                        日期：</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年</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月</w:t>
      </w:r>
      <w:r>
        <w:rPr>
          <w:rFonts w:ascii="宋体" w:eastAsia="宋体" w:hAnsi="宋体" w:hint="eastAsia"/>
          <w:color w:val="000000" w:themeColor="text1"/>
          <w:u w:val="single"/>
          <w14:textFill>
            <w14:solidFill>
              <w14:schemeClr w14:val="tx1"/>
            </w14:solidFill>
          </w14:textFill>
        </w:rPr>
        <w:t xml:space="preserve">   </w:t>
      </w:r>
      <w:r>
        <w:rPr>
          <w:rFonts w:ascii="宋体" w:eastAsia="宋体" w:hAnsi="宋体" w:hint="eastAsia"/>
          <w:color w:val="000000" w:themeColor="text1"/>
          <w14:textFill>
            <w14:solidFill>
              <w14:schemeClr w14:val="tx1"/>
            </w14:solidFill>
          </w14:textFill>
        </w:rPr>
        <w:t>日</w:t>
      </w:r>
    </w:p>
    <w:p>
      <w:pPr>
        <w:rPr>
          <w:rFonts w:ascii="宋体" w:eastAsia="宋体" w:hAnsi="宋体"/>
          <w:color w:val="000000" w:themeColor="text1"/>
          <w14:textFill>
            <w14:solidFill>
              <w14:schemeClr w14:val="tx1"/>
            </w14:solidFill>
          </w14:textFill>
        </w:rPr>
      </w:pPr>
    </w:p>
    <w:p>
      <w:pPr>
        <w:rPr>
          <w:rFonts w:ascii="宋体" w:eastAsia="宋体" w:hAnsi="宋体" w:cs="宋体"/>
          <w:color w:val="000000" w:themeColor="text1"/>
          <w:szCs w:val="21"/>
          <w14:textFill>
            <w14:solidFill>
              <w14:schemeClr w14:val="tx1"/>
            </w14:solidFill>
          </w14:textFill>
        </w:rPr>
      </w:pPr>
    </w:p>
    <w:p>
      <w:pPr>
        <w:pStyle w:val="NormalIndent"/>
      </w:pPr>
    </w:p>
    <w:p/>
    <w:p>
      <w:pPr>
        <w:rPr>
          <w:color w:val="000000" w:themeColor="text1"/>
          <w14:textFill>
            <w14:solidFill>
              <w14:schemeClr w14:val="tx1"/>
            </w14:solidFill>
          </w14:textFill>
        </w:rPr>
      </w:pPr>
      <w:r>
        <w:rPr>
          <w:color w:val="000000" w:themeColor="text1"/>
          <w14:textFill>
            <w14:solidFill>
              <w14:schemeClr w14:val="tx1"/>
            </w14:solidFill>
          </w14:textFill>
        </w:rPr>
        <w:br w:type="page"/>
      </w:r>
    </w:p>
    <w:p>
      <w:pPr>
        <w:pStyle w:val="Heading3"/>
        <w:jc w:val="center"/>
      </w:pPr>
      <w:r>
        <w:rPr>
          <w:rFonts w:ascii="黑体" w:eastAsia="黑体" w:hint="eastAsia"/>
          <w:b w:val="0"/>
          <w:color w:val="000000" w:themeColor="text1"/>
          <w:sz w:val="24"/>
          <w14:textFill>
            <w14:solidFill>
              <w14:schemeClr w14:val="tx1"/>
            </w14:solidFill>
          </w14:textFill>
        </w:rPr>
        <w:t>三、投标人情况及资格证明文件</w:t>
      </w:r>
    </w:p>
    <w:p>
      <w:pPr>
        <w:ind w:firstLine="480" w:firstLineChars="200"/>
        <w:outlineLvl w:val="3"/>
        <w:rPr>
          <w:rFonts w:ascii="宋体" w:eastAsia="宋体" w:hAnsi="宋体" w:hint="eastAsia"/>
          <w:bCs/>
          <w:szCs w:val="32"/>
          <w:lang w:val="en-US" w:eastAsia="zh-CN" w:bidi="ar-SA"/>
        </w:rPr>
      </w:pPr>
      <w:r>
        <w:rPr>
          <w:rFonts w:ascii="宋体" w:eastAsia="宋体" w:hAnsi="宋体" w:hint="eastAsia"/>
          <w:bCs/>
          <w:szCs w:val="32"/>
          <w:lang w:val="en-US" w:eastAsia="zh-CN" w:bidi="ar-SA"/>
        </w:rPr>
        <w:t>（一）投标人资格证明文件</w:t>
      </w:r>
    </w:p>
    <w:p>
      <w:pPr>
        <w:spacing w:before="120" w:beforeLines="50"/>
        <w:ind w:firstLine="480" w:firstLineChars="200"/>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（特别提示：投标人须按本招标文件第一册第一章招标公告 “申请人的资格要求”（即投标人资格要求）提供相关的资格证明资料，未提供或提供不完整、不符合要求的，将作投标无效处理。）</w:t>
      </w:r>
    </w:p>
    <w:p>
      <w:pPr>
        <w:spacing w:line="360" w:lineRule="auto"/>
        <w:ind w:firstLine="480" w:firstLineChars="200"/>
        <w:rPr>
          <w:b/>
          <w:color w:val="000000" w:themeColor="text1"/>
          <w14:textFill>
            <w14:solidFill>
              <w14:schemeClr w14:val="tx1"/>
            </w14:solidFill>
          </w14:textFill>
        </w:rPr>
      </w:pPr>
    </w:p>
    <w:p>
      <w:pPr>
        <w:spacing w:line="360" w:lineRule="auto"/>
        <w:rPr>
          <w:rFonts w:eastAsia="黑体"/>
        </w:rPr>
      </w:pPr>
    </w:p>
    <w:p>
      <w:pPr>
        <w:ind w:firstLine="480" w:firstLineChars="200"/>
        <w:outlineLvl w:val="3"/>
        <w:rPr>
          <w:rFonts w:ascii="宋体" w:eastAsia="宋体" w:hAnsi="宋体" w:hint="eastAsia"/>
          <w:bCs/>
          <w:szCs w:val="32"/>
          <w:lang w:val="en-US" w:eastAsia="zh-CN" w:bidi="ar-SA"/>
        </w:rPr>
      </w:pPr>
      <w:r>
        <w:rPr>
          <w:rFonts w:ascii="宋体" w:eastAsia="宋体" w:hAnsi="宋体" w:hint="eastAsia"/>
          <w:bCs/>
          <w:szCs w:val="32"/>
          <w:lang w:val="en-US" w:eastAsia="zh-CN" w:bidi="ar-SA"/>
        </w:rPr>
        <w:t>（二）中小企业声明函、残疾人福利性单位声明函及监狱企业声明函</w:t>
      </w:r>
    </w:p>
    <w:p>
      <w:pPr>
        <w:spacing w:before="120" w:beforeLines="50"/>
        <w:ind w:firstLine="480" w:firstLineChars="200"/>
        <w:rPr>
          <w:rFonts w:ascii="宋体" w:eastAsia="宋体" w:hAnsi="宋体" w:hint="eastAsia"/>
          <w:b/>
          <w:bCs/>
          <w:color w:val="FF0000"/>
          <w:lang w:val="en-US" w:eastAsia="zh-CN"/>
        </w:rPr>
      </w:pPr>
      <w:r>
        <w:rPr>
          <w:rFonts w:ascii="宋体" w:eastAsia="宋体" w:hAnsi="宋体" w:hint="eastAsia"/>
          <w:b/>
          <w:bCs/>
          <w:color w:val="FF0000"/>
          <w:lang w:val="en-US" w:eastAsia="zh-CN"/>
        </w:rPr>
        <w:t>注：采购人、采购代理机构、评标委员会（评审小组）在依法进行资格审查、评审过程中，发现《中小企业声明函》存在明显笔误或者含义不明确的，按照政府采购相关规定要求供应商进行澄清、说明或补正。澄清、说明或补正后符合中小企业条件的供应商，可以享受中小企业扶持政策。（参照《广东省政府采购促进中小企业发展实施细则》第十八条精神）</w:t>
      </w:r>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b/>
          <w:color w:val="000000" w:themeColor="text1"/>
          <w14:textFill>
            <w14:solidFill>
              <w14:schemeClr w14:val="tx1"/>
            </w14:solidFill>
          </w14:textFill>
        </w:rPr>
      </w:pPr>
    </w:p>
    <w:p>
      <w:pPr>
        <w:jc w:val="center"/>
        <w:outlineLvl w:val="3"/>
        <w:rPr>
          <w:b/>
          <w:color w:val="000000" w:themeColor="text1"/>
          <w14:textFill>
            <w14:solidFill>
              <w14:schemeClr w14:val="tx1"/>
            </w14:solidFill>
          </w14:textFill>
        </w:rPr>
      </w:pPr>
      <w:r>
        <w:rPr>
          <w:rFonts w:hint="eastAsia"/>
          <w:b/>
          <w:color w:val="000000" w:themeColor="text1"/>
          <w14:textFill>
            <w14:solidFill>
              <w14:schemeClr w14:val="tx1"/>
            </w14:solidFill>
          </w14:textFill>
        </w:rPr>
        <w:t>1、</w:t>
      </w:r>
      <w:r>
        <w:rPr>
          <w:b/>
          <w:color w:val="000000" w:themeColor="text1"/>
          <w14:textFill>
            <w14:solidFill>
              <w14:schemeClr w14:val="tx1"/>
            </w14:solidFill>
          </w14:textFill>
        </w:rPr>
        <w:t>中小企业声明函（</w:t>
      </w:r>
      <w:r>
        <w:rPr>
          <w:rFonts w:hint="eastAsia"/>
          <w:b/>
          <w:color w:val="000000" w:themeColor="text1"/>
          <w14:textFill>
            <w14:solidFill>
              <w14:schemeClr w14:val="tx1"/>
            </w14:solidFill>
          </w14:textFill>
        </w:rPr>
        <w:t>服务</w:t>
      </w:r>
      <w:r>
        <w:rPr>
          <w:b/>
          <w:color w:val="000000" w:themeColor="text1"/>
          <w14:textFill>
            <w14:solidFill>
              <w14:schemeClr w14:val="tx1"/>
            </w14:solidFill>
          </w14:textFill>
        </w:rPr>
        <w:t xml:space="preserve">） </w:t>
      </w:r>
    </w:p>
    <w:p>
      <w:pPr>
        <w:spacing w:after="60" w:afterLines="25" w:line="300" w:lineRule="auto"/>
        <w:ind w:firstLine="480" w:firstLineChars="200"/>
        <w:rPr>
          <w:rFonts w:ascii="宋体" w:eastAsia="宋体" w:hAnsi="宋体"/>
          <w:szCs w:val="21"/>
        </w:rPr>
      </w:pPr>
      <w:r>
        <w:rPr>
          <w:rFonts w:ascii="宋体" w:eastAsia="宋体" w:hAnsi="宋体" w:hint="eastAsia"/>
          <w:szCs w:val="21"/>
        </w:rPr>
        <w:t>本投标人郑重声明，根据《政府采购促进中小企业发展管理办法》（财库﹝2020﹞46 号）的规定，本投标人参加</w:t>
      </w:r>
      <w:r>
        <w:rPr>
          <w:rFonts w:ascii="宋体" w:eastAsia="宋体" w:hAnsi="宋体" w:hint="eastAsia"/>
          <w:b/>
          <w:bCs/>
          <w:szCs w:val="21"/>
          <w:u w:val="single"/>
        </w:rPr>
        <w:t>（采购人名称）</w:t>
      </w:r>
      <w:r>
        <w:rPr>
          <w:rFonts w:ascii="宋体" w:eastAsia="宋体" w:hAnsi="宋体" w:hint="eastAsia"/>
          <w:szCs w:val="21"/>
        </w:rPr>
        <w:t>的</w:t>
      </w:r>
      <w:r>
        <w:rPr>
          <w:rFonts w:ascii="宋体" w:eastAsia="宋体" w:hAnsi="宋体" w:hint="eastAsia"/>
          <w:b/>
          <w:bCs/>
          <w:szCs w:val="21"/>
          <w:u w:val="single"/>
        </w:rPr>
        <w:t>2025年引航船艇管理服务</w:t>
      </w:r>
      <w:r>
        <w:rPr>
          <w:rFonts w:ascii="宋体" w:eastAsia="宋体" w:hAnsi="宋体" w:hint="eastAsia"/>
          <w:szCs w:val="21"/>
        </w:rPr>
        <w:t>采购活动，服务全部由符合政策要求的中小企业承接。相关企业的具体情况如下：</w:t>
      </w:r>
    </w:p>
    <w:p>
      <w:pPr>
        <w:spacing w:after="60" w:afterLines="25" w:line="300" w:lineRule="auto"/>
        <w:ind w:firstLine="480" w:firstLineChars="200"/>
        <w:rPr>
          <w:rFonts w:ascii="宋体" w:eastAsia="宋体" w:hAnsi="宋体"/>
          <w:szCs w:val="21"/>
        </w:rPr>
      </w:pPr>
      <w:r>
        <w:rPr>
          <w:rFonts w:ascii="宋体" w:eastAsia="宋体" w:hAnsi="宋体" w:hint="eastAsia"/>
          <w:szCs w:val="21"/>
        </w:rPr>
        <w:t>1.</w:t>
      </w:r>
      <w:r>
        <w:rPr>
          <w:rFonts w:ascii="宋体" w:eastAsia="宋体" w:hAnsi="宋体" w:hint="eastAsia"/>
          <w:b/>
          <w:bCs/>
          <w:szCs w:val="21"/>
          <w:u w:val="single"/>
        </w:rPr>
        <w:t xml:space="preserve"> 引航船艇管理服务</w:t>
      </w:r>
      <w:r>
        <w:rPr>
          <w:rFonts w:ascii="宋体" w:eastAsia="宋体" w:hAnsi="宋体" w:hint="eastAsia"/>
          <w:szCs w:val="21"/>
        </w:rPr>
        <w:t xml:space="preserve"> ，属于</w:t>
      </w:r>
      <w:r>
        <w:rPr>
          <w:rFonts w:ascii="宋体" w:eastAsia="宋体" w:hAnsi="宋体" w:hint="eastAsia"/>
          <w:b/>
          <w:bCs/>
          <w:szCs w:val="21"/>
          <w:u w:val="single"/>
        </w:rPr>
        <w:t xml:space="preserve">交通运输业 </w:t>
      </w:r>
      <w:r>
        <w:rPr>
          <w:rFonts w:ascii="宋体" w:eastAsia="宋体" w:hAnsi="宋体" w:hint="eastAsia"/>
          <w:szCs w:val="21"/>
        </w:rPr>
        <w:t>行业；承接企业为</w:t>
      </w:r>
      <w:r>
        <w:rPr>
          <w:rFonts w:ascii="宋体" w:eastAsia="宋体" w:hAnsi="宋体" w:hint="eastAsia"/>
          <w:b/>
          <w:bCs/>
          <w:szCs w:val="21"/>
          <w:u w:val="single"/>
        </w:rPr>
        <w:t>（企业名称）</w:t>
      </w:r>
      <w:r>
        <w:rPr>
          <w:rFonts w:ascii="宋体" w:eastAsia="宋体" w:hAnsi="宋体" w:hint="eastAsia"/>
          <w:szCs w:val="21"/>
        </w:rPr>
        <w:t>，从业人员</w:t>
      </w:r>
      <w:r>
        <w:rPr>
          <w:rFonts w:ascii="宋体" w:eastAsia="宋体" w:hAnsi="宋体" w:hint="eastAsia"/>
          <w:szCs w:val="21"/>
          <w:u w:val="single"/>
          <w:lang w:val="en-US" w:eastAsia="zh-CN"/>
        </w:rPr>
        <w:t xml:space="preserve">   </w:t>
      </w:r>
      <w:r>
        <w:rPr>
          <w:rFonts w:ascii="宋体" w:eastAsia="宋体" w:hAnsi="宋体" w:hint="eastAsia"/>
          <w:szCs w:val="21"/>
        </w:rPr>
        <w:t>人，营业收入为</w:t>
      </w:r>
      <w:r>
        <w:rPr>
          <w:rFonts w:ascii="宋体" w:eastAsia="宋体" w:hAnsi="宋体" w:hint="eastAsia"/>
          <w:szCs w:val="21"/>
          <w:u w:val="single"/>
          <w:lang w:val="en-US" w:eastAsia="zh-CN"/>
        </w:rPr>
        <w:t xml:space="preserve">   </w:t>
      </w:r>
      <w:r>
        <w:rPr>
          <w:rFonts w:ascii="宋体" w:eastAsia="宋体" w:hAnsi="宋体" w:hint="eastAsia"/>
          <w:szCs w:val="21"/>
        </w:rPr>
        <w:t>万元，资产总额为</w:t>
      </w:r>
      <w:r>
        <w:rPr>
          <w:rFonts w:ascii="宋体" w:eastAsia="宋体" w:hAnsi="宋体" w:hint="eastAsia"/>
          <w:szCs w:val="21"/>
          <w:u w:val="single"/>
          <w:lang w:val="en-US" w:eastAsia="zh-CN"/>
        </w:rPr>
        <w:t xml:space="preserve">   </w:t>
      </w:r>
      <w:r>
        <w:rPr>
          <w:rFonts w:ascii="宋体" w:eastAsia="宋体" w:hAnsi="宋体" w:hint="eastAsia"/>
          <w:szCs w:val="21"/>
        </w:rPr>
        <w:t>万元 ，属于</w:t>
      </w:r>
      <w:r>
        <w:rPr>
          <w:rFonts w:ascii="宋体" w:eastAsia="宋体" w:hAnsi="宋体" w:hint="eastAsia"/>
          <w:b/>
          <w:bCs/>
          <w:szCs w:val="21"/>
          <w:u w:val="single"/>
        </w:rPr>
        <w:t>（中型企业、小型企业、微型企业）</w:t>
      </w:r>
      <w:r>
        <w:rPr>
          <w:rFonts w:ascii="宋体" w:eastAsia="宋体" w:hAnsi="宋体" w:hint="eastAsia"/>
          <w:szCs w:val="21"/>
        </w:rPr>
        <w:t xml:space="preserve">； </w:t>
      </w:r>
    </w:p>
    <w:p>
      <w:pPr>
        <w:spacing w:after="60" w:afterLines="25" w:line="300" w:lineRule="auto"/>
        <w:ind w:firstLine="480" w:firstLineChars="200"/>
        <w:rPr>
          <w:rFonts w:ascii="宋体" w:eastAsia="宋体" w:hAnsi="宋体"/>
          <w:szCs w:val="21"/>
        </w:rPr>
      </w:pPr>
      <w:r>
        <w:rPr>
          <w:rFonts w:ascii="宋体" w:eastAsia="宋体" w:hAnsi="宋体" w:hint="eastAsia"/>
          <w:szCs w:val="21"/>
        </w:rPr>
        <w:t xml:space="preserve">…… </w:t>
      </w:r>
    </w:p>
    <w:p>
      <w:pPr>
        <w:spacing w:after="60" w:afterLines="25" w:line="300" w:lineRule="auto"/>
        <w:ind w:firstLine="480" w:firstLineChars="200"/>
        <w:rPr>
          <w:rFonts w:ascii="宋体" w:eastAsia="宋体" w:hAnsi="宋体"/>
          <w:szCs w:val="21"/>
        </w:rPr>
      </w:pPr>
      <w:r>
        <w:rPr>
          <w:rFonts w:ascii="宋体" w:eastAsia="宋体" w:hAnsi="宋体" w:hint="eastAsia"/>
          <w:szCs w:val="21"/>
        </w:rPr>
        <w:t>以上企业，不属于大企业的分支机构，不存在控股股东为大企业的情形，也不存在与大企业的负责人为同一人的情形。</w:t>
      </w:r>
    </w:p>
    <w:p>
      <w:pPr>
        <w:spacing w:after="60" w:afterLines="25" w:line="300" w:lineRule="auto"/>
        <w:ind w:firstLine="480" w:firstLineChars="200"/>
        <w:rPr>
          <w:rFonts w:ascii="宋体" w:eastAsia="宋体" w:hAnsi="宋体"/>
          <w:szCs w:val="21"/>
        </w:rPr>
      </w:pPr>
      <w:bookmarkStart w:id="49" w:name="_Hlk73562275"/>
      <w:r>
        <w:rPr>
          <w:rFonts w:ascii="宋体" w:eastAsia="宋体" w:hAnsi="宋体" w:hint="eastAsia"/>
          <w:szCs w:val="21"/>
        </w:rPr>
        <w:t>本投标人已知悉《政府采购促进中小企业发展管理办法》（财库〔2020〕46 号）、《中小企业划型标准规定》（工信部联企〔2011〕 300 号）、《统计上大中小微型企业划分办法（2017）》等规定，承诺提供的声明函内容是真实的，并知悉根据《政府采购促进中小企业发展管理办法》（财库〔2020〕46 号）第二十条规定，投标人按照本办法规定提供声明函内容不实的，属于提供虚假材料谋取中标，依照《政府采购法》等政府采购有关法律法规规定追究相应责任。</w:t>
      </w:r>
      <w:bookmarkEnd w:id="49"/>
    </w:p>
    <w:p>
      <w:pPr>
        <w:wordWrap w:val="0"/>
        <w:spacing w:after="60" w:afterLines="25" w:line="300" w:lineRule="auto"/>
        <w:ind w:firstLine="480" w:firstLineChars="200"/>
        <w:jc w:val="right"/>
        <w:rPr>
          <w:rFonts w:ascii="宋体" w:eastAsia="宋体" w:hAnsi="宋体"/>
          <w:szCs w:val="21"/>
        </w:rPr>
      </w:pPr>
      <w:r>
        <w:rPr>
          <w:rFonts w:ascii="宋体" w:eastAsia="宋体" w:hAnsi="宋体" w:hint="eastAsia"/>
          <w:szCs w:val="21"/>
        </w:rPr>
        <w:t xml:space="preserve">     投标人（投标单位）：       </w:t>
      </w:r>
    </w:p>
    <w:p>
      <w:pPr>
        <w:ind w:firstLine="6720" w:firstLineChars="2800"/>
        <w:rPr>
          <w:rFonts w:ascii="宋体" w:hAnsi="宋体"/>
          <w:color w:val="000000" w:themeColor="text1"/>
          <w:szCs w:val="21"/>
          <w14:textFill>
            <w14:solidFill>
              <w14:schemeClr w14:val="tx1"/>
            </w14:solidFill>
          </w14:textFill>
        </w:rPr>
      </w:pPr>
      <w:r>
        <w:rPr>
          <w:rFonts w:ascii="宋体" w:eastAsia="宋体" w:hAnsi="宋体" w:hint="eastAsia"/>
          <w:szCs w:val="21"/>
        </w:rPr>
        <w:t>日期：</w:t>
      </w:r>
    </w:p>
    <w:p>
      <w:pPr>
        <w:spacing w:after="60" w:afterLines="25" w:line="300" w:lineRule="auto"/>
        <w:ind w:firstLine="480" w:firstLineChars="200"/>
        <w:rPr>
          <w:rFonts w:ascii="Arial" w:eastAsia="宋体" w:hAnsi="Arial"/>
          <w:b/>
          <w:color w:val="FF0000"/>
          <w:highlight w:val="yellow"/>
        </w:rPr>
      </w:pPr>
    </w:p>
    <w:p>
      <w:pPr>
        <w:pStyle w:val="NormalIndent"/>
      </w:pPr>
    </w:p>
    <w:p/>
    <w:p>
      <w:pPr>
        <w:keepNext w:val="0"/>
        <w:keepLines w:val="0"/>
        <w:pageBreakBefore w:val="0"/>
        <w:widowControl/>
        <w:kinsoku/>
        <w:wordWrap/>
        <w:overflowPunct/>
        <w:topLinePunct w:val="0"/>
        <w:autoSpaceDE/>
        <w:autoSpaceDN/>
        <w:bidi w:val="0"/>
        <w:adjustRightInd/>
        <w:snapToGrid/>
        <w:jc w:val="center"/>
        <w:textAlignment w:val="auto"/>
        <w:outlineLvl w:val="9"/>
        <w:rPr>
          <w:rFonts w:hint="eastAsia"/>
          <w:b/>
          <w:color w:val="000000" w:themeColor="text1"/>
          <w14:textFill>
            <w14:solidFill>
              <w14:schemeClr w14:val="tx1"/>
            </w14:solidFill>
          </w14:textFill>
        </w:rPr>
      </w:pPr>
    </w:p>
    <w:p>
      <w:pPr>
        <w:jc w:val="center"/>
        <w:outlineLvl w:val="3"/>
        <w:rPr>
          <w:b/>
          <w:color w:val="000000" w:themeColor="text1"/>
          <w14:textFill>
            <w14:solidFill>
              <w14:schemeClr w14:val="tx1"/>
            </w14:solidFill>
          </w14:textFill>
        </w:rPr>
      </w:pPr>
      <w:r>
        <w:rPr>
          <w:rFonts w:hint="eastAsia"/>
          <w:b/>
          <w:color w:val="000000" w:themeColor="text1"/>
          <w14:textFill>
            <w14:solidFill>
              <w14:schemeClr w14:val="tx1"/>
            </w14:solidFill>
          </w14:textFill>
        </w:rPr>
        <w:t>2、残疾人福利性单位声明函（服务类）</w:t>
      </w:r>
    </w:p>
    <w:p>
      <w:pPr>
        <w:rPr>
          <w:b/>
          <w:bCs/>
          <w:color w:val="000000" w:themeColor="text1"/>
          <w14:textFill>
            <w14:solidFill>
              <w14:schemeClr w14:val="tx1"/>
            </w14:solidFill>
          </w14:textFill>
        </w:rPr>
      </w:pPr>
    </w:p>
    <w:p>
      <w:pPr>
        <w:spacing w:after="60" w:afterLines="25" w:line="300" w:lineRule="auto"/>
        <w:ind w:firstLine="480" w:firstLineChars="200"/>
        <w:rPr>
          <w:rFonts w:asciiTheme="minorEastAsia" w:hAnsiTheme="minorEastAsia"/>
          <w:szCs w:val="21"/>
        </w:rPr>
      </w:pPr>
      <w:r>
        <w:rPr>
          <w:rFonts w:asciiTheme="minorEastAsia" w:hAnsiTheme="minorEastAsia" w:hint="eastAsia"/>
          <w:szCs w:val="21"/>
        </w:rPr>
        <w:t>本投标人郑重声明，根据《财政部民政部中国残疾人联合会关于促进残疾人就业政府采购政策的通知》（财库〔2017〕141 号）的规定，本投标人参加</w:t>
      </w:r>
      <w:r>
        <w:rPr>
          <w:rFonts w:asciiTheme="minorEastAsia" w:hAnsiTheme="minorEastAsia" w:hint="eastAsia"/>
          <w:b/>
          <w:bCs/>
          <w:szCs w:val="21"/>
          <w:u w:val="single"/>
        </w:rPr>
        <w:t>（采购人名称）</w:t>
      </w:r>
      <w:r>
        <w:rPr>
          <w:rFonts w:asciiTheme="minorEastAsia" w:hAnsiTheme="minorEastAsia" w:hint="eastAsia"/>
          <w:szCs w:val="21"/>
        </w:rPr>
        <w:t>的</w:t>
      </w:r>
      <w:r>
        <w:rPr>
          <w:rFonts w:asciiTheme="minorEastAsia" w:hAnsiTheme="minorEastAsia" w:hint="eastAsia"/>
          <w:b/>
          <w:bCs/>
          <w:szCs w:val="21"/>
          <w:u w:val="single"/>
        </w:rPr>
        <w:t>2025年引航船艇管理服务</w:t>
      </w:r>
      <w:r>
        <w:rPr>
          <w:rFonts w:asciiTheme="minorEastAsia" w:hAnsiTheme="minorEastAsia" w:hint="eastAsia"/>
          <w:szCs w:val="21"/>
        </w:rPr>
        <w:t>采购活动，服务全部由符合政策要求的残疾人福利性单位承接。相关残疾人福利性单位的具体情况如下：</w:t>
      </w:r>
    </w:p>
    <w:p>
      <w:pPr>
        <w:spacing w:after="60" w:afterLines="25" w:line="300" w:lineRule="auto"/>
        <w:ind w:firstLine="480" w:firstLineChars="200"/>
        <w:rPr>
          <w:rFonts w:asciiTheme="minorEastAsia" w:hAnsiTheme="minorEastAsia"/>
          <w:szCs w:val="21"/>
        </w:rPr>
      </w:pPr>
      <w:r>
        <w:rPr>
          <w:rFonts w:asciiTheme="minorEastAsia" w:hAnsiTheme="minorEastAsia" w:hint="eastAsia"/>
          <w:szCs w:val="21"/>
        </w:rPr>
        <w:t>1.</w:t>
      </w:r>
      <w:r>
        <w:rPr>
          <w:rFonts w:asciiTheme="minorEastAsia" w:hAnsiTheme="minorEastAsia" w:hint="eastAsia"/>
          <w:b/>
          <w:bCs/>
          <w:szCs w:val="21"/>
          <w:u w:val="single"/>
        </w:rPr>
        <w:t xml:space="preserve"> 引航船艇管理服务</w:t>
      </w:r>
      <w:r>
        <w:rPr>
          <w:rFonts w:asciiTheme="minorEastAsia" w:hAnsiTheme="minorEastAsia" w:hint="eastAsia"/>
          <w:szCs w:val="21"/>
        </w:rPr>
        <w:t>，承接企业为</w:t>
      </w:r>
      <w:r>
        <w:rPr>
          <w:rFonts w:asciiTheme="minorEastAsia" w:hAnsiTheme="minorEastAsia" w:hint="eastAsia"/>
          <w:b/>
          <w:bCs/>
          <w:szCs w:val="21"/>
          <w:u w:val="single"/>
        </w:rPr>
        <w:t>（单位名称）</w:t>
      </w:r>
      <w:r>
        <w:rPr>
          <w:rFonts w:asciiTheme="minorEastAsia" w:hAnsiTheme="minorEastAsia" w:hint="eastAsia"/>
          <w:szCs w:val="21"/>
        </w:rPr>
        <w:t>，属于</w:t>
      </w:r>
      <w:r>
        <w:rPr>
          <w:rFonts w:asciiTheme="minorEastAsia" w:hAnsiTheme="minorEastAsia" w:hint="eastAsia"/>
          <w:b/>
          <w:bCs/>
          <w:szCs w:val="21"/>
          <w:u w:val="single"/>
        </w:rPr>
        <w:t>残疾人福利性单位</w:t>
      </w:r>
      <w:r>
        <w:rPr>
          <w:rFonts w:asciiTheme="minorEastAsia" w:hAnsiTheme="minorEastAsia" w:hint="eastAsia"/>
          <w:szCs w:val="21"/>
        </w:rPr>
        <w:t>；</w:t>
      </w:r>
    </w:p>
    <w:p>
      <w:pPr>
        <w:spacing w:after="60" w:afterLines="25" w:line="300" w:lineRule="auto"/>
        <w:ind w:firstLine="480" w:firstLineChars="200"/>
        <w:rPr>
          <w:rFonts w:asciiTheme="minorEastAsia" w:hAnsiTheme="minorEastAsia"/>
          <w:szCs w:val="21"/>
        </w:rPr>
      </w:pPr>
      <w:r>
        <w:rPr>
          <w:rFonts w:asciiTheme="minorEastAsia" w:hAnsiTheme="minorEastAsia" w:hint="eastAsia"/>
          <w:szCs w:val="21"/>
        </w:rPr>
        <w:t xml:space="preserve">…… </w:t>
      </w:r>
    </w:p>
    <w:p>
      <w:pPr>
        <w:spacing w:after="60" w:afterLines="25" w:line="300" w:lineRule="auto"/>
        <w:ind w:firstLine="480" w:firstLineChars="200"/>
        <w:rPr>
          <w:rFonts w:asciiTheme="minorEastAsia" w:hAnsiTheme="minorEastAsia"/>
          <w:szCs w:val="21"/>
        </w:rPr>
      </w:pPr>
      <w:r>
        <w:rPr>
          <w:rFonts w:asciiTheme="minorEastAsia" w:hAnsiTheme="minorEastAsia" w:hint="eastAsia"/>
          <w:szCs w:val="21"/>
        </w:rPr>
        <w:t>本投标人已知悉《财政部民政部中国残疾人联合会关于促进残疾人就业政府采购政策的通知》（财库〔2017〕141 号）的规定，承诺提供的声明函内容是真实的，如提供声明函内容不实，则依法追究相关法律责任。</w:t>
      </w:r>
    </w:p>
    <w:p>
      <w:pPr>
        <w:spacing w:after="60" w:afterLines="25" w:line="560" w:lineRule="exact"/>
        <w:ind w:firstLine="480" w:firstLineChars="200"/>
        <w:jc w:val="center"/>
        <w:rPr>
          <w:rFonts w:asciiTheme="minorEastAsia" w:hAnsiTheme="minorEastAsia"/>
        </w:rPr>
      </w:pPr>
    </w:p>
    <w:p>
      <w:pPr>
        <w:wordWrap w:val="0"/>
        <w:spacing w:after="60" w:afterLines="25" w:line="300" w:lineRule="auto"/>
        <w:ind w:firstLine="480" w:firstLineChars="200"/>
        <w:jc w:val="right"/>
        <w:rPr>
          <w:rFonts w:asciiTheme="minorEastAsia" w:hAnsiTheme="minorEastAsia"/>
          <w:szCs w:val="21"/>
        </w:rPr>
      </w:pPr>
      <w:r>
        <w:rPr>
          <w:rFonts w:asciiTheme="minorEastAsia" w:hAnsiTheme="minorEastAsia" w:hint="eastAsia"/>
          <w:szCs w:val="21"/>
        </w:rPr>
        <w:t xml:space="preserve">投标人（投标单位）：       </w:t>
      </w:r>
    </w:p>
    <w:p>
      <w:pPr>
        <w:ind w:firstLine="6720" w:firstLineChars="2800"/>
        <w:rPr>
          <w:rFonts w:ascii="宋体" w:hAnsi="宋体"/>
          <w:color w:val="000000" w:themeColor="text1"/>
          <w:szCs w:val="21"/>
          <w14:textFill>
            <w14:solidFill>
              <w14:schemeClr w14:val="tx1"/>
            </w14:solidFill>
          </w14:textFill>
        </w:rPr>
      </w:pPr>
      <w:r>
        <w:rPr>
          <w:rFonts w:asciiTheme="minorEastAsia" w:hAnsiTheme="minorEastAsia" w:hint="eastAsia"/>
          <w:szCs w:val="21"/>
        </w:rPr>
        <w:t>日期：</w:t>
      </w:r>
    </w:p>
    <w:p>
      <w:pPr>
        <w:ind w:firstLine="480" w:firstLineChars="200"/>
        <w:rPr>
          <w:rFonts w:ascii="宋体" w:hAnsi="宋体"/>
          <w:color w:val="000000" w:themeColor="text1"/>
          <w:szCs w:val="21"/>
          <w14:textFill>
            <w14:solidFill>
              <w14:schemeClr w14:val="tx1"/>
            </w14:solidFill>
          </w14:textFill>
        </w:rPr>
      </w:pPr>
    </w:p>
    <w:p>
      <w:pPr>
        <w:ind w:firstLine="480" w:firstLineChars="200"/>
        <w:rPr>
          <w:rFonts w:ascii="宋体" w:hAnsi="宋体"/>
          <w:color w:val="000000" w:themeColor="text1"/>
          <w:szCs w:val="21"/>
          <w14:textFill>
            <w14:solidFill>
              <w14:schemeClr w14:val="tx1"/>
            </w14:solidFill>
          </w14:textFill>
        </w:rPr>
      </w:pPr>
    </w:p>
    <w:p>
      <w:pPr>
        <w:jc w:val="center"/>
        <w:outlineLvl w:val="3"/>
        <w:rPr>
          <w:b/>
          <w:color w:val="000000" w:themeColor="text1"/>
          <w14:textFill>
            <w14:solidFill>
              <w14:schemeClr w14:val="tx1"/>
            </w14:solidFill>
          </w14:textFill>
        </w:rPr>
      </w:pPr>
      <w:r>
        <w:rPr>
          <w:rFonts w:hint="eastAsia"/>
          <w:b/>
          <w:color w:val="000000" w:themeColor="text1"/>
          <w14:textFill>
            <w14:solidFill>
              <w14:schemeClr w14:val="tx1"/>
            </w14:solidFill>
          </w14:textFill>
        </w:rPr>
        <w:t>3、监狱企业声明函【服务类，监狱企业如需享受优惠政策，还须另行提供省级以上监狱管理局、戒毒管理局（含新疆生产建设兵团）出具的监狱企业证明文件】</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本投标人郑重声明，根据《财政部司法部关于政府采购支持监狱企业发展有关问题的通知》（财库〔</w:t>
      </w:r>
      <w:r>
        <w:rPr>
          <w:rFonts w:ascii="宋体" w:hAnsi="宋体"/>
          <w:color w:val="000000" w:themeColor="text1"/>
          <w:szCs w:val="21"/>
          <w14:textFill>
            <w14:solidFill>
              <w14:schemeClr w14:val="tx1"/>
            </w14:solidFill>
          </w14:textFill>
        </w:rPr>
        <w:t>2014</w:t>
      </w:r>
      <w:r>
        <w:rPr>
          <w:rFonts w:ascii="宋体" w:hAnsi="宋体" w:hint="eastAsia"/>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68</w:t>
      </w:r>
      <w:r>
        <w:rPr>
          <w:rFonts w:ascii="宋体" w:hAnsi="宋体" w:hint="eastAsia"/>
          <w:color w:val="000000" w:themeColor="text1"/>
          <w:szCs w:val="21"/>
          <w14:textFill>
            <w14:solidFill>
              <w14:schemeClr w14:val="tx1"/>
            </w14:solidFill>
          </w14:textFill>
        </w:rPr>
        <w:t>号）的规定，本投标人</w:t>
      </w:r>
      <w:r>
        <w:rPr>
          <w:rFonts w:ascii="宋体" w:hAnsi="宋体" w:cstheme="minorBidi"/>
          <w:color w:val="000000" w:themeColor="text1"/>
          <w:szCs w:val="21"/>
          <w14:textFill>
            <w14:solidFill>
              <w14:schemeClr w14:val="tx1"/>
            </w14:solidFill>
          </w14:textFill>
        </w:rPr>
        <w:t>参加</w:t>
      </w:r>
      <w:r>
        <w:rPr>
          <w:rFonts w:ascii="宋体" w:hAnsi="宋体"/>
          <w:b/>
          <w:bCs/>
          <w:color w:val="000000" w:themeColor="text1"/>
          <w:szCs w:val="21"/>
          <w:u w:val="single"/>
          <w14:textFill>
            <w14:solidFill>
              <w14:schemeClr w14:val="tx1"/>
            </w14:solidFill>
          </w14:textFill>
        </w:rPr>
        <w:t>（</w:t>
      </w:r>
      <w:r>
        <w:rPr>
          <w:rFonts w:ascii="宋体" w:hAnsi="宋体" w:hint="eastAsia"/>
          <w:b/>
          <w:bCs/>
          <w:color w:val="000000" w:themeColor="text1"/>
          <w:szCs w:val="21"/>
          <w:u w:val="single"/>
          <w14:textFill>
            <w14:solidFill>
              <w14:schemeClr w14:val="tx1"/>
            </w14:solidFill>
          </w14:textFill>
        </w:rPr>
        <w:t>采购人</w:t>
      </w:r>
      <w:r>
        <w:rPr>
          <w:rFonts w:ascii="宋体" w:hAnsi="宋体"/>
          <w:b/>
          <w:bCs/>
          <w:color w:val="000000" w:themeColor="text1"/>
          <w:szCs w:val="21"/>
          <w:u w:val="single"/>
          <w14:textFill>
            <w14:solidFill>
              <w14:schemeClr w14:val="tx1"/>
            </w14:solidFill>
          </w14:textFill>
        </w:rPr>
        <w:t>名称）</w:t>
      </w:r>
      <w:r>
        <w:rPr>
          <w:rFonts w:ascii="宋体" w:hAnsi="宋体"/>
          <w:color w:val="000000" w:themeColor="text1"/>
          <w:szCs w:val="21"/>
          <w14:textFill>
            <w14:solidFill>
              <w14:schemeClr w14:val="tx1"/>
            </w14:solidFill>
          </w14:textFill>
        </w:rPr>
        <w:t>的</w:t>
      </w:r>
      <w:r>
        <w:rPr>
          <w:rFonts w:ascii="宋体" w:hAnsi="宋体" w:hint="eastAsia"/>
          <w:b/>
          <w:bCs/>
          <w:color w:val="000000" w:themeColor="text1"/>
          <w:szCs w:val="21"/>
          <w:u w:val="single"/>
          <w14:textFill>
            <w14:solidFill>
              <w14:schemeClr w14:val="tx1"/>
            </w14:solidFill>
          </w14:textFill>
        </w:rPr>
        <w:t>2025年引航船艇管理服务</w:t>
      </w:r>
      <w:r>
        <w:rPr>
          <w:rFonts w:ascii="宋体" w:hAnsi="宋体"/>
          <w:color w:val="000000" w:themeColor="text1"/>
          <w:szCs w:val="21"/>
          <w14:textFill>
            <w14:solidFill>
              <w14:schemeClr w14:val="tx1"/>
            </w14:solidFill>
          </w14:textFill>
        </w:rPr>
        <w:t>采购活动，</w:t>
      </w:r>
      <w:r>
        <w:rPr>
          <w:rFonts w:ascii="宋体" w:hAnsi="宋体" w:hint="eastAsia"/>
          <w:color w:val="000000" w:themeColor="text1"/>
          <w:szCs w:val="21"/>
          <w14:textFill>
            <w14:solidFill>
              <w14:schemeClr w14:val="tx1"/>
            </w14:solidFill>
          </w14:textFill>
        </w:rPr>
        <w:t>服务</w:t>
      </w:r>
      <w:r>
        <w:rPr>
          <w:rFonts w:ascii="宋体" w:hAnsi="宋体"/>
          <w:color w:val="000000" w:themeColor="text1"/>
          <w:szCs w:val="21"/>
          <w14:textFill>
            <w14:solidFill>
              <w14:schemeClr w14:val="tx1"/>
            </w14:solidFill>
          </w14:textFill>
        </w:rPr>
        <w:t>全部由符合政策要求的</w:t>
      </w:r>
      <w:r>
        <w:rPr>
          <w:rFonts w:ascii="宋体" w:hAnsi="宋体" w:hint="eastAsia"/>
          <w:color w:val="000000" w:themeColor="text1"/>
          <w:szCs w:val="21"/>
          <w14:textFill>
            <w14:solidFill>
              <w14:schemeClr w14:val="tx1"/>
            </w14:solidFill>
          </w14:textFill>
        </w:rPr>
        <w:t>监狱企业承接</w:t>
      </w:r>
      <w:r>
        <w:rPr>
          <w:rFonts w:ascii="宋体" w:hAnsi="宋体"/>
          <w:color w:val="000000" w:themeColor="text1"/>
          <w:szCs w:val="21"/>
          <w14:textFill>
            <w14:solidFill>
              <w14:schemeClr w14:val="tx1"/>
            </w14:solidFill>
          </w14:textFill>
        </w:rPr>
        <w:t>。相关</w:t>
      </w:r>
      <w:r>
        <w:rPr>
          <w:rFonts w:ascii="宋体" w:hAnsi="宋体" w:hint="eastAsia"/>
          <w:color w:val="000000" w:themeColor="text1"/>
          <w:szCs w:val="21"/>
          <w14:textFill>
            <w14:solidFill>
              <w14:schemeClr w14:val="tx1"/>
            </w14:solidFill>
          </w14:textFill>
        </w:rPr>
        <w:t>监狱企业</w:t>
      </w:r>
      <w:r>
        <w:rPr>
          <w:rFonts w:ascii="宋体" w:hAnsi="宋体"/>
          <w:color w:val="000000" w:themeColor="text1"/>
          <w:szCs w:val="21"/>
          <w14:textFill>
            <w14:solidFill>
              <w14:schemeClr w14:val="tx1"/>
            </w14:solidFill>
          </w14:textFill>
        </w:rPr>
        <w:t>的具体情况如下：</w:t>
      </w:r>
    </w:p>
    <w:p>
      <w:pPr>
        <w:ind w:firstLine="480" w:firstLineChars="200"/>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b/>
          <w:bCs/>
          <w:color w:val="000000" w:themeColor="text1"/>
          <w:szCs w:val="21"/>
          <w:u w:val="single"/>
          <w14:textFill>
            <w14:solidFill>
              <w14:schemeClr w14:val="tx1"/>
            </w14:solidFill>
          </w14:textFill>
        </w:rPr>
        <w:t xml:space="preserve"> </w:t>
      </w:r>
      <w:r>
        <w:rPr>
          <w:rFonts w:ascii="宋体" w:hAnsi="宋体" w:hint="eastAsia"/>
          <w:b/>
          <w:bCs/>
          <w:color w:val="000000" w:themeColor="text1"/>
          <w:szCs w:val="21"/>
          <w:u w:val="single"/>
          <w14:textFill>
            <w14:solidFill>
              <w14:schemeClr w14:val="tx1"/>
            </w14:solidFill>
          </w14:textFill>
        </w:rPr>
        <w:t>2025年引航船艇管理服务</w:t>
      </w:r>
      <w:r>
        <w:rPr>
          <w:rFonts w:ascii="宋体" w:hAnsi="宋体"/>
          <w:color w:val="000000" w:themeColor="text1"/>
          <w:szCs w:val="21"/>
          <w14:textFill>
            <w14:solidFill>
              <w14:schemeClr w14:val="tx1"/>
            </w14:solidFill>
          </w14:textFill>
        </w:rPr>
        <w:t xml:space="preserve"> </w:t>
      </w:r>
      <w:r>
        <w:rPr>
          <w:rFonts w:ascii="宋体" w:hAnsi="宋体" w:hint="eastAsia"/>
          <w:color w:val="000000" w:themeColor="text1"/>
          <w:szCs w:val="21"/>
          <w14:textFill>
            <w14:solidFill>
              <w14:schemeClr w14:val="tx1"/>
            </w14:solidFill>
          </w14:textFill>
        </w:rPr>
        <w:t>，承接单位</w:t>
      </w:r>
      <w:r>
        <w:rPr>
          <w:rFonts w:ascii="宋体" w:hAnsi="宋体"/>
          <w:color w:val="000000" w:themeColor="text1"/>
          <w:szCs w:val="21"/>
          <w14:textFill>
            <w14:solidFill>
              <w14:schemeClr w14:val="tx1"/>
            </w14:solidFill>
          </w14:textFill>
        </w:rPr>
        <w:t>为</w:t>
      </w:r>
      <w:r>
        <w:rPr>
          <w:rFonts w:ascii="宋体" w:hAnsi="宋体"/>
          <w:b/>
          <w:bCs/>
          <w:color w:val="000000" w:themeColor="text1"/>
          <w:szCs w:val="21"/>
          <w:u w:val="single"/>
          <w14:textFill>
            <w14:solidFill>
              <w14:schemeClr w14:val="tx1"/>
            </w14:solidFill>
          </w14:textFill>
        </w:rPr>
        <w:t>（</w:t>
      </w:r>
      <w:r>
        <w:rPr>
          <w:rFonts w:ascii="宋体" w:hAnsi="宋体" w:hint="eastAsia"/>
          <w:b/>
          <w:bCs/>
          <w:color w:val="000000" w:themeColor="text1"/>
          <w:szCs w:val="21"/>
          <w:u w:val="single"/>
          <w14:textFill>
            <w14:solidFill>
              <w14:schemeClr w14:val="tx1"/>
            </w14:solidFill>
          </w14:textFill>
        </w:rPr>
        <w:t>企业</w:t>
      </w:r>
      <w:r>
        <w:rPr>
          <w:rFonts w:ascii="宋体" w:hAnsi="宋体"/>
          <w:b/>
          <w:bCs/>
          <w:color w:val="000000" w:themeColor="text1"/>
          <w:szCs w:val="21"/>
          <w:u w:val="single"/>
          <w14:textFill>
            <w14:solidFill>
              <w14:schemeClr w14:val="tx1"/>
            </w14:solidFill>
          </w14:textFill>
        </w:rPr>
        <w:t>名称）</w:t>
      </w:r>
      <w:r>
        <w:rPr>
          <w:rFonts w:ascii="宋体" w:hAnsi="宋体"/>
          <w:color w:val="000000" w:themeColor="text1"/>
          <w:szCs w:val="21"/>
          <w14:textFill>
            <w14:solidFill>
              <w14:schemeClr w14:val="tx1"/>
            </w14:solidFill>
          </w14:textFill>
        </w:rPr>
        <w:t>，属于</w:t>
      </w:r>
      <w:r>
        <w:rPr>
          <w:rFonts w:ascii="宋体" w:hAnsi="宋体" w:hint="eastAsia"/>
          <w:b/>
          <w:bCs/>
          <w:color w:val="000000" w:themeColor="text1"/>
          <w:szCs w:val="21"/>
          <w:u w:val="single"/>
          <w14:textFill>
            <w14:solidFill>
              <w14:schemeClr w14:val="tx1"/>
            </w14:solidFill>
          </w14:textFill>
        </w:rPr>
        <w:t>监狱企业</w:t>
      </w:r>
      <w:r>
        <w:rPr>
          <w:rFonts w:ascii="宋体" w:hAnsi="宋体"/>
          <w:color w:val="000000" w:themeColor="text1"/>
          <w:szCs w:val="21"/>
          <w14:textFill>
            <w14:solidFill>
              <w14:schemeClr w14:val="tx1"/>
            </w14:solidFill>
          </w14:textFill>
        </w:rPr>
        <w:t>；</w:t>
      </w:r>
    </w:p>
    <w:p>
      <w:pPr>
        <w:ind w:firstLine="480" w:firstLineChars="200"/>
        <w:rPr>
          <w:rFonts w:ascii="宋体" w:hAnsi="宋体"/>
          <w:color w:val="000000" w:themeColor="text1"/>
          <w:szCs w:val="21"/>
          <w14:textFill>
            <w14:solidFill>
              <w14:schemeClr w14:val="tx1"/>
            </w14:solidFill>
          </w14:textFill>
        </w:rPr>
      </w:pPr>
      <w:r>
        <w:rPr>
          <w:rFonts w:ascii="宋体" w:hAnsi="宋体" w:cstheme="minorBidi"/>
          <w:color w:val="000000" w:themeColor="text1"/>
          <w:szCs w:val="21"/>
          <w14:textFill>
            <w14:solidFill>
              <w14:schemeClr w14:val="tx1"/>
            </w14:solidFill>
          </w14:textFill>
        </w:rPr>
        <w:t>本</w:t>
      </w:r>
      <w:r>
        <w:rPr>
          <w:rFonts w:ascii="宋体" w:hAnsi="宋体" w:cstheme="minorBidi" w:hint="eastAsia"/>
          <w:color w:val="000000" w:themeColor="text1"/>
          <w:szCs w:val="21"/>
          <w14:textFill>
            <w14:solidFill>
              <w14:schemeClr w14:val="tx1"/>
            </w14:solidFill>
          </w14:textFill>
        </w:rPr>
        <w:t>投标人</w:t>
      </w:r>
      <w:r>
        <w:rPr>
          <w:rFonts w:ascii="宋体" w:hAnsi="宋体"/>
          <w:color w:val="000000" w:themeColor="text1"/>
          <w:szCs w:val="21"/>
          <w14:textFill>
            <w14:solidFill>
              <w14:schemeClr w14:val="tx1"/>
            </w14:solidFill>
          </w14:textFill>
        </w:rPr>
        <w:t>对上述声明内容的真实性负责。如有虚假，将依法承担相应责任。</w:t>
      </w:r>
    </w:p>
    <w:p>
      <w:pPr>
        <w:ind w:firstLine="480" w:firstLineChars="200"/>
        <w:rPr>
          <w:rFonts w:ascii="宋体" w:hAnsi="宋体"/>
          <w:color w:val="FF0000"/>
          <w:szCs w:val="21"/>
        </w:rPr>
      </w:pPr>
      <w:r>
        <w:rPr>
          <w:rFonts w:ascii="宋体" w:hAnsi="宋体" w:hint="eastAsia"/>
          <w:color w:val="FF0000"/>
          <w:szCs w:val="21"/>
        </w:rPr>
        <w:t>附：省级以上监狱管理局、戒毒管理局（含新疆生产建设兵团）出具的监狱企业证明文件。</w:t>
      </w:r>
    </w:p>
    <w:p>
      <w:pPr>
        <w:ind w:left="723" w:hanging="720" w:hangingChars="300"/>
        <w:rPr>
          <w:b/>
          <w:color w:val="000000" w:themeColor="text1"/>
          <w14:textFill>
            <w14:solidFill>
              <w14:schemeClr w14:val="tx1"/>
            </w14:solidFill>
          </w14:textFill>
        </w:rPr>
      </w:pPr>
    </w:p>
    <w:p>
      <w:pPr>
        <w:wordWrap w:val="0"/>
        <w:spacing w:after="60" w:afterLines="25" w:line="300" w:lineRule="auto"/>
        <w:ind w:firstLine="480" w:firstLineChars="200"/>
        <w:jc w:val="right"/>
        <w:rPr>
          <w:rFonts w:asciiTheme="minorEastAsia" w:hAnsiTheme="minorEastAsia"/>
          <w:szCs w:val="21"/>
        </w:rPr>
      </w:pPr>
      <w:r>
        <w:rPr>
          <w:rFonts w:asciiTheme="minorEastAsia" w:hAnsiTheme="minorEastAsia" w:hint="eastAsia"/>
          <w:szCs w:val="21"/>
        </w:rPr>
        <w:t xml:space="preserve">投标人（投标单位）：       </w:t>
      </w:r>
    </w:p>
    <w:p>
      <w:pPr>
        <w:ind w:firstLine="6720" w:firstLineChars="2800"/>
        <w:rPr>
          <w:rFonts w:ascii="宋体" w:hAnsi="宋体"/>
          <w:color w:val="000000" w:themeColor="text1"/>
          <w:szCs w:val="21"/>
          <w14:textFill>
            <w14:solidFill>
              <w14:schemeClr w14:val="tx1"/>
            </w14:solidFill>
          </w14:textFill>
        </w:rPr>
      </w:pPr>
      <w:r>
        <w:rPr>
          <w:rFonts w:asciiTheme="minorEastAsia" w:hAnsiTheme="minorEastAsia" w:hint="eastAsia"/>
          <w:szCs w:val="21"/>
        </w:rPr>
        <w:t>日期：</w:t>
      </w:r>
    </w:p>
    <w:p>
      <w:pPr>
        <w:ind w:left="723" w:hanging="720" w:hangingChars="300"/>
        <w:rPr>
          <w:b/>
          <w:color w:val="000000" w:themeColor="text1"/>
          <w14:textFill>
            <w14:solidFill>
              <w14:schemeClr w14:val="tx1"/>
            </w14:solidFill>
          </w14:textFill>
        </w:rPr>
      </w:pPr>
    </w:p>
    <w:p>
      <w:pPr>
        <w:rPr>
          <w:rFonts w:eastAsia="黑体"/>
        </w:rPr>
      </w:pPr>
    </w:p>
    <w:p>
      <w:pPr>
        <w:rPr>
          <w:rFonts w:ascii="黑体" w:eastAsia="黑体" w:hint="eastAsia"/>
          <w:b w:val="0"/>
          <w:sz w:val="24"/>
          <w:szCs w:val="24"/>
        </w:rPr>
      </w:pPr>
      <w:r>
        <w:rPr>
          <w:rFonts w:ascii="黑体" w:eastAsia="黑体" w:hint="eastAsia"/>
          <w:b w:val="0"/>
          <w:sz w:val="24"/>
          <w:szCs w:val="24"/>
        </w:rPr>
        <w:br w:type="page"/>
      </w:r>
    </w:p>
    <w:p>
      <w:pPr>
        <w:pStyle w:val="Heading3"/>
        <w:jc w:val="center"/>
        <w:rPr>
          <w:rFonts w:ascii="黑体" w:eastAsia="黑体"/>
          <w:b w:val="0"/>
          <w:sz w:val="24"/>
          <w:szCs w:val="24"/>
        </w:rPr>
      </w:pPr>
      <w:r>
        <w:rPr>
          <w:rFonts w:ascii="黑体" w:eastAsia="黑体" w:hint="eastAsia"/>
          <w:b w:val="0"/>
          <w:sz w:val="24"/>
          <w:szCs w:val="24"/>
        </w:rPr>
        <w:t>四、项目详细报价</w:t>
      </w:r>
    </w:p>
    <w:p>
      <w:pPr>
        <w:keepNext w:val="0"/>
        <w:keepLines w:val="0"/>
        <w:pageBreakBefore w:val="0"/>
        <w:widowControl/>
        <w:kinsoku/>
        <w:wordWrap/>
        <w:overflowPunct/>
        <w:topLinePunct w:val="0"/>
        <w:autoSpaceDE/>
        <w:autoSpaceDN/>
        <w:bidi w:val="0"/>
        <w:adjustRightInd/>
        <w:snapToGrid/>
        <w:spacing w:line="240" w:lineRule="auto"/>
        <w:textAlignment w:val="auto"/>
        <w:rPr>
          <w:rFonts w:ascii="宋体" w:eastAsia="宋体" w:hAnsi="宋体" w:cs="宋体" w:hint="eastAsia"/>
          <w:color w:val="000000"/>
          <w:sz w:val="21"/>
          <w:szCs w:val="21"/>
        </w:rPr>
      </w:pPr>
      <w:r>
        <w:rPr>
          <w:rFonts w:ascii="宋体" w:eastAsia="宋体" w:hAnsi="宋体" w:cs="宋体" w:hint="eastAsia"/>
          <w:color w:val="000000"/>
          <w:sz w:val="21"/>
          <w:szCs w:val="21"/>
        </w:rPr>
        <w:t>项目名称：2025年引航船艇管理服务</w:t>
      </w:r>
    </w:p>
    <w:p>
      <w:pPr>
        <w:keepNext w:val="0"/>
        <w:keepLines w:val="0"/>
        <w:pageBreakBefore w:val="0"/>
        <w:widowControl/>
        <w:kinsoku/>
        <w:wordWrap/>
        <w:overflowPunct/>
        <w:topLinePunct w:val="0"/>
        <w:autoSpaceDE/>
        <w:autoSpaceDN/>
        <w:bidi w:val="0"/>
        <w:adjustRightInd/>
        <w:snapToGrid/>
        <w:spacing w:line="240" w:lineRule="auto"/>
        <w:textAlignment w:val="auto"/>
        <w:rPr>
          <w:rFonts w:ascii="宋体" w:eastAsia="宋体" w:hAnsi="宋体" w:cs="宋体" w:hint="eastAsia"/>
          <w:color w:val="000000"/>
          <w:sz w:val="21"/>
          <w:szCs w:val="21"/>
        </w:rPr>
      </w:pPr>
      <w:r>
        <w:rPr>
          <w:rFonts w:ascii="宋体" w:eastAsia="宋体" w:hAnsi="宋体" w:cs="宋体" w:hint="eastAsia"/>
          <w:color w:val="000000"/>
          <w:sz w:val="21"/>
          <w:szCs w:val="21"/>
        </w:rPr>
        <w:t>项目编号：SZDL2024002287</w:t>
      </w:r>
    </w:p>
    <w:tbl>
      <w:tblPr>
        <w:tblStyle w:val="TableNormal"/>
        <w:tblW w:w="85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044"/>
        <w:gridCol w:w="3568"/>
        <w:gridCol w:w="1937"/>
        <w:gridCol w:w="1968"/>
      </w:tblGrid>
      <w:tr>
        <w:tblPrEx>
          <w:tblW w:w="85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480"/>
          <w:jc w:val="center"/>
        </w:trPr>
        <w:tc>
          <w:tcPr>
            <w:tcW w:w="1044"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b/>
                <w:bCs/>
                <w:color w:val="000000"/>
                <w:sz w:val="21"/>
                <w:szCs w:val="21"/>
              </w:rPr>
            </w:pPr>
            <w:r>
              <w:rPr>
                <w:rFonts w:ascii="宋体" w:eastAsia="宋体" w:hAnsi="宋体" w:cs="宋体" w:hint="eastAsia"/>
                <w:b/>
                <w:bCs/>
                <w:color w:val="000000"/>
                <w:sz w:val="21"/>
                <w:szCs w:val="21"/>
              </w:rPr>
              <w:t>序号</w:t>
            </w:r>
          </w:p>
        </w:tc>
        <w:tc>
          <w:tcPr>
            <w:tcW w:w="3568"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b/>
                <w:bCs/>
                <w:color w:val="000000"/>
                <w:sz w:val="21"/>
                <w:szCs w:val="21"/>
              </w:rPr>
            </w:pPr>
            <w:r>
              <w:rPr>
                <w:rFonts w:ascii="宋体" w:eastAsia="宋体" w:hAnsi="宋体" w:cs="宋体" w:hint="eastAsia"/>
                <w:b/>
                <w:bCs/>
                <w:color w:val="000000"/>
                <w:sz w:val="21"/>
                <w:szCs w:val="21"/>
              </w:rPr>
              <w:t>项目内容</w:t>
            </w:r>
          </w:p>
        </w:tc>
        <w:tc>
          <w:tcPr>
            <w:tcW w:w="1937" w:type="dx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b/>
                <w:bCs/>
                <w:color w:val="000000"/>
                <w:sz w:val="21"/>
                <w:szCs w:val="21"/>
                <w:lang w:val="en-US" w:eastAsia="zh-CN"/>
              </w:rPr>
            </w:pPr>
            <w:r>
              <w:rPr>
                <w:rFonts w:ascii="宋体" w:eastAsia="宋体" w:hAnsi="宋体" w:cs="宋体" w:hint="eastAsia"/>
                <w:b/>
                <w:bCs/>
                <w:color w:val="000000"/>
                <w:sz w:val="21"/>
                <w:szCs w:val="21"/>
                <w:lang w:val="en-US" w:eastAsia="zh-CN"/>
              </w:rPr>
              <w:t>金额（元）</w:t>
            </w:r>
          </w:p>
        </w:tc>
        <w:tc>
          <w:tcPr>
            <w:tcW w:w="1968"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b/>
                <w:bCs/>
                <w:color w:val="000000"/>
                <w:sz w:val="21"/>
                <w:szCs w:val="21"/>
              </w:rPr>
            </w:pPr>
            <w:r>
              <w:rPr>
                <w:rFonts w:ascii="宋体" w:eastAsia="宋体" w:hAnsi="宋体" w:cs="宋体" w:hint="eastAsia"/>
                <w:b/>
                <w:bCs/>
                <w:color w:val="000000"/>
                <w:sz w:val="21"/>
                <w:szCs w:val="21"/>
              </w:rPr>
              <w:t>备注</w:t>
            </w:r>
          </w:p>
        </w:tc>
      </w:tr>
      <w:tr>
        <w:tblPrEx>
          <w:tblW w:w="8517" w:type="dxa"/>
          <w:jc w:val="center"/>
          <w:tblLayout w:type="fixed"/>
          <w:tblCellMar>
            <w:top w:w="0" w:type="dxa"/>
            <w:left w:w="108" w:type="dxa"/>
            <w:bottom w:w="0" w:type="dxa"/>
            <w:right w:w="108" w:type="dxa"/>
          </w:tblCellMar>
        </w:tblPrEx>
        <w:trPr>
          <w:trHeight w:val="480"/>
          <w:jc w:val="center"/>
        </w:trPr>
        <w:tc>
          <w:tcPr>
            <w:tcW w:w="1044"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color w:val="000000"/>
                <w:sz w:val="21"/>
                <w:szCs w:val="21"/>
              </w:rPr>
            </w:pPr>
            <w:r>
              <w:rPr>
                <w:rFonts w:ascii="宋体" w:eastAsia="宋体" w:hAnsi="宋体" w:cs="宋体" w:hint="eastAsia"/>
                <w:color w:val="000000"/>
                <w:sz w:val="21"/>
                <w:szCs w:val="21"/>
              </w:rPr>
              <w:t>1</w:t>
            </w:r>
          </w:p>
        </w:tc>
        <w:tc>
          <w:tcPr>
            <w:tcW w:w="3568" w:type="dx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color w:val="000000"/>
                <w:sz w:val="21"/>
                <w:szCs w:val="21"/>
              </w:rPr>
            </w:pPr>
            <w:r>
              <w:rPr>
                <w:rFonts w:ascii="宋体" w:eastAsia="宋体" w:hAnsi="宋体" w:cs="宋体" w:hint="eastAsia"/>
                <w:color w:val="000000"/>
                <w:sz w:val="21"/>
                <w:szCs w:val="21"/>
              </w:rPr>
              <w:t>引航船艇管理服务</w:t>
            </w:r>
          </w:p>
        </w:tc>
        <w:tc>
          <w:tcPr>
            <w:tcW w:w="1937"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color w:val="000000"/>
                <w:sz w:val="21"/>
                <w:szCs w:val="21"/>
              </w:rPr>
            </w:pPr>
          </w:p>
        </w:tc>
        <w:tc>
          <w:tcPr>
            <w:tcW w:w="1968"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ascii="宋体" w:eastAsia="宋体" w:hAnsi="宋体" w:cs="宋体" w:hint="eastAsia"/>
                <w:color w:val="000000"/>
                <w:sz w:val="21"/>
                <w:szCs w:val="21"/>
              </w:rPr>
            </w:pPr>
          </w:p>
        </w:tc>
      </w:tr>
      <w:tr>
        <w:tblPrEx>
          <w:tblW w:w="8517" w:type="dxa"/>
          <w:jc w:val="center"/>
          <w:tblLayout w:type="fixed"/>
          <w:tblCellMar>
            <w:top w:w="0" w:type="dxa"/>
            <w:left w:w="108" w:type="dxa"/>
            <w:bottom w:w="0" w:type="dxa"/>
            <w:right w:w="108" w:type="dxa"/>
          </w:tblCellMar>
        </w:tblPrEx>
        <w:trPr>
          <w:trHeight w:val="480"/>
          <w:jc w:val="center"/>
        </w:trPr>
        <w:tc>
          <w:tcPr>
            <w:tcW w:w="6549" w:type="dxa"/>
            <w:gridSpan w:val="3"/>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ascii="宋体" w:eastAsia="宋体" w:hAnsi="宋体" w:cs="宋体" w:hint="eastAsia"/>
                <w:color w:val="000000"/>
                <w:sz w:val="21"/>
                <w:szCs w:val="21"/>
              </w:rPr>
            </w:pPr>
            <w:r>
              <w:rPr>
                <w:rFonts w:ascii="宋体" w:eastAsia="宋体" w:hAnsi="宋体" w:cs="宋体" w:hint="eastAsia"/>
                <w:bCs/>
                <w:color w:val="000000"/>
                <w:sz w:val="21"/>
                <w:szCs w:val="21"/>
              </w:rPr>
              <w:t>投标总价（元）</w:t>
            </w:r>
            <w:r>
              <w:rPr>
                <w:rFonts w:ascii="宋体" w:eastAsia="宋体" w:hAnsi="宋体" w:cs="宋体" w:hint="eastAsia"/>
                <w:bCs/>
                <w:color w:val="000000"/>
                <w:sz w:val="21"/>
                <w:szCs w:val="21"/>
                <w:lang w:eastAsia="zh-CN"/>
              </w:rPr>
              <w:t>：</w:t>
            </w:r>
            <w:r>
              <w:rPr>
                <w:rFonts w:ascii="宋体" w:eastAsia="宋体" w:hAnsi="宋体" w:cs="宋体" w:hint="eastAsia"/>
                <w:bCs/>
                <w:color w:val="000000"/>
                <w:sz w:val="21"/>
                <w:szCs w:val="21"/>
              </w:rPr>
              <w:tab/>
            </w:r>
          </w:p>
        </w:tc>
        <w:tc>
          <w:tcPr>
            <w:tcW w:w="1968" w:type="dxa"/>
            <w:noWrap w:val="0"/>
            <w:vAlign w:val="center"/>
          </w:tcPr>
          <w:p>
            <w:pPr>
              <w:pStyle w:val="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ascii="宋体" w:eastAsia="宋体" w:hAnsi="宋体" w:cs="宋体" w:hint="eastAsia"/>
                <w:color w:val="000000"/>
                <w:sz w:val="21"/>
                <w:szCs w:val="21"/>
              </w:rPr>
            </w:pPr>
          </w:p>
        </w:tc>
      </w:tr>
    </w:tbl>
    <w:p>
      <w:pPr>
        <w:keepNext w:val="0"/>
        <w:keepLines w:val="0"/>
        <w:pageBreakBefore w:val="0"/>
        <w:widowControl/>
        <w:kinsoku/>
        <w:wordWrap/>
        <w:overflowPunct/>
        <w:topLinePunct w:val="0"/>
        <w:autoSpaceDE/>
        <w:autoSpaceDN/>
        <w:bidi w:val="0"/>
        <w:adjustRightInd/>
        <w:snapToGrid/>
        <w:spacing w:line="240" w:lineRule="auto"/>
        <w:textAlignment w:val="auto"/>
        <w:rPr>
          <w:rFonts w:ascii="宋体" w:eastAsia="宋体" w:hAnsi="宋体" w:cs="宋体" w:hint="eastAsia"/>
          <w:b/>
          <w:bCs/>
          <w:color w:val="000000"/>
          <w:sz w:val="21"/>
          <w:szCs w:val="21"/>
        </w:rPr>
      </w:pPr>
      <w:r>
        <w:rPr>
          <w:rFonts w:ascii="宋体" w:eastAsia="宋体" w:hAnsi="宋体" w:cs="宋体" w:hint="eastAsia"/>
          <w:b/>
          <w:bCs/>
          <w:color w:val="000000"/>
          <w:sz w:val="21"/>
          <w:szCs w:val="21"/>
        </w:rPr>
        <w:t>注：</w:t>
      </w:r>
    </w:p>
    <w:p>
      <w:pPr>
        <w:keepNext w:val="0"/>
        <w:keepLines w:val="0"/>
        <w:pageBreakBefore w:val="0"/>
        <w:widowControl/>
        <w:tabs>
          <w:tab w:val="left" w:pos="424"/>
        </w:tabs>
        <w:kinsoku/>
        <w:wordWrap/>
        <w:overflowPunct/>
        <w:topLinePunct w:val="0"/>
        <w:autoSpaceDE/>
        <w:autoSpaceDN/>
        <w:bidi w:val="0"/>
        <w:adjustRightInd/>
        <w:snapToGrid/>
        <w:spacing w:line="240" w:lineRule="auto"/>
        <w:jc w:val="left"/>
        <w:textAlignment w:val="auto"/>
        <w:rPr>
          <w:rFonts w:ascii="宋体" w:eastAsia="宋体" w:hAnsi="宋体" w:cs="宋体" w:hint="eastAsia"/>
          <w:b/>
          <w:color w:val="000000"/>
          <w:sz w:val="21"/>
          <w:szCs w:val="21"/>
        </w:rPr>
      </w:pPr>
      <w:r>
        <w:rPr>
          <w:rFonts w:ascii="宋体" w:eastAsia="宋体" w:hAnsi="宋体" w:cs="宋体" w:hint="eastAsia"/>
          <w:b/>
          <w:color w:val="000000"/>
          <w:sz w:val="21"/>
          <w:szCs w:val="21"/>
        </w:rPr>
        <w:t>1.本表格仅为指导性范本，供应商应根据项目具体情况对各分项内容进行调整提供详细分项报价。</w:t>
      </w:r>
    </w:p>
    <w:p>
      <w:pPr>
        <w:keepNext w:val="0"/>
        <w:keepLines w:val="0"/>
        <w:pageBreakBefore w:val="0"/>
        <w:widowControl/>
        <w:tabs>
          <w:tab w:val="left" w:pos="424"/>
        </w:tabs>
        <w:kinsoku/>
        <w:wordWrap/>
        <w:overflowPunct/>
        <w:topLinePunct w:val="0"/>
        <w:autoSpaceDE/>
        <w:autoSpaceDN/>
        <w:bidi w:val="0"/>
        <w:adjustRightInd/>
        <w:snapToGrid/>
        <w:spacing w:line="240" w:lineRule="auto"/>
        <w:jc w:val="left"/>
        <w:textAlignment w:val="auto"/>
        <w:rPr>
          <w:rFonts w:ascii="宋体" w:eastAsia="宋体" w:hAnsi="宋体" w:cs="宋体" w:hint="eastAsia"/>
          <w:b/>
          <w:color w:val="auto"/>
          <w:sz w:val="21"/>
          <w:szCs w:val="21"/>
        </w:rPr>
      </w:pPr>
      <w:r>
        <w:rPr>
          <w:rFonts w:ascii="宋体" w:eastAsia="宋体" w:hAnsi="宋体" w:cs="宋体" w:hint="eastAsia"/>
          <w:b/>
          <w:color w:val="000000"/>
          <w:sz w:val="21"/>
          <w:szCs w:val="21"/>
        </w:rPr>
        <w:t>2.分项报价的汇总价等于“开标一览表”中的</w:t>
      </w:r>
      <w:r>
        <w:rPr>
          <w:rFonts w:ascii="宋体" w:eastAsia="宋体" w:hAnsi="宋体" w:cs="宋体" w:hint="eastAsia"/>
          <w:b/>
          <w:color w:val="auto"/>
          <w:sz w:val="21"/>
          <w:szCs w:val="21"/>
        </w:rPr>
        <w:t>报价总价。</w:t>
      </w:r>
    </w:p>
    <w:p>
      <w:pPr>
        <w:keepNext w:val="0"/>
        <w:keepLines w:val="0"/>
        <w:pageBreakBefore w:val="0"/>
        <w:widowControl/>
        <w:kinsoku/>
        <w:wordWrap/>
        <w:overflowPunct/>
        <w:topLinePunct w:val="0"/>
        <w:autoSpaceDE/>
        <w:autoSpaceDN/>
        <w:bidi w:val="0"/>
        <w:adjustRightInd/>
        <w:snapToGrid/>
        <w:spacing w:line="240" w:lineRule="auto"/>
        <w:textAlignment w:val="auto"/>
        <w:rPr>
          <w:rFonts w:ascii="宋体" w:eastAsia="宋体" w:hAnsi="宋体" w:cs="宋体" w:hint="eastAsia"/>
          <w:b/>
          <w:color w:val="auto"/>
          <w:sz w:val="21"/>
          <w:szCs w:val="21"/>
        </w:rPr>
      </w:pPr>
      <w:r>
        <w:rPr>
          <w:rFonts w:ascii="宋体" w:eastAsia="宋体" w:hAnsi="宋体" w:cs="宋体" w:hint="eastAsia"/>
          <w:b/>
          <w:bCs/>
          <w:color w:val="auto"/>
          <w:sz w:val="21"/>
          <w:szCs w:val="21"/>
        </w:rPr>
        <w:t>3.</w:t>
      </w:r>
      <w:r>
        <w:rPr>
          <w:rFonts w:ascii="宋体" w:eastAsia="宋体" w:hAnsi="宋体" w:cs="宋体" w:hint="eastAsia"/>
          <w:b/>
          <w:color w:val="auto"/>
          <w:sz w:val="21"/>
          <w:szCs w:val="21"/>
        </w:rPr>
        <w:t>如果以上内容无法满足投标人对报价描述，可自行添加包含在价格因素内的一切内容，但不提供详细分项报价将视为没有实质性响应招标文件</w:t>
      </w:r>
      <w:r>
        <w:rPr>
          <w:rFonts w:ascii="宋体" w:eastAsia="宋体" w:hAnsi="宋体" w:cs="宋体" w:hint="eastAsia"/>
          <w:b w:val="0"/>
          <w:color w:val="auto"/>
          <w:sz w:val="21"/>
          <w:szCs w:val="21"/>
        </w:rPr>
        <w:t>。</w:t>
      </w:r>
    </w:p>
    <w:p/>
    <w:p>
      <w:pPr>
        <w:pStyle w:val="Heading3"/>
        <w:jc w:val="center"/>
        <w:rPr>
          <w:bCs w:val="0"/>
          <w:color w:val="000000" w:themeColor="text1"/>
          <w:sz w:val="24"/>
          <w:szCs w:val="24"/>
          <w14:textFill>
            <w14:solidFill>
              <w14:schemeClr w14:val="tx1"/>
            </w14:solidFill>
          </w14:textFill>
        </w:rPr>
      </w:pPr>
      <w:r>
        <w:rPr>
          <w:rFonts w:hint="eastAsia"/>
          <w:bCs w:val="0"/>
          <w:color w:val="000000" w:themeColor="text1"/>
          <w:sz w:val="24"/>
          <w:szCs w:val="24"/>
          <w14:textFill>
            <w14:solidFill>
              <w14:schemeClr w14:val="tx1"/>
            </w14:solidFill>
          </w14:textFill>
        </w:rPr>
        <w:t>五、项目完成（服务期满）后的服务承诺（格式自定）</w:t>
      </w:r>
    </w:p>
    <w:p>
      <w:pPr>
        <w:pStyle w:val="Heading3"/>
        <w:jc w:val="center"/>
        <w:rPr>
          <w:bCs w:val="0"/>
          <w:color w:val="000000" w:themeColor="text1"/>
          <w:sz w:val="24"/>
          <w:szCs w:val="24"/>
          <w14:textFill>
            <w14:solidFill>
              <w14:schemeClr w14:val="tx1"/>
            </w14:solidFill>
          </w14:textFill>
        </w:rPr>
      </w:pPr>
      <w:r>
        <w:rPr>
          <w:rFonts w:hint="eastAsia"/>
          <w:bCs w:val="0"/>
          <w:sz w:val="24"/>
          <w:szCs w:val="24"/>
        </w:rPr>
        <w:t>六、违约承诺（格式自定）</w:t>
      </w:r>
    </w:p>
    <w:p>
      <w:pPr>
        <w:pStyle w:val="Heading3"/>
        <w:jc w:val="center"/>
        <w:rPr>
          <w:rFonts w:hint="eastAsia"/>
          <w:bCs w:val="0"/>
          <w:sz w:val="24"/>
          <w:szCs w:val="24"/>
        </w:rPr>
      </w:pPr>
      <w:r>
        <w:rPr>
          <w:rFonts w:hint="eastAsia"/>
          <w:bCs w:val="0"/>
          <w:sz w:val="24"/>
          <w:szCs w:val="24"/>
          <w:lang w:val="en-US" w:eastAsia="zh-CN"/>
        </w:rPr>
        <w:t>七、供应商资质、认证情况</w:t>
      </w:r>
    </w:p>
    <w:p>
      <w:pPr>
        <w:pStyle w:val="Heading3"/>
        <w:jc w:val="center"/>
        <w:rPr>
          <w:bCs w:val="0"/>
          <w:sz w:val="24"/>
          <w:szCs w:val="24"/>
        </w:rPr>
      </w:pPr>
      <w:r>
        <w:rPr>
          <w:rFonts w:hint="eastAsia"/>
          <w:bCs w:val="0"/>
          <w:sz w:val="24"/>
          <w:szCs w:val="24"/>
          <w:lang w:val="en-US" w:eastAsia="zh-CN"/>
        </w:rPr>
        <w:t>八</w:t>
      </w:r>
      <w:r>
        <w:rPr>
          <w:rFonts w:hint="eastAsia"/>
          <w:bCs w:val="0"/>
          <w:sz w:val="24"/>
          <w:szCs w:val="24"/>
        </w:rPr>
        <w:t>、</w:t>
      </w:r>
      <w:r>
        <w:rPr>
          <w:rFonts w:hint="eastAsia"/>
          <w:bCs w:val="0"/>
          <w:color w:val="000000" w:themeColor="text1"/>
          <w:sz w:val="24"/>
          <w:szCs w:val="24"/>
          <w14:textFill>
            <w14:solidFill>
              <w14:schemeClr w14:val="tx1"/>
            </w14:solidFill>
          </w14:textFill>
        </w:rPr>
        <w:t>供应商同类业绩情况</w:t>
      </w:r>
    </w:p>
    <w:p>
      <w:pPr>
        <w:pStyle w:val="Heading3"/>
        <w:jc w:val="center"/>
        <w:rPr>
          <w:rFonts w:hint="eastAsia"/>
          <w:bCs w:val="0"/>
          <w:sz w:val="24"/>
          <w:szCs w:val="24"/>
          <w:lang w:val="en-US" w:eastAsia="zh-CN"/>
        </w:rPr>
      </w:pPr>
      <w:r>
        <w:rPr>
          <w:rFonts w:hint="eastAsia"/>
          <w:bCs w:val="0"/>
          <w:sz w:val="24"/>
          <w:szCs w:val="24"/>
          <w:lang w:val="en-US" w:eastAsia="zh-CN"/>
        </w:rPr>
        <w:t>九、项目拟使用的场地、工具、机器等情况</w:t>
      </w:r>
    </w:p>
    <w:p>
      <w:pPr>
        <w:pStyle w:val="Heading3"/>
        <w:jc w:val="center"/>
        <w:rPr>
          <w:rFonts w:hint="eastAsia"/>
          <w:bCs w:val="0"/>
          <w:sz w:val="24"/>
          <w:szCs w:val="24"/>
          <w:lang w:val="en-US" w:eastAsia="zh-CN"/>
        </w:rPr>
      </w:pPr>
      <w:r>
        <w:rPr>
          <w:rFonts w:hint="eastAsia"/>
          <w:bCs w:val="0"/>
          <w:sz w:val="24"/>
          <w:szCs w:val="24"/>
          <w:lang w:val="en-US" w:eastAsia="zh-CN"/>
        </w:rPr>
        <w:t>十、具备船艇维修保障技术力量情况</w:t>
      </w:r>
    </w:p>
    <w:p>
      <w:pPr>
        <w:pStyle w:val="Heading3"/>
        <w:jc w:val="center"/>
        <w:rPr>
          <w:bCs w:val="0"/>
          <w:color w:val="000000" w:themeColor="text1"/>
          <w:sz w:val="24"/>
          <w:szCs w:val="24"/>
          <w14:textFill>
            <w14:solidFill>
              <w14:schemeClr w14:val="tx1"/>
            </w14:solidFill>
          </w14:textFill>
        </w:rPr>
      </w:pPr>
      <w:r>
        <w:rPr>
          <w:rFonts w:hint="eastAsia"/>
          <w:bCs w:val="0"/>
          <w:color w:val="000000" w:themeColor="text1"/>
          <w:sz w:val="24"/>
          <w:szCs w:val="24"/>
          <w:lang w:val="en-US" w:eastAsia="zh-CN"/>
          <w14:textFill>
            <w14:solidFill>
              <w14:schemeClr w14:val="tx1"/>
            </w14:solidFill>
          </w14:textFill>
        </w:rPr>
        <w:t>十一、</w:t>
      </w:r>
      <w:r>
        <w:rPr>
          <w:rFonts w:hint="eastAsia"/>
          <w:bCs w:val="0"/>
          <w:color w:val="000000" w:themeColor="text1"/>
          <w:sz w:val="24"/>
          <w:szCs w:val="24"/>
          <w14:textFill>
            <w14:solidFill>
              <w14:schemeClr w14:val="tx1"/>
            </w14:solidFill>
          </w14:textFill>
        </w:rPr>
        <w:t>投标人认为需要加以说明的其他内容（格式自定）</w:t>
      </w:r>
    </w:p>
    <w:p>
      <w:pPr>
        <w:rPr>
          <w:rFonts w:eastAsia="黑体"/>
          <w:bCs/>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ind w:firstLine="1440" w:firstLineChars="600"/>
        <w:rPr>
          <w:b/>
          <w:color w:val="FF0000"/>
        </w:rPr>
      </w:pPr>
      <w:r>
        <w:rPr>
          <w:rFonts w:hint="eastAsia"/>
          <w:b/>
          <w:color w:val="FF0000"/>
        </w:rPr>
        <w:t>（信息公开部分的内容到此为止！以下为信息不公开部分。）</w:t>
      </w:r>
    </w:p>
    <w:p>
      <w:pPr>
        <w:ind w:firstLine="1440" w:firstLineChars="600"/>
        <w:rPr>
          <w:b/>
          <w:color w:val="FF0000"/>
        </w:rPr>
      </w:pPr>
    </w:p>
    <w:p>
      <w:pPr>
        <w:ind w:firstLine="1440" w:firstLineChars="600"/>
        <w:rPr>
          <w:b/>
          <w:color w:val="FF0000"/>
        </w:rPr>
      </w:pPr>
    </w:p>
    <w:p>
      <w:pPr>
        <w:rPr>
          <w:b/>
          <w:color w:val="FF0000"/>
        </w:rPr>
      </w:pPr>
      <w:r>
        <w:rPr>
          <w:b/>
          <w:color w:val="FF0000"/>
        </w:rPr>
        <w:br w:type="page"/>
      </w:r>
    </w:p>
    <w:p>
      <w:pPr>
        <w:outlineLvl w:val="1"/>
        <w:rPr>
          <w:rFonts w:ascii="宋体" w:hAnsi="宋体"/>
          <w:b/>
          <w:color w:val="FF0000"/>
          <w:sz w:val="28"/>
          <w:szCs w:val="28"/>
        </w:rPr>
      </w:pPr>
      <w:r>
        <w:rPr>
          <w:rFonts w:ascii="宋体" w:hAnsi="宋体" w:hint="eastAsia"/>
          <w:b/>
          <w:color w:val="FF0000"/>
          <w:sz w:val="28"/>
          <w:szCs w:val="28"/>
        </w:rPr>
        <w:t>投标文件附件（信息不公开部分）</w:t>
      </w:r>
    </w:p>
    <w:p>
      <w:pPr>
        <w:pStyle w:val="Heading3"/>
        <w:jc w:val="center"/>
        <w:rPr>
          <w:rFonts w:ascii="黑体" w:eastAsia="黑体"/>
          <w:b w:val="0"/>
          <w:sz w:val="24"/>
          <w:highlight w:val="none"/>
        </w:rPr>
      </w:pPr>
      <w:r>
        <w:rPr>
          <w:rFonts w:ascii="黑体" w:eastAsia="黑体" w:hint="eastAsia"/>
          <w:bCs w:val="0"/>
          <w:color w:val="000000" w:themeColor="text1"/>
          <w:sz w:val="24"/>
          <w14:textFill>
            <w14:solidFill>
              <w14:schemeClr w14:val="tx1"/>
            </w14:solidFill>
          </w14:textFill>
        </w:rPr>
        <w:t>一、</w:t>
      </w:r>
      <w:bookmarkStart w:id="50" w:name="_Hlk72092499"/>
      <w:r>
        <w:rPr>
          <w:rFonts w:ascii="黑体" w:eastAsia="黑体" w:hint="eastAsia"/>
          <w:b w:val="0"/>
          <w:sz w:val="24"/>
          <w:highlight w:val="none"/>
        </w:rPr>
        <w:t>法定代表人（负责人或</w:t>
      </w:r>
      <w:r>
        <w:rPr>
          <w:rFonts w:ascii="黑体" w:eastAsia="黑体" w:hint="eastAsia"/>
          <w:b w:val="0"/>
          <w:color w:val="4F81BD" w:themeColor="accent1"/>
          <w:sz w:val="24"/>
          <w:highlight w:val="none"/>
          <w14:textFill>
            <w14:solidFill>
              <w14:schemeClr w14:val="accent1"/>
            </w14:solidFill>
          </w14:textFill>
        </w:rPr>
        <w:t>执行事务合伙人</w:t>
      </w:r>
      <w:r>
        <w:rPr>
          <w:rFonts w:ascii="黑体" w:eastAsia="黑体" w:hint="eastAsia"/>
          <w:b w:val="0"/>
          <w:sz w:val="24"/>
          <w:highlight w:val="none"/>
        </w:rPr>
        <w:t>）资格证明书</w:t>
      </w:r>
      <w:bookmarkEnd w:id="50"/>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致友和保险经纪有限公司：</w:t>
      </w:r>
    </w:p>
    <w:p>
      <w:pPr>
        <w:spacing w:line="480" w:lineRule="exact"/>
        <w:rPr>
          <w:rFonts w:asciiTheme="minorEastAsia" w:eastAsiaTheme="minorEastAsia" w:hAnsiTheme="minorEastAsia" w:cstheme="minorEastAsia"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u w:val="single"/>
        </w:rPr>
      </w:pPr>
      <w:r>
        <w:rPr>
          <w:rFonts w:asciiTheme="minorEastAsia" w:eastAsiaTheme="minorEastAsia" w:hAnsiTheme="minorEastAsia" w:cstheme="minorEastAsia" w:hint="eastAsia"/>
          <w:color w:val="000000"/>
          <w:sz w:val="24"/>
        </w:rPr>
        <w:t>单位名称：</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rPr>
        <w:softHyphen/>
      </w:r>
      <w:r>
        <w:rPr>
          <w:rFonts w:asciiTheme="minorEastAsia" w:eastAsiaTheme="minorEastAsia" w:hAnsiTheme="minorEastAsia" w:cstheme="minorEastAsia" w:hint="eastAsia"/>
          <w:color w:val="000000"/>
          <w:sz w:val="24"/>
          <w:u w:val="single"/>
        </w:rPr>
        <w:softHyphen/>
      </w:r>
      <w:r>
        <w:rPr>
          <w:rFonts w:asciiTheme="minorEastAsia" w:eastAsiaTheme="minorEastAsia" w:hAnsiTheme="minorEastAsia" w:cstheme="minorEastAsia" w:hint="eastAsia"/>
          <w:color w:val="000000"/>
          <w:sz w:val="24"/>
          <w:u w:val="single"/>
        </w:rPr>
        <w:softHyphen/>
      </w:r>
      <w:r>
        <w:rPr>
          <w:rFonts w:asciiTheme="minorEastAsia" w:eastAsiaTheme="minorEastAsia" w:hAnsiTheme="minorEastAsia" w:cstheme="minorEastAsia" w:hint="eastAsia"/>
          <w:color w:val="000000"/>
          <w:sz w:val="24"/>
          <w:u w:val="single"/>
        </w:rPr>
        <w:softHyphen/>
      </w:r>
      <w:r>
        <w:rPr>
          <w:rFonts w:asciiTheme="minorEastAsia" w:eastAsiaTheme="minorEastAsia" w:hAnsiTheme="minorEastAsia" w:cstheme="minorEastAsia" w:hint="eastAsia"/>
          <w:color w:val="000000"/>
          <w:sz w:val="24"/>
          <w:u w:val="single"/>
        </w:rPr>
        <w:softHyphen/>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地    址：</w:t>
      </w:r>
      <w:r>
        <w:rPr>
          <w:rFonts w:asciiTheme="minorEastAsia" w:eastAsiaTheme="minorEastAsia" w:hAnsiTheme="minorEastAsia" w:cstheme="minorEastAsia" w:hint="eastAsia"/>
          <w:color w:val="000000"/>
          <w:sz w:val="24"/>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姓    名：</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lang w:val="en-US" w:eastAsia="zh-CN"/>
        </w:rPr>
        <w:t xml:space="preserve"> </w:t>
      </w:r>
      <w:r>
        <w:rPr>
          <w:rFonts w:asciiTheme="minorEastAsia" w:eastAsiaTheme="minorEastAsia" w:hAnsiTheme="minorEastAsia" w:cstheme="minorEastAsia" w:hint="eastAsia"/>
          <w:color w:val="000000"/>
          <w:sz w:val="24"/>
        </w:rPr>
        <w:t>性别：</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lang w:val="en-US" w:eastAsia="zh-CN"/>
        </w:rPr>
        <w:t xml:space="preserve"> </w:t>
      </w:r>
      <w:r>
        <w:rPr>
          <w:rFonts w:asciiTheme="minorEastAsia" w:eastAsiaTheme="minorEastAsia" w:hAnsiTheme="minorEastAsia" w:cstheme="minorEastAsia" w:hint="eastAsia"/>
          <w:color w:val="000000"/>
          <w:sz w:val="24"/>
        </w:rPr>
        <w:t>年龄：</w:t>
      </w:r>
      <w:r>
        <w:rPr>
          <w:rFonts w:asciiTheme="minorEastAsia" w:eastAsiaTheme="minorEastAsia" w:hAnsiTheme="minorEastAsia" w:cstheme="minorEastAsia" w:hint="eastAsia"/>
          <w:color w:val="000000"/>
          <w:sz w:val="24"/>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身份证号码：</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rPr>
        <w:t>职务：</w:t>
      </w:r>
      <w:r>
        <w:rPr>
          <w:rFonts w:asciiTheme="minorEastAsia" w:eastAsiaTheme="minorEastAsia" w:hAnsiTheme="minorEastAsia" w:cstheme="minorEastAsia" w:hint="eastAsia"/>
          <w:color w:val="000000"/>
          <w:sz w:val="24"/>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lang w:val="en-US" w:eastAsia="zh-CN"/>
        </w:rPr>
        <w:t>联系电话或手机号码</w:t>
      </w:r>
      <w:r>
        <w:rPr>
          <w:rFonts w:asciiTheme="minorEastAsia" w:eastAsiaTheme="minorEastAsia" w:hAnsiTheme="minorEastAsia" w:cstheme="minorEastAsia" w:hint="eastAsia"/>
          <w:color w:val="000000"/>
          <w:sz w:val="24"/>
          <w:highlight w:val="yellow"/>
          <w:u w:val="single"/>
          <w:lang w:val="en-US" w:eastAsia="zh-CN"/>
        </w:rPr>
        <w:t>：（如法定代表人为投标人代表，则必须需填写此项）</w:t>
      </w:r>
      <w:r>
        <w:rPr>
          <w:rFonts w:asciiTheme="minorEastAsia" w:eastAsiaTheme="minorEastAsia" w:hAnsiTheme="minorEastAsia" w:cstheme="minorEastAsia" w:hint="eastAsia"/>
          <w:color w:val="000000"/>
          <w:sz w:val="24"/>
          <w:highlight w:val="yellow"/>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我系</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rPr>
        <w:t>投标人名称</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rPr>
        <w:t>的法定代表人（</w:t>
      </w:r>
      <w:r>
        <w:rPr>
          <w:rFonts w:asciiTheme="minorEastAsia" w:eastAsiaTheme="minorEastAsia" w:hAnsiTheme="minorEastAsia" w:cstheme="minorEastAsia" w:hint="eastAsia"/>
          <w:color w:val="000000"/>
          <w:sz w:val="24"/>
          <w:lang w:eastAsia="zh-CN"/>
        </w:rPr>
        <w:t>负责人或执行事务合伙人</w:t>
      </w:r>
      <w:r>
        <w:rPr>
          <w:rFonts w:asciiTheme="minorEastAsia" w:eastAsiaTheme="minorEastAsia" w:hAnsiTheme="minorEastAsia" w:cstheme="minorEastAsia" w:hint="eastAsia"/>
          <w:color w:val="000000"/>
          <w:sz w:val="24"/>
        </w:rPr>
        <w:t>）。本证明书用于</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lang w:eastAsia="zh-CN"/>
        </w:rPr>
        <w:t>投标人</w:t>
      </w:r>
      <w:r>
        <w:rPr>
          <w:rFonts w:asciiTheme="minorEastAsia" w:eastAsiaTheme="minorEastAsia" w:hAnsiTheme="minorEastAsia" w:cstheme="minorEastAsia" w:hint="eastAsia"/>
          <w:color w:val="000000"/>
          <w:sz w:val="24"/>
          <w:u w:val="single"/>
        </w:rPr>
        <w:t>名称</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rPr>
        <w:t>签署</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lang w:eastAsia="zh-CN"/>
        </w:rPr>
        <w:t>2025年引航船艇管理服务</w:t>
      </w:r>
      <w:r>
        <w:rPr>
          <w:rFonts w:asciiTheme="minorEastAsia" w:eastAsiaTheme="minorEastAsia" w:hAnsiTheme="minorEastAsia" w:cstheme="minorEastAsia" w:hint="eastAsia"/>
          <w:color w:val="000000"/>
          <w:sz w:val="24"/>
          <w:u w:val="single"/>
        </w:rPr>
        <w:t>（SZDL2024XXXXXX）</w:t>
      </w:r>
      <w:r>
        <w:rPr>
          <w:rFonts w:asciiTheme="minorEastAsia" w:eastAsiaTheme="minorEastAsia" w:hAnsiTheme="minorEastAsia" w:cstheme="minorEastAsia" w:hint="eastAsia"/>
          <w:color w:val="000000"/>
          <w:sz w:val="24"/>
        </w:rPr>
        <w:t>项目的投标文件、进行合同投标、签署合同和处理与之有关的一切事务。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特此证明。</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日  期：</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年</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月</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日</w:t>
      </w:r>
    </w:p>
    <w:p>
      <w:pPr>
        <w:spacing w:line="360" w:lineRule="auto"/>
        <w:rPr>
          <w:rFonts w:asciiTheme="minorEastAsia" w:eastAsiaTheme="minorEastAsia" w:hAnsiTheme="minorEastAsia" w:cstheme="minorEastAsia" w:hint="eastAsia"/>
          <w:bCs/>
          <w:color w:val="000000"/>
          <w:sz w:val="24"/>
        </w:rPr>
      </w:pPr>
      <w:r>
        <w:rPr>
          <w:rFonts w:asciiTheme="minorEastAsia" w:eastAsiaTheme="minorEastAsia" w:hAnsiTheme="minorEastAsia" w:cstheme="minorEastAsia" w:hint="eastAsia"/>
          <w:color w:val="000000"/>
        </w:rPr>
        <w:pict>
          <v:shapetype id="_x0000_t202" coordsize="21600,21600" o:spt="202" path="m,l,21600r21600,l21600,xe">
            <v:stroke joinstyle="miter"/>
            <v:path gradientshapeok="t" o:connecttype="rect"/>
          </v:shapetype>
          <v:shape id="_x0000_s1026" o:spid="_x0000_s1025" type="#_x0000_t202" style="height:151.25pt;margin-left:0.15pt;margin-top:8.65pt;mso-height-relative:page;mso-width-relative:page;position:absolute;width:222.9pt;z-index:251658240" coordsize="21600,21600" filled="t" fillcolor="white" stroked="t">
            <v:stroke joinstyle="miter"/>
            <o:lock v:ext="edit" aspectratio="f"/>
            <v:textbox>
              <w:txbxContent>
                <w:p>
                  <w:pPr>
                    <w:widowControl/>
                    <w:jc w:val="left"/>
                    <w:rPr>
                      <w:rFonts w:ascii="宋体" w:hAnsi="宋体" w:cs="宋体"/>
                      <w:kern w:val="0"/>
                      <w:sz w:val="24"/>
                    </w:rPr>
                  </w:pPr>
                </w:p>
                <w:p>
                  <w:pPr>
                    <w:widowControl/>
                    <w:jc w:val="left"/>
                  </w:pPr>
                </w:p>
                <w:p>
                  <w:pPr>
                    <w:jc w:val="center"/>
                    <w:rPr>
                      <w:rFonts w:ascii="仿宋" w:eastAsia="仿宋" w:hAnsi="仿宋" w:cs="仿宋" w:hint="eastAsia"/>
                      <w:bCs/>
                      <w:sz w:val="22"/>
                      <w:szCs w:val="22"/>
                    </w:rPr>
                  </w:pPr>
                  <w:r>
                    <w:rPr>
                      <w:rFonts w:ascii="仿宋" w:eastAsia="仿宋" w:hAnsi="仿宋" w:cs="仿宋" w:hint="eastAsia"/>
                      <w:bCs/>
                      <w:sz w:val="22"/>
                      <w:szCs w:val="22"/>
                    </w:rPr>
                    <w:t>法定代表人（</w:t>
                  </w:r>
                  <w:r>
                    <w:rPr>
                      <w:rFonts w:ascii="仿宋" w:eastAsia="仿宋" w:hAnsi="仿宋" w:cs="仿宋" w:hint="eastAsia"/>
                      <w:bCs/>
                      <w:sz w:val="22"/>
                      <w:szCs w:val="22"/>
                      <w:lang w:eastAsia="zh-CN"/>
                    </w:rPr>
                    <w:t>负责人或执行事务合伙人</w:t>
                  </w:r>
                  <w:r>
                    <w:rPr>
                      <w:rFonts w:ascii="仿宋" w:eastAsia="仿宋" w:hAnsi="仿宋" w:cs="仿宋" w:hint="eastAsia"/>
                      <w:bCs/>
                      <w:sz w:val="22"/>
                      <w:szCs w:val="22"/>
                    </w:rPr>
                    <w:t>）</w:t>
                  </w:r>
                </w:p>
                <w:p>
                  <w:pPr>
                    <w:jc w:val="center"/>
                    <w:rPr>
                      <w:rFonts w:ascii="仿宋" w:eastAsia="仿宋" w:hAnsi="仿宋" w:cs="仿宋" w:hint="eastAsia"/>
                      <w:sz w:val="22"/>
                      <w:szCs w:val="28"/>
                    </w:rPr>
                  </w:pPr>
                  <w:r>
                    <w:rPr>
                      <w:rFonts w:ascii="仿宋" w:eastAsia="仿宋" w:hAnsi="仿宋" w:cs="仿宋" w:hint="eastAsia"/>
                      <w:bCs/>
                      <w:sz w:val="28"/>
                      <w:szCs w:val="28"/>
                    </w:rPr>
                    <w:t>身份证</w:t>
                  </w:r>
                  <w:r>
                    <w:rPr>
                      <w:rFonts w:ascii="仿宋" w:eastAsia="仿宋" w:hAnsi="仿宋" w:cs="仿宋" w:hint="eastAsia"/>
                      <w:sz w:val="28"/>
                      <w:szCs w:val="36"/>
                    </w:rPr>
                    <w:t>正面</w:t>
                  </w:r>
                </w:p>
              </w:txbxContent>
            </v:textbox>
          </v:shape>
        </w:pict>
      </w:r>
    </w:p>
    <w:p>
      <w:pPr>
        <w:spacing w:line="360" w:lineRule="auto"/>
        <w:rPr>
          <w:rFonts w:asciiTheme="minorEastAsia" w:eastAsiaTheme="minorEastAsia" w:hAnsiTheme="minorEastAsia" w:cstheme="minorEastAsia" w:hint="eastAsia"/>
          <w:bCs/>
          <w:color w:val="000000"/>
          <w:sz w:val="24"/>
        </w:rPr>
      </w:pPr>
    </w:p>
    <w:p>
      <w:pPr>
        <w:spacing w:line="360" w:lineRule="auto"/>
        <w:rPr>
          <w:rFonts w:asciiTheme="minorEastAsia" w:eastAsiaTheme="minorEastAsia" w:hAnsiTheme="minorEastAsia" w:cstheme="minorEastAsia" w:hint="eastAsia"/>
          <w:bCs/>
          <w:color w:val="000000"/>
          <w:sz w:val="24"/>
        </w:rPr>
      </w:pPr>
    </w:p>
    <w:p>
      <w:pPr>
        <w:spacing w:line="360" w:lineRule="auto"/>
        <w:rPr>
          <w:rFonts w:asciiTheme="minorEastAsia" w:eastAsiaTheme="minorEastAsia" w:hAnsiTheme="minorEastAsia" w:cstheme="minorEastAsia" w:hint="eastAsia"/>
          <w:bCs/>
          <w:color w:val="000000"/>
          <w:sz w:val="24"/>
        </w:rPr>
      </w:pPr>
    </w:p>
    <w:p>
      <w:pPr>
        <w:rPr>
          <w:rFonts w:asciiTheme="minorEastAsia" w:eastAsiaTheme="minorEastAsia" w:hAnsiTheme="minorEastAsia" w:cstheme="minorEastAsia" w:hint="eastAsia"/>
          <w:color w:val="000000"/>
          <w:sz w:val="24"/>
        </w:rPr>
      </w:pPr>
    </w:p>
    <w:p>
      <w:pPr>
        <w:rPr>
          <w:rFonts w:asciiTheme="minorEastAsia" w:eastAsiaTheme="minorEastAsia" w:hAnsiTheme="minorEastAsia" w:cstheme="minorEastAsia" w:hint="eastAsia"/>
          <w:color w:val="000000"/>
          <w:sz w:val="24"/>
        </w:rPr>
      </w:pPr>
    </w:p>
    <w:p>
      <w:pPr>
        <w:spacing w:after="60"/>
        <w:rPr>
          <w:rFonts w:asciiTheme="minorEastAsia" w:eastAsiaTheme="minorEastAsia" w:hAnsiTheme="minorEastAsia" w:cstheme="minorEastAsia" w:hint="eastAsia"/>
          <w:color w:val="000000"/>
          <w:sz w:val="24"/>
        </w:rPr>
      </w:pPr>
    </w:p>
    <w:p>
      <w:pPr>
        <w:rPr>
          <w:rFonts w:asciiTheme="minorEastAsia" w:eastAsiaTheme="minorEastAsia" w:hAnsiTheme="minorEastAsia" w:cstheme="minorEastAsia" w:hint="eastAsia"/>
          <w:color w:val="000000"/>
          <w:sz w:val="24"/>
        </w:rPr>
      </w:pPr>
    </w:p>
    <w:p>
      <w:pPr>
        <w:jc w:val="center"/>
        <w:rPr>
          <w:rFonts w:asciiTheme="minorEastAsia" w:eastAsiaTheme="minorEastAsia" w:hAnsiTheme="minorEastAsia" w:cstheme="minorEastAsia" w:hint="eastAsia"/>
          <w:b/>
          <w:bCs/>
          <w:color w:val="000000"/>
          <w:sz w:val="24"/>
        </w:rPr>
      </w:pPr>
      <w:r>
        <w:rPr>
          <w:rFonts w:asciiTheme="minorEastAsia" w:eastAsiaTheme="minorEastAsia" w:hAnsiTheme="minorEastAsia" w:cstheme="minorEastAsia" w:hint="eastAsia"/>
          <w:color w:val="000000"/>
        </w:rPr>
        <w:pict>
          <v:shape id="_x0000_s1026" o:spid="_x0000_s1026" type="#_x0000_t202" style="height:151.25pt;margin-left:236.2pt;margin-top:-150.35pt;mso-height-relative:page;mso-width-relative:page;position:absolute;width:219.1pt;z-index:251659264" coordsize="21600,21600" filled="t" fillcolor="white" stroked="t">
            <v:stroke joinstyle="miter"/>
            <o:lock v:ext="edit" aspectratio="f"/>
            <v:textbox>
              <w:txbxContent>
                <w:p>
                  <w:pPr>
                    <w:widowControl/>
                    <w:jc w:val="left"/>
                    <w:rPr>
                      <w:rFonts w:ascii="宋体" w:hAnsi="宋体" w:cs="宋体"/>
                      <w:kern w:val="0"/>
                      <w:sz w:val="24"/>
                    </w:rPr>
                  </w:pPr>
                </w:p>
                <w:p>
                  <w:pPr>
                    <w:widowControl/>
                    <w:jc w:val="left"/>
                  </w:pPr>
                </w:p>
                <w:p>
                  <w:pPr>
                    <w:jc w:val="center"/>
                    <w:rPr>
                      <w:rFonts w:ascii="仿宋" w:eastAsia="仿宋" w:hAnsi="仿宋" w:cs="仿宋" w:hint="eastAsia"/>
                      <w:bCs/>
                      <w:sz w:val="22"/>
                      <w:szCs w:val="22"/>
                    </w:rPr>
                  </w:pPr>
                  <w:r>
                    <w:rPr>
                      <w:rFonts w:ascii="仿宋" w:eastAsia="仿宋" w:hAnsi="仿宋" w:cs="仿宋" w:hint="eastAsia"/>
                      <w:bCs/>
                      <w:sz w:val="22"/>
                      <w:szCs w:val="22"/>
                    </w:rPr>
                    <w:t>法定代表人（</w:t>
                  </w:r>
                  <w:r>
                    <w:rPr>
                      <w:rFonts w:ascii="仿宋" w:eastAsia="仿宋" w:hAnsi="仿宋" w:cs="仿宋" w:hint="eastAsia"/>
                      <w:bCs/>
                      <w:sz w:val="22"/>
                      <w:szCs w:val="22"/>
                      <w:lang w:eastAsia="zh-CN"/>
                    </w:rPr>
                    <w:t>负责人或执行事务合伙人</w:t>
                  </w:r>
                  <w:r>
                    <w:rPr>
                      <w:rFonts w:ascii="仿宋" w:eastAsia="仿宋" w:hAnsi="仿宋" w:cs="仿宋" w:hint="eastAsia"/>
                      <w:bCs/>
                      <w:sz w:val="22"/>
                      <w:szCs w:val="22"/>
                    </w:rPr>
                    <w:t>）</w:t>
                  </w:r>
                </w:p>
                <w:p>
                  <w:pPr>
                    <w:jc w:val="center"/>
                    <w:rPr>
                      <w:rFonts w:ascii="仿宋" w:eastAsia="仿宋" w:hAnsi="仿宋" w:cs="仿宋" w:hint="eastAsia"/>
                      <w:bCs/>
                      <w:sz w:val="28"/>
                      <w:szCs w:val="28"/>
                    </w:rPr>
                  </w:pPr>
                  <w:r>
                    <w:rPr>
                      <w:rFonts w:ascii="仿宋" w:eastAsia="仿宋" w:hAnsi="仿宋" w:cs="仿宋" w:hint="eastAsia"/>
                      <w:bCs/>
                      <w:sz w:val="28"/>
                      <w:szCs w:val="28"/>
                    </w:rPr>
                    <w:t>身份证反面</w:t>
                  </w:r>
                </w:p>
              </w:txbxContent>
            </v:textbox>
          </v:shape>
        </w:pict>
      </w:r>
    </w:p>
    <w:p>
      <w:pPr>
        <w:snapToGrid w:val="0"/>
        <w:ind w:left="840" w:hanging="840" w:hangingChars="350"/>
        <w:rPr>
          <w:rFonts w:asciiTheme="minorEastAsia" w:eastAsiaTheme="minorEastAsia" w:hAnsiTheme="minorEastAsia" w:cstheme="minorEastAsia" w:hint="eastAsia"/>
          <w:bCs/>
          <w:color w:val="000000"/>
          <w:sz w:val="24"/>
        </w:rPr>
      </w:pPr>
      <w:r>
        <w:rPr>
          <w:rFonts w:asciiTheme="minorEastAsia" w:eastAsiaTheme="minorEastAsia" w:hAnsiTheme="minorEastAsia" w:cstheme="minorEastAsia" w:hint="eastAsia"/>
          <w:bCs/>
          <w:color w:val="000000"/>
          <w:sz w:val="24"/>
        </w:rPr>
        <w:t>说明：</w:t>
      </w:r>
    </w:p>
    <w:p>
      <w:pPr>
        <w:snapToGrid w:val="0"/>
        <w:ind w:firstLine="480" w:firstLineChars="200"/>
        <w:rPr>
          <w:rFonts w:asciiTheme="minorEastAsia" w:eastAsiaTheme="minorEastAsia" w:hAnsiTheme="minorEastAsia" w:cstheme="minorEastAsia" w:hint="eastAsia"/>
          <w:bCs/>
          <w:color w:val="000000"/>
          <w:sz w:val="24"/>
          <w:lang w:eastAsia="zh-CN"/>
        </w:rPr>
      </w:pPr>
      <w:r>
        <w:rPr>
          <w:rFonts w:asciiTheme="minorEastAsia" w:eastAsiaTheme="minorEastAsia" w:hAnsiTheme="minorEastAsia" w:cstheme="minorEastAsia" w:hint="eastAsia"/>
          <w:bCs/>
          <w:color w:val="000000"/>
          <w:sz w:val="24"/>
        </w:rPr>
        <w:t>1.</w:t>
      </w:r>
      <w:r>
        <w:rPr>
          <w:rFonts w:hint="eastAsia"/>
          <w:szCs w:val="21"/>
          <w:highlight w:val="none"/>
        </w:rPr>
        <w:t>法定代表人（负责人或</w:t>
      </w:r>
      <w:r>
        <w:rPr>
          <w:rFonts w:hint="eastAsia"/>
          <w:color w:val="4F81BD" w:themeColor="accent1"/>
          <w:szCs w:val="21"/>
          <w:highlight w:val="none"/>
          <w14:textFill>
            <w14:solidFill>
              <w14:schemeClr w14:val="accent1"/>
            </w14:solidFill>
          </w14:textFill>
        </w:rPr>
        <w:t>执行事务合伙人</w:t>
      </w:r>
      <w:r>
        <w:rPr>
          <w:rFonts w:hint="eastAsia"/>
          <w:szCs w:val="21"/>
          <w:highlight w:val="none"/>
        </w:rPr>
        <w:t>）为投标人（企业事业单位、国家机关、社会团体）的主要行政负责人。</w:t>
      </w:r>
      <w:r>
        <w:rPr>
          <w:rFonts w:asciiTheme="minorEastAsia" w:eastAsiaTheme="minorEastAsia" w:hAnsiTheme="minorEastAsia" w:cstheme="minorEastAsia" w:hint="eastAsia"/>
          <w:bCs/>
          <w:color w:val="000000"/>
          <w:sz w:val="24"/>
        </w:rPr>
        <w:t>须提供法定代表人（</w:t>
      </w:r>
      <w:r>
        <w:rPr>
          <w:rFonts w:asciiTheme="minorEastAsia" w:eastAsiaTheme="minorEastAsia" w:hAnsiTheme="minorEastAsia" w:cstheme="minorEastAsia" w:hint="eastAsia"/>
          <w:bCs/>
          <w:color w:val="000000"/>
          <w:sz w:val="24"/>
          <w:lang w:eastAsia="zh-CN"/>
        </w:rPr>
        <w:t>负责人或执行事务合伙人</w:t>
      </w:r>
      <w:r>
        <w:rPr>
          <w:rFonts w:asciiTheme="minorEastAsia" w:eastAsiaTheme="minorEastAsia" w:hAnsiTheme="minorEastAsia" w:cstheme="minorEastAsia" w:hint="eastAsia"/>
          <w:bCs/>
          <w:color w:val="000000"/>
          <w:sz w:val="24"/>
        </w:rPr>
        <w:t>）的身份证</w:t>
      </w:r>
      <w:r>
        <w:rPr>
          <w:rFonts w:asciiTheme="minorEastAsia" w:eastAsiaTheme="minorEastAsia" w:hAnsiTheme="minorEastAsia" w:cstheme="minorEastAsia" w:hint="eastAsia"/>
          <w:bCs/>
          <w:color w:val="000000"/>
          <w:sz w:val="24"/>
          <w:lang w:eastAsia="zh-CN"/>
        </w:rPr>
        <w:t>扫描</w:t>
      </w:r>
      <w:r>
        <w:rPr>
          <w:rFonts w:asciiTheme="minorEastAsia" w:eastAsiaTheme="minorEastAsia" w:hAnsiTheme="minorEastAsia" w:cstheme="minorEastAsia" w:hint="eastAsia"/>
          <w:bCs/>
          <w:color w:val="000000"/>
          <w:sz w:val="24"/>
        </w:rPr>
        <w:t>件</w:t>
      </w:r>
      <w:r>
        <w:rPr>
          <w:rFonts w:asciiTheme="minorEastAsia" w:eastAsiaTheme="minorEastAsia" w:hAnsiTheme="minorEastAsia" w:cstheme="minorEastAsia" w:hint="eastAsia"/>
          <w:bCs/>
          <w:color w:val="000000"/>
          <w:sz w:val="24"/>
          <w:lang w:eastAsia="zh-CN"/>
        </w:rPr>
        <w:t>；港澳台居民可提供来往通行证扫描</w:t>
      </w:r>
      <w:r>
        <w:rPr>
          <w:rFonts w:asciiTheme="minorEastAsia" w:eastAsiaTheme="minorEastAsia" w:hAnsiTheme="minorEastAsia" w:cstheme="minorEastAsia" w:hint="eastAsia"/>
          <w:bCs/>
          <w:color w:val="000000"/>
          <w:sz w:val="24"/>
        </w:rPr>
        <w:t>件</w:t>
      </w:r>
      <w:r>
        <w:rPr>
          <w:rFonts w:asciiTheme="minorEastAsia" w:eastAsiaTheme="minorEastAsia" w:hAnsiTheme="minorEastAsia" w:cstheme="minorEastAsia" w:hint="eastAsia"/>
          <w:bCs/>
          <w:color w:val="000000"/>
          <w:sz w:val="24"/>
          <w:lang w:eastAsia="zh-CN"/>
        </w:rPr>
        <w:t>；非中国国籍管辖范围人员，可提供公安部门认可的身份证明材料扫描</w:t>
      </w:r>
      <w:r>
        <w:rPr>
          <w:rFonts w:asciiTheme="minorEastAsia" w:eastAsiaTheme="minorEastAsia" w:hAnsiTheme="minorEastAsia" w:cstheme="minorEastAsia" w:hint="eastAsia"/>
          <w:bCs/>
          <w:color w:val="000000"/>
          <w:sz w:val="24"/>
        </w:rPr>
        <w:t>件</w:t>
      </w:r>
      <w:r>
        <w:rPr>
          <w:rFonts w:asciiTheme="minorEastAsia" w:eastAsiaTheme="minorEastAsia" w:hAnsiTheme="minorEastAsia" w:cstheme="minorEastAsia" w:hint="eastAsia"/>
          <w:bCs/>
          <w:color w:val="000000"/>
          <w:sz w:val="24"/>
          <w:lang w:eastAsia="zh-CN"/>
        </w:rPr>
        <w:t>；</w:t>
      </w:r>
    </w:p>
    <w:p>
      <w:pPr>
        <w:snapToGrid w:val="0"/>
        <w:ind w:firstLine="480" w:firstLineChars="200"/>
        <w:rPr>
          <w:rFonts w:asciiTheme="minorEastAsia" w:eastAsiaTheme="minorEastAsia" w:hAnsiTheme="minorEastAsia" w:cstheme="minorEastAsia" w:hint="eastAsia"/>
          <w:bCs/>
          <w:color w:val="000000"/>
          <w:sz w:val="24"/>
          <w:lang w:val="en-US" w:eastAsia="zh-CN"/>
        </w:rPr>
      </w:pPr>
      <w:r>
        <w:rPr>
          <w:rFonts w:asciiTheme="minorEastAsia" w:eastAsiaTheme="minorEastAsia" w:hAnsiTheme="minorEastAsia" w:cstheme="minorEastAsia" w:hint="eastAsia"/>
          <w:bCs/>
          <w:color w:val="000000"/>
          <w:sz w:val="24"/>
          <w:lang w:val="en-US" w:eastAsia="zh-CN"/>
        </w:rPr>
        <w:t>2.招投标文件中涉及需法定代表人之处，非法人组织可由负责人或执行事务合伙人执行。</w:t>
      </w:r>
    </w:p>
    <w:p>
      <w:pPr>
        <w:snapToGrid w:val="0"/>
        <w:ind w:firstLine="480" w:firstLineChars="200"/>
        <w:rPr>
          <w:rFonts w:asciiTheme="minorEastAsia" w:eastAsiaTheme="minorEastAsia" w:hAnsiTheme="minorEastAsia" w:cstheme="minorEastAsia" w:hint="eastAsia"/>
          <w:bCs/>
          <w:color w:val="000000"/>
          <w:sz w:val="24"/>
          <w:lang w:val="en-US" w:eastAsia="zh-CN"/>
        </w:rPr>
      </w:pPr>
      <w:r>
        <w:rPr>
          <w:rFonts w:asciiTheme="minorEastAsia" w:eastAsiaTheme="minorEastAsia" w:hAnsiTheme="minorEastAsia" w:cstheme="minorEastAsia" w:hint="eastAsia"/>
          <w:bCs/>
          <w:color w:val="000000"/>
          <w:sz w:val="24"/>
          <w:lang w:val="en-US" w:eastAsia="zh-CN"/>
        </w:rPr>
        <w:t>3.如是法定代表人（负责人或执行事务合伙人）直接参与投标，必须填写《法定代表人（负责人或执行事务合伙人）资格证明书》，可不用填写《投标文件签署授权委托书》。</w:t>
      </w:r>
    </w:p>
    <w:p>
      <w:pPr>
        <w:pStyle w:val="NormalIndent"/>
        <w:rPr>
          <w:rFonts w:hint="eastAsia"/>
          <w:lang w:val="en-US" w:eastAsia="zh-CN"/>
        </w:rPr>
      </w:pPr>
      <w:r>
        <w:rPr>
          <w:rFonts w:eastAsia="宋体" w:hint="eastAsia"/>
          <w:szCs w:val="21"/>
          <w:highlight w:val="none"/>
          <w:lang w:val="en-US" w:eastAsia="zh-CN"/>
        </w:rPr>
        <w:t>4.</w:t>
      </w:r>
      <w:r>
        <w:rPr>
          <w:rFonts w:hint="eastAsia"/>
          <w:szCs w:val="21"/>
          <w:highlight w:val="none"/>
        </w:rPr>
        <w:t>内容必须填写真实、清</w:t>
      </w:r>
      <w:r>
        <w:rPr>
          <w:rFonts w:hint="eastAsia"/>
          <w:szCs w:val="21"/>
          <w:highlight w:val="none"/>
          <w:lang w:val="en-US" w:eastAsia="zh-CN"/>
        </w:rPr>
        <w:t>楚，涂改无效，不得转让、买卖。</w:t>
      </w:r>
    </w:p>
    <w:p>
      <w:pPr>
        <w:pStyle w:val="NormalIndent"/>
      </w:pPr>
    </w:p>
    <w:p/>
    <w:p>
      <w:pPr>
        <w:pStyle w:val="Heading3"/>
        <w:spacing w:before="120" w:after="120"/>
        <w:jc w:val="center"/>
        <w:rPr>
          <w:rFonts w:ascii="黑体" w:eastAsia="黑体"/>
          <w:b w:val="0"/>
          <w:sz w:val="24"/>
          <w:highlight w:val="none"/>
        </w:rPr>
      </w:pPr>
      <w:r>
        <w:rPr>
          <w:rFonts w:ascii="黑体" w:eastAsia="黑体" w:hint="eastAsia"/>
          <w:b w:val="0"/>
          <w:sz w:val="24"/>
          <w:highlight w:val="none"/>
        </w:rPr>
        <w:t>二、投标文件签署授权委托书</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致友和保险经纪有限公司：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本授权委托书声明：我</w:t>
      </w:r>
      <w:r>
        <w:rPr>
          <w:rFonts w:asciiTheme="minorEastAsia" w:eastAsiaTheme="minorEastAsia" w:hAnsiTheme="minorEastAsia" w:cstheme="minorEastAsia" w:hint="eastAsia"/>
          <w:color w:val="000000"/>
          <w:sz w:val="24"/>
          <w:u w:val="single"/>
        </w:rPr>
        <w:t xml:space="preserve"> </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rPr>
        <w:t>姓名</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rPr>
        <w:t>系</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rPr>
        <w:t>投标人名称</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rPr>
        <w:t>的法定代表人（</w:t>
      </w:r>
      <w:r>
        <w:rPr>
          <w:rFonts w:asciiTheme="minorEastAsia" w:eastAsiaTheme="minorEastAsia" w:hAnsiTheme="minorEastAsia" w:cstheme="minorEastAsia" w:hint="eastAsia"/>
          <w:color w:val="000000"/>
          <w:sz w:val="24"/>
          <w:lang w:eastAsia="zh-CN"/>
        </w:rPr>
        <w:t>负责人或执行事务合伙人</w:t>
      </w:r>
      <w:r>
        <w:rPr>
          <w:rFonts w:asciiTheme="minorEastAsia" w:eastAsiaTheme="minorEastAsia" w:hAnsiTheme="minorEastAsia" w:cstheme="minorEastAsia" w:hint="eastAsia"/>
          <w:color w:val="000000"/>
          <w:sz w:val="24"/>
        </w:rPr>
        <w:t>），现授权委托</w:t>
      </w:r>
      <w:r>
        <w:rPr>
          <w:rFonts w:asciiTheme="minorEastAsia" w:eastAsiaTheme="minorEastAsia" w:hAnsiTheme="minorEastAsia" w:cstheme="minorEastAsia" w:hint="eastAsia"/>
          <w:color w:val="000000"/>
          <w:sz w:val="24"/>
          <w:u w:val="single"/>
        </w:rPr>
        <w:t xml:space="preserve"> </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u w:val="single"/>
        </w:rPr>
        <w:t>姓名</w:t>
      </w:r>
      <w:r>
        <w:rPr>
          <w:rFonts w:asciiTheme="minorEastAsia" w:eastAsiaTheme="minorEastAsia" w:hAnsiTheme="minorEastAsia" w:cstheme="minorEastAsia" w:hint="eastAsia"/>
          <w:color w:val="000000"/>
          <w:sz w:val="24"/>
          <w:u w:val="single"/>
          <w:lang w:val="en-US" w:eastAsia="zh-CN"/>
        </w:rPr>
        <w:t xml:space="preserve">  </w:t>
      </w:r>
      <w:r>
        <w:rPr>
          <w:rFonts w:asciiTheme="minorEastAsia" w:eastAsiaTheme="minorEastAsia" w:hAnsiTheme="minorEastAsia" w:cstheme="minorEastAsia" w:hint="eastAsia"/>
          <w:color w:val="000000"/>
          <w:sz w:val="24"/>
        </w:rPr>
        <w:t>为我公司签署本项目已递交的投标文件的法定代表人的授权委托代理人，代理人全权代表我所签署的本项目已递交的投标文件内容我均承认。</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代理人无转委托权，特此委托。</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代理人：</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性别：</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年龄：</w:t>
      </w:r>
      <w:r>
        <w:rPr>
          <w:rFonts w:hint="eastAsia"/>
          <w:szCs w:val="21"/>
          <w:highlight w:val="none"/>
          <w:u w:val="single"/>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r>
        <w:rPr>
          <w:rFonts w:asciiTheme="minorEastAsia" w:eastAsiaTheme="minorEastAsia" w:hAnsiTheme="minorEastAsia" w:cstheme="minorEastAsia" w:hint="eastAsia"/>
          <w:color w:val="000000"/>
          <w:sz w:val="24"/>
        </w:rPr>
        <w:t>联系电话：</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手机：</w:t>
      </w:r>
      <w:r>
        <w:rPr>
          <w:rFonts w:hint="eastAsia"/>
          <w:szCs w:val="21"/>
          <w:highlight w:val="none"/>
          <w:u w:val="single"/>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u w:val="single"/>
        </w:rPr>
      </w:pPr>
      <w:r>
        <w:rPr>
          <w:rFonts w:asciiTheme="minorEastAsia" w:eastAsiaTheme="minorEastAsia" w:hAnsiTheme="minorEastAsia" w:cstheme="minorEastAsia" w:hint="eastAsia"/>
          <w:color w:val="000000"/>
          <w:sz w:val="24"/>
        </w:rPr>
        <w:t>身份证号码：</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职务：</w:t>
      </w:r>
      <w:r>
        <w:rPr>
          <w:rFonts w:hint="eastAsia"/>
          <w:szCs w:val="21"/>
          <w:highlight w:val="none"/>
          <w:u w:val="single"/>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Theme="minorEastAsia" w:eastAsiaTheme="minorEastAsia" w:hAnsiTheme="minorEastAsia" w:cstheme="minorEastAsia" w:hint="eastAsia"/>
          <w:color w:val="000000"/>
          <w:kern w:val="0"/>
          <w:sz w:val="24"/>
          <w:lang w:eastAsia="zh-CN"/>
        </w:rPr>
      </w:pPr>
      <w:r>
        <w:rPr>
          <w:rFonts w:asciiTheme="minorEastAsia" w:eastAsiaTheme="minorEastAsia" w:hAnsiTheme="minorEastAsia" w:cstheme="minorEastAsia" w:hint="eastAsia"/>
          <w:color w:val="000000"/>
          <w:sz w:val="24"/>
        </w:rPr>
        <w:t>授权委托日期：</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年</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月</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日</w:t>
      </w:r>
      <w:r>
        <w:rPr>
          <w:rFonts w:asciiTheme="minorEastAsia" w:eastAsiaTheme="minorEastAsia" w:hAnsiTheme="minorEastAsia" w:cstheme="minorEastAsia" w:hint="eastAsia"/>
          <w:color w:val="000000"/>
          <w:sz w:val="24"/>
          <w:lang w:eastAsia="zh-CN"/>
        </w:rPr>
        <w:t>，有效期至</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年</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月</w:t>
      </w:r>
      <w:r>
        <w:rPr>
          <w:rFonts w:hint="eastAsia"/>
          <w:szCs w:val="21"/>
          <w:highlight w:val="none"/>
          <w:u w:val="single"/>
        </w:rPr>
        <w:t xml:space="preserve">      </w:t>
      </w:r>
      <w:r>
        <w:rPr>
          <w:rFonts w:asciiTheme="minorEastAsia" w:eastAsiaTheme="minorEastAsia" w:hAnsiTheme="minorEastAsia" w:cstheme="minorEastAsia" w:hint="eastAsia"/>
          <w:color w:val="000000"/>
          <w:sz w:val="24"/>
        </w:rPr>
        <w:t>日</w:t>
      </w:r>
      <w:r>
        <w:rPr>
          <w:rFonts w:asciiTheme="minorEastAsia" w:eastAsiaTheme="minorEastAsia" w:hAnsiTheme="minorEastAsia" w:cstheme="minorEastAsia" w:hint="eastAsia"/>
          <w:color w:val="000000"/>
          <w:sz w:val="24"/>
          <w:lang w:eastAsia="zh-CN"/>
        </w:rPr>
        <w:t>。</w:t>
      </w:r>
    </w:p>
    <w:p>
      <w:pPr>
        <w:spacing w:line="360" w:lineRule="auto"/>
        <w:rPr>
          <w:rFonts w:ascii="仿宋" w:eastAsia="仿宋" w:hAnsi="仿宋" w:cs="仿宋"/>
          <w:bCs/>
          <w:color w:val="000000"/>
          <w:sz w:val="24"/>
        </w:rPr>
      </w:pPr>
      <w:r>
        <w:rPr>
          <w:color w:val="000000"/>
        </w:rPr>
        <w:pict>
          <v:shape id="_x0000_s1026" o:spid="_x0000_s1027" type="#_x0000_t202" style="height:151.25pt;margin-left:236.2pt;margin-top:1.65pt;mso-height-relative:page;mso-width-relative:page;position:absolute;width:219.1pt;z-index:251661312" coordsize="21600,21600" filled="t" fillcolor="white" stroked="t">
            <v:stroke joinstyle="miter"/>
            <o:lock v:ext="edit" aspectratio="f"/>
            <v:textbox>
              <w:txbxContent>
                <w:p>
                  <w:pPr>
                    <w:widowControl/>
                    <w:jc w:val="left"/>
                    <w:rPr>
                      <w:rFonts w:ascii="宋体" w:hAnsi="宋体" w:cs="宋体"/>
                      <w:kern w:val="0"/>
                      <w:sz w:val="24"/>
                    </w:rPr>
                  </w:pPr>
                </w:p>
                <w:p>
                  <w:pPr>
                    <w:widowControl/>
                    <w:jc w:val="left"/>
                  </w:pPr>
                </w:p>
                <w:p>
                  <w:pPr>
                    <w:jc w:val="center"/>
                    <w:rPr>
                      <w:rFonts w:ascii="仿宋" w:eastAsia="仿宋" w:hAnsi="仿宋" w:cs="仿宋" w:hint="eastAsia"/>
                      <w:bCs/>
                      <w:sz w:val="24"/>
                      <w:szCs w:val="24"/>
                    </w:rPr>
                  </w:pPr>
                  <w:r>
                    <w:rPr>
                      <w:rFonts w:ascii="仿宋" w:eastAsia="仿宋" w:hAnsi="仿宋" w:cs="仿宋" w:hint="eastAsia"/>
                      <w:bCs/>
                      <w:sz w:val="24"/>
                      <w:szCs w:val="24"/>
                    </w:rPr>
                    <w:t>被授权人身份证反面</w:t>
                  </w:r>
                </w:p>
              </w:txbxContent>
            </v:textbox>
          </v:shape>
        </w:pict>
      </w:r>
      <w:r>
        <w:rPr>
          <w:color w:val="000000"/>
        </w:rPr>
        <w:pict>
          <v:shape id="_x0000_s1026" o:spid="_x0000_s1028" type="#_x0000_t202" style="height:151.25pt;margin-left:0.15pt;margin-top:1.65pt;mso-height-relative:page;mso-width-relative:page;position:absolute;width:222.9pt;z-index:251660288" coordsize="21600,21600" filled="t" fillcolor="white" stroked="t">
            <v:stroke joinstyle="miter"/>
            <o:lock v:ext="edit" aspectratio="f"/>
            <v:textbox>
              <w:txbxContent>
                <w:p>
                  <w:pPr>
                    <w:widowControl/>
                    <w:jc w:val="left"/>
                    <w:rPr>
                      <w:rFonts w:ascii="宋体" w:hAnsi="宋体" w:cs="宋体"/>
                      <w:kern w:val="0"/>
                      <w:sz w:val="24"/>
                    </w:rPr>
                  </w:pPr>
                </w:p>
                <w:p>
                  <w:pPr>
                    <w:widowControl/>
                    <w:jc w:val="left"/>
                  </w:pPr>
                </w:p>
                <w:p>
                  <w:pPr>
                    <w:jc w:val="center"/>
                    <w:rPr>
                      <w:rFonts w:ascii="仿宋" w:eastAsia="仿宋" w:hAnsi="仿宋" w:cs="仿宋" w:hint="eastAsia"/>
                      <w:bCs/>
                      <w:sz w:val="22"/>
                      <w:szCs w:val="22"/>
                    </w:rPr>
                  </w:pPr>
                  <w:r>
                    <w:rPr>
                      <w:rFonts w:ascii="仿宋" w:eastAsia="仿宋" w:hAnsi="仿宋" w:cs="仿宋" w:hint="eastAsia"/>
                      <w:bCs/>
                      <w:sz w:val="24"/>
                      <w:szCs w:val="24"/>
                    </w:rPr>
                    <w:t>被授权人身份证正面</w:t>
                  </w:r>
                </w:p>
              </w:txbxContent>
            </v:textbox>
          </v:shape>
        </w:pict>
      </w:r>
    </w:p>
    <w:p>
      <w:pPr>
        <w:spacing w:line="360" w:lineRule="auto"/>
        <w:rPr>
          <w:rFonts w:ascii="仿宋" w:eastAsia="仿宋" w:hAnsi="仿宋" w:cs="仿宋"/>
          <w:bCs/>
          <w:color w:val="000000"/>
          <w:sz w:val="24"/>
        </w:rPr>
      </w:pPr>
    </w:p>
    <w:p>
      <w:pPr>
        <w:spacing w:line="360" w:lineRule="auto"/>
        <w:rPr>
          <w:rFonts w:ascii="仿宋" w:eastAsia="仿宋" w:hAnsi="仿宋" w:cs="仿宋"/>
          <w:bCs/>
          <w:color w:val="000000"/>
          <w:sz w:val="24"/>
        </w:rPr>
      </w:pPr>
    </w:p>
    <w:p>
      <w:pPr>
        <w:spacing w:line="360" w:lineRule="auto"/>
        <w:rPr>
          <w:rFonts w:ascii="仿宋" w:eastAsia="仿宋" w:hAnsi="仿宋" w:cs="仿宋"/>
          <w:bCs/>
          <w:color w:val="000000"/>
          <w:sz w:val="24"/>
        </w:rPr>
      </w:pPr>
    </w:p>
    <w:p>
      <w:pPr>
        <w:rPr>
          <w:rFonts w:ascii="仿宋" w:eastAsia="仿宋" w:hAnsi="仿宋" w:cs="仿宋"/>
          <w:color w:val="000000"/>
          <w:sz w:val="24"/>
        </w:rPr>
      </w:pPr>
    </w:p>
    <w:p>
      <w:pPr>
        <w:rPr>
          <w:rFonts w:ascii="仿宋" w:eastAsia="仿宋" w:hAnsi="仿宋" w:cs="仿宋"/>
          <w:color w:val="000000"/>
          <w:sz w:val="24"/>
        </w:rPr>
      </w:pPr>
    </w:p>
    <w:p>
      <w:pPr>
        <w:spacing w:after="60"/>
        <w:rPr>
          <w:rFonts w:ascii="仿宋" w:eastAsia="仿宋" w:hAnsi="仿宋" w:cs="仿宋"/>
          <w:color w:val="000000"/>
          <w:sz w:val="24"/>
        </w:rPr>
      </w:pPr>
    </w:p>
    <w:p>
      <w:pPr>
        <w:rPr>
          <w:rFonts w:ascii="仿宋" w:eastAsia="仿宋" w:hAnsi="仿宋" w:cs="仿宋"/>
          <w:color w:val="000000"/>
          <w:sz w:val="24"/>
        </w:rPr>
      </w:pPr>
    </w:p>
    <w:p>
      <w:pPr>
        <w:spacing w:line="360" w:lineRule="auto"/>
        <w:jc w:val="both"/>
        <w:rPr>
          <w:rFonts w:hint="eastAsia"/>
          <w:szCs w:val="21"/>
          <w:highlight w:val="none"/>
          <w:lang w:val="en-US" w:eastAsia="zh-CN"/>
        </w:rPr>
      </w:pPr>
      <w:r>
        <w:rPr>
          <w:rFonts w:hint="eastAsia"/>
          <w:szCs w:val="21"/>
          <w:highlight w:val="none"/>
          <w:lang w:val="en-US" w:eastAsia="zh-CN"/>
        </w:rPr>
        <w:t>说明：</w:t>
      </w:r>
    </w:p>
    <w:p>
      <w:pPr>
        <w:spacing w:line="360" w:lineRule="auto"/>
        <w:jc w:val="both"/>
        <w:rPr>
          <w:rFonts w:hint="default"/>
          <w:szCs w:val="21"/>
          <w:highlight w:val="none"/>
          <w:lang w:val="en-US" w:eastAsia="zh-CN"/>
        </w:rPr>
      </w:pPr>
      <w:r>
        <w:rPr>
          <w:rFonts w:hint="eastAsia"/>
          <w:szCs w:val="21"/>
          <w:highlight w:val="none"/>
          <w:lang w:val="en-US" w:eastAsia="zh-CN"/>
        </w:rPr>
        <w:t>1.如是代理人（受托人）参与投标，则必须提供《法定代表人（负责人或执行事务合伙人）证明书》和《投标文件签署授权委托书》，且《投标函》的委托代理人与《投标文件签署授权委托书》的代理人（受托人）必须一致。</w:t>
      </w:r>
    </w:p>
    <w:p>
      <w:pPr>
        <w:spacing w:line="360" w:lineRule="auto"/>
        <w:jc w:val="both"/>
        <w:rPr>
          <w:rFonts w:hint="eastAsia"/>
          <w:szCs w:val="21"/>
          <w:highlight w:val="none"/>
          <w:lang w:val="en-US" w:eastAsia="zh-CN"/>
        </w:rPr>
      </w:pPr>
      <w:r>
        <w:rPr>
          <w:rFonts w:hint="eastAsia"/>
          <w:szCs w:val="21"/>
          <w:highlight w:val="none"/>
          <w:lang w:val="en-US" w:eastAsia="zh-CN"/>
        </w:rPr>
        <w:t>2.请提供代理人身份证扫描件（正反两面）；港澳台居民可提供来往通行证扫描件；非中国国籍管辖范围人员，可提供公安部门认可的身份证明材料扫描件。</w:t>
      </w:r>
    </w:p>
    <w:p>
      <w:pPr>
        <w:pStyle w:val="NormalIndent"/>
      </w:pPr>
    </w:p>
    <w:p>
      <w:pPr>
        <w:rPr>
          <w:rFonts w:ascii="黑体" w:eastAsia="黑体" w:hAnsi="宋体"/>
          <w:color w:val="000000" w:themeColor="text1"/>
          <w:szCs w:val="20"/>
          <w14:textFill>
            <w14:solidFill>
              <w14:schemeClr w14:val="tx1"/>
            </w14:solidFill>
          </w14:textFill>
        </w:rPr>
      </w:pPr>
    </w:p>
    <w:p>
      <w:pPr>
        <w:rPr>
          <w:rFonts w:ascii="黑体" w:eastAsia="黑体" w:hAnsi="宋体"/>
          <w:color w:val="000000" w:themeColor="text1"/>
          <w:szCs w:val="20"/>
          <w14:textFill>
            <w14:solidFill>
              <w14:schemeClr w14:val="tx1"/>
            </w14:solidFill>
          </w14:textFill>
        </w:rPr>
      </w:pPr>
    </w:p>
    <w:p>
      <w:pPr>
        <w:rPr>
          <w:rFonts w:ascii="黑体" w:eastAsia="黑体" w:hAnsi="宋体"/>
          <w:color w:val="000000" w:themeColor="text1"/>
          <w:szCs w:val="20"/>
          <w14:textFill>
            <w14:solidFill>
              <w14:schemeClr w14:val="tx1"/>
            </w14:solidFill>
          </w14:textFill>
        </w:rPr>
      </w:pPr>
    </w:p>
    <w:p>
      <w:pPr>
        <w:rPr>
          <w:rFonts w:ascii="黑体" w:eastAsia="黑体" w:hAnsi="宋体"/>
          <w:color w:val="000000" w:themeColor="text1"/>
          <w:szCs w:val="20"/>
          <w14:textFill>
            <w14:solidFill>
              <w14:schemeClr w14:val="tx1"/>
            </w14:solidFill>
          </w14:textFill>
        </w:rPr>
      </w:pPr>
    </w:p>
    <w:p>
      <w:pPr>
        <w:rPr>
          <w:rFonts w:ascii="黑体" w:eastAsia="黑体" w:hAnsi="宋体"/>
          <w:color w:val="000000" w:themeColor="text1"/>
          <w:szCs w:val="20"/>
          <w14:textFill>
            <w14:solidFill>
              <w14:schemeClr w14:val="tx1"/>
            </w14:solidFill>
          </w14:textFill>
        </w:rPr>
      </w:pPr>
    </w:p>
    <w:p>
      <w:pPr>
        <w:pStyle w:val="Heading3"/>
        <w:spacing w:before="120" w:after="120"/>
        <w:jc w:val="center"/>
        <w:rPr>
          <w:rFonts w:ascii="黑体" w:eastAsia="黑体" w:hAnsi="宋体" w:cs="Times New Roman" w:hint="eastAsia"/>
          <w:b w:val="0"/>
          <w:sz w:val="24"/>
          <w:highlight w:val="none"/>
          <w:lang w:eastAsia="zh-CN"/>
        </w:rPr>
      </w:pPr>
      <w:r>
        <w:rPr>
          <w:rFonts w:ascii="黑体" w:eastAsia="黑体" w:hAnsi="宋体" w:cs="Times New Roman" w:hint="eastAsia"/>
          <w:b w:val="0"/>
          <w:sz w:val="24"/>
          <w:highlight w:val="none"/>
          <w:lang w:eastAsia="zh-CN"/>
        </w:rPr>
        <w:t>三、供应商法定代表人等缴纳社会保险情况一览表</w:t>
      </w:r>
    </w:p>
    <w:p>
      <w:pPr>
        <w:keepNext w:val="0"/>
        <w:keepLines w:val="0"/>
        <w:pageBreakBefore w:val="0"/>
        <w:widowControl/>
        <w:numPr>
          <w:ilvl w:val="0"/>
          <w:numId w:val="0"/>
        </w:numPr>
        <w:kinsoku/>
        <w:wordWrap/>
        <w:overflowPunct/>
        <w:topLinePunct w:val="0"/>
        <w:autoSpaceDE/>
        <w:autoSpaceDN/>
        <w:bidi w:val="0"/>
        <w:adjustRightInd/>
        <w:snapToGrid w:val="0"/>
        <w:ind w:firstLine="480" w:firstLineChars="200"/>
        <w:textAlignment w:val="auto"/>
        <w:outlineLvl w:val="9"/>
        <w:rPr>
          <w:rFonts w:ascii="仿宋" w:eastAsia="仿宋" w:hAnsi="仿宋" w:cs="仿宋" w:hint="eastAsia"/>
          <w:b/>
          <w:bCs w:val="0"/>
          <w:color w:val="auto"/>
          <w:szCs w:val="21"/>
          <w:lang w:eastAsia="zh-CN"/>
        </w:rPr>
      </w:pPr>
      <w:r>
        <w:rPr>
          <w:rFonts w:ascii="仿宋" w:eastAsia="仿宋" w:hAnsi="仿宋" w:cs="仿宋" w:hint="eastAsia"/>
          <w:b/>
          <w:bCs w:val="0"/>
          <w:color w:val="auto"/>
          <w:szCs w:val="21"/>
          <w:lang w:eastAsia="zh-CN"/>
        </w:rPr>
        <w:t>根据《深圳经济特区政府采购条例实施细则》第七十五条第一款（二）规定，存在“不同投标供应商的法定代表人、主要经营负责人、项目投标授权代表人、项目负责人、主要技术人员为同一人、属同一单位或者在同一单位缴纳社会保险”情形的，属于串通投标行为。</w:t>
      </w:r>
    </w:p>
    <w:p>
      <w:pPr>
        <w:keepNext w:val="0"/>
        <w:keepLines w:val="0"/>
        <w:pageBreakBefore w:val="0"/>
        <w:widowControl/>
        <w:numPr>
          <w:ilvl w:val="0"/>
          <w:numId w:val="0"/>
        </w:numPr>
        <w:kinsoku/>
        <w:wordWrap/>
        <w:overflowPunct/>
        <w:topLinePunct w:val="0"/>
        <w:autoSpaceDE/>
        <w:autoSpaceDN/>
        <w:bidi w:val="0"/>
        <w:adjustRightInd/>
        <w:snapToGrid w:val="0"/>
        <w:ind w:firstLine="480" w:firstLineChars="200"/>
        <w:textAlignment w:val="auto"/>
        <w:outlineLvl w:val="9"/>
        <w:rPr>
          <w:rFonts w:ascii="仿宋" w:eastAsia="仿宋" w:hAnsi="仿宋" w:cs="仿宋" w:hint="eastAsia"/>
          <w:b/>
          <w:bCs w:val="0"/>
          <w:color w:val="auto"/>
          <w:szCs w:val="21"/>
          <w:highlight w:val="yellow"/>
          <w:lang w:eastAsia="zh-CN"/>
        </w:rPr>
      </w:pPr>
      <w:r>
        <w:rPr>
          <w:rFonts w:ascii="仿宋" w:eastAsia="仿宋" w:hAnsi="仿宋" w:cs="仿宋" w:hint="eastAsia"/>
          <w:b/>
          <w:bCs w:val="0"/>
          <w:color w:val="auto"/>
          <w:szCs w:val="21"/>
          <w:lang w:eastAsia="zh-CN"/>
        </w:rPr>
        <w:t>请供应商按以下格式提供上述法规涉及人员开标前一个月的社保缴纳情况。（注：以下内容将作为评审委员会和主管部门判定本项目不同投标供应商是否涉嫌、属于串通投标的重要依据，请供应商认真填报，并保证所填信息的真实、准确和完整。）</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1.情况一览表</w:t>
      </w:r>
    </w:p>
    <w:tbl>
      <w:tblPr>
        <w:tblStyle w:val="TableGrid"/>
        <w:tblW w:w="8522"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373"/>
        <w:gridCol w:w="2346"/>
        <w:gridCol w:w="1009"/>
        <w:gridCol w:w="1677"/>
        <w:gridCol w:w="2087"/>
        <w:gridCol w:w="1030"/>
      </w:tblGrid>
      <w:tr>
        <w:tblPrEx>
          <w:tblW w:w="8522"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373" w:type="dxa"/>
            <w:vAlign w:val="center"/>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序号</w:t>
            </w:r>
          </w:p>
        </w:tc>
        <w:tc>
          <w:tcPr>
            <w:tcW w:w="2346" w:type="dxa"/>
            <w:vAlign w:val="center"/>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内容</w:t>
            </w:r>
          </w:p>
        </w:tc>
        <w:tc>
          <w:tcPr>
            <w:tcW w:w="1009" w:type="dxa"/>
            <w:vAlign w:val="center"/>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姓名</w:t>
            </w:r>
          </w:p>
        </w:tc>
        <w:tc>
          <w:tcPr>
            <w:tcW w:w="1677" w:type="dxa"/>
            <w:vAlign w:val="center"/>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身份证号</w:t>
            </w:r>
          </w:p>
        </w:tc>
        <w:tc>
          <w:tcPr>
            <w:tcW w:w="2087" w:type="dxa"/>
            <w:vAlign w:val="center"/>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社保缴纳单位</w:t>
            </w:r>
          </w:p>
        </w:tc>
        <w:tc>
          <w:tcPr>
            <w:tcW w:w="1030" w:type="dxa"/>
            <w:vAlign w:val="center"/>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社保缴纳年月</w:t>
            </w: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1</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hint="eastAsia"/>
                <w:color w:val="auto"/>
                <w:vertAlign w:val="baseline"/>
                <w:lang w:eastAsia="zh-CN"/>
              </w:rPr>
            </w:pPr>
            <w:r>
              <w:rPr>
                <w:rFonts w:ascii="仿宋" w:eastAsia="仿宋" w:hAnsi="仿宋" w:cs="仿宋" w:hint="eastAsia"/>
                <w:b/>
                <w:color w:val="auto"/>
                <w:szCs w:val="21"/>
                <w:lang w:eastAsia="zh-CN"/>
              </w:rPr>
              <w:t>法定代表人（负责人）</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2</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主要经营负责人</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3</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项目投标授权代表人</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4</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项目负责人</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5</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eastAsia="zh-CN"/>
              </w:rPr>
              <w:t>主要技术人员</w:t>
            </w:r>
            <w:r>
              <w:rPr>
                <w:rFonts w:ascii="仿宋" w:eastAsia="仿宋" w:hAnsi="仿宋" w:cs="仿宋" w:hint="eastAsia"/>
                <w:b/>
                <w:color w:val="auto"/>
                <w:szCs w:val="21"/>
                <w:lang w:val="en-US" w:eastAsia="zh-CN"/>
              </w:rPr>
              <w:t>1</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6</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主要技术人员</w:t>
            </w:r>
            <w:r>
              <w:rPr>
                <w:rFonts w:ascii="仿宋" w:eastAsia="仿宋" w:hAnsi="仿宋" w:cs="仿宋" w:hint="eastAsia"/>
                <w:b/>
                <w:color w:val="auto"/>
                <w:szCs w:val="21"/>
                <w:lang w:val="en-US" w:eastAsia="zh-CN"/>
              </w:rPr>
              <w:t>2</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r>
        <w:tblPrEx>
          <w:tblW w:w="8522" w:type="dxa"/>
          <w:tblInd w:w="0" w:type="dxa"/>
          <w:tblLayout w:type="fixed"/>
          <w:tblCellMar>
            <w:top w:w="0" w:type="dxa"/>
            <w:left w:w="108" w:type="dxa"/>
            <w:bottom w:w="0" w:type="dxa"/>
            <w:right w:w="108" w:type="dxa"/>
          </w:tblCellMar>
        </w:tblPrEx>
        <w:tc>
          <w:tcPr>
            <w:tcW w:w="373"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7</w:t>
            </w:r>
          </w:p>
        </w:tc>
        <w:tc>
          <w:tcPr>
            <w:tcW w:w="2346"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eastAsia="zh-CN"/>
              </w:rPr>
              <w:t>……</w:t>
            </w:r>
          </w:p>
        </w:tc>
        <w:tc>
          <w:tcPr>
            <w:tcW w:w="1009"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67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2087"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c>
          <w:tcPr>
            <w:tcW w:w="1030" w:type="dxa"/>
          </w:tcPr>
          <w:p>
            <w:pPr>
              <w:pStyle w:val="NormalIndent"/>
              <w:keepNext w:val="0"/>
              <w:keepLines w:val="0"/>
              <w:pageBreakBefore w:val="0"/>
              <w:widowControl/>
              <w:suppressLineNumbers w:val="0"/>
              <w:kinsoku/>
              <w:wordWrap/>
              <w:overflowPunct/>
              <w:topLinePunct w:val="0"/>
              <w:autoSpaceDE/>
              <w:autoSpaceDN/>
              <w:bidi w:val="0"/>
              <w:adjustRightInd/>
              <w:spacing w:before="0" w:beforeAutospacing="0" w:after="0" w:afterAutospacing="0"/>
              <w:ind w:left="0" w:right="0" w:firstLine="0" w:leftChars="0" w:firstLineChars="0"/>
              <w:jc w:val="center"/>
              <w:textAlignment w:val="auto"/>
              <w:outlineLvl w:val="9"/>
              <w:rPr>
                <w:rFonts w:ascii="仿宋" w:eastAsia="仿宋" w:hAnsi="仿宋" w:cs="仿宋" w:hint="eastAsia"/>
                <w:b/>
                <w:color w:val="auto"/>
                <w:szCs w:val="21"/>
                <w:lang w:eastAsia="zh-CN"/>
              </w:rPr>
            </w:pPr>
          </w:p>
        </w:tc>
      </w:tr>
    </w:tbl>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default"/>
          <w:b/>
          <w:color w:val="auto"/>
          <w:szCs w:val="21"/>
          <w:lang w:val="en-US" w:eastAsia="zh-CN"/>
        </w:rPr>
      </w:pPr>
      <w:r>
        <w:rPr>
          <w:rFonts w:ascii="仿宋" w:eastAsia="仿宋" w:hAnsi="仿宋" w:cs="仿宋" w:hint="eastAsia"/>
          <w:b/>
          <w:color w:val="auto"/>
          <w:szCs w:val="21"/>
          <w:lang w:val="en-US" w:eastAsia="zh-CN"/>
        </w:rPr>
        <w:t>2.证明材料：</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val="en-US" w:eastAsia="zh-CN"/>
        </w:rPr>
        <w:t>（1）</w:t>
      </w:r>
      <w:r>
        <w:rPr>
          <w:rFonts w:ascii="仿宋" w:eastAsia="仿宋" w:hAnsi="仿宋" w:cs="仿宋" w:hint="eastAsia"/>
          <w:b/>
          <w:color w:val="auto"/>
          <w:szCs w:val="21"/>
          <w:lang w:eastAsia="zh-CN"/>
        </w:rPr>
        <w:t>法定代表人（负责人）</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开标前一个月的社保缴纳凭证：</w:t>
      </w:r>
    </w:p>
    <w:p>
      <w:pPr>
        <w:pStyle w:val="NormalIndent"/>
        <w:keepNext w:val="0"/>
        <w:keepLines w:val="0"/>
        <w:pageBreakBefore w:val="0"/>
        <w:widowControl/>
        <w:kinsoku/>
        <w:wordWrap/>
        <w:overflowPunct/>
        <w:topLinePunct w:val="0"/>
        <w:autoSpaceDE/>
        <w:autoSpaceDN/>
        <w:bidi w:val="0"/>
        <w:adjustRightInd/>
        <w:textAlignment w:val="auto"/>
        <w:outlineLvl w:val="9"/>
        <w:rPr>
          <w:rFonts w:hint="default"/>
          <w:color w:val="auto"/>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val="en-US" w:eastAsia="zh-CN"/>
        </w:rPr>
        <w:t>（2）</w:t>
      </w:r>
      <w:r>
        <w:rPr>
          <w:rFonts w:ascii="仿宋" w:eastAsia="仿宋" w:hAnsi="仿宋" w:cs="仿宋" w:hint="eastAsia"/>
          <w:b/>
          <w:color w:val="auto"/>
          <w:szCs w:val="21"/>
          <w:lang w:eastAsia="zh-CN"/>
        </w:rPr>
        <w:t>主要经营负责人</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身份证复印件（正反面）：</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开标前一个月的社保缴纳凭证：</w:t>
      </w:r>
    </w:p>
    <w:p>
      <w:pPr>
        <w:pStyle w:val="NormalIndent"/>
        <w:keepNext w:val="0"/>
        <w:keepLines w:val="0"/>
        <w:pageBreakBefore w:val="0"/>
        <w:widowControl/>
        <w:kinsoku/>
        <w:wordWrap/>
        <w:overflowPunct/>
        <w:topLinePunct w:val="0"/>
        <w:autoSpaceDE/>
        <w:autoSpaceDN/>
        <w:bidi w:val="0"/>
        <w:adjustRightInd/>
        <w:textAlignment w:val="auto"/>
        <w:outlineLvl w:val="9"/>
        <w:rPr>
          <w:rFonts w:hint="default"/>
          <w:color w:val="auto"/>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val="en-US" w:eastAsia="zh-CN"/>
        </w:rPr>
        <w:t>（3）</w:t>
      </w:r>
      <w:r>
        <w:rPr>
          <w:rFonts w:ascii="仿宋" w:eastAsia="仿宋" w:hAnsi="仿宋" w:cs="仿宋" w:hint="eastAsia"/>
          <w:b/>
          <w:color w:val="auto"/>
          <w:szCs w:val="21"/>
          <w:lang w:eastAsia="zh-CN"/>
        </w:rPr>
        <w:t>项目投标授权代表人</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开标前一个月的社保缴纳凭证：</w:t>
      </w:r>
    </w:p>
    <w:p>
      <w:pPr>
        <w:pStyle w:val="NormalIndent"/>
        <w:keepNext w:val="0"/>
        <w:keepLines w:val="0"/>
        <w:pageBreakBefore w:val="0"/>
        <w:widowControl/>
        <w:kinsoku/>
        <w:wordWrap/>
        <w:overflowPunct/>
        <w:topLinePunct w:val="0"/>
        <w:autoSpaceDE/>
        <w:autoSpaceDN/>
        <w:bidi w:val="0"/>
        <w:adjustRightInd/>
        <w:textAlignment w:val="auto"/>
        <w:outlineLvl w:val="9"/>
        <w:rPr>
          <w:rFonts w:hint="default"/>
          <w:color w:val="auto"/>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val="en-US" w:eastAsia="zh-CN"/>
        </w:rPr>
        <w:t>（4）</w:t>
      </w:r>
      <w:r>
        <w:rPr>
          <w:rFonts w:ascii="仿宋" w:eastAsia="仿宋" w:hAnsi="仿宋" w:cs="仿宋" w:hint="eastAsia"/>
          <w:b/>
          <w:color w:val="auto"/>
          <w:szCs w:val="21"/>
          <w:lang w:eastAsia="zh-CN"/>
        </w:rPr>
        <w:t>项目负责人</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身份证复印件（正反面）：</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开标前一个月的社保缴纳凭证：</w:t>
      </w:r>
    </w:p>
    <w:p>
      <w:pPr>
        <w:pStyle w:val="NormalIndent"/>
        <w:keepNext w:val="0"/>
        <w:keepLines w:val="0"/>
        <w:pageBreakBefore w:val="0"/>
        <w:widowControl/>
        <w:kinsoku/>
        <w:wordWrap/>
        <w:overflowPunct/>
        <w:topLinePunct w:val="0"/>
        <w:autoSpaceDE/>
        <w:autoSpaceDN/>
        <w:bidi w:val="0"/>
        <w:adjustRightInd/>
        <w:textAlignment w:val="auto"/>
        <w:outlineLvl w:val="9"/>
        <w:rPr>
          <w:rFonts w:hint="default"/>
          <w:color w:val="auto"/>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eastAsia="zh-CN"/>
        </w:rPr>
      </w:pPr>
      <w:r>
        <w:rPr>
          <w:rFonts w:ascii="仿宋" w:eastAsia="仿宋" w:hAnsi="仿宋" w:cs="仿宋" w:hint="eastAsia"/>
          <w:b/>
          <w:color w:val="auto"/>
          <w:szCs w:val="21"/>
          <w:lang w:val="en-US" w:eastAsia="zh-CN"/>
        </w:rPr>
        <w:t>（5）</w:t>
      </w:r>
      <w:r>
        <w:rPr>
          <w:rFonts w:ascii="仿宋" w:eastAsia="仿宋" w:hAnsi="仿宋" w:cs="仿宋" w:hint="eastAsia"/>
          <w:b/>
          <w:color w:val="auto"/>
          <w:szCs w:val="21"/>
          <w:lang w:eastAsia="zh-CN"/>
        </w:rPr>
        <w:t>主要技术人员</w:t>
      </w:r>
      <w:r>
        <w:rPr>
          <w:rFonts w:ascii="仿宋" w:eastAsia="仿宋" w:hAnsi="仿宋" w:cs="仿宋" w:hint="eastAsia"/>
          <w:b/>
          <w:color w:val="auto"/>
          <w:szCs w:val="21"/>
          <w:lang w:val="en-US" w:eastAsia="zh-CN"/>
        </w:rPr>
        <w:t>1</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身份证复印件（正反面）：</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开标前一个月的社保缴纳凭证：</w:t>
      </w:r>
    </w:p>
    <w:p>
      <w:pPr>
        <w:pStyle w:val="NormalIndent"/>
        <w:keepNext w:val="0"/>
        <w:keepLines w:val="0"/>
        <w:pageBreakBefore w:val="0"/>
        <w:widowControl/>
        <w:kinsoku/>
        <w:wordWrap/>
        <w:overflowPunct/>
        <w:topLinePunct w:val="0"/>
        <w:autoSpaceDE/>
        <w:autoSpaceDN/>
        <w:bidi w:val="0"/>
        <w:adjustRightInd/>
        <w:textAlignment w:val="auto"/>
        <w:outlineLvl w:val="9"/>
        <w:rPr>
          <w:rFonts w:hint="default"/>
          <w:color w:val="auto"/>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（6）</w:t>
      </w:r>
      <w:r>
        <w:rPr>
          <w:rFonts w:ascii="仿宋" w:eastAsia="仿宋" w:hAnsi="仿宋" w:cs="仿宋" w:hint="eastAsia"/>
          <w:b/>
          <w:color w:val="auto"/>
          <w:szCs w:val="21"/>
          <w:lang w:eastAsia="zh-CN"/>
        </w:rPr>
        <w:t>主要技术人员</w:t>
      </w:r>
      <w:r>
        <w:rPr>
          <w:rFonts w:ascii="仿宋" w:eastAsia="仿宋" w:hAnsi="仿宋" w:cs="仿宋" w:hint="eastAsia"/>
          <w:b/>
          <w:color w:val="auto"/>
          <w:szCs w:val="21"/>
          <w:lang w:val="en-US" w:eastAsia="zh-CN"/>
        </w:rPr>
        <w:t>2</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身份证复印件（正反面）：</w:t>
      </w: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开标前一个月的社保缴纳凭证：</w:t>
      </w:r>
    </w:p>
    <w:p>
      <w:pPr>
        <w:pStyle w:val="NormalIndent"/>
        <w:keepNext w:val="0"/>
        <w:keepLines w:val="0"/>
        <w:pageBreakBefore w:val="0"/>
        <w:widowControl/>
        <w:kinsoku/>
        <w:wordWrap/>
        <w:overflowPunct/>
        <w:topLinePunct w:val="0"/>
        <w:autoSpaceDE/>
        <w:autoSpaceDN/>
        <w:bidi w:val="0"/>
        <w:adjustRightInd/>
        <w:textAlignment w:val="auto"/>
        <w:outlineLvl w:val="9"/>
        <w:rPr>
          <w:rFonts w:hint="default"/>
          <w:color w:val="auto"/>
          <w:lang w:val="en-US" w:eastAsia="zh-CN"/>
        </w:rPr>
      </w:pPr>
    </w:p>
    <w:p>
      <w:pPr>
        <w:keepNext w:val="0"/>
        <w:keepLines w:val="0"/>
        <w:pageBreakBefore w:val="0"/>
        <w:widowControl/>
        <w:numPr>
          <w:ilvl w:val="0"/>
          <w:numId w:val="0"/>
        </w:numPr>
        <w:kinsoku/>
        <w:wordWrap/>
        <w:overflowPunct/>
        <w:topLinePunct w:val="0"/>
        <w:autoSpaceDE/>
        <w:autoSpaceDN/>
        <w:bidi w:val="0"/>
        <w:adjustRightInd/>
        <w:snapToGrid w:val="0"/>
        <w:textAlignment w:val="auto"/>
        <w:outlineLvl w:val="9"/>
        <w:rPr>
          <w:rFonts w:ascii="仿宋" w:eastAsia="仿宋" w:hAnsi="仿宋" w:cs="仿宋" w:hint="eastAsia"/>
          <w:b/>
          <w:color w:val="auto"/>
          <w:szCs w:val="21"/>
          <w:lang w:val="en-US" w:eastAsia="zh-CN"/>
        </w:rPr>
      </w:pPr>
      <w:r>
        <w:rPr>
          <w:rFonts w:ascii="仿宋" w:eastAsia="仿宋" w:hAnsi="仿宋" w:cs="仿宋" w:hint="eastAsia"/>
          <w:b/>
          <w:color w:val="auto"/>
          <w:szCs w:val="21"/>
          <w:lang w:val="en-US" w:eastAsia="zh-CN"/>
        </w:rPr>
        <w:t>（7）……</w:t>
      </w:r>
    </w:p>
    <w:p>
      <w:pPr>
        <w:pStyle w:val="Heading3"/>
        <w:jc w:val="center"/>
        <w:rPr>
          <w:rFonts w:ascii="黑体" w:eastAsia="黑体"/>
          <w:bCs w:val="0"/>
          <w:color w:val="000000" w:themeColor="text1"/>
          <w:sz w:val="24"/>
          <w14:textFill>
            <w14:solidFill>
              <w14:schemeClr w14:val="tx1"/>
            </w14:solidFill>
          </w14:textFill>
        </w:rPr>
      </w:pPr>
      <w:r>
        <w:rPr>
          <w:rFonts w:ascii="黑体" w:eastAsia="黑体" w:hint="eastAsia"/>
          <w:bCs w:val="0"/>
          <w:color w:val="000000" w:themeColor="text1"/>
          <w:sz w:val="24"/>
          <w:lang w:eastAsia="zh-CN"/>
          <w14:textFill>
            <w14:solidFill>
              <w14:schemeClr w14:val="tx1"/>
            </w14:solidFill>
          </w14:textFill>
        </w:rPr>
        <w:t>四</w:t>
      </w:r>
      <w:r>
        <w:rPr>
          <w:rFonts w:ascii="黑体" w:eastAsia="黑体" w:hint="eastAsia"/>
          <w:bCs w:val="0"/>
          <w:color w:val="000000" w:themeColor="text1"/>
          <w:sz w:val="24"/>
          <w14:textFill>
            <w14:solidFill>
              <w14:schemeClr w14:val="tx1"/>
            </w14:solidFill>
          </w14:textFill>
        </w:rPr>
        <w:t>、</w:t>
      </w:r>
      <w:bookmarkStart w:id="51" w:name="_Hlk72092634"/>
      <w:r>
        <w:rPr>
          <w:rFonts w:ascii="黑体" w:eastAsia="黑体" w:hint="eastAsia"/>
          <w:bCs w:val="0"/>
          <w:color w:val="000000" w:themeColor="text1"/>
          <w:sz w:val="24"/>
          <w14:textFill>
            <w14:solidFill>
              <w14:schemeClr w14:val="tx1"/>
            </w14:solidFill>
          </w14:textFill>
        </w:rPr>
        <w:t>实质性条款响应情况表</w:t>
      </w:r>
      <w:bookmarkEnd w:id="51"/>
    </w:p>
    <w:tbl>
      <w:tblPr>
        <w:tblStyle w:val="TableNormal"/>
        <w:tblW w:w="10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62"/>
        <w:gridCol w:w="3837"/>
        <w:gridCol w:w="3487"/>
        <w:gridCol w:w="1195"/>
        <w:gridCol w:w="676"/>
      </w:tblGrid>
      <w:tr>
        <w:tblPrEx>
          <w:tblW w:w="10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709"/>
          <w:jc w:val="center"/>
        </w:trPr>
        <w:tc>
          <w:tcPr>
            <w:tcW w:w="862" w:type="dxa"/>
            <w:vAlign w:val="center"/>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b/>
                <w:bCs/>
                <w:color w:val="000000" w:themeColor="text1"/>
                <w:sz w:val="21"/>
                <w:szCs w:val="21"/>
                <w14:textFill>
                  <w14:solidFill>
                    <w14:schemeClr w14:val="tx1"/>
                  </w14:solidFill>
                </w14:textFill>
              </w:rPr>
            </w:pPr>
            <w:bookmarkStart w:id="52" w:name="_Hlk72092651"/>
            <w:r>
              <w:rPr>
                <w:rFonts w:asciiTheme="minorEastAsia" w:hAnsiTheme="minorEastAsia" w:hint="eastAsia"/>
                <w:b/>
                <w:bCs/>
                <w:color w:val="000000" w:themeColor="text1"/>
                <w:sz w:val="21"/>
                <w:szCs w:val="21"/>
                <w14:textFill>
                  <w14:solidFill>
                    <w14:schemeClr w14:val="tx1"/>
                  </w14:solidFill>
                </w14:textFill>
              </w:rPr>
              <w:t>序号</w:t>
            </w:r>
          </w:p>
        </w:tc>
        <w:tc>
          <w:tcPr>
            <w:tcW w:w="3837" w:type="dxa"/>
            <w:vAlign w:val="center"/>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b/>
                <w:bCs/>
                <w:color w:val="000000" w:themeColor="text1"/>
                <w:sz w:val="21"/>
                <w:szCs w:val="21"/>
                <w14:textFill>
                  <w14:solidFill>
                    <w14:schemeClr w14:val="tx1"/>
                  </w14:solidFill>
                </w14:textFill>
              </w:rPr>
            </w:pPr>
            <w:r>
              <w:rPr>
                <w:rFonts w:asciiTheme="minorEastAsia" w:hAnsiTheme="minorEastAsia" w:hint="eastAsia"/>
                <w:b/>
                <w:bCs/>
                <w:color w:val="000000" w:themeColor="text1"/>
                <w:sz w:val="21"/>
                <w:szCs w:val="21"/>
                <w14:textFill>
                  <w14:solidFill>
                    <w14:schemeClr w14:val="tx1"/>
                  </w14:solidFill>
                </w14:textFill>
              </w:rPr>
              <w:t>实质性条款具体内容</w:t>
            </w:r>
          </w:p>
        </w:tc>
        <w:tc>
          <w:tcPr>
            <w:tcW w:w="3487" w:type="dxa"/>
            <w:vAlign w:val="center"/>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b/>
                <w:bCs/>
                <w:color w:val="000000" w:themeColor="text1"/>
                <w:sz w:val="21"/>
                <w:szCs w:val="21"/>
                <w14:textFill>
                  <w14:solidFill>
                    <w14:schemeClr w14:val="tx1"/>
                  </w14:solidFill>
                </w14:textFill>
              </w:rPr>
            </w:pPr>
            <w:r>
              <w:rPr>
                <w:rFonts w:asciiTheme="minorEastAsia" w:hAnsiTheme="minorEastAsia" w:hint="eastAsia"/>
                <w:b/>
                <w:bCs/>
                <w:color w:val="000000" w:themeColor="text1"/>
                <w:sz w:val="21"/>
                <w:szCs w:val="21"/>
                <w14:textFill>
                  <w14:solidFill>
                    <w14:schemeClr w14:val="tx1"/>
                  </w14:solidFill>
                </w14:textFill>
              </w:rPr>
              <w:t>投标响应</w:t>
            </w:r>
          </w:p>
        </w:tc>
        <w:tc>
          <w:tcPr>
            <w:tcW w:w="1195" w:type="dxa"/>
            <w:vAlign w:val="center"/>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b/>
                <w:bCs/>
                <w:color w:val="000000" w:themeColor="text1"/>
                <w:sz w:val="21"/>
                <w:szCs w:val="21"/>
                <w14:textFill>
                  <w14:solidFill>
                    <w14:schemeClr w14:val="tx1"/>
                  </w14:solidFill>
                </w14:textFill>
              </w:rPr>
            </w:pPr>
            <w:r>
              <w:rPr>
                <w:rFonts w:asciiTheme="minorEastAsia" w:hAnsiTheme="minorEastAsia" w:hint="eastAsia"/>
                <w:b/>
                <w:bCs/>
                <w:color w:val="000000" w:themeColor="text1"/>
                <w:sz w:val="21"/>
                <w:szCs w:val="21"/>
                <w14:textFill>
                  <w14:solidFill>
                    <w14:schemeClr w14:val="tx1"/>
                  </w14:solidFill>
                </w14:textFill>
              </w:rPr>
              <w:t>偏离情况</w:t>
            </w:r>
          </w:p>
        </w:tc>
        <w:tc>
          <w:tcPr>
            <w:tcW w:w="676" w:type="dxa"/>
            <w:vAlign w:val="center"/>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b/>
                <w:bCs/>
                <w:color w:val="000000" w:themeColor="text1"/>
                <w:sz w:val="21"/>
                <w:szCs w:val="21"/>
                <w14:textFill>
                  <w14:solidFill>
                    <w14:schemeClr w14:val="tx1"/>
                  </w14:solidFill>
                </w14:textFill>
              </w:rPr>
            </w:pPr>
            <w:r>
              <w:rPr>
                <w:rFonts w:asciiTheme="minorEastAsia" w:hAnsiTheme="minorEastAsia" w:hint="eastAsia"/>
                <w:b/>
                <w:bCs/>
                <w:color w:val="000000" w:themeColor="text1"/>
                <w:sz w:val="21"/>
                <w:szCs w:val="21"/>
                <w14:textFill>
                  <w14:solidFill>
                    <w14:schemeClr w14:val="tx1"/>
                  </w14:solidFill>
                </w14:textFill>
              </w:rPr>
              <w:t>说明</w:t>
            </w:r>
          </w:p>
        </w:tc>
      </w:tr>
      <w:tr>
        <w:tblPrEx>
          <w:tblW w:w="10057" w:type="dxa"/>
          <w:jc w:val="center"/>
          <w:tblLayout w:type="fixed"/>
          <w:tblCellMar>
            <w:top w:w="0" w:type="dxa"/>
            <w:left w:w="108" w:type="dxa"/>
            <w:bottom w:w="0" w:type="dxa"/>
            <w:right w:w="108" w:type="dxa"/>
          </w:tblCellMar>
        </w:tblPrEx>
        <w:trPr>
          <w:trHeight w:val="478"/>
          <w:jc w:val="center"/>
        </w:trPr>
        <w:tc>
          <w:tcPr>
            <w:tcW w:w="862" w:type="dxa"/>
            <w:vAlign w:val="top"/>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color w:val="000000" w:themeColor="text1"/>
                <w:sz w:val="21"/>
                <w:szCs w:val="21"/>
                <w14:textFill>
                  <w14:solidFill>
                    <w14:schemeClr w14:val="tx1"/>
                  </w14:solidFill>
                </w14:textFill>
              </w:rPr>
            </w:pPr>
            <w:bookmarkEnd w:id="52"/>
            <w:r>
              <w:rPr>
                <w:rFonts w:ascii="宋体" w:eastAsia="宋体" w:hAnsi="宋体" w:hint="eastAsia"/>
                <w:szCs w:val="21"/>
              </w:rPr>
              <w:t>1</w:t>
            </w:r>
          </w:p>
        </w:tc>
        <w:tc>
          <w:tcPr>
            <w:tcW w:w="3837" w:type="dxa"/>
            <w:vAlign w:val="top"/>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color w:val="000000" w:themeColor="text1"/>
                <w:sz w:val="21"/>
                <w:szCs w:val="21"/>
                <w14:textFill>
                  <w14:solidFill>
                    <w14:schemeClr w14:val="tx1"/>
                  </w14:solidFill>
                </w14:textFill>
              </w:rPr>
            </w:pPr>
            <w:r>
              <w:rPr>
                <w:rFonts w:eastAsia="宋体" w:hint="eastAsia"/>
                <w:lang w:eastAsia="zh-CN"/>
              </w:rPr>
              <w:t>★项目团队人员44人（含）以上（要求提供承诺函）</w:t>
            </w:r>
          </w:p>
        </w:tc>
        <w:tc>
          <w:tcPr>
            <w:tcW w:w="3487" w:type="dxa"/>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color w:val="000000" w:themeColor="text1"/>
                <w:sz w:val="21"/>
                <w:szCs w:val="21"/>
                <w14:textFill>
                  <w14:solidFill>
                    <w14:schemeClr w14:val="tx1"/>
                  </w14:solidFill>
                </w14:textFill>
              </w:rPr>
            </w:pPr>
          </w:p>
        </w:tc>
        <w:tc>
          <w:tcPr>
            <w:tcW w:w="1195" w:type="dxa"/>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color w:val="000000" w:themeColor="text1"/>
                <w:sz w:val="21"/>
                <w:szCs w:val="21"/>
                <w14:textFill>
                  <w14:solidFill>
                    <w14:schemeClr w14:val="tx1"/>
                  </w14:solidFill>
                </w14:textFill>
              </w:rPr>
            </w:pPr>
          </w:p>
        </w:tc>
        <w:tc>
          <w:tcPr>
            <w:tcW w:w="676" w:type="dxa"/>
          </w:tcPr>
          <w:p>
            <w:pPr>
              <w:keepNext w:val="0"/>
              <w:keepLines w:val="0"/>
              <w:widowControl/>
              <w:suppressLineNumbers w:val="0"/>
              <w:adjustRightInd w:val="0"/>
              <w:snapToGrid w:val="0"/>
              <w:spacing w:before="0" w:beforeAutospacing="0" w:after="0" w:afterAutospacing="0" w:line="360" w:lineRule="auto"/>
              <w:ind w:left="0" w:right="0"/>
              <w:jc w:val="center"/>
              <w:rPr>
                <w:rFonts w:asciiTheme="minorEastAsia" w:hAnsiTheme="minorEastAsia" w:hint="default"/>
                <w:color w:val="000000" w:themeColor="text1"/>
                <w:sz w:val="21"/>
                <w:szCs w:val="21"/>
                <w14:textFill>
                  <w14:solidFill>
                    <w14:schemeClr w14:val="tx1"/>
                  </w14:solidFill>
                </w14:textFill>
              </w:rPr>
            </w:pPr>
          </w:p>
        </w:tc>
      </w:tr>
    </w:tbl>
    <w:p>
      <w:pPr>
        <w:rPr>
          <w:b/>
          <w:color w:val="000000" w:themeColor="text1"/>
          <w:szCs w:val="22"/>
          <w14:textFill>
            <w14:solidFill>
              <w14:schemeClr w14:val="tx1"/>
            </w14:solidFill>
          </w14:textFill>
        </w:rPr>
      </w:pPr>
    </w:p>
    <w:p>
      <w:pPr>
        <w:ind w:firstLine="480" w:firstLineChars="200"/>
        <w:rPr>
          <w:b/>
          <w:color w:val="000000" w:themeColor="text1"/>
          <w:szCs w:val="22"/>
          <w14:textFill>
            <w14:solidFill>
              <w14:schemeClr w14:val="tx1"/>
            </w14:solidFill>
          </w14:textFill>
        </w:rPr>
      </w:pPr>
      <w:r>
        <w:rPr>
          <w:rFonts w:hint="eastAsia"/>
          <w:b/>
          <w:color w:val="000000" w:themeColor="text1"/>
          <w:szCs w:val="22"/>
          <w14:textFill>
            <w14:solidFill>
              <w14:schemeClr w14:val="tx1"/>
            </w14:solidFill>
          </w14:textFill>
        </w:rPr>
        <w:t>注：</w:t>
      </w:r>
    </w:p>
    <w:p>
      <w:pPr>
        <w:ind w:firstLine="480" w:firstLineChars="200"/>
        <w:rPr>
          <w:b/>
          <w:color w:val="000000" w:themeColor="text1"/>
          <w:szCs w:val="22"/>
          <w14:textFill>
            <w14:solidFill>
              <w14:schemeClr w14:val="tx1"/>
            </w14:solidFill>
          </w14:textFill>
        </w:rPr>
      </w:pPr>
      <w:r>
        <w:rPr>
          <w:rFonts w:hint="eastAsia"/>
          <w:b/>
          <w:color w:val="000000" w:themeColor="text1"/>
          <w:szCs w:val="22"/>
          <w14:textFill>
            <w14:solidFill>
              <w14:schemeClr w14:val="tx1"/>
            </w14:solidFill>
          </w14:textFill>
        </w:rPr>
        <w:t>1. 上表所列各项均为不可负偏离条款。</w:t>
      </w:r>
    </w:p>
    <w:p>
      <w:pPr>
        <w:ind w:firstLine="480" w:firstLineChars="200"/>
        <w:rPr>
          <w:b/>
          <w:color w:val="000000" w:themeColor="text1"/>
          <w:szCs w:val="22"/>
          <w14:textFill>
            <w14:solidFill>
              <w14:schemeClr w14:val="tx1"/>
            </w14:solidFill>
          </w14:textFill>
        </w:rPr>
      </w:pPr>
      <w:r>
        <w:rPr>
          <w:rFonts w:hint="eastAsia"/>
          <w:b/>
          <w:color w:val="000000" w:themeColor="text1"/>
          <w:szCs w:val="22"/>
          <w14:textFill>
            <w14:solidFill>
              <w14:schemeClr w14:val="tx1"/>
            </w14:solidFill>
          </w14:textFill>
        </w:rPr>
        <w:t>2.“投标响应”一栏应当详细填写投标人自身响应情况，而不能不合理照搬照抄招实质性条款具体内容。</w:t>
      </w:r>
    </w:p>
    <w:p>
      <w:pPr>
        <w:ind w:firstLine="480" w:firstLineChars="200"/>
        <w:rPr>
          <w:b/>
          <w:color w:val="000000" w:themeColor="text1"/>
          <w:szCs w:val="22"/>
          <w14:textFill>
            <w14:solidFill>
              <w14:schemeClr w14:val="tx1"/>
            </w14:solidFill>
          </w14:textFill>
        </w:rPr>
      </w:pPr>
      <w:r>
        <w:rPr>
          <w:rFonts w:hint="eastAsia"/>
          <w:b/>
          <w:color w:val="000000" w:themeColor="text1"/>
          <w:szCs w:val="22"/>
          <w14:textFill>
            <w14:solidFill>
              <w14:schemeClr w14:val="tx1"/>
            </w14:solidFill>
          </w14:textFill>
        </w:rPr>
        <w:t>3</w:t>
      </w:r>
      <w:r>
        <w:rPr>
          <w:b/>
          <w:color w:val="000000" w:themeColor="text1"/>
          <w:szCs w:val="22"/>
          <w14:textFill>
            <w14:solidFill>
              <w14:schemeClr w14:val="tx1"/>
            </w14:solidFill>
          </w14:textFill>
        </w:rPr>
        <w:t>.</w:t>
      </w:r>
      <w:r>
        <w:rPr>
          <w:rFonts w:hint="eastAsia"/>
          <w:b/>
          <w:color w:val="000000" w:themeColor="text1"/>
          <w:szCs w:val="22"/>
          <w14:textFill>
            <w14:solidFill>
              <w14:schemeClr w14:val="tx1"/>
            </w14:solidFill>
          </w14:textFill>
        </w:rPr>
        <w:t>“偏离情况”一栏应填写“正偏离”、“负偏离”或“无偏离”，</w:t>
      </w:r>
      <w:r>
        <w:rPr>
          <w:rFonts w:hint="eastAsia"/>
          <w:b/>
          <w:color w:val="000000" w:themeColor="text1"/>
          <w14:textFill>
            <w14:solidFill>
              <w14:schemeClr w14:val="tx1"/>
            </w14:solidFill>
          </w14:textFill>
        </w:rPr>
        <w:t>“正偏离”表示“投标响应优于实质性条款具体内容要求”，“负偏离”表示“投标响应不满足实质性条款具体内容要求”，“无偏离”表示“投标响应与实质性条款具体内容要求一致”。</w:t>
      </w:r>
    </w:p>
    <w:p>
      <w:pPr>
        <w:ind w:firstLine="480" w:firstLineChars="200"/>
        <w:rPr>
          <w:b/>
          <w:color w:val="000000" w:themeColor="text1"/>
          <w14:textFill>
            <w14:solidFill>
              <w14:schemeClr w14:val="tx1"/>
            </w14:solidFill>
          </w14:textFill>
        </w:rPr>
      </w:pPr>
      <w:r>
        <w:rPr>
          <w:b/>
          <w:color w:val="000000" w:themeColor="text1"/>
          <w14:textFill>
            <w14:solidFill>
              <w14:schemeClr w14:val="tx1"/>
            </w14:solidFill>
          </w14:textFill>
        </w:rPr>
        <w:t>4.</w:t>
      </w:r>
      <w:r>
        <w:rPr>
          <w:rFonts w:hint="eastAsia"/>
          <w:b/>
          <w:color w:val="000000" w:themeColor="text1"/>
          <w14:textFill>
            <w14:solidFill>
              <w14:schemeClr w14:val="tx1"/>
            </w14:solidFill>
          </w14:textFill>
        </w:rPr>
        <w:t>评审委员会有权对投标响应情况作出判断（作出评审结论）。</w:t>
      </w:r>
    </w:p>
    <w:p>
      <w:pPr>
        <w:ind w:firstLine="480" w:firstLineChars="200"/>
        <w:rPr>
          <w:color w:val="000000" w:themeColor="text1"/>
          <w14:textFill>
            <w14:solidFill>
              <w14:schemeClr w14:val="tx1"/>
            </w14:solidFill>
          </w14:textFill>
        </w:rPr>
      </w:pPr>
      <w:r>
        <w:rPr>
          <w:b/>
          <w:color w:val="000000" w:themeColor="text1"/>
          <w:szCs w:val="22"/>
          <w14:textFill>
            <w14:solidFill>
              <w14:schemeClr w14:val="tx1"/>
            </w14:solidFill>
          </w14:textFill>
        </w:rPr>
        <w:t>5</w:t>
      </w:r>
      <w:r>
        <w:rPr>
          <w:rFonts w:hint="eastAsia"/>
          <w:b/>
          <w:color w:val="000000" w:themeColor="text1"/>
          <w:szCs w:val="22"/>
          <w14:textFill>
            <w14:solidFill>
              <w14:schemeClr w14:val="tx1"/>
            </w14:solidFill>
          </w14:textFill>
        </w:rPr>
        <w:t>.实质性响应条款“投标响应情况”与投标文件其它内容冲突的，以实质性响应条款“投标响应情况”为准。</w:t>
      </w:r>
    </w:p>
    <w:p>
      <w:pPr>
        <w:jc w:val="center"/>
        <w:outlineLvl w:val="9"/>
        <w:rPr>
          <w:rFonts w:ascii="黑体" w:eastAsia="黑体" w:hint="eastAsia"/>
          <w:bCs w:val="0"/>
          <w:color w:val="000000" w:themeColor="text1"/>
          <w:sz w:val="24"/>
          <w:lang w:eastAsia="zh-CN"/>
          <w14:textFill>
            <w14:solidFill>
              <w14:schemeClr w14:val="tx1"/>
            </w14:solidFill>
          </w14:textFill>
        </w:rPr>
      </w:pPr>
    </w:p>
    <w:p>
      <w:pPr>
        <w:pStyle w:val="Heading3"/>
        <w:jc w:val="center"/>
        <w:rPr>
          <w:rFonts w:ascii="黑体" w:eastAsia="黑体"/>
          <w:bCs w:val="0"/>
          <w:color w:val="000000" w:themeColor="text1"/>
          <w:sz w:val="24"/>
          <w14:textFill>
            <w14:solidFill>
              <w14:schemeClr w14:val="tx1"/>
            </w14:solidFill>
          </w14:textFill>
        </w:rPr>
      </w:pPr>
      <w:r>
        <w:rPr>
          <w:rFonts w:ascii="黑体" w:eastAsia="黑体" w:hint="eastAsia"/>
          <w:bCs w:val="0"/>
          <w:color w:val="000000" w:themeColor="text1"/>
          <w:sz w:val="24"/>
          <w:lang w:eastAsia="zh-CN"/>
          <w14:textFill>
            <w14:solidFill>
              <w14:schemeClr w14:val="tx1"/>
            </w14:solidFill>
          </w14:textFill>
        </w:rPr>
        <w:t>五</w:t>
      </w:r>
      <w:r>
        <w:rPr>
          <w:rFonts w:ascii="黑体" w:eastAsia="黑体" w:hint="eastAsia"/>
          <w:bCs w:val="0"/>
          <w:color w:val="000000" w:themeColor="text1"/>
          <w:sz w:val="24"/>
          <w14:textFill>
            <w14:solidFill>
              <w14:schemeClr w14:val="tx1"/>
            </w14:solidFill>
          </w14:textFill>
        </w:rPr>
        <w:t>、商务、</w:t>
      </w:r>
      <w:r>
        <w:rPr>
          <w:rFonts w:ascii="黑体" w:eastAsia="黑体" w:hint="eastAsia"/>
          <w:bCs w:val="0"/>
          <w:color w:val="000000" w:themeColor="text1"/>
          <w:sz w:val="24"/>
          <w:lang w:eastAsia="zh-CN"/>
          <w14:textFill>
            <w14:solidFill>
              <w14:schemeClr w14:val="tx1"/>
            </w14:solidFill>
          </w14:textFill>
        </w:rPr>
        <w:t>服务</w:t>
      </w:r>
      <w:r>
        <w:rPr>
          <w:rFonts w:ascii="黑体" w:eastAsia="黑体" w:hint="eastAsia"/>
          <w:bCs w:val="0"/>
          <w:color w:val="000000" w:themeColor="text1"/>
          <w:sz w:val="24"/>
          <w14:textFill>
            <w14:solidFill>
              <w14:schemeClr w14:val="tx1"/>
            </w14:solidFill>
          </w14:textFill>
        </w:rPr>
        <w:t>条款偏离表</w:t>
      </w:r>
    </w:p>
    <w:p>
      <w:pPr>
        <w:snapToGrid w:val="0"/>
        <w:spacing w:line="360" w:lineRule="auto"/>
        <w:rPr>
          <w:rFonts w:ascii="Arial" w:eastAsia="宋体" w:hAnsi="Arial" w:cs="Arial"/>
          <w:color w:val="000000"/>
          <w:u w:val="single"/>
        </w:rPr>
      </w:pPr>
      <w:r>
        <w:rPr>
          <w:rFonts w:ascii="Arial" w:eastAsia="宋体" w:hAnsi="Arial" w:cs="Arial" w:hint="eastAsia"/>
          <w:color w:val="000000"/>
        </w:rPr>
        <w:t>投标单位（投标人）名称：</w:t>
      </w:r>
    </w:p>
    <w:tbl>
      <w:tblPr>
        <w:tblStyle w:val="TableNormal"/>
        <w:tblW w:w="9687"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top w:w="0" w:type="dxa"/>
          <w:left w:w="108" w:type="dxa"/>
          <w:bottom w:w="0" w:type="dxa"/>
          <w:right w:w="108" w:type="dxa"/>
        </w:tblCellMar>
      </w:tblPr>
      <w:tblGrid>
        <w:gridCol w:w="640"/>
        <w:gridCol w:w="4732"/>
        <w:gridCol w:w="3053"/>
        <w:gridCol w:w="1262"/>
      </w:tblGrid>
      <w:tr>
        <w:tblPrEx>
          <w:tblW w:w="9687"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top w:w="0" w:type="dxa"/>
            <w:left w:w="108" w:type="dxa"/>
            <w:bottom w:w="0" w:type="dxa"/>
            <w:right w:w="108" w:type="dxa"/>
          </w:tblCellMar>
        </w:tblPrEx>
        <w:trPr>
          <w:trHeight w:val="361"/>
          <w:jc w:val="center"/>
        </w:trPr>
        <w:tc>
          <w:tcPr>
            <w:tcW w:w="640"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cs="Arial" w:hint="default"/>
                <w:b/>
                <w:sz w:val="21"/>
                <w:szCs w:val="21"/>
              </w:rPr>
            </w:pPr>
            <w:r>
              <w:rPr>
                <w:rFonts w:asciiTheme="minorEastAsia" w:hAnsiTheme="minorEastAsia" w:cs="Arial" w:hint="eastAsia"/>
                <w:b/>
                <w:sz w:val="21"/>
                <w:szCs w:val="21"/>
              </w:rPr>
              <w:t>序号</w:t>
            </w:r>
          </w:p>
        </w:tc>
        <w:tc>
          <w:tcPr>
            <w:tcW w:w="4732"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cs="Arial" w:hint="default"/>
                <w:b/>
                <w:sz w:val="21"/>
                <w:szCs w:val="21"/>
              </w:rPr>
            </w:pPr>
            <w:r>
              <w:rPr>
                <w:rFonts w:asciiTheme="minorEastAsia" w:hAnsiTheme="minorEastAsia" w:cs="Arial" w:hint="eastAsia"/>
                <w:b/>
                <w:sz w:val="21"/>
                <w:szCs w:val="21"/>
              </w:rPr>
              <w:t>招标文件要求</w:t>
            </w:r>
          </w:p>
        </w:tc>
        <w:tc>
          <w:tcPr>
            <w:tcW w:w="3053"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cs="Arial" w:hint="default"/>
                <w:b/>
                <w:sz w:val="21"/>
                <w:szCs w:val="21"/>
              </w:rPr>
            </w:pPr>
            <w:r>
              <w:rPr>
                <w:rFonts w:asciiTheme="minorEastAsia" w:hAnsiTheme="minorEastAsia" w:cs="Arial" w:hint="eastAsia"/>
                <w:b/>
                <w:sz w:val="21"/>
                <w:szCs w:val="21"/>
              </w:rPr>
              <w:t>投标文件响应</w:t>
            </w:r>
          </w:p>
        </w:tc>
        <w:tc>
          <w:tcPr>
            <w:tcW w:w="1262"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cs="Arial" w:hint="default"/>
                <w:b/>
                <w:sz w:val="21"/>
                <w:szCs w:val="21"/>
              </w:rPr>
            </w:pPr>
            <w:r>
              <w:rPr>
                <w:rFonts w:asciiTheme="minorEastAsia" w:hAnsiTheme="minorEastAsia" w:cs="Arial" w:hint="eastAsia"/>
                <w:b/>
                <w:sz w:val="21"/>
                <w:szCs w:val="21"/>
              </w:rPr>
              <w:t>说明</w:t>
            </w:r>
          </w:p>
        </w:tc>
      </w:tr>
      <w:tr>
        <w:tblPrEx>
          <w:tblW w:w="9687" w:type="dxa"/>
          <w:jc w:val="center"/>
          <w:tblLayout w:type="fixed"/>
          <w:tblCellMar>
            <w:top w:w="0" w:type="dxa"/>
            <w:left w:w="108" w:type="dxa"/>
            <w:bottom w:w="0" w:type="dxa"/>
            <w:right w:w="108" w:type="dxa"/>
          </w:tblCellMar>
        </w:tblPrEx>
        <w:trPr>
          <w:trHeight w:val="1341"/>
          <w:jc w:val="center"/>
        </w:trPr>
        <w:tc>
          <w:tcPr>
            <w:tcW w:w="640"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hint="default"/>
                <w:sz w:val="21"/>
                <w:szCs w:val="21"/>
              </w:rPr>
            </w:pPr>
            <w:r>
              <w:rPr>
                <w:rFonts w:asciiTheme="minorEastAsia" w:hAnsiTheme="minorEastAsia" w:hint="eastAsia"/>
                <w:sz w:val="21"/>
                <w:szCs w:val="21"/>
              </w:rPr>
              <w:t>1</w:t>
            </w:r>
          </w:p>
        </w:tc>
        <w:tc>
          <w:tcPr>
            <w:tcW w:w="4732" w:type="dxa"/>
            <w:vAlign w:val="center"/>
          </w:tcPr>
          <w:p>
            <w:pPr>
              <w:keepNext w:val="0"/>
              <w:keepLines w:val="0"/>
              <w:widowControl/>
              <w:suppressLineNumbers w:val="0"/>
              <w:spacing w:before="0" w:beforeAutospacing="0" w:after="0" w:afterAutospacing="0" w:line="360" w:lineRule="auto"/>
              <w:ind w:left="0" w:right="0"/>
              <w:rPr>
                <w:rFonts w:asciiTheme="minorEastAsia" w:hAnsiTheme="minorEastAsia" w:hint="default"/>
                <w:b/>
                <w:color w:val="FF0000"/>
                <w:sz w:val="21"/>
                <w:szCs w:val="21"/>
              </w:rPr>
            </w:pPr>
            <w:r>
              <w:rPr>
                <w:rFonts w:asciiTheme="minorEastAsia" w:hAnsiTheme="minorEastAsia" w:hint="eastAsia"/>
                <w:b/>
                <w:color w:val="FF0000"/>
                <w:sz w:val="21"/>
                <w:szCs w:val="21"/>
              </w:rPr>
              <w:t>《第三章 用户需求书：四、项目服务要求》中所有条款要求。</w:t>
            </w:r>
          </w:p>
        </w:tc>
        <w:tc>
          <w:tcPr>
            <w:tcW w:w="3053" w:type="dxa"/>
            <w:vAlign w:val="center"/>
          </w:tcPr>
          <w:p>
            <w:pPr>
              <w:keepNext w:val="0"/>
              <w:keepLines w:val="0"/>
              <w:widowControl/>
              <w:suppressLineNumbers w:val="0"/>
              <w:spacing w:before="0" w:beforeAutospacing="0" w:after="0" w:afterAutospacing="0" w:line="360" w:lineRule="auto"/>
              <w:ind w:left="0" w:right="0"/>
              <w:rPr>
                <w:rFonts w:asciiTheme="minorEastAsia" w:hAnsiTheme="minorEastAsia" w:cs="Arial" w:hint="default"/>
                <w:sz w:val="21"/>
                <w:szCs w:val="21"/>
              </w:rPr>
            </w:pPr>
            <w:r>
              <w:rPr>
                <w:rFonts w:asciiTheme="minorEastAsia" w:hAnsiTheme="minorEastAsia" w:cs="Arial" w:hint="eastAsia"/>
                <w:sz w:val="21"/>
                <w:szCs w:val="21"/>
              </w:rPr>
              <w:t>我公司完全响应满足招标文件中此项要求。</w:t>
            </w:r>
          </w:p>
        </w:tc>
        <w:tc>
          <w:tcPr>
            <w:tcW w:w="1262"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cs="Arial" w:hint="default"/>
                <w:sz w:val="21"/>
                <w:szCs w:val="21"/>
              </w:rPr>
            </w:pPr>
            <w:r>
              <w:rPr>
                <w:rFonts w:asciiTheme="minorEastAsia" w:hAnsiTheme="minorEastAsia" w:cs="Arial" w:hint="eastAsia"/>
                <w:sz w:val="21"/>
                <w:szCs w:val="21"/>
              </w:rPr>
              <w:t>无偏离</w:t>
            </w:r>
          </w:p>
        </w:tc>
      </w:tr>
      <w:tr>
        <w:tblPrEx>
          <w:tblW w:w="9687" w:type="dxa"/>
          <w:jc w:val="center"/>
          <w:tblLayout w:type="fixed"/>
          <w:tblCellMar>
            <w:top w:w="0" w:type="dxa"/>
            <w:left w:w="108" w:type="dxa"/>
            <w:bottom w:w="0" w:type="dxa"/>
            <w:right w:w="108" w:type="dxa"/>
          </w:tblCellMar>
        </w:tblPrEx>
        <w:trPr>
          <w:trHeight w:val="904"/>
          <w:jc w:val="center"/>
        </w:trPr>
        <w:tc>
          <w:tcPr>
            <w:tcW w:w="640"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hint="default"/>
                <w:sz w:val="21"/>
                <w:szCs w:val="21"/>
              </w:rPr>
            </w:pPr>
            <w:r>
              <w:rPr>
                <w:rFonts w:asciiTheme="minorEastAsia" w:hAnsiTheme="minorEastAsia" w:hint="eastAsia"/>
                <w:sz w:val="21"/>
                <w:szCs w:val="21"/>
              </w:rPr>
              <w:t>2</w:t>
            </w:r>
          </w:p>
        </w:tc>
        <w:tc>
          <w:tcPr>
            <w:tcW w:w="4732" w:type="dxa"/>
          </w:tcPr>
          <w:p>
            <w:pPr>
              <w:keepNext w:val="0"/>
              <w:keepLines w:val="0"/>
              <w:widowControl/>
              <w:suppressLineNumbers w:val="0"/>
              <w:spacing w:before="0" w:beforeAutospacing="0" w:after="0" w:afterAutospacing="0" w:line="360" w:lineRule="auto"/>
              <w:ind w:left="0" w:right="0"/>
              <w:rPr>
                <w:rFonts w:asciiTheme="minorEastAsia" w:hAnsiTheme="minorEastAsia" w:hint="default"/>
                <w:b/>
                <w:color w:val="FF0000"/>
                <w:sz w:val="21"/>
                <w:szCs w:val="21"/>
                <w:highlight w:val="green"/>
              </w:rPr>
            </w:pPr>
            <w:r>
              <w:rPr>
                <w:rFonts w:asciiTheme="minorEastAsia" w:hAnsiTheme="minorEastAsia" w:hint="eastAsia"/>
                <w:b/>
                <w:color w:val="FF0000"/>
                <w:sz w:val="21"/>
                <w:szCs w:val="21"/>
              </w:rPr>
              <w:t>《第三章 用户需求书：五、项目商务要求》中所有条款要求。</w:t>
            </w:r>
          </w:p>
        </w:tc>
        <w:tc>
          <w:tcPr>
            <w:tcW w:w="3053" w:type="dxa"/>
            <w:vAlign w:val="center"/>
          </w:tcPr>
          <w:p>
            <w:pPr>
              <w:keepNext w:val="0"/>
              <w:keepLines w:val="0"/>
              <w:widowControl/>
              <w:suppressLineNumbers w:val="0"/>
              <w:spacing w:before="0" w:beforeAutospacing="0" w:after="0" w:afterAutospacing="0" w:line="360" w:lineRule="auto"/>
              <w:ind w:left="0" w:right="0"/>
              <w:rPr>
                <w:rFonts w:asciiTheme="minorEastAsia" w:hAnsiTheme="minorEastAsia" w:cs="Arial" w:hint="default"/>
                <w:sz w:val="21"/>
                <w:szCs w:val="21"/>
              </w:rPr>
            </w:pPr>
            <w:r>
              <w:rPr>
                <w:rFonts w:asciiTheme="minorEastAsia" w:hAnsiTheme="minorEastAsia" w:cs="Arial" w:hint="eastAsia"/>
                <w:sz w:val="21"/>
                <w:szCs w:val="21"/>
              </w:rPr>
              <w:t>我公司完全响应满足招标文件中此项要求。</w:t>
            </w:r>
          </w:p>
        </w:tc>
        <w:tc>
          <w:tcPr>
            <w:tcW w:w="1262" w:type="dxa"/>
            <w:vAlign w:val="center"/>
          </w:tcPr>
          <w:p>
            <w:pPr>
              <w:keepNext w:val="0"/>
              <w:keepLines w:val="0"/>
              <w:widowControl/>
              <w:suppressLineNumbers w:val="0"/>
              <w:spacing w:before="0" w:beforeAutospacing="0" w:after="0" w:afterAutospacing="0" w:line="360" w:lineRule="auto"/>
              <w:ind w:left="0" w:right="0"/>
              <w:jc w:val="center"/>
              <w:rPr>
                <w:rFonts w:asciiTheme="minorEastAsia" w:hAnsiTheme="minorEastAsia" w:cs="Arial" w:hint="default"/>
                <w:sz w:val="21"/>
                <w:szCs w:val="21"/>
              </w:rPr>
            </w:pPr>
            <w:r>
              <w:rPr>
                <w:rFonts w:asciiTheme="minorEastAsia" w:hAnsiTheme="minorEastAsia" w:cs="Arial" w:hint="eastAsia"/>
                <w:sz w:val="21"/>
                <w:szCs w:val="21"/>
              </w:rPr>
              <w:t>无偏离</w:t>
            </w:r>
          </w:p>
        </w:tc>
      </w:tr>
    </w:tbl>
    <w:p>
      <w:pPr>
        <w:snapToGrid w:val="0"/>
        <w:spacing w:line="360" w:lineRule="auto"/>
        <w:rPr>
          <w:rFonts w:asciiTheme="minorEastAsia" w:hAnsiTheme="minorEastAsia"/>
          <w:b/>
        </w:rPr>
      </w:pPr>
    </w:p>
    <w:p>
      <w:pPr>
        <w:snapToGrid w:val="0"/>
        <w:spacing w:line="360" w:lineRule="auto"/>
        <w:rPr>
          <w:rFonts w:asciiTheme="minorEastAsia" w:hAnsiTheme="minorEastAsia"/>
          <w:b/>
        </w:rPr>
      </w:pPr>
      <w:r>
        <w:rPr>
          <w:rFonts w:ascii="宋体" w:eastAsia="宋体" w:hAnsi="宋体" w:hint="eastAsia"/>
          <w:b/>
        </w:rPr>
        <w:t>填写说明：</w:t>
      </w:r>
    </w:p>
    <w:p>
      <w:pPr>
        <w:numPr>
          <w:ilvl w:val="0"/>
          <w:numId w:val="3"/>
        </w:numPr>
        <w:snapToGrid w:val="0"/>
        <w:spacing w:after="60" w:afterLines="25" w:line="360" w:lineRule="auto"/>
        <w:ind w:left="360" w:hanging="360"/>
        <w:rPr>
          <w:rFonts w:asciiTheme="majorEastAsia" w:eastAsiaTheme="majorEastAsia" w:hAnsiTheme="majorEastAsia"/>
        </w:rPr>
      </w:pPr>
      <w:r>
        <w:rPr>
          <w:rFonts w:asciiTheme="majorEastAsia" w:eastAsiaTheme="majorEastAsia" w:hAnsiTheme="majorEastAsia" w:hint="eastAsia"/>
        </w:rPr>
        <w:t>如投标人完全响应满足本表【招标文件要求】栏中内容的，建议投标人在对应的【投标文件响应】栏中填写“我公司完全响应满足招标文件中此项要求”即可，除招标文件另有注明外，不强制要求逐条列出响应；</w:t>
      </w:r>
    </w:p>
    <w:p>
      <w:pPr>
        <w:numPr>
          <w:ilvl w:val="0"/>
          <w:numId w:val="3"/>
        </w:numPr>
        <w:snapToGrid w:val="0"/>
        <w:spacing w:after="60" w:afterLines="25" w:line="360" w:lineRule="auto"/>
        <w:ind w:left="360" w:hanging="360"/>
        <w:rPr>
          <w:rFonts w:asciiTheme="majorEastAsia" w:eastAsiaTheme="majorEastAsia" w:hAnsiTheme="majorEastAsia"/>
        </w:rPr>
      </w:pPr>
      <w:r>
        <w:rPr>
          <w:rFonts w:asciiTheme="majorEastAsia" w:eastAsiaTheme="majorEastAsia" w:hAnsiTheme="majorEastAsia" w:hint="eastAsia"/>
        </w:rPr>
        <w:t>如投标人响应情况优于或低于招标要求的，应在【投标文件响应】栏中作详细说明，如完全满足或符合招标文件要求的则无需说明，参照上一条填写内容即可，</w:t>
      </w:r>
      <w:r>
        <w:rPr>
          <w:rFonts w:asciiTheme="majorEastAsia" w:eastAsiaTheme="majorEastAsia" w:hAnsiTheme="majorEastAsia" w:hint="eastAsia"/>
          <w:lang w:eastAsia="zh-CN"/>
        </w:rPr>
        <w:t>评审委员会</w:t>
      </w:r>
      <w:r>
        <w:rPr>
          <w:rFonts w:asciiTheme="majorEastAsia" w:eastAsiaTheme="majorEastAsia" w:hAnsiTheme="majorEastAsia"/>
        </w:rPr>
        <w:t>将根据具体情况给予是否偏离的认定，并以此认定</w:t>
      </w:r>
      <w:r>
        <w:rPr>
          <w:rFonts w:asciiTheme="majorEastAsia" w:eastAsiaTheme="majorEastAsia" w:hAnsiTheme="majorEastAsia" w:hint="eastAsia"/>
        </w:rPr>
        <w:t>标准</w:t>
      </w:r>
      <w:r>
        <w:rPr>
          <w:rFonts w:asciiTheme="majorEastAsia" w:eastAsiaTheme="majorEastAsia" w:hAnsiTheme="majorEastAsia"/>
        </w:rPr>
        <w:t>为最终评判标准</w:t>
      </w:r>
      <w:r>
        <w:rPr>
          <w:rFonts w:asciiTheme="majorEastAsia" w:eastAsiaTheme="majorEastAsia" w:hAnsiTheme="majorEastAsia" w:hint="eastAsia"/>
        </w:rPr>
        <w:t>；</w:t>
      </w:r>
    </w:p>
    <w:p>
      <w:pPr>
        <w:pStyle w:val="Heading3"/>
        <w:jc w:val="center"/>
        <w:rPr>
          <w:rFonts w:ascii="黑体" w:eastAsia="黑体" w:hint="eastAsia"/>
          <w:bCs w:val="0"/>
          <w:color w:val="000000" w:themeColor="text1"/>
          <w:sz w:val="24"/>
          <w14:textFill>
            <w14:solidFill>
              <w14:schemeClr w14:val="tx1"/>
            </w14:solidFill>
          </w14:textFill>
        </w:rPr>
      </w:pPr>
      <w:r>
        <w:rPr>
          <w:rFonts w:ascii="黑体" w:eastAsia="黑体" w:hint="eastAsia"/>
          <w:bCs w:val="0"/>
          <w:color w:val="000000" w:themeColor="text1"/>
          <w:sz w:val="24"/>
          <w:lang w:eastAsia="zh-CN"/>
          <w14:textFill>
            <w14:solidFill>
              <w14:schemeClr w14:val="tx1"/>
            </w14:solidFill>
          </w14:textFill>
        </w:rPr>
        <w:t>六</w:t>
      </w:r>
      <w:r>
        <w:rPr>
          <w:rFonts w:ascii="黑体" w:eastAsia="黑体" w:hint="eastAsia"/>
          <w:bCs w:val="0"/>
          <w:color w:val="000000" w:themeColor="text1"/>
          <w:sz w:val="24"/>
          <w14:textFill>
            <w14:solidFill>
              <w14:schemeClr w14:val="tx1"/>
            </w14:solidFill>
          </w14:textFill>
        </w:rPr>
        <w:t>、拟安排的项目负责人情况（仅限一人）</w:t>
      </w:r>
    </w:p>
    <w:p>
      <w:pPr>
        <w:pStyle w:val="Heading3"/>
        <w:jc w:val="center"/>
        <w:rPr>
          <w:rFonts w:ascii="黑体" w:eastAsia="黑体" w:hint="eastAsia"/>
          <w:bCs w:val="0"/>
          <w:color w:val="000000" w:themeColor="text1"/>
          <w:sz w:val="24"/>
          <w14:textFill>
            <w14:solidFill>
              <w14:schemeClr w14:val="tx1"/>
            </w14:solidFill>
          </w14:textFill>
        </w:rPr>
      </w:pPr>
      <w:r>
        <w:rPr>
          <w:rFonts w:ascii="黑体" w:eastAsia="黑体" w:hint="eastAsia"/>
          <w:bCs w:val="0"/>
          <w:color w:val="000000" w:themeColor="text1"/>
          <w:sz w:val="24"/>
          <w:lang w:val="en-US" w:eastAsia="zh-CN"/>
          <w14:textFill>
            <w14:solidFill>
              <w14:schemeClr w14:val="tx1"/>
            </w14:solidFill>
          </w14:textFill>
        </w:rPr>
        <w:t>七、</w:t>
      </w:r>
      <w:r>
        <w:rPr>
          <w:rFonts w:ascii="黑体" w:eastAsia="黑体" w:hint="eastAsia"/>
          <w:bCs w:val="0"/>
          <w:color w:val="000000" w:themeColor="text1"/>
          <w:sz w:val="24"/>
          <w14:textFill>
            <w14:solidFill>
              <w14:schemeClr w14:val="tx1"/>
            </w14:solidFill>
          </w14:textFill>
        </w:rPr>
        <w:t>拟安排的项目主要团队成员（主要技术人员）情况（项目负责人除外）</w:t>
      </w:r>
    </w:p>
    <w:p>
      <w:pPr>
        <w:pStyle w:val="Heading3"/>
        <w:jc w:val="center"/>
        <w:rPr>
          <w:rFonts w:ascii="黑体" w:eastAsia="黑体" w:hint="eastAsia"/>
          <w:bCs w:val="0"/>
          <w:color w:val="000000" w:themeColor="text1"/>
          <w:sz w:val="24"/>
          <w14:textFill>
            <w14:solidFill>
              <w14:schemeClr w14:val="tx1"/>
            </w14:solidFill>
          </w14:textFill>
        </w:rPr>
      </w:pPr>
      <w:r>
        <w:rPr>
          <w:rFonts w:ascii="黑体" w:eastAsia="黑体" w:hint="eastAsia"/>
          <w:bCs w:val="0"/>
          <w:color w:val="000000" w:themeColor="text1"/>
          <w:sz w:val="24"/>
          <w:lang w:val="en-US" w:eastAsia="zh-CN"/>
          <w14:textFill>
            <w14:solidFill>
              <w14:schemeClr w14:val="tx1"/>
            </w14:solidFill>
          </w14:textFill>
        </w:rPr>
        <w:t>八、实施方案</w:t>
      </w:r>
      <w:r>
        <w:rPr>
          <w:rFonts w:ascii="黑体" w:eastAsia="黑体" w:hint="eastAsia"/>
          <w:bCs w:val="0"/>
          <w:color w:val="000000" w:themeColor="text1"/>
          <w:sz w:val="24"/>
          <w14:textFill>
            <w14:solidFill>
              <w14:schemeClr w14:val="tx1"/>
            </w14:solidFill>
          </w14:textFill>
        </w:rPr>
        <w:t>（格式自定）</w:t>
      </w:r>
    </w:p>
    <w:p>
      <w:pPr>
        <w:pStyle w:val="Heading3"/>
        <w:jc w:val="center"/>
        <w:rPr>
          <w:rFonts w:ascii="黑体" w:eastAsia="黑体" w:hint="eastAsia"/>
          <w:bCs w:val="0"/>
          <w:color w:val="000000" w:themeColor="text1"/>
          <w:sz w:val="24"/>
          <w14:textFill>
            <w14:solidFill>
              <w14:schemeClr w14:val="tx1"/>
            </w14:solidFill>
          </w14:textFill>
        </w:rPr>
      </w:pPr>
      <w:r>
        <w:rPr>
          <w:rFonts w:ascii="黑体" w:eastAsia="黑体" w:hint="eastAsia"/>
          <w:bCs w:val="0"/>
          <w:color w:val="000000" w:themeColor="text1"/>
          <w:sz w:val="24"/>
          <w:lang w:val="en-US" w:eastAsia="zh-CN"/>
          <w14:textFill>
            <w14:solidFill>
              <w14:schemeClr w14:val="tx1"/>
            </w14:solidFill>
          </w14:textFill>
        </w:rPr>
        <w:t>九、项目重点难点分析、应对措施及相关的合理化建议（格式自定）</w:t>
      </w:r>
    </w:p>
    <w:p>
      <w:pPr>
        <w:pStyle w:val="Heading3"/>
        <w:jc w:val="center"/>
        <w:rPr>
          <w:rFonts w:ascii="黑体" w:eastAsia="黑体" w:hint="eastAsia"/>
          <w:bCs w:val="0"/>
          <w:color w:val="000000" w:themeColor="text1"/>
          <w:sz w:val="24"/>
          <w14:textFill>
            <w14:solidFill>
              <w14:schemeClr w14:val="tx1"/>
            </w14:solidFill>
          </w14:textFill>
        </w:rPr>
      </w:pPr>
      <w:r>
        <w:rPr>
          <w:rFonts w:ascii="黑体" w:eastAsia="黑体" w:hint="eastAsia"/>
          <w:bCs w:val="0"/>
          <w:color w:val="000000" w:themeColor="text1"/>
          <w:sz w:val="24"/>
          <w:lang w:val="en-US" w:eastAsia="zh-CN"/>
          <w14:textFill>
            <w14:solidFill>
              <w14:schemeClr w14:val="tx1"/>
            </w14:solidFill>
          </w14:textFill>
        </w:rPr>
        <w:t>十、质量保障措施及方案（格式自定）</w:t>
      </w:r>
    </w:p>
    <w:p>
      <w:pPr>
        <w:pStyle w:val="Heading3"/>
        <w:jc w:val="center"/>
        <w:rPr>
          <w:rFonts w:ascii="黑体" w:eastAsia="黑体" w:hint="eastAsia"/>
          <w:bCs w:val="0"/>
          <w:color w:val="000000" w:themeColor="text1"/>
          <w:sz w:val="24"/>
          <w:lang w:val="en-US" w:eastAsia="zh-CN"/>
          <w14:textFill>
            <w14:solidFill>
              <w14:schemeClr w14:val="tx1"/>
            </w14:solidFill>
          </w14:textFill>
        </w:rPr>
      </w:pPr>
      <w:r>
        <w:rPr>
          <w:rFonts w:ascii="黑体" w:eastAsia="黑体" w:hint="eastAsia"/>
          <w:bCs w:val="0"/>
          <w:color w:val="000000" w:themeColor="text1"/>
          <w:sz w:val="24"/>
          <w:lang w:val="en-US" w:eastAsia="zh-CN"/>
          <w14:textFill>
            <w14:solidFill>
              <w14:schemeClr w14:val="tx1"/>
            </w14:solidFill>
          </w14:textFill>
        </w:rPr>
        <w:t>十一、承诺函</w:t>
      </w:r>
    </w:p>
    <w:p>
      <w:pPr>
        <w:widowControl w:val="0"/>
        <w:spacing w:line="360" w:lineRule="auto"/>
        <w:jc w:val="center"/>
        <w:rPr>
          <w:rFonts w:hint="eastAsia"/>
          <w:bCs w:val="0"/>
          <w:sz w:val="24"/>
          <w:szCs w:val="24"/>
          <w:lang w:val="en-US" w:eastAsia="zh-CN"/>
        </w:rPr>
      </w:pPr>
    </w:p>
    <w:p>
      <w:pPr>
        <w:widowControl w:val="0"/>
        <w:spacing w:line="360" w:lineRule="auto"/>
        <w:jc w:val="center"/>
        <w:rPr>
          <w:rFonts w:ascii="仿宋" w:eastAsia="仿宋" w:hAnsi="仿宋" w:cs="Times New Roman"/>
          <w:b/>
          <w:bCs/>
          <w:kern w:val="2"/>
          <w:sz w:val="32"/>
          <w:szCs w:val="32"/>
          <w:lang w:val="en-US" w:eastAsia="zh-CN" w:bidi="ar-SA"/>
        </w:rPr>
      </w:pPr>
      <w:r>
        <w:rPr>
          <w:rFonts w:ascii="仿宋" w:eastAsia="仿宋" w:hAnsi="仿宋" w:cs="Times New Roman" w:hint="eastAsia"/>
          <w:b/>
          <w:bCs/>
          <w:kern w:val="2"/>
          <w:sz w:val="32"/>
          <w:szCs w:val="32"/>
          <w:lang w:val="en-US" w:eastAsia="zh-CN" w:bidi="ar-SA"/>
        </w:rPr>
        <w:t>承诺函</w:t>
      </w:r>
    </w:p>
    <w:p>
      <w:pPr>
        <w:widowControl w:val="0"/>
        <w:spacing w:line="360" w:lineRule="auto"/>
        <w:jc w:val="both"/>
        <w:rPr>
          <w:rFonts w:ascii="仿宋" w:eastAsia="仿宋" w:hAnsi="仿宋" w:cs="Times New Roman"/>
          <w:kern w:val="2"/>
          <w:sz w:val="24"/>
          <w:lang w:val="en-US" w:eastAsia="zh-CN" w:bidi="ar-SA"/>
        </w:rPr>
      </w:pPr>
    </w:p>
    <w:p>
      <w:pPr>
        <w:widowControl w:val="0"/>
        <w:spacing w:line="360" w:lineRule="auto"/>
        <w:jc w:val="both"/>
        <w:rPr>
          <w:rFonts w:ascii="仿宋" w:eastAsia="仿宋" w:hAnsi="仿宋" w:cs="Times New Roman"/>
          <w:kern w:val="2"/>
          <w:sz w:val="24"/>
          <w:lang w:val="en-US" w:eastAsia="zh-CN" w:bidi="ar-SA"/>
        </w:rPr>
      </w:pPr>
      <w:r>
        <w:rPr>
          <w:rFonts w:ascii="仿宋" w:eastAsia="仿宋" w:hAnsi="仿宋" w:cs="Times New Roman" w:hint="eastAsia"/>
          <w:kern w:val="2"/>
          <w:sz w:val="24"/>
          <w:lang w:val="en-US" w:eastAsia="zh-CN" w:bidi="ar-SA"/>
        </w:rPr>
        <w:t>致：友和保险经纪有限公司、深圳港引航站</w:t>
      </w:r>
    </w:p>
    <w:p>
      <w:pPr>
        <w:widowControl w:val="0"/>
        <w:spacing w:line="360" w:lineRule="auto"/>
        <w:jc w:val="both"/>
        <w:rPr>
          <w:rFonts w:ascii="仿宋" w:eastAsia="仿宋" w:hAnsi="仿宋" w:cs="Times New Roman"/>
          <w:kern w:val="2"/>
          <w:sz w:val="24"/>
          <w:lang w:val="en-US" w:eastAsia="zh-CN" w:bidi="ar-SA"/>
        </w:rPr>
      </w:pPr>
    </w:p>
    <w:p>
      <w:pPr>
        <w:widowControl w:val="0"/>
        <w:spacing w:line="360" w:lineRule="auto"/>
        <w:ind w:firstLine="480" w:firstLineChars="200"/>
        <w:jc w:val="both"/>
        <w:rPr>
          <w:rFonts w:ascii="仿宋" w:eastAsia="仿宋" w:hAnsi="仿宋" w:cs="Times New Roman"/>
          <w:kern w:val="2"/>
          <w:sz w:val="24"/>
          <w:lang w:val="en-US" w:eastAsia="zh-CN" w:bidi="ar-SA"/>
        </w:rPr>
      </w:pPr>
      <w:r>
        <w:rPr>
          <w:rFonts w:ascii="仿宋" w:eastAsia="仿宋" w:hAnsi="仿宋" w:cs="Times New Roman" w:hint="eastAsia"/>
          <w:kern w:val="2"/>
          <w:sz w:val="24"/>
          <w:lang w:val="en-US" w:eastAsia="zh-CN" w:bidi="ar-SA"/>
        </w:rPr>
        <w:t>我单位承诺，中标后为本项目投入的团队成员（除项目负责人以外）不少于44人，如不遵守相应承诺，愿按违约处理，并承担由此给采购人带来的损失。</w:t>
      </w:r>
    </w:p>
    <w:p>
      <w:pPr>
        <w:widowControl w:val="0"/>
        <w:spacing w:after="96" w:afterLines="40" w:line="360" w:lineRule="auto"/>
        <w:ind w:firstLine="960" w:firstLineChars="400"/>
        <w:jc w:val="left"/>
        <w:rPr>
          <w:rFonts w:ascii="仿宋" w:eastAsia="仿宋" w:hAnsi="仿宋" w:cs="仿宋"/>
          <w:color w:val="000000" w:themeColor="text1"/>
          <w:kern w:val="2"/>
          <w:sz w:val="24"/>
          <w:lang w:val="en-US" w:eastAsia="zh-CN" w:bidi="ar-SA"/>
          <w14:textFill>
            <w14:solidFill>
              <w14:schemeClr w14:val="tx1"/>
            </w14:solidFill>
          </w14:textFill>
        </w:rPr>
      </w:pPr>
    </w:p>
    <w:p>
      <w:pPr>
        <w:widowControl w:val="0"/>
        <w:spacing w:after="96" w:afterLines="40" w:line="360" w:lineRule="auto"/>
        <w:ind w:firstLine="4800" w:firstLineChars="2000"/>
        <w:jc w:val="left"/>
        <w:rPr>
          <w:rFonts w:ascii="仿宋" w:eastAsia="仿宋" w:hAnsi="仿宋" w:cs="仿宋"/>
          <w:color w:val="000000" w:themeColor="text1"/>
          <w:kern w:val="2"/>
          <w:sz w:val="24"/>
          <w:lang w:val="en-US" w:eastAsia="zh-CN" w:bidi="ar-SA"/>
          <w14:textFill>
            <w14:solidFill>
              <w14:schemeClr w14:val="tx1"/>
            </w14:solidFill>
          </w14:textFill>
        </w:rPr>
      </w:pPr>
      <w:r>
        <w:rPr>
          <w:rFonts w:ascii="仿宋" w:eastAsia="仿宋" w:hAnsi="仿宋" w:cs="仿宋" w:hint="eastAsia"/>
          <w:color w:val="000000" w:themeColor="text1"/>
          <w:kern w:val="2"/>
          <w:sz w:val="24"/>
          <w:lang w:val="en-US" w:eastAsia="zh-CN" w:bidi="ar-SA"/>
          <w14:textFill>
            <w14:solidFill>
              <w14:schemeClr w14:val="tx1"/>
            </w14:solidFill>
          </w14:textFill>
        </w:rPr>
        <w:t>投标单位：</w:t>
      </w:r>
    </w:p>
    <w:p>
      <w:pPr>
        <w:widowControl w:val="0"/>
        <w:spacing w:after="96" w:afterLines="40" w:line="360" w:lineRule="auto"/>
        <w:jc w:val="right"/>
        <w:rPr>
          <w:rFonts w:ascii="Times New Roman" w:eastAsia="宋体" w:hAnsi="Times New Roman" w:cs="Times New Roman"/>
          <w:kern w:val="2"/>
          <w:sz w:val="24"/>
          <w:lang w:val="en-US" w:eastAsia="zh-CN" w:bidi="ar-SA"/>
        </w:rPr>
      </w:pPr>
      <w:r>
        <w:rPr>
          <w:rFonts w:ascii="仿宋" w:eastAsia="仿宋" w:hAnsi="仿宋" w:cs="仿宋" w:hint="eastAsia"/>
          <w:color w:val="000000" w:themeColor="text1"/>
          <w:kern w:val="2"/>
          <w:sz w:val="24"/>
          <w:lang w:val="en-US" w:eastAsia="zh-CN" w:bidi="ar-SA"/>
          <w14:textFill>
            <w14:solidFill>
              <w14:schemeClr w14:val="tx1"/>
            </w14:solidFill>
          </w14:textFill>
        </w:rPr>
        <w:t>日期：    年  月  日</w:t>
      </w:r>
    </w:p>
    <w:p>
      <w:pPr>
        <w:keepNext/>
        <w:keepLines/>
        <w:pageBreakBefore w:val="0"/>
        <w:widowControl/>
        <w:kinsoku/>
        <w:wordWrap/>
        <w:overflowPunct/>
        <w:topLinePunct w:val="0"/>
        <w:autoSpaceDE/>
        <w:autoSpaceDN/>
        <w:bidi w:val="0"/>
        <w:adjustRightInd/>
        <w:snapToGrid/>
        <w:jc w:val="center"/>
        <w:textAlignment w:val="auto"/>
        <w:outlineLvl w:val="9"/>
        <w:rPr>
          <w:rFonts w:ascii="黑体" w:eastAsia="黑体" w:hint="eastAsia"/>
          <w:bCs w:val="0"/>
          <w:color w:val="000000" w:themeColor="text1"/>
          <w:sz w:val="24"/>
          <w:lang w:val="en-US" w:eastAsia="zh-CN"/>
          <w14:textFill>
            <w14:solidFill>
              <w14:schemeClr w14:val="tx1"/>
            </w14:solidFill>
          </w14:textFill>
        </w:rPr>
      </w:pPr>
    </w:p>
    <w:p>
      <w:pPr>
        <w:pStyle w:val="Heading3"/>
        <w:jc w:val="center"/>
        <w:rPr>
          <w:rFonts w:ascii="黑体" w:eastAsia="黑体" w:hint="eastAsia"/>
          <w:bCs w:val="0"/>
          <w:color w:val="000000" w:themeColor="text1"/>
          <w:sz w:val="24"/>
          <w14:textFill>
            <w14:solidFill>
              <w14:schemeClr w14:val="tx1"/>
            </w14:solidFill>
          </w14:textFill>
        </w:rPr>
      </w:pPr>
      <w:r>
        <w:rPr>
          <w:rFonts w:ascii="黑体" w:eastAsia="黑体" w:hint="eastAsia"/>
          <w:bCs w:val="0"/>
          <w:color w:val="000000" w:themeColor="text1"/>
          <w:sz w:val="24"/>
          <w:lang w:val="en-US" w:eastAsia="zh-CN"/>
          <w14:textFill>
            <w14:solidFill>
              <w14:schemeClr w14:val="tx1"/>
            </w14:solidFill>
          </w14:textFill>
        </w:rPr>
        <w:t>十二</w:t>
      </w:r>
      <w:r>
        <w:rPr>
          <w:rFonts w:ascii="黑体" w:eastAsia="黑体"/>
          <w:bCs w:val="0"/>
          <w:color w:val="000000" w:themeColor="text1"/>
          <w:sz w:val="24"/>
          <w14:textFill>
            <w14:solidFill>
              <w14:schemeClr w14:val="tx1"/>
            </w14:solidFill>
          </w14:textFill>
        </w:rPr>
        <w:t>、</w:t>
      </w:r>
      <w:r>
        <w:rPr>
          <w:rFonts w:ascii="黑体" w:eastAsia="黑体" w:hint="eastAsia"/>
          <w:bCs w:val="0"/>
          <w:color w:val="000000" w:themeColor="text1"/>
          <w:sz w:val="24"/>
          <w14:textFill>
            <w14:solidFill>
              <w14:schemeClr w14:val="tx1"/>
            </w14:solidFill>
          </w14:textFill>
        </w:rPr>
        <w:t>投标人认为需要加以说明的其他内容（格式自定）</w:t>
      </w:r>
    </w:p>
    <w:p>
      <w:pPr>
        <w:rPr>
          <w:rFonts w:asciiTheme="majorEastAsia" w:eastAsiaTheme="majorEastAsia" w:hAnsiTheme="majorEastAsia" w:cstheme="majorEastAsia" w:hint="eastAsia"/>
          <w:b/>
          <w:bCs/>
          <w:sz w:val="24"/>
          <w:szCs w:val="20"/>
          <w:lang w:eastAsia="zh-CN"/>
        </w:rPr>
      </w:pPr>
      <w:r>
        <w:rPr>
          <w:rFonts w:asciiTheme="majorEastAsia" w:eastAsiaTheme="majorEastAsia" w:hAnsiTheme="majorEastAsia" w:cstheme="majorEastAsia" w:hint="eastAsia"/>
          <w:b/>
          <w:bCs/>
          <w:sz w:val="24"/>
          <w:szCs w:val="20"/>
          <w:lang w:eastAsia="zh-CN"/>
        </w:rPr>
        <w:t>（</w:t>
      </w:r>
      <w:r>
        <w:rPr>
          <w:rFonts w:asciiTheme="majorEastAsia" w:eastAsiaTheme="majorEastAsia" w:hAnsiTheme="majorEastAsia" w:cstheme="majorEastAsia" w:hint="eastAsia"/>
          <w:b/>
          <w:bCs/>
          <w:sz w:val="24"/>
          <w:szCs w:val="20"/>
          <w:lang w:val="en-US" w:eastAsia="zh-CN"/>
        </w:rPr>
        <w:t>1</w:t>
      </w:r>
      <w:r>
        <w:rPr>
          <w:rFonts w:asciiTheme="majorEastAsia" w:eastAsiaTheme="majorEastAsia" w:hAnsiTheme="majorEastAsia" w:cstheme="majorEastAsia" w:hint="eastAsia"/>
          <w:b/>
          <w:bCs/>
          <w:sz w:val="24"/>
          <w:szCs w:val="20"/>
          <w:lang w:eastAsia="zh-CN"/>
        </w:rPr>
        <w:t>）政府采购违法行为风险知悉确认书</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本公司在投标前已充分知悉以下情形为参与政府采购活动时的重大风险事项，并承诺已对下述风险提示事项重点排查，做到严谨、诚信、依法依规参与政府采购活动。</w:t>
      </w:r>
    </w:p>
    <w:p>
      <w:pPr>
        <w:keepNext w:val="0"/>
        <w:keepLines w:val="0"/>
        <w:pageBreakBefore w:val="0"/>
        <w:kinsoku/>
        <w:wordWrap/>
        <w:overflowPunct/>
        <w:topLinePunct w:val="0"/>
        <w:bidi w:val="0"/>
        <w:adjustRightInd/>
        <w:snapToGrid/>
        <w:spacing w:beforeAutospacing="0" w:afterAutospacing="0" w:line="240" w:lineRule="auto"/>
        <w:ind w:right="0" w:firstLine="480" w:rightChars="0" w:firstLineChars="200"/>
        <w:textAlignment w:val="auto"/>
        <w:rPr>
          <w:rFonts w:ascii="宋体" w:eastAsia="宋体" w:hAnsi="宋体" w:cs="宋体" w:hint="eastAsia"/>
          <w:b/>
          <w:bCs/>
          <w:sz w:val="21"/>
          <w:szCs w:val="21"/>
          <w:highlight w:val="yellow"/>
        </w:rPr>
      </w:pPr>
      <w:r>
        <w:rPr>
          <w:rFonts w:ascii="宋体" w:eastAsia="宋体" w:hAnsi="宋体" w:cs="宋体" w:hint="eastAsia"/>
          <w:b/>
          <w:bCs/>
          <w:sz w:val="21"/>
          <w:szCs w:val="21"/>
          <w:highlight w:val="yellow"/>
        </w:rPr>
        <w:t>一、本公司已充分知悉“隐瞒真实情况，提供虚假资料”的法定情形，相关情形包括但不限于：</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（一）通过转让或者租借等方式从其他单位获取资格或者资质证书投标的。</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（二）由其他单位或者其他单位负责人在投标供应商编制的投标文件上加盖印章或者签字的。</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（三）项目负责人或者主要技术人员不是本单位人员的。</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（四）投标保证金不是从投标供应商基本账户转出的。</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（五）其他隐瞒真实情况、提供虚假资料的行为。</w:t>
      </w:r>
    </w:p>
    <w:p>
      <w:pPr>
        <w:keepNext w:val="0"/>
        <w:keepLines w:val="0"/>
        <w:pageBreakBefore w:val="0"/>
        <w:kinsoku/>
        <w:wordWrap/>
        <w:overflowPunct/>
        <w:topLinePunct w:val="0"/>
        <w:bidi w:val="0"/>
        <w:adjustRightInd/>
        <w:snapToGrid/>
        <w:spacing w:beforeAutospacing="0" w:afterAutospacing="0" w:line="240" w:lineRule="auto"/>
        <w:ind w:right="0" w:firstLine="480" w:rightChars="0" w:firstLineChars="200"/>
        <w:textAlignment w:val="auto"/>
        <w:rPr>
          <w:rFonts w:ascii="宋体" w:eastAsia="宋体" w:hAnsi="宋体" w:cs="宋体" w:hint="eastAsia"/>
          <w:b/>
          <w:bCs/>
          <w:sz w:val="21"/>
          <w:szCs w:val="21"/>
          <w:highlight w:val="yellow"/>
        </w:rPr>
      </w:pPr>
      <w:r>
        <w:rPr>
          <w:rFonts w:ascii="宋体" w:eastAsia="宋体" w:hAnsi="宋体" w:cs="宋体" w:hint="eastAsia"/>
          <w:b/>
          <w:bCs/>
          <w:sz w:val="21"/>
          <w:szCs w:val="21"/>
          <w:highlight w:val="yellow"/>
        </w:rPr>
        <w:t>二、本公司已充分知悉“与其他采购参加人串通投标”的法定情形，相关情形包括但不限于：</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（一）投标供应商之间相互约定给予未中标的供应商利益补偿。</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（二）不同投标供应商的法定代表人、主要经营负责人、项目投标授权代表人、项目负责人、主要技术人员为同一人、属同一单位或者在同一单位缴纳社会保险。</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（三）不同投标供应商的投标文件由同一单位或者同一人编制，或者由同一人分阶段参与编制的。</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（四）不同投标供应商的投标文件或部分投标文件相互混装。</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（五）不同投标供应商的投标文件内容存在非正常一致。</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（六）由同一单位工作人员为两家以上（含两家）供应商进行同一项投标活动的。</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（七）不同投标人的投标报价呈规律性差异。</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（八）不同投标人的投标保证金从同一单位或者个人的账户转出。</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（九）主管部门依照法律、法规认定的其他情形。</w:t>
      </w:r>
    </w:p>
    <w:p>
      <w:pPr>
        <w:keepNext w:val="0"/>
        <w:keepLines w:val="0"/>
        <w:pageBreakBefore w:val="0"/>
        <w:kinsoku/>
        <w:wordWrap/>
        <w:overflowPunct/>
        <w:topLinePunct w:val="0"/>
        <w:bidi w:val="0"/>
        <w:adjustRightInd/>
        <w:snapToGrid/>
        <w:spacing w:beforeAutospacing="0" w:afterAutospacing="0" w:line="240" w:lineRule="auto"/>
        <w:ind w:right="0" w:firstLine="480" w:rightChars="0" w:firstLineChars="200"/>
        <w:textAlignment w:val="auto"/>
        <w:rPr>
          <w:rFonts w:ascii="宋体" w:eastAsia="宋体" w:hAnsi="宋体" w:cs="宋体" w:hint="eastAsia"/>
          <w:b/>
          <w:bCs/>
          <w:sz w:val="21"/>
          <w:szCs w:val="21"/>
          <w:highlight w:val="yellow"/>
        </w:rPr>
      </w:pPr>
      <w:r>
        <w:rPr>
          <w:rFonts w:ascii="宋体" w:eastAsia="宋体" w:hAnsi="宋体" w:cs="宋体" w:hint="eastAsia"/>
          <w:b/>
          <w:bCs/>
          <w:sz w:val="21"/>
          <w:szCs w:val="21"/>
          <w:highlight w:val="yellow"/>
        </w:rPr>
        <w:t>三、本公司已充分知悉下列情形所对应的法律风险，并在投标前已对相关风险事项进行排查。</w:t>
      </w:r>
    </w:p>
    <w:p>
      <w:pPr>
        <w:keepNext w:val="0"/>
        <w:keepLines w:val="0"/>
        <w:pageBreakBefore w:val="0"/>
        <w:kinsoku/>
        <w:wordWrap/>
        <w:overflowPunct/>
        <w:topLinePunct w:val="0"/>
        <w:autoSpaceDE w:val="0"/>
        <w:autoSpaceDN w:val="0"/>
        <w:bidi w:val="0"/>
        <w:adjustRightInd/>
        <w:snapToGrid/>
        <w:spacing w:beforeAutospacing="0" w:afterAutospacing="0" w:line="240" w:lineRule="auto"/>
        <w:ind w:right="0" w:firstLine="480" w:rightChars="0" w:firstLineChars="200"/>
        <w:textAlignment w:val="auto"/>
        <w:rPr>
          <w:rFonts w:ascii="宋体" w:eastAsia="宋体" w:hAnsi="宋体" w:cs="宋体" w:hint="eastAsia"/>
          <w:b/>
          <w:bCs/>
          <w:spacing w:val="-4"/>
          <w:kern w:val="0"/>
          <w:sz w:val="21"/>
          <w:szCs w:val="21"/>
          <w:highlight w:val="yellow"/>
        </w:rPr>
      </w:pPr>
      <w:r>
        <w:rPr>
          <w:rFonts w:ascii="宋体" w:eastAsia="宋体" w:hAnsi="宋体" w:cs="宋体" w:hint="eastAsia"/>
          <w:spacing w:val="-4"/>
          <w:kern w:val="0"/>
          <w:sz w:val="21"/>
          <w:szCs w:val="21"/>
          <w:highlight w:val="yellow"/>
        </w:rPr>
        <w:t>（一）对于从其他主体获取的投标资料，供应商应审慎核查，确保投标资料的真实性。</w:t>
      </w:r>
      <w:r>
        <w:rPr>
          <w:rFonts w:ascii="宋体" w:eastAsia="宋体" w:hAnsi="宋体" w:cs="宋体" w:hint="eastAsia"/>
          <w:b/>
          <w:bCs/>
          <w:spacing w:val="-4"/>
          <w:kern w:val="0"/>
          <w:sz w:val="21"/>
          <w:szCs w:val="21"/>
          <w:highlight w:val="yellow"/>
        </w:rPr>
        <w:t>如主管部门查实投标文件中存在虚假资料的，无论相关资料是否由第三方或本公司员工提供，均不影响主管部门对供应商存在“隐瞒真实情况，提供虚假资料”违法行为的认定。</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（二）对于涉及国家机关出具的公文、证件、证明材料等文件，一旦涉嫌虚假，经查实，主管部门将依法从严处理，并移送有关部门追究法律责任；涉嫌犯罪的，主管部门将一并移送司法机关追究法律责任。</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（三）对于涉及安全生产、特种作业、抢险救灾、防疫等政府采购项目，供应商实施提供虚假资料、串通投标等违法行为的，主管部门将依法从严处理。</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四）供应商应严格规范项目授权代表、员工参与招标投标的行为，加强对投标文件的审核。项目授权代表、员工编制、上传投标文件等行为违反政府采购法律法规或招标文件要求的，投标供应商应当依法承担相应法律责任。</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五）供应商对投标电子密钥负有妥善保管、及时变更和续期等主体责任。供应商使用电子密钥在深圳政府采购网站进行的活动，均具有法律效力，须承担相应的法律后果。供应商擅自将投标密钥出借他人使用所造成的法律后果，由供应商自行承担。</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（六）单位负责人为同一人或者存在直接控股、管理关系的不同供应商，不得参加同一合同项下的政府采购活动。相关情形如查实，依法作投标无效处理；涉嫌串通投标等违法行为的，主管部门将依法调查处理。</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b/>
          <w:bCs/>
          <w:kern w:val="0"/>
          <w:sz w:val="21"/>
          <w:szCs w:val="21"/>
          <w:highlight w:val="yellow"/>
          <w:lang w:val="en-US" w:eastAsia="zh-CN" w:bidi="ar-SA"/>
        </w:rPr>
      </w:pPr>
      <w:r>
        <w:rPr>
          <w:rFonts w:ascii="宋体" w:eastAsia="宋体" w:hAnsi="宋体" w:cs="宋体" w:hint="eastAsia"/>
          <w:b/>
          <w:bCs/>
          <w:kern w:val="0"/>
          <w:sz w:val="21"/>
          <w:szCs w:val="21"/>
          <w:highlight w:val="yellow"/>
          <w:lang w:val="en-US" w:eastAsia="zh-CN" w:bidi="ar-SA"/>
        </w:rPr>
        <w:t>四、本公司已充分知悉政府采购违法、违规行为的法律后果。</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b/>
          <w:bCs/>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经查实，若投标供应商存在政府采购违法、违规行为，主管部门将依据《深圳经济特区政府采购条例》第五十七条的规定，处以一至三年内禁止参与本市政府采购，并由主管部门记入供应商诚信档案，处采购金额千分之十以上千分之二十以下罚款；情节严重的，取消参与本市政府采购资格，处采购金额千分之二十以上千分之三十以下罚款，并由市场监管部门依法吊销营业执照。</w:t>
      </w:r>
      <w:r>
        <w:rPr>
          <w:rFonts w:ascii="宋体" w:eastAsia="宋体" w:hAnsi="宋体" w:cs="宋体" w:hint="eastAsia"/>
          <w:b/>
          <w:bCs/>
          <w:spacing w:val="-4"/>
          <w:kern w:val="0"/>
          <w:sz w:val="21"/>
          <w:szCs w:val="21"/>
          <w:highlight w:val="yellow"/>
          <w:lang w:val="en-US" w:eastAsia="zh-CN" w:bidi="ar-SA"/>
        </w:rPr>
        <w:t>以下文字请投标供应商抄写并确认：“本公司已仔细阅读《政府采购违法行为风险知悉确认书》，充分知悉违法行为的法律后果，并承诺将严谨、诚信、依法依规参与政府采购活动”。</w:t>
      </w:r>
    </w:p>
    <w:tbl>
      <w:tblPr>
        <w:tblStyle w:val="TableGrid"/>
        <w:tblW w:w="8522" w:type="dxa"/>
        <w:tblInd w:w="0" w:type="dxa"/>
        <w:tblBorders>
          <w:top w:val="nil"/>
          <w:left w:val="nil"/>
          <w:bottom w:val="single" w:sz="4" w:space="0" w:color="auto"/>
          <w:right w:val="nil"/>
          <w:insideH w:val="nil"/>
          <w:insideV w:val="nil"/>
        </w:tblBorders>
        <w:tblLayout w:type="fixed"/>
        <w:tblCellMar>
          <w:top w:w="0" w:type="dxa"/>
          <w:left w:w="108" w:type="dxa"/>
          <w:bottom w:w="0" w:type="dxa"/>
          <w:right w:w="108" w:type="dxa"/>
        </w:tblCellMar>
      </w:tblPr>
      <w:tblGrid>
        <w:gridCol w:w="8522"/>
      </w:tblGrid>
      <w:tr>
        <w:tblPrEx>
          <w:tblW w:w="8522" w:type="dxa"/>
          <w:tblInd w:w="0" w:type="dxa"/>
          <w:tblBorders>
            <w:top w:val="nil"/>
            <w:left w:val="nil"/>
            <w:bottom w:val="single" w:sz="4" w:space="0" w:color="auto"/>
            <w:right w:val="nil"/>
            <w:insideH w:val="nil"/>
            <w:insideV w:val="nil"/>
          </w:tblBorders>
          <w:tblLayout w:type="fixed"/>
          <w:tblCellMar>
            <w:top w:w="0" w:type="dxa"/>
            <w:left w:w="108" w:type="dxa"/>
            <w:bottom w:w="0" w:type="dxa"/>
            <w:right w:w="108" w:type="dxa"/>
          </w:tblCellMar>
        </w:tblPrEx>
        <w:trPr>
          <w:trHeight w:val="304"/>
        </w:trPr>
        <w:tc>
          <w:tcPr>
            <w:tcW w:w="8522" w:type="dxa"/>
            <w:tcBorders>
              <w:top w:val="nil"/>
              <w:left w:val="nil"/>
              <w:bottom w:val="single" w:sz="8" w:space="0" w:color="000000"/>
              <w:right w:val="nil"/>
            </w:tcBorders>
          </w:tcPr>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ascii="宋体" w:eastAsia="宋体" w:hAnsi="宋体" w:cs="宋体" w:hint="eastAsia"/>
                <w:spacing w:val="-4"/>
                <w:kern w:val="0"/>
                <w:sz w:val="21"/>
                <w:szCs w:val="21"/>
                <w:highlight w:val="green"/>
                <w:vertAlign w:val="baseline"/>
                <w:lang w:val="en-US" w:eastAsia="zh-CN" w:bidi="ar-SA"/>
              </w:rPr>
            </w:pPr>
          </w:p>
        </w:tc>
      </w:tr>
      <w:tr>
        <w:tblPrEx>
          <w:tblW w:w="8522" w:type="dxa"/>
          <w:tblInd w:w="0" w:type="dxa"/>
          <w:tblLayout w:type="fixed"/>
          <w:tblCellMar>
            <w:top w:w="0" w:type="dxa"/>
            <w:left w:w="108" w:type="dxa"/>
            <w:bottom w:w="0" w:type="dxa"/>
            <w:right w:w="108" w:type="dxa"/>
          </w:tblCellMar>
        </w:tblPrEx>
        <w:tc>
          <w:tcPr>
            <w:tcW w:w="8522" w:type="dxa"/>
            <w:tcBorders>
              <w:top w:val="single" w:sz="8" w:space="0" w:color="000000"/>
              <w:left w:val="nil"/>
              <w:bottom w:val="single" w:sz="8" w:space="0" w:color="000000"/>
              <w:right w:val="nil"/>
            </w:tcBorders>
          </w:tcPr>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ascii="宋体" w:eastAsia="宋体" w:hAnsi="宋体" w:cs="宋体" w:hint="eastAsia"/>
                <w:spacing w:val="-4"/>
                <w:kern w:val="0"/>
                <w:sz w:val="21"/>
                <w:szCs w:val="21"/>
                <w:highlight w:val="green"/>
                <w:vertAlign w:val="baseline"/>
                <w:lang w:val="en-US" w:eastAsia="zh-CN" w:bidi="ar-SA"/>
              </w:rPr>
            </w:pPr>
          </w:p>
        </w:tc>
      </w:tr>
      <w:tr>
        <w:tblPrEx>
          <w:tblW w:w="8522" w:type="dxa"/>
          <w:tblInd w:w="0" w:type="dxa"/>
          <w:tblLayout w:type="fixed"/>
          <w:tblCellMar>
            <w:top w:w="0" w:type="dxa"/>
            <w:left w:w="108" w:type="dxa"/>
            <w:bottom w:w="0" w:type="dxa"/>
            <w:right w:w="108" w:type="dxa"/>
          </w:tblCellMar>
        </w:tblPrEx>
        <w:tc>
          <w:tcPr>
            <w:tcW w:w="8522" w:type="dxa"/>
            <w:tcBorders>
              <w:top w:val="single" w:sz="8" w:space="0" w:color="000000"/>
              <w:left w:val="nil"/>
              <w:bottom w:val="single" w:sz="8" w:space="0" w:color="000000"/>
              <w:right w:val="nil"/>
            </w:tcBorders>
          </w:tcPr>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ascii="宋体" w:eastAsia="宋体" w:hAnsi="宋体" w:cs="宋体" w:hint="eastAsia"/>
                <w:spacing w:val="-4"/>
                <w:kern w:val="0"/>
                <w:sz w:val="21"/>
                <w:szCs w:val="21"/>
                <w:highlight w:val="green"/>
                <w:vertAlign w:val="baseline"/>
                <w:lang w:val="en-US" w:eastAsia="zh-CN" w:bidi="ar-SA"/>
              </w:rPr>
            </w:pPr>
          </w:p>
        </w:tc>
      </w:tr>
      <w:tr>
        <w:tblPrEx>
          <w:tblW w:w="8522" w:type="dxa"/>
          <w:tblInd w:w="0" w:type="dxa"/>
          <w:tblLayout w:type="fixed"/>
          <w:tblCellMar>
            <w:top w:w="0" w:type="dxa"/>
            <w:left w:w="108" w:type="dxa"/>
            <w:bottom w:w="0" w:type="dxa"/>
            <w:right w:w="108" w:type="dxa"/>
          </w:tblCellMar>
        </w:tblPrEx>
        <w:tc>
          <w:tcPr>
            <w:tcW w:w="8522" w:type="dxa"/>
            <w:tcBorders>
              <w:top w:val="single" w:sz="8" w:space="0" w:color="000000"/>
              <w:left w:val="nil"/>
              <w:bottom w:val="single" w:sz="8" w:space="0" w:color="auto"/>
              <w:right w:val="nil"/>
            </w:tcBorders>
          </w:tcPr>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rightChars="0"/>
              <w:jc w:val="left"/>
              <w:textAlignment w:val="auto"/>
              <w:rPr>
                <w:rFonts w:ascii="宋体" w:eastAsia="宋体" w:hAnsi="宋体" w:cs="宋体" w:hint="eastAsia"/>
                <w:spacing w:val="-4"/>
                <w:kern w:val="0"/>
                <w:sz w:val="21"/>
                <w:szCs w:val="21"/>
                <w:highlight w:val="green"/>
                <w:vertAlign w:val="baseline"/>
                <w:lang w:val="en-US" w:eastAsia="zh-CN" w:bidi="ar-SA"/>
              </w:rPr>
            </w:pPr>
          </w:p>
        </w:tc>
      </w:tr>
    </w:tbl>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b/>
          <w:bCs/>
          <w:color w:val="FF0000"/>
          <w:spacing w:val="-4"/>
          <w:kern w:val="0"/>
          <w:sz w:val="21"/>
          <w:szCs w:val="21"/>
          <w:highlight w:val="yellow"/>
          <w:lang w:val="en-US" w:eastAsia="zh-CN" w:bidi="ar-SA"/>
        </w:rPr>
      </w:pPr>
      <w:r>
        <w:rPr>
          <w:rFonts w:ascii="宋体" w:eastAsia="宋体" w:hAnsi="宋体" w:cs="宋体" w:hint="eastAsia"/>
          <w:b/>
          <w:bCs/>
          <w:color w:val="FF0000"/>
          <w:spacing w:val="-4"/>
          <w:kern w:val="0"/>
          <w:sz w:val="21"/>
          <w:szCs w:val="21"/>
          <w:highlight w:val="yellow"/>
          <w:lang w:val="en-US" w:eastAsia="zh-CN" w:bidi="ar-SA"/>
        </w:rPr>
        <w:t>注：1.政府采购违法行为风险知悉确认书不作为资格性审查及符合性审查条件。</w:t>
      </w:r>
    </w:p>
    <w:p>
      <w:pPr>
        <w:keepNext w:val="0"/>
        <w:keepLines w:val="0"/>
        <w:pageBreakBefore w:val="0"/>
        <w:widowControl w:val="0"/>
        <w:kinsoku/>
        <w:wordWrap/>
        <w:overflowPunct/>
        <w:topLinePunct w:val="0"/>
        <w:autoSpaceDE w:val="0"/>
        <w:autoSpaceDN w:val="0"/>
        <w:bidi w:val="0"/>
        <w:adjustRightInd/>
        <w:snapToGrid/>
        <w:spacing w:beforeAutospacing="0" w:afterAutospacing="0" w:line="240" w:lineRule="auto"/>
        <w:ind w:right="0" w:firstLine="480" w:rightChars="0" w:firstLineChars="200"/>
        <w:jc w:val="left"/>
        <w:textAlignment w:val="auto"/>
        <w:rPr>
          <w:rFonts w:ascii="宋体" w:eastAsia="宋体" w:hAnsi="宋体" w:cs="宋体" w:hint="eastAsia"/>
          <w:color w:val="FF0000"/>
          <w:spacing w:val="-4"/>
          <w:kern w:val="0"/>
          <w:sz w:val="21"/>
          <w:szCs w:val="21"/>
          <w:highlight w:val="yellow"/>
          <w:lang w:val="en-US" w:eastAsia="zh-CN" w:bidi="ar-SA"/>
        </w:rPr>
      </w:pPr>
      <w:r>
        <w:rPr>
          <w:rFonts w:ascii="宋体" w:eastAsia="宋体" w:hAnsi="宋体" w:cs="宋体" w:hint="eastAsia"/>
          <w:b/>
          <w:bCs/>
          <w:color w:val="FF0000"/>
          <w:spacing w:val="-4"/>
          <w:kern w:val="0"/>
          <w:sz w:val="21"/>
          <w:szCs w:val="21"/>
          <w:highlight w:val="yellow"/>
          <w:lang w:val="en-US" w:eastAsia="zh-CN" w:bidi="ar-SA"/>
        </w:rPr>
        <w:t>2.投标供应商负责人或投标授权代表签字并加盖单位公章后，扫描上传至投标文件一并提交。</w:t>
      </w:r>
    </w:p>
    <w:p>
      <w:pPr>
        <w:keepNext w:val="0"/>
        <w:keepLines w:val="0"/>
        <w:pageBreakBefore w:val="0"/>
        <w:widowControl w:val="0"/>
        <w:kinsoku/>
        <w:wordWrap w:val="0"/>
        <w:overflowPunct/>
        <w:topLinePunct w:val="0"/>
        <w:autoSpaceDE w:val="0"/>
        <w:autoSpaceDN w:val="0"/>
        <w:bidi w:val="0"/>
        <w:adjustRightInd/>
        <w:snapToGrid/>
        <w:spacing w:beforeAutospacing="0" w:afterAutospacing="0" w:line="240" w:lineRule="auto"/>
        <w:ind w:right="0" w:firstLine="480" w:rightChars="0" w:firstLineChars="200"/>
        <w:jc w:val="righ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 xml:space="preserve">负责人/投标授权代表签名：     </w:t>
      </w:r>
    </w:p>
    <w:p>
      <w:pPr>
        <w:keepNext w:val="0"/>
        <w:keepLines w:val="0"/>
        <w:pageBreakBefore w:val="0"/>
        <w:widowControl w:val="0"/>
        <w:kinsoku/>
        <w:wordWrap w:val="0"/>
        <w:overflowPunct/>
        <w:topLinePunct w:val="0"/>
        <w:autoSpaceDE w:val="0"/>
        <w:autoSpaceDN w:val="0"/>
        <w:bidi w:val="0"/>
        <w:adjustRightInd/>
        <w:snapToGrid/>
        <w:spacing w:beforeAutospacing="0" w:afterAutospacing="0" w:line="240" w:lineRule="auto"/>
        <w:ind w:right="0" w:firstLine="480" w:rightChars="0" w:firstLineChars="200"/>
        <w:jc w:val="right"/>
        <w:textAlignment w:val="auto"/>
        <w:rPr>
          <w:rFonts w:ascii="宋体" w:eastAsia="宋体" w:hAnsi="宋体" w:cs="宋体" w:hint="eastAsia"/>
          <w:spacing w:val="-4"/>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 xml:space="preserve">知悉人（公章）：     </w:t>
      </w:r>
    </w:p>
    <w:p>
      <w:pPr>
        <w:keepNext w:val="0"/>
        <w:keepLines w:val="0"/>
        <w:pageBreakBefore w:val="0"/>
        <w:widowControl w:val="0"/>
        <w:kinsoku/>
        <w:wordWrap w:val="0"/>
        <w:overflowPunct/>
        <w:topLinePunct w:val="0"/>
        <w:autoSpaceDE w:val="0"/>
        <w:autoSpaceDN w:val="0"/>
        <w:bidi w:val="0"/>
        <w:adjustRightInd/>
        <w:snapToGrid/>
        <w:spacing w:beforeAutospacing="0" w:afterAutospacing="0" w:line="240" w:lineRule="auto"/>
        <w:ind w:right="0" w:firstLine="480" w:rightChars="0" w:firstLineChars="200"/>
        <w:jc w:val="right"/>
        <w:textAlignment w:val="auto"/>
        <w:rPr>
          <w:rFonts w:ascii="宋体" w:eastAsia="宋体" w:hAnsi="宋体" w:cs="宋体" w:hint="eastAsia"/>
          <w:kern w:val="0"/>
          <w:sz w:val="21"/>
          <w:szCs w:val="21"/>
          <w:highlight w:val="yellow"/>
          <w:lang w:val="en-US" w:eastAsia="zh-CN" w:bidi="ar-SA"/>
        </w:rPr>
      </w:pPr>
      <w:r>
        <w:rPr>
          <w:rFonts w:ascii="宋体" w:eastAsia="宋体" w:hAnsi="宋体" w:cs="宋体" w:hint="eastAsia"/>
          <w:spacing w:val="-4"/>
          <w:kern w:val="0"/>
          <w:sz w:val="21"/>
          <w:szCs w:val="21"/>
          <w:highlight w:val="yellow"/>
          <w:lang w:val="en-US" w:eastAsia="zh-CN" w:bidi="ar-SA"/>
        </w:rPr>
        <w:t xml:space="preserve">日期：     </w:t>
      </w:r>
    </w:p>
    <w:p>
      <w:pPr>
        <w:widowControl w:val="0"/>
        <w:spacing w:line="360" w:lineRule="auto"/>
        <w:jc w:val="both"/>
        <w:rPr>
          <w:rFonts w:ascii="Times New Roman" w:eastAsia="宋体" w:hAnsi="Times New Roman" w:cs="Times New Roman" w:hint="eastAsia"/>
          <w:b/>
          <w:bCs/>
          <w:kern w:val="2"/>
          <w:sz w:val="24"/>
          <w:szCs w:val="24"/>
          <w:lang w:val="en-US" w:eastAsia="zh-CN" w:bidi="ar-SA"/>
        </w:rPr>
      </w:pPr>
    </w:p>
    <w:p>
      <w:pPr>
        <w:rPr>
          <w:rFonts w:ascii="黑体" w:eastAsia="黑体" w:hAnsi="宋体" w:cs="Times New Roman" w:hint="eastAsia"/>
          <w:sz w:val="24"/>
          <w:szCs w:val="20"/>
          <w:lang w:eastAsia="zh-CN"/>
        </w:rPr>
      </w:pPr>
    </w:p>
    <w:p>
      <w:pPr>
        <w:rPr>
          <w:rFonts w:asciiTheme="majorEastAsia" w:eastAsiaTheme="majorEastAsia" w:hAnsiTheme="majorEastAsia" w:cstheme="majorEastAsia" w:hint="eastAsia"/>
          <w:b/>
          <w:bCs/>
        </w:rPr>
      </w:pPr>
      <w:r>
        <w:rPr>
          <w:rFonts w:asciiTheme="majorEastAsia" w:eastAsiaTheme="majorEastAsia" w:hAnsiTheme="majorEastAsia" w:cstheme="majorEastAsia" w:hint="eastAsia"/>
          <w:b/>
          <w:bCs/>
          <w:sz w:val="24"/>
          <w:szCs w:val="20"/>
          <w:lang w:eastAsia="zh-CN"/>
        </w:rPr>
        <w:t>（</w:t>
      </w:r>
      <w:r>
        <w:rPr>
          <w:rFonts w:asciiTheme="majorEastAsia" w:eastAsiaTheme="majorEastAsia" w:hAnsiTheme="majorEastAsia" w:cstheme="majorEastAsia" w:hint="eastAsia"/>
          <w:b/>
          <w:bCs/>
          <w:sz w:val="24"/>
          <w:szCs w:val="20"/>
          <w:lang w:val="en-US" w:eastAsia="zh-CN"/>
        </w:rPr>
        <w:t>2</w:t>
      </w:r>
      <w:r>
        <w:rPr>
          <w:rFonts w:asciiTheme="majorEastAsia" w:eastAsiaTheme="majorEastAsia" w:hAnsiTheme="majorEastAsia" w:cstheme="majorEastAsia" w:hint="eastAsia"/>
          <w:b/>
          <w:bCs/>
          <w:sz w:val="24"/>
          <w:szCs w:val="20"/>
          <w:lang w:eastAsia="zh-CN"/>
        </w:rPr>
        <w:t>）</w:t>
      </w:r>
      <w:r>
        <w:rPr>
          <w:rFonts w:asciiTheme="majorEastAsia" w:eastAsiaTheme="majorEastAsia" w:hAnsiTheme="majorEastAsia" w:cstheme="majorEastAsia" w:hint="eastAsia"/>
          <w:b/>
          <w:bCs/>
          <w:sz w:val="24"/>
          <w:szCs w:val="20"/>
        </w:rPr>
        <w:t>投标人认为需要加以说明的其他内容</w:t>
      </w:r>
    </w:p>
    <w:p>
      <w:pPr>
        <w:pStyle w:val="NormalIndent"/>
      </w:pPr>
    </w:p>
    <w:p/>
    <w:p>
      <w:pPr>
        <w:pStyle w:val="NormalIndent"/>
      </w:pPr>
    </w:p>
    <w:p/>
    <w:p>
      <w:pPr>
        <w:pStyle w:val="NormalIndent"/>
      </w:pPr>
    </w:p>
    <w:p>
      <w:pPr>
        <w:pStyle w:val="Heading2"/>
        <w:rPr>
          <w:color w:val="000000" w:themeColor="text1"/>
          <w14:textFill>
            <w14:solidFill>
              <w14:schemeClr w14:val="tx1"/>
            </w14:solidFill>
          </w14:textFill>
        </w:rPr>
      </w:pPr>
      <w:r>
        <w:rPr>
          <w:rFonts w:hint="eastAsia"/>
          <w:color w:val="000000" w:themeColor="text1"/>
          <w14:textFill>
            <w14:solidFill>
              <w14:schemeClr w14:val="tx1"/>
            </w14:solidFill>
          </w14:textFill>
        </w:rPr>
        <w:br w:type="page"/>
      </w:r>
      <w:r>
        <w:rPr>
          <w:rFonts w:hint="eastAsia"/>
          <w:color w:val="000000" w:themeColor="text1"/>
          <w14:textFill>
            <w14:solidFill>
              <w14:schemeClr w14:val="tx1"/>
            </w14:solidFill>
          </w14:textFill>
        </w:rPr>
        <w:t>第五章  合同条款及格式</w:t>
      </w:r>
    </w:p>
    <w:p>
      <w:pPr>
        <w:spacing w:line="360" w:lineRule="auto"/>
        <w:jc w:val="center"/>
        <w:rPr>
          <w:rFonts w:ascii="宋体" w:eastAsia="黑体" w:hAnsi="宋体"/>
          <w:bCs/>
          <w:kern w:val="44"/>
          <w:sz w:val="28"/>
          <w:szCs w:val="44"/>
        </w:rPr>
      </w:pPr>
      <w:bookmarkStart w:id="53" w:name="_Hlk72574405"/>
      <w:r>
        <w:rPr>
          <w:rFonts w:ascii="宋体" w:eastAsia="宋体" w:hAnsi="宋体" w:cs="宋体" w:hint="eastAsia"/>
          <w:b/>
        </w:rPr>
        <w:t>（仅供参考，具体以项目需求及采购结果为准）</w:t>
      </w:r>
      <w:bookmarkEnd w:id="53"/>
    </w:p>
    <w:p>
      <w:pPr>
        <w:snapToGrid w:val="0"/>
        <w:spacing w:line="300" w:lineRule="auto"/>
        <w:rPr>
          <w:rFonts w:ascii="宋体" w:eastAsia="宋体" w:hAnsi="宋体"/>
          <w:u w:val="single"/>
        </w:rPr>
      </w:pPr>
      <w:r>
        <w:rPr>
          <w:rFonts w:ascii="宋体" w:eastAsia="宋体" w:hAnsi="宋体" w:hint="eastAsia"/>
        </w:rPr>
        <w:t>甲方：</w:t>
      </w:r>
      <w:r>
        <w:rPr>
          <w:rFonts w:ascii="宋体" w:eastAsia="宋体" w:hAnsi="宋体" w:hint="eastAsia"/>
          <w:u w:val="single"/>
        </w:rPr>
        <w:t xml:space="preserve">                </w:t>
      </w:r>
      <w:r>
        <w:rPr>
          <w:rFonts w:ascii="宋体" w:eastAsia="宋体" w:hAnsi="宋体" w:hint="eastAsia"/>
          <w:u w:val="single"/>
        </w:rPr>
        <w:tab/>
      </w:r>
      <w:r>
        <w:rPr>
          <w:rFonts w:ascii="宋体" w:eastAsia="宋体" w:hAnsi="宋体" w:hint="eastAsia"/>
          <w:u w:val="single"/>
        </w:rPr>
        <w:tab/>
      </w:r>
      <w:r>
        <w:rPr>
          <w:rFonts w:ascii="宋体" w:eastAsia="宋体" w:hAnsi="宋体" w:hint="eastAsia"/>
          <w:u w:val="single"/>
        </w:rPr>
        <w:t xml:space="preserve"> </w:t>
      </w:r>
      <w:r>
        <w:rPr>
          <w:rFonts w:ascii="宋体" w:eastAsia="宋体" w:hAnsi="宋体" w:hint="eastAsia"/>
        </w:rPr>
        <w:t xml:space="preserve">   乙方: </w:t>
      </w:r>
      <w:r>
        <w:rPr>
          <w:rFonts w:ascii="宋体" w:eastAsia="宋体" w:hAnsi="宋体" w:hint="eastAsia"/>
          <w:u w:val="single"/>
        </w:rPr>
        <w:t xml:space="preserve">   </w:t>
      </w:r>
      <w:r>
        <w:rPr>
          <w:rFonts w:ascii="宋体" w:eastAsia="宋体" w:hAnsi="宋体" w:hint="eastAsia"/>
          <w:u w:val="single"/>
        </w:rPr>
        <w:tab/>
      </w:r>
      <w:r>
        <w:rPr>
          <w:rFonts w:ascii="宋体" w:eastAsia="宋体" w:hAnsi="宋体" w:hint="eastAsia"/>
          <w:u w:val="single"/>
        </w:rPr>
        <w:tab/>
      </w:r>
      <w:r>
        <w:rPr>
          <w:rFonts w:ascii="宋体" w:eastAsia="宋体" w:hAnsi="宋体" w:hint="eastAsia"/>
          <w:u w:val="single"/>
        </w:rPr>
        <w:t xml:space="preserve">   </w:t>
      </w:r>
      <w:r>
        <w:rPr>
          <w:rFonts w:ascii="宋体" w:eastAsia="宋体" w:hAnsi="宋体" w:hint="eastAsia"/>
          <w:u w:val="single"/>
        </w:rPr>
        <w:tab/>
      </w:r>
      <w:r>
        <w:rPr>
          <w:rFonts w:ascii="宋体" w:eastAsia="宋体" w:hAnsi="宋体" w:hint="eastAsia"/>
          <w:u w:val="single"/>
        </w:rPr>
        <w:t xml:space="preserve">   </w:t>
      </w:r>
      <w:r>
        <w:rPr>
          <w:rFonts w:ascii="宋体" w:eastAsia="宋体" w:hAnsi="宋体" w:hint="eastAsia"/>
          <w:u w:val="single"/>
        </w:rPr>
        <w:tab/>
      </w:r>
      <w:r>
        <w:rPr>
          <w:rFonts w:ascii="宋体" w:eastAsia="宋体" w:hAnsi="宋体" w:hint="eastAsia"/>
          <w:u w:val="single"/>
        </w:rPr>
        <w:t xml:space="preserve">  </w:t>
      </w:r>
    </w:p>
    <w:p>
      <w:pPr>
        <w:snapToGrid w:val="0"/>
        <w:spacing w:line="300" w:lineRule="auto"/>
        <w:rPr>
          <w:rFonts w:ascii="宋体" w:eastAsia="宋体" w:hAnsi="宋体"/>
        </w:rPr>
      </w:pPr>
      <w:r>
        <w:rPr>
          <w:rFonts w:ascii="宋体" w:eastAsia="宋体" w:hAnsi="宋体" w:hint="eastAsia"/>
        </w:rPr>
        <w:t>住所地：</w:t>
      </w:r>
      <w:r>
        <w:rPr>
          <w:rFonts w:ascii="宋体" w:eastAsia="宋体" w:hAnsi="宋体" w:hint="eastAsia"/>
          <w:u w:val="single"/>
        </w:rPr>
        <w:t xml:space="preserve">                    </w:t>
      </w:r>
      <w:r>
        <w:rPr>
          <w:rFonts w:ascii="宋体" w:eastAsia="宋体" w:hAnsi="宋体" w:hint="eastAsia"/>
        </w:rPr>
        <w:t xml:space="preserve">   住所地：</w:t>
      </w:r>
      <w:r>
        <w:rPr>
          <w:rFonts w:ascii="宋体" w:eastAsia="宋体" w:hAnsi="宋体" w:hint="eastAsia"/>
          <w:u w:val="single"/>
        </w:rPr>
        <w:t xml:space="preserve">                    </w:t>
      </w:r>
    </w:p>
    <w:p>
      <w:pPr>
        <w:snapToGrid w:val="0"/>
        <w:spacing w:line="300" w:lineRule="auto"/>
        <w:rPr>
          <w:rFonts w:ascii="宋体" w:eastAsia="宋体" w:hAnsi="宋体"/>
        </w:rPr>
      </w:pPr>
      <w:r>
        <w:rPr>
          <w:rFonts w:ascii="宋体" w:eastAsia="宋体" w:hAnsi="宋体" w:hint="eastAsia"/>
        </w:rPr>
        <w:t>法定代表人：</w:t>
      </w:r>
      <w:r>
        <w:rPr>
          <w:rFonts w:ascii="宋体" w:eastAsia="宋体" w:hAnsi="宋体" w:hint="eastAsia"/>
          <w:u w:val="single"/>
        </w:rPr>
        <w:t xml:space="preserve">                </w:t>
      </w:r>
      <w:r>
        <w:rPr>
          <w:rFonts w:ascii="宋体" w:eastAsia="宋体" w:hAnsi="宋体" w:hint="eastAsia"/>
        </w:rPr>
        <w:t xml:space="preserve">   法定代表人：</w:t>
      </w:r>
      <w:r>
        <w:rPr>
          <w:rFonts w:ascii="宋体" w:eastAsia="宋体" w:hAnsi="宋体" w:hint="eastAsia"/>
          <w:u w:val="single"/>
        </w:rPr>
        <w:t xml:space="preserve">                </w:t>
      </w:r>
    </w:p>
    <w:p>
      <w:pPr>
        <w:snapToGrid w:val="0"/>
        <w:spacing w:line="300" w:lineRule="auto"/>
        <w:rPr>
          <w:rFonts w:ascii="宋体" w:eastAsia="宋体" w:hAnsi="宋体"/>
        </w:rPr>
      </w:pPr>
      <w:r>
        <w:rPr>
          <w:rFonts w:ascii="宋体" w:eastAsia="宋体" w:hAnsi="宋体" w:hint="eastAsia"/>
        </w:rPr>
        <w:t>联系人：</w:t>
      </w:r>
      <w:r>
        <w:rPr>
          <w:rFonts w:ascii="宋体" w:eastAsia="宋体" w:hAnsi="宋体" w:hint="eastAsia"/>
          <w:u w:val="single"/>
        </w:rPr>
        <w:tab/>
      </w:r>
      <w:r>
        <w:rPr>
          <w:rFonts w:ascii="宋体" w:eastAsia="宋体" w:hAnsi="宋体" w:hint="eastAsia"/>
          <w:u w:val="single"/>
        </w:rPr>
        <w:tab/>
      </w:r>
      <w:r>
        <w:rPr>
          <w:rFonts w:ascii="宋体" w:eastAsia="宋体" w:hAnsi="宋体" w:hint="eastAsia"/>
          <w:u w:val="single"/>
        </w:rPr>
        <w:t xml:space="preserve">                </w:t>
      </w:r>
      <w:r>
        <w:rPr>
          <w:rFonts w:ascii="宋体" w:eastAsia="宋体" w:hAnsi="宋体" w:hint="eastAsia"/>
        </w:rPr>
        <w:t xml:space="preserve">   联系人：</w:t>
      </w:r>
      <w:r>
        <w:rPr>
          <w:rFonts w:ascii="宋体" w:eastAsia="宋体" w:hAnsi="宋体" w:hint="eastAsia"/>
          <w:u w:val="single"/>
        </w:rPr>
        <w:t xml:space="preserve">                    </w:t>
      </w:r>
    </w:p>
    <w:p>
      <w:pPr>
        <w:snapToGrid w:val="0"/>
        <w:spacing w:line="300" w:lineRule="auto"/>
        <w:rPr>
          <w:rFonts w:ascii="宋体" w:eastAsia="宋体" w:hAnsi="宋体"/>
        </w:rPr>
      </w:pPr>
      <w:r>
        <w:rPr>
          <w:rFonts w:ascii="宋体" w:eastAsia="宋体" w:hAnsi="宋体" w:hint="eastAsia"/>
        </w:rPr>
        <w:t>电话：</w:t>
      </w:r>
      <w:r>
        <w:rPr>
          <w:rFonts w:ascii="宋体" w:eastAsia="宋体" w:hAnsi="宋体" w:hint="eastAsia"/>
          <w:u w:val="single"/>
        </w:rPr>
        <w:tab/>
      </w:r>
      <w:r>
        <w:rPr>
          <w:rFonts w:ascii="宋体" w:eastAsia="宋体" w:hAnsi="宋体" w:hint="eastAsia"/>
          <w:u w:val="single"/>
        </w:rPr>
        <w:tab/>
      </w:r>
      <w:r>
        <w:rPr>
          <w:rFonts w:ascii="宋体" w:eastAsia="宋体" w:hAnsi="宋体" w:hint="eastAsia"/>
          <w:u w:val="single"/>
        </w:rPr>
        <w:t xml:space="preserve">                </w:t>
      </w:r>
      <w:r>
        <w:rPr>
          <w:rFonts w:ascii="宋体" w:eastAsia="宋体" w:hAnsi="宋体" w:hint="eastAsia"/>
        </w:rPr>
        <w:t xml:space="preserve">   电话：</w:t>
      </w:r>
      <w:r>
        <w:rPr>
          <w:rFonts w:ascii="宋体" w:eastAsia="宋体" w:hAnsi="宋体" w:hint="eastAsia"/>
          <w:u w:val="single"/>
        </w:rPr>
        <w:t xml:space="preserve">                      </w:t>
      </w:r>
    </w:p>
    <w:p>
      <w:pPr>
        <w:snapToGrid w:val="0"/>
        <w:spacing w:line="300" w:lineRule="auto"/>
        <w:rPr>
          <w:rFonts w:ascii="宋体" w:eastAsia="宋体" w:hAnsi="宋体"/>
        </w:rPr>
      </w:pPr>
      <w:r>
        <w:rPr>
          <w:rFonts w:ascii="宋体" w:eastAsia="宋体" w:hAnsi="宋体" w:hint="eastAsia"/>
        </w:rPr>
        <w:t>传真：</w:t>
      </w:r>
      <w:r>
        <w:rPr>
          <w:rFonts w:ascii="宋体" w:eastAsia="宋体" w:hAnsi="宋体" w:hint="eastAsia"/>
          <w:u w:val="single"/>
        </w:rPr>
        <w:t xml:space="preserve">                      </w:t>
      </w:r>
      <w:r>
        <w:rPr>
          <w:rFonts w:ascii="宋体" w:eastAsia="宋体" w:hAnsi="宋体" w:hint="eastAsia"/>
        </w:rPr>
        <w:t xml:space="preserve">   传真：</w:t>
      </w:r>
      <w:r>
        <w:rPr>
          <w:rFonts w:ascii="宋体" w:eastAsia="宋体" w:hAnsi="宋体" w:hint="eastAsia"/>
          <w:u w:val="single"/>
        </w:rPr>
        <w:t xml:space="preserve">                      </w:t>
      </w:r>
    </w:p>
    <w:p>
      <w:pPr>
        <w:snapToGrid w:val="0"/>
        <w:spacing w:line="360" w:lineRule="auto"/>
        <w:rPr>
          <w:rFonts w:ascii="宋体" w:eastAsia="宋体" w:hAnsi="宋体" w:hint="default"/>
          <w:lang w:val="en-US" w:eastAsia="zh-CN"/>
        </w:rPr>
      </w:pPr>
    </w:p>
    <w:p>
      <w:pPr>
        <w:tabs>
          <w:tab w:val="left" w:pos="0"/>
        </w:tabs>
        <w:snapToGrid w:val="0"/>
        <w:spacing w:line="360" w:lineRule="auto"/>
        <w:ind w:firstLine="480" w:firstLineChars="200"/>
        <w:rPr>
          <w:rFonts w:ascii="宋体" w:eastAsia="宋体" w:hAnsi="宋体"/>
          <w:b/>
        </w:rPr>
      </w:pPr>
      <w:r>
        <w:rPr>
          <w:rFonts w:ascii="宋体" w:eastAsia="宋体" w:hAnsi="宋体" w:hint="eastAsia"/>
          <w:b/>
        </w:rPr>
        <w:t>第一条 项目基本情况</w:t>
      </w:r>
    </w:p>
    <w:p>
      <w:pPr>
        <w:tabs>
          <w:tab w:val="left" w:pos="0"/>
        </w:tabs>
        <w:snapToGrid w:val="0"/>
        <w:spacing w:line="300" w:lineRule="auto"/>
        <w:ind w:firstLine="555"/>
        <w:rPr>
          <w:rFonts w:ascii="宋体" w:eastAsia="宋体" w:hAnsi="宋体"/>
        </w:rPr>
      </w:pPr>
      <w:r>
        <w:rPr>
          <w:rFonts w:ascii="宋体" w:eastAsia="宋体" w:hAnsi="宋体" w:hint="eastAsia"/>
        </w:rPr>
        <w:t>根据友和保险经纪有限公司</w:t>
      </w:r>
      <w:r>
        <w:rPr>
          <w:rFonts w:ascii="宋体" w:eastAsia="宋体" w:hAnsi="宋体" w:hint="eastAsia"/>
          <w:u w:val="single"/>
        </w:rPr>
        <w:t xml:space="preserve">      </w:t>
      </w:r>
      <w:r>
        <w:rPr>
          <w:rFonts w:ascii="宋体" w:eastAsia="宋体" w:hAnsi="宋体"/>
          <w:u w:val="single"/>
        </w:rPr>
        <w:t xml:space="preserve">    </w:t>
      </w:r>
      <w:r>
        <w:rPr>
          <w:rFonts w:ascii="宋体" w:eastAsia="宋体" w:hAnsi="宋体" w:hint="eastAsia"/>
          <w:u w:val="single"/>
        </w:rPr>
        <w:t xml:space="preserve">  </w:t>
      </w:r>
      <w:r>
        <w:rPr>
          <w:rFonts w:ascii="宋体" w:eastAsia="宋体" w:hAnsi="宋体" w:hint="eastAsia"/>
        </w:rPr>
        <w:t>项目（招标编号：</w:t>
      </w:r>
      <w:r>
        <w:rPr>
          <w:rFonts w:ascii="宋体" w:eastAsia="宋体" w:hAnsi="宋体"/>
          <w:u w:val="single"/>
        </w:rPr>
        <w:t xml:space="preserve">   </w:t>
      </w:r>
      <w:r>
        <w:rPr>
          <w:rFonts w:ascii="宋体" w:eastAsia="宋体" w:hAnsi="宋体" w:hint="eastAsia"/>
          <w:u w:val="single"/>
        </w:rPr>
        <w:t xml:space="preserve">  </w:t>
      </w:r>
      <w:r>
        <w:rPr>
          <w:rFonts w:ascii="宋体" w:eastAsia="宋体" w:hAnsi="宋体"/>
          <w:u w:val="single"/>
        </w:rPr>
        <w:t xml:space="preserve"> </w:t>
      </w:r>
      <w:r>
        <w:rPr>
          <w:rFonts w:ascii="宋体" w:eastAsia="宋体" w:hAnsi="宋体" w:hint="eastAsia"/>
          <w:u w:val="single"/>
        </w:rPr>
        <w:t xml:space="preserve"> </w:t>
      </w:r>
      <w:r>
        <w:rPr>
          <w:rFonts w:ascii="宋体" w:eastAsia="宋体" w:hAnsi="宋体" w:hint="eastAsia"/>
        </w:rPr>
        <w:t>）结果，</w:t>
      </w:r>
      <w:r>
        <w:rPr>
          <w:rFonts w:ascii="宋体" w:eastAsia="宋体" w:hAnsi="宋体" w:hint="eastAsia"/>
          <w:u w:val="single"/>
        </w:rPr>
        <w:t xml:space="preserve">        </w:t>
      </w:r>
      <w:r>
        <w:rPr>
          <w:rFonts w:ascii="宋体" w:eastAsia="宋体" w:hAnsi="宋体" w:hint="eastAsia"/>
        </w:rPr>
        <w:t>为中标人。按照《中华人民共和国民法典》（第三编 合同）》和《深圳经济特区政府采购条例》，经</w:t>
      </w:r>
      <w:r>
        <w:rPr>
          <w:rFonts w:ascii="宋体" w:eastAsia="宋体" w:hAnsi="宋体" w:hint="eastAsia"/>
          <w:u w:val="single"/>
        </w:rPr>
        <w:t xml:space="preserve">        </w:t>
      </w:r>
      <w:r>
        <w:rPr>
          <w:rFonts w:ascii="宋体" w:eastAsia="宋体" w:hAnsi="宋体" w:hint="eastAsia"/>
        </w:rPr>
        <w:t>（以下简称甲方）和</w:t>
      </w:r>
      <w:r>
        <w:rPr>
          <w:rFonts w:ascii="宋体" w:eastAsia="宋体" w:hAnsi="宋体" w:hint="eastAsia"/>
          <w:u w:val="single"/>
        </w:rPr>
        <w:t xml:space="preserve">        </w:t>
      </w:r>
      <w:r>
        <w:rPr>
          <w:rFonts w:ascii="宋体" w:eastAsia="宋体" w:hAnsi="宋体" w:hint="eastAsia"/>
        </w:rPr>
        <w:t>（以下简称乙方）协商，达成本合同条款。</w:t>
      </w:r>
    </w:p>
    <w:p>
      <w:pPr>
        <w:tabs>
          <w:tab w:val="left" w:pos="0"/>
        </w:tabs>
        <w:adjustRightInd/>
        <w:snapToGrid w:val="0"/>
        <w:spacing w:line="360" w:lineRule="auto"/>
        <w:ind w:firstLine="480" w:firstLineChars="200"/>
        <w:rPr>
          <w:rFonts w:ascii="宋体" w:eastAsia="宋体" w:hAnsi="宋体" w:hint="eastAsia"/>
          <w:b/>
          <w:bCs w:val="0"/>
          <w:sz w:val="24"/>
          <w:szCs w:val="24"/>
        </w:rPr>
      </w:pPr>
      <w:r>
        <w:rPr>
          <w:rFonts w:ascii="宋体" w:eastAsia="宋体" w:hAnsi="宋体" w:hint="eastAsia"/>
          <w:b/>
          <w:bCs w:val="0"/>
          <w:sz w:val="24"/>
          <w:szCs w:val="24"/>
        </w:rPr>
        <w:t>第</w:t>
      </w:r>
      <w:r>
        <w:rPr>
          <w:rFonts w:ascii="宋体" w:eastAsia="宋体" w:hAnsi="宋体" w:hint="eastAsia"/>
          <w:b/>
          <w:bCs w:val="0"/>
          <w:sz w:val="24"/>
          <w:szCs w:val="24"/>
          <w:lang w:eastAsia="zh-CN"/>
        </w:rPr>
        <w:t>二</w:t>
      </w:r>
      <w:r>
        <w:rPr>
          <w:rFonts w:ascii="宋体" w:eastAsia="宋体" w:hAnsi="宋体" w:hint="eastAsia"/>
          <w:b/>
          <w:bCs w:val="0"/>
          <w:sz w:val="24"/>
          <w:szCs w:val="24"/>
        </w:rPr>
        <w:t>条 服务标的</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1.甲方向乙方支付管理服务费用，乙方按照甲方要求为甲方自有或租用的引航交通船艇提供</w:t>
      </w:r>
      <w:bookmarkStart w:id="54" w:name="_Hlk70408496"/>
      <w:r>
        <w:rPr>
          <w:rFonts w:ascii="宋体" w:eastAsia="宋体" w:hAnsi="宋体" w:cs="Times New Roman" w:hint="eastAsia"/>
          <w:kern w:val="0"/>
          <w:sz w:val="24"/>
          <w:szCs w:val="24"/>
        </w:rPr>
        <w:t>引航船艇</w:t>
      </w:r>
      <w:bookmarkEnd w:id="54"/>
      <w:r>
        <w:rPr>
          <w:rFonts w:ascii="宋体" w:eastAsia="宋体" w:hAnsi="宋体" w:cs="Times New Roman" w:hint="eastAsia"/>
          <w:kern w:val="0"/>
          <w:sz w:val="24"/>
          <w:szCs w:val="24"/>
        </w:rPr>
        <w:t>管理</w:t>
      </w:r>
      <w:r>
        <w:rPr>
          <w:rFonts w:ascii="宋体" w:eastAsia="宋体" w:hAnsi="宋体" w:hint="eastAsia"/>
          <w:sz w:val="24"/>
          <w:szCs w:val="24"/>
        </w:rPr>
        <w:t>服务。</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hint="eastAsia"/>
          <w:bCs w:val="0"/>
          <w:sz w:val="24"/>
          <w:szCs w:val="24"/>
        </w:rPr>
        <w:t>2.</w:t>
      </w:r>
      <w:r>
        <w:rPr>
          <w:rFonts w:ascii="宋体" w:eastAsia="宋体" w:hAnsi="宋体" w:hint="eastAsia"/>
          <w:sz w:val="24"/>
          <w:szCs w:val="24"/>
        </w:rPr>
        <w:t>甲方自有或租用的引航交通船艇</w:t>
      </w:r>
      <w:r>
        <w:rPr>
          <w:rFonts w:ascii="宋体" w:eastAsia="宋体" w:hAnsi="宋体" w:hint="eastAsia"/>
          <w:bCs w:val="0"/>
          <w:sz w:val="24"/>
          <w:szCs w:val="24"/>
        </w:rPr>
        <w:t>，</w:t>
      </w:r>
      <w:r>
        <w:rPr>
          <w:rFonts w:ascii="宋体" w:eastAsia="宋体" w:hAnsi="宋体" w:cs="Times New Roman" w:hint="eastAsia"/>
          <w:kern w:val="0"/>
          <w:sz w:val="24"/>
          <w:szCs w:val="24"/>
        </w:rPr>
        <w:t>包括：深港拖一、深港引1、深交法01、深港引3、深港引5、深港引6、深港引7，以及甲方在本合同签署后可能增加或减少的自有或租用服务引航的船艇</w:t>
      </w:r>
      <w:r>
        <w:rPr>
          <w:rFonts w:ascii="宋体" w:eastAsia="宋体" w:hAnsi="宋体" w:cs="Times New Roman" w:hint="eastAsia"/>
          <w:kern w:val="0"/>
          <w:sz w:val="24"/>
          <w:szCs w:val="24"/>
          <w:lang w:eastAsia="zh-CN"/>
        </w:rPr>
        <w:t>（</w:t>
      </w:r>
      <w:r>
        <w:rPr>
          <w:rFonts w:ascii="宋体" w:eastAsia="宋体" w:hAnsi="宋体" w:cs="Times New Roman" w:hint="eastAsia"/>
          <w:kern w:val="0"/>
          <w:sz w:val="24"/>
          <w:szCs w:val="24"/>
        </w:rPr>
        <w:t>下称“引航船艇”</w:t>
      </w:r>
      <w:r>
        <w:rPr>
          <w:rFonts w:ascii="宋体" w:eastAsia="宋体" w:hAnsi="宋体" w:cs="Times New Roman" w:hint="eastAsia"/>
          <w:kern w:val="0"/>
          <w:sz w:val="24"/>
          <w:szCs w:val="24"/>
          <w:lang w:eastAsia="zh-CN"/>
        </w:rPr>
        <w:t>）</w:t>
      </w:r>
      <w:r>
        <w:rPr>
          <w:rFonts w:ascii="宋体" w:eastAsia="宋体" w:hAnsi="宋体" w:cs="Times New Roman" w:hint="eastAsia"/>
          <w:kern w:val="0"/>
          <w:sz w:val="24"/>
          <w:szCs w:val="24"/>
        </w:rPr>
        <w:t>；乙方应为前述引航船艇提供管理服务，甲方始终确保本合同有效期内其对委托乙方管理的引航船艇的所有权（自有船艇）、受托管理权及对外分包委托管理权（租赁船艇），第三方主张任何船舶系无权委托管理的，责任由甲方承担。</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cs="Times New Roman" w:hint="eastAsia"/>
          <w:kern w:val="0"/>
          <w:sz w:val="24"/>
          <w:szCs w:val="24"/>
        </w:rPr>
        <w:t>3.引航艇基地，包括蛇口引航艇基地、东部盐田引航艇基地、桂山岛引航艇基地。</w:t>
      </w:r>
    </w:p>
    <w:p>
      <w:pPr>
        <w:tabs>
          <w:tab w:val="left" w:pos="0"/>
        </w:tabs>
        <w:adjustRightInd/>
        <w:snapToGrid w:val="0"/>
        <w:spacing w:line="300" w:lineRule="auto"/>
        <w:ind w:firstLine="555" w:firstLineChars="0"/>
        <w:rPr>
          <w:rFonts w:ascii="宋体" w:eastAsia="宋体" w:hAnsi="宋体" w:hint="eastAsia"/>
          <w:bCs w:val="0"/>
          <w:sz w:val="24"/>
          <w:szCs w:val="24"/>
        </w:rPr>
      </w:pPr>
      <w:r>
        <w:rPr>
          <w:rFonts w:ascii="宋体" w:eastAsia="宋体" w:hAnsi="宋体" w:hint="eastAsia"/>
          <w:bCs w:val="0"/>
          <w:sz w:val="24"/>
          <w:szCs w:val="24"/>
        </w:rPr>
        <w:t>第</w:t>
      </w:r>
      <w:r>
        <w:rPr>
          <w:rFonts w:ascii="宋体" w:eastAsia="宋体" w:hAnsi="宋体" w:hint="eastAsia"/>
          <w:bCs w:val="0"/>
          <w:sz w:val="24"/>
          <w:szCs w:val="24"/>
          <w:lang w:eastAsia="zh-CN"/>
        </w:rPr>
        <w:t>三</w:t>
      </w:r>
      <w:r>
        <w:rPr>
          <w:rFonts w:ascii="宋体" w:eastAsia="宋体" w:hAnsi="宋体" w:hint="eastAsia"/>
          <w:bCs w:val="0"/>
          <w:sz w:val="24"/>
          <w:szCs w:val="24"/>
        </w:rPr>
        <w:t>条 服务内容</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cs="Times New Roman" w:hint="eastAsia"/>
          <w:kern w:val="0"/>
          <w:sz w:val="24"/>
          <w:szCs w:val="24"/>
        </w:rPr>
        <w:t>乙方应提供的引航船艇管理服务，包括船员</w:t>
      </w:r>
      <w:r>
        <w:rPr>
          <w:rFonts w:ascii="宋体" w:eastAsia="宋体" w:hAnsi="宋体" w:cs="Times New Roman" w:hint="eastAsia"/>
          <w:kern w:val="0"/>
          <w:sz w:val="24"/>
          <w:szCs w:val="24"/>
          <w:lang w:eastAsia="zh-CN"/>
        </w:rPr>
        <w:t>服务</w:t>
      </w:r>
      <w:r>
        <w:rPr>
          <w:rFonts w:ascii="宋体" w:eastAsia="宋体" w:hAnsi="宋体" w:cs="Times New Roman" w:hint="eastAsia"/>
          <w:kern w:val="0"/>
          <w:sz w:val="24"/>
          <w:szCs w:val="24"/>
        </w:rPr>
        <w:t>、安全训练管理、海务管理、机务管理、人事管理、疫情防控管理、售后服务等除船艇调度之外</w:t>
      </w:r>
      <w:r>
        <w:rPr>
          <w:rFonts w:ascii="宋体" w:eastAsia="宋体" w:hAnsi="宋体" w:cs="Times New Roman" w:hint="eastAsia"/>
          <w:kern w:val="0"/>
          <w:sz w:val="24"/>
          <w:szCs w:val="24"/>
          <w:lang w:eastAsia="zh-CN"/>
        </w:rPr>
        <w:t>的，</w:t>
      </w:r>
      <w:r>
        <w:rPr>
          <w:rFonts w:ascii="宋体" w:eastAsia="宋体" w:hAnsi="宋体" w:cs="Times New Roman" w:hint="eastAsia"/>
          <w:kern w:val="0"/>
          <w:sz w:val="24"/>
          <w:szCs w:val="24"/>
        </w:rPr>
        <w:t>与船艇运营相关的一切工作。其中：</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cs="Times New Roman" w:hint="eastAsia"/>
          <w:kern w:val="0"/>
          <w:sz w:val="24"/>
          <w:szCs w:val="24"/>
        </w:rPr>
        <w:t>1.</w:t>
      </w:r>
      <w:r>
        <w:rPr>
          <w:rFonts w:ascii="宋体" w:eastAsia="宋体" w:hAnsi="宋体" w:hint="eastAsia"/>
          <w:sz w:val="24"/>
          <w:szCs w:val="24"/>
          <w:u w:val="none"/>
        </w:rPr>
        <w:t>船员服务</w:t>
      </w:r>
      <w:r>
        <w:rPr>
          <w:rFonts w:ascii="宋体" w:eastAsia="宋体" w:hAnsi="宋体" w:hint="eastAsia"/>
          <w:sz w:val="24"/>
          <w:szCs w:val="24"/>
        </w:rPr>
        <w:t>：船员依据相关法律法规和职务规定及海上通常做法负责甲方船艇的日常航行、停泊和作业操作；按照甲方指令实施海上接送引航员、巡航、应急反应工作，以及在特定时期实施海上驻点、专项整治等特殊工作，同时承担按甲方上级单位要求进行的各种巡航工作和甲方指定的其它工作任务。</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cs="Times New Roman" w:hint="eastAsia"/>
          <w:kern w:val="0"/>
          <w:sz w:val="24"/>
          <w:szCs w:val="24"/>
        </w:rPr>
        <w:t>2.</w:t>
      </w:r>
      <w:r>
        <w:rPr>
          <w:rFonts w:ascii="宋体" w:eastAsia="宋体" w:hAnsi="宋体" w:cs="Times New Roman" w:hint="eastAsia"/>
          <w:kern w:val="0"/>
          <w:sz w:val="24"/>
          <w:szCs w:val="24"/>
          <w:u w:val="none"/>
        </w:rPr>
        <w:t>海务管理</w:t>
      </w:r>
      <w:r>
        <w:rPr>
          <w:rFonts w:ascii="宋体" w:eastAsia="宋体" w:hAnsi="宋体" w:cs="Times New Roman" w:hint="eastAsia"/>
          <w:kern w:val="0"/>
          <w:sz w:val="24"/>
          <w:szCs w:val="24"/>
        </w:rPr>
        <w:t>：包括但不限于</w:t>
      </w:r>
      <w:r>
        <w:rPr>
          <w:rFonts w:ascii="宋体" w:eastAsia="宋体" w:hAnsi="宋体" w:cs="Times New Roman" w:hint="eastAsia"/>
          <w:sz w:val="24"/>
          <w:szCs w:val="24"/>
          <w:shd w:val="clear" w:color="auto" w:fill="auto"/>
        </w:rPr>
        <w:t>布置和落实船舶季节性安全防范工作，负责收集处理与海务管理有关的信息；负责船舶航海图书、海图、航海通告等航用资料审定和供船工作；审核、考核船长及驾驶员；跟踪掌握相关海区的气象、海况和台风情况、指导船舶防台避台；指导船舶维护助航仪器；</w:t>
      </w:r>
      <w:r>
        <w:rPr>
          <w:rFonts w:ascii="宋体" w:eastAsia="宋体" w:hAnsi="宋体" w:hint="eastAsia"/>
          <w:sz w:val="24"/>
          <w:szCs w:val="24"/>
        </w:rPr>
        <w:t>负责办理船舶</w:t>
      </w:r>
      <w:r>
        <w:rPr>
          <w:rFonts w:ascii="宋体" w:eastAsia="宋体" w:hAnsi="宋体" w:cs="Times New Roman" w:hint="eastAsia"/>
          <w:bCs w:val="0"/>
          <w:sz w:val="24"/>
          <w:szCs w:val="24"/>
        </w:rPr>
        <w:t>保险</w:t>
      </w:r>
      <w:r>
        <w:rPr>
          <w:rFonts w:ascii="宋体" w:eastAsia="宋体" w:hAnsi="宋体" w:hint="eastAsia"/>
          <w:sz w:val="24"/>
          <w:szCs w:val="24"/>
        </w:rPr>
        <w:t>的相关工作</w:t>
      </w:r>
      <w:r>
        <w:rPr>
          <w:rFonts w:ascii="宋体" w:eastAsia="宋体" w:hAnsi="宋体" w:hint="eastAsia"/>
          <w:sz w:val="24"/>
          <w:szCs w:val="24"/>
          <w:lang w:eastAsia="zh-CN"/>
        </w:rPr>
        <w:t>。</w:t>
      </w:r>
      <w:r>
        <w:rPr>
          <w:rFonts w:ascii="宋体" w:eastAsia="宋体" w:hAnsi="宋体" w:cs="Times New Roman" w:hint="eastAsia"/>
          <w:sz w:val="24"/>
          <w:szCs w:val="24"/>
          <w:shd w:val="clear" w:color="auto" w:fill="auto"/>
        </w:rPr>
        <w:t>该项管理内容详见甲方招标文件。</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cs="Times New Roman" w:hint="eastAsia"/>
          <w:kern w:val="0"/>
          <w:sz w:val="24"/>
          <w:szCs w:val="24"/>
        </w:rPr>
        <w:t>3.</w:t>
      </w:r>
      <w:r>
        <w:rPr>
          <w:rFonts w:ascii="宋体" w:eastAsia="宋体" w:hAnsi="宋体" w:cs="Times New Roman" w:hint="eastAsia"/>
          <w:kern w:val="0"/>
          <w:sz w:val="24"/>
          <w:szCs w:val="24"/>
          <w:u w:val="none"/>
        </w:rPr>
        <w:t>机务管理</w:t>
      </w:r>
      <w:r>
        <w:rPr>
          <w:rFonts w:ascii="宋体" w:eastAsia="宋体" w:hAnsi="宋体" w:cs="Times New Roman" w:hint="eastAsia"/>
          <w:kern w:val="0"/>
          <w:sz w:val="24"/>
          <w:szCs w:val="24"/>
        </w:rPr>
        <w:t>：包括但不限于</w:t>
      </w:r>
      <w:r>
        <w:rPr>
          <w:rFonts w:ascii="宋体" w:eastAsia="宋体" w:hAnsi="宋体" w:hint="eastAsia"/>
          <w:sz w:val="24"/>
          <w:szCs w:val="24"/>
        </w:rPr>
        <w:t>制定《船舶年度修船计划》《船舶和设备预防检修计划》和机务年度费用预算；及时申请船舶检验；制定船舶年度修理清单，安排船舶厂修工作；代表甲方审定修理单和结算单，主持船舶航次修理择厂及合同谈判；负责督促船舶临时修理及提供技术指导；负责船舶技术改造、技术革新项目并鉴定验收；及时向船舶提供物料、备件及技术支持或业务指导；负责审查船舶备件、物料、油料的申请计划并报甲方审批, 负责指导船舶做好物料、备件的使用及库存监督管理</w:t>
      </w:r>
      <w:r>
        <w:rPr>
          <w:rFonts w:ascii="宋体" w:eastAsia="宋体" w:hAnsi="宋体" w:hint="eastAsia"/>
          <w:sz w:val="24"/>
          <w:szCs w:val="24"/>
          <w:lang w:eastAsia="zh-CN"/>
        </w:rPr>
        <w:t>。</w:t>
      </w:r>
      <w:r>
        <w:rPr>
          <w:rFonts w:ascii="宋体" w:eastAsia="宋体" w:hAnsi="宋体" w:hint="eastAsia"/>
          <w:sz w:val="24"/>
          <w:szCs w:val="24"/>
        </w:rPr>
        <w:t>具体管理内容详见甲方的招标文件。</w:t>
      </w:r>
    </w:p>
    <w:p>
      <w:pPr>
        <w:tabs>
          <w:tab w:val="left" w:pos="0"/>
        </w:tabs>
        <w:adjustRightInd/>
        <w:snapToGrid w:val="0"/>
        <w:spacing w:line="300" w:lineRule="auto"/>
        <w:ind w:firstLine="555" w:firstLineChars="0"/>
        <w:jc w:val="left"/>
        <w:rPr>
          <w:rFonts w:ascii="宋体" w:eastAsia="宋体" w:hAnsi="宋体" w:cs="Times New Roman" w:hint="eastAsia"/>
          <w:kern w:val="0"/>
          <w:sz w:val="24"/>
          <w:szCs w:val="24"/>
        </w:rPr>
      </w:pPr>
      <w:r>
        <w:rPr>
          <w:rFonts w:ascii="宋体" w:eastAsia="宋体" w:hAnsi="宋体" w:cs="Times New Roman" w:hint="eastAsia"/>
          <w:kern w:val="0"/>
          <w:sz w:val="24"/>
          <w:szCs w:val="24"/>
        </w:rPr>
        <w:t>4.</w:t>
      </w:r>
      <w:r>
        <w:rPr>
          <w:rFonts w:ascii="宋体" w:eastAsia="宋体" w:hAnsi="宋体" w:cs="Times New Roman" w:hint="eastAsia"/>
          <w:kern w:val="0"/>
          <w:sz w:val="24"/>
          <w:szCs w:val="24"/>
          <w:u w:val="none"/>
        </w:rPr>
        <w:t>安全训练管理</w:t>
      </w:r>
      <w:r>
        <w:rPr>
          <w:rFonts w:ascii="宋体" w:eastAsia="宋体" w:hAnsi="宋体" w:cs="Times New Roman" w:hint="eastAsia"/>
          <w:kern w:val="0"/>
          <w:sz w:val="24"/>
          <w:szCs w:val="24"/>
        </w:rPr>
        <w:t>:</w:t>
      </w:r>
      <w:r>
        <w:rPr>
          <w:rFonts w:ascii="宋体" w:eastAsia="宋体" w:hAnsi="宋体" w:hint="eastAsia"/>
          <w:sz w:val="24"/>
          <w:szCs w:val="24"/>
        </w:rPr>
        <w:t>负责安全管理信息的搜集、分析及编制、发送，并将重要安全管理信息定期编制成《安全通告》下发船舶；负责船队的安全检查、应急应变演练工作；负责收集、汇总上级主管部门对船舶安全检查的资料，采取必要的措施，协助船上进行缺陷整改工作；指导船舶防抗台风</w:t>
      </w:r>
      <w:r>
        <w:rPr>
          <w:rFonts w:ascii="宋体" w:eastAsia="宋体" w:hAnsi="宋体" w:hint="eastAsia"/>
          <w:sz w:val="24"/>
          <w:szCs w:val="24"/>
          <w:lang w:eastAsia="zh-CN"/>
        </w:rPr>
        <w:t>。</w:t>
      </w:r>
      <w:r>
        <w:rPr>
          <w:rFonts w:ascii="宋体" w:eastAsia="宋体" w:hAnsi="宋体" w:hint="eastAsia"/>
          <w:sz w:val="24"/>
          <w:szCs w:val="24"/>
        </w:rPr>
        <w:t>具体管理内容详见甲方招标文件。</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cs="Times New Roman" w:hint="eastAsia"/>
          <w:kern w:val="0"/>
          <w:sz w:val="24"/>
          <w:szCs w:val="24"/>
        </w:rPr>
        <w:t>5.</w:t>
      </w:r>
      <w:r>
        <w:rPr>
          <w:rFonts w:ascii="宋体" w:eastAsia="宋体" w:hAnsi="宋体" w:cs="Times New Roman" w:hint="eastAsia"/>
          <w:kern w:val="0"/>
          <w:sz w:val="24"/>
          <w:szCs w:val="24"/>
          <w:u w:val="none"/>
        </w:rPr>
        <w:t>人事管理</w:t>
      </w:r>
      <w:r>
        <w:rPr>
          <w:rFonts w:ascii="宋体" w:eastAsia="宋体" w:hAnsi="宋体" w:cs="Times New Roman" w:hint="eastAsia"/>
          <w:kern w:val="0"/>
          <w:sz w:val="24"/>
          <w:szCs w:val="24"/>
        </w:rPr>
        <w:t>：乙方负责为上述标的船艇配员，提供船员管理，包括但不限于</w:t>
      </w:r>
      <w:r>
        <w:rPr>
          <w:rFonts w:ascii="宋体" w:eastAsia="宋体" w:hAnsi="宋体" w:hint="eastAsia"/>
          <w:sz w:val="24"/>
          <w:szCs w:val="24"/>
        </w:rPr>
        <w:t>招聘</w:t>
      </w:r>
      <w:r>
        <w:rPr>
          <w:rFonts w:ascii="宋体" w:eastAsia="宋体" w:hAnsi="宋体" w:cs="Times New Roman" w:hint="eastAsia"/>
          <w:sz w:val="24"/>
          <w:szCs w:val="24"/>
        </w:rPr>
        <w:t>符合</w:t>
      </w:r>
      <w:r>
        <w:rPr>
          <w:rFonts w:ascii="宋体" w:eastAsia="宋体" w:hAnsi="宋体" w:hint="eastAsia"/>
          <w:sz w:val="24"/>
          <w:szCs w:val="24"/>
        </w:rPr>
        <w:t>甲方</w:t>
      </w:r>
      <w:r>
        <w:rPr>
          <w:rFonts w:ascii="宋体" w:eastAsia="宋体" w:hAnsi="宋体" w:cs="Times New Roman" w:hint="eastAsia"/>
          <w:sz w:val="24"/>
          <w:szCs w:val="24"/>
        </w:rPr>
        <w:t>船</w:t>
      </w:r>
      <w:r>
        <w:rPr>
          <w:rFonts w:ascii="宋体" w:eastAsia="宋体" w:hAnsi="宋体" w:hint="eastAsia"/>
          <w:sz w:val="24"/>
          <w:szCs w:val="24"/>
        </w:rPr>
        <w:t>艇</w:t>
      </w:r>
      <w:r>
        <w:rPr>
          <w:rFonts w:ascii="宋体" w:eastAsia="宋体" w:hAnsi="宋体" w:cs="Times New Roman" w:hint="eastAsia"/>
          <w:sz w:val="24"/>
          <w:szCs w:val="24"/>
        </w:rPr>
        <w:t>要求且经甲方同意的</w:t>
      </w:r>
      <w:r>
        <w:rPr>
          <w:rFonts w:ascii="宋体" w:eastAsia="宋体" w:hAnsi="宋体" w:hint="eastAsia"/>
          <w:sz w:val="24"/>
          <w:szCs w:val="24"/>
        </w:rPr>
        <w:t>船员，乙方或乙方通过第三方</w:t>
      </w:r>
      <w:r>
        <w:rPr>
          <w:rFonts w:ascii="宋体" w:eastAsia="宋体" w:hAnsi="宋体" w:hint="eastAsia"/>
          <w:sz w:val="24"/>
          <w:szCs w:val="24"/>
        </w:rPr>
        <w:t>劳务派遣单位</w:t>
      </w:r>
      <w:r>
        <w:rPr>
          <w:rFonts w:ascii="宋体" w:eastAsia="宋体" w:hAnsi="宋体" w:hint="eastAsia"/>
          <w:sz w:val="24"/>
          <w:szCs w:val="24"/>
        </w:rPr>
        <w:t>与每位船员签署劳动合同，</w:t>
      </w:r>
      <w:r>
        <w:rPr>
          <w:rFonts w:ascii="宋体" w:eastAsia="宋体" w:hAnsi="宋体" w:hint="eastAsia"/>
          <w:sz w:val="24"/>
          <w:szCs w:val="24"/>
        </w:rPr>
        <w:t>但</w:t>
      </w:r>
      <w:r>
        <w:rPr>
          <w:rFonts w:ascii="宋体" w:eastAsia="宋体" w:hAnsi="宋体" w:hint="eastAsia"/>
          <w:sz w:val="24"/>
          <w:szCs w:val="24"/>
        </w:rPr>
        <w:t>与乙方直接签署劳动合同的</w:t>
      </w:r>
      <w:r>
        <w:rPr>
          <w:rFonts w:ascii="宋体" w:eastAsia="宋体" w:hAnsi="宋体" w:hint="eastAsia"/>
          <w:sz w:val="24"/>
          <w:szCs w:val="24"/>
        </w:rPr>
        <w:t>船员</w:t>
      </w:r>
      <w:r>
        <w:rPr>
          <w:rFonts w:ascii="宋体" w:eastAsia="宋体" w:hAnsi="宋体" w:hint="eastAsia"/>
          <w:sz w:val="24"/>
          <w:szCs w:val="24"/>
        </w:rPr>
        <w:t>比例不得少于船员总人数的</w:t>
      </w:r>
      <w:r>
        <w:rPr>
          <w:rFonts w:ascii="宋体" w:eastAsia="宋体" w:hAnsi="宋体" w:hint="eastAsia"/>
          <w:sz w:val="24"/>
          <w:szCs w:val="24"/>
          <w:lang w:val="en-US" w:eastAsia="zh-CN"/>
        </w:rPr>
        <w:t xml:space="preserve">        </w:t>
      </w:r>
      <w:r>
        <w:rPr>
          <w:rFonts w:ascii="宋体" w:eastAsia="宋体" w:hAnsi="宋体" w:hint="eastAsia"/>
          <w:sz w:val="24"/>
          <w:szCs w:val="24"/>
        </w:rPr>
        <w:t>%；</w:t>
      </w:r>
      <w:r>
        <w:rPr>
          <w:rFonts w:ascii="宋体" w:eastAsia="宋体" w:hAnsi="宋体" w:hint="eastAsia"/>
          <w:sz w:val="24"/>
          <w:szCs w:val="24"/>
        </w:rPr>
        <w:t>乙方</w:t>
      </w:r>
      <w:r>
        <w:rPr>
          <w:rFonts w:ascii="宋体" w:eastAsia="宋体" w:hAnsi="宋体" w:hint="eastAsia"/>
          <w:sz w:val="24"/>
          <w:szCs w:val="24"/>
        </w:rPr>
        <w:t>及时补充因病、伤、残、亡或其他原因而需要更换的船员；</w:t>
      </w:r>
      <w:r>
        <w:rPr>
          <w:rFonts w:ascii="宋体" w:eastAsia="宋体" w:hAnsi="宋体" w:hint="eastAsia"/>
          <w:sz w:val="24"/>
          <w:szCs w:val="24"/>
        </w:rPr>
        <w:t>乙方</w:t>
      </w:r>
      <w:r>
        <w:rPr>
          <w:rFonts w:ascii="宋体" w:eastAsia="宋体" w:hAnsi="宋体" w:hint="eastAsia"/>
          <w:sz w:val="24"/>
          <w:szCs w:val="24"/>
        </w:rPr>
        <w:t>负责依法为每位船员缴纳社会保险或要求第三方劳务派遣单位为</w:t>
      </w:r>
      <w:r>
        <w:rPr>
          <w:rFonts w:ascii="宋体" w:eastAsia="宋体" w:hAnsi="宋体" w:hint="eastAsia"/>
          <w:sz w:val="24"/>
          <w:szCs w:val="24"/>
        </w:rPr>
        <w:t>每位</w:t>
      </w:r>
      <w:r>
        <w:rPr>
          <w:rFonts w:ascii="宋体" w:eastAsia="宋体" w:hAnsi="宋体" w:hint="eastAsia"/>
          <w:sz w:val="24"/>
          <w:szCs w:val="24"/>
        </w:rPr>
        <w:t>船员缴纳社会保险、</w:t>
      </w:r>
      <w:r>
        <w:rPr>
          <w:rFonts w:ascii="宋体" w:eastAsia="宋体" w:hAnsi="宋体" w:hint="eastAsia"/>
          <w:sz w:val="24"/>
          <w:szCs w:val="24"/>
        </w:rPr>
        <w:t>乙方</w:t>
      </w:r>
      <w:r>
        <w:rPr>
          <w:rFonts w:ascii="宋体" w:eastAsia="宋体" w:hAnsi="宋体" w:hint="eastAsia"/>
          <w:sz w:val="24"/>
          <w:szCs w:val="24"/>
        </w:rPr>
        <w:t>自行或要求第三方劳务派遣单位为每位船员向全国性的保险公司投保最低保险金额为150万元人民币的人身意外伤害保险；</w:t>
      </w:r>
      <w:r>
        <w:rPr>
          <w:rFonts w:ascii="宋体" w:eastAsia="宋体" w:hAnsi="宋体" w:hint="eastAsia"/>
          <w:sz w:val="24"/>
          <w:szCs w:val="24"/>
        </w:rPr>
        <w:t>乙方</w:t>
      </w:r>
      <w:r>
        <w:rPr>
          <w:rFonts w:ascii="宋体" w:eastAsia="宋体" w:hAnsi="宋体" w:hint="eastAsia"/>
          <w:sz w:val="24"/>
          <w:szCs w:val="24"/>
        </w:rPr>
        <w:t>负责处理</w:t>
      </w:r>
      <w:r>
        <w:rPr>
          <w:rFonts w:ascii="宋体" w:eastAsia="宋体" w:hAnsi="宋体" w:hint="eastAsia"/>
          <w:sz w:val="24"/>
          <w:szCs w:val="24"/>
        </w:rPr>
        <w:t>船艇所有</w:t>
      </w:r>
      <w:r>
        <w:rPr>
          <w:rFonts w:ascii="宋体" w:eastAsia="宋体" w:hAnsi="宋体" w:hint="eastAsia"/>
          <w:sz w:val="24"/>
          <w:szCs w:val="24"/>
        </w:rPr>
        <w:t>船员的劳动纠纷</w:t>
      </w:r>
      <w:r>
        <w:rPr>
          <w:rFonts w:ascii="宋体" w:eastAsia="宋体" w:hAnsi="宋体" w:hint="eastAsia"/>
          <w:sz w:val="24"/>
          <w:szCs w:val="24"/>
          <w:lang w:eastAsia="zh-CN"/>
        </w:rPr>
        <w:t>。</w:t>
      </w:r>
      <w:r>
        <w:rPr>
          <w:rFonts w:ascii="宋体" w:eastAsia="宋体" w:hAnsi="宋体" w:hint="eastAsia"/>
          <w:sz w:val="24"/>
          <w:szCs w:val="24"/>
        </w:rPr>
        <w:t>具体管理内容详见甲方招标文件。</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6.引航</w:t>
      </w:r>
      <w:r>
        <w:rPr>
          <w:rFonts w:ascii="宋体" w:eastAsia="宋体" w:hAnsi="宋体" w:cs="Times New Roman" w:hint="eastAsia"/>
          <w:kern w:val="0"/>
          <w:sz w:val="24"/>
          <w:szCs w:val="24"/>
        </w:rPr>
        <w:t>艇基地码头、船员住宿及交通安全管理，</w:t>
      </w:r>
      <w:r>
        <w:rPr>
          <w:rFonts w:ascii="宋体" w:eastAsia="宋体" w:hAnsi="宋体" w:cs="Times New Roman" w:hint="eastAsia"/>
          <w:kern w:val="0"/>
          <w:sz w:val="24"/>
          <w:szCs w:val="24"/>
        </w:rPr>
        <w:t>范围</w:t>
      </w:r>
      <w:r>
        <w:rPr>
          <w:rFonts w:ascii="宋体" w:eastAsia="宋体" w:hAnsi="宋体" w:cs="Times New Roman" w:hint="eastAsia"/>
          <w:kern w:val="0"/>
          <w:sz w:val="24"/>
          <w:szCs w:val="24"/>
        </w:rPr>
        <w:t>包括蛇口引航艇基地、</w:t>
      </w:r>
      <w:r>
        <w:rPr>
          <w:rFonts w:ascii="宋体" w:eastAsia="宋体" w:hAnsi="宋体" w:hint="eastAsia"/>
          <w:sz w:val="24"/>
          <w:szCs w:val="24"/>
        </w:rPr>
        <w:t>东部</w:t>
      </w:r>
      <w:r>
        <w:rPr>
          <w:rFonts w:ascii="宋体" w:eastAsia="宋体" w:hAnsi="宋体" w:cs="Times New Roman" w:hint="eastAsia"/>
          <w:kern w:val="0"/>
          <w:sz w:val="24"/>
          <w:szCs w:val="24"/>
        </w:rPr>
        <w:t>盐田引航艇基地、桂山岛引航艇基地</w:t>
      </w:r>
      <w:r>
        <w:rPr>
          <w:rFonts w:ascii="宋体" w:eastAsia="宋体" w:hAnsi="宋体" w:cs="Times New Roman" w:hint="eastAsia"/>
          <w:kern w:val="0"/>
          <w:sz w:val="24"/>
          <w:szCs w:val="24"/>
        </w:rPr>
        <w:t>及相关码头</w:t>
      </w:r>
      <w:r>
        <w:rPr>
          <w:rFonts w:ascii="宋体" w:eastAsia="宋体" w:hAnsi="宋体" w:cs="Times New Roman" w:hint="eastAsia"/>
          <w:kern w:val="0"/>
          <w:sz w:val="24"/>
          <w:szCs w:val="24"/>
        </w:rPr>
        <w:t>。</w:t>
      </w:r>
    </w:p>
    <w:p>
      <w:pPr>
        <w:tabs>
          <w:tab w:val="left" w:pos="0"/>
        </w:tabs>
        <w:adjustRightInd/>
        <w:snapToGrid w:val="0"/>
        <w:spacing w:line="300" w:lineRule="auto"/>
        <w:ind w:firstLine="555" w:firstLineChars="0"/>
        <w:rPr>
          <w:rFonts w:ascii="宋体" w:eastAsia="宋体" w:hAnsi="宋体" w:cs="Times New Roman" w:hint="eastAsia"/>
          <w:bCs w:val="0"/>
          <w:kern w:val="0"/>
          <w:sz w:val="24"/>
          <w:szCs w:val="24"/>
        </w:rPr>
      </w:pPr>
      <w:r>
        <w:rPr>
          <w:rFonts w:ascii="宋体" w:eastAsia="宋体" w:hAnsi="宋体" w:hint="eastAsia"/>
          <w:bCs w:val="0"/>
          <w:sz w:val="24"/>
          <w:szCs w:val="24"/>
        </w:rPr>
        <w:t>第</w:t>
      </w:r>
      <w:r>
        <w:rPr>
          <w:rFonts w:ascii="宋体" w:eastAsia="宋体" w:hAnsi="宋体" w:hint="eastAsia"/>
          <w:bCs w:val="0"/>
          <w:sz w:val="24"/>
          <w:szCs w:val="24"/>
          <w:lang w:eastAsia="zh-CN"/>
        </w:rPr>
        <w:t>四</w:t>
      </w:r>
      <w:r>
        <w:rPr>
          <w:rFonts w:ascii="宋体" w:eastAsia="宋体" w:hAnsi="宋体" w:hint="eastAsia"/>
          <w:bCs w:val="0"/>
          <w:sz w:val="24"/>
          <w:szCs w:val="24"/>
        </w:rPr>
        <w:t xml:space="preserve">条 </w:t>
      </w:r>
      <w:r>
        <w:rPr>
          <w:rFonts w:ascii="宋体" w:eastAsia="宋体" w:hAnsi="宋体" w:cs="Times New Roman" w:hint="eastAsia"/>
          <w:bCs w:val="0"/>
          <w:kern w:val="0"/>
          <w:sz w:val="24"/>
          <w:szCs w:val="24"/>
        </w:rPr>
        <w:t xml:space="preserve"> 服务地点与作业范围</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1．</w:t>
      </w:r>
      <w:r>
        <w:rPr>
          <w:rFonts w:ascii="宋体" w:eastAsia="宋体" w:hAnsi="宋体" w:cs="Times New Roman" w:hint="eastAsia"/>
          <w:kern w:val="0"/>
          <w:sz w:val="24"/>
          <w:szCs w:val="24"/>
          <w:u w:val="none"/>
        </w:rPr>
        <w:t>服务地点</w:t>
      </w:r>
      <w:r>
        <w:rPr>
          <w:rFonts w:ascii="宋体" w:eastAsia="宋体" w:hAnsi="宋体" w:cs="Times New Roman" w:hint="eastAsia"/>
          <w:kern w:val="0"/>
          <w:sz w:val="24"/>
          <w:szCs w:val="24"/>
        </w:rPr>
        <w:t>:主要在深圳港区,包括珠江口水域。</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hint="eastAsia"/>
          <w:sz w:val="24"/>
          <w:szCs w:val="24"/>
        </w:rPr>
        <w:t xml:space="preserve">2. </w:t>
      </w:r>
      <w:r>
        <w:rPr>
          <w:rFonts w:ascii="宋体" w:eastAsia="宋体" w:hAnsi="宋体" w:hint="eastAsia"/>
          <w:sz w:val="24"/>
          <w:szCs w:val="24"/>
          <w:u w:val="none"/>
        </w:rPr>
        <w:t>作业范围：</w:t>
      </w:r>
      <w:r>
        <w:rPr>
          <w:rFonts w:ascii="宋体" w:eastAsia="宋体" w:hAnsi="宋体" w:hint="eastAsia"/>
          <w:sz w:val="24"/>
          <w:szCs w:val="24"/>
        </w:rPr>
        <w:t>（1）“深港拖一”为港作拖轮，主要任务是在深圳港区为小型船舶靠离泊服务及接送引航员；（2）“深交法01”，同时协助在深圳港区为海上执法支队提供巡航执法服务；（3）</w:t>
      </w:r>
      <w:r>
        <w:rPr>
          <w:rFonts w:ascii="宋体" w:eastAsia="宋体" w:hAnsi="宋体" w:cs="Times New Roman" w:hint="eastAsia"/>
          <w:kern w:val="0"/>
          <w:sz w:val="24"/>
          <w:szCs w:val="24"/>
        </w:rPr>
        <w:t>其它引航艇，主要在深圳港区</w:t>
      </w:r>
      <w:r>
        <w:rPr>
          <w:rFonts w:ascii="宋体" w:eastAsia="宋体" w:hAnsi="宋体" w:cs="Times New Roman" w:hint="eastAsia"/>
          <w:kern w:val="0"/>
          <w:sz w:val="24"/>
          <w:szCs w:val="24"/>
          <w:lang w:eastAsia="zh-CN"/>
        </w:rPr>
        <w:t>及</w:t>
      </w:r>
      <w:r>
        <w:rPr>
          <w:rFonts w:ascii="宋体" w:eastAsia="宋体" w:hAnsi="宋体" w:cs="Times New Roman" w:hint="eastAsia"/>
          <w:kern w:val="0"/>
          <w:sz w:val="24"/>
          <w:szCs w:val="24"/>
        </w:rPr>
        <w:t>珠江口水域接送引航员。</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cs="Times New Roman" w:hint="eastAsia"/>
          <w:kern w:val="0"/>
          <w:sz w:val="24"/>
          <w:szCs w:val="24"/>
        </w:rPr>
        <w:t>第</w:t>
      </w:r>
      <w:r>
        <w:rPr>
          <w:rFonts w:ascii="宋体" w:eastAsia="宋体" w:hAnsi="宋体" w:cs="Times New Roman" w:hint="eastAsia"/>
          <w:kern w:val="0"/>
          <w:sz w:val="24"/>
          <w:szCs w:val="24"/>
          <w:lang w:eastAsia="zh-CN"/>
        </w:rPr>
        <w:t>五</w:t>
      </w:r>
      <w:r>
        <w:rPr>
          <w:rFonts w:ascii="宋体" w:eastAsia="宋体" w:hAnsi="宋体" w:cs="Times New Roman" w:hint="eastAsia"/>
          <w:kern w:val="0"/>
          <w:sz w:val="24"/>
          <w:szCs w:val="24"/>
        </w:rPr>
        <w:t>条 船员配备</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1.所有引航船艇的配员均应符合海事等主管机关要求的最低安全配员，所有引航艇均为高速船，船员均应配备高速船证书。</w:t>
      </w:r>
    </w:p>
    <w:p>
      <w:pPr>
        <w:tabs>
          <w:tab w:val="left" w:pos="0"/>
        </w:tabs>
        <w:adjustRightInd/>
        <w:snapToGrid w:val="0"/>
        <w:spacing w:line="300" w:lineRule="auto"/>
        <w:ind w:firstLine="555"/>
        <w:rPr>
          <w:rFonts w:ascii="宋体" w:eastAsia="宋体" w:hAnsi="宋体" w:cs="Times New Roman" w:hint="eastAsia"/>
          <w:kern w:val="0"/>
          <w:sz w:val="24"/>
          <w:szCs w:val="24"/>
          <w:lang w:eastAsia="zh-CN"/>
        </w:rPr>
      </w:pPr>
      <w:r>
        <w:rPr>
          <w:rFonts w:ascii="宋体" w:eastAsia="宋体" w:hAnsi="宋体" w:cs="Times New Roman" w:hint="eastAsia"/>
          <w:kern w:val="0"/>
          <w:sz w:val="24"/>
          <w:szCs w:val="24"/>
        </w:rPr>
        <w:t>2.“深港拖一”最低安全配员4人，24小时驻船制，24小时作业</w:t>
      </w:r>
      <w:r>
        <w:rPr>
          <w:rFonts w:ascii="宋体" w:eastAsia="宋体" w:hAnsi="宋体" w:cs="Times New Roman" w:hint="eastAsia"/>
          <w:kern w:val="0"/>
          <w:sz w:val="24"/>
          <w:szCs w:val="24"/>
          <w:lang w:eastAsia="zh-CN"/>
        </w:rPr>
        <w:t>。</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 xml:space="preserve">3.所有引航艇港内作业时，每艇最低安全配员3人（一个驾驶员、两个轮机员）， </w:t>
      </w:r>
      <w:r>
        <w:rPr>
          <w:rFonts w:ascii="宋体" w:eastAsia="宋体" w:hAnsi="宋体" w:cs="Times New Roman" w:hint="eastAsia"/>
          <w:kern w:val="0"/>
          <w:sz w:val="24"/>
          <w:szCs w:val="24"/>
          <w:lang w:eastAsia="zh-CN"/>
        </w:rPr>
        <w:t>跨港区航行时，按照最低安全配员证书配员，</w:t>
      </w:r>
      <w:r>
        <w:rPr>
          <w:rFonts w:ascii="宋体" w:eastAsia="宋体" w:hAnsi="宋体" w:cs="Times New Roman" w:hint="eastAsia"/>
          <w:kern w:val="0"/>
          <w:sz w:val="24"/>
          <w:szCs w:val="24"/>
        </w:rPr>
        <w:t>其中“深港引5”、“深港引7”均应配备一名符合船艇作业水域及船艇的证书要求的船长</w:t>
      </w:r>
      <w:r>
        <w:rPr>
          <w:rFonts w:ascii="宋体" w:eastAsia="宋体" w:hAnsi="宋体" w:cs="Times New Roman" w:hint="eastAsia"/>
          <w:kern w:val="0"/>
          <w:sz w:val="24"/>
          <w:szCs w:val="24"/>
        </w:rPr>
        <w:t>,</w:t>
      </w:r>
      <w:r>
        <w:rPr>
          <w:rFonts w:ascii="宋体" w:eastAsia="宋体" w:hAnsi="宋体" w:cs="Times New Roman" w:hint="eastAsia"/>
          <w:kern w:val="0"/>
          <w:sz w:val="24"/>
          <w:szCs w:val="24"/>
          <w:lang w:eastAsia="zh-CN"/>
        </w:rPr>
        <w:t>“深港引</w:t>
      </w:r>
      <w:r>
        <w:rPr>
          <w:rFonts w:ascii="宋体" w:eastAsia="宋体" w:hAnsi="宋体" w:cs="Times New Roman" w:hint="eastAsia"/>
          <w:kern w:val="0"/>
          <w:sz w:val="24"/>
          <w:szCs w:val="24"/>
          <w:lang w:val="en-US" w:eastAsia="zh-CN"/>
        </w:rPr>
        <w:t>7</w:t>
      </w:r>
      <w:r>
        <w:rPr>
          <w:rFonts w:ascii="宋体" w:eastAsia="宋体" w:hAnsi="宋体" w:cs="Times New Roman" w:hint="eastAsia"/>
          <w:kern w:val="0"/>
          <w:sz w:val="24"/>
          <w:szCs w:val="24"/>
          <w:lang w:eastAsia="zh-CN"/>
        </w:rPr>
        <w:t>”或“深港引</w:t>
      </w:r>
      <w:r>
        <w:rPr>
          <w:rFonts w:ascii="宋体" w:eastAsia="宋体" w:hAnsi="宋体" w:cs="Times New Roman" w:hint="eastAsia"/>
          <w:kern w:val="0"/>
          <w:sz w:val="24"/>
          <w:szCs w:val="24"/>
          <w:lang w:val="en-US" w:eastAsia="zh-CN"/>
        </w:rPr>
        <w:t>6</w:t>
      </w:r>
      <w:r>
        <w:rPr>
          <w:rFonts w:ascii="宋体" w:eastAsia="宋体" w:hAnsi="宋体" w:cs="Times New Roman" w:hint="eastAsia"/>
          <w:kern w:val="0"/>
          <w:sz w:val="24"/>
          <w:szCs w:val="24"/>
          <w:lang w:eastAsia="zh-CN"/>
        </w:rPr>
        <w:t>”拟用于桂山水域水域作业，由于桂山水域属于跨港区作业，须按照跨港区作业最低配员证书配员</w:t>
      </w:r>
      <w:r>
        <w:rPr>
          <w:rFonts w:ascii="宋体" w:eastAsia="宋体" w:hAnsi="宋体" w:cs="Times New Roman" w:hint="eastAsia"/>
          <w:kern w:val="0"/>
          <w:sz w:val="24"/>
          <w:szCs w:val="24"/>
        </w:rPr>
        <w:t>。</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4.6艘引航艇驾驶员要求年龄不大于50周岁，有引航船艇服务经历并有良好安全记录的，年龄可以适当放宽，但不能超过55周岁，高中或以上文化学历、英语水平能够满足接送引航员时与外轮的沟通需要，三副驾驶员必须具有半年或以上实际操船经验。</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5.</w:t>
      </w:r>
      <w:r>
        <w:rPr>
          <w:rFonts w:ascii="宋体" w:eastAsia="宋体" w:hAnsi="宋体" w:cs="Times New Roman" w:hint="eastAsia"/>
          <w:kern w:val="0"/>
          <w:sz w:val="24"/>
          <w:szCs w:val="24"/>
          <w:lang w:eastAsia="zh-CN"/>
        </w:rPr>
        <w:t>船员按照各艇轮班需要，</w:t>
      </w:r>
      <w:r>
        <w:rPr>
          <w:rFonts w:ascii="宋体" w:eastAsia="宋体" w:hAnsi="宋体" w:cs="Times New Roman" w:hint="eastAsia"/>
          <w:kern w:val="0"/>
          <w:sz w:val="24"/>
          <w:szCs w:val="24"/>
        </w:rPr>
        <w:t>总</w:t>
      </w:r>
      <w:r>
        <w:rPr>
          <w:rFonts w:ascii="宋体" w:eastAsia="宋体" w:hAnsi="宋体" w:cs="Times New Roman" w:hint="eastAsia"/>
          <w:kern w:val="0"/>
          <w:sz w:val="24"/>
          <w:szCs w:val="24"/>
          <w:lang w:eastAsia="zh-CN"/>
        </w:rPr>
        <w:t>计需配员</w:t>
      </w:r>
      <w:r>
        <w:rPr>
          <w:rFonts w:ascii="宋体" w:eastAsia="宋体" w:hAnsi="宋体" w:cs="Times New Roman" w:hint="eastAsia"/>
          <w:kern w:val="0"/>
          <w:sz w:val="24"/>
          <w:szCs w:val="24"/>
          <w:lang w:val="en-US" w:eastAsia="zh-CN"/>
        </w:rPr>
        <w:t>41</w:t>
      </w:r>
      <w:r>
        <w:rPr>
          <w:rFonts w:ascii="宋体" w:eastAsia="宋体" w:hAnsi="宋体" w:cs="Times New Roman" w:hint="eastAsia"/>
          <w:kern w:val="0"/>
          <w:sz w:val="24"/>
          <w:szCs w:val="24"/>
        </w:rPr>
        <w:t>人，所有船员均须经过采购方面试考核后方可录用，并建立稳定船员库。不疲劳作业（按照《中华人民共和国海船船员值班规则》第八章值班保障的要求执行）。</w:t>
      </w:r>
    </w:p>
    <w:p>
      <w:pPr>
        <w:tabs>
          <w:tab w:val="left" w:pos="0"/>
        </w:tabs>
        <w:autoSpaceDE/>
        <w:autoSpaceDN/>
        <w:adjustRightInd/>
        <w:snapToGrid w:val="0"/>
        <w:spacing w:line="300" w:lineRule="auto"/>
        <w:ind w:firstLine="555" w:firstLineChars="0"/>
        <w:jc w:val="left"/>
        <w:rPr>
          <w:rFonts w:ascii="宋体" w:eastAsia="宋体" w:hAnsi="宋体" w:hint="eastAsia"/>
          <w:bCs w:val="0"/>
          <w:sz w:val="24"/>
          <w:szCs w:val="24"/>
        </w:rPr>
      </w:pPr>
      <w:r>
        <w:rPr>
          <w:rFonts w:ascii="宋体" w:eastAsia="宋体" w:hAnsi="宋体" w:hint="eastAsia"/>
          <w:bCs w:val="0"/>
          <w:sz w:val="24"/>
          <w:szCs w:val="24"/>
        </w:rPr>
        <w:t>第</w:t>
      </w:r>
      <w:r>
        <w:rPr>
          <w:rFonts w:ascii="宋体" w:eastAsia="宋体" w:hAnsi="宋体" w:hint="eastAsia"/>
          <w:bCs w:val="0"/>
          <w:sz w:val="24"/>
          <w:szCs w:val="24"/>
          <w:lang w:eastAsia="zh-CN"/>
        </w:rPr>
        <w:t>六</w:t>
      </w:r>
      <w:r>
        <w:rPr>
          <w:rFonts w:ascii="宋体" w:eastAsia="宋体" w:hAnsi="宋体" w:hint="eastAsia"/>
          <w:bCs w:val="0"/>
          <w:sz w:val="24"/>
          <w:szCs w:val="24"/>
        </w:rPr>
        <w:t>条 合同期限</w:t>
      </w:r>
    </w:p>
    <w:p>
      <w:pPr>
        <w:tabs>
          <w:tab w:val="left" w:pos="0"/>
        </w:tabs>
        <w:autoSpaceDE/>
        <w:autoSpaceDN/>
        <w:adjustRightInd/>
        <w:snapToGrid w:val="0"/>
        <w:spacing w:line="300" w:lineRule="auto"/>
        <w:ind w:firstLine="555" w:firstLineChars="0"/>
        <w:jc w:val="left"/>
        <w:rPr>
          <w:rFonts w:ascii="宋体" w:eastAsia="宋体" w:hAnsi="宋体" w:hint="eastAsia"/>
          <w:sz w:val="24"/>
          <w:szCs w:val="24"/>
        </w:rPr>
      </w:pPr>
      <w:r>
        <w:rPr>
          <w:rFonts w:ascii="宋体" w:eastAsia="宋体" w:hAnsi="宋体" w:hint="eastAsia"/>
          <w:bCs w:val="0"/>
          <w:sz w:val="24"/>
          <w:szCs w:val="24"/>
        </w:rPr>
        <w:t>1.合同期限：</w:t>
      </w:r>
      <w:r>
        <w:rPr>
          <w:rFonts w:ascii="宋体" w:eastAsia="宋体" w:hAnsi="宋体" w:hint="eastAsia"/>
          <w:bCs w:val="0"/>
          <w:sz w:val="24"/>
          <w:szCs w:val="24"/>
          <w:lang w:val="en-US" w:eastAsia="zh-CN"/>
        </w:rPr>
        <w:t>12</w:t>
      </w:r>
      <w:r>
        <w:rPr>
          <w:rFonts w:ascii="宋体" w:eastAsia="宋体" w:hAnsi="宋体" w:hint="eastAsia"/>
          <w:bCs w:val="0"/>
          <w:sz w:val="24"/>
          <w:szCs w:val="24"/>
        </w:rPr>
        <w:t>个月</w:t>
      </w:r>
      <w:r>
        <w:rPr>
          <w:rFonts w:ascii="宋体" w:eastAsia="宋体" w:hAnsi="宋体" w:hint="eastAsia"/>
          <w:sz w:val="24"/>
          <w:szCs w:val="24"/>
        </w:rPr>
        <w:t>。</w:t>
      </w:r>
    </w:p>
    <w:p>
      <w:pPr>
        <w:tabs>
          <w:tab w:val="left" w:pos="0"/>
        </w:tabs>
        <w:autoSpaceDE/>
        <w:autoSpaceDN/>
        <w:adjustRightInd/>
        <w:snapToGrid w:val="0"/>
        <w:spacing w:line="300" w:lineRule="auto"/>
        <w:ind w:firstLine="555" w:firstLineChars="0"/>
        <w:jc w:val="left"/>
        <w:rPr>
          <w:rFonts w:ascii="宋体" w:eastAsia="宋体" w:hAnsi="宋体" w:cs="Times New Roman" w:hint="eastAsia"/>
        </w:rPr>
      </w:pPr>
      <w:r>
        <w:rPr>
          <w:rFonts w:ascii="宋体" w:eastAsia="宋体" w:hAnsi="宋体" w:hint="eastAsia"/>
          <w:sz w:val="24"/>
          <w:szCs w:val="24"/>
        </w:rPr>
        <w:t>2.根据</w:t>
      </w:r>
      <w:r>
        <w:rPr>
          <w:rFonts w:ascii="宋体" w:eastAsia="宋体" w:hAnsi="宋体" w:cs="Times New Roman" w:hint="eastAsia"/>
          <w:sz w:val="24"/>
          <w:szCs w:val="24"/>
        </w:rPr>
        <w:t>《中华人民共和国航运公司安全与防污染管理规定》，自合同签订之日起，甲方所有引航船艇的所有有关安全与防污染的责任和义务由乙方独立承担。</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3.本合同签订后，如因甲方</w:t>
      </w:r>
      <w:r>
        <w:rPr>
          <w:rFonts w:ascii="宋体" w:eastAsia="宋体" w:hAnsi="宋体" w:hint="eastAsia"/>
          <w:sz w:val="24"/>
          <w:szCs w:val="24"/>
        </w:rPr>
        <w:t>或甲方上级单位</w:t>
      </w:r>
      <w:r>
        <w:rPr>
          <w:rFonts w:ascii="宋体" w:eastAsia="宋体" w:hAnsi="宋体" w:hint="eastAsia"/>
          <w:sz w:val="24"/>
          <w:szCs w:val="24"/>
        </w:rPr>
        <w:t>财务制度或财务规定有政策性变动本合同需重新签订</w:t>
      </w:r>
      <w:r>
        <w:rPr>
          <w:rFonts w:ascii="宋体" w:eastAsia="宋体" w:hAnsi="宋体" w:hint="eastAsia"/>
          <w:sz w:val="24"/>
          <w:szCs w:val="24"/>
        </w:rPr>
        <w:t>的</w:t>
      </w:r>
      <w:r>
        <w:rPr>
          <w:rFonts w:ascii="宋体" w:eastAsia="宋体" w:hAnsi="宋体" w:hint="eastAsia"/>
          <w:sz w:val="24"/>
          <w:szCs w:val="24"/>
        </w:rPr>
        <w:t>，</w:t>
      </w:r>
      <w:r>
        <w:rPr>
          <w:rFonts w:ascii="宋体" w:eastAsia="宋体" w:hAnsi="宋体" w:hint="eastAsia"/>
          <w:sz w:val="24"/>
          <w:szCs w:val="24"/>
        </w:rPr>
        <w:t>乙方应当配合甲方作相应变更</w:t>
      </w:r>
      <w:r>
        <w:rPr>
          <w:rFonts w:ascii="宋体" w:eastAsia="宋体" w:hAnsi="宋体" w:hint="eastAsia"/>
          <w:sz w:val="24"/>
          <w:szCs w:val="24"/>
        </w:rPr>
        <w:t>。</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4.本合同签订后，如遇国家颁布新的法律、法规、规章和政策（包括地方法规和规章）本合同期限需相应进行调整的，按国家法律最新规定的期限执行，合同期限作相应修改。</w:t>
      </w:r>
    </w:p>
    <w:p>
      <w:pPr>
        <w:tabs>
          <w:tab w:val="left" w:pos="0"/>
        </w:tabs>
        <w:autoSpaceDE/>
        <w:autoSpaceDN/>
        <w:adjustRightInd/>
        <w:snapToGrid w:val="0"/>
        <w:spacing w:line="300" w:lineRule="auto"/>
        <w:ind w:firstLine="555"/>
        <w:jc w:val="left"/>
        <w:rPr>
          <w:rFonts w:ascii="宋体" w:eastAsia="宋体" w:hAnsi="宋体" w:hint="eastAsia"/>
          <w:bCs w:val="0"/>
          <w:sz w:val="24"/>
          <w:szCs w:val="24"/>
        </w:rPr>
      </w:pPr>
      <w:r>
        <w:rPr>
          <w:rFonts w:ascii="宋体" w:eastAsia="宋体" w:hAnsi="宋体" w:hint="eastAsia"/>
          <w:bCs w:val="0"/>
          <w:sz w:val="24"/>
          <w:szCs w:val="24"/>
        </w:rPr>
        <w:t>第</w:t>
      </w:r>
      <w:r>
        <w:rPr>
          <w:rFonts w:ascii="宋体" w:eastAsia="宋体" w:hAnsi="宋体" w:hint="eastAsia"/>
          <w:bCs w:val="0"/>
          <w:sz w:val="24"/>
          <w:szCs w:val="24"/>
          <w:lang w:eastAsia="zh-CN"/>
        </w:rPr>
        <w:t>七</w:t>
      </w:r>
      <w:r>
        <w:rPr>
          <w:rFonts w:ascii="宋体" w:eastAsia="宋体" w:hAnsi="宋体" w:hint="eastAsia"/>
          <w:bCs w:val="0"/>
          <w:sz w:val="24"/>
          <w:szCs w:val="24"/>
        </w:rPr>
        <w:t>条 服务外包费用及结算</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1.服务外包费用范围：在乙方完全履行本合同约定义务的前提下，本合同所指的服务外包费用，包括船员费用、船艇管理费用、税费以及</w:t>
      </w:r>
      <w:r>
        <w:rPr>
          <w:rFonts w:ascii="宋体" w:eastAsia="宋体" w:hAnsi="宋体" w:cs="Times New Roman" w:hint="eastAsia"/>
          <w:sz w:val="24"/>
          <w:szCs w:val="24"/>
        </w:rPr>
        <w:t>珠海桂山岛引航基地码头租赁及船员在桂山岛引航基地的食宿及交通费用，其中</w:t>
      </w:r>
      <w:r>
        <w:rPr>
          <w:rFonts w:ascii="宋体" w:eastAsia="宋体" w:hAnsi="宋体" w:cs="Times New Roman" w:hint="eastAsia"/>
          <w:kern w:val="0"/>
          <w:sz w:val="24"/>
          <w:szCs w:val="24"/>
        </w:rPr>
        <w:t>供船员居住的宿舍租赁</w:t>
      </w:r>
      <w:r>
        <w:rPr>
          <w:rFonts w:ascii="宋体" w:eastAsia="宋体" w:hAnsi="宋体" w:cs="Times New Roman" w:hint="eastAsia"/>
          <w:sz w:val="24"/>
          <w:szCs w:val="24"/>
        </w:rPr>
        <w:t>房间不少于5间</w:t>
      </w:r>
      <w:r>
        <w:rPr>
          <w:rFonts w:ascii="宋体" w:eastAsia="宋体" w:hAnsi="宋体" w:hint="eastAsia"/>
          <w:sz w:val="24"/>
          <w:szCs w:val="24"/>
        </w:rPr>
        <w:t>，总服务费用为</w:t>
      </w:r>
      <w:r>
        <w:rPr>
          <w:rFonts w:ascii="宋体" w:eastAsia="宋体" w:hAnsi="宋体" w:hint="eastAsia"/>
          <w:sz w:val="24"/>
          <w:szCs w:val="24"/>
          <w:u w:val="none"/>
          <w:lang w:val="en-US" w:eastAsia="zh-CN"/>
        </w:rPr>
        <w:t xml:space="preserve">        </w:t>
      </w:r>
      <w:r>
        <w:rPr>
          <w:rFonts w:ascii="宋体" w:eastAsia="宋体" w:hAnsi="宋体" w:hint="eastAsia"/>
          <w:sz w:val="24"/>
          <w:szCs w:val="24"/>
          <w:u w:val="none"/>
        </w:rPr>
        <w:t>元（</w:t>
      </w:r>
      <w:r>
        <w:rPr>
          <w:rFonts w:ascii="宋体" w:eastAsia="宋体" w:hAnsi="宋体" w:hint="eastAsia"/>
          <w:sz w:val="24"/>
          <w:szCs w:val="24"/>
          <w:u w:val="none"/>
          <w:lang w:val="en-US" w:eastAsia="zh-CN"/>
        </w:rPr>
        <w:t xml:space="preserve">         </w:t>
      </w:r>
      <w:r>
        <w:rPr>
          <w:rFonts w:ascii="宋体" w:eastAsia="宋体" w:hAnsi="宋体" w:hint="eastAsia"/>
          <w:sz w:val="24"/>
          <w:szCs w:val="24"/>
          <w:u w:val="none"/>
        </w:rPr>
        <w:t>元整）</w:t>
      </w:r>
      <w:r>
        <w:rPr>
          <w:rFonts w:ascii="宋体" w:eastAsia="宋体" w:hAnsi="宋体" w:hint="eastAsia"/>
          <w:sz w:val="24"/>
          <w:szCs w:val="24"/>
        </w:rPr>
        <w:t>。其中：</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（1）船员费用</w:t>
      </w:r>
      <w:r>
        <w:rPr>
          <w:rFonts w:ascii="宋体" w:eastAsia="宋体" w:hAnsi="宋体" w:cs="Times New Roman" w:hint="eastAsia"/>
          <w:kern w:val="0"/>
          <w:sz w:val="24"/>
          <w:szCs w:val="24"/>
        </w:rPr>
        <w:t>：船员</w:t>
      </w:r>
      <w:r>
        <w:rPr>
          <w:rFonts w:ascii="宋体" w:eastAsia="宋体" w:hAnsi="宋体" w:hint="eastAsia"/>
          <w:sz w:val="24"/>
          <w:szCs w:val="24"/>
        </w:rPr>
        <w:t>费用实行总包干制，只能用于船员包括但不限于船员管理费（含税）、船员工资（含个人所得税）、伙食费、高温补助、五险一金（含乙方缴交部分）、交通费、商业保险（船员意外保险不低于150万元人民币/人）、体检费、节假日慰问金（品）、劳保用品、考试费用、解除劳动合同经济补偿等费用。</w:t>
      </w:r>
      <w:r>
        <w:rPr>
          <w:rFonts w:ascii="宋体" w:eastAsia="宋体" w:hAnsi="宋体" w:cs="Times New Roman" w:hint="eastAsia"/>
          <w:kern w:val="0"/>
          <w:sz w:val="24"/>
          <w:szCs w:val="24"/>
        </w:rPr>
        <w:t>如遇按国家政策要求发生船员增减时，增减船员费用按附件3《深圳港引航站船员工资标准》中岗位工资报价相应增减。</w:t>
      </w:r>
    </w:p>
    <w:p>
      <w:pPr>
        <w:tabs>
          <w:tab w:val="left" w:pos="0"/>
        </w:tabs>
        <w:adjustRightInd/>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2）船艇管理费用：包括乙方进行海务管理、机务管理、船舶安全管理、船员人事管理等与船舶管理和船员管理相关的除了船舶调度以外的所有管理成本，船艇管理费用占中标价的8%-10%，根据每季度末船艇管理质量考核确定管理费标准。</w:t>
      </w:r>
    </w:p>
    <w:p>
      <w:pPr>
        <w:tabs>
          <w:tab w:val="left" w:pos="0"/>
        </w:tabs>
        <w:adjustRightInd/>
        <w:snapToGrid w:val="0"/>
        <w:spacing w:line="300" w:lineRule="auto"/>
        <w:ind w:firstLine="555" w:firstLineChars="0"/>
        <w:rPr>
          <w:rFonts w:ascii="宋体" w:eastAsia="宋体" w:hAnsi="宋体" w:hint="eastAsia"/>
          <w:sz w:val="24"/>
          <w:szCs w:val="24"/>
          <w:highlight w:val="none"/>
        </w:rPr>
      </w:pPr>
      <w:r>
        <w:rPr>
          <w:rFonts w:ascii="宋体" w:eastAsia="宋体" w:hAnsi="宋体" w:cs="Times New Roman" w:hint="eastAsia"/>
          <w:kern w:val="0"/>
          <w:sz w:val="24"/>
          <w:szCs w:val="24"/>
        </w:rPr>
        <w:t xml:space="preserve"> （3）珠海桂山岛引航基地码头租赁及船员在桂山岛引航基地的食宿及交通费用，其中供船员居住的宿舍租赁房间不少于5间，租用时需提前与</w:t>
      </w:r>
      <w:r>
        <w:rPr>
          <w:rFonts w:ascii="宋体" w:eastAsia="宋体" w:hAnsi="宋体" w:cs="Times New Roman" w:hint="eastAsia"/>
          <w:kern w:val="0"/>
          <w:sz w:val="24"/>
          <w:szCs w:val="24"/>
        </w:rPr>
        <w:t>甲方</w:t>
      </w:r>
      <w:r>
        <w:rPr>
          <w:rFonts w:ascii="宋体" w:eastAsia="宋体" w:hAnsi="宋体" w:cs="Times New Roman" w:hint="eastAsia"/>
          <w:kern w:val="0"/>
          <w:sz w:val="24"/>
          <w:szCs w:val="24"/>
        </w:rPr>
        <w:t>确认。</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（4）本条所述服务外包费用，为甲方应向乙方支付的所有费用。除本合同其它条款有明确规定由甲方承担的费用以外，甲方不承担任何其他费用。</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hint="eastAsia"/>
          <w:sz w:val="24"/>
          <w:szCs w:val="24"/>
        </w:rPr>
        <w:t>2.本合同服务</w:t>
      </w:r>
      <w:r>
        <w:rPr>
          <w:rFonts w:ascii="宋体" w:eastAsia="宋体" w:hAnsi="宋体" w:cs="Times New Roman" w:hint="eastAsia"/>
          <w:kern w:val="0"/>
          <w:sz w:val="24"/>
          <w:szCs w:val="24"/>
        </w:rPr>
        <w:t>费用不含范围：船舶调度费用；船舶维修费用；</w:t>
      </w:r>
      <w:r>
        <w:rPr>
          <w:rFonts w:ascii="宋体" w:eastAsia="宋体" w:hAnsi="宋体" w:hint="eastAsia"/>
          <w:sz w:val="24"/>
          <w:szCs w:val="24"/>
        </w:rPr>
        <w:t>船舶</w:t>
      </w:r>
      <w:r>
        <w:rPr>
          <w:rFonts w:ascii="宋体" w:eastAsia="宋体" w:hAnsi="宋体" w:cs="Times New Roman" w:hint="eastAsia"/>
          <w:kern w:val="0"/>
          <w:sz w:val="24"/>
          <w:szCs w:val="24"/>
        </w:rPr>
        <w:t>保险费用；</w:t>
      </w:r>
      <w:r>
        <w:rPr>
          <w:rFonts w:ascii="宋体" w:eastAsia="宋体" w:hAnsi="宋体" w:cs="Times New Roman" w:hint="eastAsia"/>
          <w:color w:val="auto"/>
          <w:kern w:val="0"/>
          <w:sz w:val="24"/>
          <w:szCs w:val="24"/>
        </w:rPr>
        <w:t>船舶营运物资费用；</w:t>
      </w:r>
      <w:r>
        <w:rPr>
          <w:rFonts w:ascii="宋体" w:eastAsia="宋体" w:hAnsi="宋体" w:cs="Times New Roman" w:hint="eastAsia"/>
          <w:kern w:val="0"/>
          <w:sz w:val="24"/>
          <w:szCs w:val="24"/>
        </w:rPr>
        <w:t>船舶营运油料、滑油、淡水费用；船舶通讯费用；船舶靠泊基地或防台期间水电费、码头管理费、基地维修建设等费用；船舶检验、海事管理等直接费用；船艇生活污水、油污水、垃圾处理费用；应急救助费用；</w:t>
      </w:r>
      <w:r>
        <w:rPr>
          <w:rFonts w:ascii="宋体" w:eastAsia="宋体" w:hAnsi="宋体" w:cs="Times New Roman" w:hint="eastAsia"/>
          <w:color w:val="auto"/>
          <w:kern w:val="0"/>
          <w:sz w:val="24"/>
          <w:szCs w:val="24"/>
        </w:rPr>
        <w:t>防疫物资费用等；</w:t>
      </w:r>
      <w:r>
        <w:rPr>
          <w:rFonts w:ascii="宋体" w:eastAsia="宋体" w:hAnsi="宋体" w:cs="Times New Roman" w:hint="eastAsia"/>
          <w:kern w:val="0"/>
          <w:sz w:val="24"/>
          <w:szCs w:val="24"/>
        </w:rPr>
        <w:t>这类非外包服务费用由甲方直接支付。</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hint="eastAsia"/>
          <w:sz w:val="24"/>
          <w:szCs w:val="24"/>
        </w:rPr>
        <w:t>3.</w:t>
      </w:r>
      <w:r>
        <w:rPr>
          <w:rFonts w:ascii="宋体" w:eastAsia="宋体" w:hAnsi="宋体" w:cs="Times New Roman" w:hint="eastAsia"/>
          <w:kern w:val="0"/>
          <w:sz w:val="24"/>
          <w:szCs w:val="24"/>
        </w:rPr>
        <w:t>外包费用支付：</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cs="Times New Roman" w:hint="eastAsia"/>
          <w:kern w:val="0"/>
          <w:sz w:val="24"/>
          <w:szCs w:val="24"/>
        </w:rPr>
        <w:t>（1）合同生效，乙方正常履约后，甲方于15日内向乙方支付合同总费用的30%，乙方须提供等额的合规发票。</w:t>
      </w:r>
    </w:p>
    <w:p>
      <w:pPr>
        <w:tabs>
          <w:tab w:val="left" w:pos="0"/>
        </w:tabs>
        <w:adjustRightInd/>
        <w:snapToGrid w:val="0"/>
        <w:spacing w:line="300" w:lineRule="auto"/>
        <w:ind w:firstLine="555" w:firstLineChars="0"/>
        <w:rPr>
          <w:rFonts w:ascii="宋体" w:eastAsia="宋体" w:hAnsi="宋体" w:cs="Times New Roman" w:hint="eastAsia"/>
          <w:kern w:val="0"/>
          <w:sz w:val="24"/>
          <w:szCs w:val="24"/>
        </w:rPr>
      </w:pPr>
      <w:r>
        <w:rPr>
          <w:rFonts w:ascii="宋体" w:eastAsia="宋体" w:hAnsi="宋体" w:cs="Times New Roman" w:hint="eastAsia"/>
          <w:kern w:val="0"/>
          <w:sz w:val="24"/>
          <w:szCs w:val="24"/>
          <w:lang w:eastAsia="zh-CN"/>
        </w:rPr>
        <w:t>（</w:t>
      </w:r>
      <w:r>
        <w:rPr>
          <w:rFonts w:ascii="宋体" w:eastAsia="宋体" w:hAnsi="宋体" w:cs="Times New Roman" w:hint="eastAsia"/>
          <w:kern w:val="0"/>
          <w:sz w:val="24"/>
          <w:szCs w:val="24"/>
        </w:rPr>
        <w:t>2</w:t>
      </w:r>
      <w:r>
        <w:rPr>
          <w:rFonts w:ascii="宋体" w:eastAsia="宋体" w:hAnsi="宋体" w:cs="Times New Roman" w:hint="eastAsia"/>
          <w:kern w:val="0"/>
          <w:sz w:val="24"/>
          <w:szCs w:val="24"/>
          <w:lang w:eastAsia="zh-CN"/>
        </w:rPr>
        <w:t>）</w:t>
      </w:r>
      <w:r>
        <w:rPr>
          <w:rFonts w:ascii="宋体" w:eastAsia="宋体" w:hAnsi="宋体" w:cs="Times New Roman" w:hint="eastAsia"/>
          <w:kern w:val="0"/>
          <w:sz w:val="24"/>
          <w:szCs w:val="24"/>
        </w:rPr>
        <w:t>剩余费用按月支付，</w:t>
      </w:r>
      <w:r>
        <w:rPr>
          <w:rFonts w:ascii="宋体" w:eastAsia="宋体" w:hAnsi="宋体" w:cs="Times New Roman" w:hint="eastAsia"/>
          <w:kern w:val="0"/>
          <w:sz w:val="24"/>
          <w:szCs w:val="24"/>
          <w:lang w:eastAsia="zh-CN"/>
        </w:rPr>
        <w:t>其中</w:t>
      </w:r>
      <w:r>
        <w:rPr>
          <w:rFonts w:ascii="宋体" w:eastAsia="宋体" w:hAnsi="宋体" w:cs="Times New Roman" w:hint="eastAsia"/>
          <w:kern w:val="0"/>
          <w:sz w:val="24"/>
          <w:szCs w:val="24"/>
          <w:lang w:val="en-US" w:eastAsia="zh-CN"/>
        </w:rPr>
        <w:t>2025年1-11月，</w:t>
      </w:r>
      <w:r>
        <w:rPr>
          <w:rFonts w:ascii="宋体" w:eastAsia="宋体" w:hAnsi="宋体" w:cs="Times New Roman" w:hint="eastAsia"/>
          <w:kern w:val="0"/>
          <w:sz w:val="24"/>
          <w:szCs w:val="24"/>
        </w:rPr>
        <w:t>每月支付合同总费用的</w:t>
      </w:r>
      <w:r>
        <w:rPr>
          <w:rFonts w:ascii="宋体" w:eastAsia="宋体" w:hAnsi="宋体" w:cs="Times New Roman" w:hint="eastAsia"/>
          <w:kern w:val="0"/>
          <w:sz w:val="24"/>
          <w:szCs w:val="24"/>
          <w:lang w:val="en-US" w:eastAsia="zh-CN"/>
        </w:rPr>
        <w:t>5.8</w:t>
      </w:r>
      <w:r>
        <w:rPr>
          <w:rFonts w:ascii="宋体" w:eastAsia="宋体" w:hAnsi="宋体" w:cs="Times New Roman" w:hint="eastAsia"/>
          <w:kern w:val="0"/>
          <w:sz w:val="24"/>
          <w:szCs w:val="24"/>
        </w:rPr>
        <w:t>%，</w:t>
      </w:r>
      <w:r>
        <w:rPr>
          <w:rFonts w:ascii="宋体" w:eastAsia="宋体" w:hAnsi="宋体" w:cs="Times New Roman" w:hint="eastAsia"/>
          <w:kern w:val="0"/>
          <w:sz w:val="24"/>
          <w:szCs w:val="24"/>
          <w:lang w:val="en-US" w:eastAsia="zh-CN"/>
        </w:rPr>
        <w:t>2025年12月支付合同总费用的6.2%，</w:t>
      </w:r>
      <w:r>
        <w:rPr>
          <w:rFonts w:ascii="宋体" w:eastAsia="宋体" w:hAnsi="宋体" w:cs="Times New Roman" w:hint="eastAsia"/>
          <w:kern w:val="0"/>
          <w:sz w:val="24"/>
          <w:szCs w:val="24"/>
        </w:rPr>
        <w:t>其中</w:t>
      </w:r>
      <w:r>
        <w:rPr>
          <w:rFonts w:ascii="宋体" w:eastAsia="宋体" w:hAnsi="宋体" w:cs="Times New Roman" w:hint="eastAsia"/>
          <w:kern w:val="0"/>
          <w:sz w:val="24"/>
          <w:szCs w:val="24"/>
          <w:lang w:val="en-US" w:eastAsia="zh-CN"/>
        </w:rPr>
        <w:t>3</w:t>
      </w:r>
      <w:r>
        <w:rPr>
          <w:rFonts w:ascii="宋体" w:eastAsia="宋体" w:hAnsi="宋体" w:cs="Times New Roman" w:hint="eastAsia"/>
          <w:kern w:val="0"/>
          <w:sz w:val="24"/>
          <w:szCs w:val="24"/>
        </w:rPr>
        <w:t>月末、</w:t>
      </w:r>
      <w:r>
        <w:rPr>
          <w:rFonts w:ascii="宋体" w:eastAsia="宋体" w:hAnsi="宋体" w:cs="Times New Roman" w:hint="eastAsia"/>
          <w:kern w:val="0"/>
          <w:sz w:val="24"/>
          <w:szCs w:val="24"/>
          <w:lang w:val="en-US" w:eastAsia="zh-CN"/>
        </w:rPr>
        <w:t>6</w:t>
      </w:r>
      <w:r>
        <w:rPr>
          <w:rFonts w:ascii="宋体" w:eastAsia="宋体" w:hAnsi="宋体" w:cs="Times New Roman" w:hint="eastAsia"/>
          <w:kern w:val="0"/>
          <w:sz w:val="24"/>
          <w:szCs w:val="24"/>
        </w:rPr>
        <w:t>月末、</w:t>
      </w:r>
      <w:r>
        <w:rPr>
          <w:rFonts w:ascii="宋体" w:eastAsia="宋体" w:hAnsi="宋体" w:cs="Times New Roman" w:hint="eastAsia"/>
          <w:kern w:val="0"/>
          <w:sz w:val="24"/>
          <w:szCs w:val="24"/>
          <w:lang w:val="en-US" w:eastAsia="zh-CN"/>
        </w:rPr>
        <w:t>9月末、</w:t>
      </w:r>
      <w:r>
        <w:rPr>
          <w:rFonts w:ascii="宋体" w:eastAsia="宋体" w:hAnsi="宋体" w:cs="Times New Roman" w:hint="eastAsia"/>
          <w:kern w:val="0"/>
          <w:sz w:val="24"/>
          <w:szCs w:val="24"/>
        </w:rPr>
        <w:t>12上旬根据《深圳港引航站船艇管理服务项目服务质量考核评分表》（见附件4）对</w:t>
      </w:r>
      <w:r>
        <w:rPr>
          <w:rFonts w:ascii="宋体" w:eastAsia="宋体" w:hAnsi="宋体" w:cs="Times New Roman" w:hint="eastAsia"/>
          <w:kern w:val="0"/>
          <w:sz w:val="24"/>
          <w:szCs w:val="24"/>
          <w:lang w:eastAsia="zh-CN"/>
        </w:rPr>
        <w:t>乙</w:t>
      </w:r>
      <w:r>
        <w:rPr>
          <w:rFonts w:ascii="宋体" w:eastAsia="宋体" w:hAnsi="宋体" w:cs="Times New Roman" w:hint="eastAsia"/>
          <w:kern w:val="0"/>
          <w:sz w:val="24"/>
          <w:szCs w:val="24"/>
        </w:rPr>
        <w:t>方的船艇管理服务质量进行考核，根据考核结果应扣除的费用在</w:t>
      </w:r>
      <w:r>
        <w:rPr>
          <w:rFonts w:ascii="宋体" w:eastAsia="宋体" w:hAnsi="宋体" w:cs="Times New Roman" w:hint="eastAsia"/>
          <w:kern w:val="0"/>
          <w:sz w:val="24"/>
          <w:szCs w:val="24"/>
          <w:lang w:val="en-US" w:eastAsia="zh-CN"/>
        </w:rPr>
        <w:t>4</w:t>
      </w:r>
      <w:r>
        <w:rPr>
          <w:rFonts w:ascii="宋体" w:eastAsia="宋体" w:hAnsi="宋体" w:cs="Times New Roman" w:hint="eastAsia"/>
          <w:kern w:val="0"/>
          <w:sz w:val="24"/>
          <w:szCs w:val="24"/>
        </w:rPr>
        <w:t>月、</w:t>
      </w:r>
      <w:r>
        <w:rPr>
          <w:rFonts w:ascii="宋体" w:eastAsia="宋体" w:hAnsi="宋体" w:cs="Times New Roman" w:hint="eastAsia"/>
          <w:kern w:val="0"/>
          <w:sz w:val="24"/>
          <w:szCs w:val="24"/>
          <w:lang w:val="en-US" w:eastAsia="zh-CN"/>
        </w:rPr>
        <w:t>7月、</w:t>
      </w:r>
      <w:r>
        <w:rPr>
          <w:rFonts w:ascii="宋体" w:eastAsia="宋体" w:hAnsi="宋体" w:cs="Times New Roman" w:hint="eastAsia"/>
          <w:kern w:val="0"/>
          <w:sz w:val="24"/>
          <w:szCs w:val="24"/>
        </w:rPr>
        <w:t>1</w:t>
      </w:r>
      <w:r>
        <w:rPr>
          <w:rFonts w:ascii="宋体" w:eastAsia="宋体" w:hAnsi="宋体" w:cs="Times New Roman" w:hint="eastAsia"/>
          <w:kern w:val="0"/>
          <w:sz w:val="24"/>
          <w:szCs w:val="24"/>
          <w:lang w:val="en-US" w:eastAsia="zh-CN"/>
        </w:rPr>
        <w:t>0</w:t>
      </w:r>
      <w:r>
        <w:rPr>
          <w:rFonts w:ascii="宋体" w:eastAsia="宋体" w:hAnsi="宋体" w:cs="Times New Roman" w:hint="eastAsia"/>
          <w:kern w:val="0"/>
          <w:sz w:val="24"/>
          <w:szCs w:val="24"/>
        </w:rPr>
        <w:t>月、12月的服务费中扣除，即</w:t>
      </w:r>
      <w:r>
        <w:rPr>
          <w:rFonts w:ascii="宋体" w:eastAsia="宋体" w:hAnsi="宋体" w:cs="Times New Roman" w:hint="eastAsia"/>
          <w:kern w:val="0"/>
          <w:sz w:val="24"/>
          <w:szCs w:val="24"/>
          <w:lang w:val="en-US" w:eastAsia="zh-CN"/>
        </w:rPr>
        <w:t>4</w:t>
      </w:r>
      <w:r>
        <w:rPr>
          <w:rFonts w:ascii="宋体" w:eastAsia="宋体" w:hAnsi="宋体" w:cs="Times New Roman" w:hint="eastAsia"/>
          <w:kern w:val="0"/>
          <w:sz w:val="24"/>
          <w:szCs w:val="24"/>
        </w:rPr>
        <w:t>月/</w:t>
      </w:r>
      <w:r>
        <w:rPr>
          <w:rFonts w:ascii="宋体" w:eastAsia="宋体" w:hAnsi="宋体" w:cs="Times New Roman" w:hint="eastAsia"/>
          <w:kern w:val="0"/>
          <w:sz w:val="24"/>
          <w:szCs w:val="24"/>
          <w:lang w:val="en-US" w:eastAsia="zh-CN"/>
        </w:rPr>
        <w:t>7</w:t>
      </w:r>
      <w:r>
        <w:rPr>
          <w:rFonts w:ascii="宋体" w:eastAsia="宋体" w:hAnsi="宋体" w:cs="Times New Roman" w:hint="eastAsia"/>
          <w:kern w:val="0"/>
          <w:sz w:val="24"/>
          <w:szCs w:val="24"/>
        </w:rPr>
        <w:t>月</w:t>
      </w:r>
      <w:r>
        <w:rPr>
          <w:rFonts w:ascii="宋体" w:eastAsia="宋体" w:hAnsi="宋体" w:cs="Times New Roman" w:hint="eastAsia"/>
          <w:kern w:val="0"/>
          <w:sz w:val="24"/>
          <w:szCs w:val="24"/>
        </w:rPr>
        <w:t>/</w:t>
      </w:r>
      <w:r>
        <w:rPr>
          <w:rFonts w:ascii="宋体" w:eastAsia="宋体" w:hAnsi="宋体" w:cs="Times New Roman" w:hint="eastAsia"/>
          <w:kern w:val="0"/>
          <w:sz w:val="24"/>
          <w:szCs w:val="24"/>
          <w:lang w:val="en-US" w:eastAsia="zh-CN"/>
        </w:rPr>
        <w:t>10月</w:t>
      </w:r>
      <w:r>
        <w:rPr>
          <w:rFonts w:ascii="宋体" w:eastAsia="宋体" w:hAnsi="宋体" w:cs="Times New Roman" w:hint="eastAsia"/>
          <w:kern w:val="0"/>
          <w:sz w:val="24"/>
          <w:szCs w:val="24"/>
        </w:rPr>
        <w:t>的实际支付服务费=合同总费用的</w:t>
      </w:r>
      <w:r>
        <w:rPr>
          <w:rFonts w:ascii="宋体" w:eastAsia="宋体" w:hAnsi="宋体" w:cs="Times New Roman" w:hint="eastAsia"/>
          <w:kern w:val="0"/>
          <w:sz w:val="24"/>
          <w:szCs w:val="24"/>
          <w:lang w:val="en-US" w:eastAsia="zh-CN"/>
        </w:rPr>
        <w:t>5.8</w:t>
      </w:r>
      <w:r>
        <w:rPr>
          <w:rFonts w:ascii="宋体" w:eastAsia="宋体" w:hAnsi="宋体" w:cs="Times New Roman" w:hint="eastAsia"/>
          <w:kern w:val="0"/>
          <w:sz w:val="24"/>
          <w:szCs w:val="24"/>
        </w:rPr>
        <w:t>%-按</w:t>
      </w:r>
      <w:r>
        <w:rPr>
          <w:rFonts w:ascii="宋体" w:eastAsia="宋体" w:hAnsi="宋体" w:cs="Times New Roman" w:hint="eastAsia"/>
          <w:kern w:val="0"/>
          <w:sz w:val="24"/>
          <w:szCs w:val="24"/>
          <w:lang w:val="en-US" w:eastAsia="zh-CN"/>
        </w:rPr>
        <w:t>3</w:t>
      </w:r>
      <w:r>
        <w:rPr>
          <w:rFonts w:ascii="宋体" w:eastAsia="宋体" w:hAnsi="宋体" w:cs="Times New Roman" w:hint="eastAsia"/>
          <w:kern w:val="0"/>
          <w:sz w:val="24"/>
          <w:szCs w:val="24"/>
        </w:rPr>
        <w:t>月</w:t>
      </w:r>
      <w:r>
        <w:rPr>
          <w:rFonts w:ascii="宋体" w:eastAsia="宋体" w:hAnsi="宋体" w:cs="Times New Roman" w:hint="eastAsia"/>
          <w:kern w:val="0"/>
          <w:sz w:val="24"/>
          <w:szCs w:val="24"/>
        </w:rPr>
        <w:t>/</w:t>
      </w:r>
      <w:r>
        <w:rPr>
          <w:rFonts w:ascii="宋体" w:eastAsia="宋体" w:hAnsi="宋体" w:cs="Times New Roman" w:hint="eastAsia"/>
          <w:kern w:val="0"/>
          <w:sz w:val="24"/>
          <w:szCs w:val="24"/>
          <w:lang w:val="en-US" w:eastAsia="zh-CN"/>
        </w:rPr>
        <w:t>6</w:t>
      </w:r>
      <w:r>
        <w:rPr>
          <w:rFonts w:ascii="宋体" w:eastAsia="宋体" w:hAnsi="宋体" w:cs="Times New Roman" w:hint="eastAsia"/>
          <w:kern w:val="0"/>
          <w:sz w:val="24"/>
          <w:szCs w:val="24"/>
        </w:rPr>
        <w:t>月</w:t>
      </w:r>
      <w:r>
        <w:rPr>
          <w:rFonts w:ascii="宋体" w:eastAsia="宋体" w:hAnsi="宋体" w:cs="Times New Roman" w:hint="eastAsia"/>
          <w:kern w:val="0"/>
          <w:sz w:val="24"/>
          <w:szCs w:val="24"/>
        </w:rPr>
        <w:t>/</w:t>
      </w:r>
      <w:r>
        <w:rPr>
          <w:rFonts w:ascii="宋体" w:eastAsia="宋体" w:hAnsi="宋体" w:cs="Times New Roman" w:hint="eastAsia"/>
          <w:kern w:val="0"/>
          <w:sz w:val="24"/>
          <w:szCs w:val="24"/>
          <w:lang w:val="en-US" w:eastAsia="zh-CN"/>
        </w:rPr>
        <w:t>9</w:t>
      </w:r>
      <w:r>
        <w:rPr>
          <w:rFonts w:ascii="宋体" w:eastAsia="宋体" w:hAnsi="宋体" w:cs="Times New Roman" w:hint="eastAsia"/>
          <w:kern w:val="0"/>
          <w:sz w:val="24"/>
          <w:szCs w:val="24"/>
        </w:rPr>
        <w:t>月考核结果应扣除的费用</w:t>
      </w:r>
      <w:r>
        <w:rPr>
          <w:rFonts w:ascii="宋体" w:eastAsia="宋体" w:hAnsi="宋体" w:cs="Times New Roman" w:hint="eastAsia"/>
          <w:kern w:val="0"/>
          <w:sz w:val="24"/>
          <w:szCs w:val="24"/>
          <w:lang w:eastAsia="zh-CN"/>
        </w:rPr>
        <w:t>；</w:t>
      </w:r>
      <w:r>
        <w:rPr>
          <w:rFonts w:ascii="宋体" w:eastAsia="宋体" w:hAnsi="宋体" w:cs="Times New Roman" w:hint="eastAsia"/>
          <w:kern w:val="0"/>
          <w:sz w:val="24"/>
          <w:szCs w:val="24"/>
          <w:lang w:val="en-US" w:eastAsia="zh-CN"/>
        </w:rPr>
        <w:t>12月的实际支付服务费=合同总费用的6.2%-按12月考核结果应扣除的费用。</w:t>
      </w:r>
    </w:p>
    <w:p>
      <w:pPr>
        <w:tabs>
          <w:tab w:val="left" w:pos="0"/>
        </w:tabs>
        <w:adjustRightInd w:val="0"/>
        <w:snapToGrid w:val="0"/>
        <w:spacing w:line="300" w:lineRule="auto"/>
        <w:ind w:firstLine="480" w:firstLineChars="200"/>
        <w:rPr>
          <w:rFonts w:ascii="宋体" w:eastAsia="宋体" w:hAnsi="宋体" w:cs="Times New Roman" w:hint="eastAsia"/>
          <w:kern w:val="0"/>
          <w:sz w:val="24"/>
          <w:szCs w:val="24"/>
        </w:rPr>
      </w:pPr>
      <w:r>
        <w:rPr>
          <w:rFonts w:ascii="宋体" w:eastAsia="宋体" w:hAnsi="宋体" w:cs="Times New Roman" w:hint="eastAsia"/>
          <w:kern w:val="0"/>
          <w:sz w:val="24"/>
          <w:szCs w:val="24"/>
        </w:rPr>
        <w:t>（</w:t>
      </w:r>
      <w:r>
        <w:rPr>
          <w:rFonts w:ascii="宋体" w:eastAsia="宋体" w:hAnsi="宋体" w:cs="Times New Roman" w:hint="eastAsia"/>
          <w:kern w:val="0"/>
          <w:sz w:val="24"/>
          <w:szCs w:val="24"/>
        </w:rPr>
        <w:t>3</w:t>
      </w:r>
      <w:r>
        <w:rPr>
          <w:rFonts w:ascii="宋体" w:eastAsia="宋体" w:hAnsi="宋体" w:cs="Times New Roman" w:hint="eastAsia"/>
          <w:kern w:val="0"/>
          <w:sz w:val="24"/>
          <w:szCs w:val="24"/>
        </w:rPr>
        <w:t>）</w:t>
      </w:r>
      <w:r>
        <w:rPr>
          <w:rFonts w:ascii="宋体" w:eastAsia="宋体" w:hAnsi="宋体" w:cs="Times New Roman" w:hint="eastAsia"/>
          <w:kern w:val="0"/>
          <w:sz w:val="24"/>
          <w:szCs w:val="24"/>
        </w:rPr>
        <w:t>乙方每月10日前，必须按照财政支付政策要求向甲方先提供当期应付款等额的合法发票在内的支付申请材料，否则甲方有权拒绝支付全部款项。甲方于每月20日前完成审核并支付当月费用。因甲方使用的是财政资金，甲方完成支付审核并进入财务支付程序即视为完成支付。</w:t>
      </w:r>
      <w:bookmarkStart w:id="55" w:name="_Hlk104478232"/>
      <w:r>
        <w:rPr>
          <w:rFonts w:ascii="宋体" w:eastAsia="宋体" w:hAnsi="宋体" w:cs="Times New Roman" w:hint="eastAsia"/>
          <w:kern w:val="0"/>
          <w:sz w:val="24"/>
          <w:szCs w:val="24"/>
        </w:rPr>
        <w:t>支付方式以深圳市最新财政支付政策为准。甲方有权在支付价款时直接扣除乙方按照本合同应承担的违约金和赔补偿金。</w:t>
      </w:r>
      <w:bookmarkEnd w:id="55"/>
    </w:p>
    <w:p>
      <w:pPr>
        <w:tabs>
          <w:tab w:val="left" w:pos="0"/>
        </w:tabs>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（4）如当月配员人数不足41人，当月管理服务费用按人员比例相应扣减。</w:t>
      </w:r>
    </w:p>
    <w:p>
      <w:pPr>
        <w:tabs>
          <w:tab w:val="left" w:pos="0"/>
        </w:tabs>
        <w:adjustRightInd w:val="0"/>
        <w:snapToGrid w:val="0"/>
        <w:spacing w:line="300" w:lineRule="auto"/>
        <w:ind w:firstLine="555"/>
        <w:rPr>
          <w:rFonts w:ascii="宋体" w:eastAsia="宋体" w:hAnsi="宋体" w:cs="Times New Roman" w:hint="eastAsia"/>
          <w:sz w:val="24"/>
          <w:szCs w:val="24"/>
        </w:rPr>
      </w:pPr>
      <w:r>
        <w:rPr>
          <w:rFonts w:ascii="宋体" w:eastAsia="宋体" w:hAnsi="宋体" w:cs="Times New Roman" w:hint="eastAsia"/>
          <w:sz w:val="24"/>
          <w:szCs w:val="24"/>
        </w:rPr>
        <w:t>（5）如发生因乙方或乙方雇佣人员（</w:t>
      </w:r>
      <w:r>
        <w:rPr>
          <w:rFonts w:ascii="宋体" w:eastAsia="宋体" w:hAnsi="宋体" w:cs="Times New Roman" w:hint="eastAsia"/>
          <w:sz w:val="24"/>
          <w:szCs w:val="24"/>
        </w:rPr>
        <w:t>包括第三方劳务派遣的人员）</w:t>
      </w:r>
      <w:r>
        <w:rPr>
          <w:rFonts w:ascii="宋体" w:eastAsia="宋体" w:hAnsi="宋体" w:cs="Times New Roman" w:hint="eastAsia"/>
          <w:sz w:val="24"/>
          <w:szCs w:val="24"/>
        </w:rPr>
        <w:t>的失误造成引航船艇安全事故，甲方有权暂停支付当月的管理费，待安全事故处理结果再行决定如何支付该月管理费。</w:t>
      </w:r>
    </w:p>
    <w:p>
      <w:pPr>
        <w:tabs>
          <w:tab w:val="left" w:pos="0"/>
        </w:tabs>
        <w:adjustRightInd w:val="0"/>
        <w:snapToGrid w:val="0"/>
        <w:spacing w:line="300" w:lineRule="auto"/>
        <w:ind w:firstLine="555"/>
        <w:rPr>
          <w:rFonts w:ascii="宋体" w:eastAsia="宋体" w:hAnsi="宋体" w:hint="eastAsia"/>
          <w:sz w:val="24"/>
          <w:szCs w:val="24"/>
          <w:lang w:val="en-US" w:eastAsia="zh-CN"/>
        </w:rPr>
      </w:pPr>
      <w:r>
        <w:rPr>
          <w:rFonts w:ascii="宋体" w:eastAsia="宋体" w:hAnsi="宋体" w:hint="eastAsia"/>
          <w:sz w:val="24"/>
          <w:szCs w:val="24"/>
        </w:rPr>
        <w:t>（</w:t>
      </w:r>
      <w:r>
        <w:rPr>
          <w:rFonts w:ascii="宋体" w:eastAsia="宋体" w:hAnsi="宋体" w:hint="eastAsia"/>
          <w:sz w:val="24"/>
          <w:szCs w:val="24"/>
          <w:lang w:val="en-US" w:eastAsia="zh-CN"/>
        </w:rPr>
        <w:t>6</w:t>
      </w:r>
      <w:r>
        <w:rPr>
          <w:rFonts w:ascii="宋体" w:eastAsia="宋体" w:hAnsi="宋体" w:hint="eastAsia"/>
          <w:sz w:val="24"/>
          <w:szCs w:val="24"/>
        </w:rPr>
        <w:t>）</w:t>
      </w:r>
      <w:bookmarkStart w:id="56" w:name="OLE_LINK16"/>
      <w:bookmarkEnd w:id="56"/>
      <w:bookmarkStart w:id="57" w:name="OLE_LINK15"/>
      <w:bookmarkEnd w:id="57"/>
      <w:r>
        <w:rPr>
          <w:rFonts w:ascii="宋体" w:eastAsia="宋体" w:hAnsi="宋体" w:hint="eastAsia"/>
          <w:sz w:val="24"/>
          <w:szCs w:val="24"/>
        </w:rPr>
        <w:t>收款账户：</w:t>
      </w:r>
      <w:r>
        <w:rPr>
          <w:rFonts w:ascii="宋体" w:eastAsia="宋体" w:hAnsi="宋体" w:hint="eastAsia"/>
          <w:sz w:val="24"/>
          <w:szCs w:val="24"/>
          <w:lang w:val="en-US" w:eastAsia="zh-CN"/>
        </w:rPr>
        <w:t xml:space="preserve">  </w:t>
      </w:r>
    </w:p>
    <w:p>
      <w:pPr>
        <w:tabs>
          <w:tab w:val="left" w:pos="0"/>
        </w:tabs>
        <w:adjustRightInd w:val="0"/>
        <w:snapToGrid w:val="0"/>
        <w:spacing w:line="300" w:lineRule="auto"/>
        <w:ind w:firstLine="960" w:firstLineChars="400"/>
        <w:rPr>
          <w:rFonts w:ascii="宋体" w:eastAsia="宋体" w:hAnsi="宋体" w:hint="eastAsia"/>
          <w:sz w:val="24"/>
          <w:szCs w:val="24"/>
          <w:lang w:val="en-US" w:eastAsia="zh-CN"/>
        </w:rPr>
      </w:pPr>
      <w:r>
        <w:rPr>
          <w:rFonts w:ascii="宋体" w:eastAsia="宋体" w:hAnsi="宋体" w:hint="eastAsia"/>
          <w:sz w:val="24"/>
          <w:szCs w:val="24"/>
        </w:rPr>
        <w:t>开户银行：</w:t>
      </w:r>
      <w:r>
        <w:rPr>
          <w:rFonts w:ascii="宋体" w:eastAsia="宋体" w:hAnsi="宋体" w:hint="eastAsia"/>
          <w:sz w:val="24"/>
          <w:szCs w:val="24"/>
          <w:lang w:val="en-US" w:eastAsia="zh-CN"/>
        </w:rPr>
        <w:t xml:space="preserve"> </w:t>
      </w:r>
    </w:p>
    <w:p>
      <w:pPr>
        <w:tabs>
          <w:tab w:val="left" w:pos="0"/>
        </w:tabs>
        <w:adjustRightInd w:val="0"/>
        <w:snapToGrid w:val="0"/>
        <w:spacing w:line="300" w:lineRule="auto"/>
        <w:ind w:firstLine="960" w:firstLineChars="400"/>
        <w:rPr>
          <w:rFonts w:ascii="宋体" w:eastAsia="宋体" w:hAnsi="宋体" w:hint="eastAsia"/>
          <w:sz w:val="24"/>
          <w:szCs w:val="24"/>
          <w:lang w:val="en-US" w:eastAsia="zh-CN"/>
        </w:rPr>
      </w:pPr>
      <w:r>
        <w:rPr>
          <w:rFonts w:ascii="宋体" w:eastAsia="宋体" w:hAnsi="宋体" w:hint="eastAsia"/>
          <w:sz w:val="24"/>
          <w:szCs w:val="24"/>
        </w:rPr>
        <w:t>银行账号：</w:t>
      </w:r>
      <w:r>
        <w:rPr>
          <w:rFonts w:ascii="宋体" w:eastAsia="宋体" w:hAnsi="宋体" w:hint="eastAsia"/>
          <w:sz w:val="24"/>
          <w:szCs w:val="24"/>
          <w:lang w:val="en-US" w:eastAsia="zh-CN"/>
        </w:rPr>
        <w:t xml:space="preserve"> </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w:t>
      </w:r>
      <w:r>
        <w:rPr>
          <w:rFonts w:ascii="宋体" w:eastAsia="宋体" w:hAnsi="宋体" w:hint="eastAsia"/>
          <w:sz w:val="24"/>
          <w:szCs w:val="24"/>
          <w:lang w:val="en-US" w:eastAsia="zh-CN"/>
        </w:rPr>
        <w:t>7</w:t>
      </w:r>
      <w:r>
        <w:rPr>
          <w:rFonts w:ascii="宋体" w:eastAsia="宋体" w:hAnsi="宋体" w:hint="eastAsia"/>
          <w:sz w:val="24"/>
          <w:szCs w:val="24"/>
        </w:rPr>
        <w:t>）本合同所约定的价款支付时间仅指甲方向深圳市财政部门申请支付的时间，因财政原因导致的延迟付款，甲方不承担违约责任；如乙方延期提供发票的，甲方有权延期付款。</w:t>
      </w:r>
    </w:p>
    <w:p>
      <w:pPr>
        <w:tabs>
          <w:tab w:val="left" w:pos="0"/>
        </w:tabs>
        <w:adjustRightInd/>
        <w:snapToGrid w:val="0"/>
        <w:spacing w:line="300" w:lineRule="auto"/>
        <w:ind w:firstLine="555" w:firstLineChars="0"/>
        <w:rPr>
          <w:rFonts w:ascii="宋体" w:eastAsia="宋体" w:hAnsi="宋体" w:cs="Times New Roman" w:hint="eastAsia"/>
          <w:bCs w:val="0"/>
          <w:kern w:val="0"/>
          <w:sz w:val="24"/>
          <w:szCs w:val="24"/>
        </w:rPr>
      </w:pPr>
      <w:r>
        <w:rPr>
          <w:rFonts w:ascii="宋体" w:eastAsia="宋体" w:hAnsi="宋体" w:cs="Times New Roman" w:hint="eastAsia"/>
          <w:bCs w:val="0"/>
          <w:kern w:val="0"/>
          <w:sz w:val="24"/>
          <w:szCs w:val="24"/>
        </w:rPr>
        <w:t>第</w:t>
      </w:r>
      <w:r>
        <w:rPr>
          <w:rFonts w:ascii="宋体" w:eastAsia="宋体" w:hAnsi="宋体" w:cs="Times New Roman" w:hint="eastAsia"/>
          <w:bCs w:val="0"/>
          <w:kern w:val="0"/>
          <w:sz w:val="24"/>
          <w:szCs w:val="24"/>
          <w:lang w:eastAsia="zh-CN"/>
        </w:rPr>
        <w:t>八</w:t>
      </w:r>
      <w:r>
        <w:rPr>
          <w:rFonts w:ascii="宋体" w:eastAsia="宋体" w:hAnsi="宋体" w:cs="Times New Roman" w:hint="eastAsia"/>
          <w:bCs w:val="0"/>
          <w:kern w:val="0"/>
          <w:sz w:val="24"/>
          <w:szCs w:val="24"/>
        </w:rPr>
        <w:t>条</w:t>
      </w:r>
      <w:r>
        <w:rPr>
          <w:rFonts w:ascii="宋体" w:eastAsia="宋体" w:hAnsi="宋体" w:cs="Times New Roman" w:hint="eastAsia"/>
          <w:bCs w:val="0"/>
          <w:kern w:val="0"/>
          <w:sz w:val="24"/>
          <w:szCs w:val="24"/>
          <w:lang w:val="en-US" w:eastAsia="zh-CN"/>
        </w:rPr>
        <w:t xml:space="preserve"> </w:t>
      </w:r>
      <w:r>
        <w:rPr>
          <w:rFonts w:ascii="宋体" w:eastAsia="宋体" w:hAnsi="宋体" w:cs="Times New Roman" w:hint="eastAsia"/>
          <w:bCs w:val="0"/>
          <w:kern w:val="0"/>
          <w:sz w:val="24"/>
          <w:szCs w:val="24"/>
        </w:rPr>
        <w:t>服务目标要求</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1.乙方应保证服务期间引航船艇安全、适航，保证符合安全主管部门（包括但不限于海事主管部门）对船舶海务、机务安全管理的要求，不发生任何安全责任事故、无人员伤亡。</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2.乙方应保证引航船艇满足可营运要求，即保证船艇具有良好的技术状态、满足海事局规定的营运最低配员要求、持有有效的相关证书。</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3.乙方保证按甲方招标文件规定的</w:t>
      </w:r>
      <w:bookmarkStart w:id="58" w:name="_Hlk70601056"/>
      <w:r>
        <w:rPr>
          <w:rFonts w:ascii="宋体" w:eastAsia="宋体" w:hAnsi="宋体" w:cs="Times New Roman" w:hint="eastAsia"/>
          <w:kern w:val="0"/>
          <w:sz w:val="24"/>
          <w:szCs w:val="24"/>
        </w:rPr>
        <w:t>船艇停航</w:t>
      </w:r>
      <w:bookmarkEnd w:id="58"/>
      <w:r>
        <w:rPr>
          <w:rFonts w:ascii="宋体" w:eastAsia="宋体" w:hAnsi="宋体" w:cs="Times New Roman" w:hint="eastAsia"/>
          <w:kern w:val="0"/>
          <w:sz w:val="24"/>
          <w:szCs w:val="24"/>
        </w:rPr>
        <w:t>时间及要求，合理控制、妥善安排每艘船艇停航修理时间，不得耽误船艇可营运时间。</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4.乙方保证服务期间不发生海事、边防、公安等政府机关滞留、查封、扣押引航船艇的事情。</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5. 乙方保证提供优质服务，任务完成率不低于99.8%；客户（包括引航员、引航站管理人员、大船、码头管理人员等）有效投诉率（投诉次数/作业艘次）低于0.5%。</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第</w:t>
      </w:r>
      <w:r>
        <w:rPr>
          <w:rFonts w:ascii="宋体" w:eastAsia="宋体" w:hAnsi="宋体" w:cs="Times New Roman" w:hint="eastAsia"/>
          <w:kern w:val="0"/>
          <w:sz w:val="24"/>
          <w:szCs w:val="24"/>
          <w:lang w:eastAsia="zh-CN"/>
        </w:rPr>
        <w:t>九</w:t>
      </w:r>
      <w:r>
        <w:rPr>
          <w:rFonts w:ascii="宋体" w:eastAsia="宋体" w:hAnsi="宋体" w:cs="Times New Roman" w:hint="eastAsia"/>
          <w:kern w:val="0"/>
          <w:sz w:val="24"/>
          <w:szCs w:val="24"/>
        </w:rPr>
        <w:t>条 服务质量考核</w:t>
      </w:r>
    </w:p>
    <w:p>
      <w:pPr>
        <w:tabs>
          <w:tab w:val="left" w:pos="0"/>
        </w:tabs>
        <w:adjustRightInd w:val="0"/>
        <w:snapToGrid w:val="0"/>
        <w:spacing w:line="300" w:lineRule="auto"/>
        <w:ind w:firstLine="555"/>
        <w:rPr>
          <w:rFonts w:ascii="宋体" w:eastAsia="宋体" w:hAnsi="宋体" w:cs="Times New Roman" w:hint="eastAsia"/>
          <w:kern w:val="0"/>
          <w:sz w:val="24"/>
          <w:szCs w:val="24"/>
        </w:rPr>
      </w:pPr>
      <w:r>
        <w:rPr>
          <w:rFonts w:ascii="宋体" w:eastAsia="宋体" w:hAnsi="宋体" w:cs="Times New Roman" w:hint="eastAsia"/>
          <w:kern w:val="0"/>
          <w:sz w:val="24"/>
          <w:szCs w:val="24"/>
        </w:rPr>
        <w:t>1.甲方依据有关公约、法规及《</w:t>
      </w:r>
      <w:r>
        <w:rPr>
          <w:rFonts w:ascii="宋体" w:eastAsia="宋体" w:hAnsi="宋体" w:hint="eastAsia"/>
          <w:sz w:val="24"/>
          <w:szCs w:val="24"/>
        </w:rPr>
        <w:t>深圳港引航站船艇管理服务外包公司综合管理水平考核评分表</w:t>
      </w:r>
      <w:r>
        <w:rPr>
          <w:rFonts w:ascii="宋体" w:eastAsia="宋体" w:hAnsi="宋体" w:cs="Times New Roman" w:hint="eastAsia"/>
          <w:kern w:val="0"/>
          <w:sz w:val="24"/>
          <w:szCs w:val="24"/>
        </w:rPr>
        <w:t>》，</w:t>
      </w:r>
      <w:r>
        <w:rPr>
          <w:rFonts w:ascii="宋体" w:eastAsia="宋体" w:hAnsi="宋体" w:cs="Times New Roman" w:hint="eastAsia"/>
          <w:kern w:val="0"/>
          <w:sz w:val="24"/>
          <w:szCs w:val="24"/>
          <w:lang w:eastAsia="zh-CN"/>
        </w:rPr>
        <w:t>于</w:t>
      </w:r>
      <w:r>
        <w:rPr>
          <w:rFonts w:ascii="宋体" w:eastAsia="宋体" w:hAnsi="宋体" w:cs="Times New Roman" w:hint="eastAsia"/>
          <w:kern w:val="0"/>
          <w:sz w:val="24"/>
          <w:szCs w:val="24"/>
        </w:rPr>
        <w:t>202</w:t>
      </w:r>
      <w:r>
        <w:rPr>
          <w:rFonts w:ascii="宋体" w:eastAsia="宋体" w:hAnsi="宋体" w:cs="Times New Roman" w:hint="eastAsia"/>
          <w:kern w:val="0"/>
          <w:sz w:val="24"/>
          <w:szCs w:val="24"/>
        </w:rPr>
        <w:t>5</w:t>
      </w:r>
      <w:r>
        <w:rPr>
          <w:rFonts w:ascii="宋体" w:eastAsia="宋体" w:hAnsi="宋体" w:cs="Times New Roman" w:hint="eastAsia"/>
          <w:kern w:val="0"/>
          <w:sz w:val="24"/>
          <w:szCs w:val="24"/>
        </w:rPr>
        <w:t>年</w:t>
      </w:r>
      <w:r>
        <w:rPr>
          <w:rFonts w:ascii="宋体" w:eastAsia="宋体" w:hAnsi="宋体" w:cs="Times New Roman" w:hint="eastAsia"/>
          <w:kern w:val="0"/>
          <w:sz w:val="24"/>
          <w:szCs w:val="24"/>
        </w:rPr>
        <w:t>3</w:t>
      </w:r>
      <w:r>
        <w:rPr>
          <w:rFonts w:ascii="宋体" w:eastAsia="宋体" w:hAnsi="宋体" w:cs="Times New Roman" w:hint="eastAsia"/>
          <w:kern w:val="0"/>
          <w:sz w:val="24"/>
          <w:szCs w:val="24"/>
        </w:rPr>
        <w:t>月末、</w:t>
      </w:r>
      <w:r>
        <w:rPr>
          <w:rFonts w:ascii="宋体" w:eastAsia="宋体" w:hAnsi="宋体" w:cs="Times New Roman" w:hint="eastAsia"/>
          <w:kern w:val="0"/>
          <w:sz w:val="24"/>
          <w:szCs w:val="24"/>
        </w:rPr>
        <w:t>6</w:t>
      </w:r>
      <w:r>
        <w:rPr>
          <w:rFonts w:ascii="宋体" w:eastAsia="宋体" w:hAnsi="宋体" w:cs="Times New Roman" w:hint="eastAsia"/>
          <w:kern w:val="0"/>
          <w:sz w:val="24"/>
          <w:szCs w:val="24"/>
        </w:rPr>
        <w:t>月末、</w:t>
      </w:r>
      <w:r>
        <w:rPr>
          <w:rFonts w:ascii="宋体" w:eastAsia="宋体" w:hAnsi="宋体" w:cs="Times New Roman" w:hint="eastAsia"/>
          <w:kern w:val="0"/>
          <w:sz w:val="24"/>
          <w:szCs w:val="24"/>
        </w:rPr>
        <w:t>9</w:t>
      </w:r>
      <w:r>
        <w:rPr>
          <w:rFonts w:ascii="宋体" w:eastAsia="宋体" w:hAnsi="宋体" w:cs="Times New Roman" w:hint="eastAsia"/>
          <w:kern w:val="0"/>
          <w:sz w:val="24"/>
          <w:szCs w:val="24"/>
        </w:rPr>
        <w:t>月</w:t>
      </w:r>
      <w:r>
        <w:rPr>
          <w:rFonts w:ascii="宋体" w:eastAsia="宋体" w:hAnsi="宋体" w:cs="Times New Roman" w:hint="eastAsia"/>
          <w:kern w:val="0"/>
          <w:sz w:val="24"/>
          <w:szCs w:val="24"/>
          <w:lang w:eastAsia="zh-CN"/>
        </w:rPr>
        <w:t>末和</w:t>
      </w:r>
      <w:r>
        <w:rPr>
          <w:rFonts w:ascii="宋体" w:eastAsia="宋体" w:hAnsi="宋体" w:cs="Times New Roman" w:hint="eastAsia"/>
          <w:kern w:val="0"/>
          <w:sz w:val="24"/>
          <w:szCs w:val="24"/>
          <w:lang w:val="en-US" w:eastAsia="zh-CN"/>
        </w:rPr>
        <w:t>12月</w:t>
      </w:r>
      <w:r>
        <w:rPr>
          <w:rFonts w:ascii="宋体" w:eastAsia="宋体" w:hAnsi="宋体" w:cs="Times New Roman" w:hint="eastAsia"/>
          <w:kern w:val="0"/>
          <w:sz w:val="24"/>
          <w:szCs w:val="24"/>
        </w:rPr>
        <w:t>上旬</w:t>
      </w:r>
      <w:r>
        <w:rPr>
          <w:rFonts w:ascii="宋体" w:eastAsia="宋体" w:hAnsi="宋体" w:cs="Times New Roman" w:hint="eastAsia"/>
          <w:kern w:val="0"/>
          <w:sz w:val="24"/>
          <w:szCs w:val="24"/>
          <w:lang w:eastAsia="zh-CN"/>
        </w:rPr>
        <w:t>甲</w:t>
      </w:r>
      <w:r>
        <w:rPr>
          <w:rFonts w:ascii="宋体" w:eastAsia="宋体" w:hAnsi="宋体" w:cs="Times New Roman" w:hint="eastAsia"/>
          <w:kern w:val="0"/>
          <w:sz w:val="24"/>
          <w:szCs w:val="24"/>
        </w:rPr>
        <w:t>方组织人员对</w:t>
      </w:r>
      <w:r>
        <w:rPr>
          <w:rFonts w:ascii="宋体" w:eastAsia="宋体" w:hAnsi="宋体" w:cs="Times New Roman" w:hint="eastAsia"/>
          <w:kern w:val="0"/>
          <w:sz w:val="24"/>
          <w:szCs w:val="24"/>
          <w:lang w:eastAsia="zh-CN"/>
        </w:rPr>
        <w:t>乙</w:t>
      </w:r>
      <w:r>
        <w:rPr>
          <w:rFonts w:ascii="宋体" w:eastAsia="宋体" w:hAnsi="宋体" w:cs="Times New Roman" w:hint="eastAsia"/>
          <w:kern w:val="0"/>
          <w:sz w:val="24"/>
          <w:szCs w:val="24"/>
        </w:rPr>
        <w:t>方的管理服务进行考核</w:t>
      </w:r>
      <w:r>
        <w:rPr>
          <w:rFonts w:ascii="宋体" w:eastAsia="宋体" w:hAnsi="宋体" w:cs="Times New Roman" w:hint="eastAsia"/>
          <w:kern w:val="0"/>
          <w:sz w:val="24"/>
          <w:szCs w:val="24"/>
          <w:lang w:eastAsia="zh-CN"/>
        </w:rPr>
        <w:t>。</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cs="Times New Roman" w:hint="eastAsia"/>
          <w:kern w:val="0"/>
          <w:sz w:val="24"/>
          <w:szCs w:val="24"/>
        </w:rPr>
        <w:t>2.考核结果采用100分制，90分以上（含90分）为优秀，80分以上（含80分）为合格，船艇管理服务费百分之百支付；考核结果低于80分（不含80分）的，每少1分，扣除船艇管理费用5000元</w:t>
      </w:r>
      <w:r>
        <w:rPr>
          <w:rFonts w:ascii="宋体" w:eastAsia="宋体" w:hAnsi="宋体" w:hint="eastAsia"/>
          <w:sz w:val="24"/>
          <w:szCs w:val="24"/>
        </w:rPr>
        <w:t>，船员费用必须用于船员，扣除费用从管理费中扣除。</w:t>
      </w:r>
    </w:p>
    <w:p>
      <w:pPr>
        <w:tabs>
          <w:tab w:val="left" w:pos="0"/>
        </w:tabs>
        <w:adjustRightInd w:val="0"/>
        <w:snapToGrid w:val="0"/>
        <w:spacing w:line="300" w:lineRule="auto"/>
        <w:ind w:firstLine="555"/>
        <w:rPr>
          <w:rFonts w:ascii="宋体" w:eastAsia="宋体" w:hAnsi="宋体" w:cs="Times New Roman" w:hint="eastAsia"/>
          <w:bCs w:val="0"/>
          <w:kern w:val="0"/>
          <w:sz w:val="24"/>
          <w:szCs w:val="24"/>
        </w:rPr>
      </w:pPr>
      <w:r>
        <w:rPr>
          <w:rFonts w:ascii="宋体" w:eastAsia="宋体" w:hAnsi="宋体" w:cs="Times New Roman" w:hint="eastAsia"/>
          <w:bCs w:val="0"/>
          <w:kern w:val="0"/>
          <w:sz w:val="24"/>
          <w:szCs w:val="24"/>
        </w:rPr>
        <w:t>第</w:t>
      </w:r>
      <w:r>
        <w:rPr>
          <w:rFonts w:ascii="宋体" w:eastAsia="宋体" w:hAnsi="宋体" w:cs="Times New Roman" w:hint="eastAsia"/>
          <w:bCs w:val="0"/>
          <w:kern w:val="0"/>
          <w:sz w:val="24"/>
          <w:szCs w:val="24"/>
          <w:lang w:eastAsia="zh-CN"/>
        </w:rPr>
        <w:t>十</w:t>
      </w:r>
      <w:r>
        <w:rPr>
          <w:rFonts w:ascii="宋体" w:eastAsia="宋体" w:hAnsi="宋体" w:cs="Times New Roman" w:hint="eastAsia"/>
          <w:bCs w:val="0"/>
          <w:kern w:val="0"/>
          <w:sz w:val="24"/>
          <w:szCs w:val="24"/>
        </w:rPr>
        <w:t>条</w:t>
      </w:r>
      <w:r>
        <w:rPr>
          <w:rFonts w:ascii="宋体" w:eastAsia="宋体" w:hAnsi="宋体" w:hint="eastAsia"/>
          <w:bCs w:val="0"/>
          <w:sz w:val="24"/>
          <w:szCs w:val="24"/>
        </w:rPr>
        <w:t xml:space="preserve"> 甲方的权利和义务</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1.甲方负责船艇的调度。</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2.甲方有权对船员进行工作指挥、监督和考核；有权要求船员遵守甲方的规章制度和管理规范、规程，维持有序的劳动纪律；船员不服从甲方正常工作管理以及违反甲方劳动纪律的，甲方有权依据甲方的有关管理规定进行相应的处罚；对船员的调配有否决权。</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3.甲方有权随时对船舶进行检查，监督船艇的配员、船艇维护保养、应急训练等工作，考核船舶管理水平。</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4.甲方负责对船艇的拟维修事项确认、拟选择维修厂家的最终表决、维修单据审核、维修合同签署等事务。</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5.甲方有权对船舶管理提出相应的保障机制和措施建议。乙方有义务予以解释，并对确认的有关事项做出及时纠正或改进。</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6.甲方应按合同要求及时支付维修及管理等费用。</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7.甲方对需甲方确认的事项及时确认，因为确认不及时导致的船艇营运时间耽误由甲方负责。</w:t>
      </w:r>
    </w:p>
    <w:p>
      <w:pPr>
        <w:tabs>
          <w:tab w:val="left" w:pos="0"/>
        </w:tabs>
        <w:adjustRightInd/>
        <w:snapToGrid w:val="0"/>
        <w:spacing w:line="300" w:lineRule="auto"/>
        <w:ind w:firstLine="555" w:firstLineChars="0"/>
        <w:rPr>
          <w:rFonts w:ascii="宋体" w:eastAsia="宋体" w:hAnsi="宋体" w:hint="eastAsia"/>
          <w:bCs w:val="0"/>
          <w:sz w:val="24"/>
          <w:szCs w:val="24"/>
        </w:rPr>
      </w:pPr>
      <w:r>
        <w:rPr>
          <w:rFonts w:ascii="宋体" w:eastAsia="宋体" w:hAnsi="宋体" w:hint="eastAsia"/>
          <w:bCs w:val="0"/>
          <w:sz w:val="24"/>
          <w:szCs w:val="24"/>
        </w:rPr>
        <w:t>第十</w:t>
      </w:r>
      <w:r>
        <w:rPr>
          <w:rFonts w:ascii="宋体" w:eastAsia="宋体" w:hAnsi="宋体" w:hint="eastAsia"/>
          <w:bCs w:val="0"/>
          <w:sz w:val="24"/>
          <w:szCs w:val="24"/>
          <w:lang w:eastAsia="zh-CN"/>
        </w:rPr>
        <w:t>一</w:t>
      </w:r>
      <w:r>
        <w:rPr>
          <w:rFonts w:ascii="宋体" w:eastAsia="宋体" w:hAnsi="宋体" w:hint="eastAsia"/>
          <w:bCs w:val="0"/>
          <w:sz w:val="24"/>
          <w:szCs w:val="24"/>
        </w:rPr>
        <w:t>条 乙方权利和义务</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1.服务期内，乙方应保证船舶的安全、适航，能满足船级社及海事局检查的基本要求；并应对船艇及船舶备件、物料等船艇财产的安全承担值守、看管等保管义务。</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2.在不妨碍船长独立行使法定义务和权利的前提下，乙方对船舶安全和防污染的事务有决定权。但如果涉及弃船，除非紧急，应先征求甲方意见。</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3.乙方应当保证管理的所有船艇等法定证书在有效期之内，在有效期届满之前应当及时更换。</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4.乙方负责制定船舶修理计划（年度维修）、修理单审核、编制、询价；乙方应将报价单综合后并形成意见报给甲方。经甲方批准认可后，乙方可受甲方委托并全权负责实施。年度维修须由甲方负责公开招标，船舶进厂修理的合同由甲方直接与船厂签署。船舶厂修费用由甲方承担。</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5.乙方负责审批船舶抢修/航修单、经甲方认可后安排修理（必须符合甲方财务管理规定），相关费用由甲方负责对外结算。乙方督导船舶之维修保养、检验、修理和改造等事项，以确保船舶符合相关法律法规之要求以及船级社的所有要求和建议。在乙方认为有必要时，聘请第三方验船师，因此而产生之有关费用由甲方支付。</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6.乙方负责船员调配，对船员进行面试、录用和解聘等工作，同时对船员的工作和行为进行监督和检查，以符合乙方对船舶的管理要求。</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7.乙方负责船员岗前培训、登轮培训、航海职业培训及船员的专业技能、岗位适任培训以及相应职务要求的知识更新培训等工作。</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8.乙方每月初应向甲方书面报告上月船舶技术状况、船员状况、船艇管理以及外包费用支付等事宜。</w:t>
      </w:r>
    </w:p>
    <w:p>
      <w:pPr>
        <w:tabs>
          <w:tab w:val="left" w:pos="0"/>
        </w:tabs>
        <w:adjustRightInd w:val="0"/>
        <w:snapToGrid w:val="0"/>
        <w:spacing w:line="300" w:lineRule="auto"/>
        <w:ind w:firstLine="555"/>
        <w:rPr>
          <w:rFonts w:ascii="宋体" w:eastAsia="宋体" w:hAnsi="宋体" w:cs="Times New Roman" w:hint="eastAsia"/>
          <w:sz w:val="24"/>
          <w:szCs w:val="24"/>
          <w:shd w:val="clear" w:color="auto" w:fill="FFFFFF"/>
        </w:rPr>
      </w:pPr>
      <w:r>
        <w:rPr>
          <w:rFonts w:ascii="宋体" w:eastAsia="宋体" w:hAnsi="宋体" w:hint="eastAsia"/>
          <w:sz w:val="24"/>
          <w:szCs w:val="24"/>
        </w:rPr>
        <w:t>9. 乙方的</w:t>
      </w:r>
      <w:r>
        <w:rPr>
          <w:rFonts w:ascii="宋体" w:eastAsia="宋体" w:hAnsi="宋体" w:cs="Times New Roman" w:hint="eastAsia"/>
          <w:sz w:val="24"/>
          <w:szCs w:val="24"/>
          <w:shd w:val="clear" w:color="auto" w:fill="FFFFFF"/>
        </w:rPr>
        <w:t>海务管理、机务管理必须满足国际公约及国内相关法规、规章、制度等的要求。</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10.甲方对乙方或船舶检查后提出问题和质询，乙方有义务予以解释，并对确认的有关事项做出及时纠正或改进。</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11.未经甲方书面认可，乙方不得对船舶的机械设备、舱室、结构等进行更换和改造。乙方应对船舶财产，包括船舶备件、物料等进行严格管理。</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12.乙方应与甲方或其委托的经营代理人保持良好的沟通和配合，使之提高船舶营运安全和提高营运效率和效益。</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13.乙方承担防疫责任、组织船艇做好防疫工作。</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第十</w:t>
      </w:r>
      <w:r>
        <w:rPr>
          <w:rFonts w:ascii="宋体" w:eastAsia="宋体" w:hAnsi="宋体" w:hint="eastAsia"/>
          <w:sz w:val="24"/>
          <w:szCs w:val="24"/>
          <w:lang w:eastAsia="zh-CN"/>
        </w:rPr>
        <w:t>二</w:t>
      </w:r>
      <w:r>
        <w:rPr>
          <w:rFonts w:ascii="宋体" w:eastAsia="宋体" w:hAnsi="宋体" w:hint="eastAsia"/>
          <w:sz w:val="24"/>
          <w:szCs w:val="24"/>
        </w:rPr>
        <w:t>条 特别约定</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1.甲方采购的是引航船艇管理服务，船艇船员与乙方或第三方劳务派遣单位建立劳动关系；甲方与船员不存在用工关系，也不存在劳动合同关系及雇佣关系。</w:t>
      </w:r>
    </w:p>
    <w:p>
      <w:pPr>
        <w:tabs>
          <w:tab w:val="left" w:pos="0"/>
        </w:tabs>
        <w:adjustRightInd w:val="0"/>
        <w:snapToGrid w:val="0"/>
        <w:spacing w:line="300" w:lineRule="auto"/>
        <w:ind w:firstLine="555"/>
        <w:rPr>
          <w:rFonts w:ascii="宋体" w:eastAsia="宋体" w:hAnsi="宋体" w:hint="eastAsia"/>
          <w:sz w:val="24"/>
          <w:szCs w:val="24"/>
        </w:rPr>
      </w:pPr>
      <w:r>
        <w:rPr>
          <w:rFonts w:ascii="宋体" w:eastAsia="宋体" w:hAnsi="宋体" w:hint="eastAsia"/>
          <w:sz w:val="24"/>
          <w:szCs w:val="24"/>
        </w:rPr>
        <w:t>2.因乙方或船员的违法或渎职行为导致甲方的损失，包括但不限于造成船艇本身损失、他人人身、财产安全受到侵害以及船舶导致的环境污染，乙方</w:t>
      </w:r>
      <w:r>
        <w:rPr>
          <w:rFonts w:ascii="宋体" w:eastAsia="宋体" w:hAnsi="宋体" w:hint="eastAsia"/>
          <w:sz w:val="24"/>
          <w:szCs w:val="24"/>
        </w:rPr>
        <w:t>需</w:t>
      </w:r>
      <w:r>
        <w:rPr>
          <w:rFonts w:ascii="宋体" w:eastAsia="宋体" w:hAnsi="宋体" w:hint="eastAsia"/>
          <w:sz w:val="24"/>
          <w:szCs w:val="24"/>
        </w:rPr>
        <w:t>承担甲方全部损失，乙方承担相关责任后有权向实际责任方追责。</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3.船员若因意外事故、工伤或其他原因发生病、伤、残、亡等情形，均由乙方负责处理并承担相关费用。若船员（或船员家属）起诉甲方或甲方因此而承担责任的，乙方应赔偿甲方为此承担的费用且甲方可以在应支付的服务外包费用中扣除，乙方承担相关责任后有权向实际责任方追责。</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4. 乙方或乙方有合作关系的第三方应依法与船员建立劳动关系，依法为船员缴纳社保、公积金、发放工资等，未能按时发放工资及其他费用（社保、住宿、福利等）等违反劳动法律法规行为引发劳动争议导致赔偿、补偿、税负增加等一切经济和法律责任均由乙方自行承担，与甲方无关。</w:t>
      </w:r>
    </w:p>
    <w:p>
      <w:pPr>
        <w:tabs>
          <w:tab w:val="left" w:pos="0"/>
        </w:tabs>
        <w:adjustRightInd/>
        <w:snapToGrid w:val="0"/>
        <w:spacing w:line="300" w:lineRule="auto"/>
        <w:ind w:firstLine="555" w:firstLineChars="0"/>
        <w:rPr>
          <w:rFonts w:ascii="宋体" w:eastAsia="宋体" w:hAnsi="宋体" w:hint="eastAsia"/>
          <w:bCs w:val="0"/>
          <w:sz w:val="24"/>
          <w:szCs w:val="24"/>
        </w:rPr>
      </w:pPr>
      <w:r>
        <w:rPr>
          <w:rFonts w:ascii="宋体" w:eastAsia="宋体" w:hAnsi="宋体" w:hint="eastAsia"/>
          <w:bCs w:val="0"/>
          <w:sz w:val="24"/>
          <w:szCs w:val="24"/>
        </w:rPr>
        <w:t>第十</w:t>
      </w:r>
      <w:r>
        <w:rPr>
          <w:rFonts w:ascii="宋体" w:eastAsia="宋体" w:hAnsi="宋体" w:hint="eastAsia"/>
          <w:bCs w:val="0"/>
          <w:sz w:val="24"/>
          <w:szCs w:val="24"/>
          <w:lang w:eastAsia="zh-CN"/>
        </w:rPr>
        <w:t>三</w:t>
      </w:r>
      <w:r>
        <w:rPr>
          <w:rFonts w:ascii="宋体" w:eastAsia="宋体" w:hAnsi="宋体" w:hint="eastAsia"/>
          <w:bCs w:val="0"/>
          <w:sz w:val="24"/>
          <w:szCs w:val="24"/>
        </w:rPr>
        <w:t>条 违约责任</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1.</w:t>
      </w:r>
      <w:r>
        <w:rPr>
          <w:rFonts w:ascii="宋体" w:eastAsia="宋体" w:hAnsi="宋体" w:hint="eastAsia"/>
          <w:sz w:val="24"/>
          <w:szCs w:val="24"/>
        </w:rPr>
        <w:t>乙方</w:t>
      </w:r>
      <w:r>
        <w:rPr>
          <w:rFonts w:ascii="宋体" w:eastAsia="宋体" w:hAnsi="宋体" w:cs="Times New Roman" w:hint="eastAsia"/>
          <w:sz w:val="24"/>
          <w:szCs w:val="24"/>
        </w:rPr>
        <w:t>出现以下情形的（包括但不限于），</w:t>
      </w:r>
      <w:r>
        <w:rPr>
          <w:rFonts w:ascii="宋体" w:eastAsia="宋体" w:hAnsi="宋体" w:cs="Times New Roman" w:hint="eastAsia"/>
          <w:sz w:val="24"/>
          <w:szCs w:val="24"/>
        </w:rPr>
        <w:t>均</w:t>
      </w:r>
      <w:r>
        <w:rPr>
          <w:rFonts w:ascii="宋体" w:eastAsia="宋体" w:hAnsi="宋体" w:cs="Times New Roman" w:hint="eastAsia"/>
          <w:sz w:val="24"/>
          <w:szCs w:val="24"/>
        </w:rPr>
        <w:t>视为违约，需承担对甲方造成的损失，并承担合同总服务费用15%的违约金：</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（1）未按项目采购要求给各船艇配备符合资质要求的船员；</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（2）未经</w:t>
      </w:r>
      <w:r>
        <w:rPr>
          <w:rFonts w:ascii="宋体" w:eastAsia="宋体" w:hAnsi="宋体" w:cs="Times New Roman" w:hint="eastAsia"/>
          <w:sz w:val="24"/>
          <w:szCs w:val="24"/>
        </w:rPr>
        <w:t>甲</w:t>
      </w:r>
      <w:r>
        <w:rPr>
          <w:rFonts w:ascii="宋体" w:eastAsia="宋体" w:hAnsi="宋体" w:cs="Times New Roman" w:hint="eastAsia"/>
          <w:sz w:val="24"/>
          <w:szCs w:val="24"/>
        </w:rPr>
        <w:t>方允许，私自将船舶用于其他用途；</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（3）乙方承诺船员费用全部用于船员，保证船员工作的积极性，乙方如违反该项承诺，视为违约。</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乙方违反项目合同约定，给</w:t>
      </w:r>
      <w:r>
        <w:rPr>
          <w:rFonts w:ascii="宋体" w:eastAsia="宋体" w:hAnsi="宋体" w:cs="Times New Roman" w:hint="eastAsia"/>
          <w:sz w:val="24"/>
          <w:szCs w:val="24"/>
        </w:rPr>
        <w:t>甲</w:t>
      </w:r>
      <w:r>
        <w:rPr>
          <w:rFonts w:ascii="宋体" w:eastAsia="宋体" w:hAnsi="宋体" w:cs="Times New Roman" w:hint="eastAsia"/>
          <w:sz w:val="24"/>
          <w:szCs w:val="24"/>
        </w:rPr>
        <w:t>方造成的损失超过违约金的，还应承担补足责任。</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2.</w:t>
      </w:r>
      <w:r>
        <w:rPr>
          <w:rFonts w:ascii="宋体" w:eastAsia="宋体" w:hAnsi="宋体" w:cs="Times New Roman" w:hint="eastAsia"/>
          <w:sz w:val="24"/>
          <w:szCs w:val="24"/>
        </w:rPr>
        <w:t>乙方</w:t>
      </w:r>
      <w:r>
        <w:rPr>
          <w:rFonts w:ascii="宋体" w:eastAsia="宋体" w:hAnsi="宋体" w:cs="Times New Roman" w:hint="eastAsia"/>
          <w:sz w:val="24"/>
          <w:szCs w:val="24"/>
        </w:rPr>
        <w:t>擅自更换项目服务人员或不按</w:t>
      </w:r>
      <w:r>
        <w:rPr>
          <w:rFonts w:ascii="宋体" w:eastAsia="宋体" w:hAnsi="宋体" w:cs="Times New Roman" w:hint="eastAsia"/>
          <w:sz w:val="24"/>
          <w:szCs w:val="24"/>
        </w:rPr>
        <w:t>甲方</w:t>
      </w:r>
      <w:r>
        <w:rPr>
          <w:rFonts w:ascii="宋体" w:eastAsia="宋体" w:hAnsi="宋体" w:cs="Times New Roman" w:hint="eastAsia"/>
          <w:sz w:val="24"/>
          <w:szCs w:val="24"/>
        </w:rPr>
        <w:t>要求更换项目服务人员的，</w:t>
      </w:r>
      <w:r>
        <w:rPr>
          <w:rFonts w:ascii="宋体" w:eastAsia="宋体" w:hAnsi="宋体" w:cs="Times New Roman" w:hint="eastAsia"/>
          <w:sz w:val="24"/>
          <w:szCs w:val="24"/>
        </w:rPr>
        <w:t>甲</w:t>
      </w:r>
      <w:r>
        <w:rPr>
          <w:rFonts w:ascii="宋体" w:eastAsia="宋体" w:hAnsi="宋体" w:cs="Times New Roman" w:hint="eastAsia"/>
          <w:sz w:val="24"/>
          <w:szCs w:val="24"/>
        </w:rPr>
        <w:t>方有权要求</w:t>
      </w:r>
      <w:r>
        <w:rPr>
          <w:rFonts w:ascii="宋体" w:eastAsia="宋体" w:hAnsi="宋体" w:cs="Times New Roman" w:hint="eastAsia"/>
          <w:sz w:val="24"/>
          <w:szCs w:val="24"/>
        </w:rPr>
        <w:t>乙</w:t>
      </w:r>
      <w:r>
        <w:rPr>
          <w:rFonts w:ascii="宋体" w:eastAsia="宋体" w:hAnsi="宋体" w:cs="Times New Roman" w:hint="eastAsia"/>
          <w:sz w:val="24"/>
          <w:szCs w:val="24"/>
        </w:rPr>
        <w:t>方承担1万元/人次的违约金。发生3次以上（含本数）时，</w:t>
      </w:r>
      <w:r>
        <w:rPr>
          <w:rFonts w:ascii="宋体" w:eastAsia="宋体" w:hAnsi="宋体" w:cs="Times New Roman" w:hint="eastAsia"/>
          <w:sz w:val="24"/>
          <w:szCs w:val="24"/>
        </w:rPr>
        <w:t>甲</w:t>
      </w:r>
      <w:r>
        <w:rPr>
          <w:rFonts w:ascii="宋体" w:eastAsia="宋体" w:hAnsi="宋体" w:cs="Times New Roman" w:hint="eastAsia"/>
          <w:sz w:val="24"/>
          <w:szCs w:val="24"/>
        </w:rPr>
        <w:t>方有权要求</w:t>
      </w:r>
      <w:r>
        <w:rPr>
          <w:rFonts w:ascii="宋体" w:eastAsia="宋体" w:hAnsi="宋体" w:cs="Times New Roman" w:hint="eastAsia"/>
          <w:sz w:val="24"/>
          <w:szCs w:val="24"/>
        </w:rPr>
        <w:t>乙</w:t>
      </w:r>
      <w:r>
        <w:rPr>
          <w:rFonts w:ascii="宋体" w:eastAsia="宋体" w:hAnsi="宋体" w:cs="Times New Roman" w:hint="eastAsia"/>
          <w:sz w:val="24"/>
          <w:szCs w:val="24"/>
        </w:rPr>
        <w:t>方支付相当于合同总服务费用20%的违约金，并有权解除合同。</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3.乙方未按照合同约定提供</w:t>
      </w:r>
      <w:r>
        <w:rPr>
          <w:rFonts w:ascii="宋体" w:eastAsia="宋体" w:hAnsi="宋体" w:cs="Times New Roman" w:hint="eastAsia"/>
          <w:kern w:val="0"/>
          <w:sz w:val="24"/>
          <w:szCs w:val="24"/>
        </w:rPr>
        <w:t>引航船艇管理服务、</w:t>
      </w:r>
      <w:r>
        <w:rPr>
          <w:rFonts w:ascii="宋体" w:eastAsia="宋体" w:hAnsi="宋体" w:cs="Times New Roman" w:hint="eastAsia"/>
          <w:kern w:val="0"/>
          <w:sz w:val="24"/>
          <w:szCs w:val="24"/>
        </w:rPr>
        <w:t>售后服务（详见招标文件）</w:t>
      </w:r>
      <w:r>
        <w:rPr>
          <w:rFonts w:ascii="宋体" w:eastAsia="宋体" w:hAnsi="宋体" w:cs="Times New Roman" w:hint="eastAsia"/>
          <w:kern w:val="0"/>
          <w:sz w:val="24"/>
          <w:szCs w:val="24"/>
        </w:rPr>
        <w:t>的</w:t>
      </w:r>
      <w:r>
        <w:rPr>
          <w:rFonts w:ascii="宋体" w:eastAsia="宋体" w:hAnsi="宋体" w:cs="Times New Roman" w:hint="eastAsia"/>
          <w:sz w:val="24"/>
          <w:szCs w:val="24"/>
        </w:rPr>
        <w:t>，每发生一起，应当向甲方支付合同总服务费用5%的违约金，且甲方有权寻求第三方提供服务，因此发生的费用由乙方予以承担。</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4.除本合同另有约定外，乙方未经甲方书面同意，将甲方所委托完成的任何工作转包或分包给任何第三人的（不含部分船员需第三方劳务派遣单位派遣到岗的情况），甲方有权解除合同，乙方应向甲方支付相当于合同总服务费用20%的违约金。</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5.没有发生法律或者合同约定的合同解除事项，乙方解除合同的，除返还甲方全部已支付费用外，还应支付甲方合同最高总价20%的违约金。本条款不视为赋予乙方单方解除本合同的权利。因政策变化、规划调整、机构改革、履职要求、产权变更、形势变更以及公共利益需要等原因，甲方不需要乙方继续提供服务的，经甲方提前10天通知乙方，甲方有权解除本合同，这不视为甲方违约。甲方应按照乙方实际完成的合格工作量支付服务价款，此外甲方无需向乙方承担任何赔偿、补偿责任。</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6.除合同对违约责任另有约定外，乙方有任何违反合同约定的行为的，甲方有权要求乙方改正和补救，并按照合同总服务费用5%每次的标准计扣违约金。乙方拒不改正、未改正至甲方满意或累计3次（含本数）出现违约行为的，甲方有权解除合同，乙方应向甲方支付相当于合同总服务费用20%的违约金。</w:t>
      </w:r>
    </w:p>
    <w:p>
      <w:pPr>
        <w:tabs>
          <w:tab w:val="left" w:pos="0"/>
        </w:tabs>
        <w:adjustRightInd/>
        <w:snapToGrid w:val="0"/>
        <w:spacing w:line="300" w:lineRule="auto"/>
        <w:ind w:firstLine="555" w:firstLineChars="0"/>
        <w:rPr>
          <w:rFonts w:ascii="宋体" w:eastAsia="宋体" w:hAnsi="宋体" w:cs="Times New Roman" w:hint="eastAsia"/>
          <w:sz w:val="24"/>
          <w:szCs w:val="24"/>
        </w:rPr>
      </w:pPr>
      <w:r>
        <w:rPr>
          <w:rFonts w:ascii="宋体" w:eastAsia="宋体" w:hAnsi="宋体" w:cs="Times New Roman" w:hint="eastAsia"/>
          <w:sz w:val="24"/>
          <w:szCs w:val="24"/>
        </w:rPr>
        <w:t>7.乙方违反本合同，给甲方造成的损失超过违约金的，还应承担补足责任。</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8.乙方应依法妥善处理与船员的劳动关系，如船员与乙方之间发生劳动纠纷或产生赔偿责任的，由乙方负责处理与承担，如甲方因此承担连带责任的，乙方应赔偿甲方的损失，甲方并有权在应支付的服务外包费中予以扣除，乙方承担相关责任后有权向实际责任方追责。</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9.外包服务期间，因乙方或船员的原因造成第三方人身损害或财产损失的，应由乙方负责；如甲方因此而承担任何责任，甲方有权向乙方追偿并在应支付的服务外包费中扣除，乙方承担相关责任后有权向实际责任方追责。因乙方或船员的原因造成甲方船艇停航不能使用的，甲方可根据船艇停航时间，按停航船艇数量与乙方管理甲方船艇的总数的比例，扣减乙方的外包服务费。</w:t>
      </w:r>
    </w:p>
    <w:p>
      <w:pPr>
        <w:tabs>
          <w:tab w:val="left" w:pos="0"/>
        </w:tabs>
        <w:adjustRightInd w:val="0"/>
        <w:snapToGrid w:val="0"/>
        <w:spacing w:line="300" w:lineRule="auto"/>
        <w:ind w:firstLine="555"/>
        <w:jc w:val="left"/>
        <w:rPr>
          <w:rStyle w:val="DefaultParagraphFont"/>
          <w:rFonts w:ascii="宋体" w:eastAsia="宋体" w:hAnsi="宋体" w:cs="Times New Roman" w:hint="eastAsia"/>
          <w:kern w:val="0"/>
        </w:rPr>
      </w:pPr>
      <w:r>
        <w:rPr>
          <w:rFonts w:ascii="宋体" w:eastAsia="宋体" w:hAnsi="宋体" w:hint="eastAsia"/>
          <w:sz w:val="24"/>
          <w:szCs w:val="24"/>
        </w:rPr>
        <w:t>10. 如甲方无故逾期支付服务外包费用的，从逾期付款之日起每天按逾期支付金额的万分之五向乙方支付违约金。但因财政部门审批等原因导致甲方迟延支付的，甲方不承担违约责任。</w:t>
      </w:r>
    </w:p>
    <w:p>
      <w:pPr>
        <w:tabs>
          <w:tab w:val="left" w:pos="0"/>
        </w:tabs>
        <w:adjustRightInd w:val="0"/>
        <w:snapToGrid w:val="0"/>
        <w:spacing w:line="300" w:lineRule="auto"/>
        <w:ind w:firstLine="555"/>
        <w:jc w:val="left"/>
        <w:rPr>
          <w:rFonts w:ascii="宋体" w:eastAsia="宋体" w:hAnsi="宋体" w:hint="eastAsia"/>
          <w:dstrike w:val="0"/>
          <w:sz w:val="24"/>
          <w:szCs w:val="24"/>
        </w:rPr>
      </w:pPr>
      <w:r>
        <w:rPr>
          <w:rFonts w:ascii="宋体" w:eastAsia="宋体" w:hAnsi="宋体" w:hint="eastAsia"/>
          <w:sz w:val="24"/>
          <w:szCs w:val="24"/>
        </w:rPr>
        <w:t xml:space="preserve">11. </w:t>
      </w:r>
      <w:r>
        <w:rPr>
          <w:rFonts w:ascii="宋体" w:eastAsia="宋体" w:hAnsi="宋体" w:hint="eastAsia"/>
          <w:sz w:val="24"/>
          <w:szCs w:val="24"/>
        </w:rPr>
        <w:t>凡因乙方违约导致诉讼的，甲方为追究乙方责任所发生的所有费用，包括但不限于调查取证、诉讼费、公证费、律师费、差旅费等均应由乙方承担。</w:t>
      </w:r>
    </w:p>
    <w:p>
      <w:pPr>
        <w:tabs>
          <w:tab w:val="left" w:pos="0"/>
        </w:tabs>
        <w:adjustRightInd/>
        <w:snapToGrid w:val="0"/>
        <w:spacing w:line="300" w:lineRule="auto"/>
        <w:ind w:firstLine="555" w:firstLineChars="0"/>
        <w:rPr>
          <w:rFonts w:ascii="宋体" w:eastAsia="宋体" w:hAnsi="宋体" w:hint="eastAsia"/>
          <w:bCs w:val="0"/>
          <w:sz w:val="24"/>
          <w:szCs w:val="24"/>
        </w:rPr>
      </w:pPr>
      <w:r>
        <w:rPr>
          <w:rFonts w:ascii="宋体" w:eastAsia="宋体" w:hAnsi="宋体" w:hint="eastAsia"/>
          <w:bCs w:val="0"/>
          <w:sz w:val="24"/>
          <w:szCs w:val="24"/>
        </w:rPr>
        <w:t>第十</w:t>
      </w:r>
      <w:r>
        <w:rPr>
          <w:rFonts w:ascii="宋体" w:eastAsia="宋体" w:hAnsi="宋体" w:hint="eastAsia"/>
          <w:bCs w:val="0"/>
          <w:sz w:val="24"/>
          <w:szCs w:val="24"/>
          <w:lang w:eastAsia="zh-CN"/>
        </w:rPr>
        <w:t>四</w:t>
      </w:r>
      <w:r>
        <w:rPr>
          <w:rFonts w:ascii="宋体" w:eastAsia="宋体" w:hAnsi="宋体" w:hint="eastAsia"/>
          <w:bCs w:val="0"/>
          <w:sz w:val="24"/>
          <w:szCs w:val="24"/>
        </w:rPr>
        <w:t>条</w:t>
      </w:r>
      <w:r>
        <w:rPr>
          <w:rFonts w:ascii="宋体" w:eastAsia="宋体" w:hAnsi="宋体" w:hint="eastAsia"/>
          <w:bCs w:val="0"/>
          <w:sz w:val="24"/>
          <w:szCs w:val="24"/>
          <w:lang w:val="en-US" w:eastAsia="zh-CN"/>
        </w:rPr>
        <w:t xml:space="preserve"> </w:t>
      </w:r>
      <w:r>
        <w:rPr>
          <w:rFonts w:ascii="宋体" w:eastAsia="宋体" w:hAnsi="宋体" w:hint="eastAsia"/>
          <w:bCs w:val="0"/>
          <w:sz w:val="24"/>
          <w:szCs w:val="24"/>
        </w:rPr>
        <w:t>合同的终止（或解除）</w:t>
      </w:r>
    </w:p>
    <w:p>
      <w:pPr>
        <w:tabs>
          <w:tab w:val="left" w:pos="0"/>
        </w:tabs>
        <w:adjustRightInd w:val="0"/>
        <w:snapToGrid w:val="0"/>
        <w:spacing w:line="300" w:lineRule="auto"/>
        <w:ind w:firstLine="555"/>
        <w:jc w:val="left"/>
        <w:rPr>
          <w:rFonts w:ascii="宋体" w:eastAsia="宋体" w:hAnsi="宋体" w:hint="eastAsia"/>
          <w:sz w:val="24"/>
          <w:szCs w:val="24"/>
        </w:rPr>
      </w:pPr>
      <w:r>
        <w:rPr>
          <w:rFonts w:ascii="宋体" w:eastAsia="宋体" w:hAnsi="宋体" w:hint="eastAsia"/>
          <w:sz w:val="24"/>
          <w:szCs w:val="24"/>
        </w:rPr>
        <w:t>1.乙方有以下情形之一的，本合同终止：</w:t>
      </w:r>
    </w:p>
    <w:p>
      <w:pPr>
        <w:numPr>
          <w:ilvl w:val="0"/>
          <w:numId w:val="4"/>
        </w:numPr>
        <w:tabs>
          <w:tab w:val="left" w:pos="0"/>
        </w:tabs>
        <w:adjustRightInd w:val="0"/>
        <w:snapToGrid w:val="0"/>
        <w:spacing w:line="300" w:lineRule="auto"/>
        <w:ind w:firstLine="555" w:firstLineChars="0"/>
        <w:jc w:val="left"/>
        <w:rPr>
          <w:rFonts w:ascii="宋体" w:eastAsia="宋体" w:hAnsi="宋体" w:hint="eastAsia"/>
          <w:sz w:val="24"/>
          <w:szCs w:val="24"/>
        </w:rPr>
      </w:pPr>
      <w:r>
        <w:rPr>
          <w:rFonts w:ascii="宋体" w:eastAsia="宋体" w:hAnsi="宋体" w:hint="eastAsia"/>
          <w:sz w:val="24"/>
          <w:szCs w:val="24"/>
        </w:rPr>
        <w:t>严重违反合同约定的；</w:t>
      </w:r>
    </w:p>
    <w:p>
      <w:pPr>
        <w:numPr>
          <w:ilvl w:val="0"/>
          <w:numId w:val="4"/>
        </w:numPr>
        <w:tabs>
          <w:tab w:val="left" w:pos="0"/>
        </w:tabs>
        <w:adjustRightInd w:val="0"/>
        <w:snapToGrid w:val="0"/>
        <w:spacing w:line="300" w:lineRule="auto"/>
        <w:ind w:firstLine="555" w:firstLineChars="0"/>
        <w:jc w:val="left"/>
        <w:rPr>
          <w:rFonts w:ascii="宋体" w:eastAsia="宋体" w:hAnsi="宋体" w:hint="eastAsia"/>
          <w:sz w:val="24"/>
          <w:szCs w:val="24"/>
        </w:rPr>
      </w:pPr>
      <w:r>
        <w:rPr>
          <w:rFonts w:ascii="宋体" w:eastAsia="宋体" w:hAnsi="宋体" w:hint="eastAsia"/>
          <w:sz w:val="24"/>
          <w:szCs w:val="24"/>
        </w:rPr>
        <w:t>本合同期限届满；</w:t>
      </w:r>
    </w:p>
    <w:p>
      <w:pPr>
        <w:numPr>
          <w:ilvl w:val="0"/>
          <w:numId w:val="4"/>
        </w:numPr>
        <w:tabs>
          <w:tab w:val="left" w:pos="0"/>
        </w:tabs>
        <w:adjustRightInd w:val="0"/>
        <w:snapToGrid w:val="0"/>
        <w:spacing w:line="300" w:lineRule="auto"/>
        <w:ind w:firstLine="555" w:firstLineChars="0"/>
        <w:jc w:val="left"/>
        <w:rPr>
          <w:rFonts w:ascii="宋体" w:eastAsia="宋体" w:hAnsi="宋体" w:hint="eastAsia"/>
          <w:sz w:val="24"/>
          <w:szCs w:val="24"/>
        </w:rPr>
      </w:pPr>
      <w:r>
        <w:rPr>
          <w:rFonts w:ascii="宋体" w:eastAsia="宋体" w:hAnsi="宋体" w:hint="eastAsia"/>
          <w:sz w:val="24"/>
          <w:szCs w:val="24"/>
        </w:rPr>
        <w:t>甲乙双方书面协定提前终止本合同；</w:t>
      </w:r>
    </w:p>
    <w:p>
      <w:pPr>
        <w:numPr>
          <w:ilvl w:val="0"/>
          <w:numId w:val="4"/>
        </w:numPr>
        <w:tabs>
          <w:tab w:val="left" w:pos="0"/>
        </w:tabs>
        <w:adjustRightInd w:val="0"/>
        <w:snapToGrid w:val="0"/>
        <w:spacing w:line="300" w:lineRule="auto"/>
        <w:ind w:firstLine="555" w:firstLineChars="0"/>
        <w:jc w:val="left"/>
        <w:rPr>
          <w:rFonts w:ascii="宋体" w:eastAsia="宋体" w:hAnsi="宋体" w:hint="eastAsia"/>
          <w:sz w:val="24"/>
          <w:szCs w:val="24"/>
        </w:rPr>
      </w:pPr>
      <w:r>
        <w:rPr>
          <w:rFonts w:ascii="宋体" w:eastAsia="宋体" w:hAnsi="宋体" w:hint="eastAsia"/>
          <w:sz w:val="24"/>
          <w:szCs w:val="24"/>
        </w:rPr>
        <w:t>因不可抗力导致合同无法履行的。</w:t>
      </w:r>
    </w:p>
    <w:p>
      <w:pPr>
        <w:numPr>
          <w:ilvl w:val="0"/>
          <w:numId w:val="4"/>
        </w:numPr>
        <w:tabs>
          <w:tab w:val="left" w:pos="0"/>
        </w:tabs>
        <w:adjustRightInd w:val="0"/>
        <w:snapToGrid w:val="0"/>
        <w:spacing w:line="300" w:lineRule="auto"/>
        <w:ind w:firstLine="555" w:firstLineChars="0"/>
        <w:jc w:val="left"/>
        <w:rPr>
          <w:rFonts w:ascii="宋体" w:eastAsia="宋体" w:hAnsi="宋体" w:hint="eastAsia"/>
          <w:sz w:val="24"/>
          <w:szCs w:val="24"/>
        </w:rPr>
      </w:pPr>
      <w:r>
        <w:rPr>
          <w:rFonts w:ascii="宋体" w:eastAsia="宋体" w:hAnsi="宋体" w:hint="eastAsia"/>
          <w:sz w:val="24"/>
          <w:szCs w:val="24"/>
        </w:rPr>
        <w:t>本合同项下的条款内容被行业主管部门或者法院、仲裁机构认定为无效，导致本合同完全无法执行时提前终止的；</w:t>
      </w:r>
    </w:p>
    <w:p>
      <w:pPr>
        <w:numPr>
          <w:ilvl w:val="0"/>
          <w:numId w:val="4"/>
        </w:numPr>
        <w:tabs>
          <w:tab w:val="left" w:pos="0"/>
        </w:tabs>
        <w:adjustRightInd w:val="0"/>
        <w:snapToGrid w:val="0"/>
        <w:spacing w:line="300" w:lineRule="auto"/>
        <w:ind w:firstLine="555" w:firstLineChars="0"/>
        <w:jc w:val="left"/>
        <w:rPr>
          <w:rFonts w:ascii="宋体" w:eastAsia="宋体" w:hAnsi="宋体" w:hint="eastAsia"/>
          <w:sz w:val="24"/>
          <w:szCs w:val="24"/>
        </w:rPr>
      </w:pPr>
      <w:r>
        <w:rPr>
          <w:rFonts w:ascii="宋体" w:eastAsia="宋体" w:hAnsi="宋体" w:hint="eastAsia"/>
          <w:sz w:val="24"/>
          <w:szCs w:val="24"/>
        </w:rPr>
        <w:t>因法规、政策的变化或甲方上级单位负责决定而需提前终止本合同。</w:t>
      </w:r>
    </w:p>
    <w:p>
      <w:pPr>
        <w:tabs>
          <w:tab w:val="left" w:pos="0"/>
        </w:tabs>
        <w:adjustRightInd w:val="0"/>
        <w:snapToGrid w:val="0"/>
        <w:spacing w:line="300" w:lineRule="auto"/>
        <w:ind w:firstLine="555"/>
        <w:jc w:val="left"/>
        <w:rPr>
          <w:rFonts w:ascii="宋体" w:eastAsia="宋体" w:hAnsi="宋体" w:hint="eastAsia"/>
          <w:sz w:val="24"/>
          <w:szCs w:val="24"/>
        </w:rPr>
      </w:pPr>
      <w:r>
        <w:rPr>
          <w:rFonts w:ascii="宋体" w:eastAsia="宋体" w:hAnsi="宋体" w:hint="eastAsia"/>
          <w:sz w:val="24"/>
          <w:szCs w:val="24"/>
        </w:rPr>
        <w:t>2.无论因何种原因终止本合同，乙方应本着诚实信用的原则完成交接工作，甲方应及时足额支付乙方完成工作期间的全部报酬。</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第十</w:t>
      </w:r>
      <w:r>
        <w:rPr>
          <w:rFonts w:ascii="宋体" w:eastAsia="宋体" w:hAnsi="宋体" w:hint="eastAsia"/>
          <w:sz w:val="24"/>
          <w:szCs w:val="24"/>
          <w:lang w:eastAsia="zh-CN"/>
        </w:rPr>
        <w:t>五</w:t>
      </w:r>
      <w:r>
        <w:rPr>
          <w:rFonts w:ascii="宋体" w:eastAsia="宋体" w:hAnsi="宋体" w:hint="eastAsia"/>
          <w:sz w:val="24"/>
          <w:szCs w:val="24"/>
        </w:rPr>
        <w:t>条 争议解决</w:t>
      </w:r>
    </w:p>
    <w:p>
      <w:pPr>
        <w:tabs>
          <w:tab w:val="left" w:pos="0"/>
        </w:tabs>
        <w:autoSpaceDE/>
        <w:autoSpaceDN/>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凡本合同争议，甲乙双方应先友好协商。若协商解决不成，甲乙双方可依法向甲方所在地法院提起诉讼。</w:t>
      </w:r>
    </w:p>
    <w:p>
      <w:pPr>
        <w:tabs>
          <w:tab w:val="left" w:pos="0"/>
        </w:tabs>
        <w:adjustRightInd/>
        <w:snapToGrid w:val="0"/>
        <w:spacing w:line="300" w:lineRule="auto"/>
        <w:ind w:firstLine="555" w:firstLineChars="0"/>
        <w:jc w:val="left"/>
        <w:rPr>
          <w:rFonts w:ascii="宋体" w:eastAsia="宋体" w:hAnsi="宋体" w:hint="eastAsia"/>
          <w:bCs w:val="0"/>
          <w:sz w:val="24"/>
          <w:szCs w:val="24"/>
        </w:rPr>
      </w:pPr>
      <w:r>
        <w:rPr>
          <w:rFonts w:ascii="宋体" w:eastAsia="宋体" w:hAnsi="宋体" w:hint="eastAsia"/>
          <w:bCs w:val="0"/>
          <w:sz w:val="24"/>
          <w:szCs w:val="24"/>
        </w:rPr>
        <w:t>第十</w:t>
      </w:r>
      <w:r>
        <w:rPr>
          <w:rFonts w:ascii="宋体" w:eastAsia="宋体" w:hAnsi="宋体" w:hint="eastAsia"/>
          <w:bCs w:val="0"/>
          <w:sz w:val="24"/>
          <w:szCs w:val="24"/>
          <w:lang w:eastAsia="zh-CN"/>
        </w:rPr>
        <w:t>六</w:t>
      </w:r>
      <w:r>
        <w:rPr>
          <w:rFonts w:ascii="宋体" w:eastAsia="宋体" w:hAnsi="宋体" w:hint="eastAsia"/>
          <w:bCs w:val="0"/>
          <w:sz w:val="24"/>
          <w:szCs w:val="24"/>
        </w:rPr>
        <w:t>条 其它</w:t>
      </w:r>
    </w:p>
    <w:p>
      <w:pPr>
        <w:tabs>
          <w:tab w:val="left" w:pos="0"/>
        </w:tabs>
        <w:adjustRightInd w:val="0"/>
        <w:snapToGrid w:val="0"/>
        <w:spacing w:line="300" w:lineRule="auto"/>
        <w:ind w:firstLine="555"/>
        <w:jc w:val="left"/>
        <w:rPr>
          <w:rFonts w:ascii="宋体" w:eastAsia="宋体" w:hAnsi="宋体" w:hint="eastAsia"/>
          <w:sz w:val="24"/>
          <w:szCs w:val="24"/>
        </w:rPr>
      </w:pPr>
      <w:r>
        <w:rPr>
          <w:rFonts w:ascii="宋体" w:eastAsia="宋体" w:hAnsi="宋体" w:hint="eastAsia"/>
          <w:sz w:val="24"/>
          <w:szCs w:val="24"/>
        </w:rPr>
        <w:t>1.本次甲方招标文件及附件（招标编号：</w:t>
      </w:r>
      <w:r>
        <w:rPr>
          <w:rFonts w:ascii="宋体" w:eastAsia="宋体" w:hAnsi="宋体" w:hint="eastAsia"/>
          <w:sz w:val="24"/>
          <w:szCs w:val="24"/>
          <w:lang w:val="en-US" w:eastAsia="zh-CN"/>
        </w:rPr>
        <w:t xml:space="preserve">        </w:t>
      </w:r>
      <w:r>
        <w:rPr>
          <w:rFonts w:ascii="宋体" w:eastAsia="宋体" w:hAnsi="宋体" w:hint="eastAsia"/>
          <w:sz w:val="24"/>
          <w:szCs w:val="24"/>
        </w:rPr>
        <w:t>）、乙方投标书均为本合同组成部分，和本合同有同等法律效力，对甲乙双方均具有约束力。</w:t>
      </w:r>
    </w:p>
    <w:p>
      <w:pPr>
        <w:tabs>
          <w:tab w:val="left" w:pos="0"/>
        </w:tabs>
        <w:adjustRightInd w:val="0"/>
        <w:snapToGrid w:val="0"/>
        <w:spacing w:line="300" w:lineRule="auto"/>
        <w:ind w:firstLine="555"/>
        <w:jc w:val="left"/>
        <w:rPr>
          <w:rFonts w:ascii="宋体" w:eastAsia="宋体" w:hAnsi="宋体" w:hint="eastAsia"/>
          <w:sz w:val="24"/>
          <w:szCs w:val="24"/>
        </w:rPr>
      </w:pPr>
      <w:r>
        <w:rPr>
          <w:rFonts w:ascii="宋体" w:eastAsia="宋体" w:hAnsi="宋体" w:hint="eastAsia"/>
          <w:sz w:val="24"/>
          <w:szCs w:val="24"/>
        </w:rPr>
        <w:t>2.本合同如有未尽事宜，甲乙双方可对本合同进行修改或补充并签订补充协议。</w:t>
      </w:r>
    </w:p>
    <w:p>
      <w:pPr>
        <w:tabs>
          <w:tab w:val="left" w:pos="0"/>
        </w:tabs>
        <w:adjustRightInd w:val="0"/>
        <w:snapToGrid w:val="0"/>
        <w:spacing w:line="300" w:lineRule="auto"/>
        <w:ind w:firstLine="555"/>
        <w:jc w:val="left"/>
        <w:rPr>
          <w:rFonts w:ascii="宋体" w:eastAsia="宋体" w:hAnsi="宋体" w:hint="eastAsia"/>
          <w:sz w:val="24"/>
          <w:szCs w:val="24"/>
        </w:rPr>
      </w:pPr>
      <w:r>
        <w:rPr>
          <w:rFonts w:ascii="宋体" w:eastAsia="宋体" w:hAnsi="宋体" w:hint="eastAsia"/>
          <w:sz w:val="24"/>
          <w:szCs w:val="24"/>
        </w:rPr>
        <w:t>3.《深圳港引航站船艇资料汇总表》（附件1）、《深圳港引航站船艇配员表》</w:t>
      </w:r>
      <w:bookmarkStart w:id="59" w:name="_Hlk70614242"/>
      <w:r>
        <w:rPr>
          <w:rFonts w:ascii="宋体" w:eastAsia="宋体" w:hAnsi="宋体" w:hint="eastAsia"/>
          <w:sz w:val="24"/>
          <w:szCs w:val="24"/>
        </w:rPr>
        <w:t>（附件2）</w:t>
      </w:r>
      <w:bookmarkEnd w:id="59"/>
      <w:r>
        <w:rPr>
          <w:rFonts w:ascii="宋体" w:eastAsia="宋体" w:hAnsi="宋体" w:hint="eastAsia"/>
          <w:sz w:val="24"/>
          <w:szCs w:val="24"/>
        </w:rPr>
        <w:t>、《深圳港引航站船员工资参考》（附件3）、《深圳港引航站船艇管理服务项目服务质量考核评分表》（附件4）作为本合同附件，与本合同具同等法律效力。</w:t>
      </w:r>
    </w:p>
    <w:p>
      <w:pPr>
        <w:tabs>
          <w:tab w:val="left" w:pos="0"/>
        </w:tabs>
        <w:adjustRightInd/>
        <w:snapToGrid w:val="0"/>
        <w:spacing w:line="300" w:lineRule="auto"/>
        <w:ind w:firstLine="555" w:firstLineChars="0"/>
        <w:rPr>
          <w:rFonts w:ascii="宋体" w:eastAsia="宋体" w:hAnsi="宋体" w:hint="eastAsia"/>
          <w:sz w:val="24"/>
          <w:szCs w:val="24"/>
        </w:rPr>
      </w:pPr>
      <w:r>
        <w:rPr>
          <w:rFonts w:ascii="宋体" w:eastAsia="宋体" w:hAnsi="宋体" w:hint="eastAsia"/>
          <w:sz w:val="24"/>
          <w:szCs w:val="24"/>
        </w:rPr>
        <w:t>4.本合同一式捌份，甲乙双方各执肆份，自甲乙双方签字盖章之日起生效。</w:t>
      </w:r>
    </w:p>
    <w:p>
      <w:pPr>
        <w:snapToGrid w:val="0"/>
        <w:spacing w:line="360" w:lineRule="auto"/>
        <w:ind w:firstLine="200"/>
        <w:rPr>
          <w:rFonts w:ascii="宋体" w:eastAsia="宋体" w:hAnsi="宋体"/>
        </w:rPr>
      </w:pPr>
    </w:p>
    <w:p>
      <w:pPr>
        <w:snapToGrid w:val="0"/>
        <w:spacing w:line="360" w:lineRule="auto"/>
        <w:rPr>
          <w:rFonts w:ascii="宋体" w:eastAsia="宋体" w:hAnsi="宋体"/>
        </w:rPr>
      </w:pPr>
      <w:r>
        <w:rPr>
          <w:rFonts w:ascii="宋体" w:eastAsia="宋体" w:hAnsi="宋体"/>
        </w:rPr>
        <w:t>甲方（公章）</w:t>
      </w:r>
      <w:r>
        <w:rPr>
          <w:rFonts w:ascii="宋体" w:eastAsia="宋体" w:hAnsi="宋体" w:hint="eastAsia"/>
        </w:rPr>
        <w:t xml:space="preserve">： </w:t>
      </w:r>
      <w:r>
        <w:rPr>
          <w:rFonts w:ascii="宋体" w:eastAsia="宋体" w:hAnsi="宋体"/>
        </w:rPr>
        <w:t xml:space="preserve">                           乙方（公章）</w:t>
      </w:r>
      <w:r>
        <w:rPr>
          <w:rFonts w:ascii="宋体" w:eastAsia="宋体" w:hAnsi="宋体" w:hint="eastAsia"/>
        </w:rPr>
        <w:t>：</w:t>
      </w:r>
    </w:p>
    <w:p>
      <w:pPr>
        <w:snapToGrid w:val="0"/>
        <w:spacing w:line="360" w:lineRule="auto"/>
        <w:rPr>
          <w:rFonts w:ascii="宋体" w:eastAsia="宋体" w:hAnsi="宋体"/>
        </w:rPr>
      </w:pPr>
      <w:r>
        <w:rPr>
          <w:rFonts w:ascii="宋体" w:eastAsia="宋体" w:hAnsi="宋体"/>
        </w:rPr>
        <w:t>法定代表人（签章）</w:t>
      </w:r>
      <w:r>
        <w:rPr>
          <w:rFonts w:ascii="宋体" w:eastAsia="宋体" w:hAnsi="宋体"/>
        </w:rPr>
        <w:tab/>
      </w:r>
      <w:r>
        <w:rPr>
          <w:rFonts w:ascii="宋体" w:eastAsia="宋体" w:hAnsi="宋体"/>
        </w:rPr>
        <w:tab/>
      </w:r>
      <w:r>
        <w:rPr>
          <w:rFonts w:ascii="宋体" w:eastAsia="宋体" w:hAnsi="宋体"/>
        </w:rPr>
        <w:tab/>
      </w:r>
      <w:r>
        <w:rPr>
          <w:rFonts w:ascii="宋体" w:eastAsia="宋体" w:hAnsi="宋体"/>
        </w:rPr>
        <w:tab/>
      </w:r>
      <w:r>
        <w:rPr>
          <w:rFonts w:ascii="宋体" w:eastAsia="宋体" w:hAnsi="宋体"/>
        </w:rPr>
        <w:t>法定代表人（签章）</w:t>
      </w:r>
    </w:p>
    <w:p>
      <w:pPr>
        <w:snapToGrid w:val="0"/>
        <w:spacing w:line="360" w:lineRule="auto"/>
        <w:rPr>
          <w:rFonts w:ascii="宋体" w:eastAsia="宋体" w:hAnsi="宋体"/>
        </w:rPr>
      </w:pPr>
      <w:r>
        <w:rPr>
          <w:rFonts w:ascii="宋体" w:eastAsia="宋体" w:hAnsi="宋体"/>
        </w:rPr>
        <w:t>或授权代表：</w:t>
      </w:r>
      <w:r>
        <w:rPr>
          <w:rFonts w:ascii="宋体" w:eastAsia="宋体" w:hAnsi="宋体"/>
        </w:rPr>
        <w:tab/>
      </w:r>
      <w:r>
        <w:rPr>
          <w:rFonts w:ascii="宋体" w:eastAsia="宋体" w:hAnsi="宋体"/>
        </w:rPr>
        <w:tab/>
      </w:r>
      <w:r>
        <w:rPr>
          <w:rFonts w:ascii="宋体" w:eastAsia="宋体" w:hAnsi="宋体"/>
        </w:rPr>
        <w:tab/>
      </w:r>
      <w:r>
        <w:rPr>
          <w:rFonts w:ascii="宋体" w:eastAsia="宋体" w:hAnsi="宋体"/>
        </w:rPr>
        <w:tab/>
      </w:r>
      <w:r>
        <w:rPr>
          <w:rFonts w:ascii="宋体" w:eastAsia="宋体" w:hAnsi="宋体"/>
        </w:rPr>
        <w:tab/>
      </w:r>
      <w:r>
        <w:rPr>
          <w:rFonts w:ascii="宋体" w:eastAsia="宋体" w:hAnsi="宋体"/>
        </w:rPr>
        <w:t>或授权代表：</w:t>
      </w:r>
    </w:p>
    <w:p>
      <w:pPr>
        <w:snapToGrid w:val="0"/>
        <w:spacing w:line="360" w:lineRule="auto"/>
        <w:rPr>
          <w:rFonts w:ascii="宋体" w:eastAsia="宋体" w:hAnsi="宋体"/>
        </w:rPr>
      </w:pPr>
      <w:r>
        <w:rPr>
          <w:rFonts w:ascii="宋体" w:eastAsia="宋体" w:hAnsi="宋体" w:hint="eastAsia"/>
        </w:rPr>
        <w:t xml:space="preserve">日期： </w:t>
      </w:r>
      <w:r>
        <w:rPr>
          <w:rFonts w:ascii="宋体" w:eastAsia="宋体" w:hAnsi="宋体"/>
        </w:rPr>
        <w:t xml:space="preserve">   年   月   日     </w:t>
      </w:r>
      <w:r>
        <w:rPr>
          <w:rFonts w:ascii="宋体" w:eastAsia="宋体" w:hAnsi="宋体"/>
        </w:rPr>
        <w:tab/>
      </w:r>
      <w:r>
        <w:rPr>
          <w:rFonts w:ascii="宋体" w:eastAsia="宋体" w:hAnsi="宋体"/>
        </w:rPr>
        <w:tab/>
      </w:r>
      <w:r>
        <w:rPr>
          <w:rFonts w:ascii="宋体" w:eastAsia="宋体" w:hAnsi="宋体"/>
        </w:rPr>
        <w:tab/>
      </w:r>
      <w:r>
        <w:rPr>
          <w:rFonts w:ascii="宋体" w:eastAsia="宋体" w:hAnsi="宋体" w:hint="eastAsia"/>
        </w:rPr>
        <w:t xml:space="preserve">日期： </w:t>
      </w:r>
      <w:r>
        <w:rPr>
          <w:rFonts w:ascii="宋体" w:eastAsia="宋体" w:hAnsi="宋体"/>
        </w:rPr>
        <w:t xml:space="preserve">   年   月   日</w:t>
      </w:r>
    </w:p>
    <w:p>
      <w:pPr>
        <w:rPr>
          <w:rFonts w:ascii="宋体" w:hAnsi="宋体"/>
          <w:color w:val="000000" w:themeColor="text1"/>
          <w:szCs w:val="21"/>
          <w14:textFill>
            <w14:solidFill>
              <w14:schemeClr w14:val="tx1"/>
            </w14:solidFill>
          </w14:textFill>
        </w:rPr>
      </w:pPr>
    </w:p>
    <w:p>
      <w:pPr>
        <w:pStyle w:val="NormalIndent"/>
      </w:pPr>
    </w:p>
    <w:p/>
    <w:p>
      <w:pPr>
        <w:pStyle w:val="NormalIndent"/>
      </w:pPr>
    </w:p>
    <w:p/>
    <w:p>
      <w:pPr>
        <w:pStyle w:val="NormalIndent"/>
      </w:pPr>
    </w:p>
    <w:p/>
    <w:p>
      <w:pPr>
        <w:pStyle w:val="NormalIndent"/>
      </w:pPr>
    </w:p>
    <w:p/>
    <w:p>
      <w:pPr>
        <w:pStyle w:val="NormalIndent"/>
      </w:pPr>
    </w:p>
    <w:p/>
    <w:p>
      <w:pPr>
        <w:pStyle w:val="NormalIndent"/>
      </w:pPr>
    </w:p>
    <w:p>
      <w:pPr>
        <w:pStyle w:val="Heading2"/>
        <w:spacing w:before="120" w:beforeLines="50" w:after="120" w:afterLines="50"/>
        <w:ind w:left="56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第二册  通用条款（公开招标）</w:t>
      </w:r>
    </w:p>
    <w:p>
      <w:pPr>
        <w:pStyle w:val="Heading2"/>
        <w:numPr>
          <w:ilvl w:val="0"/>
          <w:numId w:val="5"/>
        </w:numPr>
        <w:spacing w:before="120" w:beforeLines="50" w:after="120" w:afterLines="50"/>
        <w:ind w:left="562" w:hanging="562"/>
        <w:rPr>
          <w:color w:val="000000" w:themeColor="text1"/>
          <w:sz w:val="28"/>
          <w:szCs w:val="28"/>
          <w14:textFill>
            <w14:solidFill>
              <w14:schemeClr w14:val="tx1"/>
            </w14:solidFill>
          </w14:textFill>
        </w:rPr>
      </w:pPr>
      <w:bookmarkStart w:id="60" w:name="_Hlk72399513"/>
      <w:r>
        <w:rPr>
          <w:rFonts w:hint="eastAsia"/>
          <w:color w:val="000000" w:themeColor="text1"/>
          <w:sz w:val="28"/>
          <w:szCs w:val="28"/>
          <w14:textFill>
            <w14:solidFill>
              <w14:schemeClr w14:val="tx1"/>
            </w14:solidFill>
          </w14:textFill>
        </w:rPr>
        <w:t>总则</w:t>
      </w:r>
    </w:p>
    <w:p>
      <w:pPr>
        <w:rPr>
          <w:rFonts w:ascii="黑体" w:eastAsia="黑体" w:hAnsi="宋体"/>
          <w:color w:val="000000" w:themeColor="text1"/>
          <w14:textFill>
            <w14:solidFill>
              <w14:schemeClr w14:val="tx1"/>
            </w14:solidFill>
          </w14:textFill>
        </w:rPr>
      </w:pPr>
      <w:bookmarkEnd w:id="60"/>
      <w:r>
        <w:rPr>
          <w:rFonts w:ascii="黑体" w:eastAsia="黑体" w:hAnsi="宋体" w:hint="eastAsia"/>
          <w:color w:val="000000" w:themeColor="text1"/>
          <w14:textFill>
            <w14:solidFill>
              <w14:schemeClr w14:val="tx1"/>
            </w14:solidFill>
          </w14:textFill>
        </w:rPr>
        <w:t>1. 通用条款说明</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1.1</w:t>
      </w:r>
      <w:bookmarkStart w:id="61" w:name="_Hlk72399729"/>
      <w:r>
        <w:rPr>
          <w:rFonts w:ascii="宋体" w:hAnsi="宋体" w:hint="eastAsia"/>
          <w:color w:val="000000" w:themeColor="text1"/>
          <w:szCs w:val="21"/>
          <w14:textFill>
            <w14:solidFill>
              <w14:schemeClr w14:val="tx1"/>
            </w14:solidFill>
          </w14:textFill>
        </w:rPr>
        <w:t>采购机构可以对通用条款的内容进行补充。</w:t>
      </w:r>
      <w:bookmarkEnd w:id="61"/>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1.2招标文件分为第一册“专用条款”和第二册“通用条款”。</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1.3“专用条款”是对本次采购项目的具体要求，包含招标公告、对通用条款的补充内容及其他关键信息、用户需求书、投标文件格式及附件、合同条款及格式等内容。</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1.4“通用条款”是适用于政府采购公开招标项目的基础性条款，具有普遍性和通用性。</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1.5 “专用条款”和“通用条款”表述不一致或有冲突时，以“专用条款”为准。</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w:t>
      </w:r>
      <w:r>
        <w:rPr>
          <w:rFonts w:ascii="黑体" w:eastAsia="黑体" w:hAnsi="宋体"/>
          <w:color w:val="000000" w:themeColor="text1"/>
          <w14:textFill>
            <w14:solidFill>
              <w14:schemeClr w14:val="tx1"/>
            </w14:solidFill>
          </w14:textFill>
        </w:rPr>
        <w:t>．</w:t>
      </w:r>
      <w:r>
        <w:rPr>
          <w:rFonts w:ascii="黑体" w:eastAsia="黑体" w:hAnsi="宋体" w:hint="eastAsia"/>
          <w:color w:val="000000" w:themeColor="text1"/>
          <w14:textFill>
            <w14:solidFill>
              <w14:schemeClr w14:val="tx1"/>
            </w14:solidFill>
          </w14:textFill>
        </w:rPr>
        <w:t>招标说明</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本项目按照《深圳经济特区政府采购条例》、《深圳经济特区政府采购条例实施细则》及政府采购其他法律法规，通过公开招标方式确定中标供应商。</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3．定义</w:t>
      </w:r>
    </w:p>
    <w:p>
      <w:pPr>
        <w:ind w:firstLine="480" w:firstLineChars="200"/>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招标文件中下列术语应解释为：</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“采购人”：指利用财政性资金依法进行政府采购的国家机关、事业单位、团体组织；</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3.2 “</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”系指根据采购人的委托，代理政府采购事宜的机构，在此特指拥有采购代理资格的</w:t>
      </w:r>
      <w:r>
        <w:rPr>
          <w:rFonts w:ascii="宋体" w:hAnsi="宋体" w:hint="eastAsia"/>
          <w:b/>
          <w:bCs/>
          <w:color w:val="000000" w:themeColor="text1"/>
          <w:szCs w:val="21"/>
          <w14:textFill>
            <w14:solidFill>
              <w14:schemeClr w14:val="tx1"/>
            </w14:solidFill>
          </w14:textFill>
        </w:rPr>
        <w:t>友和保险经纪有限公司</w:t>
      </w:r>
      <w:r>
        <w:rPr>
          <w:rFonts w:ascii="宋体" w:hAnsi="宋体" w:hint="eastAsia"/>
          <w:color w:val="000000" w:themeColor="text1"/>
          <w:szCs w:val="21"/>
          <w14:textFill>
            <w14:solidFill>
              <w14:schemeClr w14:val="tx1"/>
            </w14:solidFill>
          </w14:textFill>
        </w:rPr>
        <w:t>；</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3.3“投标人”，即供应商，指参加投标竞争并愿意按照招标文件要求向采购人提供货物、工程或者服务的依法成立的法人、其他组织或者自然人；</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3.4“评审委员会”是依据《深圳经济特区政府采购条例》、《深圳经济特区政府采购条例实施细则》等有关规定组建的专门负责本次招标其评审工作的临时性机构；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3.5“日期”</w:t>
      </w:r>
      <w:r>
        <w:rPr>
          <w:rFonts w:ascii="宋体" w:hAnsi="宋体"/>
          <w:color w:val="000000" w:themeColor="text1"/>
          <w:szCs w:val="21"/>
          <w14:textFill>
            <w14:solidFill>
              <w14:schemeClr w14:val="tx1"/>
            </w14:solidFill>
          </w14:textFill>
        </w:rPr>
        <w:t>指</w:t>
      </w:r>
      <w:r>
        <w:rPr>
          <w:rFonts w:ascii="宋体" w:hAnsi="宋体" w:hint="eastAsia"/>
          <w:color w:val="000000" w:themeColor="text1"/>
          <w:szCs w:val="21"/>
          <w14:textFill>
            <w14:solidFill>
              <w14:schemeClr w14:val="tx1"/>
            </w14:solidFill>
          </w14:textFill>
        </w:rPr>
        <w:t>公历日；</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3.6“合同”指由本次招标所产生的合同或合约文件；</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3.7“电子投标文件”指利用</w:t>
      </w:r>
      <w:r>
        <w:rPr>
          <w:rFonts w:ascii="宋体" w:hAnsi="宋体" w:hint="eastAsia"/>
          <w:b/>
          <w:bCs/>
          <w:color w:val="000000" w:themeColor="text1"/>
          <w:szCs w:val="21"/>
          <w14:textFill>
            <w14:solidFill>
              <w14:schemeClr w14:val="tx1"/>
            </w14:solidFill>
          </w14:textFill>
        </w:rPr>
        <w:t>深圳公共资源交易中心（深圳交易集团有限公司政府采购业务分公司）</w:t>
      </w:r>
      <w:r>
        <w:rPr>
          <w:rFonts w:ascii="宋体" w:hAnsi="宋体" w:hint="eastAsia"/>
          <w:color w:val="000000" w:themeColor="text1"/>
          <w:szCs w:val="21"/>
          <w14:textFill>
            <w14:solidFill>
              <w14:schemeClr w14:val="tx1"/>
            </w14:solidFill>
          </w14:textFill>
        </w:rPr>
        <w:t>网站提供的</w:t>
      </w:r>
      <w:r>
        <w:rPr>
          <w:rFonts w:ascii="宋体" w:hAnsi="宋体" w:hint="eastAsia"/>
          <w:color w:val="000000" w:themeColor="text1"/>
          <w14:textFill>
            <w14:solidFill>
              <w14:schemeClr w14:val="tx1"/>
            </w14:solidFill>
          </w14:textFill>
        </w:rPr>
        <w:t>深圳智慧采购平台投标文件制作专用软件（以下简称：投标文件制作软件）制作并</w:t>
      </w:r>
      <w:r>
        <w:rPr>
          <w:rFonts w:ascii="宋体" w:hAnsi="宋体" w:hint="eastAsia"/>
          <w:color w:val="000000" w:themeColor="text1"/>
          <w:szCs w:val="21"/>
          <w14:textFill>
            <w14:solidFill>
              <w14:schemeClr w14:val="tx1"/>
            </w14:solidFill>
          </w14:textFill>
        </w:rPr>
        <w:t>加密的投标文件,适用于网上投标；（投标文件制作软件可从</w:t>
      </w:r>
      <w:r>
        <w:rPr>
          <w:rFonts w:hint="eastAsia"/>
          <w:color w:val="000000" w:themeColor="text1"/>
          <w14:textFill>
            <w14:solidFill>
              <w14:schemeClr w14:val="tx1"/>
            </w14:solidFill>
          </w14:textFill>
        </w:rPr>
        <w:t>“</w:t>
      </w:r>
      <w:r>
        <w:rPr>
          <w:rFonts w:ascii="宋体" w:hAnsi="宋体" w:hint="eastAsia"/>
          <w:color w:val="000000" w:themeColor="text1"/>
          <w14:textFill>
            <w14:solidFill>
              <w14:schemeClr w14:val="tx1"/>
            </w14:solidFill>
          </w14:textFill>
        </w:rPr>
        <w:t>下载地址：</w:t>
      </w:r>
      <w:r>
        <w:rPr>
          <w:rFonts w:ascii="宋体" w:hAnsi="宋体" w:hint="eastAsia"/>
          <w:color w:val="000000" w:themeColor="text1"/>
          <w:highlight w:val="yellow"/>
          <w14:textFill>
            <w14:solidFill>
              <w14:schemeClr w14:val="tx1"/>
            </w14:solidFill>
          </w14:textFill>
        </w:rPr>
        <w:t>http://zfcg.szggzy.com:8081/cgxy/013002/20210923/173e0b2c-7a4c-4246-a0c7-e0ea75d84dd6.html</w:t>
      </w:r>
      <w:r>
        <w:rPr>
          <w:rFonts w:hint="eastAsia"/>
          <w:color w:val="000000" w:themeColor="text1"/>
          <w14:textFill>
            <w14:solidFill>
              <w14:schemeClr w14:val="tx1"/>
            </w14:solidFill>
          </w14:textFill>
        </w:rPr>
        <w:t>”</w:t>
      </w:r>
      <w:r>
        <w:rPr>
          <w:rFonts w:ascii="宋体" w:hAnsi="宋体" w:hint="eastAsia"/>
          <w:color w:val="000000" w:themeColor="text1"/>
          <w:szCs w:val="21"/>
          <w14:textFill>
            <w14:solidFill>
              <w14:schemeClr w14:val="tx1"/>
            </w14:solidFill>
          </w14:textFill>
        </w:rPr>
        <w:t>下载）；</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3.8“网上投标”指通过</w:t>
      </w:r>
      <w:r>
        <w:rPr>
          <w:rFonts w:ascii="宋体" w:hAnsi="宋体" w:hint="eastAsia"/>
          <w:b/>
          <w:bCs/>
          <w:color w:val="000000" w:themeColor="text1"/>
          <w:szCs w:val="21"/>
          <w14:textFill>
            <w14:solidFill>
              <w14:schemeClr w14:val="tx1"/>
            </w14:solidFill>
          </w14:textFill>
        </w:rPr>
        <w:t>深圳公共资源交易中心（深圳交易集团有限公司政府采购业务分公司）</w:t>
      </w:r>
      <w:r>
        <w:rPr>
          <w:rFonts w:ascii="宋体" w:hAnsi="宋体" w:hint="eastAsia"/>
          <w:color w:val="000000" w:themeColor="text1"/>
          <w:szCs w:val="21"/>
          <w14:textFill>
            <w14:solidFill>
              <w14:schemeClr w14:val="tx1"/>
            </w14:solidFill>
          </w14:textFill>
        </w:rPr>
        <w:t>网站上传电子投标文件；</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3.9招标文件中的标题或题名仅起引导作用，而不应视为对招标文件内容的理解和解释。</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 xml:space="preserve">4. </w:t>
      </w:r>
      <w:bookmarkStart w:id="62" w:name="_Hlk72398643"/>
      <w:r>
        <w:rPr>
          <w:rFonts w:ascii="黑体" w:eastAsia="黑体" w:hAnsi="宋体" w:hint="eastAsia"/>
          <w:color w:val="000000" w:themeColor="text1"/>
          <w14:textFill>
            <w14:solidFill>
              <w14:schemeClr w14:val="tx1"/>
            </w14:solidFill>
          </w14:textFill>
        </w:rPr>
        <w:t>政府采购供应商责任</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4.1欢迎诚信、有实力和有社会责任心的供应商参与政府采购事业。</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4.2投标人应当遵循公平竞争的原则，不得恶意串通，不得妨碍其他投标人的竞争行为，不得损害采购人或者其他投标人的合法权益。如违反上述要求，经核实后，供应商的投标无效。</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5．投标人参加政府采购的条件</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5.1投标人应在投标前到</w:t>
      </w:r>
      <w:r>
        <w:rPr>
          <w:rFonts w:ascii="宋体" w:hAnsi="宋体" w:hint="eastAsia"/>
          <w:b/>
          <w:bCs/>
          <w:color w:val="000000" w:themeColor="text1"/>
          <w:szCs w:val="21"/>
          <w14:textFill>
            <w14:solidFill>
              <w14:schemeClr w14:val="tx1"/>
            </w14:solidFill>
          </w14:textFill>
        </w:rPr>
        <w:t>深圳公共资源交易中心（具体在深圳交易集团有限公司政府采购业务分公司进行办理）</w:t>
      </w:r>
      <w:r>
        <w:rPr>
          <w:rFonts w:ascii="宋体" w:hAnsi="宋体" w:hint="eastAsia"/>
          <w:color w:val="000000" w:themeColor="text1"/>
          <w:szCs w:val="21"/>
          <w14:textFill>
            <w14:solidFill>
              <w14:schemeClr w14:val="tx1"/>
            </w14:solidFill>
          </w14:textFill>
        </w:rPr>
        <w:t>进行注册并办理电子密钥。《</w:t>
      </w:r>
      <w:r>
        <w:fldChar w:fldCharType="begin"/>
      </w:r>
      <w:r>
        <w:instrText xml:space="preserve"> HYPERLINK "http://www.szzfcg.cn/viewer.do?id=2455258" \t "documentViewer2455258" </w:instrText>
      </w:r>
      <w:r>
        <w:fldChar w:fldCharType="separate"/>
      </w:r>
      <w:r>
        <w:rPr>
          <w:rFonts w:ascii="宋体" w:hAnsi="宋体"/>
          <w:color w:val="000000" w:themeColor="text1"/>
          <w:szCs w:val="21"/>
          <w14:textFill>
            <w14:solidFill>
              <w14:schemeClr w14:val="tx1"/>
            </w14:solidFill>
          </w14:textFill>
        </w:rPr>
        <w:t>供应商注册及电子密钥新申请指引</w:t>
      </w:r>
      <w:r>
        <w:rPr>
          <w:rFonts w:ascii="宋体" w:hAnsi="宋体"/>
          <w:color w:val="000000" w:themeColor="text1"/>
          <w:szCs w:val="21"/>
          <w14:textFill>
            <w14:solidFill>
              <w14:schemeClr w14:val="tx1"/>
            </w14:solidFill>
          </w14:textFill>
        </w:rPr>
        <w:fldChar w:fldCharType="end"/>
      </w:r>
      <w:r>
        <w:rPr>
          <w:rFonts w:ascii="宋体" w:hAnsi="宋体" w:hint="eastAsia"/>
          <w:color w:val="000000" w:themeColor="text1"/>
          <w:szCs w:val="21"/>
          <w14:textFill>
            <w14:solidFill>
              <w14:schemeClr w14:val="tx1"/>
            </w14:solidFill>
          </w14:textFill>
        </w:rPr>
        <w:t>》详见http://zfcg.szggzy.com:8081/。</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5.2投标人资格要求</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参加本项目的投标人应具备的资格条件详见本项目招标公告中 “投标人资格要求”（即申请人的资格要求）的内容。</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5.3联合体投标</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5.3.1以下有关联合体投标的条款仅适用于允许投标人组成联合体投标的项目。</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5.3.2由两个或两个以上的自然人、法人或者其他组织可以组成一个联合体，以一个供应商的身份共同投标时，应符合以下原则：</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（1）投标联合体各方参加政府采购活动应当具备下列条件：</w:t>
      </w:r>
    </w:p>
    <w:p>
      <w:pPr>
        <w:ind w:left="480" w:firstLine="470" w:leftChars="2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1、具有独立承担民事责任的能力；</w:t>
      </w:r>
    </w:p>
    <w:p>
      <w:pPr>
        <w:ind w:left="480" w:firstLine="470" w:leftChars="2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2、有良好的商业信誉和健全的财务会计制度；</w:t>
      </w:r>
    </w:p>
    <w:p>
      <w:pPr>
        <w:ind w:left="480" w:firstLine="470" w:leftChars="2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3、具有履行合同所必需的设备和专业技术能力；</w:t>
      </w:r>
    </w:p>
    <w:p>
      <w:pPr>
        <w:ind w:left="480" w:firstLine="470" w:leftChars="2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4、有依法缴纳税收和社会保障资金的良好记录；</w:t>
      </w:r>
    </w:p>
    <w:p>
      <w:pPr>
        <w:ind w:left="480" w:firstLine="470" w:leftChars="2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5、参加政府采购活动前三年内，在经营活动中没有重大违法记录；</w:t>
      </w:r>
    </w:p>
    <w:p>
      <w:pPr>
        <w:ind w:left="480" w:firstLine="470" w:leftChars="2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6、法律、行政法规规定的其他条件。</w:t>
      </w:r>
    </w:p>
    <w:p>
      <w:pPr>
        <w:ind w:firstLine="480" w:firstLineChars="20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（2）在投标截止前，投标联合体各方均应注册成</w:t>
      </w:r>
      <w:r>
        <w:rPr>
          <w:rFonts w:ascii="宋体" w:eastAsia="宋体" w:hAnsi="宋体" w:hint="eastAsia"/>
          <w:color w:val="000000" w:themeColor="text1"/>
          <w:lang w:eastAsia="zh-CN"/>
          <w14:textFill>
            <w14:solidFill>
              <w14:schemeClr w14:val="tx1"/>
            </w14:solidFill>
          </w14:textFill>
        </w:rPr>
        <w:t>政府采购</w:t>
      </w:r>
      <w:r>
        <w:rPr>
          <w:rFonts w:ascii="宋体" w:hAnsi="宋体" w:hint="eastAsia"/>
          <w:color w:val="000000" w:themeColor="text1"/>
          <w14:textFill>
            <w14:solidFill>
              <w14:schemeClr w14:val="tx1"/>
            </w14:solidFill>
          </w14:textFill>
        </w:rPr>
        <w:t>供应商；</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（3）联合体中有同类资质的供应商按照联合体分工承担相同工作的，应当按照资质等级较低的供应商确定资质等级；</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（4）是否允许联合体参加投标，应当由采购人和采购代理机构根据项目的实际情况和潜在供应商的数量自主决定，如果决定接受联合体投标则应当在招标公告中明示；</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（5）投标人的投标文件及中标后签署的合同协议对联合体各方均具法律约束力；</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（6）联合体各方应当签订联合体投标协议，明确约定各方拟承担的工作和责任，并将该协议随投标文件一并递交给</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（7）联合体中标后，联合体各方应当共同与采购人签订合同，就中标项目向采购人承担连带责任；</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8）以联合体形式参加政府采购活动的，联合体各方不得再单独参加或者与其他供应商另外组成联合体参加同一合同项下的政府采购活动，出现上述情况者，其投标和与此有关联合体、总包单位的投标将被拒绝；</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14:textFill>
            <w14:solidFill>
              <w14:schemeClr w14:val="tx1"/>
            </w14:solidFill>
          </w14:textFill>
        </w:rPr>
        <w:t>（9）本通用条款中“投标人”一词亦指联合体各方，专用条款另有规定或说明的除外。</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6．政策导向</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6.1政府采购扶持贫困地区、中小企业、监狱企业和残疾人福利性单位发展，支持节能减排、环境保护。</w:t>
      </w:r>
    </w:p>
    <w:p>
      <w:pPr>
        <w:ind w:firstLine="405"/>
        <w:rPr>
          <w:color w:val="000000" w:themeColor="text1"/>
          <w:shd w:val="clear" w:color="auto" w:fill="FFFFFF"/>
          <w14:textFill>
            <w14:solidFill>
              <w14:schemeClr w14:val="tx1"/>
            </w14:solidFill>
          </w14:textFill>
        </w:rPr>
      </w:pPr>
      <w:r>
        <w:rPr>
          <w:rFonts w:ascii="宋体" w:hAnsi="宋体" w:hint="eastAsia"/>
          <w:color w:val="000000" w:themeColor="text1"/>
          <w14:textFill>
            <w14:solidFill>
              <w14:schemeClr w14:val="tx1"/>
            </w14:solidFill>
          </w14:textFill>
        </w:rPr>
        <w:t>6.2本项目落实深圳市政府采购供应商诚信管理政策要求。</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7. 本项目若涉及采购货物，则合格的货物及相应服务应满足以下要求：</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w:t>
      </w:r>
      <w:r>
        <w:rPr>
          <w:rFonts w:ascii="宋体" w:hAnsi="宋体"/>
          <w:color w:val="000000" w:themeColor="text1"/>
          <w14:textFill>
            <w14:solidFill>
              <w14:schemeClr w14:val="tx1"/>
            </w14:solidFill>
          </w14:textFill>
        </w:rPr>
        <w:t>.1</w:t>
      </w:r>
      <w:r>
        <w:rPr>
          <w:rFonts w:ascii="宋体" w:hAnsi="宋体" w:hint="eastAsia"/>
          <w:color w:val="000000" w:themeColor="text1"/>
          <w14:textFill>
            <w14:solidFill>
              <w14:schemeClr w14:val="tx1"/>
            </w14:solidFill>
          </w14:textFill>
        </w:rPr>
        <w:t>必须是全新、未使用过的原装合格正品（包括零部件），如安装或配置了软件的，须为正版软件。</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7.2国产的货物及其有关服务必须符合中华人民共和国的设计、制造生产标准及行业标准。招标公告有其他要求的，亦应符合其要求。</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w:t>
      </w:r>
      <w:r>
        <w:rPr>
          <w:rFonts w:ascii="宋体" w:hAnsi="宋体"/>
          <w:color w:val="000000" w:themeColor="text1"/>
          <w14:textFill>
            <w14:solidFill>
              <w14:schemeClr w14:val="tx1"/>
            </w14:solidFill>
          </w14:textFill>
        </w:rPr>
        <w:t>.</w:t>
      </w:r>
      <w:r>
        <w:rPr>
          <w:rFonts w:ascii="宋体" w:hAnsi="宋体" w:hint="eastAsia"/>
          <w:color w:val="000000" w:themeColor="text1"/>
          <w14:textFill>
            <w14:solidFill>
              <w14:schemeClr w14:val="tx1"/>
            </w14:solidFill>
          </w14:textFill>
        </w:rPr>
        <w:t>3进口货物及其有关服务必须符合原产地和中华人民共和国的设计、制造生产标准及行业标准。进口的货物必须具有合法的进口手续和途径，并通过中华人民共和国商检部门检验。招标公告有其他要求的，亦应符合其要求。</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w:t>
      </w:r>
      <w:r>
        <w:rPr>
          <w:rFonts w:ascii="宋体" w:hAnsi="宋体"/>
          <w:color w:val="000000" w:themeColor="text1"/>
          <w14:textFill>
            <w14:solidFill>
              <w14:schemeClr w14:val="tx1"/>
            </w14:solidFill>
          </w14:textFill>
        </w:rPr>
        <w:t>.</w:t>
      </w:r>
      <w:r>
        <w:rPr>
          <w:rFonts w:ascii="宋体" w:hAnsi="宋体" w:hint="eastAsia"/>
          <w:color w:val="000000" w:themeColor="text1"/>
          <w14:textFill>
            <w14:solidFill>
              <w14:schemeClr w14:val="tx1"/>
            </w14:solidFill>
          </w14:textFill>
        </w:rPr>
        <w:t>4投标人</w:t>
      </w:r>
      <w:bookmarkStart w:id="63" w:name="_Hlk72152753"/>
      <w:r>
        <w:rPr>
          <w:rFonts w:ascii="宋体" w:hAnsi="宋体" w:hint="eastAsia"/>
          <w:color w:val="000000" w:themeColor="text1"/>
          <w14:textFill>
            <w14:solidFill>
              <w14:schemeClr w14:val="tx1"/>
            </w14:solidFill>
          </w14:textFill>
        </w:rPr>
        <w:t>应保证，其所提供的货物通过合法正规渠道供货，在提供给采购人前具有完全的所有权，采购人在中华人民共和国使用该货物或货物的任何一部分时，不会产生因第三方提出的包括但不限于侵犯其专利权、商标权、工业设计权等知识产权和侵犯其所有权、抵押权等物权及其他权利而引发的纠纷。如有纠纷，投标人应承担全部责任。</w:t>
      </w:r>
      <w:bookmarkEnd w:id="63"/>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7.5投标人应保证，其所提供的货物符合国家强制性标准要求；符合相关行业标准（如具备行政主管部门颁发的资质证书或国家质量监督部门的产品《检验报告》等）。设备到货验收时，还必须提供设备的产品合格证、质量保证文件。若中标后，除非另有约定，投标人必须按合同规定完成设备的安装，并达到验收标准。</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7.6工期要求：投标人在投标时对其所投项目应提交交货进度、交货计划等，在合同规定的时间内完成项目实施工作。</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7.7投标人必须承担的设备运输、安装调试、验收检测和提供设备操作说明书、图纸等其他相关及类似的义务。</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8．投标费用</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不论投标结果如何，投标人应承担其编制投标文件与递交投标文件所涉及的一切费用。</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9．踏勘现场</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9.1如有需要（详见专用条款），采购人或</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将组织投标人对项目现场及周围环境进行踏勘，以便投标人获取有关编制投标文件和签署合同所需的资料。踏勘现场所发生的费用由投标人自行承担。投标人应按招标文件所约定的时间、地点踏勘现场。</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9.2投标人及其人员经过采购人的允许，可以进入采购人的项目现场踏勘。若招标文件要求投标人于统一时间地点踏勘现场的，投标人应当按时前往。</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9.3采购人应当通过</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向投标人提供有关现场的书面资料和数据。</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9.4任何人或任何组织在踏勘现场时向投标人提供的任何书面资料或口头承诺，未经</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在网上发布或书面通知，均作无效处理。</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szCs w:val="21"/>
          <w14:textFill>
            <w14:solidFill>
              <w14:schemeClr w14:val="tx1"/>
            </w14:solidFill>
          </w14:textFill>
        </w:rPr>
        <w:t>9</w:t>
      </w:r>
      <w:r>
        <w:rPr>
          <w:rFonts w:ascii="宋体" w:hAnsi="宋体" w:hint="eastAsia"/>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5</w:t>
      </w:r>
      <w:r>
        <w:rPr>
          <w:rFonts w:ascii="宋体" w:hAnsi="宋体" w:hint="eastAsia"/>
          <w:color w:val="000000" w:themeColor="text1"/>
          <w:szCs w:val="21"/>
          <w14:textFill>
            <w14:solidFill>
              <w14:schemeClr w14:val="tx1"/>
            </w14:solidFill>
          </w14:textFill>
        </w:rPr>
        <w:t>未参与踏勘现场不作为否定投标人资格的理由。</w:t>
      </w:r>
    </w:p>
    <w:p>
      <w:pPr>
        <w:rPr>
          <w:rFonts w:ascii="宋体" w:hAnsi="宋体"/>
          <w:color w:val="000000" w:themeColor="text1"/>
          <w:szCs w:val="21"/>
          <w14:textFill>
            <w14:solidFill>
              <w14:schemeClr w14:val="tx1"/>
            </w14:solidFill>
          </w14:textFill>
        </w:rPr>
      </w:pPr>
      <w:r>
        <w:rPr>
          <w:rFonts w:ascii="黑体" w:eastAsia="黑体" w:hAnsi="宋体" w:hint="eastAsia"/>
          <w:color w:val="000000" w:themeColor="text1"/>
          <w14:textFill>
            <w14:solidFill>
              <w14:schemeClr w14:val="tx1"/>
            </w14:solidFill>
          </w14:textFill>
        </w:rPr>
        <w:t>1</w:t>
      </w:r>
      <w:r>
        <w:rPr>
          <w:rFonts w:ascii="黑体" w:eastAsia="黑体" w:hAnsi="宋体"/>
          <w:color w:val="000000" w:themeColor="text1"/>
          <w14:textFill>
            <w14:solidFill>
              <w14:schemeClr w14:val="tx1"/>
            </w14:solidFill>
          </w14:textFill>
        </w:rPr>
        <w:t>0</w:t>
      </w:r>
      <w:r>
        <w:rPr>
          <w:rFonts w:ascii="黑体" w:eastAsia="黑体" w:hAnsi="宋体" w:hint="eastAsia"/>
          <w:color w:val="000000" w:themeColor="text1"/>
          <w14:textFill>
            <w14:solidFill>
              <w14:schemeClr w14:val="tx1"/>
            </w14:solidFill>
          </w14:textFill>
        </w:rPr>
        <w:t>．标前会议</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0</w:t>
      </w:r>
      <w:r>
        <w:rPr>
          <w:rFonts w:ascii="宋体" w:hAnsi="宋体" w:hint="eastAsia"/>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如采购人或</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认为有必要组织标前会议，投标人应按照招标文件规定的时间或</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另行书面通知（包括</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网站发布方式，如更正公告等）的时间和地点，参与标前会议。</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14:textFill>
            <w14:solidFill>
              <w14:schemeClr w14:val="tx1"/>
            </w14:solidFill>
          </w14:textFill>
        </w:rPr>
        <w:t>10</w:t>
      </w:r>
      <w:r>
        <w:rPr>
          <w:rFonts w:ascii="宋体" w:hAnsi="宋体" w:hint="eastAsia"/>
          <w:color w:val="000000" w:themeColor="text1"/>
          <w14:textFill>
            <w14:solidFill>
              <w14:schemeClr w14:val="tx1"/>
            </w14:solidFill>
          </w14:textFill>
        </w:rPr>
        <w:t>.</w:t>
      </w:r>
      <w:r>
        <w:rPr>
          <w:rFonts w:ascii="宋体" w:hAnsi="宋体"/>
          <w:color w:val="000000" w:themeColor="text1"/>
          <w14:textFill>
            <w14:solidFill>
              <w14:schemeClr w14:val="tx1"/>
            </w14:solidFill>
          </w14:textFill>
        </w:rPr>
        <w:t>2</w:t>
      </w:r>
      <w:r>
        <w:rPr>
          <w:rFonts w:ascii="宋体" w:hAnsi="宋体" w:hint="eastAsia"/>
          <w:color w:val="000000" w:themeColor="text1"/>
          <w14:textFill>
            <w14:solidFill>
              <w14:schemeClr w14:val="tx1"/>
            </w14:solidFill>
          </w14:textFill>
        </w:rPr>
        <w:t>任何人或任何组织在标前会议时向投标人提供的任何书面资料或口头承诺，未经</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在网上发布或书面通知，均作无效处理。</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0</w:t>
      </w:r>
      <w:r>
        <w:rPr>
          <w:rFonts w:ascii="宋体" w:hAnsi="宋体" w:hint="eastAsia"/>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3</w:t>
      </w:r>
      <w:r>
        <w:rPr>
          <w:rFonts w:ascii="宋体" w:hAnsi="宋体" w:hint="eastAsia"/>
          <w:color w:val="000000" w:themeColor="text1"/>
          <w:szCs w:val="21"/>
          <w14:textFill>
            <w14:solidFill>
              <w14:schemeClr w14:val="tx1"/>
            </w14:solidFill>
          </w14:textFill>
        </w:rPr>
        <w:t>未参与标前会议不作为否定投标人资格的理由。</w:t>
      </w:r>
    </w:p>
    <w:p>
      <w:pPr>
        <w:pStyle w:val="NormalIndent"/>
      </w:pPr>
    </w:p>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bookmarkEnd w:id="62"/>
      <w:r>
        <w:rPr>
          <w:rFonts w:hint="eastAsia"/>
          <w:color w:val="000000" w:themeColor="text1"/>
          <w:sz w:val="28"/>
          <w:szCs w:val="28"/>
          <w14:textFill>
            <w14:solidFill>
              <w14:schemeClr w14:val="tx1"/>
            </w14:solidFill>
          </w14:textFill>
        </w:rPr>
        <w:t>招标文件</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1</w:t>
      </w:r>
      <w:r>
        <w:rPr>
          <w:rFonts w:ascii="黑体" w:eastAsia="黑体" w:hAnsi="宋体"/>
          <w:color w:val="000000" w:themeColor="text1"/>
          <w14:textFill>
            <w14:solidFill>
              <w14:schemeClr w14:val="tx1"/>
            </w14:solidFill>
          </w14:textFill>
        </w:rPr>
        <w:t>1</w:t>
      </w:r>
      <w:r>
        <w:rPr>
          <w:rFonts w:ascii="黑体" w:eastAsia="黑体" w:hAnsi="宋体" w:hint="eastAsia"/>
          <w:color w:val="000000" w:themeColor="text1"/>
          <w14:textFill>
            <w14:solidFill>
              <w14:schemeClr w14:val="tx1"/>
            </w14:solidFill>
          </w14:textFill>
        </w:rPr>
        <w:t>．</w:t>
      </w:r>
      <w:bookmarkStart w:id="64" w:name="_Hlk72399819"/>
      <w:r>
        <w:rPr>
          <w:rFonts w:ascii="黑体" w:eastAsia="黑体" w:hAnsi="宋体" w:hint="eastAsia"/>
          <w:color w:val="000000" w:themeColor="text1"/>
          <w14:textFill>
            <w14:solidFill>
              <w14:schemeClr w14:val="tx1"/>
            </w14:solidFill>
          </w14:textFill>
        </w:rPr>
        <w:t>招标文件的编制与组成</w:t>
      </w:r>
    </w:p>
    <w:p>
      <w:pPr>
        <w:snapToGrid w:val="0"/>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.1招标文件除以下内容外，</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在招标期间发出的澄清或修改等相关公告或通知内容，均是招标文件的组成部分，对投标人起约束作用；</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招标文件包括下列内容：</w:t>
      </w:r>
    </w:p>
    <w:p>
      <w:pPr>
        <w:ind w:left="480" w:firstLine="470" w:leftChars="200" w:firstLineChars="196"/>
        <w:rPr>
          <w:rFonts w:ascii="宋体" w:hAnsi="宋体"/>
          <w:b/>
          <w:color w:val="000000" w:themeColor="text1"/>
          <w:szCs w:val="21"/>
          <w14:textFill>
            <w14:solidFill>
              <w14:schemeClr w14:val="tx1"/>
            </w14:solidFill>
          </w14:textFill>
        </w:rPr>
      </w:pPr>
      <w:r>
        <w:rPr>
          <w:rFonts w:ascii="宋体" w:hAnsi="宋体" w:hint="eastAsia"/>
          <w:b/>
          <w:color w:val="000000" w:themeColor="text1"/>
          <w:szCs w:val="21"/>
          <w14:textFill>
            <w14:solidFill>
              <w14:schemeClr w14:val="tx1"/>
            </w14:solidFill>
          </w14:textFill>
        </w:rPr>
        <w:t>第一册  专用条款</w:t>
      </w:r>
    </w:p>
    <w:p>
      <w:pPr>
        <w:ind w:left="1234" w:leftChars="514"/>
        <w:rPr>
          <w:rFonts w:ascii="宋体" w:hAnsi="宋体"/>
          <w:b/>
          <w:color w:val="000000" w:themeColor="text1"/>
          <w:szCs w:val="21"/>
          <w14:textFill>
            <w14:solidFill>
              <w14:schemeClr w14:val="tx1"/>
            </w14:solidFill>
          </w14:textFill>
        </w:rPr>
      </w:pPr>
      <w:r>
        <w:rPr>
          <w:rFonts w:ascii="宋体" w:hAnsi="宋体" w:hint="eastAsia"/>
          <w:b/>
          <w:color w:val="000000" w:themeColor="text1"/>
          <w:szCs w:val="21"/>
          <w14:textFill>
            <w14:solidFill>
              <w14:schemeClr w14:val="tx1"/>
            </w14:solidFill>
          </w14:textFill>
        </w:rPr>
        <w:t>关键信息</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第一章  招标公告</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第二章  对通用条款的补充内容及其他关键信息</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第三章  用户需求书</w:t>
      </w:r>
    </w:p>
    <w:p>
      <w:pPr>
        <w:ind w:left="720" w:firstLine="470" w:leftChars="300" w:firstLineChars="196"/>
        <w:rPr>
          <w:rFonts w:ascii="宋体" w:hAnsi="宋体"/>
          <w:color w:val="000000" w:themeColor="text1"/>
          <w:szCs w:val="21"/>
          <w14:textFill>
            <w14:solidFill>
              <w14:schemeClr w14:val="tx1"/>
            </w14:solidFill>
          </w14:textFill>
        </w:rPr>
      </w:pPr>
      <w:r>
        <w:rPr>
          <w:rFonts w:hint="eastAsia"/>
          <w:color w:val="000000" w:themeColor="text1"/>
          <w14:textFill>
            <w14:solidFill>
              <w14:schemeClr w14:val="tx1"/>
            </w14:solidFill>
          </w14:textFill>
        </w:rPr>
        <w:t>第四章 投标文件格式及附件</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第五章  合同条款及格式</w:t>
      </w:r>
    </w:p>
    <w:p>
      <w:pPr>
        <w:ind w:left="480" w:firstLine="470" w:leftChars="200" w:firstLineChars="196"/>
        <w:rPr>
          <w:rFonts w:ascii="宋体" w:hAnsi="宋体"/>
          <w:b/>
          <w:color w:val="000000" w:themeColor="text1"/>
          <w:szCs w:val="21"/>
          <w14:textFill>
            <w14:solidFill>
              <w14:schemeClr w14:val="tx1"/>
            </w14:solidFill>
          </w14:textFill>
        </w:rPr>
      </w:pPr>
      <w:r>
        <w:rPr>
          <w:rFonts w:ascii="宋体" w:hAnsi="宋体" w:hint="eastAsia"/>
          <w:b/>
          <w:color w:val="000000" w:themeColor="text1"/>
          <w:szCs w:val="21"/>
          <w14:textFill>
            <w14:solidFill>
              <w14:schemeClr w14:val="tx1"/>
            </w14:solidFill>
          </w14:textFill>
        </w:rPr>
        <w:t>第二册  通用条款</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第一章  总则</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第二章  招标文件</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第三章  投标文件的编制</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第四章  投标文件的递交</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第五章  开标</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第六章  评审要求</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第七章  评审程序及评审方法</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第八章  定标及公示</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第九章  公开招标失败的后续处理</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第十章  合同的授予与备案</w:t>
      </w:r>
    </w:p>
    <w:p>
      <w:pPr>
        <w:ind w:left="720" w:firstLine="470" w:leftChars="30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第十一章  质疑处理</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.2投标人下载招标文件后，应仔细检查招标文件的所有内容，如有疑问应在答疑截止时间之前向</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提出，否则，由此引起的投标损失自负；投标人同时应认真审阅招标文件所有的事项、格式、条款和规范要求等，如果投标人的投标文件未按招标文件要求提交全部资料或者投标文件未对招标文件做出实质性响应，其风险由投标人自行承担。</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.3</w:t>
      </w:r>
      <w:r>
        <w:rPr>
          <w:rFonts w:ascii="宋体" w:hAnsi="宋体" w:hint="eastAsia"/>
          <w:color w:val="000000" w:themeColor="text1"/>
          <w14:textFill>
            <w14:solidFill>
              <w14:schemeClr w14:val="tx1"/>
            </w14:solidFill>
          </w14:textFill>
        </w:rPr>
        <w:t>任何人或任何组织向投标人提交的任何书面或口头资料，未经</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在网上发布或书面通知，均作无效处理，不得作为招标文件的组成部分。</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对投标人由此而做出的推论、理解和结论概不负责。</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1</w:t>
      </w:r>
      <w:r>
        <w:rPr>
          <w:rFonts w:ascii="黑体" w:eastAsia="黑体" w:hAnsi="宋体"/>
          <w:color w:val="000000" w:themeColor="text1"/>
          <w14:textFill>
            <w14:solidFill>
              <w14:schemeClr w14:val="tx1"/>
            </w14:solidFill>
          </w14:textFill>
        </w:rPr>
        <w:t>2</w:t>
      </w:r>
      <w:r>
        <w:rPr>
          <w:rFonts w:ascii="黑体" w:eastAsia="黑体" w:hAnsi="宋体" w:hint="eastAsia"/>
          <w:color w:val="000000" w:themeColor="text1"/>
          <w14:textFill>
            <w14:solidFill>
              <w14:schemeClr w14:val="tx1"/>
            </w14:solidFill>
          </w14:textFill>
        </w:rPr>
        <w:t>．招标文件的澄清</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.1招标文件澄清的目的是澄清、解答投标人在查阅招标文件后或现场踏勘中可能提出的与投标有关的疑问或询问。</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.2投标人如对招标文件内容有疑问，应当在招标公告规定的澄清（提问）截止时间前以网上提问的形式通过网上政府采购系统提交</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3不论是招标机构根据需要主动对招标文件进行必要的澄清或是根据投标人的要求对招标文件做出澄清，招标机构都将在投标截止日期前以书面形式（包括招标机构网站发布方式）答复或发送给所有投标人。答复内容是招标文件的组成部分，对投标人起约束作用，其有效性按照本通用条款第1</w:t>
      </w:r>
      <w:r>
        <w:rPr>
          <w:rFonts w:ascii="宋体" w:hAnsi="宋体"/>
          <w:color w:val="000000" w:themeColor="text1"/>
          <w:szCs w:val="21"/>
          <w14:textFill>
            <w14:solidFill>
              <w14:schemeClr w14:val="tx1"/>
            </w14:solidFill>
          </w14:textFill>
        </w:rPr>
        <w:t>3.3</w:t>
      </w: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3.4</w:t>
      </w:r>
      <w:r>
        <w:rPr>
          <w:rFonts w:ascii="宋体" w:hAnsi="宋体" w:hint="eastAsia"/>
          <w:color w:val="000000" w:themeColor="text1"/>
          <w:szCs w:val="21"/>
          <w14:textFill>
            <w14:solidFill>
              <w14:schemeClr w14:val="tx1"/>
            </w14:solidFill>
          </w14:textFill>
        </w:rPr>
        <w:t>款规定执行。</w:t>
      </w:r>
    </w:p>
    <w:p>
      <w:pPr>
        <w:rPr>
          <w:rFonts w:ascii="黑体" w:eastAsia="黑体" w:hAnsi="宋体"/>
          <w:color w:val="000000" w:themeColor="text1"/>
          <w14:textFill>
            <w14:solidFill>
              <w14:schemeClr w14:val="tx1"/>
            </w14:solidFill>
          </w14:textFill>
        </w:rPr>
      </w:pPr>
      <w:r>
        <w:rPr>
          <w:rFonts w:ascii="黑体" w:eastAsia="黑体" w:hAnsi="宋体"/>
          <w:color w:val="000000" w:themeColor="text1"/>
          <w14:textFill>
            <w14:solidFill>
              <w14:schemeClr w14:val="tx1"/>
            </w14:solidFill>
          </w14:textFill>
        </w:rPr>
        <w:t>1</w:t>
      </w:r>
      <w:r>
        <w:rPr>
          <w:rFonts w:ascii="黑体" w:eastAsia="黑体" w:hAnsi="宋体" w:hint="eastAsia"/>
          <w:color w:val="000000" w:themeColor="text1"/>
          <w14:textFill>
            <w14:solidFill>
              <w14:schemeClr w14:val="tx1"/>
            </w14:solidFill>
          </w14:textFill>
        </w:rPr>
        <w:t>3．招标文件的修改</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3.1招标文件发出后，在投标截止日期前任何时候，确需要变更招标文件内容的，招标机构可主动或在解答投标人提出的澄清问题时对招标文件进行修改。</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3.2招标文件的修改以书面形式（包括招标机构网站发布方式，如更正公告等）发送给所有投标人，招标文件的修改内容作为招标文件的组成部分，并具有约束力。</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3.3招标文件、招标文件澄清答复内容、招标文件修改补充内容均以书面形式（包括招标机构网站公开发布方式，如更正公告等）明确的内容为准。当招标文件、修改补充通知、招标文件澄清答复内容相互矛盾时，以最后发出的内容为准。</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3.4招标机构保证招标文件澄清答复内容和招标文件修改补充内容在投标截止时间前以书面形式（包括招标机构网站发布方式，如更正公告等）发送给所有投标人。为使投标人在编制投标文件时有充分时间对招标文件的修改部分进行研究，招标机构可以酌情延长递交投标文件的截止日期。</w:t>
      </w:r>
      <w:bookmarkEnd w:id="64"/>
    </w:p>
    <w:p>
      <w:pPr>
        <w:pStyle w:val="NormalIndent"/>
      </w:pP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投标文件的编制</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14．</w:t>
      </w:r>
      <w:bookmarkStart w:id="65" w:name="_Hlk72400236"/>
      <w:r>
        <w:rPr>
          <w:rFonts w:ascii="黑体" w:eastAsia="黑体" w:hAnsi="宋体" w:hint="eastAsia"/>
          <w:color w:val="000000" w:themeColor="text1"/>
          <w14:textFill>
            <w14:solidFill>
              <w14:schemeClr w14:val="tx1"/>
            </w14:solidFill>
          </w14:textFill>
        </w:rPr>
        <w:t>投标文件的语言及度量单位</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14.1投标人与招标机构之间与投标有关的所有往来通知、函件和投标文件均用中文表述。投标人随投标文件提供的证明文件和资料可以为其它语言，但必须附中文译文。翻译的中文资料与外文资料如果出现差异时，以中文为准，但翻译错误的除外。</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14.2除技术规范另有规定外，投标文件使用的度量单位，均采用中华人民共和国法定计量单位。</w:t>
      </w:r>
    </w:p>
    <w:p>
      <w:pPr>
        <w:rPr>
          <w:rFonts w:ascii="黑体" w:eastAsia="黑体" w:hAnsi="宋体"/>
          <w:color w:val="000000" w:themeColor="text1"/>
          <w14:textFill>
            <w14:solidFill>
              <w14:schemeClr w14:val="tx1"/>
            </w14:solidFill>
          </w14:textFill>
        </w:rPr>
      </w:pPr>
      <w:bookmarkEnd w:id="65"/>
      <w:r>
        <w:rPr>
          <w:rFonts w:ascii="黑体" w:eastAsia="黑体" w:hAnsi="宋体" w:hint="eastAsia"/>
          <w:color w:val="000000" w:themeColor="text1"/>
          <w14:textFill>
            <w14:solidFill>
              <w14:schemeClr w14:val="tx1"/>
            </w14:solidFill>
          </w14:textFill>
        </w:rPr>
        <w:t>15．</w:t>
      </w:r>
      <w:bookmarkStart w:id="66" w:name="_Hlk72401567"/>
      <w:r>
        <w:rPr>
          <w:rFonts w:ascii="黑体" w:eastAsia="黑体" w:hAnsi="宋体" w:hint="eastAsia"/>
          <w:color w:val="000000" w:themeColor="text1"/>
          <w14:textFill>
            <w14:solidFill>
              <w14:schemeClr w14:val="tx1"/>
            </w14:solidFill>
          </w14:textFill>
        </w:rPr>
        <w:t>投标文件的组成</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具体内容在招标文件专用条款中进行规定。</w:t>
      </w:r>
    </w:p>
    <w:p>
      <w:pPr>
        <w:rPr>
          <w:rFonts w:ascii="黑体" w:eastAsia="黑体" w:hAnsi="宋体"/>
          <w:color w:val="000000" w:themeColor="text1"/>
          <w14:textFill>
            <w14:solidFill>
              <w14:schemeClr w14:val="tx1"/>
            </w14:solidFill>
          </w14:textFill>
        </w:rPr>
      </w:pPr>
      <w:r>
        <w:rPr>
          <w:rFonts w:ascii="黑体" w:eastAsia="黑体" w:hAnsi="宋体"/>
          <w:color w:val="000000" w:themeColor="text1"/>
          <w14:textFill>
            <w14:solidFill>
              <w14:schemeClr w14:val="tx1"/>
            </w14:solidFill>
          </w14:textFill>
        </w:rPr>
        <w:t>16．投标文件格式</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投标文件包括本通用条款第</w:t>
      </w:r>
      <w:r>
        <w:rPr>
          <w:rFonts w:ascii="宋体" w:hAnsi="宋体"/>
          <w:color w:val="000000" w:themeColor="text1"/>
          <w:szCs w:val="21"/>
          <w14:textFill>
            <w14:solidFill>
              <w14:schemeClr w14:val="tx1"/>
            </w14:solidFill>
          </w14:textFill>
        </w:rPr>
        <w:t>15条中规定的内容。如招标文件提供了投标文件格式，则</w:t>
      </w:r>
      <w:r>
        <w:rPr>
          <w:rFonts w:ascii="宋体" w:hAnsi="宋体" w:hint="eastAsia"/>
          <w:b/>
          <w:bCs/>
          <w:color w:val="000000" w:themeColor="text1"/>
          <w:szCs w:val="21"/>
          <w14:textFill>
            <w14:solidFill>
              <w14:schemeClr w14:val="tx1"/>
            </w14:solidFill>
          </w14:textFill>
        </w:rPr>
        <w:t>投标人提交的投标文件应毫无例外地使用招标文件所提供的相应格式</w:t>
      </w:r>
      <w:r>
        <w:rPr>
          <w:rFonts w:ascii="宋体" w:hAnsi="宋体" w:hint="eastAsia"/>
          <w:color w:val="000000" w:themeColor="text1"/>
          <w:szCs w:val="21"/>
          <w14:textFill>
            <w14:solidFill>
              <w14:schemeClr w14:val="tx1"/>
            </w14:solidFill>
          </w14:textFill>
        </w:rPr>
        <w:t>（表格均可按同样格式扩展）。</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17．投标货币</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本项目的投标报价应以人民币计。</w:t>
      </w:r>
    </w:p>
    <w:p>
      <w:pPr>
        <w:rPr>
          <w:rFonts w:ascii="黑体" w:eastAsia="黑体" w:hAnsi="宋体"/>
          <w:color w:val="000000" w:themeColor="text1"/>
          <w14:textFill>
            <w14:solidFill>
              <w14:schemeClr w14:val="tx1"/>
            </w14:solidFill>
          </w14:textFill>
        </w:rPr>
      </w:pPr>
      <w:bookmarkEnd w:id="66"/>
      <w:r>
        <w:rPr>
          <w:rFonts w:ascii="黑体" w:eastAsia="黑体" w:hAnsi="宋体" w:hint="eastAsia"/>
          <w:color w:val="000000" w:themeColor="text1"/>
          <w14:textFill>
            <w14:solidFill>
              <w14:schemeClr w14:val="tx1"/>
            </w14:solidFill>
          </w14:textFill>
        </w:rPr>
        <w:t>18．</w:t>
      </w:r>
      <w:bookmarkStart w:id="67" w:name="_Hlk72401735"/>
      <w:r>
        <w:rPr>
          <w:rFonts w:ascii="黑体" w:eastAsia="黑体" w:hAnsi="宋体" w:hint="eastAsia"/>
          <w:color w:val="000000" w:themeColor="text1"/>
          <w14:textFill>
            <w14:solidFill>
              <w14:schemeClr w14:val="tx1"/>
            </w14:solidFill>
          </w14:textFill>
        </w:rPr>
        <w:t>证明投标文件投标技术方案的合格性和符合招标文件规定的文件要求</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投标人应提交证明文件，证明其投标技术方案项下的货物和服务的合格性符合招标文件规定。该投标技术方案及其证明文件均作为投标文件组成部分。</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8</w:t>
      </w: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投标人提供证明投标技术方案与招标文件的要求相一致的文件，可以是文字资料、图纸、数据或数码照片、制造商公布的产品说明书、产品彩页和我国政府机构出具的产品检验和核准证件等，提供的文件应符合以下要求：</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18.2.1主要技术指标和性能的详细说明。</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18.2.</w:t>
      </w: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投标产品从采购人开始使用至招标文件中规定的周期内正常、连续地使用所必须的备件和专用工具清单，包括备件和专用工具的货源及现行价格。</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18.2.</w:t>
      </w:r>
      <w:r>
        <w:rPr>
          <w:rFonts w:ascii="宋体" w:hAnsi="宋体"/>
          <w:color w:val="000000" w:themeColor="text1"/>
          <w:szCs w:val="21"/>
          <w14:textFill>
            <w14:solidFill>
              <w14:schemeClr w14:val="tx1"/>
            </w14:solidFill>
          </w14:textFill>
        </w:rPr>
        <w:t>3</w:t>
      </w:r>
      <w:r>
        <w:rPr>
          <w:rFonts w:ascii="宋体" w:hAnsi="宋体" w:hint="eastAsia"/>
          <w:color w:val="000000" w:themeColor="text1"/>
          <w:szCs w:val="21"/>
          <w14:textFill>
            <w14:solidFill>
              <w14:schemeClr w14:val="tx1"/>
            </w14:solidFill>
          </w14:textFill>
        </w:rPr>
        <w:t>对照招标文件技术规格，逐条说明投标技术方案已对采购人的技术规格做出了实质性的响应，或申明与技术规格条文的偏差和例外。投标人应详细说明投标技术方案中产品的具体参数，不得不合理照搬照抄招标文件的技术要求。</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18.2.4产品说明书或彩页应为制造商公布或出具的中文产品说明书或彩页；提供外文说明书或彩页的，必须同时提供加盖制造商公章的对应中文翻译说明，评标依据以中文翻译内容为准，外文说明书或彩页仅供参考；产品说明书或彩页的尺寸和</w:t>
      </w:r>
      <w:r>
        <w:rPr>
          <w:rFonts w:hint="eastAsia"/>
          <w:color w:val="000000" w:themeColor="text1"/>
          <w14:textFill>
            <w14:solidFill>
              <w14:schemeClr w14:val="tx1"/>
            </w14:solidFill>
          </w14:textFill>
        </w:rPr>
        <w:t>清晰度要求能够使用电脑阅读、识别和判断</w:t>
      </w:r>
      <w:r>
        <w:rPr>
          <w:rFonts w:ascii="宋体" w:hAnsi="宋体" w:hint="eastAsia"/>
          <w:color w:val="000000" w:themeColor="text1"/>
          <w:szCs w:val="21"/>
          <w14:textFill>
            <w14:solidFill>
              <w14:schemeClr w14:val="tx1"/>
            </w14:solidFill>
          </w14:textFill>
        </w:rPr>
        <w:t>；</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18.2.5我国政府机构出具的产品检验和核准证件应为证件正面、背面和附件标注的全部具体内容；产品检验和核准证件的尺寸和清晰度应该能够在电脑上被阅读、识别和判断，提供原件扫描件。</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18.3相关资料不符合18.2款要求的，评审委员会有权认定为投标技术方案不合格响应，其相关分数予以扣减或作投标无效处理。</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8</w:t>
      </w: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14:textFill>
            <w14:solidFill>
              <w14:schemeClr w14:val="tx1"/>
            </w14:solidFill>
          </w14:textFill>
        </w:rPr>
        <w:t>4投标人在阐述上述第18.2时应注意采购人在技术规格中指出的工艺、材料和设备的标准以及参照的牌号或分类号仅起说明作用，并没有任何限制性。投标人在投标中可以选用替代标准、牌号或分类号，但这些替代要实质上满足招标文件中技术规格的要求，是否</w:t>
      </w:r>
      <w:r>
        <w:rPr>
          <w:rFonts w:hint="eastAsia"/>
          <w:color w:val="000000" w:themeColor="text1"/>
          <w14:textFill>
            <w14:solidFill>
              <w14:schemeClr w14:val="tx1"/>
            </w14:solidFill>
          </w14:textFill>
        </w:rPr>
        <w:t>满足要求</w:t>
      </w:r>
      <w:r>
        <w:rPr>
          <w:rFonts w:ascii="宋体" w:hAnsi="宋体" w:hint="eastAsia"/>
          <w:color w:val="000000" w:themeColor="text1"/>
          <w:szCs w:val="21"/>
          <w14:textFill>
            <w14:solidFill>
              <w14:schemeClr w14:val="tx1"/>
            </w14:solidFill>
          </w14:textFill>
        </w:rPr>
        <w:t>，由评审委员会来评判。</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18.5除非另有规定或说明，投标人对同一项目投标时，不得同时提供两套或两套以上的投标方案。</w:t>
      </w:r>
    </w:p>
    <w:p>
      <w:pPr>
        <w:rPr>
          <w:rFonts w:ascii="黑体" w:eastAsia="黑体" w:hAnsi="宋体"/>
          <w:color w:val="000000" w:themeColor="text1"/>
          <w14:textFill>
            <w14:solidFill>
              <w14:schemeClr w14:val="tx1"/>
            </w14:solidFill>
          </w14:textFill>
        </w:rPr>
      </w:pPr>
      <w:bookmarkEnd w:id="67"/>
      <w:r>
        <w:rPr>
          <w:rFonts w:ascii="黑体" w:eastAsia="黑体" w:hAnsi="宋体" w:hint="eastAsia"/>
          <w:color w:val="000000" w:themeColor="text1"/>
          <w14:textFill>
            <w14:solidFill>
              <w14:schemeClr w14:val="tx1"/>
            </w14:solidFill>
          </w14:textFill>
        </w:rPr>
        <w:t>19．</w:t>
      </w:r>
      <w:bookmarkStart w:id="68" w:name="_Hlk72402034"/>
      <w:r>
        <w:rPr>
          <w:rFonts w:ascii="黑体" w:eastAsia="黑体" w:hAnsi="宋体" w:hint="eastAsia"/>
          <w:color w:val="000000" w:themeColor="text1"/>
          <w14:textFill>
            <w14:solidFill>
              <w14:schemeClr w14:val="tx1"/>
            </w14:solidFill>
          </w14:textFill>
        </w:rPr>
        <w:t>投标文件其他证明文件的要求</w:t>
      </w:r>
    </w:p>
    <w:p>
      <w:pPr>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19.1采用综合评分法的项目，对项目招标文件《评标信息》评分项中涉及的相关业绩、社保情况等内容以及《资格性审查表》和《符合性审查表》中涉及的证明材料，投标人应提供相关部门出具的证明材料扫描件或照片，原件备查。有关扫描件（或照片）的尺寸和清晰度要求能够使用电脑阅读、识别和判断。若投标人未按要求提供证明材料或提供的是部分证明材料或提供不清晰的扫描件（或照片）的，评审委员会有权认定其投标文件未对招标文件有关需求进行响应，涉及资格性检查或符合性检查的予以投标无效处理，涉及《评标信息》打分项的则该项评分予以0分处理。评审委员会对供应商投标资料是否异常、是否有效问题进行核查和判定，如认为供应商投标资料有异常或无效的，若涉及资格性审查或符合性审查条款的，则应作投标无效处理；若涉及评分的，则作不得分处理。</w:t>
      </w:r>
      <w:bookmarkStart w:id="69" w:name="_Hlk71407299"/>
    </w:p>
    <w:p>
      <w:pPr>
        <w:ind w:firstLine="470" w:firstLineChars="196"/>
        <w:rPr>
          <w:rFonts w:ascii="宋体" w:hAnsi="宋体"/>
          <w:color w:val="000000" w:themeColor="text1"/>
          <w:szCs w:val="21"/>
          <w14:textFill>
            <w14:solidFill>
              <w14:schemeClr w14:val="tx1"/>
            </w14:solidFill>
          </w14:textFill>
        </w:rPr>
      </w:pPr>
      <w:bookmarkEnd w:id="69"/>
      <w:r>
        <w:rPr>
          <w:rFonts w:ascii="宋体" w:hAnsi="宋体" w:hint="eastAsia"/>
          <w:color w:val="000000" w:themeColor="text1"/>
          <w:szCs w:val="21"/>
          <w14:textFill>
            <w14:solidFill>
              <w14:schemeClr w14:val="tx1"/>
            </w14:solidFill>
          </w14:textFill>
        </w:rPr>
        <w:t>19.2本项目涉及提供的有关资质（资格）证书，若原有资质（资格）证书处于年审期间，须提供证书颁发部门提供的回执，并且回执须证明该证书依然有效（若在法规范围不需提供的，供应商应做书面说明并提供证明文件，否则该证书无效），则该投标人提供年审证明的可按原资质（资格）投标；若投标人正在申报上一级别资质（资格），在未获批准之前，仍按原级别资质（资格）投标。</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20．投标有效期</w:t>
      </w:r>
    </w:p>
    <w:p>
      <w:pPr>
        <w:ind w:firstLine="470" w:firstLineChars="196"/>
        <w:rPr>
          <w:rFonts w:ascii="宋体" w:hAnsi="宋体"/>
          <w:color w:val="000000" w:themeColor="text1"/>
          <w:szCs w:val="21"/>
          <w14:textFill>
            <w14:solidFill>
              <w14:schemeClr w14:val="tx1"/>
            </w14:solidFill>
          </w14:textFill>
        </w:rPr>
      </w:pPr>
      <w:bookmarkEnd w:id="68"/>
      <w:bookmarkStart w:id="70" w:name="_Hlk72402214"/>
      <w:r>
        <w:rPr>
          <w:rFonts w:ascii="宋体" w:hAnsi="宋体" w:hint="eastAsia"/>
          <w:color w:val="000000" w:themeColor="text1"/>
          <w:szCs w:val="21"/>
          <w14:textFill>
            <w14:solidFill>
              <w14:schemeClr w14:val="tx1"/>
            </w14:solidFill>
          </w14:textFill>
        </w:rPr>
        <w:t>20.1投标有效期为从投标截止之日算起的日历天数。在此期限内，所有投标文件均保持有效。</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20.2 在特殊情况下，</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在原定的投标有效期满之前，</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可以根据需要以书面形式（包括</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网站公开发布方式）向投标人提出延长投标有效期的要求，对此要求投标人须以书面形式予以答复，投标人可以拒绝</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此项要求，其投标在原投标有效期满后不再有效。同意延长投标有效期的投标人不能要求也不允许修改其投标文件。</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20</w:t>
      </w:r>
      <w:r>
        <w:rPr>
          <w:rFonts w:ascii="宋体" w:hAnsi="宋体"/>
          <w:color w:val="000000" w:themeColor="text1"/>
          <w:szCs w:val="21"/>
          <w14:textFill>
            <w14:solidFill>
              <w14:schemeClr w14:val="tx1"/>
            </w14:solidFill>
          </w14:textFill>
        </w:rPr>
        <w:t>.3</w:t>
      </w:r>
      <w:r>
        <w:rPr>
          <w:rFonts w:ascii="宋体" w:hAnsi="宋体" w:hint="eastAsia"/>
          <w:color w:val="000000" w:themeColor="text1"/>
          <w:szCs w:val="21"/>
          <w14:textFill>
            <w14:solidFill>
              <w14:schemeClr w14:val="tx1"/>
            </w14:solidFill>
          </w14:textFill>
        </w:rPr>
        <w:t>中标供应商的投标文件有效期，截止于完成本招标文件规定的全部项目内容，并通过竣工验收及保修期结束。</w:t>
      </w:r>
    </w:p>
    <w:p>
      <w:pPr>
        <w:rPr>
          <w:rFonts w:ascii="黑体" w:eastAsia="黑体" w:hAnsi="宋体"/>
          <w:color w:val="000000" w:themeColor="text1"/>
          <w14:textFill>
            <w14:solidFill>
              <w14:schemeClr w14:val="tx1"/>
            </w14:solidFill>
          </w14:textFill>
        </w:rPr>
      </w:pPr>
      <w:bookmarkEnd w:id="70"/>
      <w:r>
        <w:rPr>
          <w:rFonts w:ascii="黑体" w:eastAsia="黑体" w:hAnsi="宋体" w:hint="eastAsia"/>
          <w:color w:val="000000" w:themeColor="text1"/>
          <w14:textFill>
            <w14:solidFill>
              <w14:schemeClr w14:val="tx1"/>
            </w14:solidFill>
          </w14:textFill>
        </w:rPr>
        <w:t>21．</w:t>
      </w:r>
      <w:bookmarkStart w:id="71" w:name="_Hlk72402325"/>
      <w:r>
        <w:rPr>
          <w:rFonts w:ascii="黑体" w:eastAsia="黑体" w:hAnsi="宋体" w:hint="eastAsia"/>
          <w:color w:val="000000" w:themeColor="text1"/>
          <w14:textFill>
            <w14:solidFill>
              <w14:schemeClr w14:val="tx1"/>
            </w14:solidFill>
          </w14:textFill>
        </w:rPr>
        <w:t xml:space="preserve">关于投标保证金 </w:t>
      </w:r>
    </w:p>
    <w:p>
      <w:pPr>
        <w:rPr>
          <w:rFonts w:ascii="宋体" w:eastAsia="宋体" w:hAnsi="宋体"/>
          <w:szCs w:val="21"/>
        </w:rPr>
      </w:pPr>
      <w:r>
        <w:rPr>
          <w:rFonts w:ascii="宋体" w:hAnsi="宋体" w:hint="eastAsia"/>
          <w:color w:val="000000" w:themeColor="text1"/>
          <w:szCs w:val="21"/>
          <w14:textFill>
            <w14:solidFill>
              <w14:schemeClr w14:val="tx1"/>
            </w14:solidFill>
          </w14:textFill>
        </w:rPr>
        <w:t xml:space="preserve">  </w:t>
      </w:r>
      <w:r>
        <w:rPr>
          <w:rFonts w:ascii="宋体" w:eastAsia="宋体" w:hAnsi="宋体" w:hint="eastAsia"/>
          <w:color w:val="000000" w:themeColor="text1"/>
          <w:szCs w:val="21"/>
          <w14:textFill>
            <w14:solidFill>
              <w14:schemeClr w14:val="tx1"/>
            </w14:solidFill>
          </w14:textFill>
        </w:rPr>
        <w:t xml:space="preserve"> </w:t>
      </w:r>
      <w:r>
        <w:rPr>
          <w:rFonts w:ascii="宋体" w:eastAsia="宋体" w:hAnsi="宋体" w:hint="eastAsia"/>
          <w:szCs w:val="21"/>
        </w:rPr>
        <w:t xml:space="preserve">21.1 </w:t>
      </w:r>
      <w:r>
        <w:rPr>
          <w:rFonts w:ascii="宋体" w:eastAsia="宋体" w:hAnsi="宋体" w:hint="eastAsia"/>
        </w:rPr>
        <w:t>根据《深圳市财政局关于明确政府采购保证金管理工作的通知》（深财购</w:t>
      </w:r>
      <w:r>
        <w:rPr>
          <w:rFonts w:ascii="宋体" w:eastAsia="宋体" w:hAnsi="宋体"/>
        </w:rPr>
        <w:t>[2019]42</w:t>
      </w:r>
      <w:r>
        <w:rPr>
          <w:rFonts w:ascii="宋体" w:eastAsia="宋体" w:hAnsi="宋体" w:hint="eastAsia"/>
        </w:rPr>
        <w:t>号）文的规定，本项目不收取投标保证金。</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22．投标人的替代方案</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22.1投标人所提交的投标文件应完全满足招标文件（包括图纸和技术规范所示的基本技术设计）的要求。除非项目明确允许投标人提交替代方案，否则投标人有关替代方案的条款将初审不通过，作投标无效处理。</w:t>
      </w:r>
    </w:p>
    <w:p>
      <w:pPr>
        <w:ind w:firstLine="480" w:firstLineChars="200"/>
        <w:rPr>
          <w:rFonts w:ascii="宋体" w:eastAsia="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22.2 如果允许投标人提交替代方案，则准备提交替代方案的投标人除应提交一份满足招标文件（包括图纸和技术规范所示的基本技术设计）要求的投标文件外，还应提交需评审其替代方案所需的全部资料，包括项目方案书、技术规范、替代方案报价书、所建议的项目方案及有关的其它详细资料。</w:t>
      </w:r>
    </w:p>
    <w:p>
      <w:pPr>
        <w:rPr>
          <w:rFonts w:ascii="黑体" w:eastAsia="黑体" w:hAnsi="宋体"/>
          <w:color w:val="000000" w:themeColor="text1"/>
          <w14:textFill>
            <w14:solidFill>
              <w14:schemeClr w14:val="tx1"/>
            </w14:solidFill>
          </w14:textFill>
        </w:rPr>
      </w:pPr>
      <w:bookmarkEnd w:id="71"/>
      <w:r>
        <w:rPr>
          <w:rFonts w:ascii="黑体" w:eastAsia="黑体" w:hAnsi="宋体" w:hint="eastAsia"/>
          <w:color w:val="000000" w:themeColor="text1"/>
          <w14:textFill>
            <w14:solidFill>
              <w14:schemeClr w14:val="tx1"/>
            </w14:solidFill>
          </w14:textFill>
        </w:rPr>
        <w:t>23．</w:t>
      </w:r>
      <w:bookmarkStart w:id="72" w:name="_Hlk72402860"/>
      <w:r>
        <w:rPr>
          <w:rFonts w:ascii="黑体" w:eastAsia="黑体" w:hAnsi="宋体"/>
          <w:color w:val="000000" w:themeColor="text1"/>
          <w14:textFill>
            <w14:solidFill>
              <w14:schemeClr w14:val="tx1"/>
            </w14:solidFill>
          </w14:textFill>
        </w:rPr>
        <w:t>投标文件的</w:t>
      </w:r>
      <w:r>
        <w:rPr>
          <w:rFonts w:ascii="黑体" w:eastAsia="黑体" w:hAnsi="宋体" w:hint="eastAsia"/>
          <w:color w:val="000000" w:themeColor="text1"/>
          <w14:textFill>
            <w14:solidFill>
              <w14:schemeClr w14:val="tx1"/>
            </w14:solidFill>
          </w14:textFill>
        </w:rPr>
        <w:t>制作</w:t>
      </w:r>
      <w:r>
        <w:rPr>
          <w:rFonts w:ascii="黑体" w:eastAsia="黑体" w:hAnsi="宋体"/>
          <w:color w:val="000000" w:themeColor="text1"/>
          <w14:textFill>
            <w14:solidFill>
              <w14:schemeClr w14:val="tx1"/>
            </w14:solidFill>
          </w14:textFill>
        </w:rPr>
        <w:t>要求</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23.1投标人应准备所投项目的电子投标文件一份。此电子投标文件须由投标人根据</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提供的后缀名为.szczf的电子招标文件，下载并使用相应的深圳智慧采购平台投标文件制作专用软件打开招标文件（.szczf格式）【下载地址：</w:t>
      </w:r>
      <w:r>
        <w:rPr>
          <w:rFonts w:ascii="宋体" w:hAnsi="宋体" w:hint="eastAsia"/>
          <w:color w:val="000000" w:themeColor="text1"/>
          <w:highlight w:val="yellow"/>
          <w14:textFill>
            <w14:solidFill>
              <w14:schemeClr w14:val="tx1"/>
            </w14:solidFill>
          </w14:textFill>
        </w:rPr>
        <w:t>http://zfcg.szggzy.com:8081/cgxy/013002/20210923/173e0b2c-7a4c-4246-a0c7-e0ea75d84dd6.html</w:t>
      </w:r>
      <w:r>
        <w:rPr>
          <w:rFonts w:ascii="宋体" w:hAnsi="宋体" w:hint="eastAsia"/>
          <w:color w:val="000000" w:themeColor="text1"/>
          <w14:textFill>
            <w14:solidFill>
              <w14:schemeClr w14:val="tx1"/>
            </w14:solidFill>
          </w14:textFill>
        </w:rPr>
        <w:t>】。</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23.2投标人在使用《投标文件制作软件》编制投标书时须注意：</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23.2.1导入《投标文件制作软件》的招标文件项目编号、包号应与以此制作的投标文件项目编号、包号一致。例如，不能将甲项目A包的招标书导入《投标文件制作软件》，制作乙项目B包的投标书。</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23.2.2不能用非本公司的电子密钥加密本公司的投标文件，或者用其它公司的登录用户上传本公司的投标文件。</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23.2.3要求用《投标文件制作软件》编制投标书的包，不能用其它方式编制投标书。编制投标文件时，电脑须连通互联网。</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23.2.4投标文件不能带病毒。招标机构将用专业杀毒软件对投标文件进行病毒检测，如果这两种软件均报告发现病毒，则招标机构认为该投标文件带病毒。</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23.2.5完整填写“投标关键信息”，如下图所示：</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drawing>
          <wp:inline distT="0" distB="0" distL="0" distR="0">
            <wp:extent cx="5278755" cy="2721610"/>
            <wp:effectExtent l="0" t="0" r="0" b="2540"/>
            <wp:docPr id="9" name="图片 9"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形用户界面, 应用程序&#10;&#10;描述已自动生成"/>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2721610"/>
                    </a:xfrm>
                    <a:prstGeom prst="rect">
                      <a:avLst/>
                    </a:prstGeom>
                    <a:noFill/>
                    <a:ln>
                      <a:noFill/>
                    </a:ln>
                  </pic:spPr>
                </pic:pic>
              </a:graphicData>
            </a:graphic>
          </wp:inline>
        </w:drawing>
      </w:r>
    </w:p>
    <w:p>
      <w:pPr>
        <w:ind w:firstLine="470" w:firstLineChars="196"/>
        <w:rPr>
          <w:rFonts w:ascii="宋体" w:hAnsi="宋体"/>
          <w:b/>
          <w:color w:val="000000" w:themeColor="text1"/>
          <w14:textFill>
            <w14:solidFill>
              <w14:schemeClr w14:val="tx1"/>
            </w14:solidFill>
          </w14:textFill>
        </w:rPr>
      </w:pPr>
      <w:r>
        <w:rPr>
          <w:rFonts w:ascii="宋体" w:hAnsi="宋体" w:hint="eastAsia"/>
          <w:b/>
          <w:color w:val="000000" w:themeColor="text1"/>
          <w14:textFill>
            <w14:solidFill>
              <w14:schemeClr w14:val="tx1"/>
            </w14:solidFill>
          </w14:textFill>
        </w:rPr>
        <w:t>备注：上述“开标一览表”中的“投标总价”将作为价格分计算依据；其它信息仅是对投标文件相关内容的概括性表述，不作为评审依据。</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23.2.6投标人在编辑投标文件时，</w:t>
      </w:r>
      <w:r>
        <w:rPr>
          <w:rFonts w:ascii="宋体" w:hAnsi="宋体" w:hint="eastAsia"/>
          <w:b/>
          <w:color w:val="000000" w:themeColor="text1"/>
          <w14:textFill>
            <w14:solidFill>
              <w14:schemeClr w14:val="tx1"/>
            </w14:solidFill>
          </w14:textFill>
        </w:rPr>
        <w:t>在投标文件目录中属于本节点内容的必须在本节点中填写，填写到其他节点或附件，</w:t>
      </w:r>
      <w:r>
        <w:rPr>
          <w:rFonts w:ascii="宋体" w:hAnsi="宋体" w:hint="eastAsia"/>
          <w:color w:val="000000" w:themeColor="text1"/>
          <w14:textFill>
            <w14:solidFill>
              <w14:schemeClr w14:val="tx1"/>
            </w14:solidFill>
          </w14:textFill>
        </w:rPr>
        <w:t>一切后果由供应商自行承担。</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23.2.7投标文件编写完成后，</w:t>
      </w:r>
      <w:r>
        <w:rPr>
          <w:rFonts w:ascii="宋体" w:hAnsi="宋体" w:hint="eastAsia"/>
          <w:b/>
          <w:color w:val="000000" w:themeColor="text1"/>
          <w14:textFill>
            <w14:solidFill>
              <w14:schemeClr w14:val="tx1"/>
            </w14:solidFill>
          </w14:textFill>
        </w:rPr>
        <w:t>必须用属于投标人的电子密钥进行加密，否则视同未盖公章，将导致投标文件无效。</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23.2.8招标机构不接受投标截止时间后递交的纸质、电子、传真等所有形式的投标文件。由于对网上政府采购系统操作不熟悉或自身电脑、网络等原因导致不能在投标截止时间之前上传投标文件，招标机构概不负责。建议于开标前一个工作日完成投标文件的制作与上传，如上传确有困难，请及时咨询。</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23.2.9如果开标时出现网络故障、技术故障，影响了政府采购活动，招标机构有权采取措施如延期、接受无法从网上上传的投标书等，以保障政府采购活动的公开、公平和公正。</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23.3电报、电话、传真形式的投标概不接受。</w:t>
      </w:r>
    </w:p>
    <w:p>
      <w:pPr>
        <w:ind w:firstLine="470" w:firstLineChars="196"/>
        <w:rPr>
          <w:rFonts w:ascii="宋体" w:hAnsi="宋体"/>
          <w:b/>
          <w:color w:val="000000" w:themeColor="text1"/>
          <w14:textFill>
            <w14:solidFill>
              <w14:schemeClr w14:val="tx1"/>
            </w14:solidFill>
          </w14:textFill>
        </w:rPr>
      </w:pPr>
      <w:r>
        <w:rPr>
          <w:rFonts w:ascii="宋体" w:hAnsi="宋体" w:hint="eastAsia"/>
          <w:b/>
          <w:color w:val="000000" w:themeColor="text1"/>
          <w14:textFill>
            <w14:solidFill>
              <w14:schemeClr w14:val="tx1"/>
            </w14:solidFill>
          </w14:textFill>
        </w:rPr>
        <w:t>23.4经投标人电子密钥加密的投标文件无须盖章或签字，</w:t>
      </w:r>
      <w:r>
        <w:rPr>
          <w:rFonts w:ascii="宋体" w:hAnsi="宋体" w:hint="eastAsia"/>
          <w:color w:val="000000" w:themeColor="text1"/>
          <w14:textFill>
            <w14:solidFill>
              <w14:schemeClr w14:val="tx1"/>
            </w14:solidFill>
          </w14:textFill>
        </w:rPr>
        <w:t>专用条款另有要求的除外。</w:t>
      </w:r>
    </w:p>
    <w:p>
      <w:pPr>
        <w:ind w:firstLine="470" w:firstLineChars="196"/>
        <w:rPr>
          <w:rFonts w:ascii="宋体" w:hAnsi="宋体"/>
          <w:color w:val="000000" w:themeColor="text1"/>
          <w14:textFill>
            <w14:solidFill>
              <w14:schemeClr w14:val="tx1"/>
            </w14:solidFill>
          </w14:textFill>
        </w:rPr>
      </w:pPr>
      <w:r>
        <w:rPr>
          <w:rFonts w:ascii="宋体" w:hAnsi="宋体" w:hint="eastAsia"/>
          <w:b/>
          <w:color w:val="000000" w:themeColor="text1"/>
          <w14:textFill>
            <w14:solidFill>
              <w14:schemeClr w14:val="tx1"/>
            </w14:solidFill>
          </w14:textFill>
        </w:rPr>
        <w:t>23.5</w:t>
      </w:r>
      <w:r>
        <w:rPr>
          <w:rFonts w:ascii="宋体" w:hAnsi="宋体" w:hint="eastAsia"/>
          <w:color w:val="000000" w:themeColor="text1"/>
          <w14:textFill>
            <w14:solidFill>
              <w14:schemeClr w14:val="tx1"/>
            </w14:solidFill>
          </w14:textFill>
        </w:rPr>
        <w:t xml:space="preserve"> 各类资格（资质）文件提供扫描件，专用条款另有要求的除外。</w:t>
      </w:r>
      <w:bookmarkEnd w:id="72"/>
    </w:p>
    <w:p>
      <w:pPr>
        <w:pStyle w:val="NormalIndent"/>
      </w:pPr>
    </w:p>
    <w:p/>
    <w:p>
      <w:pPr>
        <w:pStyle w:val="NormalIndent"/>
      </w:pPr>
    </w:p>
    <w:p/>
    <w:p>
      <w:pPr>
        <w:pStyle w:val="NormalIndent"/>
      </w:pPr>
    </w:p>
    <w:p/>
    <w:p>
      <w:pPr>
        <w:pStyle w:val="NormalIndent"/>
      </w:pPr>
    </w:p>
    <w:p/>
    <w:p>
      <w:pPr>
        <w:pStyle w:val="NormalIndent"/>
      </w:pPr>
    </w:p>
    <w:p/>
    <w:p>
      <w:pPr>
        <w:pStyle w:val="NormalIndent"/>
      </w:pPr>
    </w:p>
    <w:p/>
    <w:p>
      <w:pPr>
        <w:pStyle w:val="NormalIndent"/>
      </w:pPr>
    </w:p>
    <w:p>
      <w:pPr>
        <w:pStyle w:val="NormalIndent"/>
      </w:pP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投标文件的递交</w:t>
      </w:r>
      <w:bookmarkStart w:id="73" w:name="_Hlk72405459"/>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24．投标书的保密</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24.1在投标文件制作完成后，在投标文件制作软件点击【生成标书】按钮进入【填写开标一览表界面】界面，在该界面填写完开标一览表信息后点击【确定】，进入投标文件生成环节。投标文件制作软件会在投标文件生成过程中，提示用户输入密码，输入密码后对标文件自动进行加密，此加密程序确保投标文件在到达开标时间后才能解密查看。在加密过程中，请按照软件提示进行操作。加密操作界面如下图所示：</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drawing>
          <wp:inline distT="0" distB="0" distL="0" distR="0">
            <wp:extent cx="5278755" cy="2721610"/>
            <wp:effectExtent l="0" t="0" r="0" b="2540"/>
            <wp:docPr id="7" name="图片 7"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形用户界面, 应用程序&#10;&#10;描述已自动生成"/>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2721610"/>
                    </a:xfrm>
                    <a:prstGeom prst="rect">
                      <a:avLst/>
                    </a:prstGeom>
                    <a:noFill/>
                    <a:ln>
                      <a:noFill/>
                    </a:ln>
                  </pic:spPr>
                </pic:pic>
              </a:graphicData>
            </a:graphic>
          </wp:inline>
        </w:drawing>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在投标文件制作软件点击【生成标书】按钮进入【填写开标一览表界面】界面，在该界面填写完开标一览表信息后点击【确定】，进入投标文件生成环节。</w:t>
      </w:r>
      <w:r>
        <w:rPr>
          <w:rFonts w:ascii="宋体" w:hAnsi="宋体"/>
          <w:color w:val="000000" w:themeColor="text1"/>
          <w14:textFill>
            <w14:solidFill>
              <w14:schemeClr w14:val="tx1"/>
            </w14:solidFill>
          </w14:textFill>
        </w:rPr>
        <w:drawing>
          <wp:inline distT="0" distB="0" distL="0" distR="0">
            <wp:extent cx="5278755" cy="2732405"/>
            <wp:effectExtent l="0" t="0" r="0" b="0"/>
            <wp:docPr id="8" name="图片 8"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10;&#10;描述已自动生成"/>
                    <pic:cNvPicPr>
                      <a:picLocks noChangeAspect="1" noChangeArrowheads="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tretch>
                      <a:fillRect/>
                    </a:stretch>
                  </pic:blipFill>
                  <pic:spPr>
                    <a:xfrm>
                      <a:off x="0" y="0"/>
                      <a:ext cx="5278755" cy="2732405"/>
                    </a:xfrm>
                    <a:prstGeom prst="rect">
                      <a:avLst/>
                    </a:prstGeom>
                    <a:noFill/>
                    <a:ln>
                      <a:noFill/>
                    </a:ln>
                  </pic:spPr>
                </pic:pic>
              </a:graphicData>
            </a:graphic>
          </wp:inline>
        </w:drawing>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投标文件制作软件会在投标文件生成过程中，提示用户输入密码，输入密码后对标文件自动进行加密。</w:t>
      </w:r>
    </w:p>
    <w:p>
      <w:pPr>
        <w:ind w:firstLine="480" w:firstLineChars="200"/>
        <w:rPr>
          <w:rFonts w:ascii="宋体" w:hAnsi="宋体"/>
          <w:b/>
          <w:color w:val="000000" w:themeColor="text1"/>
          <w14:textFill>
            <w14:solidFill>
              <w14:schemeClr w14:val="tx1"/>
            </w14:solidFill>
          </w14:textFill>
        </w:rPr>
      </w:pPr>
      <w:r>
        <w:rPr>
          <w:rFonts w:ascii="宋体" w:hAnsi="宋体" w:hint="eastAsia"/>
          <w:b/>
          <w:color w:val="000000" w:themeColor="text1"/>
          <w14:textFill>
            <w14:solidFill>
              <w14:schemeClr w14:val="tx1"/>
            </w14:solidFill>
          </w14:textFill>
        </w:rPr>
        <w:t>24.2若采购项目出现延期情况：</w:t>
      </w:r>
    </w:p>
    <w:p>
      <w:pPr>
        <w:ind w:firstLine="480" w:firstLineChars="200"/>
        <w:rPr>
          <w:rFonts w:ascii="宋体" w:eastAsia="宋体" w:hAnsi="宋体" w:cs="宋体"/>
          <w:b/>
          <w:color w:val="000000" w:themeColor="text1"/>
          <w14:textFill>
            <w14:solidFill>
              <w14:schemeClr w14:val="tx1"/>
            </w14:solidFill>
          </w14:textFill>
        </w:rPr>
      </w:pPr>
      <w:r>
        <w:rPr>
          <w:rFonts w:ascii="宋体" w:hAnsi="宋体" w:hint="eastAsia"/>
          <w:b/>
          <w:color w:val="000000" w:themeColor="text1"/>
          <w14:textFill>
            <w14:solidFill>
              <w14:schemeClr w14:val="tx1"/>
            </w14:solidFill>
          </w14:textFill>
        </w:rPr>
        <w:t>如果供下载的招标文件（后缀名为.</w:t>
      </w:r>
      <w:r>
        <w:rPr>
          <w:rFonts w:ascii="宋体" w:hAnsi="宋体"/>
          <w:b/>
          <w:color w:val="000000" w:themeColor="text1"/>
          <w14:textFill>
            <w14:solidFill>
              <w14:schemeClr w14:val="tx1"/>
            </w14:solidFill>
          </w14:textFill>
        </w:rPr>
        <w:t>szczf</w:t>
      </w:r>
      <w:r>
        <w:rPr>
          <w:rFonts w:ascii="宋体" w:hAnsi="宋体" w:hint="eastAsia"/>
          <w:b/>
          <w:color w:val="000000" w:themeColor="text1"/>
          <w14:textFill>
            <w14:solidFill>
              <w14:schemeClr w14:val="tx1"/>
            </w14:solidFill>
          </w14:textFill>
        </w:rPr>
        <w:t>）有更新，投标人必须重新下载招标文件、重新制作投标文件、重新加密投标文件、重新上传投标文件；如果供下载的招标文件（后缀名为.</w:t>
      </w:r>
      <w:r>
        <w:rPr>
          <w:rFonts w:ascii="宋体" w:hAnsi="宋体"/>
          <w:b/>
          <w:color w:val="000000" w:themeColor="text1"/>
          <w14:textFill>
            <w14:solidFill>
              <w14:schemeClr w14:val="tx1"/>
            </w14:solidFill>
          </w14:textFill>
        </w:rPr>
        <w:t>szczf</w:t>
      </w:r>
      <w:r>
        <w:rPr>
          <w:rFonts w:ascii="宋体" w:hAnsi="宋体" w:hint="eastAsia"/>
          <w:b/>
          <w:color w:val="000000" w:themeColor="text1"/>
          <w14:textFill>
            <w14:solidFill>
              <w14:schemeClr w14:val="tx1"/>
            </w14:solidFill>
          </w14:textFill>
        </w:rPr>
        <w:t>）没有更新，投标人必须重新加密投标文件、重新上传投标文件（是否重新制作投标文件根据项目实际情况定）。否则，投标人自行承担投标文件无法解密导致投标无效的后果。</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25．上传投标文件及投标截止日期</w:t>
      </w:r>
    </w:p>
    <w:p>
      <w:pPr>
        <w:ind w:firstLine="480" w:firstLineChars="200"/>
        <w:rPr>
          <w:rFonts w:ascii="宋体" w:eastAsia="宋体" w:hAnsi="宋体" w:cs="宋体" w:hint="eastAsia"/>
          <w:bCs/>
          <w:color w:val="000000" w:themeColor="text1"/>
          <w14:textFill>
            <w14:solidFill>
              <w14:schemeClr w14:val="tx1"/>
            </w14:solidFill>
          </w14:textFill>
        </w:rPr>
      </w:pPr>
      <w:r>
        <w:rPr>
          <w:rFonts w:ascii="宋体" w:eastAsia="宋体" w:hAnsi="宋体" w:cs="宋体" w:hint="eastAsia"/>
          <w:bCs/>
          <w:color w:val="000000" w:themeColor="text1"/>
          <w14:textFill>
            <w14:solidFill>
              <w14:schemeClr w14:val="tx1"/>
            </w14:solidFill>
          </w14:textFill>
        </w:rPr>
        <w:t>25.1实行网上投标，投标人必须在招标文件规定的投标截止时间前用电子密钥登录“深圳政府采购智慧平台用户网上办事子系统（</w:t>
      </w:r>
      <w:r>
        <w:rPr>
          <w:rFonts w:ascii="宋体" w:eastAsia="宋体" w:hAnsi="宋体" w:cs="宋体" w:hint="eastAsia"/>
          <w:bCs/>
          <w:color w:val="000000" w:themeColor="text1"/>
          <w:highlight w:val="yellow"/>
          <w14:textFill>
            <w14:solidFill>
              <w14:schemeClr w14:val="tx1"/>
            </w14:solidFill>
          </w14:textFill>
        </w:rPr>
        <w:t>http://zfcg.szggzy.com:8081/TPBidder/memberLogin</w:t>
      </w:r>
      <w:r>
        <w:rPr>
          <w:rFonts w:ascii="宋体" w:eastAsia="宋体" w:hAnsi="宋体" w:cs="宋体" w:hint="eastAsia"/>
          <w:bCs/>
          <w:color w:val="000000" w:themeColor="text1"/>
          <w14:textFill>
            <w14:solidFill>
              <w14:schemeClr w14:val="tx1"/>
            </w14:solidFill>
          </w14:textFill>
        </w:rPr>
        <w:t>）”，用“【我的项目】→【项目流程】→【递交投标(应答)文件】”功能点上传投标文件。如上传过程中遇到问题，可拨打技术支持电话，联系方式：</w:t>
      </w:r>
      <w:r>
        <w:rPr>
          <w:rFonts w:ascii="宋体" w:hAnsi="宋体" w:hint="eastAsia"/>
          <w:highlight w:val="yellow"/>
          <w:lang w:eastAsia="zh-CN"/>
        </w:rPr>
        <w:t>0755-88653300</w:t>
      </w:r>
      <w:r>
        <w:rPr>
          <w:rFonts w:ascii="宋体" w:hAnsi="宋体" w:hint="eastAsia"/>
          <w:highlight w:val="yellow"/>
          <w:lang w:val="en-US" w:eastAsia="zh-CN"/>
        </w:rPr>
        <w:t>-</w:t>
      </w:r>
      <w:r>
        <w:rPr>
          <w:rFonts w:ascii="宋体" w:hAnsi="宋体" w:hint="eastAsia"/>
          <w:highlight w:val="yellow"/>
          <w:lang w:eastAsia="zh-CN"/>
        </w:rPr>
        <w:t>6</w:t>
      </w:r>
      <w:r>
        <w:rPr>
          <w:rFonts w:ascii="宋体" w:eastAsia="宋体" w:hAnsi="宋体" w:cs="宋体" w:hint="eastAsia"/>
          <w:bCs/>
          <w:color w:val="000000" w:themeColor="text1"/>
          <w14:textFill>
            <w14:solidFill>
              <w14:schemeClr w14:val="tx1"/>
            </w14:solidFill>
          </w14:textFill>
        </w:rPr>
        <w:t>。</w:t>
      </w:r>
    </w:p>
    <w:p>
      <w:pPr>
        <w:ind w:firstLine="480" w:firstLineChars="200"/>
        <w:rPr>
          <w:rFonts w:ascii="宋体" w:eastAsia="宋体" w:hAnsi="宋体" w:cs="宋体"/>
          <w:bCs/>
          <w:color w:val="000000" w:themeColor="text1"/>
          <w14:textFill>
            <w14:solidFill>
              <w14:schemeClr w14:val="tx1"/>
            </w14:solidFill>
          </w14:textFill>
        </w:rPr>
      </w:pPr>
      <w:r>
        <w:rPr>
          <w:rFonts w:ascii="宋体" w:eastAsia="宋体" w:hAnsi="宋体" w:cs="宋体" w:hint="eastAsia"/>
          <w:bCs/>
          <w:color w:val="000000" w:themeColor="text1"/>
          <w14:textFill>
            <w14:solidFill>
              <w14:schemeClr w14:val="tx1"/>
            </w14:solidFill>
          </w14:textFill>
        </w:rPr>
        <w:t>25.2招标机构可以按本通用条款第13条规定，通过修改招标文件自行决定酌情延长投标截止期。在此情况下，招标机构、采购人和投标人受投标截止期制约的所有权利和义务均应延长至新的截止期。</w:t>
      </w:r>
    </w:p>
    <w:p>
      <w:pPr>
        <w:ind w:firstLine="480" w:firstLineChars="200"/>
        <w:rPr>
          <w:rFonts w:ascii="宋体" w:eastAsia="宋体" w:hAnsi="宋体" w:cs="宋体"/>
          <w:bCs/>
          <w:color w:val="000000" w:themeColor="text1"/>
          <w14:textFill>
            <w14:solidFill>
              <w14:schemeClr w14:val="tx1"/>
            </w14:solidFill>
          </w14:textFill>
        </w:rPr>
      </w:pPr>
      <w:r>
        <w:rPr>
          <w:rFonts w:ascii="宋体" w:eastAsia="宋体" w:hAnsi="宋体" w:cs="宋体" w:hint="eastAsia"/>
          <w:bCs/>
          <w:color w:val="000000" w:themeColor="text1"/>
          <w14:textFill>
            <w14:solidFill>
              <w14:schemeClr w14:val="tx1"/>
            </w14:solidFill>
          </w14:textFill>
        </w:rPr>
        <w:t>25</w:t>
      </w:r>
      <w:r>
        <w:rPr>
          <w:rFonts w:ascii="宋体" w:eastAsia="宋体" w:hAnsi="宋体" w:cs="宋体"/>
          <w:bCs/>
          <w:color w:val="000000" w:themeColor="text1"/>
          <w14:textFill>
            <w14:solidFill>
              <w14:schemeClr w14:val="tx1"/>
            </w14:solidFill>
          </w14:textFill>
        </w:rPr>
        <w:t>.</w:t>
      </w:r>
      <w:r>
        <w:rPr>
          <w:rFonts w:ascii="宋体" w:eastAsia="宋体" w:hAnsi="宋体" w:cs="宋体" w:hint="eastAsia"/>
          <w:bCs/>
          <w:color w:val="000000" w:themeColor="text1"/>
          <w14:textFill>
            <w14:solidFill>
              <w14:schemeClr w14:val="tx1"/>
            </w14:solidFill>
          </w14:textFill>
        </w:rPr>
        <w:t>3投标截止时间以后不得上传投标文件。</w:t>
      </w:r>
    </w:p>
    <w:p>
      <w:pPr>
        <w:ind w:firstLine="480" w:firstLineChars="200"/>
        <w:rPr>
          <w:rFonts w:ascii="宋体" w:eastAsia="宋体" w:hAnsi="宋体" w:cs="宋体"/>
          <w:bCs/>
          <w:color w:val="000000" w:themeColor="text1"/>
          <w14:textFill>
            <w14:solidFill>
              <w14:schemeClr w14:val="tx1"/>
            </w14:solidFill>
          </w14:textFill>
        </w:rPr>
      </w:pPr>
      <w:r>
        <w:rPr>
          <w:rFonts w:ascii="宋体" w:eastAsia="宋体" w:hAnsi="宋体" w:cs="宋体" w:hint="eastAsia"/>
          <w:bCs/>
          <w:color w:val="000000" w:themeColor="text1"/>
          <w14:textFill>
            <w14:solidFill>
              <w14:schemeClr w14:val="tx1"/>
            </w14:solidFill>
          </w14:textFill>
        </w:rPr>
        <w:t>25.4.投标人须在开标当日的开标时间至解密截止时间内进行解密，逾期未解密的作无效处理。解密方法：登录“深圳政府采购智慧平台用户网上办事子系统（http://zfcg.szggzy.com:8081/TPBidder/memberLogin）”，使用本单位制作电子投标文件同一个电子密钥，在“【我的项目】→【项目流程】→【开标及解密】”进行在线解密、查询开标情况。</w:t>
      </w:r>
    </w:p>
    <w:p>
      <w:pPr>
        <w:rPr>
          <w:rFonts w:ascii="黑体" w:eastAsia="黑体" w:hAnsi="宋体"/>
          <w:color w:val="000000" w:themeColor="text1"/>
          <w14:textFill>
            <w14:solidFill>
              <w14:schemeClr w14:val="tx1"/>
            </w14:solidFill>
          </w14:textFill>
        </w:rPr>
      </w:pPr>
      <w:bookmarkEnd w:id="73"/>
      <w:r>
        <w:rPr>
          <w:rFonts w:ascii="黑体" w:eastAsia="黑体" w:hAnsi="宋体" w:hint="eastAsia"/>
          <w:color w:val="000000" w:themeColor="text1"/>
          <w14:textFill>
            <w14:solidFill>
              <w14:schemeClr w14:val="tx1"/>
            </w14:solidFill>
          </w14:textFill>
        </w:rPr>
        <w:t>26. 样品、现场演示、方案讲解</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26.1 样品、现场演示、方案讲解等事项在招标文件专用条款中进行规定。</w:t>
      </w:r>
    </w:p>
    <w:p>
      <w:pPr>
        <w:rPr>
          <w:rFonts w:ascii="黑体" w:eastAsia="黑体" w:hAnsi="宋体"/>
          <w:color w:val="000000" w:themeColor="text1"/>
          <w14:textFill>
            <w14:solidFill>
              <w14:schemeClr w14:val="tx1"/>
            </w14:solidFill>
          </w14:textFill>
        </w:rPr>
      </w:pPr>
      <w:bookmarkStart w:id="74" w:name="_Hlk72428346"/>
      <w:r>
        <w:rPr>
          <w:rFonts w:ascii="黑体" w:eastAsia="黑体" w:hAnsi="宋体"/>
          <w:color w:val="000000" w:themeColor="text1"/>
          <w14:textFill>
            <w14:solidFill>
              <w14:schemeClr w14:val="tx1"/>
            </w14:solidFill>
          </w14:textFill>
        </w:rPr>
        <w:t>2</w:t>
      </w:r>
      <w:r>
        <w:rPr>
          <w:rFonts w:ascii="黑体" w:eastAsia="黑体" w:hAnsi="宋体" w:hint="eastAsia"/>
          <w:color w:val="000000" w:themeColor="text1"/>
          <w14:textFill>
            <w14:solidFill>
              <w14:schemeClr w14:val="tx1"/>
            </w14:solidFill>
          </w14:textFill>
        </w:rPr>
        <w:t>7．</w:t>
      </w:r>
      <w:r>
        <w:rPr>
          <w:rFonts w:ascii="黑体" w:eastAsia="黑体" w:hAnsi="宋体"/>
          <w:color w:val="000000" w:themeColor="text1"/>
          <w14:textFill>
            <w14:solidFill>
              <w14:schemeClr w14:val="tx1"/>
            </w14:solidFill>
          </w14:textFill>
        </w:rPr>
        <w:t>投标文件的修改和撤销</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2</w:t>
      </w:r>
      <w:r>
        <w:rPr>
          <w:rFonts w:ascii="宋体" w:hAnsi="宋体" w:hint="eastAsia"/>
          <w:color w:val="000000" w:themeColor="text1"/>
          <w14:textFill>
            <w14:solidFill>
              <w14:schemeClr w14:val="tx1"/>
            </w14:solidFill>
          </w14:textFill>
        </w:rPr>
        <w:t>7</w:t>
      </w:r>
      <w:r>
        <w:rPr>
          <w:rFonts w:ascii="宋体" w:hAnsi="宋体"/>
          <w:color w:val="000000" w:themeColor="text1"/>
          <w14:textFill>
            <w14:solidFill>
              <w14:schemeClr w14:val="tx1"/>
            </w14:solidFill>
          </w14:textFill>
        </w:rPr>
        <w:t>.</w:t>
      </w:r>
      <w:r>
        <w:rPr>
          <w:rFonts w:ascii="宋体" w:hAnsi="宋体" w:hint="eastAsia"/>
          <w:color w:val="000000" w:themeColor="text1"/>
          <w14:textFill>
            <w14:solidFill>
              <w14:schemeClr w14:val="tx1"/>
            </w14:solidFill>
          </w14:textFill>
        </w:rPr>
        <w:t>1</w:t>
      </w:r>
      <w:r>
        <w:rPr>
          <w:rFonts w:ascii="宋体" w:hAnsi="宋体"/>
          <w:color w:val="000000" w:themeColor="text1"/>
          <w14:textFill>
            <w14:solidFill>
              <w14:schemeClr w14:val="tx1"/>
            </w14:solidFill>
          </w14:textFill>
        </w:rPr>
        <w:t>投标方在提交投标文件后可对其投标文件进行修改</w:t>
      </w:r>
      <w:r>
        <w:rPr>
          <w:rFonts w:ascii="宋体" w:hAnsi="宋体" w:hint="eastAsia"/>
          <w:color w:val="000000" w:themeColor="text1"/>
          <w14:textFill>
            <w14:solidFill>
              <w14:schemeClr w14:val="tx1"/>
            </w14:solidFill>
          </w14:textFill>
        </w:rPr>
        <w:t>并重新上传投标文件</w:t>
      </w:r>
      <w:r>
        <w:rPr>
          <w:rFonts w:ascii="宋体" w:hAnsi="宋体"/>
          <w:color w:val="000000" w:themeColor="text1"/>
          <w14:textFill>
            <w14:solidFill>
              <w14:schemeClr w14:val="tx1"/>
            </w14:solidFill>
          </w14:textFill>
        </w:rPr>
        <w:t>或</w:t>
      </w:r>
      <w:r>
        <w:rPr>
          <w:rFonts w:ascii="宋体" w:hAnsi="宋体" w:hint="eastAsia"/>
          <w:color w:val="000000" w:themeColor="text1"/>
          <w14:textFill>
            <w14:solidFill>
              <w14:schemeClr w14:val="tx1"/>
            </w14:solidFill>
          </w14:textFill>
        </w:rPr>
        <w:t>在网上进行</w:t>
      </w:r>
      <w:r>
        <w:rPr>
          <w:rFonts w:ascii="宋体" w:hAnsi="宋体"/>
          <w:color w:val="000000" w:themeColor="text1"/>
          <w14:textFill>
            <w14:solidFill>
              <w14:schemeClr w14:val="tx1"/>
            </w14:solidFill>
          </w14:textFill>
        </w:rPr>
        <w:t>撤销</w:t>
      </w:r>
      <w:r>
        <w:rPr>
          <w:rFonts w:ascii="宋体" w:hAnsi="宋体" w:hint="eastAsia"/>
          <w:color w:val="000000" w:themeColor="text1"/>
          <w14:textFill>
            <w14:solidFill>
              <w14:schemeClr w14:val="tx1"/>
            </w14:solidFill>
          </w14:textFill>
        </w:rPr>
        <w:t>投标的操作</w:t>
      </w:r>
      <w:r>
        <w:rPr>
          <w:rFonts w:ascii="宋体" w:hAnsi="宋体"/>
          <w:color w:val="000000" w:themeColor="text1"/>
          <w14:textFill>
            <w14:solidFill>
              <w14:schemeClr w14:val="tx1"/>
            </w14:solidFill>
          </w14:textFill>
        </w:rPr>
        <w:t>。</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2</w:t>
      </w:r>
      <w:r>
        <w:rPr>
          <w:rFonts w:ascii="宋体" w:hAnsi="宋体" w:hint="eastAsia"/>
          <w:color w:val="000000" w:themeColor="text1"/>
          <w14:textFill>
            <w14:solidFill>
              <w14:schemeClr w14:val="tx1"/>
            </w14:solidFill>
          </w14:textFill>
        </w:rPr>
        <w:t>7</w:t>
      </w:r>
      <w:r>
        <w:rPr>
          <w:rFonts w:ascii="宋体" w:hAnsi="宋体"/>
          <w:color w:val="000000" w:themeColor="text1"/>
          <w14:textFill>
            <w14:solidFill>
              <w14:schemeClr w14:val="tx1"/>
            </w14:solidFill>
          </w14:textFill>
        </w:rPr>
        <w:t>.</w:t>
      </w:r>
      <w:r>
        <w:rPr>
          <w:rFonts w:ascii="宋体" w:hAnsi="宋体" w:hint="eastAsia"/>
          <w:color w:val="000000" w:themeColor="text1"/>
          <w14:textFill>
            <w14:solidFill>
              <w14:schemeClr w14:val="tx1"/>
            </w14:solidFill>
          </w14:textFill>
        </w:rPr>
        <w:t>2</w:t>
      </w:r>
      <w:r>
        <w:rPr>
          <w:rFonts w:ascii="宋体" w:hAnsi="宋体"/>
          <w:color w:val="000000" w:themeColor="text1"/>
          <w14:textFill>
            <w14:solidFill>
              <w14:schemeClr w14:val="tx1"/>
            </w14:solidFill>
          </w14:textFill>
        </w:rPr>
        <w:t>投标截止时间以后不得修改投标文件。</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2</w:t>
      </w:r>
      <w:r>
        <w:rPr>
          <w:rFonts w:ascii="宋体" w:hAnsi="宋体" w:hint="eastAsia"/>
          <w:color w:val="000000" w:themeColor="text1"/>
          <w14:textFill>
            <w14:solidFill>
              <w14:schemeClr w14:val="tx1"/>
            </w14:solidFill>
          </w14:textFill>
        </w:rPr>
        <w:t>7</w:t>
      </w:r>
      <w:r>
        <w:rPr>
          <w:rFonts w:ascii="宋体" w:hAnsi="宋体"/>
          <w:color w:val="000000" w:themeColor="text1"/>
          <w14:textFill>
            <w14:solidFill>
              <w14:schemeClr w14:val="tx1"/>
            </w14:solidFill>
          </w14:textFill>
        </w:rPr>
        <w:t>.</w:t>
      </w:r>
      <w:r>
        <w:rPr>
          <w:rFonts w:ascii="宋体" w:hAnsi="宋体" w:hint="eastAsia"/>
          <w:color w:val="000000" w:themeColor="text1"/>
          <w14:textFill>
            <w14:solidFill>
              <w14:schemeClr w14:val="tx1"/>
            </w14:solidFill>
          </w14:textFill>
        </w:rPr>
        <w:t>3从投标截止期至投标人在投标文件中确定的投标有效期之间的这段时间内，投标人不得撤回其投标。</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27.4</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不退还投标文件，专用条款另有规定的除外。</w:t>
      </w: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bookmarkEnd w:id="74"/>
      <w:r>
        <w:rPr>
          <w:rFonts w:hint="eastAsia"/>
          <w:color w:val="000000" w:themeColor="text1"/>
          <w:sz w:val="28"/>
          <w:szCs w:val="28"/>
          <w14:textFill>
            <w14:solidFill>
              <w14:schemeClr w14:val="tx1"/>
            </w14:solidFill>
          </w14:textFill>
        </w:rPr>
        <w:t>开标</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28．开标</w:t>
      </w:r>
    </w:p>
    <w:p>
      <w:pPr>
        <w:ind w:firstLine="480" w:firstLineChars="200"/>
        <w:rPr>
          <w:rFonts w:ascii="宋体" w:hAnsi="宋体"/>
          <w:color w:val="000000" w:themeColor="text1"/>
          <w14:textFill>
            <w14:solidFill>
              <w14:schemeClr w14:val="tx1"/>
            </w14:solidFill>
          </w14:textFill>
        </w:rPr>
      </w:pP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8</w:t>
      </w: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14:textFill>
            <w14:solidFill>
              <w14:schemeClr w14:val="tx1"/>
            </w14:solidFill>
          </w14:textFill>
        </w:rPr>
        <w:t>1</w:t>
      </w:r>
      <w:r>
        <w:rPr>
          <w:rFonts w:ascii="宋体" w:hAnsi="宋体" w:hint="eastAsia"/>
          <w:color w:val="000000" w:themeColor="text1"/>
          <w14:textFill>
            <w14:solidFill>
              <w14:schemeClr w14:val="tx1"/>
            </w14:solidFill>
          </w14:textFill>
        </w:rPr>
        <w:t>投标人须在开标当日的开标时间至解密截止时间内进行解密，逾期未解密的作无效处理。解密方法：登录“深圳政府采购智慧平台用户网上办事子系统（http://zfcg.szggzy.com:8081/TPBidder/memberLogin）”，使用本单位制作电子投标文件同一个电子密钥，在“【我的项目】→【项目流程】→【开标及解密】”进行在线解密、查询开标情况。</w:t>
      </w:r>
    </w:p>
    <w:p>
      <w:pPr>
        <w:ind w:firstLine="410" w:firstLineChars="171"/>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w:t>
      </w:r>
      <w:r>
        <w:rPr>
          <w:rFonts w:ascii="宋体" w:hAnsi="宋体"/>
          <w:color w:val="000000" w:themeColor="text1"/>
          <w:szCs w:val="21"/>
          <w14:textFill>
            <w14:solidFill>
              <w14:schemeClr w14:val="tx1"/>
            </w14:solidFill>
          </w14:textFill>
        </w:rPr>
        <w:t xml:space="preserve">8.2 </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将在满足开标条件（</w:t>
      </w:r>
      <w:r>
        <w:rPr>
          <w:rFonts w:ascii="宋体" w:hAnsi="宋体" w:cs="宋体" w:hint="eastAsia"/>
          <w:color w:val="000000" w:themeColor="text1"/>
          <w:sz w:val="20"/>
          <w:szCs w:val="20"/>
          <w:shd w:val="clear" w:color="auto" w:fill="FFFFFF"/>
          <w14:textFill>
            <w14:solidFill>
              <w14:schemeClr w14:val="tx1"/>
            </w14:solidFill>
          </w14:textFill>
        </w:rPr>
        <w:t>①</w:t>
      </w:r>
      <w:r>
        <w:rPr>
          <w:rFonts w:ascii="宋体" w:hAnsi="宋体" w:hint="eastAsia"/>
          <w:color w:val="000000" w:themeColor="text1"/>
          <w:szCs w:val="21"/>
          <w14:textFill>
            <w14:solidFill>
              <w14:schemeClr w14:val="tx1"/>
            </w14:solidFill>
          </w14:textFill>
        </w:rPr>
        <w:t>解密时间结束，解密后的投标供应商数量满足开标要求或</w:t>
      </w:r>
      <w:r>
        <w:rPr>
          <w:rFonts w:ascii="宋体" w:hAnsi="宋体" w:cs="宋体" w:hint="eastAsia"/>
          <w:color w:val="000000" w:themeColor="text1"/>
          <w:sz w:val="20"/>
          <w:szCs w:val="20"/>
          <w:shd w:val="clear" w:color="auto" w:fill="FFFFFF"/>
          <w14:textFill>
            <w14:solidFill>
              <w14:schemeClr w14:val="tx1"/>
            </w14:solidFill>
          </w14:textFill>
        </w:rPr>
        <w:t>②</w:t>
      </w:r>
      <w:r>
        <w:rPr>
          <w:rFonts w:ascii="宋体" w:hAnsi="宋体" w:hint="eastAsia"/>
          <w:color w:val="000000" w:themeColor="text1"/>
          <w:szCs w:val="21"/>
          <w14:textFill>
            <w14:solidFill>
              <w14:schemeClr w14:val="tx1"/>
            </w14:solidFill>
          </w14:textFill>
        </w:rPr>
        <w:t>解密时间结束前所有投标供应商均完成投标文件解密）后，对投标文件进行开标，并在网上公布开标结果。</w:t>
      </w: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评审要求</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29．评审委员会组成</w:t>
      </w:r>
    </w:p>
    <w:p>
      <w:pPr>
        <w:ind w:firstLine="470" w:firstLineChars="196"/>
        <w:rPr>
          <w:rFonts w:ascii="宋体" w:eastAsia="宋体" w:hAnsi="宋体"/>
        </w:rPr>
      </w:pPr>
      <w:r>
        <w:rPr>
          <w:rFonts w:ascii="宋体" w:eastAsia="宋体" w:hAnsi="宋体" w:hint="eastAsia"/>
        </w:rPr>
        <w:t>29.1网上开标结束后召开评审会议，</w:t>
      </w:r>
      <w:r>
        <w:rPr>
          <w:rFonts w:ascii="宋体" w:eastAsia="宋体" w:hAnsi="宋体" w:hint="eastAsia"/>
          <w:szCs w:val="21"/>
        </w:rPr>
        <w:t>评审委员会</w:t>
      </w:r>
      <w:r>
        <w:rPr>
          <w:rFonts w:ascii="宋体" w:eastAsia="宋体" w:hAnsi="宋体" w:hint="eastAsia"/>
        </w:rPr>
        <w:t>由</w:t>
      </w:r>
      <w:r>
        <w:rPr>
          <w:rFonts w:ascii="宋体" w:eastAsia="宋体" w:hAnsi="宋体" w:hint="eastAsia"/>
          <w:lang w:eastAsia="zh-CN"/>
        </w:rPr>
        <w:t>政府采购代理机构</w:t>
      </w:r>
      <w:r>
        <w:rPr>
          <w:rFonts w:ascii="宋体" w:eastAsia="宋体" w:hAnsi="宋体" w:hint="eastAsia"/>
        </w:rPr>
        <w:t>依法组建，负责评审活动。</w:t>
      </w:r>
    </w:p>
    <w:p>
      <w:pPr>
        <w:ind w:firstLine="470" w:firstLineChars="196"/>
        <w:rPr>
          <w:rFonts w:ascii="宋体" w:eastAsia="宋体" w:hAnsi="宋体"/>
        </w:rPr>
      </w:pPr>
      <w:bookmarkStart w:id="75" w:name="_Hlk72436580"/>
      <w:r>
        <w:rPr>
          <w:rFonts w:ascii="宋体" w:eastAsia="宋体" w:hAnsi="宋体" w:hint="eastAsia"/>
        </w:rPr>
        <w:t>评审委员会由采购人代表和评审专家组成，成员人数应当为5人以上单数（部分条件下为7人以上单数），其中评审专家不得少于成员总数的三分之二。</w:t>
      </w:r>
      <w:bookmarkEnd w:id="75"/>
      <w:r>
        <w:rPr>
          <w:rFonts w:ascii="宋体" w:eastAsia="宋体" w:hAnsi="宋体" w:hint="eastAsia"/>
        </w:rPr>
        <w:t>评定</w:t>
      </w:r>
      <w:r>
        <w:rPr>
          <w:rFonts w:eastAsia="宋体" w:hint="eastAsia"/>
        </w:rPr>
        <w:t>分离项目评审专家均由评审专家组成。</w:t>
      </w:r>
      <w:r>
        <w:rPr>
          <w:rFonts w:ascii="宋体" w:eastAsia="宋体" w:hAnsi="宋体" w:hint="eastAsia"/>
          <w:szCs w:val="21"/>
        </w:rPr>
        <w:t>评审专家一般是</w:t>
      </w:r>
      <w:r>
        <w:rPr>
          <w:rFonts w:ascii="宋体" w:eastAsia="宋体" w:hAnsi="宋体" w:hint="eastAsia"/>
        </w:rPr>
        <w:t>从深圳市政府采购评审专家库中随机抽取。采购人代表须持本单位签发的《评审授权书》参加评审。</w:t>
      </w:r>
    </w:p>
    <w:p>
      <w:pPr>
        <w:ind w:firstLine="470" w:firstLineChars="196"/>
        <w:rPr>
          <w:rFonts w:ascii="宋体" w:eastAsia="宋体" w:hAnsi="宋体"/>
        </w:rPr>
      </w:pPr>
      <w:r>
        <w:rPr>
          <w:rFonts w:ascii="宋体" w:eastAsia="宋体" w:hAnsi="宋体" w:hint="eastAsia"/>
        </w:rPr>
        <w:t>29.2评审定标应当遵循公平、公正、科学、择优的原则。</w:t>
      </w:r>
    </w:p>
    <w:p>
      <w:pPr>
        <w:ind w:firstLine="470" w:firstLineChars="196"/>
        <w:rPr>
          <w:rFonts w:ascii="宋体" w:eastAsia="宋体" w:hAnsi="宋体"/>
        </w:rPr>
      </w:pPr>
      <w:r>
        <w:rPr>
          <w:rFonts w:ascii="宋体" w:eastAsia="宋体" w:hAnsi="宋体" w:hint="eastAsia"/>
        </w:rPr>
        <w:t>29.3评审活动依法进行，任何单位和个人不得非法干预评标过程和结果。</w:t>
      </w:r>
    </w:p>
    <w:p>
      <w:pPr>
        <w:ind w:firstLine="470" w:firstLineChars="196"/>
        <w:rPr>
          <w:rFonts w:ascii="宋体" w:eastAsia="宋体" w:hAnsi="宋体"/>
        </w:rPr>
      </w:pPr>
      <w:r>
        <w:rPr>
          <w:rFonts w:ascii="宋体" w:eastAsia="宋体" w:hAnsi="宋体" w:hint="eastAsia"/>
        </w:rPr>
        <w:t>29.4评审过程中不允许违背评标程序或采用招标文件未载明的评标方法或评标因素进行评标。</w:t>
      </w:r>
    </w:p>
    <w:p>
      <w:pPr>
        <w:ind w:firstLine="470" w:firstLineChars="196"/>
        <w:rPr>
          <w:rFonts w:ascii="宋体" w:eastAsia="宋体" w:hAnsi="宋体"/>
          <w:bCs/>
        </w:rPr>
      </w:pPr>
      <w:r>
        <w:rPr>
          <w:rFonts w:ascii="宋体" w:eastAsia="宋体" w:hAnsi="宋体" w:hint="eastAsia"/>
          <w:bCs/>
        </w:rPr>
        <w:t>29.5 开标后，直到签订合同为止，凡属于对投标文件的审查、澄清、评价和比较的有关资料以及中标候选人的推荐情况、与评审有关的其他任何情况均严格保密（</w:t>
      </w:r>
      <w:r>
        <w:rPr>
          <w:rFonts w:eastAsia="宋体" w:hint="eastAsia"/>
        </w:rPr>
        <w:t>信息公开的内容除外</w:t>
      </w:r>
      <w:r>
        <w:rPr>
          <w:rFonts w:ascii="宋体" w:eastAsia="宋体" w:hAnsi="宋体" w:hint="eastAsia"/>
          <w:bCs/>
        </w:rPr>
        <w:t>）。</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30．向评审委员会提供的资料</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30.1公开发布的招标文件，包括图纸、服务清单、答疑文件等；</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30.2其他评标必须的资料。</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30.3</w:t>
      </w:r>
      <w:r>
        <w:rPr>
          <w:rFonts w:ascii="宋体" w:hAnsi="宋体" w:hint="eastAsia"/>
          <w:color w:val="000000" w:themeColor="text1"/>
          <w:szCs w:val="21"/>
          <w14:textFill>
            <w14:solidFill>
              <w14:schemeClr w14:val="tx1"/>
            </w14:solidFill>
          </w14:textFill>
        </w:rPr>
        <w:t>评审委员会</w:t>
      </w:r>
      <w:r>
        <w:rPr>
          <w:rFonts w:ascii="宋体" w:hAnsi="宋体" w:hint="eastAsia"/>
          <w:color w:val="000000" w:themeColor="text1"/>
          <w14:textFill>
            <w14:solidFill>
              <w14:schemeClr w14:val="tx1"/>
            </w14:solidFill>
          </w14:textFill>
        </w:rPr>
        <w:t>应当认真研究招标文件，至少应了解熟悉以下内容：</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（1）招标的目的；</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（2）招标项目需求的范围和性质；</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（3）招标文件规定的投标人的资格、财政预算限额、商务条款；</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（4）招标文件规定的评标程序、评标方法和评标因素；</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（5）招标文件所列示的资格性审查表及符合性审查表。</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31．独立评审</w:t>
      </w:r>
    </w:p>
    <w:p>
      <w:pPr>
        <w:ind w:firstLine="470" w:firstLineChars="196"/>
        <w:rPr>
          <w:rFonts w:ascii="宋体" w:hAnsi="宋体"/>
          <w:bCs/>
          <w:color w:val="000000" w:themeColor="text1"/>
          <w14:textFill>
            <w14:solidFill>
              <w14:schemeClr w14:val="tx1"/>
            </w14:solidFill>
          </w14:textFill>
        </w:rPr>
      </w:pPr>
      <w:r>
        <w:rPr>
          <w:rFonts w:ascii="宋体" w:hAnsi="宋体" w:hint="eastAsia"/>
          <w:bCs/>
          <w:color w:val="000000" w:themeColor="text1"/>
          <w14:textFill>
            <w14:solidFill>
              <w14:schemeClr w14:val="tx1"/>
            </w14:solidFill>
          </w14:textFill>
        </w:rPr>
        <w:t>3</w:t>
      </w:r>
      <w:r>
        <w:rPr>
          <w:rFonts w:ascii="宋体" w:hAnsi="宋体"/>
          <w:bCs/>
          <w:color w:val="000000" w:themeColor="text1"/>
          <w14:textFill>
            <w14:solidFill>
              <w14:schemeClr w14:val="tx1"/>
            </w14:solidFill>
          </w14:textFill>
        </w:rPr>
        <w:t>1</w:t>
      </w:r>
      <w:r>
        <w:rPr>
          <w:rFonts w:ascii="宋体" w:hAnsi="宋体" w:hint="eastAsia"/>
          <w:bCs/>
          <w:color w:val="000000" w:themeColor="text1"/>
          <w14:textFill>
            <w14:solidFill>
              <w14:schemeClr w14:val="tx1"/>
            </w14:solidFill>
          </w14:textFill>
        </w:rPr>
        <w:t>.1</w:t>
      </w:r>
      <w:r>
        <w:rPr>
          <w:rFonts w:ascii="宋体" w:hAnsi="宋体" w:hint="eastAsia"/>
          <w:color w:val="000000" w:themeColor="text1"/>
          <w:szCs w:val="21"/>
          <w14:textFill>
            <w14:solidFill>
              <w14:schemeClr w14:val="tx1"/>
            </w14:solidFill>
          </w14:textFill>
        </w:rPr>
        <w:t>评审委员会</w:t>
      </w:r>
      <w:r>
        <w:rPr>
          <w:rFonts w:ascii="宋体" w:hAnsi="宋体" w:hint="eastAsia"/>
          <w:bCs/>
          <w:color w:val="000000" w:themeColor="text1"/>
          <w14:textFill>
            <w14:solidFill>
              <w14:schemeClr w14:val="tx1"/>
            </w14:solidFill>
          </w14:textFill>
        </w:rPr>
        <w:t>成员的评标活动应当独立进行，并应遵循投标文件初审、澄清有关问题、比较与评价、确定中标供应商、编写评审报告的工作程序。</w:t>
      </w: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评审程序及评审方法</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32．投标文件初审</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32.1投标文件初审包括资格性审查和符合性审查。</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资格性审查：依据法律法规和招标文件的规定，对投标文件中的资格证明等进行审查，以确定投标供应商是否具备投标资格。</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符合性审查：依据招标文件的规定，对投标文件的有效性、完整性和对招标文件的响应程度进行审查，以确定是否满足符合性审查的要求。</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32.2 投标文件初审内容请详见《资格性审查表》和《符合性审查表》部分。投标人若有一条审查不通过则按投标无效处理。</w:t>
      </w:r>
    </w:p>
    <w:p>
      <w:pPr>
        <w:ind w:firstLine="470" w:firstLineChars="196"/>
        <w:rPr>
          <w:rFonts w:ascii="宋体" w:hAnsi="宋体"/>
          <w:bCs/>
          <w:color w:val="000000" w:themeColor="text1"/>
          <w14:textFill>
            <w14:solidFill>
              <w14:schemeClr w14:val="tx1"/>
            </w14:solidFill>
          </w14:textFill>
        </w:rPr>
      </w:pPr>
      <w:r>
        <w:rPr>
          <w:rFonts w:ascii="宋体" w:hAnsi="宋体" w:hint="eastAsia"/>
          <w:bCs/>
          <w:color w:val="000000" w:themeColor="text1"/>
          <w14:textFill>
            <w14:solidFill>
              <w14:schemeClr w14:val="tx1"/>
            </w14:solidFill>
          </w14:textFill>
        </w:rPr>
        <w:t>32.3 投标文件初审中关于供应商家数的计算:</w:t>
      </w:r>
    </w:p>
    <w:p>
      <w:pPr>
        <w:ind w:firstLine="470" w:firstLineChars="196"/>
        <w:rPr>
          <w:rFonts w:ascii="宋体" w:hAnsi="宋体"/>
          <w:bCs/>
          <w:color w:val="000000" w:themeColor="text1"/>
          <w14:textFill>
            <w14:solidFill>
              <w14:schemeClr w14:val="tx1"/>
            </w14:solidFill>
          </w14:textFill>
        </w:rPr>
      </w:pPr>
      <w:r>
        <w:rPr>
          <w:rFonts w:ascii="宋体" w:hAnsi="宋体" w:hint="eastAsia"/>
          <w:bCs/>
          <w:color w:val="000000" w:themeColor="text1"/>
          <w14:textFill>
            <w14:solidFill>
              <w14:schemeClr w14:val="tx1"/>
            </w14:solidFill>
          </w14:textFill>
        </w:rPr>
        <w:t>32.3.1采用最低评标价法的采购项目，提供相同品牌产品的不同投标人参加同一合同项下投标的，以其中通过资格审查、符合性审查且报价最低的参加评标；报价相同的，由采购人或者采购人委托评审委员会按照招标文件规定的方式确定一个参加评审的投标人，招标文件未规定的采取随机抽取方式确定，其他投标无效。</w:t>
      </w:r>
    </w:p>
    <w:p>
      <w:pPr>
        <w:ind w:firstLine="470" w:firstLineChars="196"/>
        <w:rPr>
          <w:rFonts w:ascii="宋体" w:hAnsi="宋体"/>
          <w:bCs/>
          <w:color w:val="000000" w:themeColor="text1"/>
          <w14:textFill>
            <w14:solidFill>
              <w14:schemeClr w14:val="tx1"/>
            </w14:solidFill>
          </w14:textFill>
        </w:rPr>
      </w:pPr>
      <w:r>
        <w:rPr>
          <w:rFonts w:ascii="宋体" w:hAnsi="宋体" w:hint="eastAsia"/>
          <w:bCs/>
          <w:color w:val="000000" w:themeColor="text1"/>
          <w14:textFill>
            <w14:solidFill>
              <w14:schemeClr w14:val="tx1"/>
            </w14:solidFill>
          </w14:textFill>
        </w:rPr>
        <w:t>32.3.2采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w:t>
      </w:r>
      <w:r>
        <w:rPr>
          <w:rFonts w:ascii="宋体" w:hAnsi="宋体" w:hint="eastAsia"/>
          <w:bCs/>
          <w:color w:val="000000" w:themeColor="text1"/>
          <w:szCs w:val="21"/>
          <w14:textFill>
            <w14:solidFill>
              <w14:schemeClr w14:val="tx1"/>
            </w14:solidFill>
          </w14:textFill>
        </w:rPr>
        <w:t>评审委员会</w:t>
      </w:r>
      <w:r>
        <w:rPr>
          <w:rFonts w:ascii="宋体" w:hAnsi="宋体" w:hint="eastAsia"/>
          <w:bCs/>
          <w:color w:val="000000" w:themeColor="text1"/>
          <w14:textFill>
            <w14:solidFill>
              <w14:schemeClr w14:val="tx1"/>
            </w14:solidFill>
          </w14:textFill>
        </w:rPr>
        <w:t>按照招标文件规定的方式确定一个投标人获得中标人推荐资格，招标文件未规定的采取随机抽取方式确定，其他同品牌投标人不作为中标候选人。</w:t>
      </w:r>
    </w:p>
    <w:p>
      <w:pPr>
        <w:ind w:firstLine="470" w:firstLineChars="196"/>
        <w:rPr>
          <w:rFonts w:ascii="宋体" w:hAnsi="宋体"/>
          <w:bCs/>
          <w:color w:val="000000" w:themeColor="text1"/>
          <w14:textFill>
            <w14:solidFill>
              <w14:schemeClr w14:val="tx1"/>
            </w14:solidFill>
          </w14:textFill>
        </w:rPr>
      </w:pPr>
      <w:r>
        <w:rPr>
          <w:rFonts w:ascii="宋体" w:hAnsi="宋体" w:hint="eastAsia"/>
          <w:bCs/>
          <w:color w:val="000000" w:themeColor="text1"/>
          <w14:textFill>
            <w14:solidFill>
              <w14:schemeClr w14:val="tx1"/>
            </w14:solidFill>
          </w14:textFill>
        </w:rPr>
        <w:t>32.3.3非单一产品采购项目，采购人应当根据采购项目技术构成、产品价格比重等合理确定核心产品，并在招标文件中载明。多家投标人提供的核心产品品牌相同的，按前两款规定处理。</w:t>
      </w:r>
    </w:p>
    <w:p>
      <w:pPr>
        <w:ind w:firstLine="470" w:firstLineChars="196"/>
        <w:rPr>
          <w:rFonts w:ascii="宋体" w:eastAsia="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w:t>
      </w:r>
      <w:r>
        <w:rPr>
          <w:rFonts w:ascii="宋体" w:eastAsia="宋体" w:hAnsi="宋体" w:hint="eastAsia"/>
          <w:color w:val="000000" w:themeColor="text1"/>
          <w14:textFill>
            <w14:solidFill>
              <w14:schemeClr w14:val="tx1"/>
            </w14:solidFill>
          </w14:textFill>
        </w:rPr>
        <w:t>2.4投标人投标文件作无效处理的情形，具体包括但不限于以下：</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32.4.1不同投标人的投标文件由同一单位或者同一个人编制，或者由同一个人分阶段参与编制；</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color w:val="000000" w:themeColor="text1"/>
          <w14:textFill>
            <w14:solidFill>
              <w14:schemeClr w14:val="tx1"/>
            </w14:solidFill>
          </w14:textFill>
        </w:rPr>
        <w:t>32.4.</w:t>
      </w:r>
      <w:r>
        <w:rPr>
          <w:rFonts w:ascii="宋体" w:eastAsia="宋体" w:hAnsi="宋体" w:hint="eastAsia"/>
          <w:color w:val="000000" w:themeColor="text1"/>
          <w14:textFill>
            <w14:solidFill>
              <w14:schemeClr w14:val="tx1"/>
            </w14:solidFill>
          </w14:textFill>
        </w:rPr>
        <w:t>2不同投标人委托同一单位或者个人办理投标事宜；</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32.4.3不同投标人的投标文件载明的项目管理成员或者联系人员为同一人；</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32.4.4不同投标人的投标文件异常一致或者投标报价呈规律性差异；</w:t>
      </w:r>
    </w:p>
    <w:p>
      <w:pPr>
        <w:ind w:firstLine="470" w:firstLineChars="196"/>
        <w:rPr>
          <w:rFonts w:ascii="宋体" w:eastAsia="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32.4.5</w:t>
      </w:r>
      <w:r>
        <w:rPr>
          <w:rFonts w:ascii="宋体" w:eastAsia="宋体" w:hAnsi="宋体"/>
          <w:color w:val="000000" w:themeColor="text1"/>
          <w14:textFill>
            <w14:solidFill>
              <w14:schemeClr w14:val="tx1"/>
            </w14:solidFill>
          </w14:textFill>
        </w:rPr>
        <w:t>不同投标供应商的投标文件或部分投标文件相互混装</w:t>
      </w:r>
      <w:r>
        <w:rPr>
          <w:rFonts w:ascii="宋体" w:eastAsia="宋体" w:hAnsi="宋体" w:hint="eastAsia"/>
          <w:color w:val="000000" w:themeColor="text1"/>
          <w14:textFill>
            <w14:solidFill>
              <w14:schemeClr w14:val="tx1"/>
            </w14:solidFill>
          </w14:textFill>
        </w:rPr>
        <w:t>；</w:t>
      </w:r>
    </w:p>
    <w:p>
      <w:pPr>
        <w:ind w:firstLine="470" w:firstLineChars="196"/>
        <w:rPr>
          <w:rFonts w:ascii="宋体" w:hAnsi="宋体"/>
          <w:color w:val="000000" w:themeColor="text1"/>
          <w14:textFill>
            <w14:solidFill>
              <w14:schemeClr w14:val="tx1"/>
            </w14:solidFill>
          </w14:textFill>
        </w:rPr>
      </w:pPr>
      <w:r>
        <w:rPr>
          <w:rFonts w:ascii="宋体" w:eastAsia="宋体" w:hAnsi="宋体" w:hint="eastAsia"/>
          <w:color w:val="000000" w:themeColor="text1"/>
          <w14:textFill>
            <w14:solidFill>
              <w14:schemeClr w14:val="tx1"/>
            </w14:solidFill>
          </w14:textFill>
        </w:rPr>
        <w:t>32.4.6投标供应商之间相互约定给予未中标的供应商利</w:t>
      </w:r>
      <w:r>
        <w:rPr>
          <w:rFonts w:ascii="宋体" w:hAnsi="宋体" w:hint="eastAsia"/>
          <w:color w:val="000000" w:themeColor="text1"/>
          <w14:textFill>
            <w14:solidFill>
              <w14:schemeClr w14:val="tx1"/>
            </w14:solidFill>
          </w14:textFill>
        </w:rPr>
        <w:t>益补偿；</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32.4.7不同投标供应商的法定代表人、主要经营负责人、项目投标授权代表人、项目负责人、主要技术人员为同一人、属同一单位或者同一单位缴纳社会保险；</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32.4.8不同投标供应商的投标文件内容存在非正常一致；</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32.4.9在同一单位工作人员为两家以上（含两家）供应商进行同一项投标活动；</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32.4.10主管部门依照法律、法规认定的其他情形。</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32.5对不属于《资格性审查表》和《符合性审查表》所列的其他情形，除专用条款另有规定和32.4条款所列情形外，不得作为投标无效的理由。</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33．澄清有关问题</w:t>
      </w:r>
    </w:p>
    <w:p>
      <w:pPr>
        <w:ind w:firstLine="470" w:firstLineChars="196"/>
        <w:rPr>
          <w:rFonts w:ascii="宋体" w:hAnsi="宋体"/>
          <w:color w:val="000000" w:themeColor="text1"/>
          <w14:textFill>
            <w14:solidFill>
              <w14:schemeClr w14:val="tx1"/>
            </w14:solidFill>
          </w14:textFill>
        </w:rPr>
      </w:pPr>
      <w:bookmarkStart w:id="76" w:name="_Hlk71407321"/>
      <w:r>
        <w:rPr>
          <w:rFonts w:ascii="宋体" w:hAnsi="宋体" w:hint="eastAsia"/>
          <w:color w:val="000000" w:themeColor="text1"/>
          <w14:textFill>
            <w14:solidFill>
              <w14:schemeClr w14:val="tx1"/>
            </w14:solidFill>
          </w14:textFill>
        </w:rPr>
        <w:t>3</w:t>
      </w:r>
      <w:r>
        <w:rPr>
          <w:rFonts w:ascii="宋体" w:hAnsi="宋体"/>
          <w:color w:val="000000" w:themeColor="text1"/>
          <w14:textFill>
            <w14:solidFill>
              <w14:schemeClr w14:val="tx1"/>
            </w14:solidFill>
          </w14:textFill>
        </w:rPr>
        <w:t>3.1</w:t>
      </w:r>
      <w:r>
        <w:rPr>
          <w:rFonts w:ascii="宋体" w:hAnsi="宋体" w:hint="eastAsia"/>
          <w:color w:val="000000" w:themeColor="text1"/>
          <w14:textFill>
            <w14:solidFill>
              <w14:schemeClr w14:val="tx1"/>
            </w14:solidFill>
          </w14:textFill>
        </w:rPr>
        <w:t>对招标文件中描述有歧义或前后不一致的地方（不含</w:t>
      </w:r>
      <w:r>
        <w:rPr>
          <w:color w:val="000000" w:themeColor="text1"/>
          <w:szCs w:val="21"/>
          <w14:textFill>
            <w14:solidFill>
              <w14:schemeClr w14:val="tx1"/>
            </w14:solidFill>
          </w14:textFill>
        </w:rPr>
        <w:t>招标文件存在歧义、重大缺陷导致评</w:t>
      </w:r>
      <w:r>
        <w:rPr>
          <w:rFonts w:hint="eastAsia"/>
          <w:color w:val="000000" w:themeColor="text1"/>
          <w:szCs w:val="21"/>
          <w14:textFill>
            <w14:solidFill>
              <w14:schemeClr w14:val="tx1"/>
            </w14:solidFill>
          </w14:textFill>
        </w:rPr>
        <w:t>审</w:t>
      </w:r>
      <w:r>
        <w:rPr>
          <w:color w:val="000000" w:themeColor="text1"/>
          <w:szCs w:val="21"/>
          <w14:textFill>
            <w14:solidFill>
              <w14:schemeClr w14:val="tx1"/>
            </w14:solidFill>
          </w14:textFill>
        </w:rPr>
        <w:t>工作无法进行</w:t>
      </w:r>
      <w:r>
        <w:rPr>
          <w:rFonts w:hint="eastAsia"/>
          <w:color w:val="000000" w:themeColor="text1"/>
          <w:szCs w:val="21"/>
          <w14:textFill>
            <w14:solidFill>
              <w14:schemeClr w14:val="tx1"/>
            </w14:solidFill>
          </w14:textFill>
        </w:rPr>
        <w:t>的情况）</w:t>
      </w:r>
      <w:r>
        <w:rPr>
          <w:rFonts w:ascii="宋体" w:hAnsi="宋体" w:hint="eastAsia"/>
          <w:color w:val="000000" w:themeColor="text1"/>
          <w14:textFill>
            <w14:solidFill>
              <w14:schemeClr w14:val="tx1"/>
            </w14:solidFill>
          </w14:textFill>
        </w:rPr>
        <w:t>，评审委员会有权进行评判，但对同一条款的评判应适用于每个投标人。</w:t>
      </w:r>
      <w:bookmarkEnd w:id="76"/>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3</w:t>
      </w:r>
      <w:r>
        <w:rPr>
          <w:rFonts w:ascii="宋体" w:hAnsi="宋体"/>
          <w:color w:val="000000" w:themeColor="text1"/>
          <w14:textFill>
            <w14:solidFill>
              <w14:schemeClr w14:val="tx1"/>
            </w14:solidFill>
          </w14:textFill>
        </w:rPr>
        <w:t>3.2</w:t>
      </w:r>
      <w:r>
        <w:rPr>
          <w:color w:val="000000" w:themeColor="text1"/>
          <w:szCs w:val="21"/>
          <w14:textFill>
            <w14:solidFill>
              <w14:schemeClr w14:val="tx1"/>
            </w14:solidFill>
          </w14:textFill>
        </w:rPr>
        <w:t>评</w:t>
      </w:r>
      <w:r>
        <w:rPr>
          <w:rFonts w:hint="eastAsia"/>
          <w:color w:val="000000" w:themeColor="text1"/>
          <w:szCs w:val="21"/>
          <w14:textFill>
            <w14:solidFill>
              <w14:schemeClr w14:val="tx1"/>
            </w14:solidFill>
          </w14:textFill>
        </w:rPr>
        <w:t>审</w:t>
      </w:r>
      <w:r>
        <w:rPr>
          <w:color w:val="000000" w:themeColor="text1"/>
          <w:szCs w:val="21"/>
          <w14:textFill>
            <w14:solidFill>
              <w14:schemeClr w14:val="tx1"/>
            </w14:solidFill>
          </w14:textFill>
        </w:rPr>
        <w:t>委员会发现招标文件存在歧义、重大缺陷导致评</w:t>
      </w:r>
      <w:r>
        <w:rPr>
          <w:rFonts w:hint="eastAsia"/>
          <w:color w:val="000000" w:themeColor="text1"/>
          <w:szCs w:val="21"/>
          <w14:textFill>
            <w14:solidFill>
              <w14:schemeClr w14:val="tx1"/>
            </w14:solidFill>
          </w14:textFill>
        </w:rPr>
        <w:t>审</w:t>
      </w:r>
      <w:r>
        <w:rPr>
          <w:color w:val="000000" w:themeColor="text1"/>
          <w:szCs w:val="21"/>
          <w14:textFill>
            <w14:solidFill>
              <w14:schemeClr w14:val="tx1"/>
            </w14:solidFill>
          </w14:textFill>
        </w:rPr>
        <w:t>工作无法进行，或者招标文件内容违反国家有关强制性规定的，应当停止评</w:t>
      </w:r>
      <w:r>
        <w:rPr>
          <w:rFonts w:hint="eastAsia"/>
          <w:color w:val="000000" w:themeColor="text1"/>
          <w:szCs w:val="21"/>
          <w14:textFill>
            <w14:solidFill>
              <w14:schemeClr w14:val="tx1"/>
            </w14:solidFill>
          </w14:textFill>
        </w:rPr>
        <w:t>审</w:t>
      </w:r>
      <w:r>
        <w:rPr>
          <w:color w:val="000000" w:themeColor="text1"/>
          <w:szCs w:val="21"/>
          <w14:textFill>
            <w14:solidFill>
              <w14:schemeClr w14:val="tx1"/>
            </w14:solidFill>
          </w14:textFill>
        </w:rPr>
        <w:t>工作，与</w:t>
      </w:r>
      <w:r>
        <w:rPr>
          <w:rFonts w:eastAsia="宋体" w:hint="eastAsia"/>
          <w:color w:val="000000" w:themeColor="text1"/>
          <w:szCs w:val="21"/>
          <w14:textFill>
            <w14:solidFill>
              <w14:schemeClr w14:val="tx1"/>
            </w14:solidFill>
          </w14:textFill>
        </w:rPr>
        <w:t>招标机构</w:t>
      </w:r>
      <w:r>
        <w:rPr>
          <w:color w:val="000000" w:themeColor="text1"/>
          <w:szCs w:val="21"/>
          <w14:textFill>
            <w14:solidFill>
              <w14:schemeClr w14:val="tx1"/>
            </w14:solidFill>
          </w14:textFill>
        </w:rPr>
        <w:t>沟通并作书面记录。</w:t>
      </w:r>
      <w:r>
        <w:rPr>
          <w:rFonts w:hint="eastAsia"/>
          <w:color w:val="000000" w:themeColor="text1"/>
          <w:szCs w:val="21"/>
          <w14:textFill>
            <w14:solidFill>
              <w14:schemeClr w14:val="tx1"/>
            </w14:solidFill>
          </w14:textFill>
        </w:rPr>
        <w:t>经</w:t>
      </w:r>
      <w:r>
        <w:rPr>
          <w:color w:val="000000" w:themeColor="text1"/>
          <w:szCs w:val="21"/>
          <w14:textFill>
            <w14:solidFill>
              <w14:schemeClr w14:val="tx1"/>
            </w14:solidFill>
          </w14:textFill>
        </w:rPr>
        <w:t>确认后，</w:t>
      </w:r>
      <w:r>
        <w:rPr>
          <w:rFonts w:hint="eastAsia"/>
          <w:color w:val="000000" w:themeColor="text1"/>
          <w:szCs w:val="21"/>
          <w14:textFill>
            <w14:solidFill>
              <w14:schemeClr w14:val="tx1"/>
            </w14:solidFill>
          </w14:textFill>
        </w:rPr>
        <w:t>项目</w:t>
      </w:r>
      <w:r>
        <w:rPr>
          <w:color w:val="000000" w:themeColor="text1"/>
          <w:szCs w:val="21"/>
          <w14:textFill>
            <w14:solidFill>
              <w14:schemeClr w14:val="tx1"/>
            </w14:solidFill>
          </w14:textFill>
        </w:rPr>
        <w:t>应当修改招标文件，重新组织采购活动。</w:t>
      </w:r>
    </w:p>
    <w:p>
      <w:pPr>
        <w:ind w:firstLine="47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33.3</w:t>
      </w:r>
      <w:r>
        <w:rPr>
          <w:rFonts w:ascii="宋体" w:hAnsi="宋体" w:hint="eastAsia"/>
          <w:color w:val="000000" w:themeColor="text1"/>
          <w14:textFill>
            <w14:solidFill>
              <w14:schemeClr w14:val="tx1"/>
            </w14:solidFill>
          </w14:textFill>
        </w:rPr>
        <w:t>对于投标文件中含义不明确、同类问题表述不一致或者有明显文字和计算错误的内容，评审委员会应当以书面形式要求投标人作出必要的澄清、说明或者补正。</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投标人的澄清、说明或者补正应当采用书面形式【书面形式是指文书、信件（含电子邮件）、电报、电传、传真等形式】，并加盖公章（或者由法定代表人或其授权的代表签字）。投标人的澄清、说明或者补正不得超出投标文件的范围或者改变投标文件的实质性内容。</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根据本通用条款第34条，凡属于评审委员会在评审中发现的算术错误进行核实的修改不在此列。</w:t>
      </w:r>
    </w:p>
    <w:p>
      <w:pPr>
        <w:rPr>
          <w:rFonts w:ascii="黑体" w:eastAsia="黑体" w:hAnsi="宋体"/>
          <w:color w:val="000000" w:themeColor="text1"/>
          <w14:textFill>
            <w14:solidFill>
              <w14:schemeClr w14:val="tx1"/>
            </w14:solidFill>
          </w14:textFill>
        </w:rPr>
      </w:pPr>
      <w:bookmarkStart w:id="77" w:name="_Toc73521669"/>
      <w:bookmarkStart w:id="78" w:name="_Toc73521581"/>
      <w:bookmarkStart w:id="79" w:name="_Toc73517673"/>
      <w:bookmarkStart w:id="80" w:name="_Toc100052400"/>
      <w:bookmarkStart w:id="81" w:name="_Toc73518151"/>
      <w:r>
        <w:rPr>
          <w:rFonts w:ascii="黑体" w:eastAsia="黑体" w:hAnsi="宋体" w:hint="eastAsia"/>
          <w:color w:val="000000" w:themeColor="text1"/>
          <w14:textFill>
            <w14:solidFill>
              <w14:schemeClr w14:val="tx1"/>
            </w14:solidFill>
          </w14:textFill>
        </w:rPr>
        <w:t>34．错误的修正</w:t>
      </w:r>
      <w:bookmarkEnd w:id="77"/>
      <w:bookmarkEnd w:id="78"/>
      <w:bookmarkEnd w:id="79"/>
      <w:bookmarkEnd w:id="80"/>
      <w:bookmarkEnd w:id="81"/>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投标文件报价出现前后不一致的，除专用条款另有规定外，按照下列规定修正：</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34.1投标文件中开标一览表投标报价内容与投标文件中投标报价相应内容不一致的，以开标一览表为准；</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34.2大写金额和小写金额不一致的，以大写金额为准；</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34.3单价金额小数点或者百分比有明显错位，以开标一览表的总价为准，并修改单价；</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34.4总价金额与按单价汇总金额不一致的，以单价金额计算结果为准。</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34.5同时出现两种以上不一致的，按照前款规定的顺序修正。修正后的报价按照本通用条款33条的规定，经投标人确认后产生约束力，投标人不确认的，其投标无效。</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35．投标文件的比较与评价</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评审委员会将按照《深圳经济特区政府采购条例》、《深圳经济特区政府采购条例实施细则》、《深圳市政府采购评标定标分离管理办法》及政府采购其他法律法规，仅对通过资格性审查和符合性审查的投标文件进行综合比较与评价。</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评审委员会成员对需要共同认定的事项存在争议的，应当按照少数服从多数的原则作出结论。持不同意见的评审委员会成员应当书面作出说明，否则视为无异议。</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36. 实地考察或资料查验</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36.1在评审过程中，评审委员会有权决定是否对本项目投标人进行实地考察或资料查验（原件）。投标人应随时做好接受实地考察或资料查验的准备。</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37．评审方法</w:t>
      </w:r>
    </w:p>
    <w:p>
      <w:pPr>
        <w:ind w:firstLine="470" w:firstLineChars="196"/>
        <w:rPr>
          <w:rFonts w:ascii="宋体" w:hAnsi="宋体"/>
          <w:b/>
          <w:bCs/>
          <w:color w:val="000000" w:themeColor="text1"/>
          <w:szCs w:val="21"/>
          <w14:textFill>
            <w14:solidFill>
              <w14:schemeClr w14:val="tx1"/>
            </w14:solidFill>
          </w14:textFill>
        </w:rPr>
      </w:pPr>
      <w:r>
        <w:rPr>
          <w:rFonts w:ascii="宋体" w:hAnsi="宋体" w:hint="eastAsia"/>
          <w:b/>
          <w:bCs/>
          <w:color w:val="000000" w:themeColor="text1"/>
          <w:szCs w:val="21"/>
          <w14:textFill>
            <w14:solidFill>
              <w14:schemeClr w14:val="tx1"/>
            </w14:solidFill>
          </w14:textFill>
        </w:rPr>
        <w:t>37.1.1最低价法</w:t>
      </w:r>
    </w:p>
    <w:p>
      <w:pPr>
        <w:ind w:firstLine="470" w:firstLineChars="196"/>
        <w:rPr>
          <w:rFonts w:ascii="ˎ̥" w:hAnsi="ˎ̥" w:hint="eastAsia"/>
          <w:color w:val="000000" w:themeColor="text1"/>
          <w14:textFill>
            <w14:solidFill>
              <w14:schemeClr w14:val="tx1"/>
            </w14:solidFill>
          </w14:textFill>
        </w:rPr>
      </w:pPr>
      <w:bookmarkStart w:id="82" w:name="_Hlk72438142"/>
      <w:r>
        <w:rPr>
          <w:rFonts w:ascii="ˎ̥" w:hAnsi="ˎ̥"/>
          <w:color w:val="000000" w:themeColor="text1"/>
          <w14:textFill>
            <w14:solidFill>
              <w14:schemeClr w14:val="tx1"/>
            </w14:solidFill>
          </w14:textFill>
        </w:rPr>
        <w:t>最低价法，是指</w:t>
      </w:r>
      <w:r>
        <w:rPr>
          <w:rFonts w:ascii="ˎ̥" w:hAnsi="ˎ̥" w:hint="eastAsia"/>
          <w:color w:val="000000" w:themeColor="text1"/>
          <w14:textFill>
            <w14:solidFill>
              <w14:schemeClr w14:val="tx1"/>
            </w14:solidFill>
          </w14:textFill>
        </w:rPr>
        <w:t>完全</w:t>
      </w:r>
      <w:r>
        <w:rPr>
          <w:rFonts w:ascii="ˎ̥" w:hAnsi="ˎ̥"/>
          <w:color w:val="000000" w:themeColor="text1"/>
          <w14:textFill>
            <w14:solidFill>
              <w14:schemeClr w14:val="tx1"/>
            </w14:solidFill>
          </w14:textFill>
        </w:rPr>
        <w:t>满足招标文件实质性要求，</w:t>
      </w:r>
      <w:r>
        <w:rPr>
          <w:rFonts w:ascii="ˎ̥" w:hAnsi="ˎ̥" w:hint="eastAsia"/>
          <w:color w:val="000000" w:themeColor="text1"/>
          <w14:textFill>
            <w14:solidFill>
              <w14:schemeClr w14:val="tx1"/>
            </w14:solidFill>
          </w14:textFill>
        </w:rPr>
        <w:t>按照报价由低到高的顺序，依据招标文件中规定的数量或者比例推荐候选中标供应商。</w:t>
      </w:r>
    </w:p>
    <w:p>
      <w:pPr>
        <w:ind w:firstLine="470" w:firstLineChars="196"/>
        <w:rPr>
          <w:rFonts w:ascii="宋体" w:hAnsi="宋体"/>
          <w:b/>
          <w:bCs/>
          <w:color w:val="000000" w:themeColor="text1"/>
          <w:szCs w:val="21"/>
          <w14:textFill>
            <w14:solidFill>
              <w14:schemeClr w14:val="tx1"/>
            </w14:solidFill>
          </w14:textFill>
        </w:rPr>
      </w:pPr>
      <w:r>
        <w:rPr>
          <w:rFonts w:ascii="宋体" w:hAnsi="宋体" w:hint="eastAsia"/>
          <w:b/>
          <w:bCs/>
          <w:color w:val="000000" w:themeColor="text1"/>
          <w:szCs w:val="21"/>
          <w14:textFill>
            <w14:solidFill>
              <w14:schemeClr w14:val="tx1"/>
            </w14:solidFill>
          </w14:textFill>
        </w:rPr>
        <w:t>37.1.2综合评分法</w:t>
      </w:r>
    </w:p>
    <w:p>
      <w:pPr>
        <w:ind w:firstLine="470" w:firstLineChars="196"/>
        <w:rPr>
          <w:rFonts w:ascii="ˎ̥" w:hAnsi="ˎ̥" w:hint="eastAsia"/>
          <w:color w:val="000000" w:themeColor="text1"/>
          <w14:textFill>
            <w14:solidFill>
              <w14:schemeClr w14:val="tx1"/>
            </w14:solidFill>
          </w14:textFill>
        </w:rPr>
      </w:pPr>
      <w:r>
        <w:rPr>
          <w:rFonts w:ascii="ˎ̥" w:hAnsi="ˎ̥"/>
          <w:color w:val="000000" w:themeColor="text1"/>
          <w14:textFill>
            <w14:solidFill>
              <w14:schemeClr w14:val="tx1"/>
            </w14:solidFill>
          </w14:textFill>
        </w:rPr>
        <w:t>综合评分法，是指</w:t>
      </w:r>
      <w:r>
        <w:rPr>
          <w:rFonts w:ascii="ˎ̥" w:hAnsi="ˎ̥" w:hint="eastAsia"/>
          <w:color w:val="000000" w:themeColor="text1"/>
          <w14:textFill>
            <w14:solidFill>
              <w14:schemeClr w14:val="tx1"/>
            </w14:solidFill>
          </w14:textFill>
        </w:rPr>
        <w:t>在</w:t>
      </w:r>
      <w:r>
        <w:rPr>
          <w:rFonts w:ascii="ˎ̥" w:hAnsi="ˎ̥"/>
          <w:color w:val="000000" w:themeColor="text1"/>
          <w14:textFill>
            <w14:solidFill>
              <w14:schemeClr w14:val="tx1"/>
            </w14:solidFill>
          </w14:textFill>
        </w:rPr>
        <w:t>满足招标文件全部实质性要求</w:t>
      </w:r>
      <w:r>
        <w:rPr>
          <w:rFonts w:ascii="ˎ̥" w:hAnsi="ˎ̥" w:hint="eastAsia"/>
          <w:color w:val="000000" w:themeColor="text1"/>
          <w14:textFill>
            <w14:solidFill>
              <w14:schemeClr w14:val="tx1"/>
            </w14:solidFill>
          </w14:textFill>
        </w:rPr>
        <w:t>的前提下</w:t>
      </w:r>
      <w:r>
        <w:rPr>
          <w:rFonts w:ascii="ˎ̥" w:hAnsi="ˎ̥"/>
          <w:color w:val="000000" w:themeColor="text1"/>
          <w14:textFill>
            <w14:solidFill>
              <w14:schemeClr w14:val="tx1"/>
            </w14:solidFill>
          </w14:textFill>
        </w:rPr>
        <w:t>，</w:t>
      </w:r>
      <w:r>
        <w:rPr>
          <w:rFonts w:ascii="ˎ̥" w:hAnsi="ˎ̥" w:hint="eastAsia"/>
          <w:color w:val="000000" w:themeColor="text1"/>
          <w14:textFill>
            <w14:solidFill>
              <w14:schemeClr w14:val="tx1"/>
            </w14:solidFill>
          </w14:textFill>
        </w:rPr>
        <w:t>按照招标文件中规定的各项因素进行综合评审，评审总得分排名前列的投标人，作为推荐的候选中标供应商。</w:t>
      </w:r>
      <w:bookmarkEnd w:id="82"/>
    </w:p>
    <w:p>
      <w:pPr>
        <w:ind w:firstLine="470" w:firstLineChars="196"/>
        <w:rPr>
          <w:rFonts w:ascii="宋体" w:hAnsi="宋体"/>
          <w:b/>
          <w:bCs/>
          <w:color w:val="000000" w:themeColor="text1"/>
          <w:szCs w:val="21"/>
          <w14:textFill>
            <w14:solidFill>
              <w14:schemeClr w14:val="tx1"/>
            </w14:solidFill>
          </w14:textFill>
        </w:rPr>
      </w:pPr>
      <w:r>
        <w:rPr>
          <w:rFonts w:ascii="宋体" w:hAnsi="宋体" w:hint="eastAsia"/>
          <w:b/>
          <w:bCs/>
          <w:color w:val="000000" w:themeColor="text1"/>
          <w:szCs w:val="21"/>
          <w14:textFill>
            <w14:solidFill>
              <w14:schemeClr w14:val="tx1"/>
            </w14:solidFill>
          </w14:textFill>
        </w:rPr>
        <w:t>37.2 本项目采用的评审方法见本项目招标文件第一册“专用条款”的相关内容。</w:t>
      </w:r>
    </w:p>
    <w:p>
      <w:pPr>
        <w:ind w:firstLine="470" w:firstLineChars="196"/>
        <w:rPr>
          <w:rFonts w:ascii="宋体" w:hAnsi="宋体"/>
          <w:b/>
          <w:bCs/>
          <w:color w:val="000000" w:themeColor="text1"/>
          <w:szCs w:val="21"/>
          <w14:textFill>
            <w14:solidFill>
              <w14:schemeClr w14:val="tx1"/>
            </w14:solidFill>
          </w14:textFill>
        </w:rPr>
      </w:pPr>
      <w:r>
        <w:rPr>
          <w:rFonts w:ascii="宋体" w:hAnsi="宋体" w:hint="eastAsia"/>
          <w:b/>
          <w:bCs/>
          <w:color w:val="000000" w:themeColor="text1"/>
          <w:szCs w:val="21"/>
          <w14:textFill>
            <w14:solidFill>
              <w14:schemeClr w14:val="tx1"/>
            </w14:solidFill>
          </w14:textFill>
        </w:rPr>
        <w:t>37.3重新评审的情形</w:t>
      </w:r>
    </w:p>
    <w:p>
      <w:pPr>
        <w:ind w:firstLine="470" w:firstLineChars="196"/>
        <w:rPr>
          <w:rFonts w:ascii="宋体" w:hAnsi="宋体"/>
          <w:b/>
          <w:bCs/>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评审结果汇总完成后，除下列情形外，任何人不得修改评审结果：</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37.3.1分值汇总计算错误的；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37.3.2分项评分超出评分标准范围的；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37.3.3评审委员会成员对客观评审因素评分不一致的；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37.3.4经评审委员会认定评分畸高、畸低的。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评审报告签署前，经复核发现存在以上情形之一的，评审委员会应当当场修改评审结果，并进行书面记载；评审报告签署后，采购人或者采购代理机构发现存在以上情形之一的，应当组织原评审委员会进行重新评审，重新评审改变评审结果的，书面报告本级财政部门。</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投标人对本条第一款情形提出质疑的，采购人或者采购代理机构可以组织原评审委员会进行重新评审，重新评审改变评审结果的，应当书面报告本级财政部门。</w:t>
      </w:r>
    </w:p>
    <w:p>
      <w:pPr>
        <w:ind w:firstLine="470" w:firstLineChars="196"/>
        <w:rPr>
          <w:rFonts w:ascii="宋体" w:hAnsi="宋体"/>
          <w:b/>
          <w:bCs/>
          <w:color w:val="000000" w:themeColor="text1"/>
          <w:szCs w:val="21"/>
          <w14:textFill>
            <w14:solidFill>
              <w14:schemeClr w14:val="tx1"/>
            </w14:solidFill>
          </w14:textFill>
        </w:rPr>
      </w:pPr>
      <w:r>
        <w:rPr>
          <w:rFonts w:ascii="宋体" w:hAnsi="宋体" w:hint="eastAsia"/>
          <w:b/>
          <w:bCs/>
          <w:color w:val="000000" w:themeColor="text1"/>
          <w:szCs w:val="21"/>
          <w14:textFill>
            <w14:solidFill>
              <w14:schemeClr w14:val="tx1"/>
            </w14:solidFill>
          </w14:textFill>
        </w:rPr>
        <w:t xml:space="preserve"> 37.4重新组建评审委员会的情形</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评审委员会或者其成员存在下列情形导致评审结果无效的，重新组建评审委员会进行评标，并书面报告本级财政部门：</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37.4.1评审委员会组成不符合《政府采购货物和服务招标投标管理办法》规定的；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37.4.2有《政府采购货物和服务招标投标管理办法》第六十二条第一至五项情形的；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37.4.3评审委员会及其成员独立评标受到非法干预的；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37.4.4有政府采购法实施条例第七十五条规定的违法行为的。</w:t>
      </w:r>
    </w:p>
    <w:p>
      <w:pPr>
        <w:ind w:firstLine="470" w:firstLineChars="196"/>
        <w:rPr>
          <w:rFonts w:ascii="宋体" w:hAnsi="宋体" w:cs="宋体"/>
          <w:color w:val="000000" w:themeColor="text1"/>
          <w:szCs w:val="21"/>
          <w14:textFill>
            <w14:solidFill>
              <w14:schemeClr w14:val="tx1"/>
            </w14:solidFill>
          </w14:textFill>
        </w:rPr>
      </w:pPr>
      <w:r>
        <w:rPr>
          <w:rFonts w:ascii="宋体" w:hAnsi="宋体" w:cs="宋体" w:hint="eastAsia"/>
          <w:color w:val="000000" w:themeColor="text1"/>
          <w:szCs w:val="21"/>
          <w14:textFill>
            <w14:solidFill>
              <w14:schemeClr w14:val="tx1"/>
            </w14:solidFill>
          </w14:textFill>
        </w:rPr>
        <w:t>有违法违规行为的原评审委员会成员不得参加重新组建的评审委员会。</w:t>
      </w: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r>
        <w:rPr>
          <w:rFonts w:hint="eastAsia"/>
          <w:color w:val="000000" w:themeColor="text1"/>
          <w:sz w:val="28"/>
          <w:szCs w:val="28"/>
          <w14:textFill>
            <w14:solidFill>
              <w14:schemeClr w14:val="tx1"/>
            </w14:solidFill>
          </w14:textFill>
        </w:rPr>
        <w:t>定标及公示</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38．定标方法</w:t>
      </w:r>
    </w:p>
    <w:p>
      <w:pPr>
        <w:ind w:firstLine="470" w:firstLineChars="196"/>
        <w:rPr>
          <w:rFonts w:ascii="宋体" w:eastAsia="宋体" w:hAnsi="宋体"/>
          <w:szCs w:val="21"/>
        </w:rPr>
      </w:pPr>
      <w:bookmarkStart w:id="83" w:name="_Hlk73782795"/>
      <w:r>
        <w:rPr>
          <w:rFonts w:ascii="宋体" w:eastAsia="宋体" w:hAnsi="宋体" w:hint="eastAsia"/>
          <w:szCs w:val="21"/>
        </w:rPr>
        <w:t>38.1非评定分离项目定标方法</w:t>
      </w:r>
    </w:p>
    <w:p>
      <w:pPr>
        <w:ind w:firstLine="470" w:firstLineChars="196"/>
        <w:rPr>
          <w:rFonts w:ascii="宋体" w:eastAsia="宋体" w:hAnsi="宋体"/>
          <w:szCs w:val="21"/>
        </w:rPr>
      </w:pPr>
      <w:r>
        <w:rPr>
          <w:rFonts w:ascii="宋体" w:eastAsia="宋体" w:hAnsi="宋体" w:hint="eastAsia"/>
          <w:szCs w:val="21"/>
        </w:rPr>
        <w:t>38.1.1评审委员会依据本项目招标文件所约定的评审方法进行评审和比较，向</w:t>
      </w:r>
      <w:r>
        <w:rPr>
          <w:rFonts w:ascii="宋体" w:eastAsia="宋体" w:hAnsi="宋体" w:hint="eastAsia"/>
          <w:szCs w:val="21"/>
          <w:lang w:eastAsia="zh-CN"/>
        </w:rPr>
        <w:t>政府采购代理机构</w:t>
      </w:r>
      <w:r>
        <w:rPr>
          <w:rFonts w:ascii="宋体" w:eastAsia="宋体" w:hAnsi="宋体" w:hint="eastAsia"/>
          <w:szCs w:val="21"/>
        </w:rPr>
        <w:t>提交书面评审报告，并根据评审方法比较评价结果从优到劣进行排序，确定候选中标供应商。</w:t>
      </w:r>
    </w:p>
    <w:p>
      <w:pPr>
        <w:ind w:firstLine="470" w:firstLineChars="196"/>
        <w:rPr>
          <w:rFonts w:ascii="ˎ̥" w:eastAsia="宋体" w:hAnsi="ˎ̥" w:hint="eastAsia"/>
        </w:rPr>
      </w:pPr>
      <w:r>
        <w:rPr>
          <w:rFonts w:ascii="宋体" w:eastAsia="宋体" w:hAnsi="宋体" w:hint="eastAsia"/>
          <w:szCs w:val="21"/>
        </w:rPr>
        <w:t>38.1.2</w:t>
      </w:r>
      <w:r>
        <w:rPr>
          <w:rFonts w:ascii="ˎ̥" w:eastAsia="宋体" w:hAnsi="ˎ̥" w:hint="eastAsia"/>
        </w:rPr>
        <w:t>采用最低价法的，评审结果按投标报价由低到高顺序排列。投标报价相同的并列。投标文件满足招标文件全部实质性要求且投标报价最低的投标人为</w:t>
      </w:r>
      <w:bookmarkStart w:id="84" w:name="_Hlk73821177"/>
      <w:r>
        <w:rPr>
          <w:rFonts w:ascii="ˎ̥" w:eastAsia="宋体" w:hAnsi="ˎ̥" w:hint="eastAsia"/>
        </w:rPr>
        <w:t>中标供应商（排名第二的投标人为第一替补中标候选人、排名第三的投标人为第二替补中标候选人</w:t>
      </w:r>
      <w:bookmarkEnd w:id="84"/>
      <w:r>
        <w:rPr>
          <w:rFonts w:ascii="ˎ̥" w:eastAsia="宋体" w:hAnsi="ˎ̥" w:hint="eastAsia"/>
        </w:rPr>
        <w:t>）。</w:t>
      </w:r>
    </w:p>
    <w:p>
      <w:pPr>
        <w:ind w:firstLine="470" w:firstLineChars="196"/>
        <w:rPr>
          <w:rFonts w:ascii="ˎ̥" w:eastAsia="宋体" w:hAnsi="ˎ̥" w:hint="eastAsia"/>
        </w:rPr>
      </w:pPr>
      <w:r>
        <w:rPr>
          <w:rFonts w:ascii="宋体" w:eastAsia="宋体" w:hAnsi="宋体" w:hint="eastAsia"/>
          <w:szCs w:val="21"/>
        </w:rPr>
        <w:t>38.1.3采</w:t>
      </w:r>
      <w:r>
        <w:rPr>
          <w:rFonts w:ascii="ˎ̥" w:eastAsia="宋体" w:hAnsi="ˎ̥" w:hint="eastAsia"/>
        </w:rPr>
        <w:t>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中标供应商（排名第二的投标人为第一替补中标候选人、排名第三的投标人为第二替补中标候选人）。出现得分且投标报价相同的并列情况时，采取随机抽取的方式确定，具体操作办法及流程由评审委员会确定。</w:t>
      </w:r>
    </w:p>
    <w:p>
      <w:pPr>
        <w:ind w:firstLine="470" w:firstLineChars="196"/>
        <w:rPr>
          <w:rFonts w:ascii="宋体" w:eastAsia="宋体" w:hAnsi="宋体"/>
          <w:szCs w:val="21"/>
        </w:rPr>
      </w:pPr>
      <w:r>
        <w:rPr>
          <w:rFonts w:ascii="宋体" w:eastAsia="宋体" w:hAnsi="宋体" w:hint="eastAsia"/>
          <w:szCs w:val="21"/>
        </w:rPr>
        <w:t>38.2评定分离项目定标方法</w:t>
      </w:r>
    </w:p>
    <w:p>
      <w:pPr>
        <w:ind w:firstLine="470" w:firstLineChars="196"/>
        <w:rPr>
          <w:rFonts w:ascii="宋体" w:eastAsia="宋体" w:hAnsi="宋体"/>
          <w:szCs w:val="21"/>
        </w:rPr>
      </w:pPr>
      <w:r>
        <w:rPr>
          <w:rFonts w:ascii="宋体" w:eastAsia="宋体" w:hAnsi="宋体" w:hint="eastAsia"/>
          <w:szCs w:val="21"/>
        </w:rPr>
        <w:t>38.2.1评定分离是指在政府集中采购程序中，以公开招标方式执行采购，评审委员会负责对投标文件进行评审、推荐候选中标供应商并出具书面评审报告，由采购人根据评审委员会出具的评审报告从推荐的候选中标供应商中确定中标供应商。单个项目需要确定多家中标供应商的，不适用评定分离。</w:t>
      </w:r>
    </w:p>
    <w:p>
      <w:pPr>
        <w:ind w:firstLine="470" w:firstLineChars="196"/>
        <w:rPr>
          <w:rFonts w:ascii="宋体" w:eastAsia="宋体" w:hAnsi="宋体"/>
          <w:szCs w:val="21"/>
        </w:rPr>
      </w:pPr>
      <w:r>
        <w:rPr>
          <w:rFonts w:ascii="宋体" w:eastAsia="宋体" w:hAnsi="宋体" w:hint="eastAsia"/>
          <w:szCs w:val="21"/>
        </w:rPr>
        <w:t xml:space="preserve">38.2.2 </w:t>
      </w:r>
      <w:bookmarkStart w:id="85" w:name="_Hlk71469733"/>
      <w:r>
        <w:rPr>
          <w:rFonts w:eastAsia="宋体" w:hint="eastAsia"/>
        </w:rPr>
        <w:t>适用评定分离的政府采购项目，采用综合评分法评审。</w:t>
      </w:r>
      <w:r>
        <w:rPr>
          <w:rFonts w:ascii="宋体" w:eastAsia="宋体" w:hAnsi="宋体" w:hint="eastAsia"/>
          <w:szCs w:val="21"/>
        </w:rPr>
        <w:t>评审委员会按照评审结果，推荐</w:t>
      </w:r>
      <w:r>
        <w:rPr>
          <w:rFonts w:eastAsia="宋体" w:hint="eastAsia"/>
        </w:rPr>
        <w:t>三个合格的候选中标供应商。</w:t>
      </w:r>
    </w:p>
    <w:p>
      <w:pPr>
        <w:ind w:firstLine="470" w:firstLineChars="196"/>
        <w:rPr>
          <w:rFonts w:ascii="宋体" w:eastAsia="宋体" w:hAnsi="宋体"/>
          <w:szCs w:val="21"/>
        </w:rPr>
      </w:pPr>
      <w:r>
        <w:rPr>
          <w:rFonts w:ascii="宋体" w:eastAsia="宋体" w:hAnsi="宋体" w:hint="eastAsia"/>
          <w:szCs w:val="21"/>
        </w:rPr>
        <w:t>38.2.3</w:t>
      </w:r>
      <w:bookmarkStart w:id="86" w:name="_Hlk71469688"/>
      <w:r>
        <w:rPr>
          <w:rFonts w:eastAsia="宋体" w:hint="eastAsia"/>
        </w:rPr>
        <w:t>适用评定分离的政府采购项目，</w:t>
      </w:r>
      <w:r>
        <w:rPr>
          <w:rFonts w:ascii="宋体" w:eastAsia="宋体" w:hAnsi="宋体" w:hint="eastAsia"/>
          <w:szCs w:val="21"/>
        </w:rPr>
        <w:t>按照自定法确定中标供应商：自定法是指采购人组织定标委员会，由定标委员会在三家候选中标供应商中确定中标供应商。</w:t>
      </w:r>
      <w:bookmarkEnd w:id="85"/>
      <w:bookmarkEnd w:id="86"/>
    </w:p>
    <w:p>
      <w:pPr>
        <w:ind w:firstLine="470" w:firstLineChars="196"/>
        <w:rPr>
          <w:rFonts w:ascii="宋体" w:eastAsia="宋体" w:hAnsi="宋体"/>
          <w:szCs w:val="21"/>
        </w:rPr>
      </w:pPr>
      <w:r>
        <w:rPr>
          <w:rFonts w:ascii="宋体" w:eastAsia="宋体" w:hAnsi="宋体" w:hint="eastAsia"/>
          <w:szCs w:val="21"/>
        </w:rPr>
        <w:t>38.2.4</w:t>
      </w:r>
      <w:r>
        <w:rPr>
          <w:rFonts w:ascii="宋体" w:eastAsia="宋体" w:hAnsi="宋体" w:hint="eastAsia"/>
          <w:szCs w:val="21"/>
          <w:lang w:eastAsia="zh-CN"/>
        </w:rPr>
        <w:t>政府采购代理机构</w:t>
      </w:r>
      <w:r>
        <w:rPr>
          <w:rFonts w:eastAsia="宋体" w:hint="eastAsia"/>
        </w:rPr>
        <w:t>应当自评审结束之日起两个工作日内将候选中标供应商名单及其投标文件、评审报告送交采购人</w:t>
      </w:r>
      <w:r>
        <w:rPr>
          <w:rFonts w:ascii="宋体" w:eastAsia="宋体" w:hAnsi="宋体" w:hint="eastAsia"/>
          <w:szCs w:val="21"/>
        </w:rPr>
        <w:t>。</w:t>
      </w:r>
      <w:r>
        <w:rPr>
          <w:rFonts w:eastAsia="宋体" w:hint="eastAsia"/>
        </w:rPr>
        <w:t>采购人应当安排专人对定标过程进行书面记录，形成定标报告，作为采购文件的组成部分存档，并及时将定标结果反馈</w:t>
      </w:r>
      <w:r>
        <w:rPr>
          <w:rFonts w:eastAsia="宋体" w:hint="eastAsia"/>
          <w:lang w:eastAsia="zh-CN"/>
        </w:rPr>
        <w:t>政府采购代理机构</w:t>
      </w:r>
      <w:r>
        <w:rPr>
          <w:rFonts w:eastAsia="宋体" w:hint="eastAsia"/>
        </w:rPr>
        <w:t>。具体定标程序及相关要求以按照《深圳市财政局关于印发</w:t>
      </w:r>
      <w:r>
        <w:rPr>
          <w:rFonts w:ascii="宋体" w:eastAsia="宋体" w:hAnsi="宋体" w:hint="eastAsia"/>
        </w:rPr>
        <w:t>〈</w:t>
      </w:r>
      <w:r>
        <w:rPr>
          <w:rFonts w:eastAsia="宋体" w:hint="eastAsia"/>
        </w:rPr>
        <w:t>深圳市政府采购评标定标分离管理办法</w:t>
      </w:r>
      <w:r>
        <w:rPr>
          <w:rFonts w:ascii="宋体" w:eastAsia="宋体" w:hAnsi="宋体" w:hint="eastAsia"/>
        </w:rPr>
        <w:t>〉</w:t>
      </w:r>
      <w:r>
        <w:rPr>
          <w:rFonts w:eastAsia="宋体" w:hint="eastAsia"/>
        </w:rPr>
        <w:t>的通知》（深财规【</w:t>
      </w:r>
      <w:r>
        <w:rPr>
          <w:rFonts w:eastAsia="宋体"/>
        </w:rPr>
        <w:t>2020</w:t>
      </w:r>
      <w:r>
        <w:rPr>
          <w:rFonts w:eastAsia="宋体" w:hint="eastAsia"/>
        </w:rPr>
        <w:t>】</w:t>
      </w:r>
      <w:r>
        <w:rPr>
          <w:rFonts w:eastAsia="宋体"/>
        </w:rPr>
        <w:t>1</w:t>
      </w:r>
      <w:r>
        <w:rPr>
          <w:rFonts w:eastAsia="宋体" w:hint="eastAsia"/>
        </w:rPr>
        <w:t>号）执行。</w:t>
      </w:r>
    </w:p>
    <w:p>
      <w:pPr>
        <w:ind w:firstLine="470" w:firstLineChars="196"/>
        <w:rPr>
          <w:rFonts w:ascii="宋体" w:eastAsia="宋体" w:hAnsi="宋体"/>
          <w:szCs w:val="21"/>
        </w:rPr>
      </w:pPr>
      <w:r>
        <w:rPr>
          <w:rFonts w:ascii="宋体" w:eastAsia="宋体" w:hAnsi="宋体" w:hint="eastAsia"/>
          <w:szCs w:val="21"/>
        </w:rPr>
        <w:t>说明：采购人及投标供应商应按照上述方法提前做好相关准备。</w:t>
      </w:r>
    </w:p>
    <w:p>
      <w:pPr>
        <w:ind w:firstLine="470" w:firstLineChars="196"/>
        <w:rPr>
          <w:rFonts w:ascii="宋体" w:eastAsia="宋体" w:hAnsi="宋体"/>
          <w:szCs w:val="21"/>
        </w:rPr>
      </w:pPr>
      <w:r>
        <w:rPr>
          <w:rFonts w:ascii="宋体" w:eastAsia="宋体" w:hAnsi="宋体" w:hint="eastAsia"/>
          <w:szCs w:val="21"/>
        </w:rPr>
        <w:t>38.3专用条款另有规定的，按专用条款相关要求定标。</w:t>
      </w:r>
      <w:bookmarkEnd w:id="83"/>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39．编写评审报告</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40．中标公告</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40.1</w:t>
      </w:r>
      <w:bookmarkStart w:id="87" w:name="_Hlk72438709"/>
      <w:r>
        <w:rPr>
          <w:rFonts w:ascii="宋体" w:hAnsi="宋体" w:hint="eastAsia"/>
          <w:color w:val="000000" w:themeColor="text1"/>
          <w:szCs w:val="21"/>
          <w14:textFill>
            <w14:solidFill>
              <w14:schemeClr w14:val="tx1"/>
            </w14:solidFill>
          </w14:textFill>
        </w:rPr>
        <w:t>为体现“公开、公平、公正”的原则，评审结束后经采购人确认（确定）评审结果，招标机构将在“深圳政府采购智慧平台（http://zfcg.szggzy.com:8081/）”上发布中标结果公告。</w:t>
      </w:r>
      <w:bookmarkEnd w:id="87"/>
      <w:bookmarkStart w:id="88" w:name="_Hlk72438751"/>
      <w:r>
        <w:rPr>
          <w:rFonts w:ascii="宋体" w:hAnsi="宋体" w:hint="eastAsia"/>
          <w:color w:val="000000" w:themeColor="text1"/>
          <w:szCs w:val="21"/>
          <w14:textFill>
            <w14:solidFill>
              <w14:schemeClr w14:val="tx1"/>
            </w14:solidFill>
          </w14:textFill>
        </w:rPr>
        <w:t>供应商如对评审结果有异议，</w:t>
      </w:r>
      <w:r>
        <w:rPr>
          <w:rFonts w:ascii="宋体" w:hAnsi="宋体"/>
          <w:color w:val="000000" w:themeColor="text1"/>
          <w:szCs w:val="21"/>
          <w14:textFill>
            <w14:solidFill>
              <w14:schemeClr w14:val="tx1"/>
            </w14:solidFill>
          </w14:textFill>
        </w:rPr>
        <w:t>可在发布公示日期起</w:t>
      </w:r>
      <w:r>
        <w:rPr>
          <w:rFonts w:ascii="宋体" w:hAnsi="宋体" w:hint="eastAsia"/>
          <w:color w:val="000000" w:themeColor="text1"/>
          <w:szCs w:val="21"/>
          <w14:textFill>
            <w14:solidFill>
              <w14:schemeClr w14:val="tx1"/>
            </w14:solidFill>
          </w14:textFill>
        </w:rPr>
        <w:t>七</w:t>
      </w:r>
      <w:r>
        <w:rPr>
          <w:rFonts w:ascii="宋体" w:hAnsi="宋体"/>
          <w:color w:val="000000" w:themeColor="text1"/>
          <w:szCs w:val="21"/>
          <w14:textFill>
            <w14:solidFill>
              <w14:schemeClr w14:val="tx1"/>
            </w14:solidFill>
          </w14:textFill>
        </w:rPr>
        <w:t>个工作日内向</w:t>
      </w:r>
      <w:r>
        <w:rPr>
          <w:rFonts w:ascii="宋体" w:hAnsi="宋体" w:hint="eastAsia"/>
          <w:color w:val="000000" w:themeColor="text1"/>
          <w:szCs w:val="21"/>
          <w14:textFill>
            <w14:solidFill>
              <w14:schemeClr w14:val="tx1"/>
            </w14:solidFill>
          </w14:textFill>
        </w:rPr>
        <w:t>招标机构</w:t>
      </w:r>
      <w:r>
        <w:rPr>
          <w:rFonts w:ascii="宋体" w:hAnsi="宋体"/>
          <w:color w:val="000000" w:themeColor="text1"/>
          <w:szCs w:val="21"/>
          <w14:textFill>
            <w14:solidFill>
              <w14:schemeClr w14:val="tx1"/>
            </w14:solidFill>
          </w14:textFill>
        </w:rPr>
        <w:t>提出。电话：0755</w:t>
      </w:r>
      <w:r>
        <w:rPr>
          <w:rFonts w:ascii="宋体" w:hAnsi="宋体" w:hint="eastAsia"/>
          <w:color w:val="000000" w:themeColor="text1"/>
          <w:szCs w:val="21"/>
          <w:lang w:val="en-US" w:eastAsia="zh-CN"/>
          <w14:textFill>
            <w14:solidFill>
              <w14:schemeClr w14:val="tx1"/>
            </w14:solidFill>
          </w14:textFill>
        </w:rPr>
        <w:t>-</w:t>
      </w:r>
      <w:r>
        <w:rPr>
          <w:rFonts w:ascii="宋体" w:hAnsi="宋体" w:hint="eastAsia"/>
          <w:color w:val="000000" w:themeColor="text1"/>
          <w:szCs w:val="21"/>
          <w14:textFill>
            <w14:solidFill>
              <w14:schemeClr w14:val="tx1"/>
            </w14:solidFill>
          </w14:textFill>
        </w:rPr>
        <w:t>8388</w:t>
      </w:r>
      <w:r>
        <w:rPr>
          <w:rFonts w:ascii="宋体" w:hAnsi="宋体"/>
          <w:color w:val="000000" w:themeColor="text1"/>
          <w:szCs w:val="21"/>
          <w14:textFill>
            <w14:solidFill>
              <w14:schemeClr w14:val="tx1"/>
            </w14:solidFill>
          </w14:textFill>
        </w:rPr>
        <w:t>1111。</w:t>
      </w:r>
      <w:r>
        <w:rPr>
          <w:rFonts w:ascii="宋体" w:hAnsi="宋体" w:hint="eastAsia"/>
          <w:color w:val="000000" w:themeColor="text1"/>
          <w:szCs w:val="21"/>
          <w14:textFill>
            <w14:solidFill>
              <w14:schemeClr w14:val="tx1"/>
            </w14:solidFill>
          </w14:textFill>
        </w:rPr>
        <w:t>若在公示期内未提出质疑，则视为认同该评审结果。</w:t>
      </w:r>
    </w:p>
    <w:p>
      <w:pPr>
        <w:ind w:firstLine="470" w:firstLineChars="196"/>
        <w:rPr>
          <w:rFonts w:ascii="宋体" w:hAnsi="宋体"/>
          <w:color w:val="000000" w:themeColor="text1"/>
          <w:szCs w:val="21"/>
          <w14:textFill>
            <w14:solidFill>
              <w14:schemeClr w14:val="tx1"/>
            </w14:solidFill>
          </w14:textFill>
        </w:rPr>
      </w:pPr>
      <w:bookmarkEnd w:id="88"/>
      <w:r>
        <w:rPr>
          <w:rFonts w:ascii="宋体" w:hAnsi="宋体" w:hint="eastAsia"/>
          <w:color w:val="000000" w:themeColor="text1"/>
          <w:szCs w:val="21"/>
          <w14:textFill>
            <w14:solidFill>
              <w14:schemeClr w14:val="tx1"/>
            </w14:solidFill>
          </w14:textFill>
        </w:rPr>
        <w:t>40.2质疑、投诉供应商应保证质疑、投诉内容的真实性和可靠性，并承担相应的法律责任。</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41．中标通知书、招标代理服务费</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41.1</w:t>
      </w:r>
      <w:bookmarkStart w:id="89" w:name="_Hlk72438863"/>
      <w:r>
        <w:rPr>
          <w:rFonts w:ascii="宋体" w:hAnsi="宋体"/>
          <w:color w:val="000000" w:themeColor="text1"/>
          <w:szCs w:val="21"/>
          <w14:textFill>
            <w14:solidFill>
              <w14:schemeClr w14:val="tx1"/>
            </w14:solidFill>
          </w14:textFill>
        </w:rPr>
        <w:t>中标公告公布以后无异常的情况下,中标供应商和采购人可自行在“深圳政府采购智慧平台（</w:t>
      </w:r>
      <w:r>
        <w:rPr>
          <w:rFonts w:ascii="宋体" w:hAnsi="宋体" w:hint="eastAsia"/>
          <w:color w:val="000000" w:themeColor="text1"/>
          <w:szCs w:val="21"/>
          <w14:textFill>
            <w14:solidFill>
              <w14:schemeClr w14:val="tx1"/>
            </w14:solidFill>
          </w14:textFill>
        </w:rPr>
        <w:t>http://zfcg.szggzy.com:8081/</w:t>
      </w:r>
      <w:r>
        <w:rPr>
          <w:rFonts w:ascii="宋体" w:hAnsi="宋体"/>
          <w:color w:val="000000" w:themeColor="text1"/>
          <w:szCs w:val="21"/>
          <w14:textFill>
            <w14:solidFill>
              <w14:schemeClr w14:val="tx1"/>
            </w14:solidFill>
          </w14:textFill>
        </w:rPr>
        <w:t>）”上打印</w:t>
      </w:r>
      <w:r>
        <w:rPr>
          <w:rFonts w:ascii="宋体" w:hAnsi="宋体"/>
          <w:b w:val="0"/>
          <w:bCs/>
          <w:color w:val="000000" w:themeColor="text1"/>
          <w:szCs w:val="21"/>
          <w14:textFill>
            <w14:solidFill>
              <w14:schemeClr w14:val="tx1"/>
            </w14:solidFill>
          </w14:textFill>
        </w:rPr>
        <w:t>《数字中标通知书》</w:t>
      </w:r>
      <w:r>
        <w:rPr>
          <w:rFonts w:ascii="宋体" w:hAnsi="宋体"/>
          <w:b/>
          <w:color w:val="000000" w:themeColor="text1"/>
          <w:szCs w:val="21"/>
          <w14:textFill>
            <w14:solidFill>
              <w14:schemeClr w14:val="tx1"/>
            </w14:solidFill>
          </w14:textFill>
        </w:rPr>
        <w:t>（</w:t>
      </w:r>
      <w:r>
        <w:rPr>
          <w:rFonts w:ascii="宋体" w:hAnsi="宋体"/>
          <w:color w:val="000000" w:themeColor="text1"/>
          <w:szCs w:val="21"/>
          <w14:textFill>
            <w14:solidFill>
              <w14:schemeClr w14:val="tx1"/>
            </w14:solidFill>
          </w14:textFill>
        </w:rPr>
        <w:t>咨询电话：</w:t>
      </w:r>
      <w:r>
        <w:rPr>
          <w:rFonts w:ascii="宋体" w:hAnsi="宋体"/>
          <w:b/>
          <w:bCs/>
          <w:color w:val="000000" w:themeColor="text1"/>
          <w:szCs w:val="21"/>
          <w14:textFill>
            <w14:solidFill>
              <w14:schemeClr w14:val="tx1"/>
            </w14:solidFill>
          </w14:textFill>
        </w:rPr>
        <w:t>0755-83881111</w:t>
      </w:r>
      <w:r>
        <w:rPr>
          <w:rFonts w:ascii="宋体" w:eastAsia="宋体" w:hAnsi="宋体" w:cs="宋体" w:hint="eastAsia"/>
          <w:b/>
          <w:bCs/>
          <w:color w:val="000000" w:themeColor="text1"/>
          <w:szCs w:val="21"/>
          <w14:textFill>
            <w14:solidFill>
              <w14:schemeClr w14:val="tx1"/>
            </w14:solidFill>
          </w14:textFill>
        </w:rPr>
        <w:t>、8</w:t>
      </w:r>
      <w:r>
        <w:rPr>
          <w:rFonts w:ascii="宋体" w:eastAsia="宋体" w:hAnsi="宋体" w:cs="宋体"/>
          <w:b/>
          <w:bCs/>
          <w:color w:val="000000" w:themeColor="text1"/>
          <w:szCs w:val="21"/>
          <w14:textFill>
            <w14:solidFill>
              <w14:schemeClr w14:val="tx1"/>
            </w14:solidFill>
          </w14:textFill>
        </w:rPr>
        <w:t>3881995</w:t>
      </w: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lang w:val="en-US" w:eastAsia="zh-CN"/>
          <w14:textFill>
            <w14:solidFill>
              <w14:schemeClr w14:val="tx1"/>
            </w14:solidFill>
          </w14:textFill>
        </w:rPr>
        <w:t>或</w:t>
      </w:r>
      <w:r>
        <w:rPr>
          <w:rFonts w:ascii="宋体" w:hAnsi="宋体" w:hint="eastAsia"/>
          <w:szCs w:val="21"/>
        </w:rPr>
        <w:t>中标人凭单位证明和本人身份证到友和保险经纪有限公司领取《中标通知书》</w:t>
      </w:r>
      <w:r>
        <w:rPr>
          <w:rFonts w:ascii="宋体" w:hAnsi="宋体"/>
          <w:color w:val="000000" w:themeColor="text1"/>
          <w:szCs w:val="21"/>
          <w14:textFill>
            <w14:solidFill>
              <w14:schemeClr w14:val="tx1"/>
            </w14:solidFill>
          </w14:textFill>
        </w:rPr>
        <w:t>。</w:t>
      </w:r>
      <w:bookmarkEnd w:id="89"/>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41</w:t>
      </w:r>
      <w:r>
        <w:rPr>
          <w:rFonts w:ascii="宋体" w:hAnsi="宋体"/>
          <w:color w:val="000000" w:themeColor="text1"/>
          <w:szCs w:val="21"/>
          <w14:textFill>
            <w14:solidFill>
              <w14:schemeClr w14:val="tx1"/>
            </w14:solidFill>
          </w14:textFill>
        </w:rPr>
        <w:t>.2</w:t>
      </w:r>
      <w:r>
        <w:rPr>
          <w:rFonts w:ascii="宋体" w:hAnsi="宋体" w:hint="eastAsia"/>
          <w:color w:val="000000" w:themeColor="text1"/>
          <w:szCs w:val="21"/>
          <w14:textFill>
            <w14:solidFill>
              <w14:schemeClr w14:val="tx1"/>
            </w14:solidFill>
          </w14:textFill>
        </w:rPr>
        <w:t>中标通知书是合同的重要组成部分。</w:t>
      </w:r>
    </w:p>
    <w:p>
      <w:pPr>
        <w:ind w:firstLine="470" w:firstLineChars="196"/>
        <w:rPr>
          <w:rFonts w:ascii="宋体" w:hAnsi="宋体" w:hint="eastAsia"/>
          <w:color w:val="000000" w:themeColor="text1"/>
          <w:szCs w:val="21"/>
          <w14:textFill>
            <w14:solidFill>
              <w14:schemeClr w14:val="tx1"/>
            </w14:solidFill>
          </w14:textFill>
        </w:rPr>
      </w:pPr>
      <w:bookmarkStart w:id="90" w:name="_Hlk71407340"/>
      <w:r>
        <w:rPr>
          <w:rFonts w:ascii="宋体" w:hAnsi="宋体" w:hint="eastAsia"/>
          <w:color w:val="000000" w:themeColor="text1"/>
          <w:szCs w:val="21"/>
          <w14:textFill>
            <w14:solidFill>
              <w14:schemeClr w14:val="tx1"/>
            </w14:solidFill>
          </w14:textFill>
        </w:rPr>
        <w:t>41.3因质疑投诉或其它原因导致项目结果变更或采购终止的，</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有权吊销中标通知书。</w:t>
      </w:r>
    </w:p>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lang w:val="en-US" w:eastAsia="zh-CN"/>
          <w14:textFill>
            <w14:solidFill>
              <w14:schemeClr w14:val="tx1"/>
            </w14:solidFill>
          </w14:textFill>
        </w:rPr>
        <w:t>41.4.1</w:t>
      </w:r>
      <w:r>
        <w:rPr>
          <w:rFonts w:ascii="宋体" w:hAnsi="宋体" w:hint="eastAsia"/>
          <w:color w:val="000000" w:themeColor="text1"/>
          <w:szCs w:val="21"/>
          <w14:textFill>
            <w14:solidFill>
              <w14:schemeClr w14:val="tx1"/>
            </w14:solidFill>
          </w14:textFill>
        </w:rPr>
        <w:t>代理费由中标人支付，代理费收费标准按《深圳市财政委员会关于规范深圳市社会采购代理机构管理有关事项的补充通知》（深财购〔2018〕27号）执行，收费标准如下表所列。招标代理服务费以中标金额为基数，按差额定率累进法计算。具体计取费率标准如下表所示：</w:t>
      </w:r>
    </w:p>
    <w:tbl>
      <w:tblPr>
        <w:tblStyle w:val="TableNormal"/>
        <w:tblW w:w="781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0" w:type="dxa"/>
          <w:left w:w="108" w:type="dxa"/>
          <w:bottom w:w="0" w:type="dxa"/>
          <w:right w:w="108" w:type="dxa"/>
        </w:tblCellMar>
      </w:tblPr>
      <w:tblGrid>
        <w:gridCol w:w="2447"/>
        <w:gridCol w:w="1788"/>
        <w:gridCol w:w="1788"/>
        <w:gridCol w:w="1788"/>
      </w:tblGrid>
      <w:tr>
        <w:tblPrEx>
          <w:tblW w:w="781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0" w:type="dxa"/>
            <w:left w:w="108" w:type="dxa"/>
            <w:bottom w:w="0" w:type="dxa"/>
            <w:right w:w="108" w:type="dxa"/>
          </w:tblCellMar>
        </w:tblPrEx>
        <w:trPr>
          <w:trHeight w:val="54"/>
          <w:jc w:val="center"/>
        </w:trPr>
        <w:tc>
          <w:tcPr>
            <w:tcW w:w="2447" w:type="dxa"/>
            <w:tcBorders>
              <w:tl2br w:val="single" w:sz="8" w:space="0" w:color="auto"/>
            </w:tcBorders>
            <w:vAlign w:val="center"/>
          </w:tcPr>
          <w:p>
            <w:pPr>
              <w:keepNext w:val="0"/>
              <w:keepLines w:val="0"/>
              <w:widowControl/>
              <w:suppressLineNumbers w:val="0"/>
              <w:snapToGrid w:val="0"/>
              <w:spacing w:before="0" w:beforeAutospacing="0" w:after="0" w:afterAutospacing="0" w:line="360" w:lineRule="auto"/>
              <w:ind w:left="0" w:right="0" w:firstLine="1200" w:firstLineChars="500"/>
              <w:jc w:val="center"/>
              <w:rPr>
                <w:rFonts w:ascii="宋体" w:hAnsi="宋体" w:hint="default"/>
                <w:szCs w:val="21"/>
              </w:rPr>
            </w:pPr>
            <w:r>
              <w:rPr>
                <w:rFonts w:ascii="宋体" w:hAnsi="宋体" w:hint="eastAsia"/>
                <w:szCs w:val="21"/>
              </w:rPr>
              <w:t>服务类型</w:t>
            </w:r>
          </w:p>
          <w:p>
            <w:pPr>
              <w:pStyle w:val="NormalIndent"/>
              <w:keepNext w:val="0"/>
              <w:keepLines w:val="0"/>
              <w:widowControl/>
              <w:suppressLineNumbers w:val="0"/>
              <w:spacing w:before="0" w:beforeAutospacing="0" w:after="0" w:afterAutospacing="0"/>
              <w:ind w:left="0" w:right="0" w:firstLine="0"/>
              <w:jc w:val="both"/>
              <w:rPr>
                <w:rFonts w:ascii="宋体" w:hAnsi="宋体" w:hint="default"/>
                <w:szCs w:val="21"/>
              </w:rPr>
            </w:pPr>
            <w:r>
              <w:rPr>
                <w:rFonts w:ascii="宋体" w:hAnsi="宋体" w:hint="eastAsia"/>
                <w:szCs w:val="21"/>
              </w:rPr>
              <w:t>中标金额</w:t>
            </w:r>
            <w:r>
              <w:rPr>
                <w:rFonts w:ascii="宋体" w:hAnsi="宋体" w:hint="default"/>
                <w:szCs w:val="21"/>
              </w:rPr>
              <w:t>(</w:t>
            </w:r>
            <w:r>
              <w:rPr>
                <w:rFonts w:ascii="宋体" w:hAnsi="宋体" w:hint="eastAsia"/>
                <w:szCs w:val="21"/>
              </w:rPr>
              <w:t>万元</w:t>
            </w:r>
            <w:r>
              <w:rPr>
                <w:rFonts w:ascii="宋体" w:hAnsi="宋体" w:hint="default"/>
                <w:szCs w:val="21"/>
              </w:rPr>
              <w:t>)</w:t>
            </w:r>
          </w:p>
        </w:tc>
        <w:tc>
          <w:tcPr>
            <w:tcW w:w="1788"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eastAsia"/>
                <w:szCs w:val="21"/>
              </w:rPr>
              <w:t>货物招标</w:t>
            </w:r>
          </w:p>
        </w:tc>
        <w:tc>
          <w:tcPr>
            <w:tcW w:w="1788"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eastAsia"/>
                <w:szCs w:val="21"/>
              </w:rPr>
              <w:t>服务招标</w:t>
            </w:r>
          </w:p>
        </w:tc>
        <w:tc>
          <w:tcPr>
            <w:tcW w:w="1788"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eastAsia"/>
                <w:szCs w:val="21"/>
              </w:rPr>
              <w:t>工程招标</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100</w:t>
            </w:r>
            <w:r>
              <w:rPr>
                <w:rFonts w:ascii="宋体" w:hAnsi="宋体" w:hint="eastAsia"/>
                <w:szCs w:val="21"/>
              </w:rPr>
              <w:t>以下</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1.50%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1.50%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1.00%</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100-500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1.10%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0.80%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0.70%</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500-1000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0.80%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0.45%</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0.55%</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1000-5000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0.50%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0.25%</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0.35%</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5000-10000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0.25%</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0.10%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0.20%</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10000-100000</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0.05%</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0.05%</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0.05%</w:t>
            </w:r>
          </w:p>
        </w:tc>
      </w:tr>
      <w:tr>
        <w:tblPrEx>
          <w:tblW w:w="7811" w:type="dxa"/>
          <w:jc w:val="center"/>
          <w:tblLayout w:type="fixed"/>
          <w:tblCellMar>
            <w:top w:w="0" w:type="dxa"/>
            <w:left w:w="108" w:type="dxa"/>
            <w:bottom w:w="0" w:type="dxa"/>
            <w:right w:w="108" w:type="dxa"/>
          </w:tblCellMar>
        </w:tblPrEx>
        <w:trPr>
          <w:trHeight w:val="402"/>
          <w:jc w:val="center"/>
        </w:trPr>
        <w:tc>
          <w:tcPr>
            <w:tcW w:w="2447" w:type="dxa"/>
            <w:vAlign w:val="center"/>
          </w:tcPr>
          <w:p>
            <w:pPr>
              <w:keepNext w:val="0"/>
              <w:keepLines w:val="0"/>
              <w:widowControl/>
              <w:suppressLineNumbers w:val="0"/>
              <w:snapToGrid w:val="0"/>
              <w:spacing w:before="0" w:beforeAutospacing="0" w:after="0" w:afterAutospacing="0" w:line="360" w:lineRule="auto"/>
              <w:ind w:left="0" w:right="0"/>
              <w:jc w:val="center"/>
              <w:rPr>
                <w:rFonts w:ascii="宋体" w:hAnsi="宋体" w:hint="default"/>
                <w:szCs w:val="21"/>
              </w:rPr>
            </w:pPr>
            <w:r>
              <w:rPr>
                <w:rFonts w:ascii="宋体" w:hAnsi="宋体" w:hint="default"/>
                <w:szCs w:val="21"/>
              </w:rPr>
              <w:t>1000000</w:t>
            </w:r>
            <w:r>
              <w:rPr>
                <w:rFonts w:ascii="宋体" w:hAnsi="宋体" w:hint="eastAsia"/>
                <w:szCs w:val="21"/>
              </w:rPr>
              <w:t>以上</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0.01%</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0.01%</w:t>
            </w:r>
          </w:p>
        </w:tc>
        <w:tc>
          <w:tcPr>
            <w:tcW w:w="1788" w:type="dxa"/>
          </w:tcPr>
          <w:p>
            <w:pPr>
              <w:keepNext w:val="0"/>
              <w:keepLines w:val="0"/>
              <w:widowControl/>
              <w:suppressLineNumbers w:val="0"/>
              <w:spacing w:before="0" w:beforeAutospacing="0" w:after="0" w:afterAutospacing="0" w:line="360" w:lineRule="auto"/>
              <w:ind w:left="0" w:right="0"/>
              <w:jc w:val="center"/>
              <w:rPr>
                <w:rFonts w:ascii="宋体" w:hAnsi="宋体" w:hint="default"/>
              </w:rPr>
            </w:pPr>
            <w:r>
              <w:rPr>
                <w:rFonts w:ascii="宋体" w:hAnsi="宋体" w:hint="default"/>
              </w:rPr>
              <w:t>0.01%</w:t>
            </w:r>
          </w:p>
        </w:tc>
      </w:tr>
    </w:tbl>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例如：某服务招标代理业务中标金额为600万元，计算招标代理服务收费额如下：</w:t>
      </w:r>
    </w:p>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100万元×1.5%=1.5万元</w:t>
      </w:r>
    </w:p>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（500-100）万元×0.8%=3.2万元</w:t>
      </w:r>
    </w:p>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（600-500）万元×0.45%=0.45万元</w:t>
      </w:r>
    </w:p>
    <w:p>
      <w:pPr>
        <w:ind w:firstLine="470" w:firstLineChars="196"/>
        <w:rPr>
          <w:rFonts w:ascii="宋体" w:eastAsia="宋体" w:hAnsi="宋体" w:hint="eastAsia"/>
          <w:color w:val="000000" w:themeColor="text1"/>
          <w:szCs w:val="21"/>
          <w:lang w:val="en-US" w:eastAsia="zh-CN"/>
          <w14:textFill>
            <w14:solidFill>
              <w14:schemeClr w14:val="tx1"/>
            </w14:solidFill>
          </w14:textFill>
        </w:rPr>
      </w:pPr>
      <w:r>
        <w:rPr>
          <w:rFonts w:ascii="宋体" w:hAnsi="宋体" w:hint="eastAsia"/>
          <w:color w:val="000000" w:themeColor="text1"/>
          <w:szCs w:val="21"/>
          <w14:textFill>
            <w14:solidFill>
              <w14:schemeClr w14:val="tx1"/>
            </w14:solidFill>
          </w14:textFill>
        </w:rPr>
        <w:t>合计收费=1.5+3.2+0.45=5.15万元：</w:t>
      </w:r>
    </w:p>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中标人须在中标公告公示期结束后，领取《中标通知书》前，向招标代理机构缴纳中标服务费。</w:t>
      </w:r>
    </w:p>
    <w:p>
      <w:pPr>
        <w:ind w:firstLine="470" w:firstLineChars="196"/>
        <w:rPr>
          <w:rFonts w:ascii="宋体" w:hAnsi="宋体" w:hint="eastAsia"/>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w:t>
      </w:r>
      <w:r>
        <w:rPr>
          <w:rFonts w:ascii="宋体" w:hAnsi="宋体" w:hint="eastAsia"/>
          <w:color w:val="000000" w:themeColor="text1"/>
          <w:szCs w:val="21"/>
          <w:lang w:val="en-US" w:eastAsia="zh-CN"/>
          <w14:textFill>
            <w14:solidFill>
              <w14:schemeClr w14:val="tx1"/>
            </w14:solidFill>
          </w14:textFill>
        </w:rPr>
        <w:t>1</w:t>
      </w:r>
      <w:r>
        <w:rPr>
          <w:rFonts w:ascii="宋体" w:hAnsi="宋体" w:hint="eastAsia"/>
          <w:color w:val="000000" w:themeColor="text1"/>
          <w:szCs w:val="21"/>
          <w14:textFill>
            <w14:solidFill>
              <w14:schemeClr w14:val="tx1"/>
            </w14:solidFill>
          </w14:textFill>
        </w:rPr>
        <w:t>.</w:t>
      </w:r>
      <w:r>
        <w:rPr>
          <w:rFonts w:ascii="宋体" w:hAnsi="宋体" w:hint="eastAsia"/>
          <w:color w:val="000000" w:themeColor="text1"/>
          <w:szCs w:val="21"/>
          <w:lang w:val="en-US" w:eastAsia="zh-CN"/>
          <w14:textFill>
            <w14:solidFill>
              <w14:schemeClr w14:val="tx1"/>
            </w14:solidFill>
          </w14:textFill>
        </w:rPr>
        <w:t>4.2</w:t>
      </w:r>
      <w:r>
        <w:rPr>
          <w:rFonts w:ascii="宋体" w:hAnsi="宋体" w:hint="eastAsia"/>
          <w:color w:val="000000" w:themeColor="text1"/>
          <w:szCs w:val="21"/>
          <w14:textFill>
            <w14:solidFill>
              <w14:schemeClr w14:val="tx1"/>
            </w14:solidFill>
          </w14:textFill>
        </w:rPr>
        <w:t xml:space="preserve"> 招标代理服务费以转账、现金形式交付。</w:t>
      </w:r>
    </w:p>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bookmarkEnd w:id="90"/>
      <w:r>
        <w:rPr>
          <w:rFonts w:hint="eastAsia"/>
          <w:color w:val="000000" w:themeColor="text1"/>
          <w:sz w:val="28"/>
          <w:szCs w:val="28"/>
          <w14:textFill>
            <w14:solidFill>
              <w14:schemeClr w14:val="tx1"/>
            </w14:solidFill>
          </w14:textFill>
        </w:rPr>
        <w:t>公开招标失败的后续处理</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42．公开招标失败的处理</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szCs w:val="21"/>
          <w14:textFill>
            <w14:solidFill>
              <w14:schemeClr w14:val="tx1"/>
            </w14:solidFill>
          </w14:textFill>
        </w:rPr>
        <w:t>42.1本项目公开招标过程中若由于投标截止后</w:t>
      </w:r>
      <w:r>
        <w:rPr>
          <w:rFonts w:ascii="宋体" w:hAnsi="宋体" w:hint="eastAsia"/>
          <w:color w:val="000000" w:themeColor="text1"/>
          <w14:textFill>
            <w14:solidFill>
              <w14:schemeClr w14:val="tx1"/>
            </w14:solidFill>
          </w14:textFill>
        </w:rPr>
        <w:t>实际递交</w:t>
      </w:r>
      <w:r>
        <w:rPr>
          <w:rFonts w:ascii="宋体" w:hAnsi="宋体"/>
          <w:color w:val="000000" w:themeColor="text1"/>
          <w14:textFill>
            <w14:solidFill>
              <w14:schemeClr w14:val="tx1"/>
            </w14:solidFill>
          </w14:textFill>
        </w:rPr>
        <w:t>投标</w:t>
      </w:r>
      <w:r>
        <w:rPr>
          <w:rFonts w:ascii="宋体" w:hAnsi="宋体" w:hint="eastAsia"/>
          <w:color w:val="000000" w:themeColor="text1"/>
          <w14:textFill>
            <w14:solidFill>
              <w14:schemeClr w14:val="tx1"/>
            </w14:solidFill>
          </w14:textFill>
        </w:rPr>
        <w:t>文件的供应商数量不足、经</w:t>
      </w:r>
      <w:r>
        <w:rPr>
          <w:rFonts w:ascii="宋体" w:hAnsi="宋体" w:hint="eastAsia"/>
          <w:color w:val="000000" w:themeColor="text1"/>
          <w:szCs w:val="21"/>
          <w14:textFill>
            <w14:solidFill>
              <w14:schemeClr w14:val="tx1"/>
            </w14:solidFill>
          </w14:textFill>
        </w:rPr>
        <w:t>评审委员会</w:t>
      </w:r>
      <w:r>
        <w:rPr>
          <w:rFonts w:ascii="宋体" w:hAnsi="宋体" w:hint="eastAsia"/>
          <w:color w:val="000000" w:themeColor="text1"/>
          <w14:textFill>
            <w14:solidFill>
              <w14:schemeClr w14:val="tx1"/>
            </w14:solidFill>
          </w14:textFill>
        </w:rPr>
        <w:t>评审对招标文件作实质响应的供应商不足等原因造成公开招标失败，可由</w:t>
      </w:r>
      <w:r>
        <w:rPr>
          <w:rFonts w:ascii="宋体" w:eastAsia="宋体" w:hAnsi="宋体" w:cs="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重新组织采购。</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42.2对公开招标失败的项目，评审委员会在出具该项目招标失败结论的同时，可以提出重新采购组织形式的建议，以及进一步完善招标文件的资格、技术、商务要求的修改建议。</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42.3重新组织采购有以下两种组织形式：</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（1）由</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重新组织公开招标；</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（2）根据实际情况需要向同级财政部门提出非公开招标方式申请，经同级财政部门批准，公开招标失败采购项目可转为竞争性谈判或单一来源谈判方式采购。</w:t>
      </w:r>
    </w:p>
    <w:p>
      <w:pPr>
        <w:ind w:firstLine="47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42.4公开招标失败的采购项目重新组织公开招标，由</w:t>
      </w:r>
      <w:r>
        <w:rPr>
          <w:rFonts w:ascii="宋体" w:eastAsia="宋体" w:hAnsi="宋体" w:hint="eastAsia"/>
          <w:color w:val="000000" w:themeColor="text1"/>
          <w14:textFill>
            <w14:solidFill>
              <w14:schemeClr w14:val="tx1"/>
            </w14:solidFill>
          </w14:textFill>
        </w:rPr>
        <w:t>招标机构</w:t>
      </w:r>
      <w:r>
        <w:rPr>
          <w:rFonts w:ascii="宋体" w:hAnsi="宋体" w:hint="eastAsia"/>
          <w:color w:val="000000" w:themeColor="text1"/>
          <w14:textFill>
            <w14:solidFill>
              <w14:schemeClr w14:val="tx1"/>
            </w14:solidFill>
          </w14:textFill>
        </w:rPr>
        <w:t>重新按公开招标流程组织采购活动。</w:t>
      </w:r>
    </w:p>
    <w:p>
      <w:pPr>
        <w:ind w:firstLine="470" w:firstLineChars="196"/>
        <w:rPr>
          <w:rFonts w:ascii="宋体" w:hAnsi="宋体" w:hint="eastAsia"/>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42.5公开招标失败的采购项目经同级财政部门批准转为竞争性谈判或单一来源谈判方式采购的，按规定要求组织政府采购工作。</w:t>
      </w: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bookmarkStart w:id="91" w:name="_Hlk72439043"/>
      <w:r>
        <w:rPr>
          <w:rFonts w:hint="eastAsia"/>
          <w:color w:val="000000" w:themeColor="text1"/>
          <w:sz w:val="28"/>
          <w:szCs w:val="28"/>
          <w14:textFill>
            <w14:solidFill>
              <w14:schemeClr w14:val="tx1"/>
            </w14:solidFill>
          </w14:textFill>
        </w:rPr>
        <w:t>合同的授予与备案</w:t>
      </w:r>
      <w:bookmarkEnd w:id="91"/>
    </w:p>
    <w:p>
      <w:pPr>
        <w:rPr>
          <w:rFonts w:ascii="黑体" w:eastAsia="黑体" w:hAnsi="宋体"/>
          <w:color w:val="000000" w:themeColor="text1"/>
          <w14:textFill>
            <w14:solidFill>
              <w14:schemeClr w14:val="tx1"/>
            </w14:solidFill>
          </w14:textFill>
        </w:rPr>
      </w:pPr>
      <w:bookmarkStart w:id="92" w:name="_Toc73518157"/>
      <w:bookmarkStart w:id="93" w:name="_Toc73517679"/>
      <w:bookmarkStart w:id="94" w:name="_Toc73521586"/>
      <w:bookmarkStart w:id="95" w:name="_Toc100052408"/>
      <w:bookmarkStart w:id="96" w:name="_Toc73521674"/>
      <w:bookmarkStart w:id="97" w:name="_Hlk72439088"/>
      <w:r>
        <w:rPr>
          <w:rFonts w:ascii="黑体" w:eastAsia="黑体" w:hAnsi="宋体" w:hint="eastAsia"/>
          <w:color w:val="000000" w:themeColor="text1"/>
          <w14:textFill>
            <w14:solidFill>
              <w14:schemeClr w14:val="tx1"/>
            </w14:solidFill>
          </w14:textFill>
        </w:rPr>
        <w:t>43．合同授予标准</w:t>
      </w:r>
      <w:bookmarkEnd w:id="92"/>
      <w:bookmarkEnd w:id="93"/>
      <w:bookmarkEnd w:id="94"/>
      <w:bookmarkEnd w:id="95"/>
      <w:bookmarkEnd w:id="96"/>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本项目的合同将授予经本招标文件规定评审确定的中标供应商。</w:t>
      </w:r>
    </w:p>
    <w:p>
      <w:pPr>
        <w:rPr>
          <w:rFonts w:ascii="黑体" w:eastAsia="黑体" w:hAnsi="宋体"/>
          <w:color w:val="000000" w:themeColor="text1"/>
          <w14:textFill>
            <w14:solidFill>
              <w14:schemeClr w14:val="tx1"/>
            </w14:solidFill>
          </w14:textFill>
        </w:rPr>
      </w:pPr>
      <w:bookmarkStart w:id="98" w:name="_Toc100052409"/>
      <w:bookmarkStart w:id="99" w:name="_Toc73517680"/>
      <w:bookmarkStart w:id="100" w:name="_Toc73521675"/>
      <w:bookmarkStart w:id="101" w:name="_Toc73521587"/>
      <w:bookmarkStart w:id="102" w:name="_Toc73518158"/>
      <w:r>
        <w:rPr>
          <w:rFonts w:ascii="黑体" w:eastAsia="黑体" w:hAnsi="宋体" w:hint="eastAsia"/>
          <w:color w:val="000000" w:themeColor="text1"/>
          <w14:textFill>
            <w14:solidFill>
              <w14:schemeClr w14:val="tx1"/>
            </w14:solidFill>
          </w14:textFill>
        </w:rPr>
        <w:t>44．</w:t>
      </w:r>
      <w:bookmarkEnd w:id="98"/>
      <w:bookmarkEnd w:id="99"/>
      <w:bookmarkEnd w:id="100"/>
      <w:bookmarkEnd w:id="101"/>
      <w:bookmarkEnd w:id="102"/>
      <w:r>
        <w:rPr>
          <w:rFonts w:ascii="黑体" w:eastAsia="黑体" w:hAnsi="宋体" w:hint="eastAsia"/>
          <w:color w:val="000000" w:themeColor="text1"/>
          <w14:textFill>
            <w14:solidFill>
              <w14:schemeClr w14:val="tx1"/>
            </w14:solidFill>
          </w14:textFill>
        </w:rPr>
        <w:t>接受和拒绝任何或所有投标的权力</w:t>
      </w:r>
    </w:p>
    <w:p>
      <w:pPr>
        <w:ind w:firstLine="470" w:firstLineChars="196"/>
        <w:rPr>
          <w:rFonts w:ascii="宋体" w:hAnsi="宋体"/>
          <w:color w:val="000000" w:themeColor="text1"/>
          <w:szCs w:val="21"/>
          <w14:textFill>
            <w14:solidFill>
              <w14:schemeClr w14:val="tx1"/>
            </w14:solidFill>
          </w14:textFill>
        </w:rPr>
      </w:pP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和采购人保留在投标之前任何时候接受或拒绝任何投标或所有投标，以及宣布招标无效的权力，对受影响的投标人不承担任何责任，也无义务向受影响的投标人解释采取这一行动的理由。</w:t>
      </w:r>
    </w:p>
    <w:p>
      <w:pPr>
        <w:rPr>
          <w:rFonts w:ascii="黑体" w:eastAsia="黑体" w:hAnsi="宋体"/>
          <w:color w:val="000000" w:themeColor="text1"/>
          <w14:textFill>
            <w14:solidFill>
              <w14:schemeClr w14:val="tx1"/>
            </w14:solidFill>
          </w14:textFill>
        </w:rPr>
      </w:pPr>
      <w:bookmarkStart w:id="103" w:name="_Toc73521589"/>
      <w:bookmarkStart w:id="104" w:name="_Toc73518160"/>
      <w:bookmarkStart w:id="105" w:name="_Toc73521677"/>
      <w:bookmarkStart w:id="106" w:name="_Toc73517682"/>
      <w:bookmarkStart w:id="107" w:name="_Toc100052410"/>
      <w:r>
        <w:rPr>
          <w:rFonts w:ascii="黑体" w:eastAsia="黑体" w:hAnsi="宋体" w:hint="eastAsia"/>
          <w:color w:val="000000" w:themeColor="text1"/>
          <w14:textFill>
            <w14:solidFill>
              <w14:schemeClr w14:val="tx1"/>
            </w14:solidFill>
          </w14:textFill>
        </w:rPr>
        <w:t>45．合同的签订</w:t>
      </w:r>
      <w:bookmarkEnd w:id="103"/>
      <w:bookmarkEnd w:id="104"/>
      <w:bookmarkEnd w:id="105"/>
      <w:bookmarkEnd w:id="106"/>
      <w:bookmarkEnd w:id="107"/>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45.1中标人将于中标通知书发出之日起十个工作日内，按照采购文件（招标文件和投标文件等）内容与采购人签订政府采购合同；合同的实质性内容应当符合招标文件的规定；</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45.2中标人如不按本通用条款第45</w:t>
      </w:r>
      <w:r>
        <w:rPr>
          <w:rFonts w:ascii="宋体" w:hAnsi="宋体"/>
          <w:color w:val="000000" w:themeColor="text1"/>
          <w:szCs w:val="21"/>
          <w14:textFill>
            <w14:solidFill>
              <w14:schemeClr w14:val="tx1"/>
            </w14:solidFill>
          </w14:textFill>
        </w:rPr>
        <w:t>.1</w:t>
      </w:r>
      <w:r>
        <w:rPr>
          <w:rFonts w:ascii="宋体" w:hAnsi="宋体" w:hint="eastAsia"/>
          <w:color w:val="000000" w:themeColor="text1"/>
          <w:szCs w:val="21"/>
          <w14:textFill>
            <w14:solidFill>
              <w14:schemeClr w14:val="tx1"/>
            </w14:solidFill>
          </w14:textFill>
        </w:rPr>
        <w:t>款的规定与采购人签订合同，</w:t>
      </w:r>
      <w:r>
        <w:rPr>
          <w:rFonts w:ascii="宋体" w:hAnsi="宋体" w:cs="宋体"/>
          <w:color w:val="000000" w:themeColor="text1"/>
          <w:szCs w:val="21"/>
          <w14:textFill>
            <w14:solidFill>
              <w14:schemeClr w14:val="tx1"/>
            </w14:solidFill>
          </w14:textFill>
        </w:rPr>
        <w:t>情节严重的，由</w:t>
      </w:r>
      <w:r>
        <w:rPr>
          <w:rFonts w:ascii="宋体" w:hAnsi="宋体" w:cs="宋体" w:hint="eastAsia"/>
          <w:color w:val="000000" w:themeColor="text1"/>
          <w:szCs w:val="21"/>
          <w14:textFill>
            <w14:solidFill>
              <w14:schemeClr w14:val="tx1"/>
            </w14:solidFill>
          </w14:textFill>
        </w:rPr>
        <w:t>同级财政</w:t>
      </w:r>
      <w:r>
        <w:rPr>
          <w:rFonts w:ascii="宋体" w:hAnsi="宋体" w:cs="宋体"/>
          <w:color w:val="000000" w:themeColor="text1"/>
          <w:szCs w:val="21"/>
          <w14:textFill>
            <w14:solidFill>
              <w14:schemeClr w14:val="tx1"/>
            </w14:solidFill>
          </w14:textFill>
        </w:rPr>
        <w:t>部门记入供应商诚信档案，予以通报</w:t>
      </w:r>
      <w:r>
        <w:rPr>
          <w:rFonts w:ascii="宋体" w:hAnsi="宋体" w:hint="eastAsia"/>
          <w:color w:val="000000" w:themeColor="text1"/>
          <w:szCs w:val="21"/>
          <w14:textFill>
            <w14:solidFill>
              <w14:schemeClr w14:val="tx1"/>
            </w14:solidFill>
          </w14:textFill>
        </w:rPr>
        <w:t>；</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45.3中标人应当按照合同约定履行义务，完成中标项目，不得将中标项目转让（转包）给他人。</w:t>
      </w:r>
    </w:p>
    <w:p>
      <w:pPr>
        <w:rPr>
          <w:rFonts w:ascii="黑体" w:eastAsia="黑体" w:hAnsi="宋体"/>
          <w:color w:val="000000" w:themeColor="text1"/>
          <w14:textFill>
            <w14:solidFill>
              <w14:schemeClr w14:val="tx1"/>
            </w14:solidFill>
          </w14:textFill>
        </w:rPr>
      </w:pPr>
      <w:bookmarkStart w:id="108" w:name="_Toc73521590"/>
      <w:bookmarkStart w:id="109" w:name="_Toc73521678"/>
      <w:bookmarkStart w:id="110" w:name="_Toc73517683"/>
      <w:bookmarkStart w:id="111" w:name="_Toc100052411"/>
      <w:bookmarkStart w:id="112" w:name="_Toc73518161"/>
      <w:r>
        <w:rPr>
          <w:rFonts w:ascii="黑体" w:eastAsia="黑体" w:hAnsi="宋体" w:hint="eastAsia"/>
          <w:color w:val="000000" w:themeColor="text1"/>
          <w14:textFill>
            <w14:solidFill>
              <w14:schemeClr w14:val="tx1"/>
            </w14:solidFill>
          </w14:textFill>
        </w:rPr>
        <w:t>46．履约担保</w:t>
      </w:r>
      <w:bookmarkEnd w:id="108"/>
      <w:bookmarkEnd w:id="109"/>
      <w:bookmarkEnd w:id="110"/>
      <w:bookmarkEnd w:id="111"/>
      <w:bookmarkEnd w:id="112"/>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46.1在签订项目合同的同时，中标人应按“对通用条款的补充内容”中规定的金额向采购人提交履约担保；</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46.2允许供应商自主选择以支票、汇票、本票、保函等非现金方式提交履约担保；</w:t>
      </w:r>
      <w:r>
        <w:rPr>
          <w:color w:val="000000" w:themeColor="text1"/>
          <w14:textFill>
            <w14:solidFill>
              <w14:schemeClr w14:val="tx1"/>
            </w14:solidFill>
          </w14:textFill>
        </w:rPr>
        <w:t>中标</w:t>
      </w:r>
      <w:r>
        <w:rPr>
          <w:rFonts w:hint="eastAsia"/>
          <w:color w:val="000000" w:themeColor="text1"/>
          <w14:textFill>
            <w14:solidFill>
              <w14:schemeClr w14:val="tx1"/>
            </w14:solidFill>
          </w14:textFill>
        </w:rPr>
        <w:t>人</w:t>
      </w:r>
      <w:r>
        <w:rPr>
          <w:color w:val="000000" w:themeColor="text1"/>
          <w14:textFill>
            <w14:solidFill>
              <w14:schemeClr w14:val="tx1"/>
            </w14:solidFill>
          </w14:textFill>
        </w:rPr>
        <w:t>提交履约</w:t>
      </w:r>
      <w:r>
        <w:rPr>
          <w:rFonts w:hint="eastAsia"/>
          <w:color w:val="000000" w:themeColor="text1"/>
          <w14:textFill>
            <w14:solidFill>
              <w14:schemeClr w14:val="tx1"/>
            </w14:solidFill>
          </w14:textFill>
        </w:rPr>
        <w:t>担保不是</w:t>
      </w:r>
      <w:r>
        <w:rPr>
          <w:color w:val="000000" w:themeColor="text1"/>
          <w14:textFill>
            <w14:solidFill>
              <w14:schemeClr w14:val="tx1"/>
            </w14:solidFill>
          </w14:textFill>
        </w:rPr>
        <w:t>合同签订的</w:t>
      </w:r>
      <w:r>
        <w:rPr>
          <w:rFonts w:hint="eastAsia"/>
          <w:color w:val="000000" w:themeColor="text1"/>
          <w14:textFill>
            <w14:solidFill>
              <w14:schemeClr w14:val="tx1"/>
            </w14:solidFill>
          </w14:textFill>
        </w:rPr>
        <w:t>前提</w:t>
      </w:r>
      <w:r>
        <w:rPr>
          <w:color w:val="000000" w:themeColor="text1"/>
          <w14:textFill>
            <w14:solidFill>
              <w14:schemeClr w14:val="tx1"/>
            </w14:solidFill>
          </w14:textFill>
        </w:rPr>
        <w:t>条件，不要求中标</w:t>
      </w:r>
      <w:r>
        <w:rPr>
          <w:rFonts w:hint="eastAsia"/>
          <w:color w:val="000000" w:themeColor="text1"/>
          <w14:textFill>
            <w14:solidFill>
              <w14:schemeClr w14:val="tx1"/>
            </w14:solidFill>
          </w14:textFill>
        </w:rPr>
        <w:t>人</w:t>
      </w:r>
      <w:r>
        <w:rPr>
          <w:color w:val="000000" w:themeColor="text1"/>
          <w14:textFill>
            <w14:solidFill>
              <w14:schemeClr w14:val="tx1"/>
            </w14:solidFill>
          </w14:textFill>
        </w:rPr>
        <w:t>提供除法律、法规明确规定外的其他担保</w:t>
      </w:r>
      <w:r>
        <w:rPr>
          <w:rFonts w:hint="eastAsia"/>
          <w:color w:val="000000" w:themeColor="text1"/>
          <w14:textFill>
            <w14:solidFill>
              <w14:schemeClr w14:val="tx1"/>
            </w14:solidFill>
          </w14:textFill>
        </w:rPr>
        <w:t>。</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47. 合同备案</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采购人与中标人应于合同签订之日起</w:t>
      </w:r>
      <w:r>
        <w:rPr>
          <w:rFonts w:ascii="宋体" w:eastAsia="宋体" w:hAnsi="宋体" w:hint="eastAsia"/>
          <w:color w:val="000000" w:themeColor="text1"/>
          <w:szCs w:val="21"/>
          <w14:textFill>
            <w14:solidFill>
              <w14:schemeClr w14:val="tx1"/>
            </w14:solidFill>
          </w14:textFill>
        </w:rPr>
        <w:t>十日</w:t>
      </w:r>
      <w:r>
        <w:rPr>
          <w:rFonts w:ascii="宋体" w:hAnsi="宋体" w:hint="eastAsia"/>
          <w:color w:val="000000" w:themeColor="text1"/>
          <w:szCs w:val="21"/>
          <w14:textFill>
            <w14:solidFill>
              <w14:schemeClr w14:val="tx1"/>
            </w14:solidFill>
          </w14:textFill>
        </w:rPr>
        <w:t>内，由采购人或委托中标人将采购合同副本抄送合同备案工作实施机构备案。</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48. 合同变更</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合同变更事宜按《深圳市财政局 深圳市政府采购中心关于进一步加强市本级政府采购合同备案管理工作的通知》（深财购〔2019〕43号）相关规定执行。</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49. 项目验收</w:t>
      </w:r>
    </w:p>
    <w:p>
      <w:pPr>
        <w:ind w:right="176" w:firstLine="420"/>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49.1采购人应当按照招标文件和合同规定的标准和方法，及时组织验收。</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50. 宣传</w:t>
      </w:r>
    </w:p>
    <w:p>
      <w:pPr>
        <w:ind w:left="240" w:firstLine="470" w:leftChars="1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凡与政府采购活动有关的宣传或广告，若当中提及政府采购，</w:t>
      </w:r>
      <w:r>
        <w:rPr>
          <w:rFonts w:ascii="宋体" w:hAnsi="宋体"/>
          <w:color w:val="000000" w:themeColor="text1"/>
          <w14:textFill>
            <w14:solidFill>
              <w14:schemeClr w14:val="tx1"/>
            </w14:solidFill>
          </w14:textFill>
        </w:rPr>
        <w:t>必须事先将具体对外宣传方案报</w:t>
      </w:r>
      <w:r>
        <w:rPr>
          <w:rFonts w:ascii="宋体" w:hAnsi="宋体" w:hint="eastAsia"/>
          <w:color w:val="000000" w:themeColor="text1"/>
          <w14:textFill>
            <w14:solidFill>
              <w14:schemeClr w14:val="tx1"/>
            </w14:solidFill>
          </w14:textFill>
        </w:rPr>
        <w:t>同级财政部门</w:t>
      </w:r>
      <w:r>
        <w:rPr>
          <w:rFonts w:ascii="宋体" w:hAnsi="宋体"/>
          <w:color w:val="000000" w:themeColor="text1"/>
          <w14:textFill>
            <w14:solidFill>
              <w14:schemeClr w14:val="tx1"/>
            </w14:solidFill>
          </w14:textFill>
        </w:rPr>
        <w:t>和</w:t>
      </w:r>
      <w:r>
        <w:rPr>
          <w:rFonts w:ascii="宋体" w:eastAsia="宋体" w:hAnsi="宋体" w:hint="eastAsia"/>
          <w:color w:val="000000" w:themeColor="text1"/>
          <w14:textFill>
            <w14:solidFill>
              <w14:schemeClr w14:val="tx1"/>
            </w14:solidFill>
          </w14:textFill>
        </w:rPr>
        <w:t>招标机构</w:t>
      </w:r>
      <w:r>
        <w:rPr>
          <w:rFonts w:ascii="宋体" w:hAnsi="宋体"/>
          <w:color w:val="000000" w:themeColor="text1"/>
          <w14:textFill>
            <w14:solidFill>
              <w14:schemeClr w14:val="tx1"/>
            </w14:solidFill>
          </w14:textFill>
        </w:rPr>
        <w:t>，并征得其同意。对外市场宣传包括但不限于以下形式：</w:t>
      </w:r>
    </w:p>
    <w:p>
      <w:pPr>
        <w:ind w:left="240" w:firstLine="470" w:leftChars="10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a.名片、宣传册、广告标语等；</w:t>
      </w:r>
    </w:p>
    <w:p>
      <w:pPr>
        <w:ind w:left="240" w:firstLine="470" w:leftChars="100" w:firstLineChars="196"/>
        <w:rPr>
          <w:rFonts w:ascii="宋体" w:hAnsi="宋体"/>
          <w:color w:val="000000" w:themeColor="text1"/>
          <w14:textFill>
            <w14:solidFill>
              <w14:schemeClr w14:val="tx1"/>
            </w14:solidFill>
          </w14:textFill>
        </w:rPr>
      </w:pPr>
      <w:r>
        <w:rPr>
          <w:rFonts w:ascii="宋体" w:hAnsi="宋体"/>
          <w:color w:val="000000" w:themeColor="text1"/>
          <w14:textFill>
            <w14:solidFill>
              <w14:schemeClr w14:val="tx1"/>
            </w14:solidFill>
          </w14:textFill>
        </w:rPr>
        <w:t>b.案例介绍、推广等；</w:t>
      </w:r>
    </w:p>
    <w:p>
      <w:pPr>
        <w:ind w:left="240" w:firstLine="470" w:leftChars="100" w:firstLineChars="196"/>
        <w:rPr>
          <w:rFonts w:ascii="宋体" w:hAnsi="宋体"/>
          <w:color w:val="000000" w:themeColor="text1"/>
          <w14:textFill>
            <w14:solidFill>
              <w14:schemeClr w14:val="tx1"/>
            </w14:solidFill>
          </w14:textFill>
        </w:rPr>
      </w:pPr>
      <w:r>
        <w:rPr>
          <w:rFonts w:ascii="宋体" w:hAnsi="宋体" w:hint="eastAsia"/>
          <w:color w:val="000000" w:themeColor="text1"/>
          <w14:textFill>
            <w14:solidFill>
              <w14:schemeClr w14:val="tx1"/>
            </w14:solidFill>
          </w14:textFill>
        </w:rPr>
        <w:t>c.工作</w:t>
      </w:r>
      <w:r>
        <w:rPr>
          <w:rFonts w:ascii="宋体" w:hAnsi="宋体"/>
          <w:color w:val="000000" w:themeColor="text1"/>
          <w14:textFill>
            <w14:solidFill>
              <w14:schemeClr w14:val="tx1"/>
            </w14:solidFill>
          </w14:textFill>
        </w:rPr>
        <w:t>人员向其他消费群体宣传。</w:t>
      </w:r>
    </w:p>
    <w:p>
      <w:pPr>
        <w:rPr>
          <w:rFonts w:ascii="黑体" w:eastAsia="黑体" w:hAnsi="宋体"/>
          <w:color w:val="000000" w:themeColor="text1"/>
          <w14:textFill>
            <w14:solidFill>
              <w14:schemeClr w14:val="tx1"/>
            </w14:solidFill>
          </w14:textFill>
        </w:rPr>
      </w:pPr>
      <w:r>
        <w:rPr>
          <w:rFonts w:ascii="黑体" w:eastAsia="黑体" w:hAnsi="宋体" w:hint="eastAsia"/>
          <w:color w:val="000000" w:themeColor="text1"/>
          <w14:textFill>
            <w14:solidFill>
              <w14:schemeClr w14:val="tx1"/>
            </w14:solidFill>
          </w14:textFill>
        </w:rPr>
        <w:t>51. 供应商违法责任</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w:t>
      </w:r>
      <w:r>
        <w:rPr>
          <w:rFonts w:ascii="宋体" w:hAnsi="宋体"/>
          <w:color w:val="000000" w:themeColor="text1"/>
          <w:szCs w:val="21"/>
          <w14:textFill>
            <w14:solidFill>
              <w14:schemeClr w14:val="tx1"/>
            </w14:solidFill>
          </w14:textFill>
        </w:rPr>
        <w:t>1.1</w:t>
      </w:r>
      <w:r>
        <w:rPr>
          <w:rFonts w:ascii="宋体" w:hAnsi="宋体" w:hint="eastAsia"/>
          <w:color w:val="000000" w:themeColor="text1"/>
          <w:szCs w:val="21"/>
          <w14:textFill>
            <w14:solidFill>
              <w14:schemeClr w14:val="tx1"/>
            </w14:solidFill>
          </w14:textFill>
        </w:rPr>
        <w:t>《深圳经济特区政府采购条例》第五十七条 供应商在政府采购中，有下列行为之一的，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构成犯罪的，依法追究刑事责任：</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（1）在采购活动中应当回避而未回避的；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（2）未按本条例规定签订、履行采购合同，造成严重后果的；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（3）隐瞒真实情况，提供虚假资料的；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（4）以非法手段排斥其他供应商参与竞争的；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（5）与其他采购参加人串通投标的；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（6）恶意投诉的；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（7）向采购项目相关人行贿或者提供其他不当利益的；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（8）阻碍、抗拒主管部门监督检查的；</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（9）其他违反本条例规定的行为。</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w:t>
      </w:r>
      <w:r>
        <w:rPr>
          <w:rFonts w:ascii="宋体" w:hAnsi="宋体"/>
          <w:color w:val="000000" w:themeColor="text1"/>
          <w:szCs w:val="21"/>
          <w14:textFill>
            <w14:solidFill>
              <w14:schemeClr w14:val="tx1"/>
            </w14:solidFill>
          </w14:textFill>
        </w:rPr>
        <w:t xml:space="preserve">1.2 </w:t>
      </w:r>
      <w:r>
        <w:rPr>
          <w:rFonts w:ascii="宋体" w:hAnsi="宋体" w:hint="eastAsia"/>
          <w:color w:val="000000" w:themeColor="text1"/>
          <w:szCs w:val="21"/>
          <w14:textFill>
            <w14:solidFill>
              <w14:schemeClr w14:val="tx1"/>
            </w14:solidFill>
          </w14:textFill>
        </w:rPr>
        <w:t>根据《深圳市财政局关于明确政府采购保证金管理工作的通知》（深财购[2019]42号）的要求，供应商在政府采购活动中出现《深圳经济特区政府采购条例实施细则》第八十四条所列情形的，</w:t>
      </w:r>
      <w:bookmarkStart w:id="113" w:name="_Hlk72440769"/>
      <w:r>
        <w:rPr>
          <w:rFonts w:ascii="宋体" w:hAnsi="宋体" w:hint="eastAsia"/>
          <w:color w:val="000000" w:themeColor="text1"/>
          <w:szCs w:val="21"/>
          <w14:textFill>
            <w14:solidFill>
              <w14:schemeClr w14:val="tx1"/>
            </w14:solidFill>
          </w14:textFill>
        </w:rPr>
        <w:t>采购人或</w:t>
      </w:r>
      <w:bookmarkEnd w:id="113"/>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可将有关情况报同级财政部门，由财政部门根据实际情况记入供应商诚信档案，予以通报：</w:t>
      </w:r>
    </w:p>
    <w:p>
      <w:pPr>
        <w:ind w:firstLine="470" w:firstLineChars="196"/>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w:t>
      </w:r>
      <w:r>
        <w:rPr>
          <w:rFonts w:ascii="宋体" w:hAnsi="宋体"/>
          <w:color w:val="000000" w:themeColor="text1"/>
          <w:szCs w:val="21"/>
          <w14:textFill>
            <w14:solidFill>
              <w14:schemeClr w14:val="tx1"/>
            </w14:solidFill>
          </w14:textFill>
        </w:rPr>
        <w:t>）投标截止后，撤销投标的；</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14:textFill>
            <w14:solidFill>
              <w14:schemeClr w14:val="tx1"/>
            </w14:solidFill>
          </w14:textFill>
        </w:rPr>
        <w:t>2</w:t>
      </w:r>
      <w:r>
        <w:rPr>
          <w:rFonts w:ascii="宋体" w:hAnsi="宋体"/>
          <w:color w:val="000000" w:themeColor="text1"/>
          <w:szCs w:val="21"/>
          <w14:textFill>
            <w14:solidFill>
              <w14:schemeClr w14:val="tx1"/>
            </w14:solidFill>
          </w14:textFill>
        </w:rPr>
        <w:t>）中标后无正当理由未在规定期限内签订合同的；</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14:textFill>
            <w14:solidFill>
              <w14:schemeClr w14:val="tx1"/>
            </w14:solidFill>
          </w14:textFill>
        </w:rPr>
        <w:t>3</w:t>
      </w:r>
      <w:r>
        <w:rPr>
          <w:rFonts w:ascii="宋体" w:hAnsi="宋体"/>
          <w:color w:val="000000" w:themeColor="text1"/>
          <w:szCs w:val="21"/>
          <w14:textFill>
            <w14:solidFill>
              <w14:schemeClr w14:val="tx1"/>
            </w14:solidFill>
          </w14:textFill>
        </w:rPr>
        <w:t>）将中标项目转让给他人、或者在投标文件中未说明且未经采购人、采购招标机构同意，将中标项目分包给他人的；</w:t>
      </w:r>
    </w:p>
    <w:p>
      <w:pPr>
        <w:ind w:firstLine="470" w:firstLineChars="196"/>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14:textFill>
            <w14:solidFill>
              <w14:schemeClr w14:val="tx1"/>
            </w14:solidFill>
          </w14:textFill>
        </w:rPr>
        <w:t>4</w:t>
      </w:r>
      <w:r>
        <w:rPr>
          <w:rFonts w:ascii="宋体" w:hAnsi="宋体"/>
          <w:color w:val="000000" w:themeColor="text1"/>
          <w:szCs w:val="21"/>
          <w14:textFill>
            <w14:solidFill>
              <w14:schemeClr w14:val="tx1"/>
            </w14:solidFill>
          </w14:textFill>
        </w:rPr>
        <w:t>）拒绝履行合同义务的</w:t>
      </w:r>
      <w:r>
        <w:rPr>
          <w:rFonts w:ascii="宋体" w:hAnsi="宋体" w:hint="eastAsia"/>
          <w:color w:val="000000" w:themeColor="text1"/>
          <w:szCs w:val="21"/>
          <w14:textFill>
            <w14:solidFill>
              <w14:schemeClr w14:val="tx1"/>
            </w14:solidFill>
          </w14:textFill>
        </w:rPr>
        <w:t>。</w:t>
      </w:r>
    </w:p>
    <w:p>
      <w:pPr>
        <w:pStyle w:val="Heading2"/>
        <w:numPr>
          <w:ilvl w:val="0"/>
          <w:numId w:val="5"/>
        </w:numPr>
        <w:tabs>
          <w:tab w:val="left" w:pos="360"/>
          <w:tab w:val="clear" w:pos="720"/>
        </w:tabs>
        <w:spacing w:before="120" w:beforeLines="50" w:after="120" w:afterLines="50"/>
        <w:ind w:left="562" w:hanging="562"/>
        <w:rPr>
          <w:color w:val="000000" w:themeColor="text1"/>
          <w:sz w:val="28"/>
          <w:szCs w:val="28"/>
          <w14:textFill>
            <w14:solidFill>
              <w14:schemeClr w14:val="tx1"/>
            </w14:solidFill>
          </w14:textFill>
        </w:rPr>
      </w:pPr>
      <w:bookmarkEnd w:id="97"/>
      <w:r>
        <w:rPr>
          <w:rFonts w:hint="eastAsia"/>
          <w:color w:val="000000" w:themeColor="text1"/>
          <w:sz w:val="28"/>
          <w:szCs w:val="28"/>
          <w14:textFill>
            <w14:solidFill>
              <w14:schemeClr w14:val="tx1"/>
            </w14:solidFill>
          </w14:textFill>
        </w:rPr>
        <w:t>质疑处理</w:t>
      </w:r>
    </w:p>
    <w:p>
      <w:pPr>
        <w:rPr>
          <w:rFonts w:ascii="黑体" w:eastAsia="黑体" w:hAnsi="宋体"/>
          <w:color w:val="000000" w:themeColor="text1"/>
          <w14:textFill>
            <w14:solidFill>
              <w14:schemeClr w14:val="tx1"/>
            </w14:solidFill>
          </w14:textFill>
        </w:rPr>
      </w:pPr>
      <w:bookmarkStart w:id="114" w:name="_Hlk72439706"/>
      <w:r>
        <w:rPr>
          <w:rFonts w:ascii="黑体" w:eastAsia="黑体" w:hAnsi="宋体" w:hint="eastAsia"/>
          <w:color w:val="000000" w:themeColor="text1"/>
          <w14:textFill>
            <w14:solidFill>
              <w14:schemeClr w14:val="tx1"/>
            </w14:solidFill>
          </w14:textFill>
        </w:rPr>
        <w:t>52.质疑提出与答复</w:t>
      </w:r>
    </w:p>
    <w:p>
      <w:pPr>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 xml:space="preserve">    52.1提出质疑</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参与政府采购活动的供应商认为自己的权益在采购活动中受到损害的，应当自知道或者应当知道其权益受到损害之日起七个工作日内向采购人、</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以书面形式提出质疑。</w:t>
      </w:r>
    </w:p>
    <w:p>
      <w:pPr>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 xml:space="preserve">    52.2</w:t>
      </w:r>
      <w:r>
        <w:rPr>
          <w:rFonts w:ascii="宋体" w:hAnsi="宋体"/>
          <w:color w:val="000000" w:themeColor="text1"/>
          <w:szCs w:val="21"/>
          <w14:textFill>
            <w14:solidFill>
              <w14:schemeClr w14:val="tx1"/>
            </w14:solidFill>
          </w14:textFill>
        </w:rPr>
        <w:t>法律依据</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《中华人民共和国政府采购法》、《中华人民共和国政府采购法实施条例》、</w:t>
      </w:r>
      <w:r>
        <w:rPr>
          <w:rFonts w:ascii="宋体" w:hAnsi="宋体"/>
          <w:color w:val="000000" w:themeColor="text1"/>
          <w:szCs w:val="21"/>
          <w14:textFill>
            <w14:solidFill>
              <w14:schemeClr w14:val="tx1"/>
            </w14:solidFill>
          </w14:textFill>
        </w:rPr>
        <w:t>《</w:t>
      </w:r>
      <w:r>
        <w:rPr>
          <w:rFonts w:ascii="宋体" w:hAnsi="宋体" w:hint="eastAsia"/>
          <w:color w:val="000000" w:themeColor="text1"/>
          <w:szCs w:val="21"/>
          <w14:textFill>
            <w14:solidFill>
              <w14:schemeClr w14:val="tx1"/>
            </w14:solidFill>
          </w14:textFill>
        </w:rPr>
        <w:t>深圳经济特区政府采购</w:t>
      </w:r>
      <w:r>
        <w:rPr>
          <w:rFonts w:ascii="宋体" w:hAnsi="宋体"/>
          <w:color w:val="000000" w:themeColor="text1"/>
          <w:szCs w:val="21"/>
          <w14:textFill>
            <w14:solidFill>
              <w14:schemeClr w14:val="tx1"/>
            </w14:solidFill>
          </w14:textFill>
        </w:rPr>
        <w:t>条例</w:t>
      </w:r>
      <w:r>
        <w:rPr>
          <w:rFonts w:ascii="宋体" w:hAnsi="宋体" w:hint="eastAsia"/>
          <w:color w:val="000000" w:themeColor="text1"/>
          <w:szCs w:val="21"/>
          <w14:textFill>
            <w14:solidFill>
              <w14:schemeClr w14:val="tx1"/>
            </w14:solidFill>
          </w14:textFill>
        </w:rPr>
        <w:t>》、《深圳经济特区政府采购条例实施细则》、《政府采购质疑和投诉办法》（财政部令第94号）和其他有关法律法规规定。</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52.3质疑条件</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52.3.1提出质疑的供应商应当是参与所质疑项目采购活动的供应商；</w:t>
      </w:r>
      <w:bookmarkStart w:id="115" w:name="_Hlk75374941"/>
      <w:r>
        <w:rPr>
          <w:rFonts w:ascii="宋体" w:hAnsi="宋体" w:hint="eastAsia"/>
          <w:color w:val="000000" w:themeColor="text1"/>
          <w:szCs w:val="21"/>
          <w14:textFill>
            <w14:solidFill>
              <w14:schemeClr w14:val="tx1"/>
            </w14:solidFill>
          </w14:textFill>
        </w:rPr>
        <w:t>以联合体形式参与的，质疑应当由组成联合体的所有成员共同提出</w:t>
      </w:r>
      <w:bookmarkEnd w:id="115"/>
      <w:r>
        <w:rPr>
          <w:rFonts w:ascii="宋体" w:hAnsi="宋体" w:hint="eastAsia"/>
          <w:color w:val="000000" w:themeColor="text1"/>
          <w:szCs w:val="21"/>
          <w14:textFill>
            <w14:solidFill>
              <w14:schemeClr w14:val="tx1"/>
            </w14:solidFill>
          </w14:textFill>
        </w:rPr>
        <w:t>；</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52.3.2应当在法定质疑期内一次性提出针对同一采购程序环节的质疑，法定质疑期为自知道或应当知道权益受到损害之日起7个工作日内。应当知道其权益受到损害之日是指：对招标文件的质疑，为招标文件公布之日；对采购过程的质疑，为各采购程序环节结束之日；对中标结果以及评审委员会组成人员的质疑，为中标结果公示之日；</w:t>
      </w:r>
    </w:p>
    <w:p>
      <w:pPr>
        <w:ind w:firstLine="42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52.3.3应提交书面质疑函，质疑函应当包括以下内容：</w:t>
      </w:r>
    </w:p>
    <w:p>
      <w:pPr>
        <w:ind w:firstLine="42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（1）供应商的名称（或者姓名）、地址、邮编、邮箱、联系人及联系电话；</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（2）质疑项目的名称、编号；</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（3）具体、明确的质疑对象、质疑事项和质疑请求；</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（4）因质疑事项而受损害的权益；</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（5）事实依据；</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（6）必要的法律依据；</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（7）提出质疑的日期。</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供应商为自然人的，应当由本人签字；供应商为法人或者其他组织的，应当由法定代表人（负责人），或者其授权代理人签字或者盖章，并加盖公章。</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52.4提交</w:t>
      </w:r>
      <w:r>
        <w:rPr>
          <w:rFonts w:ascii="宋体" w:hAnsi="宋体"/>
          <w:color w:val="000000" w:themeColor="text1"/>
          <w:szCs w:val="21"/>
          <w14:textFill>
            <w14:solidFill>
              <w14:schemeClr w14:val="tx1"/>
            </w14:solidFill>
          </w14:textFill>
        </w:rPr>
        <w:t>材料</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供应商质疑实行实名制。供应商为自然人的，应当提交本人身份证复印件；供应商为法人或者其他组织的，应当根据自身性质提交营业执照复印件或者其他证明文件（如事业单位法人证书等）复印件。</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供应商可以委托代理人进行质疑。</w:t>
      </w:r>
      <w:r>
        <w:rPr>
          <w:rFonts w:ascii="宋体" w:hAnsi="宋体"/>
          <w:color w:val="000000" w:themeColor="text1"/>
          <w:szCs w:val="21"/>
          <w14:textFill>
            <w14:solidFill>
              <w14:schemeClr w14:val="tx1"/>
            </w14:solidFill>
          </w14:textFill>
        </w:rPr>
        <w:t>其授权委托书应当载明代理人的姓名或者名称、代理事项、具体权限、期限和相关事项。供应商为自然人的，应当由本人签字；供应商为法人或者其他组织的，应当由法定代表人、主要负责人签字或者盖章，并加盖公章。</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52.5提交方式</w:t>
      </w:r>
    </w:p>
    <w:p>
      <w:pPr>
        <w:ind w:firstLine="420"/>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52.5.1供应商登录“深圳政府采购智慧平台用户网上办事子系统（</w:t>
      </w:r>
      <w:r>
        <w:rPr>
          <w:rFonts w:ascii="宋体" w:hAnsi="宋体" w:hint="eastAsia"/>
          <w:color w:val="000000" w:themeColor="text1"/>
          <w:szCs w:val="21"/>
          <w14:textFill>
            <w14:solidFill>
              <w14:schemeClr w14:val="tx1"/>
            </w14:solidFill>
          </w14:textFill>
        </w:rPr>
        <w:t>http://zfcg.szggzy.com:8081/TPBidder/memberLogin</w:t>
      </w:r>
      <w:r>
        <w:rPr>
          <w:rFonts w:ascii="宋体" w:hAnsi="宋体"/>
          <w:color w:val="000000" w:themeColor="text1"/>
          <w:szCs w:val="21"/>
          <w14:textFill>
            <w14:solidFill>
              <w14:schemeClr w14:val="tx1"/>
            </w14:solidFill>
          </w14:textFill>
        </w:rPr>
        <w:t>）”，在“【我的项目】→【项目流程】→【质疑】”中提出质疑。</w:t>
      </w:r>
    </w:p>
    <w:p>
      <w:pPr>
        <w:ind w:firstLine="480" w:firstLineChars="200"/>
        <w:rPr>
          <w:rFonts w:ascii="宋体" w:hAnsi="宋体"/>
          <w:color w:val="000000" w:themeColor="text1"/>
          <w:szCs w:val="21"/>
          <w14:textFill>
            <w14:solidFill>
              <w14:schemeClr w14:val="tx1"/>
            </w14:solidFill>
          </w14:textFill>
        </w:rPr>
      </w:pPr>
      <w:r>
        <w:rPr>
          <w:rFonts w:ascii="宋体" w:hAnsi="宋体"/>
          <w:color w:val="000000" w:themeColor="text1"/>
          <w:szCs w:val="21"/>
          <w14:textFill>
            <w14:solidFill>
              <w14:schemeClr w14:val="tx1"/>
            </w14:solidFill>
          </w14:textFill>
        </w:rPr>
        <w:t>52.5.2请质疑供应商根据深圳政府采购智慧平台（</w:t>
      </w:r>
      <w:r>
        <w:rPr>
          <w:rFonts w:ascii="宋体" w:hAnsi="宋体" w:hint="eastAsia"/>
          <w:color w:val="000000" w:themeColor="text1"/>
          <w:szCs w:val="21"/>
          <w14:textFill>
            <w14:solidFill>
              <w14:schemeClr w14:val="tx1"/>
            </w14:solidFill>
          </w14:textFill>
        </w:rPr>
        <w:t>http://zfcg.szggzy.com:8081/</w:t>
      </w:r>
      <w:r>
        <w:rPr>
          <w:rFonts w:ascii="宋体" w:hAnsi="宋体"/>
          <w:color w:val="000000" w:themeColor="text1"/>
          <w:szCs w:val="21"/>
          <w14:textFill>
            <w14:solidFill>
              <w14:schemeClr w14:val="tx1"/>
            </w14:solidFill>
          </w14:textFill>
        </w:rPr>
        <w:t>）所发布的质疑指引、质疑函模板填写质疑函并提交质疑材料。</w:t>
      </w:r>
      <w:r>
        <w:rPr>
          <w:rFonts w:ascii="宋体" w:hAnsi="宋体"/>
          <w:b/>
          <w:bCs/>
          <w:color w:val="000000" w:themeColor="text1"/>
          <w:szCs w:val="21"/>
          <w14:textFill>
            <w14:solidFill>
              <w14:schemeClr w14:val="tx1"/>
            </w14:solidFill>
          </w14:textFill>
        </w:rPr>
        <w:t>地址：</w:t>
      </w:r>
      <w:r>
        <w:rPr>
          <w:rFonts w:ascii="宋体" w:hAnsi="宋体" w:hint="eastAsia"/>
          <w:b/>
          <w:bCs/>
          <w:color w:val="000000" w:themeColor="text1"/>
          <w:szCs w:val="21"/>
          <w14:textFill>
            <w14:solidFill>
              <w14:schemeClr w14:val="tx1"/>
            </w14:solidFill>
          </w14:textFill>
        </w:rPr>
        <w:t>深圳市福田区福田体育公园西北角友和招标代理服务中心（靠近北门）</w:t>
      </w:r>
      <w:r>
        <w:rPr>
          <w:rFonts w:ascii="宋体" w:hAnsi="宋体"/>
          <w:b/>
          <w:bCs/>
          <w:color w:val="000000" w:themeColor="text1"/>
          <w:szCs w:val="21"/>
          <w14:textFill>
            <w14:solidFill>
              <w14:schemeClr w14:val="tx1"/>
            </w14:solidFill>
          </w14:textFill>
        </w:rPr>
        <w:t>，质疑咨询电话：0755-8388</w:t>
      </w:r>
      <w:r>
        <w:rPr>
          <w:rFonts w:ascii="宋体" w:eastAsia="宋体" w:hAnsi="宋体" w:hint="eastAsia"/>
          <w:b/>
          <w:bCs/>
          <w:color w:val="000000" w:themeColor="text1"/>
          <w:szCs w:val="21"/>
          <w:lang w:val="en-US" w:eastAsia="zh-CN"/>
          <w14:textFill>
            <w14:solidFill>
              <w14:schemeClr w14:val="tx1"/>
            </w14:solidFill>
          </w14:textFill>
        </w:rPr>
        <w:t>1282</w:t>
      </w:r>
      <w:r>
        <w:rPr>
          <w:rFonts w:ascii="宋体" w:hAnsi="宋体"/>
          <w:b/>
          <w:bCs/>
          <w:color w:val="000000" w:themeColor="text1"/>
          <w:szCs w:val="21"/>
          <w14:textFill>
            <w14:solidFill>
              <w14:schemeClr w14:val="tx1"/>
            </w14:solidFill>
          </w14:textFill>
        </w:rPr>
        <w:t>。</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52.6收文办理</w:t>
      </w:r>
      <w:r>
        <w:rPr>
          <w:rFonts w:ascii="宋体" w:hAnsi="宋体"/>
          <w:color w:val="000000" w:themeColor="text1"/>
          <w:szCs w:val="21"/>
          <w14:textFill>
            <w14:solidFill>
              <w14:schemeClr w14:val="tx1"/>
            </w14:solidFill>
          </w14:textFill>
        </w:rPr>
        <w:t>程序</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52.6.1供应商提交的质疑符合受理条件的，</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自收到质疑材料之日起即为受理，应当向供应商出具质疑函收文回执并可以要求其递交质疑的法定代表人（负责人）或者授权代理人签署质疑文书送达地址确认书。</w:t>
      </w:r>
    </w:p>
    <w:p>
      <w:pPr>
        <w:ind w:firstLine="480" w:firstLineChars="200"/>
        <w:rPr>
          <w:rFonts w:ascii="仿宋" w:eastAsia="仿宋" w:hAnsi="仿宋"/>
          <w:color w:val="000000" w:themeColor="text1"/>
          <w:sz w:val="28"/>
          <w:szCs w:val="28"/>
          <w14:textFill>
            <w14:solidFill>
              <w14:schemeClr w14:val="tx1"/>
            </w14:solidFill>
          </w14:textFill>
        </w:rPr>
      </w:pPr>
      <w:r>
        <w:rPr>
          <w:rFonts w:ascii="宋体" w:hAnsi="宋体" w:hint="eastAsia"/>
          <w:color w:val="000000" w:themeColor="text1"/>
          <w:szCs w:val="21"/>
          <w14:textFill>
            <w14:solidFill>
              <w14:schemeClr w14:val="tx1"/>
            </w14:solidFill>
          </w14:textFill>
        </w:rPr>
        <w:t>52.6.2供应商提交的质疑材料不符合质疑条件的，视情况处理：</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供应商提交的质疑材料不全或者未按要求签字或者盖章的，</w:t>
      </w:r>
      <w:r>
        <w:rPr>
          <w:rFonts w:ascii="宋体" w:eastAsia="宋体" w:hAnsi="宋体" w:hint="eastAsia"/>
          <w:color w:val="000000" w:themeColor="text1"/>
          <w:szCs w:val="21"/>
          <w14:textFill>
            <w14:solidFill>
              <w14:schemeClr w14:val="tx1"/>
            </w14:solidFill>
          </w14:textFill>
        </w:rPr>
        <w:t>招标机构</w:t>
      </w:r>
      <w:r>
        <w:rPr>
          <w:rFonts w:ascii="宋体" w:hAnsi="宋体" w:hint="eastAsia"/>
          <w:color w:val="000000" w:themeColor="text1"/>
          <w:szCs w:val="21"/>
          <w14:textFill>
            <w14:solidFill>
              <w14:schemeClr w14:val="tx1"/>
            </w14:solidFill>
          </w14:textFill>
        </w:rPr>
        <w:t>应当一次性告知供应商需补正的内容和补正期限。</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供应商提交的质疑存在下列情形之一的，不予受理：</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（1）质疑主体不满足要求的；</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（2）供应商自身权益未受到损害的；</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（3）供应商未在法定质疑期限内提出质疑的；</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（4）质疑材料不全或者未按要求签字或者盖章的情况下，要求补正后，逾期未补正或者补正后仍不符合规定的；</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（5）其他不符合受理条件情形的。</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质疑事项不予受理的，招标机构应当向供应商出具不符合质疑条件告知书。</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52.7质疑答复时限</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 xml:space="preserve">    自收文之日起七个工作日内。</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52.8投诉</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对质疑答复不满意或者未在规定时间内答复的，提出质疑的供应商可以在答复期满后15个工作日内向同级财政部门投诉。</w:t>
      </w:r>
    </w:p>
    <w:p>
      <w:pPr>
        <w:ind w:firstLine="480" w:firstLineChars="200"/>
        <w:rPr>
          <w:rFonts w:ascii="宋体" w:hAnsi="宋体"/>
          <w:b/>
          <w:bCs/>
          <w:color w:val="000000" w:themeColor="text1"/>
          <w:szCs w:val="21"/>
          <w14:textFill>
            <w14:solidFill>
              <w14:schemeClr w14:val="tx1"/>
            </w14:solidFill>
          </w14:textFill>
        </w:rPr>
      </w:pPr>
      <w:r>
        <w:rPr>
          <w:rFonts w:ascii="宋体" w:hAnsi="宋体" w:hint="eastAsia"/>
          <w:b/>
          <w:bCs/>
          <w:color w:val="000000" w:themeColor="text1"/>
          <w:szCs w:val="21"/>
          <w14:textFill>
            <w14:solidFill>
              <w14:schemeClr w14:val="tx1"/>
            </w14:solidFill>
          </w14:textFill>
        </w:rPr>
        <w:t xml:space="preserve">53. 质疑后续处理   </w:t>
      </w:r>
    </w:p>
    <w:p>
      <w:pPr>
        <w:ind w:firstLine="480" w:firstLineChars="200"/>
        <w:rPr>
          <w:rFonts w:ascii="宋体" w:hAnsi="宋体"/>
          <w:color w:val="000000" w:themeColor="text1"/>
          <w:szCs w:val="21"/>
          <w14:textFill>
            <w14:solidFill>
              <w14:schemeClr w14:val="tx1"/>
            </w14:solidFill>
          </w14:textFill>
        </w:rPr>
      </w:pPr>
      <w:r>
        <w:rPr>
          <w:rFonts w:ascii="宋体" w:hAnsi="宋体" w:hint="eastAsia"/>
          <w:color w:val="000000" w:themeColor="text1"/>
          <w:szCs w:val="21"/>
          <w14:textFill>
            <w14:solidFill>
              <w14:schemeClr w14:val="tx1"/>
            </w14:solidFill>
          </w14:textFill>
        </w:rPr>
        <w:t>53.1供应商质疑不成立，或者成立但未对中标、成交结果构成影响的，继续开展采购活动。</w:t>
      </w:r>
    </w:p>
    <w:p>
      <w:pPr>
        <w:ind w:firstLine="480" w:firstLineChars="200"/>
        <w:rPr>
          <w:rFonts w:ascii="宋体" w:eastAsia="宋体" w:hAnsi="宋体" w:cs="宋体" w:hint="eastAsia"/>
        </w:rPr>
      </w:pPr>
      <w:r>
        <w:rPr>
          <w:rFonts w:ascii="宋体" w:hAnsi="宋体" w:hint="eastAsia"/>
          <w:color w:val="000000" w:themeColor="text1"/>
          <w:szCs w:val="21"/>
          <w14:textFill>
            <w14:solidFill>
              <w14:schemeClr w14:val="tx1"/>
            </w14:solidFill>
          </w14:textFill>
        </w:rPr>
        <w:t>53.2供</w:t>
      </w:r>
      <w:r>
        <w:rPr>
          <w:rFonts w:ascii="宋体" w:eastAsia="宋体" w:hAnsi="宋体" w:cs="宋体" w:hint="eastAsia"/>
        </w:rPr>
        <w:t>应商质疑成立且影响或者可能影响中标、成交结果的，按照下列情况处理：（</w:t>
      </w:r>
      <w:r>
        <w:rPr>
          <w:rFonts w:hint="eastAsia"/>
        </w:rPr>
        <w:t>1</w:t>
      </w:r>
      <w:r>
        <w:rPr>
          <w:rFonts w:ascii="宋体" w:eastAsia="宋体" w:hAnsi="宋体" w:cs="宋体" w:hint="eastAsia"/>
        </w:rPr>
        <w:t>）对采购文件提出的质疑，依法通过澄清或者修改可以继续开展采购活动的，澄清或者修改采购文件后继续开展采购活动；否则应当修改采购文件后重新开展采购活动。（</w:t>
      </w:r>
      <w:r>
        <w:rPr>
          <w:rFonts w:hint="eastAsia"/>
        </w:rPr>
        <w:t>2</w:t>
      </w:r>
      <w:r>
        <w:rPr>
          <w:rFonts w:ascii="宋体" w:eastAsia="宋体" w:hAnsi="宋体" w:cs="宋体" w:hint="eastAsia"/>
        </w:rPr>
        <w:t>）对采购过程、中标或者成交结果提出的质疑，如果合格供应商符合法定数量，依法从合格的中标或者成交候选人中另行确定中标、成交供应商；如果合格供应商不符合法定数量，应当重新开展采购活动。</w:t>
      </w:r>
    </w:p>
    <w:p>
      <w:pPr>
        <w:ind w:firstLine="480" w:firstLineChars="200"/>
        <w:rPr>
          <w:rFonts w:ascii="宋体" w:eastAsia="宋体" w:hAnsi="宋体" w:hint="eastAsia"/>
          <w:b/>
          <w:bCs/>
          <w:color w:val="FF0000"/>
          <w:szCs w:val="21"/>
          <w:lang w:val="en-US" w:eastAsia="zh-CN"/>
        </w:rPr>
      </w:pPr>
      <w:r>
        <w:rPr>
          <w:rFonts w:ascii="宋体" w:eastAsia="宋体" w:hAnsi="宋体" w:hint="eastAsia"/>
          <w:b/>
          <w:bCs/>
          <w:color w:val="FF0000"/>
          <w:szCs w:val="21"/>
          <w:lang w:val="en-US" w:eastAsia="zh-CN"/>
        </w:rPr>
        <w:t>54 违约责任</w:t>
      </w:r>
    </w:p>
    <w:p>
      <w:pPr>
        <w:ind w:firstLine="480" w:firstLineChars="200"/>
        <w:rPr>
          <w:rFonts w:ascii="宋体" w:eastAsia="宋体" w:hAnsi="宋体" w:hint="eastAsia"/>
          <w:color w:val="FF0000"/>
          <w:szCs w:val="21"/>
          <w:lang w:val="en-US" w:eastAsia="zh-CN"/>
        </w:rPr>
      </w:pPr>
      <w:r>
        <w:rPr>
          <w:rFonts w:ascii="宋体" w:eastAsia="宋体" w:hAnsi="宋体" w:hint="eastAsia"/>
          <w:color w:val="FF0000"/>
          <w:szCs w:val="21"/>
          <w:lang w:val="en-US" w:eastAsia="zh-CN"/>
        </w:rPr>
        <w:t>54.1供应商若在政府采购活动存在下列违法行为，给采购人、采购代理机造成损失的，应当承担赔偿责任。</w:t>
      </w:r>
    </w:p>
    <w:p>
      <w:pPr>
        <w:pStyle w:val="NormalIndent"/>
        <w:rPr>
          <w:rFonts w:hint="default"/>
          <w:color w:val="FF0000"/>
          <w:lang w:val="en-US" w:eastAsia="zh-CN"/>
        </w:rPr>
      </w:pPr>
      <w:r>
        <w:rPr>
          <w:rFonts w:hint="default"/>
          <w:color w:val="FF0000"/>
          <w:lang w:val="en-US" w:eastAsia="zh-CN"/>
        </w:rPr>
        <w:t>（</w:t>
      </w:r>
      <w:r>
        <w:rPr>
          <w:rFonts w:hint="eastAsia"/>
          <w:color w:val="FF0000"/>
          <w:lang w:val="en-US" w:eastAsia="zh-CN"/>
        </w:rPr>
        <w:t>1</w:t>
      </w:r>
      <w:r>
        <w:rPr>
          <w:rFonts w:hint="default"/>
          <w:color w:val="FF0000"/>
          <w:lang w:val="en-US" w:eastAsia="zh-CN"/>
        </w:rPr>
        <w:t>）</w:t>
      </w:r>
      <w:r>
        <w:rPr>
          <w:rFonts w:hint="eastAsia"/>
          <w:color w:val="FF0000"/>
          <w:lang w:val="en-US" w:eastAsia="zh-CN"/>
        </w:rPr>
        <w:t>未</w:t>
      </w:r>
      <w:r>
        <w:rPr>
          <w:rFonts w:hint="default"/>
          <w:color w:val="FF0000"/>
          <w:lang w:val="en-US" w:eastAsia="zh-CN"/>
        </w:rPr>
        <w:t>按照规定签订、履行采购合同</w:t>
      </w:r>
      <w:r>
        <w:rPr>
          <w:rFonts w:hint="eastAsia"/>
          <w:color w:val="FF0000"/>
          <w:lang w:val="en-US" w:eastAsia="zh-CN"/>
        </w:rPr>
        <w:t>；</w:t>
      </w:r>
    </w:p>
    <w:p>
      <w:pPr>
        <w:pStyle w:val="NormalIndent"/>
        <w:rPr>
          <w:rFonts w:hint="default"/>
          <w:color w:val="FF0000"/>
          <w:lang w:val="en-US" w:eastAsia="zh-CN"/>
        </w:rPr>
      </w:pPr>
      <w:r>
        <w:rPr>
          <w:rFonts w:hint="eastAsia"/>
          <w:color w:val="FF0000"/>
          <w:lang w:val="en-US" w:eastAsia="zh-CN"/>
        </w:rPr>
        <w:t>（2）</w:t>
      </w:r>
      <w:r>
        <w:rPr>
          <w:rFonts w:hint="default"/>
          <w:color w:val="FF0000"/>
          <w:lang w:val="en-US" w:eastAsia="zh-CN"/>
        </w:rPr>
        <w:t>提供虚假材料谋取中标、成交的；</w:t>
      </w:r>
    </w:p>
    <w:p>
      <w:pPr>
        <w:pStyle w:val="NormalIndent"/>
        <w:rPr>
          <w:rFonts w:hint="default"/>
          <w:color w:val="FF0000"/>
          <w:lang w:val="en-US" w:eastAsia="zh-CN"/>
        </w:rPr>
      </w:pPr>
      <w:r>
        <w:rPr>
          <w:rFonts w:hint="default"/>
          <w:color w:val="FF0000"/>
          <w:lang w:val="en-US" w:eastAsia="zh-CN"/>
        </w:rPr>
        <w:t>（</w:t>
      </w:r>
      <w:r>
        <w:rPr>
          <w:rFonts w:hint="eastAsia"/>
          <w:color w:val="FF0000"/>
          <w:lang w:val="en-US" w:eastAsia="zh-CN"/>
        </w:rPr>
        <w:t>3</w:t>
      </w:r>
      <w:r>
        <w:rPr>
          <w:rFonts w:hint="default"/>
          <w:color w:val="FF0000"/>
          <w:lang w:val="en-US" w:eastAsia="zh-CN"/>
        </w:rPr>
        <w:t>）采取不正当手段诋毁、排挤其他供应商的；</w:t>
      </w:r>
    </w:p>
    <w:p>
      <w:pPr>
        <w:pStyle w:val="NormalIndent"/>
        <w:rPr>
          <w:rFonts w:hint="default"/>
          <w:color w:val="FF0000"/>
          <w:lang w:val="en-US" w:eastAsia="zh-CN"/>
        </w:rPr>
      </w:pPr>
      <w:r>
        <w:rPr>
          <w:rFonts w:hint="default"/>
          <w:color w:val="FF0000"/>
          <w:lang w:val="en-US" w:eastAsia="zh-CN"/>
        </w:rPr>
        <w:t>（</w:t>
      </w:r>
      <w:r>
        <w:rPr>
          <w:rFonts w:hint="eastAsia"/>
          <w:color w:val="FF0000"/>
          <w:lang w:val="en-US" w:eastAsia="zh-CN"/>
        </w:rPr>
        <w:t>4</w:t>
      </w:r>
      <w:r>
        <w:rPr>
          <w:rFonts w:hint="default"/>
          <w:color w:val="FF0000"/>
          <w:lang w:val="en-US" w:eastAsia="zh-CN"/>
        </w:rPr>
        <w:t>）与其他供应商恶意串通的；</w:t>
      </w:r>
    </w:p>
    <w:p>
      <w:pPr>
        <w:pStyle w:val="NormalIndent"/>
        <w:rPr>
          <w:rFonts w:hint="eastAsia"/>
          <w:color w:val="FF0000"/>
          <w:lang w:val="en-US" w:eastAsia="zh-CN"/>
        </w:rPr>
      </w:pPr>
      <w:r>
        <w:rPr>
          <w:rFonts w:hint="default"/>
          <w:color w:val="FF0000"/>
          <w:lang w:val="en-US" w:eastAsia="zh-CN"/>
        </w:rPr>
        <w:t>（</w:t>
      </w:r>
      <w:r>
        <w:rPr>
          <w:rFonts w:hint="eastAsia"/>
          <w:color w:val="FF0000"/>
          <w:lang w:val="en-US" w:eastAsia="zh-CN"/>
        </w:rPr>
        <w:t>5</w:t>
      </w:r>
      <w:r>
        <w:rPr>
          <w:rFonts w:hint="default"/>
          <w:color w:val="FF0000"/>
          <w:lang w:val="en-US" w:eastAsia="zh-CN"/>
        </w:rPr>
        <w:t>）拒绝有关部门监督检查或者提供虚假情况的</w:t>
      </w:r>
      <w:r>
        <w:rPr>
          <w:rFonts w:hint="eastAsia"/>
          <w:color w:val="FF0000"/>
          <w:lang w:val="en-US" w:eastAsia="zh-CN"/>
        </w:rPr>
        <w:t>；</w:t>
      </w:r>
    </w:p>
    <w:p>
      <w:pPr>
        <w:pStyle w:val="NormalIndent"/>
        <w:rPr>
          <w:rFonts w:hint="default"/>
          <w:color w:val="FF0000"/>
          <w:lang w:val="en-US" w:eastAsia="zh-CN"/>
        </w:rPr>
      </w:pPr>
      <w:r>
        <w:rPr>
          <w:rFonts w:hint="eastAsia"/>
          <w:color w:val="FF0000"/>
          <w:lang w:val="en-US" w:eastAsia="zh-CN"/>
        </w:rPr>
        <w:t>（6）经主管部门认定的其他违法采购相关法律法规的行为。</w:t>
      </w:r>
    </w:p>
    <w:p>
      <w:pPr>
        <w:ind w:firstLine="480" w:firstLineChars="200"/>
        <w:rPr>
          <w:rFonts w:ascii="宋体" w:eastAsia="宋体" w:hAnsi="宋体" w:hint="eastAsia"/>
          <w:color w:val="FF0000"/>
          <w:szCs w:val="21"/>
          <w:lang w:val="en-US" w:eastAsia="zh-CN"/>
        </w:rPr>
      </w:pPr>
      <w:r>
        <w:rPr>
          <w:rFonts w:ascii="宋体" w:eastAsia="宋体" w:hAnsi="宋体" w:hint="eastAsia"/>
          <w:color w:val="FF0000"/>
          <w:szCs w:val="21"/>
          <w:lang w:val="en-US" w:eastAsia="zh-CN"/>
        </w:rPr>
        <w:t>54.2采购人、采购代理机构有权对违法供应商造成的损失进行追偿，可优先在已缴纳的代理服务费中进行抵扣，已缴纳的代理服务费不足以赔偿采购人、采购代理机构损失的，采购人、采购代理机构有权向人民法院提起诉讼。</w:t>
      </w:r>
    </w:p>
    <w:p>
      <w:pPr>
        <w:pStyle w:val="NormalIndent"/>
      </w:pPr>
    </w:p>
    <w:p>
      <w:pPr>
        <w:jc w:val="center"/>
        <w:rPr>
          <w:color w:val="000000" w:themeColor="text1"/>
          <w14:textFill>
            <w14:solidFill>
              <w14:schemeClr w14:val="tx1"/>
            </w14:solidFill>
          </w14:textFill>
        </w:rPr>
      </w:pPr>
      <w:r>
        <w:rPr>
          <w:color w:val="000000" w:themeColor="text1"/>
          <w14:textFill>
            <w14:solidFill>
              <w14:schemeClr w14:val="tx1"/>
            </w14:solidFill>
          </w14:textFill>
        </w:rPr>
        <w:t>---- END ----</w:t>
      </w:r>
      <w:bookmarkEnd w:id="114"/>
    </w:p>
    <w:p>
      <w:pPr>
        <w:rPr>
          <w:rFonts w:ascii="宋体" w:hAnsi="宋体"/>
          <w:color w:val="000000" w:themeColor="text1"/>
          <w:szCs w:val="21"/>
          <w14:textFill>
            <w14:solidFill>
              <w14:schemeClr w14:val="tx1"/>
            </w14:solidFill>
          </w14:textFill>
        </w:rPr>
      </w:pPr>
    </w:p>
    <w:p/>
    <w:p/>
    <w:sectPr>
      <w:footerReference w:type="default" r:id="rId10"/>
      <w:type w:val="continuous"/>
      <w:pgSz w:w="11906" w:h="16838"/>
      <w:pgMar w:top="1440" w:right="1800" w:bottom="1440" w:left="1800" w:header="720" w:footer="720" w:gutter="0"/>
      <w:pgNumType w:fmt="decimal"/>
      <w:cols w:num="1"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6BB4E109-7831-443C-AFE6-E42F7D88485F}"/>
  </w:font>
  <w:font w:name="黑体">
    <w:panose1 w:val="02010609060101010101"/>
    <w:charset w:val="86"/>
    <w:family w:val="auto"/>
    <w:pitch w:val="default"/>
    <w:sig w:usb0="800002BF" w:usb1="38CF7CFA" w:usb2="00000016" w:usb3="00000000" w:csb0="00040001" w:csb1="00000000"/>
    <w:embedRegular r:id="rId2" w:fontKey="{3E016A97-2913-44E8-B668-EA2FDA855C0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818FDC3A-02E4-4001-B122-D19D1087AF4C}"/>
  </w:font>
  <w:font w:name="serif">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华文楷体">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embedRegular r:id="rId4" w:fontKey="{0C78C0D2-986C-4C0B-9563-F73FECE64741}"/>
  </w:font>
  <w:font w:name="仿宋">
    <w:panose1 w:val="02010609060101010101"/>
    <w:charset w:val="86"/>
    <w:family w:val="modern"/>
    <w:pitch w:val="default"/>
    <w:sig w:usb0="800002BF" w:usb1="38CF7CFA" w:usb2="00000016" w:usb3="00000000" w:csb0="00040001" w:csb1="00000000"/>
    <w:embedRegular r:id="rId5" w:fontKey="{5DC558CA-0F66-4E0D-A170-08304FCFC90B}"/>
  </w:font>
  <w:font w:name="Wingdings 2">
    <w:panose1 w:val="05020102010507070707"/>
    <w:charset w:val="02"/>
    <w:family w:val="roman"/>
    <w:pitch w:val="default"/>
    <w:sig w:usb0="00000000" w:usb1="00000000" w:usb2="00000000" w:usb3="00000000" w:csb0="80000000" w:csb1="00000000"/>
    <w:embedRegular r:id="rId6" w:fontKey="{60B92655-C277-4FC9-895D-B72E5F28CFEE}"/>
  </w:font>
  <w:font w:name="华文仿宋">
    <w:panose1 w:val="02010600040101010101"/>
    <w:charset w:val="86"/>
    <w:family w:val="auto"/>
    <w:pitch w:val="default"/>
    <w:sig w:usb0="00000287" w:usb1="080F0000" w:usb2="00000000" w:usb3="00000000" w:csb0="0004009F" w:csb1="DFD70000"/>
    <w:embedRegular r:id="rId7" w:fontKey="{F86DB88E-74F8-4571-A6A6-C25C4BFE3C5D}"/>
  </w:font>
  <w:font w:name="ˎ̥">
    <w:altName w:val="Times New Roman"/>
    <w:panose1 w:val="00000000000000000000"/>
    <w:charset w:val="00"/>
    <w:family w:val="roman"/>
    <w:pitch w:val="default"/>
    <w:sig w:usb0="00000000" w:usb1="00000000" w:usb2="00000000" w:usb3="00000000" w:csb0="00000000" w:csb1="00000000"/>
    <w:embedRegular r:id="rId8" w:fontKey="{43160AF5-BCB4-4229-B460-B5FBE30509F6}"/>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widowControl w:val="0"/>
      <w:snapToGrid w:val="0"/>
      <w:ind w:firstLine="2400" w:firstLineChars="1000"/>
      <w:jc w:val="left"/>
      <w:rPr>
        <w:rFonts w:ascii="Calibri" w:eastAsia="宋体" w:hAnsi="Calibri" w:cs="Times New Roman"/>
        <w:kern w:val="0"/>
        <w:sz w:val="18"/>
        <w:szCs w:val="18"/>
        <w:lang w:val="en-US" w:eastAsia="zh-CN" w:bidi="ar-SA"/>
      </w:rPr>
    </w:pPr>
    <w:r>
      <w:rPr>
        <w:sz w:val="18"/>
      </w:rPr>
      <w:pict>
        <v:shapetype id="_x0000_t202" coordsize="21600,21600" o:spt="202" path="m,l,21600r21600,l21600,xe">
          <v:stroke joinstyle="miter"/>
          <v:path gradientshapeok="t" o:connecttype="rect"/>
        </v:shapetype>
        <v:shape id="_x0000_s1026" o:spid="_x0000_s2049" type="#_x0000_t202" style="height:2in;margin-left:0;margin-top:0;mso-height-relative:page;mso-position-horizontal:center;mso-position-horizontal-relative:margin;mso-width-relative:page;mso-wrap-style:none;position:absolute;width:2in;z-index:251660288" coordsize="21600,21600" filled="f" stroked="f">
          <o:lock v:ext="edit" aspectratio="f"/>
          <v:textbox style="mso-fit-shape-to-text:t" inset="0,0,0,0">
            <w:txbxContent>
              <w:p>
                <w:pPr>
                  <w:widowControl w:val="0"/>
                  <w:snapToGrid w:val="0"/>
                  <w:jc w:val="left"/>
                  <w:rPr>
                    <w:rStyle w:val="PageNumber"/>
                    <w:rFonts w:ascii="Calibri" w:eastAsia="宋体" w:hAnsi="Calibri" w:cs="Times New Roman"/>
                    <w:kern w:val="0"/>
                    <w:sz w:val="18"/>
                    <w:szCs w:val="18"/>
                    <w:lang w:val="en-US" w:eastAsia="zh-CN" w:bidi="ar-SA"/>
                  </w:rPr>
                </w:pPr>
                <w:r>
                  <w:rPr>
                    <w:rFonts w:ascii="Calibri" w:eastAsia="宋体" w:hAnsi="Calibri" w:cs="Times New Roman"/>
                    <w:kern w:val="0"/>
                    <w:sz w:val="18"/>
                    <w:szCs w:val="18"/>
                    <w:lang w:val="en-US" w:eastAsia="zh-CN" w:bidi="ar-SA"/>
                  </w:rPr>
                  <w:fldChar w:fldCharType="begin"/>
                </w:r>
                <w:r>
                  <w:rPr>
                    <w:rStyle w:val="PageNumber"/>
                    <w:rFonts w:eastAsia="宋体" w:cs="Times New Roman"/>
                    <w:lang w:val="en-US" w:eastAsia="zh-CN" w:bidi="ar-SA"/>
                  </w:rPr>
                  <w:instrText xml:space="preserve">PAGE  </w:instrText>
                </w:r>
                <w:r>
                  <w:rPr>
                    <w:rFonts w:ascii="Calibri" w:eastAsia="宋体" w:hAnsi="Calibri" w:cs="Times New Roman"/>
                    <w:kern w:val="0"/>
                    <w:sz w:val="18"/>
                    <w:szCs w:val="18"/>
                    <w:lang w:val="en-US" w:eastAsia="zh-CN" w:bidi="ar-SA"/>
                  </w:rPr>
                  <w:fldChar w:fldCharType="separate"/>
                </w:r>
                <w:r>
                  <w:rPr>
                    <w:rStyle w:val="PageNumber"/>
                    <w:rFonts w:eastAsia="宋体" w:cs="Times New Roman"/>
                    <w:lang w:val="en-US" w:eastAsia="zh-CN" w:bidi="ar-SA"/>
                  </w:rPr>
                  <w:t>24</w:t>
                </w:r>
                <w:r>
                  <w:rPr>
                    <w:rFonts w:ascii="Calibri" w:eastAsia="宋体" w:hAnsi="Calibri" w:cs="Times New Roman"/>
                    <w:kern w:val="0"/>
                    <w:sz w:val="18"/>
                    <w:szCs w:val="18"/>
                    <w:lang w:val="en-US" w:eastAsia="zh-CN" w:bidi="ar-SA"/>
                  </w:rPr>
                  <w:fldChar w:fldCharType="end"/>
                </w:r>
              </w:p>
            </w:txbxContent>
          </v:textbox>
          <w10:wrap anchorx="margin"/>
        </v:shape>
      </w:pict>
    </w:r>
    <w:r>
      <w:rPr>
        <w:rFonts w:ascii="Calibri" w:eastAsia="宋体" w:hAnsi="Calibri" w:cs="Times New Roman"/>
        <w:kern w:val="0"/>
        <w:sz w:val="18"/>
        <w:szCs w:val="18"/>
        <w:lang w:val="en-US" w:eastAsia="zh-CN" w:bidi="ar-SA"/>
      </w:rPr>
      <w:pict>
        <v:line id="_x0000_s1026" o:spid="_x0000_s2050" style="mso-height-relative:page;mso-width-relative:page;position:absolute;z-index:251659264" from="0,-13.6pt" to="0.05pt,-13.6pt" coordsize="21600,21600" o:allowincell="f" stroked="t">
          <v:stroke joinstyle="round"/>
          <o:lock v:ext="edit" aspectratio="f"/>
        </v:lin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r>
      <w:rPr>
        <w:sz w:val="18"/>
      </w:rPr>
      <w:pict>
        <v:shapetype id="_x0000_t202" coordsize="21600,21600" o:spt="202" path="m,l,21600r21600,l21600,xe">
          <v:stroke joinstyle="miter"/>
          <v:path gradientshapeok="t" o:connecttype="rect"/>
        </v:shapetype>
        <v:shape id="_x0000_s1026" o:spid="_x0000_s2051" type="#_x0000_t202" style="height:2in;margin-left:0;margin-top:0;mso-height-relative:page;mso-position-horizontal:center;mso-position-horizontal-relative:margin;mso-width-relative:page;mso-wrap-style:none;position:absolute;width:2in;z-index:251658240" coordsize="21600,21600" filled="f" stroked="f">
          <o:lock v:ext="edit" aspectratio="f"/>
          <v:textbox style="mso-fit-shape-to-text:t" inset="0,0,0,0">
            <w:txbxContent>
              <w:p>
                <w:pPr>
                  <w:pStyle w:val="Footer"/>
                </w:pPr>
                <w:r>
                  <w:fldChar w:fldCharType="begin"/>
                </w:r>
                <w:r>
                  <w:instrText xml:space="preserve"> PAGE  \* MERGEFORMAT </w:instrText>
                </w:r>
                <w:r>
                  <w:fldChar w:fldCharType="separate"/>
                </w:r>
                <w:r>
                  <w:t>63</w:t>
                </w:r>
                <w:r>
                  <w:fldChar w:fldCharType="end"/>
                </w:r>
              </w:p>
            </w:txbxContent>
          </v:textbox>
          <w10:wrap anchorx="margin"/>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B7BAF11"/>
    <w:multiLevelType w:val="singleLevel"/>
    <w:tmpl w:val="FB7BAF11"/>
    <w:lvl w:ilvl="0">
      <w:start w:val="1"/>
      <w:numFmt w:val="decimal"/>
      <w:lvlText w:val="%1."/>
      <w:lvlJc w:val="left"/>
      <w:pPr>
        <w:tabs>
          <w:tab w:val="left" w:pos="312"/>
        </w:tabs>
      </w:pPr>
    </w:lvl>
  </w:abstractNum>
  <w:abstractNum w:abstractNumId="1">
    <w:nsid w:val="00000003"/>
    <w:multiLevelType w:val="singleLevel"/>
    <w:tmpl w:val="00000003"/>
    <w:lvl w:ilvl="0">
      <w:start w:val="1"/>
      <w:numFmt w:val="bullet"/>
      <w:lvlText w:val=""/>
      <w:lvlJc w:val="left"/>
      <w:pPr>
        <w:ind w:left="420" w:hanging="420"/>
      </w:pPr>
      <w:rPr>
        <w:rFonts w:ascii="Wingdings" w:hAnsi="Wingdings" w:hint="default"/>
      </w:rPr>
    </w:lvl>
  </w:abstractNum>
  <w:abstractNum w:abstractNumId="2">
    <w:nsid w:val="00000004"/>
    <w:multiLevelType w:val="multilevel"/>
    <w:tmpl w:val="00000004"/>
    <w:lvl w:ilvl="0">
      <w:start w:val="1"/>
      <w:numFmt w:val="japaneseCounting"/>
      <w:lvlText w:val="第%1章"/>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nsid w:val="17683647"/>
    <w:multiLevelType w:val="multilevel"/>
    <w:tmpl w:val="17683647"/>
    <w:lvl w:ilvl="0">
      <w:start w:val="1"/>
      <w:numFmt w:val="decimal"/>
      <w:lvlText w:val="（%1）"/>
      <w:lvlJc w:val="left"/>
      <w:pPr>
        <w:ind w:left="1280" w:hanging="720"/>
      </w:pPr>
      <w:rPr>
        <w:rFonts w:hint="default"/>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4">
    <w:nsid w:val="1E392B0D"/>
    <w:multiLevelType w:val="multilevel"/>
    <w:tmpl w:val="1E392B0D"/>
    <w:lvl w:ilvl="0">
      <w:start w:val="1"/>
      <w:numFmt w:val="decimal"/>
      <w:lvlText w:val="%1."/>
      <w:lvlJc w:val="left"/>
      <w:pPr>
        <w:ind w:left="420" w:hanging="420"/>
      </w:pPr>
    </w:lvl>
    <w:lvl w:ilvl="1">
      <w:start w:val="8"/>
      <w:numFmt w:val="japaneseCounting"/>
      <w:lvlText w:val="%2、"/>
      <w:lvlJc w:val="left"/>
      <w:pPr>
        <w:ind w:left="1140" w:hanging="72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decimal"/>
      <w:lvlText w:val="%5."/>
      <w:lvlJc w:val="left"/>
      <w:pPr>
        <w:ind w:left="2040" w:hanging="360"/>
      </w:pPr>
      <w:rPr>
        <w:rFonts w:hint="default"/>
      </w:r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 w:numId="2">
    <w:abstractNumId w:val="4"/>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5"/>
  <w:embedTrueTypeFonts/>
  <w:saveSubsetFonts/>
  <w:trackRevisions/>
  <w:defaultTabStop w:val="720"/>
  <w:noPunctuationKerning/>
  <w:characterSpacingControl w:val="doNotCompress"/>
  <w:compat>
    <w:balanceSingleByteDoubleByteWidth/>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A0YzFmMDE1ZTIyYjFjZmVjNzA2YTBiYTRmNDVkYzEifQ=="/>
  </w:docVar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qFormat="1"/>
    <w:lsdException w:name="footnote text" w:semiHidden="0" w:uiPriority="0" w:unhideWhenUsed="0"/>
    <w:lsdException w:name="annotation text" w:semiHidden="0" w:uiPriority="0" w:qFormat="1"/>
    <w:lsdException w:name="header" w:semiHidden="0" w:uiPriority="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qFormat="1"/>
    <w:lsdException w:name="line number" w:semiHidden="0" w:uiPriority="0" w:unhideWhenUsed="0"/>
    <w:lsdException w:name="page number" w:semiHidden="0" w:uiPriority="0" w:unhideWhenUsed="0" w:qFormat="1"/>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qFormat="1"/>
    <w:lsdException w:name="Body Text Indent" w:semiHidden="0" w:unhideWhenUsed="0" w:qFormat="1"/>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nhideWhenUsed="0" w:qFormat="1"/>
    <w:lsdException w:name="Body Text 2" w:semiHidden="0" w:uiPriority="0" w:unhideWhenUsed="0" w:qFormat="1"/>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nhideWhenUsed="0" w:qFormat="1"/>
    <w:lsdException w:name="FollowedHyperlink" w:semiHidden="0" w:uiPriority="0" w:unhideWhenUsed="0" w:qFormat="1"/>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nhideWhenUsed="0" w:qFormat="1"/>
    <w:lsdException w:name="HTML Acronym" w:semiHidden="0" w:uiPriority="0" w:unhideWhenUsed="0" w:qFormat="1"/>
    <w:lsdException w:name="HTML Address" w:semiHidden="0" w:uiPriority="0" w:unhideWhenUsed="0"/>
    <w:lsdException w:name="HTML Cite" w:semiHidden="0" w:uiPriority="0" w:unhideWhenUsed="0" w:qFormat="1"/>
    <w:lsdException w:name="HTML Code" w:semiHidden="0" w:uiPriority="0" w:unhideWhenUsed="0" w:qFormat="1"/>
    <w:lsdException w:name="HTML Definition" w:semiHidden="0" w:uiPriority="0" w:unhideWhenUsed="0" w:qFormat="1"/>
    <w:lsdException w:name="HTML Keyboard" w:semiHidden="0" w:uiPriority="0" w:unhideWhenUsed="0" w:qFormat="1"/>
    <w:lsdException w:name="HTML Preformatted" w:semiHidden="0" w:uiPriority="0" w:unhideWhenUsed="0"/>
    <w:lsdException w:name="HTML Sample" w:semiHidden="0" w:uiPriority="0" w:unhideWhenUsed="0" w:qFormat="1"/>
    <w:lsdException w:name="HTML Typewriter" w:semiHidden="0" w:uiPriority="0" w:unhideWhenUsed="0"/>
    <w:lsdException w:name="HTML Variable" w:semiHidden="0" w:uiPriority="0" w:unhideWhenUsed="0" w:qFormat="1"/>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qFormat="1"/>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rPr>
      <w:rFonts w:ascii="Times New Roman" w:eastAsia="Times New Roman" w:hAnsi="Times New Roman" w:cs="Times New Roman"/>
      <w:sz w:val="24"/>
      <w:szCs w:val="24"/>
    </w:rPr>
  </w:style>
  <w:style w:type="paragraph" w:styleId="Heading1">
    <w:name w:val="heading 1"/>
    <w:basedOn w:val="Heading3"/>
    <w:next w:val="Normal"/>
    <w:link w:val="1Char"/>
    <w:qFormat/>
    <w:pPr>
      <w:spacing w:before="340" w:after="330" w:line="360" w:lineRule="auto"/>
      <w:jc w:val="center"/>
      <w:outlineLvl w:val="0"/>
    </w:pPr>
    <w:rPr>
      <w:rFonts w:eastAsia="黑体"/>
      <w:kern w:val="44"/>
      <w:szCs w:val="44"/>
    </w:rPr>
  </w:style>
  <w:style w:type="paragraph" w:styleId="Heading2">
    <w:name w:val="heading 2"/>
    <w:basedOn w:val="Heading3"/>
    <w:next w:val="Heading4"/>
    <w:link w:val="2Char"/>
    <w:qFormat/>
    <w:pPr>
      <w:adjustRightInd w:val="0"/>
      <w:jc w:val="center"/>
      <w:textAlignment w:val="baseline"/>
      <w:outlineLvl w:val="1"/>
    </w:pPr>
    <w:rPr>
      <w:sz w:val="24"/>
      <w:szCs w:val="20"/>
    </w:rPr>
  </w:style>
  <w:style w:type="paragraph" w:styleId="Heading3">
    <w:name w:val="heading 3"/>
    <w:basedOn w:val="Heading4"/>
    <w:next w:val="Normal"/>
    <w:link w:val="3Char1"/>
    <w:uiPriority w:val="9"/>
    <w:qFormat/>
    <w:pPr>
      <w:spacing w:before="260" w:after="260" w:line="240" w:lineRule="auto"/>
      <w:outlineLvl w:val="2"/>
    </w:pPr>
    <w:rPr>
      <w:rFonts w:ascii="宋体" w:eastAsia="宋体" w:hAnsi="宋体"/>
      <w:szCs w:val="32"/>
    </w:rPr>
  </w:style>
  <w:style w:type="paragraph" w:styleId="Heading4">
    <w:name w:val="heading 4"/>
    <w:basedOn w:val="Normal"/>
    <w:next w:val="Normal"/>
    <w:link w:val="4Char"/>
    <w:uiPriority w:val="9"/>
    <w:qFormat/>
    <w:pPr>
      <w:keepNext/>
      <w:keepLines/>
      <w:spacing w:before="280" w:after="290" w:line="376" w:lineRule="auto"/>
      <w:outlineLvl w:val="3"/>
    </w:pPr>
    <w:rPr>
      <w:rFonts w:ascii="Arial" w:eastAsia="黑体" w:hAnsi="Arial"/>
      <w:b/>
      <w:bCs/>
      <w:sz w:val="28"/>
      <w:szCs w:val="28"/>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NormalIndent">
    <w:name w:val="Normal Indent"/>
    <w:basedOn w:val="Normal"/>
    <w:link w:val="Char0"/>
    <w:qFormat/>
    <w:pPr>
      <w:ind w:firstLine="420"/>
    </w:pPr>
    <w:rPr>
      <w:szCs w:val="20"/>
    </w:rPr>
  </w:style>
  <w:style w:type="paragraph" w:styleId="CommentText">
    <w:name w:val="annotation text"/>
    <w:basedOn w:val="Normal"/>
    <w:link w:val="Char1"/>
    <w:unhideWhenUsed/>
    <w:qFormat/>
    <w:pPr>
      <w:keepNext w:val="0"/>
      <w:keepLines w:val="0"/>
      <w:widowControl w:val="0"/>
      <w:suppressLineNumbers w:val="0"/>
      <w:spacing w:before="0" w:beforeAutospacing="0" w:after="0" w:afterAutospacing="0"/>
      <w:ind w:left="0" w:right="0"/>
      <w:jc w:val="left"/>
    </w:pPr>
    <w:rPr>
      <w:rFonts w:ascii="Times New Roman" w:hAnsi="Times New Roman" w:cs="Times New Roman" w:hint="default"/>
      <w:kern w:val="2"/>
      <w:sz w:val="21"/>
      <w:szCs w:val="21"/>
      <w:lang w:val="en-US" w:eastAsia="zh-CN"/>
    </w:rPr>
  </w:style>
  <w:style w:type="paragraph" w:styleId="BodyText">
    <w:name w:val="Body Text"/>
    <w:basedOn w:val="Normal"/>
    <w:next w:val="Title"/>
    <w:link w:val="Char2"/>
    <w:qFormat/>
    <w:pPr>
      <w:spacing w:line="360" w:lineRule="auto"/>
    </w:pPr>
    <w:rPr>
      <w:b/>
      <w:bCs/>
    </w:rPr>
  </w:style>
  <w:style w:type="paragraph" w:styleId="Title">
    <w:name w:val="Title"/>
    <w:basedOn w:val="Normal"/>
    <w:next w:val="Normal"/>
    <w:qFormat/>
    <w:pPr>
      <w:widowControl w:val="0"/>
      <w:adjustRightInd w:val="0"/>
      <w:spacing w:before="240" w:after="60" w:line="420" w:lineRule="atLeast"/>
      <w:jc w:val="center"/>
      <w:textAlignment w:val="baseline"/>
      <w:outlineLvl w:val="0"/>
    </w:pPr>
    <w:rPr>
      <w:rFonts w:ascii="Arial" w:eastAsia="宋体" w:hAnsi="Arial" w:cs="Times New Roman"/>
      <w:b/>
      <w:kern w:val="0"/>
      <w:sz w:val="32"/>
      <w:szCs w:val="20"/>
      <w:lang w:val="en-US" w:eastAsia="zh-CN" w:bidi="ar-SA"/>
    </w:rPr>
  </w:style>
  <w:style w:type="paragraph" w:styleId="BodyTextIndent">
    <w:name w:val="Body Text Indent"/>
    <w:basedOn w:val="Normal"/>
    <w:uiPriority w:val="99"/>
    <w:qFormat/>
    <w:pPr>
      <w:spacing w:after="120"/>
      <w:ind w:left="420" w:leftChars="200"/>
    </w:pPr>
    <w:rPr>
      <w:rFonts w:ascii="Times New Roman" w:eastAsia="宋体" w:hAnsi="Times New Roman" w:cs="Times New Roman"/>
      <w:sz w:val="21"/>
    </w:rPr>
  </w:style>
  <w:style w:type="paragraph" w:styleId="BalloonText">
    <w:name w:val="Balloon Text"/>
    <w:basedOn w:val="Normal"/>
    <w:qFormat/>
    <w:rPr>
      <w:sz w:val="18"/>
      <w:szCs w:val="18"/>
    </w:r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qFormat/>
    <w:pPr>
      <w:pBdr>
        <w:top w:val="nil"/>
        <w:left w:val="nil"/>
        <w:bottom w:val="nil"/>
        <w:right w:val="nil"/>
      </w:pBdr>
      <w:tabs>
        <w:tab w:val="center" w:pos="4153"/>
        <w:tab w:val="right" w:pos="8306"/>
      </w:tabs>
      <w:snapToGrid w:val="0"/>
      <w:spacing w:line="240" w:lineRule="auto"/>
      <w:jc w:val="both"/>
      <w:outlineLvl w:val="9"/>
    </w:pPr>
    <w:rPr>
      <w:sz w:val="18"/>
    </w:rPr>
  </w:style>
  <w:style w:type="paragraph" w:styleId="BodyText2">
    <w:name w:val="Body Text 2"/>
    <w:basedOn w:val="Normal"/>
    <w:qFormat/>
    <w:pPr>
      <w:spacing w:line="360" w:lineRule="auto"/>
    </w:pPr>
    <w:rPr>
      <w:sz w:val="24"/>
    </w:rPr>
  </w:style>
  <w:style w:type="paragraph" w:styleId="NormalWeb">
    <w:name w:val="Normal (Web)"/>
    <w:basedOn w:val="Normal"/>
    <w:link w:val="Char"/>
    <w:uiPriority w:val="99"/>
    <w:qFormat/>
  </w:style>
  <w:style w:type="paragraph" w:styleId="BodyTextFirstIndent2">
    <w:name w:val="Body Text First Indent 2"/>
    <w:basedOn w:val="BodyTextIndent"/>
    <w:uiPriority w:val="99"/>
    <w:qFormat/>
    <w:pPr>
      <w:ind w:firstLine="420" w:firstLineChars="200"/>
    </w:p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qFormat/>
    <w:rPr>
      <w:b/>
      <w:bCs/>
    </w:rPr>
  </w:style>
  <w:style w:type="character" w:styleId="PageNumber">
    <w:name w:val="page number"/>
    <w:qFormat/>
    <w:rPr>
      <w:rFonts w:ascii="宋体" w:eastAsia="Times New Roman" w:hAnsi="宋体"/>
      <w:spacing w:val="0"/>
      <w:kern w:val="18"/>
      <w:position w:val="0"/>
      <w:sz w:val="18"/>
      <w:szCs w:val="18"/>
    </w:rPr>
  </w:style>
  <w:style w:type="character" w:styleId="FollowedHyperlink">
    <w:name w:val="FollowedHyperlink"/>
    <w:basedOn w:val="DefaultParagraphFont"/>
    <w:qFormat/>
    <w:rPr>
      <w:color w:val="800080"/>
      <w:u w:val="none"/>
    </w:rPr>
  </w:style>
  <w:style w:type="character" w:styleId="HTMLDefinition">
    <w:name w:val="HTML Definition"/>
    <w:basedOn w:val="DefaultParagraphFont"/>
    <w:qFormat/>
    <w:rPr>
      <w:i/>
      <w:iCs/>
    </w:rPr>
  </w:style>
  <w:style w:type="character" w:styleId="HTMLAcronym">
    <w:name w:val="HTML Acronym"/>
    <w:basedOn w:val="DefaultParagraphFont"/>
    <w:qFormat/>
  </w:style>
  <w:style w:type="character" w:styleId="HTMLVariable">
    <w:name w:val="HTML Variable"/>
    <w:basedOn w:val="DefaultParagraphFont"/>
    <w:qFormat/>
  </w:style>
  <w:style w:type="character" w:styleId="Hyperlink">
    <w:name w:val="Hyperlink"/>
    <w:uiPriority w:val="99"/>
    <w:qFormat/>
    <w:rPr>
      <w:color w:val="0000FF"/>
      <w:u w:val="single"/>
    </w:rPr>
  </w:style>
  <w:style w:type="character" w:styleId="HTMLCode">
    <w:name w:val="HTML Code"/>
    <w:basedOn w:val="DefaultParagraphFont"/>
    <w:qFormat/>
    <w:rPr>
      <w:rFonts w:ascii="serif" w:eastAsia="serif" w:hAnsi="serif" w:cs="serif" w:hint="default"/>
      <w:sz w:val="21"/>
      <w:szCs w:val="21"/>
    </w:rPr>
  </w:style>
  <w:style w:type="character" w:styleId="CommentReference">
    <w:name w:val="annotation reference"/>
    <w:basedOn w:val="DefaultParagraphFont"/>
    <w:uiPriority w:val="99"/>
    <w:semiHidden/>
    <w:unhideWhenUsed/>
    <w:qFormat/>
    <w:rPr>
      <w:sz w:val="21"/>
      <w:szCs w:val="21"/>
    </w:rPr>
  </w:style>
  <w:style w:type="character" w:styleId="HTMLCite">
    <w:name w:val="HTML Cite"/>
    <w:basedOn w:val="DefaultParagraphFont"/>
    <w:qFormat/>
  </w:style>
  <w:style w:type="character" w:styleId="HTMLKeyboard">
    <w:name w:val="HTML Keyboard"/>
    <w:basedOn w:val="DefaultParagraphFont"/>
    <w:qFormat/>
    <w:rPr>
      <w:rFonts w:ascii="serif" w:eastAsia="serif" w:hAnsi="serif" w:cs="serif" w:hint="default"/>
      <w:sz w:val="21"/>
      <w:szCs w:val="21"/>
    </w:rPr>
  </w:style>
  <w:style w:type="character" w:styleId="HTMLSample">
    <w:name w:val="HTML Sample"/>
    <w:basedOn w:val="DefaultParagraphFont"/>
    <w:qFormat/>
    <w:rPr>
      <w:rFonts w:ascii="serif" w:eastAsia="serif" w:hAnsi="serif" w:cs="serif"/>
      <w:sz w:val="21"/>
      <w:szCs w:val="21"/>
    </w:rPr>
  </w:style>
  <w:style w:type="paragraph" w:customStyle="1" w:styleId="AONormal">
    <w:name w:val="AONormal"/>
    <w:qFormat/>
    <w:pPr>
      <w:autoSpaceDE w:val="0"/>
      <w:autoSpaceDN w:val="0"/>
      <w:adjustRightInd w:val="0"/>
      <w:spacing w:line="400" w:lineRule="exact"/>
      <w:ind w:firstLine="440" w:firstLineChars="200"/>
    </w:pPr>
    <w:rPr>
      <w:rFonts w:ascii="华文楷体" w:eastAsia="华文楷体" w:hAnsi="华文楷体" w:cs="华文楷体"/>
      <w:sz w:val="22"/>
      <w:szCs w:val="21"/>
      <w:lang w:val="en-US" w:eastAsia="zh-CN" w:bidi="ar-SA"/>
    </w:rPr>
  </w:style>
  <w:style w:type="character" w:customStyle="1" w:styleId="Char">
    <w:name w:val="普通(网站) Char"/>
    <w:link w:val="NormalWeb"/>
    <w:qFormat/>
    <w:rPr>
      <w:kern w:val="2"/>
      <w:sz w:val="24"/>
      <w:szCs w:val="24"/>
    </w:rPr>
  </w:style>
  <w:style w:type="paragraph" w:customStyle="1" w:styleId="TableParagraph">
    <w:name w:val="Table Paragraph"/>
    <w:basedOn w:val="Normal"/>
    <w:uiPriority w:val="1"/>
    <w:qFormat/>
    <w:rPr>
      <w:rFonts w:ascii="宋体" w:hAnsi="宋体" w:cs="宋体"/>
      <w:lang w:val="zh-CN" w:bidi="zh-CN"/>
    </w:rPr>
  </w:style>
  <w:style w:type="character" w:customStyle="1" w:styleId="Char0">
    <w:name w:val="正文缩进 Char"/>
    <w:link w:val="NormalIndent"/>
    <w:qFormat/>
    <w:rPr>
      <w:rFonts w:eastAsia="宋体"/>
      <w:kern w:val="2"/>
      <w:sz w:val="21"/>
      <w:lang w:val="en-US" w:eastAsia="zh-CN" w:bidi="ar-SA"/>
    </w:rPr>
  </w:style>
  <w:style w:type="character" w:customStyle="1" w:styleId="4Char">
    <w:name w:val="标题 4 Char"/>
    <w:link w:val="Heading4"/>
    <w:uiPriority w:val="9"/>
    <w:qFormat/>
    <w:rPr>
      <w:rFonts w:ascii="Arial" w:eastAsia="黑体" w:hAnsi="Arial"/>
      <w:b/>
      <w:bCs/>
      <w:kern w:val="2"/>
      <w:sz w:val="28"/>
      <w:szCs w:val="28"/>
      <w:lang w:val="en-US" w:eastAsia="zh-CN" w:bidi="ar-SA"/>
    </w:rPr>
  </w:style>
  <w:style w:type="character" w:customStyle="1" w:styleId="3Char1">
    <w:name w:val="标题 3 Char1"/>
    <w:link w:val="Heading3"/>
    <w:uiPriority w:val="9"/>
    <w:qFormat/>
    <w:rPr>
      <w:rFonts w:ascii="宋体" w:eastAsia="宋体" w:hAnsi="宋体"/>
      <w:b/>
      <w:bCs/>
      <w:kern w:val="2"/>
      <w:sz w:val="28"/>
      <w:szCs w:val="32"/>
      <w:lang w:val="en-US" w:eastAsia="zh-CN" w:bidi="ar-SA"/>
    </w:rPr>
  </w:style>
  <w:style w:type="character" w:customStyle="1" w:styleId="1Char">
    <w:name w:val="标题 1 Char"/>
    <w:link w:val="Heading1"/>
    <w:qFormat/>
    <w:rPr>
      <w:rFonts w:ascii="宋体" w:eastAsia="黑体" w:hAnsi="宋体"/>
      <w:b/>
      <w:bCs/>
      <w:kern w:val="44"/>
      <w:sz w:val="28"/>
      <w:szCs w:val="44"/>
      <w:lang w:val="en-US" w:eastAsia="zh-CN" w:bidi="ar-SA"/>
    </w:rPr>
  </w:style>
  <w:style w:type="character" w:customStyle="1" w:styleId="2Char">
    <w:name w:val="标题 2 Char"/>
    <w:link w:val="Heading2"/>
    <w:qFormat/>
    <w:rPr>
      <w:rFonts w:ascii="宋体" w:eastAsia="宋体" w:hAnsi="宋体"/>
      <w:b/>
      <w:bCs/>
      <w:sz w:val="24"/>
      <w:lang w:val="en-US" w:eastAsia="zh-CN" w:bidi="ar-SA"/>
    </w:rPr>
  </w:style>
  <w:style w:type="character" w:customStyle="1" w:styleId="Char1">
    <w:name w:val="批注文字 Char"/>
    <w:basedOn w:val="DefaultParagraphFont"/>
    <w:link w:val="CommentText"/>
    <w:qFormat/>
    <w:rPr>
      <w:sz w:val="24"/>
      <w:szCs w:val="24"/>
    </w:rPr>
  </w:style>
  <w:style w:type="character" w:customStyle="1" w:styleId="Char2">
    <w:name w:val="正文文本 Char"/>
    <w:link w:val="BodyText"/>
    <w:qFormat/>
    <w:rPr>
      <w:rFonts w:eastAsia="宋体"/>
      <w:b/>
      <w:bCs/>
      <w:kern w:val="2"/>
      <w:sz w:val="24"/>
      <w:szCs w:val="24"/>
      <w:lang w:val="en-US" w:eastAsia="zh-CN" w:bidi="ar-SA"/>
    </w:rPr>
  </w:style>
  <w:style w:type="character" w:customStyle="1" w:styleId="3Char">
    <w:name w:val="标题 3 Char"/>
    <w:qFormat/>
    <w:rPr>
      <w:rFonts w:ascii="黑体" w:eastAsia="黑体"/>
      <w:bCs/>
      <w:sz w:val="30"/>
    </w:rPr>
  </w:style>
  <w:style w:type="paragraph" w:customStyle="1" w:styleId="1">
    <w:name w:val="正文1"/>
    <w:basedOn w:val="Normal"/>
    <w:qFormat/>
    <w:pPr>
      <w:tabs>
        <w:tab w:val="left" w:pos="4"/>
      </w:tabs>
    </w:pPr>
    <w:rPr>
      <w:rFonts w:ascii="宋体" w:hAnsi="宋体"/>
      <w:sz w:val="18"/>
    </w:rPr>
  </w:style>
  <w:style w:type="paragraph" w:customStyle="1" w:styleId="-111">
    <w:name w:val="彩色列表 - 强调文字颜色 111"/>
    <w:basedOn w:val="Normal"/>
    <w:qFormat/>
    <w:pPr>
      <w:ind w:firstLine="420" w:firstLineChars="200"/>
    </w:pPr>
  </w:style>
  <w:style w:type="paragraph" w:styleId="ListParagraph">
    <w:name w:val="List Paragraph"/>
    <w:basedOn w:val="Normal"/>
    <w:qFormat/>
    <w:pPr>
      <w:widowControl w:val="0"/>
      <w:ind w:firstLine="420" w:firstLineChars="200"/>
      <w:jc w:val="both"/>
    </w:pPr>
    <w:rPr>
      <w:rFonts w:ascii="Calibri" w:eastAsia="宋体" w:hAnsi="Calibri" w:cs="Times New Roman"/>
      <w:kern w:val="2"/>
      <w:sz w:val="21"/>
      <w:szCs w:val="22"/>
      <w:lang w:val="en-US" w:eastAsia="zh-CN" w:bidi="ar-SA"/>
    </w:rPr>
  </w:style>
  <w:style w:type="paragraph" w:customStyle="1" w:styleId="Default">
    <w:name w:val="Default"/>
    <w:uiPriority w:val="99"/>
    <w:qFormat/>
    <w:pPr>
      <w:widowControl w:val="0"/>
      <w:autoSpaceDE w:val="0"/>
      <w:autoSpaceDN w:val="0"/>
      <w:adjustRightInd w:val="0"/>
    </w:pPr>
    <w:rPr>
      <w:rFonts w:ascii="宋体" w:eastAsia="宋体" w:hAnsi="Calibri" w:cs="Times New Roman"/>
      <w:color w:val="000000"/>
      <w:sz w:val="24"/>
      <w:szCs w:val="22"/>
      <w:lang w:val="en-US" w:eastAsia="zh-CN" w:bidi="ar-SA"/>
    </w:rPr>
  </w:style>
  <w:style w:type="paragraph" w:customStyle="1" w:styleId="p0">
    <w:name w:val="p0"/>
    <w:basedOn w:val="Normal"/>
    <w:qFormat/>
    <w:pPr>
      <w:widowControl/>
    </w:pPr>
    <w:rPr>
      <w:rFonts w:ascii="Times New Roman" w:eastAsia="宋体" w:hAnsi="Times New Roman" w:cs="Times New Roman"/>
      <w:kern w:val="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2.xml" /><Relationship Id="rId11" Type="http://schemas.openxmlformats.org/officeDocument/2006/relationships/theme" Target="theme/theme1.xml" /><Relationship Id="rId12" Type="http://schemas.openxmlformats.org/officeDocument/2006/relationships/numbering" Target="numbering.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jpeg" /><Relationship Id="rId6" Type="http://schemas.openxmlformats.org/officeDocument/2006/relationships/footer" Target="footer1.xml" /><Relationship Id="rId7" Type="http://schemas.openxmlformats.org/officeDocument/2006/relationships/image" Target="media/image2.png" /><Relationship Id="rId8" Type="http://schemas.openxmlformats.org/officeDocument/2006/relationships/image" Target="media/image3.png" /><Relationship Id="rId9" Type="http://schemas.openxmlformats.org/officeDocument/2006/relationships/image" Target="media/image4.png"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TotalTime>1</TotalTime>
  <Pages>64</Pages>
  <Words>59660</Words>
  <Characters>63656</Characters>
  <Application>Microsoft Office Word</Application>
  <DocSecurity>0</DocSecurity>
  <Lines>1</Lines>
  <Paragraphs>1</Paragraphs>
  <ScaleCrop>false</ScaleCrop>
  <Company/>
  <LinksUpToDate>false</LinksUpToDate>
  <CharactersWithSpaces>65019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lenovo01</dc:creator>
  <cp:lastModifiedBy>.</cp:lastModifiedBy>
  <cp:revision>1</cp:revision>
  <cp:lastPrinted>2024-12-17T05:25:00Z</cp:lastPrinted>
  <dcterms:created xsi:type="dcterms:W3CDTF">2022-05-20T08:55:00Z</dcterms:created>
  <dcterms:modified xsi:type="dcterms:W3CDTF">2024-12-19T08:20:22Z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1D95EB04FE0E45C88513B9EE187D81E5_13</vt:lpwstr>
  </property>
  <property fmtid="{D5CDD505-2E9C-101B-9397-08002B2CF9AE}" pid="3" name="KSOProductBuildVer">
    <vt:lpwstr>2052-12.1.0.19302</vt:lpwstr>
  </property>
</Properties>
</file>