
<file path=[Content_Types].xml><?xml version="1.0" encoding="utf-8"?>
<Types xmlns="http://schemas.openxmlformats.org/package/2006/content-types">
  <Default Extension="jpe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4.9.0.0 -->
  <w:body>
    <w:p>
      <w:pPr>
        <w:keepNext w:val="0"/>
        <w:keepLines w:val="0"/>
        <w:pageBreakBefore w:val="0"/>
        <w:widowControl/>
        <w:kinsoku/>
        <w:wordWrap/>
        <w:overflowPunct/>
        <w:topLinePunct w:val="0"/>
        <w:autoSpaceDE/>
        <w:autoSpaceDN/>
        <w:bidi w:val="0"/>
        <w:adjustRightInd/>
        <w:snapToGrid/>
        <w:spacing w:before="100" w:beforeAutospacing="1" w:after="100" w:afterAutospacing="1"/>
        <w:textAlignment w:val="auto"/>
        <w:outlineLvl w:val="9"/>
        <w:rPr>
          <w:b/>
          <w:bCs/>
          <w:color w:val="000000" w:themeColor="text1"/>
          <w:sz w:val="40"/>
          <w:szCs w:val="40"/>
          <w:highlight w:val="none"/>
          <w14:textFill>
            <w14:solidFill>
              <w14:schemeClr w14:val="tx1"/>
            </w14:solidFill>
          </w14:textFill>
        </w:rPr>
      </w:pPr>
    </w:p>
    <w:p>
      <w:pPr>
        <w:jc w:val="right"/>
        <w:rPr>
          <w:rFonts w:ascii="宋体" w:hAnsi="宋体" w:hint="eastAsia"/>
          <w:b/>
          <w:spacing w:val="20"/>
          <w:sz w:val="28"/>
          <w:highlight w:val="none"/>
        </w:rPr>
        <w:sectPr>
          <w:pgSz w:w="11906" w:h="16838"/>
          <w:pgMar w:top="1440" w:right="1800" w:bottom="1440" w:left="1800" w:header="720" w:footer="720" w:gutter="0"/>
          <w:pgNumType w:fmt="decimal"/>
          <w:cols w:num="1" w:space="720"/>
        </w:sectPr>
      </w:pPr>
    </w:p>
    <w:p>
      <w:pPr>
        <w:jc w:val="right"/>
        <w:rPr>
          <w:rFonts w:ascii="黑体" w:eastAsia="黑体" w:hAnsi="Arial" w:cs="Arial"/>
          <w:sz w:val="52"/>
          <w:szCs w:val="52"/>
          <w:highlight w:val="none"/>
        </w:rPr>
      </w:pPr>
      <w:r>
        <w:rPr>
          <w:rFonts w:ascii="宋体" w:hAnsi="宋体" w:hint="eastAsia"/>
          <w:b/>
          <w:spacing w:val="20"/>
          <w:sz w:val="28"/>
          <w:highlight w:val="none"/>
        </w:rPr>
        <w:t>项目编号：</w:t>
      </w:r>
      <w:r>
        <w:rPr>
          <w:rFonts w:ascii="宋体" w:hAnsi="宋体" w:hint="eastAsia"/>
          <w:b/>
          <w:spacing w:val="20"/>
          <w:sz w:val="28"/>
          <w:highlight w:val="none"/>
          <w:lang w:eastAsia="zh-CN"/>
        </w:rPr>
        <w:t>SZDL2025000472</w:t>
      </w:r>
      <w:r>
        <w:rPr>
          <w:rFonts w:ascii="宋体" w:hAnsi="宋体" w:hint="eastAsia"/>
          <w:b/>
          <w:spacing w:val="20"/>
          <w:sz w:val="28"/>
          <w:highlight w:val="none"/>
        </w:rPr>
        <w:t xml:space="preserve"> </w:t>
      </w:r>
    </w:p>
    <w:p>
      <w:pPr>
        <w:pStyle w:val="BodyText"/>
        <w:rPr>
          <w:highlight w:val="none"/>
        </w:rPr>
      </w:pPr>
    </w:p>
    <w:p>
      <w:pPr>
        <w:jc w:val="center"/>
        <w:rPr>
          <w:rFonts w:ascii="黑体" w:eastAsia="黑体" w:hAnsi="Arial" w:cs="Arial"/>
          <w:sz w:val="52"/>
          <w:szCs w:val="52"/>
          <w:highlight w:val="none"/>
        </w:rPr>
      </w:pPr>
    </w:p>
    <w:p>
      <w:pPr>
        <w:pStyle w:val="BodyText"/>
        <w:rPr>
          <w:highlight w:val="none"/>
        </w:rPr>
      </w:pPr>
    </w:p>
    <w:p>
      <w:pPr>
        <w:pStyle w:val="BodyText2"/>
        <w:rPr>
          <w:highlight w:val="none"/>
        </w:rPr>
      </w:pPr>
      <w:bookmarkStart w:id="0" w:name="_GoBack"/>
      <w:bookmarkEnd w:id="0"/>
    </w:p>
    <w:p>
      <w:pPr>
        <w:pStyle w:val="BodyText2"/>
        <w:rPr>
          <w:highlight w:val="none"/>
        </w:rPr>
      </w:pPr>
    </w:p>
    <w:p>
      <w:pPr>
        <w:jc w:val="center"/>
        <w:rPr>
          <w:rFonts w:ascii="黑体" w:eastAsia="黑体" w:hAnsi="Arial" w:cs="Arial"/>
          <w:sz w:val="52"/>
          <w:szCs w:val="52"/>
          <w:highlight w:val="none"/>
        </w:rPr>
      </w:pPr>
      <w:r>
        <w:rPr>
          <w:rFonts w:ascii="黑体" w:eastAsia="黑体" w:hAnsi="Arial" w:cs="Arial" w:hint="eastAsia"/>
          <w:sz w:val="52"/>
          <w:szCs w:val="52"/>
          <w:highlight w:val="none"/>
        </w:rPr>
        <w:t>【服务类】</w:t>
      </w:r>
    </w:p>
    <w:p>
      <w:pPr>
        <w:jc w:val="center"/>
        <w:rPr>
          <w:rFonts w:ascii="黑体" w:eastAsia="黑体" w:hint="eastAsia"/>
          <w:sz w:val="52"/>
          <w:szCs w:val="52"/>
          <w:highlight w:val="none"/>
          <w:lang w:eastAsia="zh-CN"/>
        </w:rPr>
      </w:pPr>
      <w:r>
        <w:rPr>
          <w:rFonts w:ascii="黑体" w:eastAsia="黑体" w:hint="eastAsia"/>
          <w:sz w:val="52"/>
          <w:szCs w:val="52"/>
          <w:highlight w:val="none"/>
          <w:lang w:eastAsia="zh-CN"/>
        </w:rPr>
        <w:t>盐坝高速公路坝光收费站物业运营维护管理</w:t>
      </w:r>
    </w:p>
    <w:p>
      <w:pPr>
        <w:rPr>
          <w:highlight w:val="none"/>
        </w:rPr>
      </w:pPr>
    </w:p>
    <w:p>
      <w:pPr>
        <w:rPr>
          <w:highlight w:val="none"/>
        </w:rPr>
      </w:pPr>
    </w:p>
    <w:p>
      <w:pPr>
        <w:rPr>
          <w:highlight w:val="none"/>
        </w:rPr>
      </w:pPr>
    </w:p>
    <w:p>
      <w:pPr>
        <w:rPr>
          <w:highlight w:val="none"/>
        </w:rPr>
      </w:pPr>
    </w:p>
    <w:p>
      <w:pPr>
        <w:keepNext w:val="0"/>
        <w:keepLines w:val="0"/>
        <w:pageBreakBefore w:val="0"/>
        <w:widowControl w:val="0"/>
        <w:kinsoku/>
        <w:wordWrap/>
        <w:overflowPunct/>
        <w:topLinePunct w:val="0"/>
        <w:autoSpaceDE/>
        <w:autoSpaceDN/>
        <w:bidi w:val="0"/>
        <w:adjustRightInd/>
        <w:snapToGrid/>
        <w:spacing w:after="96" w:afterLines="40"/>
        <w:jc w:val="center"/>
        <w:textAlignment w:val="auto"/>
        <w:rPr>
          <w:rFonts w:ascii="黑体" w:eastAsia="黑体" w:hint="eastAsia"/>
          <w:color w:val="000000" w:themeColor="text1"/>
          <w:sz w:val="72"/>
          <w:szCs w:val="52"/>
          <w:highlight w:val="none"/>
          <w14:textFill>
            <w14:solidFill>
              <w14:schemeClr w14:val="tx1"/>
            </w14:solidFill>
          </w14:textFill>
        </w:rPr>
      </w:pPr>
      <w:r>
        <w:rPr>
          <w:rFonts w:ascii="黑体" w:eastAsia="黑体" w:hint="eastAsia"/>
          <w:color w:val="000000" w:themeColor="text1"/>
          <w:sz w:val="72"/>
          <w:szCs w:val="52"/>
          <w:highlight w:val="none"/>
          <w14:textFill>
            <w14:solidFill>
              <w14:schemeClr w14:val="tx1"/>
            </w14:solidFill>
          </w14:textFill>
        </w:rPr>
        <w:t>招 标 文 件</w:t>
      </w:r>
    </w:p>
    <w:p>
      <w:pPr>
        <w:pStyle w:val="BodyText2"/>
        <w:rPr>
          <w:rFonts w:hint="eastAsia"/>
          <w:highlight w:val="none"/>
        </w:rPr>
      </w:pPr>
    </w:p>
    <w:p>
      <w:pPr>
        <w:pStyle w:val="BodyText2"/>
        <w:rPr>
          <w:rFonts w:hint="eastAsia"/>
          <w:highlight w:val="none"/>
          <w:lang w:eastAsia="zh-CN"/>
        </w:rPr>
      </w:pPr>
    </w:p>
    <w:p>
      <w:pPr>
        <w:pStyle w:val="BodyText2"/>
        <w:rPr>
          <w:rFonts w:hint="eastAsia"/>
          <w:highlight w:val="none"/>
          <w:lang w:eastAsia="zh-CN"/>
        </w:rPr>
      </w:pPr>
    </w:p>
    <w:p>
      <w:pPr>
        <w:pStyle w:val="BodyText2"/>
        <w:rPr>
          <w:rFonts w:hint="eastAsia"/>
          <w:highlight w:val="none"/>
          <w:lang w:eastAsia="zh-CN"/>
        </w:rPr>
      </w:pPr>
    </w:p>
    <w:p>
      <w:pPr>
        <w:pStyle w:val="BodyText2"/>
        <w:keepNext w:val="0"/>
        <w:keepLines w:val="0"/>
        <w:pageBreakBefore w:val="0"/>
        <w:widowControl w:val="0"/>
        <w:kinsoku/>
        <w:wordWrap/>
        <w:overflowPunct/>
        <w:topLinePunct w:val="0"/>
        <w:autoSpaceDE/>
        <w:autoSpaceDN/>
        <w:bidi w:val="0"/>
        <w:adjustRightInd/>
        <w:snapToGrid/>
        <w:spacing w:after="0"/>
        <w:jc w:val="center"/>
        <w:textAlignment w:val="auto"/>
        <w:rPr>
          <w:rFonts w:eastAsia="宋体" w:hint="eastAsia"/>
          <w:highlight w:val="none"/>
          <w:lang w:eastAsia="zh-CN"/>
        </w:rPr>
      </w:pPr>
      <w:r>
        <w:rPr>
          <w:rFonts w:ascii="Arial" w:eastAsia="仿宋_GB2312" w:hAnsi="Arial" w:cs="Arial" w:hint="eastAsia"/>
          <w:sz w:val="44"/>
          <w:highlight w:val="none"/>
          <w:lang w:eastAsia="zh-CN"/>
        </w:rPr>
        <w:drawing>
          <wp:inline distT="0" distB="0" distL="114300" distR="114300">
            <wp:extent cx="1210945" cy="1210945"/>
            <wp:effectExtent l="0" t="0" r="8255" b="8255"/>
            <wp:docPr id="3" name="图片 3" descr="b6bbc1c3021ac190a7f1ff08bab79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b6bbc1c3021ac190a7f1ff08bab79ef"/>
                    <pic:cNvPicPr>
                      <a:picLocks noChangeAspect="1"/>
                    </pic:cNvPicPr>
                  </pic:nvPicPr>
                  <pic:blipFill>
                    <a:blip xmlns:r="http://schemas.openxmlformats.org/officeDocument/2006/relationships" r:embed="rId5"/>
                    <a:stretch>
                      <a:fillRect/>
                    </a:stretch>
                  </pic:blipFill>
                  <pic:spPr>
                    <a:xfrm>
                      <a:off x="0" y="0"/>
                      <a:ext cx="1210945" cy="1210945"/>
                    </a:xfrm>
                    <a:prstGeom prst="rect">
                      <a:avLst/>
                    </a:prstGeom>
                  </pic:spPr>
                </pic:pic>
              </a:graphicData>
            </a:graphic>
          </wp:inline>
        </w:drawing>
      </w:r>
    </w:p>
    <w:p>
      <w:pPr>
        <w:pStyle w:val="BodyText2"/>
        <w:keepNext w:val="0"/>
        <w:keepLines w:val="0"/>
        <w:pageBreakBefore w:val="0"/>
        <w:widowControl w:val="0"/>
        <w:kinsoku/>
        <w:wordWrap/>
        <w:overflowPunct/>
        <w:topLinePunct w:val="0"/>
        <w:autoSpaceDE/>
        <w:autoSpaceDN/>
        <w:bidi w:val="0"/>
        <w:adjustRightInd/>
        <w:snapToGrid/>
        <w:spacing w:after="0"/>
        <w:textAlignment w:val="auto"/>
        <w:rPr>
          <w:rFonts w:eastAsia="宋体" w:hint="eastAsia"/>
          <w:highlight w:val="none"/>
          <w:lang w:eastAsia="zh-CN"/>
        </w:rPr>
      </w:pPr>
    </w:p>
    <w:p>
      <w:pPr>
        <w:pStyle w:val="BodyText2"/>
        <w:keepNext w:val="0"/>
        <w:keepLines w:val="0"/>
        <w:pageBreakBefore w:val="0"/>
        <w:widowControl w:val="0"/>
        <w:kinsoku/>
        <w:wordWrap/>
        <w:overflowPunct/>
        <w:topLinePunct w:val="0"/>
        <w:autoSpaceDE/>
        <w:autoSpaceDN/>
        <w:bidi w:val="0"/>
        <w:adjustRightInd/>
        <w:snapToGrid/>
        <w:spacing w:after="0"/>
        <w:textAlignment w:val="auto"/>
        <w:rPr>
          <w:rFonts w:eastAsia="宋体" w:hint="eastAsia"/>
          <w:highlight w:val="none"/>
          <w:lang w:eastAsia="zh-CN"/>
        </w:rPr>
      </w:pPr>
    </w:p>
    <w:p>
      <w:pPr>
        <w:snapToGrid w:val="0"/>
        <w:jc w:val="center"/>
        <w:rPr>
          <w:rFonts w:ascii="仿宋_GB2312" w:eastAsia="仿宋_GB2312" w:hAnsi="宋体" w:cs="Arial"/>
          <w:b/>
          <w:bCs/>
          <w:sz w:val="36"/>
          <w:szCs w:val="36"/>
          <w:highlight w:val="none"/>
        </w:rPr>
      </w:pPr>
      <w:r>
        <w:rPr>
          <w:rFonts w:ascii="仿宋_GB2312" w:eastAsia="仿宋_GB2312" w:hAnsi="宋体" w:cs="Arial" w:hint="eastAsia"/>
          <w:b/>
          <w:bCs/>
          <w:sz w:val="36"/>
          <w:szCs w:val="36"/>
          <w:highlight w:val="none"/>
        </w:rPr>
        <w:t>友和保险经纪有限公司</w:t>
      </w:r>
    </w:p>
    <w:p>
      <w:pPr>
        <w:snapToGrid w:val="0"/>
        <w:jc w:val="center"/>
        <w:rPr>
          <w:rFonts w:ascii="仿宋_GB2312" w:eastAsia="仿宋_GB2312" w:hAnsi="宋体" w:cs="Arial"/>
          <w:b/>
          <w:bCs/>
          <w:sz w:val="21"/>
          <w:szCs w:val="21"/>
          <w:highlight w:val="none"/>
        </w:rPr>
      </w:pPr>
    </w:p>
    <w:p>
      <w:pPr>
        <w:jc w:val="center"/>
        <w:rPr>
          <w:highlight w:val="none"/>
        </w:rPr>
      </w:pPr>
      <w:r>
        <w:rPr>
          <w:rFonts w:ascii="仿宋_GB2312" w:eastAsia="仿宋_GB2312" w:hAnsi="Arial" w:cs="Arial" w:hint="eastAsia"/>
          <w:b/>
          <w:bCs/>
          <w:sz w:val="36"/>
          <w:szCs w:val="36"/>
          <w:highlight w:val="none"/>
        </w:rPr>
        <w:t>二</w:t>
      </w:r>
      <w:r>
        <w:rPr>
          <w:rFonts w:ascii="仿宋_GB2312" w:hAnsi="宋体" w:cs="宋体" w:hint="eastAsia"/>
          <w:b/>
          <w:bCs/>
          <w:sz w:val="36"/>
          <w:szCs w:val="36"/>
          <w:highlight w:val="none"/>
        </w:rPr>
        <w:t>〇</w:t>
      </w:r>
      <w:r>
        <w:rPr>
          <w:rFonts w:ascii="仿宋_GB2312" w:eastAsia="仿宋_GB2312" w:hAnsi="Arial" w:cs="Arial" w:hint="eastAsia"/>
          <w:b/>
          <w:bCs/>
          <w:sz w:val="36"/>
          <w:szCs w:val="36"/>
          <w:highlight w:val="none"/>
        </w:rPr>
        <w:t>二</w:t>
      </w:r>
      <w:r>
        <w:rPr>
          <w:rFonts w:ascii="仿宋_GB2312" w:eastAsia="仿宋_GB2312" w:hAnsi="Arial" w:cs="Arial" w:hint="eastAsia"/>
          <w:b/>
          <w:bCs/>
          <w:sz w:val="36"/>
          <w:szCs w:val="36"/>
          <w:highlight w:val="none"/>
          <w:lang w:val="en-US" w:eastAsia="zh-CN"/>
        </w:rPr>
        <w:t>五</w:t>
      </w:r>
      <w:r>
        <w:rPr>
          <w:rFonts w:ascii="仿宋_GB2312" w:eastAsia="仿宋_GB2312" w:hAnsi="Arial" w:cs="Arial" w:hint="eastAsia"/>
          <w:b/>
          <w:bCs/>
          <w:sz w:val="36"/>
          <w:szCs w:val="36"/>
          <w:highlight w:val="none"/>
        </w:rPr>
        <w:t>年</w:t>
      </w:r>
      <w:r>
        <w:rPr>
          <w:rFonts w:ascii="仿宋_GB2312" w:eastAsia="仿宋_GB2312" w:hAnsi="宋体" w:cs="宋体" w:hint="eastAsia"/>
          <w:b/>
          <w:bCs/>
          <w:sz w:val="36"/>
          <w:szCs w:val="36"/>
          <w:highlight w:val="none"/>
          <w:lang w:val="en-US" w:eastAsia="zh-CN"/>
        </w:rPr>
        <w:t>四</w:t>
      </w:r>
      <w:r>
        <w:rPr>
          <w:rFonts w:ascii="仿宋_GB2312" w:eastAsia="仿宋_GB2312" w:hAnsi="Arial" w:cs="Arial" w:hint="eastAsia"/>
          <w:b/>
          <w:bCs/>
          <w:sz w:val="36"/>
          <w:szCs w:val="36"/>
          <w:highlight w:val="none"/>
        </w:rPr>
        <w:t>月</w:t>
      </w:r>
    </w:p>
    <w:p>
      <w:pPr>
        <w:spacing w:beforeAutospacing="1" w:afterAutospacing="1"/>
        <w:jc w:val="center"/>
        <w:outlineLvl w:val="1"/>
        <w:rPr>
          <w:rFonts w:hint="eastAsia"/>
          <w:b/>
          <w:bCs/>
          <w:color w:val="000000" w:themeColor="text1"/>
          <w:sz w:val="40"/>
          <w:szCs w:val="40"/>
          <w:highlight w:val="none"/>
          <w14:textFill>
            <w14:solidFill>
              <w14:schemeClr w14:val="tx1"/>
            </w14:solidFill>
          </w14:textFill>
        </w:rPr>
      </w:pPr>
    </w:p>
    <w:p>
      <w:pPr>
        <w:spacing w:beforeAutospacing="1" w:afterAutospacing="1"/>
        <w:jc w:val="center"/>
        <w:outlineLvl w:val="1"/>
        <w:rPr>
          <w:rFonts w:hint="eastAsia"/>
          <w:b/>
          <w:bCs/>
          <w:color w:val="000000" w:themeColor="text1"/>
          <w:sz w:val="40"/>
          <w:szCs w:val="40"/>
          <w:highlight w:val="none"/>
          <w14:textFill>
            <w14:solidFill>
              <w14:schemeClr w14:val="tx1"/>
            </w14:solidFill>
          </w14:textFill>
        </w:rPr>
        <w:sectPr>
          <w:footerReference w:type="default" r:id="rId6"/>
          <w:type w:val="continuous"/>
          <w:pgSz w:w="11906" w:h="16838"/>
          <w:pgMar w:top="1440" w:right="1800" w:bottom="1440" w:left="1800" w:header="720" w:footer="720" w:gutter="0"/>
          <w:pgNumType w:fmt="decimal"/>
          <w:cols w:num="1" w:space="720"/>
        </w:sectPr>
      </w:pPr>
    </w:p>
    <w:p>
      <w:pPr>
        <w:spacing w:beforeAutospacing="1" w:afterAutospacing="1"/>
        <w:jc w:val="center"/>
        <w:outlineLvl w:val="1"/>
        <w:rPr>
          <w:rFonts w:ascii="黑体" w:eastAsia="黑体" w:hAnsi="宋体" w:cs="黑体"/>
          <w:color w:val="000000" w:themeColor="text1"/>
          <w:sz w:val="40"/>
          <w:szCs w:val="40"/>
          <w:highlight w:val="none"/>
          <w14:textFill>
            <w14:solidFill>
              <w14:schemeClr w14:val="tx1"/>
            </w14:solidFill>
          </w14:textFill>
        </w:rPr>
      </w:pPr>
      <w:r>
        <w:rPr>
          <w:rFonts w:hint="eastAsia"/>
          <w:b/>
          <w:bCs/>
          <w:color w:val="000000" w:themeColor="text1"/>
          <w:sz w:val="40"/>
          <w:szCs w:val="40"/>
          <w:highlight w:val="none"/>
          <w14:textFill>
            <w14:solidFill>
              <w14:schemeClr w14:val="tx1"/>
            </w14:solidFill>
          </w14:textFill>
        </w:rPr>
        <w:t>招</w:t>
      </w:r>
      <w:r>
        <w:rPr>
          <w:rFonts w:ascii="黑体" w:eastAsia="黑体" w:hAnsi="宋体" w:cs="黑体" w:hint="eastAsia"/>
          <w:color w:val="000000" w:themeColor="text1"/>
          <w:sz w:val="40"/>
          <w:szCs w:val="40"/>
          <w:highlight w:val="none"/>
          <w14:textFill>
            <w14:solidFill>
              <w14:schemeClr w14:val="tx1"/>
            </w14:solidFill>
          </w14:textFill>
        </w:rPr>
        <w:t>标文件信息</w:t>
      </w:r>
    </w:p>
    <w:tbl>
      <w:tblPr>
        <w:tblStyle w:val="TableNormal"/>
        <w:tblW w:w="7943" w:type="dxa"/>
        <w:jc w:val="center"/>
        <w:tblCellSpacing w:w="0" w:type="dxa"/>
        <w:tblLayout w:type="fixed"/>
        <w:tblCellMar>
          <w:top w:w="45" w:type="dxa"/>
          <w:left w:w="45" w:type="dxa"/>
          <w:bottom w:w="45" w:type="dxa"/>
          <w:right w:w="45" w:type="dxa"/>
        </w:tblCellMar>
      </w:tblPr>
      <w:tblGrid>
        <w:gridCol w:w="2723"/>
        <w:gridCol w:w="5220"/>
      </w:tblGrid>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color w:val="000000" w:themeColor="text1"/>
                <w:sz w:val="30"/>
                <w:szCs w:val="30"/>
                <w:highlight w:val="none"/>
                <w14:textFill>
                  <w14:solidFill>
                    <w14:schemeClr w14:val="tx1"/>
                  </w14:solidFill>
                </w14:textFill>
              </w:rPr>
            </w:pPr>
            <w:r>
              <w:rPr>
                <w:rFonts w:ascii="宋体" w:hAnsi="宋体" w:cs="宋体"/>
                <w:color w:val="000000" w:themeColor="text1"/>
                <w:sz w:val="30"/>
                <w:szCs w:val="30"/>
                <w:highlight w:val="none"/>
                <w14:textFill>
                  <w14:solidFill>
                    <w14:schemeClr w14:val="tx1"/>
                  </w14:solidFill>
                </w14:textFill>
              </w:rPr>
              <w:t>项目编号：</w:t>
            </w:r>
          </w:p>
        </w:tc>
        <w:tc>
          <w:tcPr>
            <w:tcW w:w="5220" w:type="dxa"/>
            <w:shd w:val="clear" w:color="auto" w:fill="auto"/>
            <w:vAlign w:val="center"/>
          </w:tcPr>
          <w:p>
            <w:pPr>
              <w:rPr>
                <w:rFonts w:eastAsia="宋体" w:hint="eastAsia"/>
                <w:color w:val="000000" w:themeColor="text1"/>
                <w:sz w:val="30"/>
                <w:szCs w:val="30"/>
                <w:highlight w:val="none"/>
                <w:lang w:eastAsia="zh-CN"/>
                <w14:textFill>
                  <w14:solidFill>
                    <w14:schemeClr w14:val="tx1"/>
                  </w14:solidFill>
                </w14:textFill>
              </w:rPr>
            </w:pPr>
            <w:r>
              <w:rPr>
                <w:rFonts w:eastAsia="宋体" w:hint="eastAsia"/>
                <w:color w:val="000000" w:themeColor="text1"/>
                <w:sz w:val="30"/>
                <w:szCs w:val="30"/>
                <w:highlight w:val="none"/>
                <w:lang w:eastAsia="zh-CN"/>
                <w14:textFill>
                  <w14:solidFill>
                    <w14:schemeClr w14:val="tx1"/>
                  </w14:solidFill>
                </w14:textFill>
              </w:rPr>
              <w:t>SZDL2025000472</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color w:val="000000" w:themeColor="text1"/>
                <w:sz w:val="30"/>
                <w:szCs w:val="30"/>
                <w:highlight w:val="none"/>
                <w14:textFill>
                  <w14:solidFill>
                    <w14:schemeClr w14:val="tx1"/>
                  </w14:solidFill>
                </w14:textFill>
              </w:rPr>
            </w:pPr>
            <w:r>
              <w:rPr>
                <w:rFonts w:ascii="宋体" w:hAnsi="宋体" w:cs="宋体"/>
                <w:color w:val="000000" w:themeColor="text1"/>
                <w:sz w:val="30"/>
                <w:szCs w:val="30"/>
                <w:highlight w:val="none"/>
                <w14:textFill>
                  <w14:solidFill>
                    <w14:schemeClr w14:val="tx1"/>
                  </w14:solidFill>
                </w14:textFill>
              </w:rPr>
              <w:t>项目名称：</w:t>
            </w:r>
          </w:p>
        </w:tc>
        <w:tc>
          <w:tcPr>
            <w:tcW w:w="5220" w:type="dxa"/>
            <w:shd w:val="clear" w:color="auto" w:fill="auto"/>
            <w:vAlign w:val="center"/>
          </w:tcPr>
          <w:p>
            <w:pPr>
              <w:rPr>
                <w:rFonts w:eastAsiaTheme="minorEastAsia" w:hint="eastAsia"/>
                <w:color w:val="000000" w:themeColor="text1"/>
                <w:sz w:val="30"/>
                <w:szCs w:val="30"/>
                <w:highlight w:val="none"/>
                <w:lang w:eastAsia="zh-CN"/>
                <w14:textFill>
                  <w14:solidFill>
                    <w14:schemeClr w14:val="tx1"/>
                  </w14:solidFill>
                </w14:textFill>
              </w:rPr>
            </w:pPr>
            <w:r>
              <w:rPr>
                <w:rFonts w:eastAsiaTheme="minorEastAsia" w:hint="eastAsia"/>
                <w:color w:val="000000" w:themeColor="text1"/>
                <w:sz w:val="30"/>
                <w:szCs w:val="30"/>
                <w:highlight w:val="none"/>
                <w:lang w:eastAsia="zh-CN"/>
                <w14:textFill>
                  <w14:solidFill>
                    <w14:schemeClr w14:val="tx1"/>
                  </w14:solidFill>
                </w14:textFill>
              </w:rPr>
              <w:t>盐坝高速公路坝光收费站物业运营维护管理</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color w:val="000000" w:themeColor="text1"/>
                <w:sz w:val="30"/>
                <w:szCs w:val="30"/>
                <w:highlight w:val="none"/>
                <w14:textFill>
                  <w14:solidFill>
                    <w14:schemeClr w14:val="tx1"/>
                  </w14:solidFill>
                </w14:textFill>
              </w:rPr>
            </w:pPr>
            <w:r>
              <w:rPr>
                <w:rFonts w:ascii="宋体" w:hAnsi="宋体" w:cs="宋体"/>
                <w:color w:val="000000" w:themeColor="text1"/>
                <w:sz w:val="30"/>
                <w:szCs w:val="30"/>
                <w:highlight w:val="none"/>
                <w14:textFill>
                  <w14:solidFill>
                    <w14:schemeClr w14:val="tx1"/>
                  </w14:solidFill>
                </w14:textFill>
              </w:rPr>
              <w:t xml:space="preserve">包 </w:t>
            </w:r>
            <w:r>
              <w:rPr>
                <w:rFonts w:ascii="宋体" w:hAnsi="宋体" w:cs="宋体" w:hint="eastAsia"/>
                <w:color w:val="000000" w:themeColor="text1"/>
                <w:sz w:val="30"/>
                <w:szCs w:val="30"/>
                <w:highlight w:val="none"/>
                <w14:textFill>
                  <w14:solidFill>
                    <w14:schemeClr w14:val="tx1"/>
                  </w14:solidFill>
                </w14:textFill>
              </w:rPr>
              <w:t xml:space="preserve">  </w:t>
            </w:r>
            <w:r>
              <w:rPr>
                <w:rFonts w:ascii="宋体" w:hAnsi="宋体" w:cs="宋体"/>
                <w:color w:val="000000" w:themeColor="text1"/>
                <w:sz w:val="30"/>
                <w:szCs w:val="30"/>
                <w:highlight w:val="none"/>
                <w14:textFill>
                  <w14:solidFill>
                    <w14:schemeClr w14:val="tx1"/>
                  </w14:solidFill>
                </w14:textFill>
              </w:rPr>
              <w:t>号：</w:t>
            </w:r>
          </w:p>
        </w:tc>
        <w:tc>
          <w:tcPr>
            <w:tcW w:w="5220" w:type="dxa"/>
            <w:shd w:val="clear" w:color="auto" w:fill="auto"/>
            <w:vAlign w:val="center"/>
          </w:tcPr>
          <w:p>
            <w:pPr>
              <w:rPr>
                <w:color w:val="000000" w:themeColor="text1"/>
                <w:sz w:val="30"/>
                <w:szCs w:val="30"/>
                <w:highlight w:val="none"/>
                <w14:textFill>
                  <w14:solidFill>
                    <w14:schemeClr w14:val="tx1"/>
                  </w14:solidFill>
                </w14:textFill>
              </w:rPr>
            </w:pPr>
            <w:r>
              <w:rPr>
                <w:rFonts w:ascii="宋体" w:hAnsi="宋体" w:cs="宋体"/>
                <w:color w:val="000000" w:themeColor="text1"/>
                <w:sz w:val="30"/>
                <w:szCs w:val="30"/>
                <w:highlight w:val="none"/>
                <w14:textFill>
                  <w14:solidFill>
                    <w14:schemeClr w14:val="tx1"/>
                  </w14:solidFill>
                </w14:textFill>
              </w:rPr>
              <w:t>A</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color w:val="000000" w:themeColor="text1"/>
                <w:sz w:val="30"/>
                <w:szCs w:val="30"/>
                <w:highlight w:val="none"/>
                <w14:textFill>
                  <w14:solidFill>
                    <w14:schemeClr w14:val="tx1"/>
                  </w14:solidFill>
                </w14:textFill>
              </w:rPr>
            </w:pPr>
            <w:r>
              <w:rPr>
                <w:rFonts w:ascii="宋体" w:hAnsi="宋体" w:cs="宋体"/>
                <w:color w:val="000000" w:themeColor="text1"/>
                <w:sz w:val="30"/>
                <w:szCs w:val="30"/>
                <w:highlight w:val="none"/>
                <w14:textFill>
                  <w14:solidFill>
                    <w14:schemeClr w14:val="tx1"/>
                  </w14:solidFill>
                </w14:textFill>
              </w:rPr>
              <w:t>项目类型：</w:t>
            </w:r>
          </w:p>
        </w:tc>
        <w:tc>
          <w:tcPr>
            <w:tcW w:w="5220" w:type="dxa"/>
            <w:shd w:val="clear" w:color="auto" w:fill="auto"/>
            <w:vAlign w:val="center"/>
          </w:tcPr>
          <w:p>
            <w:pPr>
              <w:rPr>
                <w:color w:val="000000" w:themeColor="text1"/>
                <w:sz w:val="30"/>
                <w:szCs w:val="30"/>
                <w:highlight w:val="none"/>
                <w14:textFill>
                  <w14:solidFill>
                    <w14:schemeClr w14:val="tx1"/>
                  </w14:solidFill>
                </w14:textFill>
              </w:rPr>
            </w:pPr>
            <w:r>
              <w:rPr>
                <w:rFonts w:ascii="宋体" w:hAnsi="宋体" w:cs="宋体" w:hint="eastAsia"/>
                <w:color w:val="000000" w:themeColor="text1"/>
                <w:sz w:val="30"/>
                <w:szCs w:val="30"/>
                <w:highlight w:val="none"/>
                <w14:textFill>
                  <w14:solidFill>
                    <w14:schemeClr w14:val="tx1"/>
                  </w14:solidFill>
                </w14:textFill>
              </w:rPr>
              <w:t>服务</w:t>
            </w:r>
            <w:r>
              <w:rPr>
                <w:rFonts w:ascii="宋体" w:hAnsi="宋体" w:cs="宋体"/>
                <w:color w:val="000000" w:themeColor="text1"/>
                <w:sz w:val="30"/>
                <w:szCs w:val="30"/>
                <w:highlight w:val="none"/>
                <w14:textFill>
                  <w14:solidFill>
                    <w14:schemeClr w14:val="tx1"/>
                  </w14:solidFill>
                </w14:textFill>
              </w:rPr>
              <w:t>类</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color w:val="000000" w:themeColor="text1"/>
                <w:sz w:val="30"/>
                <w:szCs w:val="30"/>
                <w:highlight w:val="none"/>
                <w14:textFill>
                  <w14:solidFill>
                    <w14:schemeClr w14:val="tx1"/>
                  </w14:solidFill>
                </w14:textFill>
              </w:rPr>
            </w:pPr>
            <w:r>
              <w:rPr>
                <w:rFonts w:ascii="宋体" w:hAnsi="宋体" w:cs="宋体"/>
                <w:color w:val="000000" w:themeColor="text1"/>
                <w:sz w:val="30"/>
                <w:szCs w:val="30"/>
                <w:highlight w:val="none"/>
                <w14:textFill>
                  <w14:solidFill>
                    <w14:schemeClr w14:val="tx1"/>
                  </w14:solidFill>
                </w14:textFill>
              </w:rPr>
              <w:t>采购方式：</w:t>
            </w:r>
          </w:p>
        </w:tc>
        <w:tc>
          <w:tcPr>
            <w:tcW w:w="5220" w:type="dxa"/>
            <w:shd w:val="clear" w:color="auto" w:fill="auto"/>
            <w:vAlign w:val="center"/>
          </w:tcPr>
          <w:p>
            <w:pPr>
              <w:rPr>
                <w:color w:val="000000" w:themeColor="text1"/>
                <w:sz w:val="30"/>
                <w:szCs w:val="30"/>
                <w:highlight w:val="none"/>
                <w14:textFill>
                  <w14:solidFill>
                    <w14:schemeClr w14:val="tx1"/>
                  </w14:solidFill>
                </w14:textFill>
              </w:rPr>
            </w:pPr>
            <w:r>
              <w:rPr>
                <w:rFonts w:ascii="宋体" w:hAnsi="宋体" w:cs="宋体"/>
                <w:color w:val="000000" w:themeColor="text1"/>
                <w:sz w:val="30"/>
                <w:szCs w:val="30"/>
                <w:highlight w:val="none"/>
                <w14:textFill>
                  <w14:solidFill>
                    <w14:schemeClr w14:val="tx1"/>
                  </w14:solidFill>
                </w14:textFill>
              </w:rPr>
              <w:t>公开招标</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color w:val="000000" w:themeColor="text1"/>
                <w:sz w:val="30"/>
                <w:szCs w:val="30"/>
                <w:highlight w:val="none"/>
                <w14:textFill>
                  <w14:solidFill>
                    <w14:schemeClr w14:val="tx1"/>
                  </w14:solidFill>
                </w14:textFill>
              </w:rPr>
            </w:pPr>
            <w:r>
              <w:rPr>
                <w:rFonts w:ascii="宋体" w:hAnsi="宋体" w:cs="宋体"/>
                <w:color w:val="000000" w:themeColor="text1"/>
                <w:sz w:val="30"/>
                <w:szCs w:val="30"/>
                <w:highlight w:val="none"/>
                <w14:textFill>
                  <w14:solidFill>
                    <w14:schemeClr w14:val="tx1"/>
                  </w14:solidFill>
                </w14:textFill>
              </w:rPr>
              <w:t>货币类型：</w:t>
            </w:r>
          </w:p>
        </w:tc>
        <w:tc>
          <w:tcPr>
            <w:tcW w:w="5220" w:type="dxa"/>
            <w:shd w:val="clear" w:color="auto" w:fill="auto"/>
            <w:vAlign w:val="center"/>
          </w:tcPr>
          <w:p>
            <w:pPr>
              <w:rPr>
                <w:color w:val="000000" w:themeColor="text1"/>
                <w:sz w:val="30"/>
                <w:szCs w:val="30"/>
                <w:highlight w:val="none"/>
                <w14:textFill>
                  <w14:solidFill>
                    <w14:schemeClr w14:val="tx1"/>
                  </w14:solidFill>
                </w14:textFill>
              </w:rPr>
            </w:pPr>
            <w:r>
              <w:rPr>
                <w:rFonts w:ascii="宋体" w:hAnsi="宋体" w:cs="宋体"/>
                <w:color w:val="000000" w:themeColor="text1"/>
                <w:sz w:val="30"/>
                <w:szCs w:val="30"/>
                <w:highlight w:val="none"/>
                <w14:textFill>
                  <w14:solidFill>
                    <w14:schemeClr w14:val="tx1"/>
                  </w14:solidFill>
                </w14:textFill>
              </w:rPr>
              <w:t>人民币</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color w:val="000000" w:themeColor="text1"/>
                <w:sz w:val="30"/>
                <w:szCs w:val="30"/>
                <w:highlight w:val="none"/>
                <w14:textFill>
                  <w14:solidFill>
                    <w14:schemeClr w14:val="tx1"/>
                  </w14:solidFill>
                </w14:textFill>
              </w:rPr>
            </w:pPr>
            <w:r>
              <w:rPr>
                <w:rFonts w:ascii="宋体" w:hAnsi="宋体" w:cs="宋体"/>
                <w:color w:val="000000" w:themeColor="text1"/>
                <w:sz w:val="30"/>
                <w:szCs w:val="30"/>
                <w:highlight w:val="none"/>
                <w14:textFill>
                  <w14:solidFill>
                    <w14:schemeClr w14:val="tx1"/>
                  </w14:solidFill>
                </w14:textFill>
              </w:rPr>
              <w:t>评标方法：</w:t>
            </w:r>
          </w:p>
        </w:tc>
        <w:tc>
          <w:tcPr>
            <w:tcW w:w="5220" w:type="dxa"/>
            <w:shd w:val="clear" w:color="auto" w:fill="auto"/>
            <w:vAlign w:val="center"/>
          </w:tcPr>
          <w:p>
            <w:pPr>
              <w:rPr>
                <w:color w:val="000000" w:themeColor="text1"/>
                <w:sz w:val="30"/>
                <w:szCs w:val="30"/>
                <w:highlight w:val="none"/>
                <w14:textFill>
                  <w14:solidFill>
                    <w14:schemeClr w14:val="tx1"/>
                  </w14:solidFill>
                </w14:textFill>
              </w:rPr>
            </w:pPr>
            <w:r>
              <w:rPr>
                <w:rFonts w:ascii="宋体" w:hAnsi="宋体" w:cs="宋体"/>
                <w:color w:val="000000" w:themeColor="text1"/>
                <w:sz w:val="30"/>
                <w:szCs w:val="30"/>
                <w:highlight w:val="none"/>
                <w14:textFill>
                  <w14:solidFill>
                    <w14:schemeClr w14:val="tx1"/>
                  </w14:solidFill>
                </w14:textFill>
              </w:rPr>
              <w:t>综合评分法（新价格分算法）</w:t>
            </w:r>
          </w:p>
        </w:tc>
      </w:tr>
    </w:tbl>
    <w:p>
      <w:pPr>
        <w:pStyle w:val="NormalWeb"/>
        <w:keepNext w:val="0"/>
        <w:keepLines w:val="0"/>
        <w:pageBreakBefore w:val="0"/>
        <w:widowControl/>
        <w:kinsoku/>
        <w:wordWrap/>
        <w:overflowPunct/>
        <w:topLinePunct w:val="0"/>
        <w:autoSpaceDE/>
        <w:autoSpaceDN/>
        <w:bidi w:val="0"/>
        <w:adjustRightInd/>
        <w:snapToGrid/>
        <w:spacing w:before="240" w:beforeLines="100" w:after="240" w:afterLines="100"/>
        <w:jc w:val="center"/>
        <w:textAlignment w:val="auto"/>
        <w:outlineLvl w:val="1"/>
        <w:rPr>
          <w:rFonts w:ascii="黑体" w:eastAsia="黑体" w:hAnsi="黑体"/>
          <w:color w:val="000000" w:themeColor="text1"/>
          <w:sz w:val="40"/>
          <w:szCs w:val="40"/>
          <w:highlight w:val="none"/>
          <w14:textFill>
            <w14:solidFill>
              <w14:schemeClr w14:val="tx1"/>
            </w14:solidFill>
          </w14:textFill>
        </w:rPr>
      </w:pPr>
      <w:r>
        <w:rPr>
          <w:rFonts w:ascii="宋体" w:eastAsia="宋体" w:hAnsi="宋体" w:cs="黑体" w:hint="eastAsia"/>
          <w:sz w:val="40"/>
          <w:szCs w:val="40"/>
          <w:highlight w:val="none"/>
          <w:lang w:val="en-US" w:eastAsia="zh-CN" w:bidi="ar-SA"/>
        </w:rPr>
        <w:t>资格性审查表</w:t>
      </w:r>
    </w:p>
    <w:tbl>
      <w:tblPr>
        <w:tblStyle w:val="TableNormal"/>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794"/>
        <w:gridCol w:w="8278"/>
      </w:tblGrid>
      <w:tr>
        <w:tblPrEx>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hAnsi="宋体" w:cs="宋体"/>
                <w:color w:val="000000" w:themeColor="text1"/>
                <w:sz w:val="28"/>
                <w:szCs w:val="28"/>
                <w:highlight w:val="none"/>
                <w14:textFill>
                  <w14:solidFill>
                    <w14:schemeClr w14:val="tx1"/>
                  </w14:solidFill>
                </w14:textFill>
              </w:rPr>
            </w:pPr>
            <w:r>
              <w:rPr>
                <w:color w:val="000000" w:themeColor="text1"/>
                <w:sz w:val="28"/>
                <w:szCs w:val="28"/>
                <w:highlight w:val="none"/>
                <w14:textFill>
                  <w14:solidFill>
                    <w14:schemeClr w14:val="tx1"/>
                  </w14:solidFill>
                </w14:textFill>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hAnsi="宋体" w:cs="宋体"/>
                <w:color w:val="000000" w:themeColor="text1"/>
                <w:sz w:val="28"/>
                <w:szCs w:val="28"/>
                <w:highlight w:val="none"/>
                <w14:textFill>
                  <w14:solidFill>
                    <w14:schemeClr w14:val="tx1"/>
                  </w14:solidFill>
                </w14:textFill>
              </w:rPr>
            </w:pPr>
            <w:r>
              <w:rPr>
                <w:color w:val="000000" w:themeColor="text1"/>
                <w:sz w:val="28"/>
                <w:szCs w:val="28"/>
                <w:highlight w:val="none"/>
                <w14:textFill>
                  <w14:solidFill>
                    <w14:schemeClr w14:val="tx1"/>
                  </w14:solidFill>
                </w14:textFill>
              </w:rPr>
              <w:t>内容</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1</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t>投标人不</w:t>
            </w:r>
            <w:r>
              <w:rPr>
                <w:rFonts w:ascii="宋体" w:hAnsi="宋体" w:cs="宋体" w:hint="eastAsia"/>
                <w:color w:val="000000" w:themeColor="text1"/>
                <w:szCs w:val="21"/>
                <w:highlight w:val="none"/>
                <w14:textFill>
                  <w14:solidFill>
                    <w14:schemeClr w14:val="tx1"/>
                  </w14:solidFill>
                </w14:textFill>
              </w:rPr>
              <w:t>符合</w:t>
            </w:r>
            <w:r>
              <w:rPr>
                <w:rFonts w:ascii="宋体" w:hAnsi="宋体" w:cs="宋体"/>
                <w:color w:val="000000" w:themeColor="text1"/>
                <w:szCs w:val="21"/>
                <w:highlight w:val="none"/>
                <w14:textFill>
                  <w14:solidFill>
                    <w14:schemeClr w14:val="tx1"/>
                  </w14:solidFill>
                </w14:textFill>
              </w:rPr>
              <w:t>资格要求，或未提交相应的资格证明资料（详见招标公告</w:t>
            </w:r>
            <w:r>
              <w:rPr>
                <w:rFonts w:ascii="宋体" w:hAnsi="宋体" w:hint="eastAsia"/>
                <w:color w:val="000000" w:themeColor="text1"/>
                <w:szCs w:val="21"/>
                <w:highlight w:val="none"/>
                <w14:textFill>
                  <w14:solidFill>
                    <w14:schemeClr w14:val="tx1"/>
                  </w14:solidFill>
                </w14:textFill>
              </w:rPr>
              <w:t>投标人资格要求，即申请人的资格要求</w:t>
            </w:r>
            <w:r>
              <w:rPr>
                <w:rFonts w:ascii="宋体" w:hAnsi="宋体" w:cs="宋体"/>
                <w:color w:val="000000" w:themeColor="text1"/>
                <w:szCs w:val="21"/>
                <w:highlight w:val="none"/>
                <w14:textFill>
                  <w14:solidFill>
                    <w14:schemeClr w14:val="tx1"/>
                  </w14:solidFill>
                </w14:textFill>
              </w:rPr>
              <w:t>）</w:t>
            </w:r>
          </w:p>
        </w:tc>
      </w:tr>
    </w:tbl>
    <w:p>
      <w:pPr>
        <w:pStyle w:val="NormalWeb"/>
        <w:keepNext w:val="0"/>
        <w:keepLines w:val="0"/>
        <w:pageBreakBefore w:val="0"/>
        <w:widowControl/>
        <w:kinsoku/>
        <w:wordWrap/>
        <w:overflowPunct/>
        <w:topLinePunct w:val="0"/>
        <w:autoSpaceDE/>
        <w:autoSpaceDN/>
        <w:bidi w:val="0"/>
        <w:adjustRightInd/>
        <w:snapToGrid/>
        <w:spacing w:before="240" w:beforeLines="100" w:after="240" w:afterLines="100"/>
        <w:jc w:val="center"/>
        <w:textAlignment w:val="auto"/>
        <w:outlineLvl w:val="1"/>
        <w:rPr>
          <w:rFonts w:ascii="宋体" w:eastAsia="宋体" w:hAnsi="宋体" w:cs="黑体" w:hint="eastAsia"/>
          <w:sz w:val="40"/>
          <w:szCs w:val="40"/>
          <w:highlight w:val="none"/>
          <w:lang w:val="en-US" w:eastAsia="zh-CN" w:bidi="ar-SA"/>
        </w:rPr>
      </w:pPr>
      <w:r>
        <w:rPr>
          <w:rFonts w:ascii="宋体" w:eastAsia="宋体" w:hAnsi="宋体" w:cs="黑体" w:hint="eastAsia"/>
          <w:sz w:val="40"/>
          <w:szCs w:val="40"/>
          <w:highlight w:val="none"/>
          <w:lang w:val="en-US" w:eastAsia="zh-CN" w:bidi="ar-SA"/>
        </w:rPr>
        <w:t>符合性审查表</w:t>
      </w:r>
    </w:p>
    <w:tbl>
      <w:tblPr>
        <w:tblStyle w:val="TableNormal"/>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794"/>
        <w:gridCol w:w="8278"/>
      </w:tblGrid>
      <w:tr>
        <w:tblPrEx>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hAnsi="宋体" w:cs="宋体"/>
                <w:color w:val="000000" w:themeColor="text1"/>
                <w:sz w:val="28"/>
                <w:szCs w:val="28"/>
                <w:highlight w:val="none"/>
                <w14:textFill>
                  <w14:solidFill>
                    <w14:schemeClr w14:val="tx1"/>
                  </w14:solidFill>
                </w14:textFill>
              </w:rPr>
            </w:pPr>
            <w:r>
              <w:rPr>
                <w:color w:val="000000" w:themeColor="text1"/>
                <w:sz w:val="28"/>
                <w:szCs w:val="28"/>
                <w:highlight w:val="none"/>
                <w14:textFill>
                  <w14:solidFill>
                    <w14:schemeClr w14:val="tx1"/>
                  </w14:solidFill>
                </w14:textFill>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hAnsi="宋体" w:cs="宋体"/>
                <w:color w:val="000000" w:themeColor="text1"/>
                <w:sz w:val="28"/>
                <w:szCs w:val="28"/>
                <w:highlight w:val="none"/>
                <w14:textFill>
                  <w14:solidFill>
                    <w14:schemeClr w14:val="tx1"/>
                  </w14:solidFill>
                </w14:textFill>
              </w:rPr>
            </w:pPr>
            <w:r>
              <w:rPr>
                <w:color w:val="000000" w:themeColor="text1"/>
                <w:sz w:val="28"/>
                <w:szCs w:val="28"/>
                <w:highlight w:val="none"/>
                <w14:textFill>
                  <w14:solidFill>
                    <w14:schemeClr w14:val="tx1"/>
                  </w14:solidFill>
                </w14:textFill>
              </w:rPr>
              <w:t>内容</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1</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将一个包或一个标段的内容拆开投标；</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2</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对同一项目投标时，提供两套以上的投标方案（招标文件另有规定的除外）；</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3</w:t>
            </w:r>
          </w:p>
        </w:tc>
        <w:tc>
          <w:tcPr>
            <w:tcW w:w="8278" w:type="dxa"/>
            <w:tcBorders>
              <w:top w:val="single" w:sz="8" w:space="0" w:color="000000"/>
              <w:left w:val="single" w:sz="8" w:space="0" w:color="000000"/>
              <w:bottom w:val="single" w:sz="8" w:space="0" w:color="000000"/>
              <w:right w:val="single" w:sz="8" w:space="0" w:color="000000"/>
            </w:tcBorders>
            <w:vAlign w:val="top"/>
          </w:tcPr>
          <w:p>
            <w:pPr>
              <w:jc w:val="left"/>
              <w:rPr>
                <w:rFonts w:ascii="宋体" w:hAnsi="宋体" w:cs="宋体"/>
                <w:color w:val="000000" w:themeColor="text1"/>
                <w:szCs w:val="21"/>
                <w:highlight w:val="none"/>
                <w14:textFill>
                  <w14:solidFill>
                    <w14:schemeClr w14:val="tx1"/>
                  </w14:solidFill>
                </w14:textFill>
              </w:rPr>
            </w:pPr>
            <w:r>
              <w:rPr>
                <w:rFonts w:hint="eastAsia"/>
                <w:highlight w:val="none"/>
              </w:rPr>
              <w:t>分项报价或投标总价高于</w:t>
            </w:r>
            <w:bookmarkStart w:id="1" w:name="_Hlk71832186"/>
            <w:r>
              <w:rPr>
                <w:rFonts w:hint="eastAsia"/>
                <w:highlight w:val="none"/>
              </w:rPr>
              <w:t>相应财政预算金额（或设定的财政预算金额下的最高限价）</w:t>
            </w:r>
            <w:bookmarkEnd w:id="1"/>
            <w:r>
              <w:rPr>
                <w:rFonts w:hint="eastAsia"/>
                <w:highlight w:val="none"/>
              </w:rPr>
              <w:t>；</w:t>
            </w:r>
          </w:p>
        </w:tc>
      </w:tr>
      <w:tr>
        <w:tblPrEx>
          <w:tblW w:w="9072" w:type="dxa"/>
          <w:jc w:val="center"/>
          <w:tblLayout w:type="fixed"/>
          <w:tblCellMar>
            <w:top w:w="20" w:type="dxa"/>
            <w:left w:w="108" w:type="dxa"/>
            <w:bottom w:w="20" w:type="dxa"/>
            <w:right w:w="108" w:type="dxa"/>
          </w:tblCellMar>
        </w:tblPrEx>
        <w:trPr>
          <w:trHeight w:val="1638"/>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4</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5</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highlight w:val="none"/>
                <w14:textFill>
                  <w14:solidFill>
                    <w14:schemeClr w14:val="tx1"/>
                  </w14:solidFill>
                </w14:textFill>
              </w:rPr>
            </w:pPr>
            <w:r>
              <w:rPr>
                <w:rFonts w:hint="eastAsia"/>
                <w:highlight w:val="none"/>
              </w:rPr>
              <w:t>所投货物、服务在技术、商务等方面没有实质性满足招标文件要求的（是否实质性满足招标文件要求，由评审委员会根据《实质性条款响应情况表》做出评判）</w:t>
            </w:r>
            <w:r>
              <w:rPr>
                <w:rFonts w:ascii="宋体" w:eastAsia="宋体" w:hAnsi="宋体" w:hint="eastAsia"/>
                <w:highlight w:val="none"/>
                <w:lang w:eastAsia="zh-CN"/>
              </w:rPr>
              <w:t>，投标文件的轻微瑕疵、非关键内容不得作为认定投标无效的依据</w:t>
            </w:r>
            <w:r>
              <w:rPr>
                <w:rFonts w:ascii="宋体" w:eastAsia="宋体" w:hAnsi="宋体" w:hint="eastAsia"/>
                <w:highlight w:val="none"/>
              </w:rPr>
              <w:t>）</w:t>
            </w:r>
            <w:r>
              <w:rPr>
                <w:rFonts w:hint="eastAsia"/>
                <w:highlight w:val="none"/>
              </w:rPr>
              <w:t>；</w:t>
            </w:r>
          </w:p>
        </w:tc>
      </w:tr>
      <w:tr>
        <w:tblPrEx>
          <w:tblW w:w="9072" w:type="dxa"/>
          <w:jc w:val="center"/>
          <w:tblLayout w:type="fixed"/>
          <w:tblCellMar>
            <w:top w:w="20" w:type="dxa"/>
            <w:left w:w="108" w:type="dxa"/>
            <w:bottom w:w="20" w:type="dxa"/>
            <w:right w:w="108" w:type="dxa"/>
          </w:tblCellMar>
        </w:tblPrEx>
        <w:trPr>
          <w:trHeight w:val="318"/>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color w:val="000000" w:themeColor="text1"/>
                <w:szCs w:val="21"/>
                <w:highlight w:val="none"/>
                <w14:textFill>
                  <w14:solidFill>
                    <w14:schemeClr w14:val="tx1"/>
                  </w14:solidFill>
                </w14:textFill>
              </w:rPr>
            </w:pPr>
            <w:r>
              <w:rPr>
                <w:color w:val="000000" w:themeColor="text1"/>
                <w:szCs w:val="21"/>
                <w:highlight w:val="none"/>
                <w14:textFill>
                  <w14:solidFill>
                    <w14:schemeClr w14:val="tx1"/>
                  </w14:solidFill>
                </w14:textFill>
              </w:rPr>
              <w:t>6</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未按招标文件所提供的样式填写《投标函》；</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eastAsia="宋体" w:hint="eastAsia"/>
                <w:color w:val="000000" w:themeColor="text1"/>
                <w:szCs w:val="21"/>
                <w:highlight w:val="none"/>
                <w:lang w:val="en-US" w:eastAsia="zh-CN"/>
                <w14:textFill>
                  <w14:solidFill>
                    <w14:schemeClr w14:val="tx1"/>
                  </w14:solidFill>
                </w14:textFill>
              </w:rPr>
            </w:pPr>
            <w:r>
              <w:rPr>
                <w:rFonts w:eastAsia="宋体" w:hint="eastAsia"/>
                <w:color w:val="000000" w:themeColor="text1"/>
                <w:szCs w:val="21"/>
                <w:highlight w:val="none"/>
                <w:lang w:val="en-US" w:eastAsia="zh-CN"/>
                <w14:textFill>
                  <w14:solidFill>
                    <w14:schemeClr w14:val="tx1"/>
                  </w14:solidFill>
                </w14:textFill>
              </w:rPr>
              <w:t>7</w:t>
            </w:r>
          </w:p>
        </w:tc>
        <w:tc>
          <w:tcPr>
            <w:tcW w:w="8278" w:type="dxa"/>
            <w:tcBorders>
              <w:top w:val="single" w:sz="8" w:space="0" w:color="000000"/>
              <w:left w:val="single" w:sz="8" w:space="0" w:color="000000"/>
              <w:bottom w:val="single" w:sz="8" w:space="0" w:color="000000"/>
              <w:right w:val="single" w:sz="8" w:space="0" w:color="000000"/>
            </w:tcBorders>
          </w:tcPr>
          <w:p>
            <w:pPr>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未按招标文件所提供的《政府采购投标及履约承诺函》进行承诺</w:t>
            </w:r>
            <w:r>
              <w:rPr>
                <w:rFonts w:hint="eastAsia"/>
                <w:color w:val="auto"/>
                <w:highlight w:val="none"/>
              </w:rPr>
              <w:t>或不符合承诺的</w:t>
            </w:r>
            <w:r>
              <w:rPr>
                <w:rFonts w:hint="eastAsia"/>
                <w:color w:val="000000" w:themeColor="text1"/>
                <w:highlight w:val="none"/>
                <w14:textFill>
                  <w14:solidFill>
                    <w14:schemeClr w14:val="tx1"/>
                  </w14:solidFill>
                </w14:textFill>
              </w:rPr>
              <w:t>；</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hint="eastAsia"/>
                <w:color w:val="000000" w:themeColor="text1"/>
                <w:szCs w:val="21"/>
                <w:highlight w:val="none"/>
                <w:lang w:eastAsia="zh-CN"/>
                <w14:textFill>
                  <w14:solidFill>
                    <w14:schemeClr w14:val="tx1"/>
                  </w14:solidFill>
                </w14:textFill>
              </w:rPr>
            </w:pPr>
            <w:r>
              <w:rPr>
                <w:rFonts w:eastAsia="宋体" w:hint="eastAsia"/>
                <w:color w:val="000000" w:themeColor="text1"/>
                <w:szCs w:val="21"/>
                <w:highlight w:val="none"/>
                <w:lang w:val="en-US" w:eastAsia="zh-CN"/>
                <w14:textFill>
                  <w14:solidFill>
                    <w14:schemeClr w14:val="tx1"/>
                  </w14:solidFill>
                </w14:textFill>
              </w:rPr>
              <w:t>8</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highlight w:val="none"/>
                <w14:textFill>
                  <w14:solidFill>
                    <w14:schemeClr w14:val="tx1"/>
                  </w14:solidFill>
                </w14:textFill>
              </w:rPr>
            </w:pPr>
            <w:r>
              <w:rPr>
                <w:rFonts w:ascii="宋体" w:eastAsia="宋体" w:hAnsi="宋体" w:hint="eastAsia"/>
                <w:highlight w:val="none"/>
                <w:lang w:eastAsia="zh-CN"/>
              </w:rPr>
              <w:t>投标文件对</w:t>
            </w:r>
            <w:r>
              <w:rPr>
                <w:rFonts w:ascii="宋体" w:eastAsia="宋体" w:hAnsi="宋体" w:cs="Times New Roman" w:hint="eastAsia"/>
                <w:kern w:val="0"/>
                <w:sz w:val="24"/>
                <w:szCs w:val="24"/>
                <w:highlight w:val="none"/>
                <w:lang w:val="en-US" w:eastAsia="zh-CN"/>
              </w:rPr>
              <w:t>采购标的响应不全（响应不全情形包括：</w:t>
            </w:r>
            <w:r>
              <w:rPr>
                <w:rFonts w:ascii="宋体" w:eastAsia="宋体" w:hAnsi="宋体" w:hint="eastAsia"/>
                <w:highlight w:val="none"/>
              </w:rPr>
              <w:t>投标报价有缺漏</w:t>
            </w:r>
            <w:r>
              <w:rPr>
                <w:rFonts w:ascii="宋体" w:eastAsia="宋体" w:hAnsi="宋体" w:hint="eastAsia"/>
                <w:highlight w:val="none"/>
                <w:lang w:eastAsia="zh-CN"/>
              </w:rPr>
              <w:t>项，</w:t>
            </w:r>
            <w:r>
              <w:rPr>
                <w:rFonts w:ascii="宋体" w:eastAsia="宋体" w:hAnsi="宋体" w:hint="eastAsia"/>
                <w:highlight w:val="none"/>
              </w:rPr>
              <w:t>对招标文件规定的项目需求内容或者需求数量进行修改</w:t>
            </w:r>
            <w:r>
              <w:rPr>
                <w:rFonts w:ascii="宋体" w:eastAsia="宋体" w:hAnsi="宋体" w:cs="Times New Roman" w:hint="eastAsia"/>
                <w:kern w:val="0"/>
                <w:sz w:val="24"/>
                <w:szCs w:val="24"/>
                <w:highlight w:val="none"/>
                <w:lang w:val="en-US" w:eastAsia="zh-CN"/>
              </w:rPr>
              <w:t>），</w:t>
            </w:r>
            <w:r>
              <w:rPr>
                <w:rFonts w:ascii="宋体" w:eastAsia="宋体" w:hAnsi="宋体" w:hint="eastAsia"/>
                <w:highlight w:val="none"/>
              </w:rPr>
              <w:t>由评审委员会根据《</w:t>
            </w:r>
            <w:r>
              <w:rPr>
                <w:rFonts w:ascii="宋体" w:eastAsia="宋体" w:hAnsi="宋体" w:hint="eastAsia"/>
                <w:b w:val="0"/>
                <w:highlight w:val="none"/>
                <w:lang w:eastAsia="zh-CN"/>
              </w:rPr>
              <w:t>项目详细报价</w:t>
            </w:r>
            <w:r>
              <w:rPr>
                <w:rFonts w:ascii="宋体" w:eastAsia="宋体" w:hAnsi="宋体" w:hint="eastAsia"/>
                <w:highlight w:val="none"/>
              </w:rPr>
              <w:t>》做出评判）</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top"/>
          </w:tcPr>
          <w:p>
            <w:pPr>
              <w:jc w:val="center"/>
              <w:textAlignment w:val="top"/>
              <w:rPr>
                <w:rFonts w:ascii="宋体" w:eastAsia="宋体" w:hAnsi="宋体" w:cs="宋体" w:hint="default"/>
                <w:color w:val="000000" w:themeColor="text1"/>
                <w:szCs w:val="21"/>
                <w:highlight w:val="none"/>
                <w:lang w:val="en-US" w:eastAsia="zh-CN"/>
                <w14:textFill>
                  <w14:solidFill>
                    <w14:schemeClr w14:val="tx1"/>
                  </w14:solidFill>
                </w14:textFill>
              </w:rPr>
            </w:pPr>
            <w:r>
              <w:rPr>
                <w:rFonts w:ascii="宋体" w:eastAsia="宋体" w:hAnsi="宋体" w:cs="宋体" w:hint="eastAsia"/>
                <w:szCs w:val="21"/>
                <w:highlight w:val="none"/>
                <w:lang w:val="en-US" w:eastAsia="zh-CN"/>
              </w:rPr>
              <w:t>9</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投标文件存在列放位置错误，导致属于信息公开情形的没有被公开；</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top"/>
          </w:tcPr>
          <w:p>
            <w:pPr>
              <w:jc w:val="center"/>
              <w:textAlignment w:val="top"/>
              <w:rPr>
                <w:rFonts w:ascii="宋体" w:eastAsia="宋体" w:hAnsi="宋体" w:cs="宋体" w:hint="default"/>
                <w:color w:val="000000" w:themeColor="text1"/>
                <w:szCs w:val="21"/>
                <w:highlight w:val="none"/>
                <w:lang w:val="en-US" w:eastAsia="zh-CN"/>
                <w14:textFill>
                  <w14:solidFill>
                    <w14:schemeClr w14:val="tx1"/>
                  </w14:solidFill>
                </w14:textFill>
              </w:rPr>
            </w:pPr>
            <w:r>
              <w:rPr>
                <w:rFonts w:ascii="宋体" w:eastAsia="宋体" w:hAnsi="宋体" w:cs="宋体" w:hint="eastAsia"/>
                <w:szCs w:val="21"/>
                <w:highlight w:val="none"/>
              </w:rPr>
              <w:t>1</w:t>
            </w:r>
            <w:r>
              <w:rPr>
                <w:rFonts w:ascii="宋体" w:eastAsia="宋体" w:hAnsi="宋体" w:cs="宋体" w:hint="eastAsia"/>
                <w:szCs w:val="21"/>
                <w:highlight w:val="none"/>
                <w:lang w:val="en-US" w:eastAsia="zh-CN"/>
              </w:rPr>
              <w:t>0</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投标文件电子文档带病毒；</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top"/>
          </w:tcPr>
          <w:p>
            <w:pPr>
              <w:jc w:val="center"/>
              <w:textAlignment w:val="top"/>
              <w:rPr>
                <w:rFonts w:ascii="宋体" w:eastAsia="宋体" w:hAnsi="宋体" w:cs="宋体" w:hint="eastAsia"/>
                <w:color w:val="000000" w:themeColor="text1"/>
                <w:szCs w:val="21"/>
                <w:highlight w:val="none"/>
                <w:lang w:eastAsia="zh-CN"/>
                <w14:textFill>
                  <w14:solidFill>
                    <w14:schemeClr w14:val="tx1"/>
                  </w14:solidFill>
                </w14:textFill>
              </w:rPr>
            </w:pPr>
            <w:r>
              <w:rPr>
                <w:rFonts w:ascii="宋体" w:eastAsia="宋体" w:hAnsi="宋体" w:cs="宋体" w:hint="eastAsia"/>
                <w:szCs w:val="21"/>
                <w:highlight w:val="none"/>
              </w:rPr>
              <w:t>1</w:t>
            </w:r>
            <w:r>
              <w:rPr>
                <w:rFonts w:ascii="宋体" w:eastAsia="宋体" w:hAnsi="宋体" w:cs="宋体" w:hint="eastAsia"/>
                <w:szCs w:val="21"/>
                <w:highlight w:val="none"/>
                <w:lang w:val="en-US" w:eastAsia="zh-CN"/>
              </w:rPr>
              <w:t>1</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投标文件用不属于本公司的电子密钥进行加密的；</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top"/>
          </w:tcPr>
          <w:p>
            <w:pPr>
              <w:jc w:val="center"/>
              <w:rPr>
                <w:rFonts w:eastAsia="宋体" w:hint="default"/>
                <w:color w:val="000000" w:themeColor="text1"/>
                <w:szCs w:val="21"/>
                <w:highlight w:val="none"/>
                <w:lang w:val="en-US" w:eastAsia="zh-CN"/>
                <w14:textFill>
                  <w14:solidFill>
                    <w14:schemeClr w14:val="tx1"/>
                  </w14:solidFill>
                </w14:textFill>
              </w:rPr>
            </w:pPr>
            <w:r>
              <w:rPr>
                <w:rFonts w:eastAsia="宋体" w:hint="eastAsia"/>
                <w:color w:val="000000" w:themeColor="text1"/>
                <w:szCs w:val="21"/>
                <w:highlight w:val="none"/>
                <w:lang w:val="en-US" w:eastAsia="zh-CN"/>
                <w14:textFill>
                  <w14:solidFill>
                    <w14:schemeClr w14:val="tx1"/>
                  </w14:solidFill>
                </w14:textFill>
              </w:rPr>
              <w:t>12</w:t>
            </w:r>
          </w:p>
        </w:tc>
        <w:tc>
          <w:tcPr>
            <w:tcW w:w="8278" w:type="dxa"/>
            <w:tcBorders>
              <w:top w:val="single" w:sz="8" w:space="0" w:color="000000"/>
              <w:left w:val="single" w:sz="8" w:space="0" w:color="000000"/>
              <w:bottom w:val="single" w:sz="8" w:space="0" w:color="000000"/>
              <w:right w:val="single" w:sz="8" w:space="0" w:color="000000"/>
            </w:tcBorders>
          </w:tcPr>
          <w:p>
            <w:pPr>
              <w:rPr>
                <w:rFonts w:hint="eastAsia"/>
                <w:color w:val="000000" w:themeColor="text1"/>
                <w:highlight w:val="none"/>
                <w14:textFill>
                  <w14:solidFill>
                    <w14:schemeClr w14:val="tx1"/>
                  </w14:solidFill>
                </w14:textFill>
              </w:rPr>
            </w:pPr>
            <w:r>
              <w:rPr>
                <w:highlight w:val="none"/>
              </w:rPr>
              <w:t>不同投标供应商投标文件“文件制作机器码”</w:t>
            </w:r>
            <w:r>
              <w:rPr>
                <w:rFonts w:eastAsia="宋体" w:hint="eastAsia"/>
                <w:highlight w:val="none"/>
                <w:lang w:val="en-US" w:eastAsia="zh-CN"/>
              </w:rPr>
              <w:t>或</w:t>
            </w:r>
            <w:r>
              <w:rPr>
                <w:highlight w:val="none"/>
              </w:rPr>
              <w:t>“文件创建标</w:t>
            </w:r>
            <w:r>
              <w:rPr>
                <w:rFonts w:hint="eastAsia"/>
                <w:highlight w:val="none"/>
              </w:rPr>
              <w:t>识码”一致</w:t>
            </w:r>
            <w:r>
              <w:rPr>
                <w:rFonts w:hint="eastAsia"/>
                <w:highlight w:val="none"/>
                <w:lang w:eastAsia="zh-CN"/>
              </w:rPr>
              <w:t>的</w:t>
            </w:r>
            <w:r>
              <w:rPr>
                <w:rFonts w:hint="eastAsia"/>
                <w:color w:val="000000" w:themeColor="text1"/>
                <w:highlight w:val="none"/>
                <w14:textFill>
                  <w14:solidFill>
                    <w14:schemeClr w14:val="tx1"/>
                  </w14:solidFill>
                </w14:textFill>
              </w:rPr>
              <w:t>；</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top"/>
          </w:tcPr>
          <w:p>
            <w:pPr>
              <w:jc w:val="center"/>
              <w:textAlignment w:val="top"/>
              <w:rPr>
                <w:rFonts w:ascii="宋体" w:eastAsia="宋体" w:hAnsi="宋体" w:cs="宋体" w:hint="eastAsia"/>
                <w:color w:val="000000" w:themeColor="text1"/>
                <w:szCs w:val="21"/>
                <w:highlight w:val="none"/>
                <w:lang w:val="en-US" w:eastAsia="zh-CN"/>
                <w14:textFill>
                  <w14:solidFill>
                    <w14:schemeClr w14:val="tx1"/>
                  </w14:solidFill>
                </w14:textFill>
              </w:rPr>
            </w:pPr>
            <w:r>
              <w:rPr>
                <w:rFonts w:ascii="宋体" w:eastAsia="宋体" w:hAnsi="宋体" w:cs="宋体" w:hint="eastAsia"/>
                <w:szCs w:val="21"/>
                <w:highlight w:val="none"/>
                <w:lang w:val="en-US" w:eastAsia="zh-CN"/>
              </w:rPr>
              <w:t>13</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法律、法规、规章、规范性文件规定的其他情形。</w:t>
            </w:r>
          </w:p>
        </w:tc>
      </w:tr>
    </w:tbl>
    <w:p>
      <w:pPr>
        <w:pStyle w:val="NormalWeb"/>
        <w:spacing w:before="280" w:beforeAutospacing="0" w:afterAutospacing="1"/>
        <w:jc w:val="center"/>
        <w:outlineLvl w:val="1"/>
        <w:rPr>
          <w:rFonts w:ascii="宋体" w:eastAsia="宋体" w:hAnsi="宋体" w:cs="黑体" w:hint="eastAsia"/>
          <w:sz w:val="40"/>
          <w:szCs w:val="40"/>
          <w:highlight w:val="none"/>
          <w:lang w:val="en-US" w:eastAsia="zh-CN" w:bidi="ar-SA"/>
        </w:rPr>
      </w:pPr>
      <w:r>
        <w:rPr>
          <w:rFonts w:ascii="宋体" w:eastAsia="宋体" w:hAnsi="宋体" w:cs="黑体" w:hint="eastAsia"/>
          <w:sz w:val="40"/>
          <w:szCs w:val="40"/>
          <w:highlight w:val="none"/>
          <w:lang w:val="en-US" w:eastAsia="zh-CN" w:bidi="ar-SA"/>
        </w:rPr>
        <w:t>评标信息</w:t>
      </w:r>
    </w:p>
    <w:tbl>
      <w:tblPr>
        <w:tblStyle w:val="TableNormal"/>
        <w:tblW w:w="9072" w:type="dxa"/>
        <w:jc w:val="center"/>
        <w:tblCellSpacing w:w="0" w:type="dxa"/>
        <w:tblCellMar>
          <w:top w:w="45" w:type="dxa"/>
          <w:left w:w="45" w:type="dxa"/>
          <w:bottom w:w="45" w:type="dxa"/>
          <w:right w:w="45" w:type="dxa"/>
        </w:tblCellMar>
      </w:tblPr>
      <w:tblGrid>
        <w:gridCol w:w="8867"/>
        <w:gridCol w:w="205"/>
      </w:tblGrid>
      <w:tr>
        <w:tblPrEx>
          <w:tblW w:w="9072" w:type="dxa"/>
          <w:jc w:val="center"/>
          <w:tblCellSpacing w:w="0" w:type="dxa"/>
          <w:tblCellMar>
            <w:top w:w="45" w:type="dxa"/>
            <w:left w:w="45" w:type="dxa"/>
            <w:bottom w:w="45" w:type="dxa"/>
            <w:right w:w="45" w:type="dxa"/>
          </w:tblCellMar>
        </w:tblPrEx>
        <w:trPr>
          <w:tblCellSpacing w:w="0" w:type="dxa"/>
          <w:jc w:val="center"/>
        </w:trPr>
        <w:tc>
          <w:tcPr>
            <w:tcW w:w="8867" w:type="dxa"/>
            <w:tcBorders>
              <w:top w:val="nil"/>
              <w:left w:val="nil"/>
              <w:bottom w:val="nil"/>
              <w:right w:val="nil"/>
            </w:tcBorders>
            <w:vAlign w:val="center"/>
          </w:tcPr>
          <w:p>
            <w:pPr>
              <w:keepNext w:val="0"/>
              <w:pageBreakBefore w:val="0"/>
              <w:kinsoku/>
              <w:overflowPunct/>
              <w:topLinePunct w:val="0"/>
              <w:autoSpaceDE/>
              <w:autoSpaceDN/>
              <w:bidi w:val="0"/>
              <w:adjustRightInd/>
              <w:snapToGrid/>
              <w:spacing w:line="240" w:lineRule="auto"/>
              <w:textAlignment w:val="auto"/>
              <w:rPr>
                <w:rFonts w:ascii="宋体" w:eastAsia="宋体" w:hAnsi="宋体" w:cs="宋体" w:hint="eastAsia"/>
                <w:b/>
                <w:bCs/>
                <w:color w:val="000000" w:themeColor="text1"/>
                <w:sz w:val="24"/>
                <w:szCs w:val="24"/>
                <w:highlight w:val="none"/>
                <w14:textFill>
                  <w14:solidFill>
                    <w14:schemeClr w14:val="tx1"/>
                  </w14:solidFill>
                </w14:textFill>
              </w:rPr>
            </w:pPr>
            <w:r>
              <w:rPr>
                <w:rFonts w:ascii="宋体" w:eastAsia="宋体" w:hAnsi="宋体" w:hint="eastAsia"/>
                <w:b/>
                <w:bCs/>
                <w:highlight w:val="none"/>
                <w:lang w:val="en-US" w:eastAsia="zh-CN" w:bidi="ar-SA"/>
              </w:rPr>
              <w:t>评标方法：最低价法/综合评分法（新价格分算法）</w:t>
            </w:r>
          </w:p>
        </w:tc>
        <w:tc>
          <w:tcPr>
            <w:tcW w:w="205" w:type="dxa"/>
            <w:tcBorders>
              <w:top w:val="nil"/>
              <w:left w:val="nil"/>
              <w:bottom w:val="nil"/>
              <w:right w:val="nil"/>
            </w:tcBorders>
            <w:vAlign w:val="center"/>
          </w:tcPr>
          <w:p>
            <w:pPr>
              <w:keepNext w:val="0"/>
              <w:pageBreakBefore w:val="0"/>
              <w:kinsoku/>
              <w:overflowPunct/>
              <w:topLinePunct w:val="0"/>
              <w:autoSpaceDE/>
              <w:autoSpaceDN/>
              <w:bidi w:val="0"/>
              <w:adjustRightInd/>
              <w:snapToGrid/>
              <w:spacing w:line="240" w:lineRule="auto"/>
              <w:jc w:val="right"/>
              <w:textAlignment w:val="auto"/>
              <w:rPr>
                <w:rFonts w:ascii="宋体" w:eastAsia="宋体" w:hAnsi="宋体" w:cs="宋体" w:hint="eastAsia"/>
                <w:b/>
                <w:bCs/>
                <w:color w:val="000000" w:themeColor="text1"/>
                <w:sz w:val="24"/>
                <w:szCs w:val="24"/>
                <w:highlight w:val="none"/>
                <w14:textFill>
                  <w14:solidFill>
                    <w14:schemeClr w14:val="tx1"/>
                  </w14:solidFill>
                </w14:textFill>
              </w:rPr>
            </w:pPr>
          </w:p>
        </w:tc>
      </w:tr>
      <w:tr>
        <w:tblPrEx>
          <w:tblW w:w="9072" w:type="dxa"/>
          <w:jc w:val="center"/>
          <w:tblCellSpacing w:w="0" w:type="dxa"/>
          <w:tblCellMar>
            <w:top w:w="45" w:type="dxa"/>
            <w:left w:w="45" w:type="dxa"/>
            <w:bottom w:w="45" w:type="dxa"/>
            <w:right w:w="45" w:type="dxa"/>
          </w:tblCellMar>
        </w:tblPrEx>
        <w:trPr>
          <w:tblCellSpacing w:w="0" w:type="dxa"/>
          <w:jc w:val="center"/>
        </w:trPr>
        <w:tc>
          <w:tcPr>
            <w:tcW w:w="9072" w:type="dxa"/>
            <w:gridSpan w:val="2"/>
            <w:tcBorders>
              <w:top w:val="nil"/>
              <w:left w:val="nil"/>
              <w:bottom w:val="nil"/>
              <w:right w:val="nil"/>
            </w:tcBorders>
            <w:vAlign w:val="center"/>
          </w:tcPr>
          <w:p>
            <w:pPr>
              <w:spacing w:line="324" w:lineRule="auto"/>
              <w:ind w:firstLine="420"/>
              <w:rPr>
                <w:rFonts w:ascii="宋体" w:eastAsia="宋体" w:hAnsi="宋体" w:hint="eastAsia"/>
                <w:szCs w:val="21"/>
                <w:highlight w:val="none"/>
                <w:lang w:val="en-US" w:eastAsia="zh-CN" w:bidi="ar-SA"/>
              </w:rPr>
            </w:pPr>
            <w:r>
              <w:rPr>
                <w:rFonts w:ascii="宋体" w:eastAsia="宋体" w:hAnsi="宋体" w:hint="eastAsia"/>
                <w:szCs w:val="21"/>
                <w:highlight w:val="none"/>
                <w:lang w:val="en-US" w:eastAsia="zh-CN" w:bidi="ar-SA"/>
              </w:rPr>
              <w:t xml:space="preserve">综合评分法，是指投标文件满足招标文件全部实质性要求，且按照评审因素的量化指标评审得分最高的投标人为中标候选人的评标方法。 </w:t>
            </w:r>
          </w:p>
          <w:p>
            <w:pPr>
              <w:spacing w:line="324" w:lineRule="auto"/>
              <w:ind w:firstLine="420"/>
              <w:rPr>
                <w:rFonts w:ascii="宋体" w:eastAsia="宋体" w:hAnsi="宋体" w:hint="eastAsia"/>
                <w:szCs w:val="21"/>
                <w:highlight w:val="none"/>
                <w:lang w:val="en-US" w:eastAsia="zh-CN" w:bidi="ar-SA"/>
              </w:rPr>
            </w:pPr>
            <w:r>
              <w:rPr>
                <w:rFonts w:ascii="宋体" w:eastAsia="宋体" w:hAnsi="宋体" w:hint="eastAsia"/>
                <w:szCs w:val="21"/>
                <w:highlight w:val="none"/>
                <w:lang w:val="en-US" w:eastAsia="zh-CN" w:bidi="ar-SA"/>
              </w:rPr>
              <w:t>价格分计算方法：</w:t>
            </w:r>
          </w:p>
          <w:p>
            <w:pPr>
              <w:spacing w:line="324" w:lineRule="auto"/>
              <w:ind w:firstLine="420"/>
              <w:rPr>
                <w:rFonts w:ascii="宋体" w:eastAsia="宋体" w:hAnsi="宋体" w:hint="eastAsia"/>
                <w:szCs w:val="21"/>
                <w:highlight w:val="none"/>
                <w:lang w:val="en-US" w:eastAsia="zh-CN" w:bidi="ar-SA"/>
              </w:rPr>
            </w:pPr>
            <w:r>
              <w:rPr>
                <w:rFonts w:ascii="宋体" w:eastAsia="宋体" w:hAnsi="宋体" w:hint="eastAsia"/>
                <w:szCs w:val="21"/>
                <w:highlight w:val="none"/>
                <w:lang w:val="en-US" w:eastAsia="zh-CN" w:bidi="ar-SA"/>
              </w:rPr>
              <w:t xml:space="preserve">采用低价优先法计算，即满足招标文件要求且投标价格最低的投标报价为评标基准价，其价格分为满分。其他投标人的价格分统一按照下列公式计算： </w:t>
            </w:r>
          </w:p>
          <w:p>
            <w:pPr>
              <w:spacing w:line="324" w:lineRule="auto"/>
              <w:ind w:firstLine="420"/>
              <w:rPr>
                <w:rFonts w:ascii="宋体" w:eastAsia="宋体" w:hAnsi="宋体" w:hint="eastAsia"/>
                <w:szCs w:val="21"/>
                <w:highlight w:val="none"/>
                <w:lang w:val="en-US" w:eastAsia="zh-CN" w:bidi="ar-SA"/>
              </w:rPr>
            </w:pPr>
            <w:r>
              <w:rPr>
                <w:rFonts w:ascii="宋体" w:eastAsia="宋体" w:hAnsi="宋体" w:hint="eastAsia"/>
                <w:szCs w:val="21"/>
                <w:highlight w:val="none"/>
                <w:lang w:val="en-US" w:eastAsia="zh-CN" w:bidi="ar-SA"/>
              </w:rPr>
              <w:t xml:space="preserve">投标报价得分=(评标基准价／投标报价)×100 </w:t>
            </w:r>
          </w:p>
          <w:p>
            <w:pPr>
              <w:spacing w:line="324" w:lineRule="auto"/>
              <w:ind w:firstLine="420"/>
              <w:rPr>
                <w:rFonts w:ascii="宋体" w:eastAsia="宋体" w:hAnsi="宋体" w:hint="eastAsia"/>
                <w:szCs w:val="21"/>
                <w:highlight w:val="none"/>
                <w:lang w:val="en-US" w:eastAsia="zh-CN" w:bidi="ar-SA"/>
              </w:rPr>
            </w:pPr>
            <w:r>
              <w:rPr>
                <w:rFonts w:ascii="宋体" w:eastAsia="宋体" w:hAnsi="宋体" w:hint="eastAsia"/>
                <w:szCs w:val="21"/>
                <w:highlight w:val="none"/>
                <w:lang w:val="en-US" w:eastAsia="zh-CN" w:bidi="ar-SA"/>
              </w:rPr>
              <w:t xml:space="preserve">评标总得分＝F1×A1＋F2×A2＋……＋Fn×An </w:t>
            </w:r>
          </w:p>
          <w:p>
            <w:pPr>
              <w:spacing w:line="324" w:lineRule="auto"/>
              <w:ind w:firstLine="420"/>
              <w:rPr>
                <w:rFonts w:ascii="宋体" w:eastAsia="宋体" w:hAnsi="宋体" w:hint="eastAsia"/>
                <w:szCs w:val="21"/>
                <w:highlight w:val="none"/>
                <w:lang w:val="en-US" w:eastAsia="zh-CN" w:bidi="ar-SA"/>
              </w:rPr>
            </w:pPr>
            <w:r>
              <w:rPr>
                <w:rFonts w:ascii="宋体" w:eastAsia="宋体" w:hAnsi="宋体" w:hint="eastAsia"/>
                <w:szCs w:val="21"/>
                <w:highlight w:val="none"/>
                <w:lang w:val="en-US" w:eastAsia="zh-CN" w:bidi="ar-SA"/>
              </w:rPr>
              <w:t xml:space="preserve">F1、F2……Fn分别为各项评审因素的得分； </w:t>
            </w:r>
          </w:p>
          <w:p>
            <w:pPr>
              <w:spacing w:line="324" w:lineRule="auto"/>
              <w:ind w:firstLine="420"/>
              <w:rPr>
                <w:rFonts w:ascii="宋体" w:eastAsia="宋体" w:hAnsi="宋体" w:hint="eastAsia"/>
                <w:szCs w:val="21"/>
                <w:highlight w:val="none"/>
                <w:lang w:val="en-US" w:eastAsia="zh-CN" w:bidi="ar-SA"/>
              </w:rPr>
            </w:pPr>
            <w:r>
              <w:rPr>
                <w:rFonts w:ascii="宋体" w:eastAsia="宋体" w:hAnsi="宋体" w:hint="eastAsia"/>
                <w:szCs w:val="21"/>
                <w:highlight w:val="none"/>
                <w:lang w:val="en-US" w:eastAsia="zh-CN" w:bidi="ar-SA"/>
              </w:rPr>
              <w:t xml:space="preserve">A1、A2、……An 分别为各项评审因素所占的权重(A1＋A2＋……＋An＝1)。 </w:t>
            </w:r>
          </w:p>
          <w:p>
            <w:pPr>
              <w:spacing w:line="324" w:lineRule="auto"/>
              <w:ind w:firstLine="420"/>
              <w:rPr>
                <w:rFonts w:ascii="宋体" w:eastAsia="宋体" w:hAnsi="宋体" w:hint="eastAsia"/>
                <w:szCs w:val="21"/>
                <w:highlight w:val="none"/>
                <w:lang w:val="en-US" w:eastAsia="zh-CN" w:bidi="ar-SA"/>
              </w:rPr>
            </w:pPr>
            <w:r>
              <w:rPr>
                <w:rFonts w:ascii="宋体" w:eastAsia="宋体" w:hAnsi="宋体" w:hint="eastAsia"/>
                <w:szCs w:val="21"/>
                <w:highlight w:val="none"/>
                <w:lang w:val="en-US" w:eastAsia="zh-CN" w:bidi="ar-SA"/>
              </w:rPr>
              <w:t xml:space="preserve">评标过程中，不得去掉报价中的最高报价和最低报价。 </w:t>
            </w:r>
          </w:p>
          <w:p>
            <w:pPr>
              <w:spacing w:line="324" w:lineRule="auto"/>
              <w:ind w:firstLine="420"/>
              <w:rPr>
                <w:rFonts w:ascii="宋体" w:eastAsia="宋体" w:hAnsi="宋体" w:cs="宋体" w:hint="eastAsia"/>
                <w:color w:val="000000" w:themeColor="text1"/>
                <w:sz w:val="24"/>
                <w:szCs w:val="24"/>
                <w:highlight w:val="none"/>
                <w14:textFill>
                  <w14:solidFill>
                    <w14:schemeClr w14:val="tx1"/>
                  </w14:solidFill>
                </w14:textFill>
              </w:rPr>
            </w:pPr>
            <w:r>
              <w:rPr>
                <w:rFonts w:ascii="宋体" w:eastAsia="宋体" w:hAnsi="宋体" w:hint="eastAsia"/>
                <w:szCs w:val="21"/>
                <w:highlight w:val="none"/>
                <w:lang w:val="en-US" w:eastAsia="zh-CN" w:bidi="ar-SA"/>
              </w:rPr>
              <w:t xml:space="preserve">此方法适用于货物类、服务类、工程类项目。 </w:t>
            </w:r>
          </w:p>
        </w:tc>
      </w:tr>
      <w:tr>
        <w:tblPrEx>
          <w:tblW w:w="9072" w:type="dxa"/>
          <w:jc w:val="center"/>
          <w:tblCellSpacing w:w="0" w:type="dxa"/>
          <w:tblCellMar>
            <w:top w:w="45" w:type="dxa"/>
            <w:left w:w="45" w:type="dxa"/>
            <w:bottom w:w="45" w:type="dxa"/>
            <w:right w:w="45" w:type="dxa"/>
          </w:tblCellMar>
        </w:tblPrEx>
        <w:trPr>
          <w:tblCellSpacing w:w="0" w:type="dxa"/>
          <w:jc w:val="center"/>
        </w:trPr>
        <w:tc>
          <w:tcPr>
            <w:tcW w:w="9072" w:type="dxa"/>
            <w:gridSpan w:val="2"/>
            <w:tcBorders>
              <w:top w:val="nil"/>
              <w:left w:val="nil"/>
              <w:bottom w:val="nil"/>
              <w:right w:val="nil"/>
            </w:tcBorders>
            <w:vAlign w:val="center"/>
          </w:tcPr>
          <w:tbl>
            <w:tblPr>
              <w:tblStyle w:val="TableNormal"/>
              <w:tblpPr w:leftFromText="180" w:rightFromText="180" w:vertAnchor="text" w:horzAnchor="page" w:tblpXSpec="center" w:tblpY="155"/>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523"/>
              <w:gridCol w:w="523"/>
              <w:gridCol w:w="2633"/>
              <w:gridCol w:w="523"/>
              <w:gridCol w:w="4770"/>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FFFFFF"/>
                  <w:noWrap w:val="0"/>
                  <w:vAlign w:val="top"/>
                </w:tcPr>
                <w:p>
                  <w:pPr>
                    <w:pStyle w:val="NormalWeb"/>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序号</w:t>
                  </w:r>
                </w:p>
              </w:tc>
              <w:tc>
                <w:tcPr>
                  <w:tcW w:w="0" w:type="auto"/>
                  <w:gridSpan w:val="3"/>
                  <w:tcBorders>
                    <w:top w:val="single" w:sz="4" w:space="0" w:color="auto"/>
                    <w:left w:val="single" w:sz="4" w:space="0" w:color="auto"/>
                    <w:bottom w:val="single" w:sz="4" w:space="0" w:color="auto"/>
                    <w:right w:val="single" w:sz="4" w:space="0" w:color="auto"/>
                  </w:tcBorders>
                  <w:shd w:val="clear" w:color="auto" w:fill="FFFFFF"/>
                  <w:noWrap w:val="0"/>
                  <w:vAlign w:val="top"/>
                </w:tcPr>
                <w:p>
                  <w:pPr>
                    <w:pStyle w:val="NormalWeb"/>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评分项</w:t>
                  </w:r>
                </w:p>
              </w:tc>
              <w:tc>
                <w:tcPr>
                  <w:tcW w:w="4771" w:type="dxa"/>
                  <w:tcBorders>
                    <w:top w:val="single" w:sz="4" w:space="0" w:color="auto"/>
                    <w:left w:val="single" w:sz="4" w:space="0" w:color="auto"/>
                    <w:bottom w:val="single" w:sz="4" w:space="0" w:color="auto"/>
                    <w:right w:val="single" w:sz="4" w:space="0" w:color="auto"/>
                  </w:tcBorders>
                  <w:shd w:val="clear" w:color="auto" w:fill="FFFFFF"/>
                  <w:noWrap w:val="0"/>
                  <w:vAlign w:val="top"/>
                </w:tcPr>
                <w:p>
                  <w:pPr>
                    <w:pStyle w:val="NormalWeb"/>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权重</w:t>
                  </w:r>
                </w:p>
              </w:tc>
            </w:tr>
            <w:tr>
              <w:tblPrEx>
                <w:tblW w:w="0" w:type="auto"/>
                <w:jc w:val="center"/>
                <w:tblCellMar>
                  <w:top w:w="0" w:type="dxa"/>
                  <w:left w:w="108" w:type="dxa"/>
                  <w:bottom w:w="0" w:type="dxa"/>
                  <w:right w:w="108" w:type="dxa"/>
                </w:tblCellMar>
              </w:tblPrEx>
              <w:trPr>
                <w:trHeight w:val="287"/>
                <w:jc w:val="center"/>
              </w:trPr>
              <w:tc>
                <w:tcPr>
                  <w:tcW w:w="0" w:type="auto"/>
                  <w:tcBorders>
                    <w:top w:val="single" w:sz="4" w:space="0" w:color="auto"/>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一</w:t>
                  </w:r>
                </w:p>
              </w:tc>
              <w:tc>
                <w:tcPr>
                  <w:tcW w:w="0" w:type="auto"/>
                  <w:gridSpan w:val="3"/>
                  <w:tcBorders>
                    <w:top w:val="single" w:sz="4" w:space="0" w:color="auto"/>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价格</w:t>
                  </w:r>
                </w:p>
              </w:tc>
              <w:tc>
                <w:tcPr>
                  <w:tcW w:w="4771" w:type="dxa"/>
                  <w:tcBorders>
                    <w:top w:val="single" w:sz="4" w:space="0" w:color="auto"/>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lang w:val="en-US" w:eastAsia="zh-CN"/>
                    </w:rPr>
                  </w:pPr>
                  <w:r>
                    <w:rPr>
                      <w:rFonts w:ascii="宋体" w:eastAsia="宋体" w:hAnsi="宋体" w:cs="宋体" w:hint="eastAsia"/>
                      <w:color w:val="auto"/>
                      <w:sz w:val="24"/>
                      <w:szCs w:val="24"/>
                      <w:highlight w:val="none"/>
                      <w:lang w:val="en-US" w:eastAsia="zh-CN"/>
                    </w:rPr>
                    <w:t>20</w:t>
                  </w:r>
                </w:p>
              </w:tc>
            </w:tr>
            <w:tr>
              <w:tblPrEx>
                <w:tblW w:w="0" w:type="auto"/>
                <w:jc w:val="center"/>
                <w:tblCellMar>
                  <w:top w:w="0" w:type="dxa"/>
                  <w:left w:w="108" w:type="dxa"/>
                  <w:bottom w:w="0" w:type="dxa"/>
                  <w:right w:w="108" w:type="dxa"/>
                </w:tblCellMar>
              </w:tblPrEx>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二</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技术部分</w:t>
                  </w:r>
                </w:p>
              </w:tc>
              <w:tc>
                <w:tcPr>
                  <w:tcW w:w="4771" w:type="dxa"/>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lang w:val="en-US" w:eastAsia="zh-CN"/>
                    </w:rPr>
                    <w:t>40</w:t>
                  </w:r>
                </w:p>
              </w:tc>
            </w:tr>
            <w:tr>
              <w:tblPrEx>
                <w:tblW w:w="0" w:type="auto"/>
                <w:jc w:val="center"/>
                <w:tblCellMar>
                  <w:top w:w="0" w:type="dxa"/>
                  <w:left w:w="108" w:type="dxa"/>
                  <w:bottom w:w="0" w:type="dxa"/>
                  <w:right w:w="108" w:type="dxa"/>
                </w:tblCellMar>
              </w:tblPrEx>
              <w:trPr>
                <w:trHeight w:val="63"/>
                <w:jc w:val="cent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序号</w:t>
                  </w: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评分因素</w:t>
                  </w: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权重</w:t>
                  </w:r>
                </w:p>
              </w:tc>
              <w:tc>
                <w:tcPr>
                  <w:tcW w:w="4771" w:type="dxa"/>
                  <w:tcBorders>
                    <w:top w:val="single" w:sz="4" w:space="0" w:color="000000"/>
                    <w:left w:val="single" w:sz="4" w:space="0" w:color="000000"/>
                    <w:bottom w:val="single" w:sz="4" w:space="0" w:color="000000"/>
                    <w:right w:val="single" w:sz="4" w:space="0" w:color="000000"/>
                  </w:tcBorders>
                  <w:shd w:val="clear" w:color="auto"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评分准则</w:t>
                  </w:r>
                </w:p>
              </w:tc>
            </w:tr>
            <w:tr>
              <w:tblPrEx>
                <w:tblW w:w="0" w:type="auto"/>
                <w:jc w:val="center"/>
                <w:tblCellMar>
                  <w:top w:w="0" w:type="dxa"/>
                  <w:left w:w="108" w:type="dxa"/>
                  <w:bottom w:w="0" w:type="dxa"/>
                  <w:right w:w="108" w:type="dxa"/>
                </w:tblCellMar>
              </w:tblPrEx>
              <w:trPr>
                <w:trHeight w:val="63"/>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left"/>
                    <w:textAlignment w:val="auto"/>
                    <w:rPr>
                      <w:rFonts w:ascii="宋体" w:eastAsia="宋体" w:hAnsi="宋体" w:cs="宋体" w:hint="eastAsia"/>
                      <w:color w:val="auto"/>
                      <w:sz w:val="24"/>
                      <w:szCs w:val="24"/>
                      <w:highlight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w:t>
                  </w: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 xml:space="preserve">实施方案 </w:t>
                  </w: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12</w:t>
                  </w:r>
                </w:p>
              </w:tc>
              <w:tc>
                <w:tcPr>
                  <w:tcW w:w="4771" w:type="dxa"/>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left"/>
                    <w:textAlignment w:val="auto"/>
                    <w:rPr>
                      <w:rFonts w:ascii="宋体" w:eastAsia="宋体" w:hAnsi="宋体" w:cs="宋体" w:hint="eastAsia"/>
                      <w:b/>
                      <w:color w:val="auto"/>
                      <w:sz w:val="24"/>
                      <w:szCs w:val="24"/>
                      <w:highlight w:val="none"/>
                    </w:rPr>
                  </w:pPr>
                  <w:r>
                    <w:rPr>
                      <w:rFonts w:ascii="宋体" w:eastAsia="宋体" w:hAnsi="宋体" w:cs="宋体" w:hint="eastAsia"/>
                      <w:b/>
                      <w:color w:val="auto"/>
                      <w:sz w:val="24"/>
                      <w:szCs w:val="24"/>
                      <w:highlight w:val="none"/>
                    </w:rPr>
                    <w:t>（一）评分内容：</w:t>
                  </w:r>
                </w:p>
                <w:p>
                  <w:pPr>
                    <w:keepNext w:val="0"/>
                    <w:keepLines w:val="0"/>
                    <w:pageBreakBefore w:val="0"/>
                    <w:widowControl/>
                    <w:kinsoku/>
                    <w:wordWrap/>
                    <w:overflowPunct/>
                    <w:topLinePunct w:val="0"/>
                    <w:autoSpaceDE/>
                    <w:autoSpaceDN/>
                    <w:bidi w:val="0"/>
                    <w:adjustRightInd/>
                    <w:snapToGrid/>
                    <w:spacing w:line="240" w:lineRule="auto"/>
                    <w:ind w:left="0" w:firstLine="0" w:left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根据投标人编制的运营项目实施方案进行评审：</w:t>
                  </w:r>
                </w:p>
                <w:p>
                  <w:pPr>
                    <w:keepNext w:val="0"/>
                    <w:keepLines w:val="0"/>
                    <w:pageBreakBefore w:val="0"/>
                    <w:widowControl/>
                    <w:kinsoku/>
                    <w:wordWrap/>
                    <w:overflowPunct/>
                    <w:topLinePunct w:val="0"/>
                    <w:autoSpaceDE/>
                    <w:autoSpaceDN/>
                    <w:bidi w:val="0"/>
                    <w:adjustRightInd/>
                    <w:snapToGrid/>
                    <w:spacing w:line="240" w:lineRule="auto"/>
                    <w:ind w:left="0" w:firstLine="0" w:left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1.阐述盐坝高速坝光收费站的运营特点实施方案（包括但不限于：收费、发卡、稽查、监控、清点、联网）；</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2.阐述盐坝高速坝光收费站的运营特点保障措施（包括但不限于：收费、发卡、稽查、监控、清点、联网）。</w:t>
                  </w:r>
                </w:p>
                <w:p>
                  <w:pPr>
                    <w:pStyle w:val="BodyText"/>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bCs w:val="0"/>
                      <w:color w:val="auto"/>
                      <w:sz w:val="24"/>
                      <w:szCs w:val="24"/>
                      <w:highlight w:val="none"/>
                      <w:lang w:val="en-US" w:eastAsia="zh-CN"/>
                    </w:rPr>
                  </w:pPr>
                  <w:r>
                    <w:rPr>
                      <w:rFonts w:ascii="宋体" w:eastAsia="宋体" w:hAnsi="宋体" w:cs="宋体" w:hint="eastAsia"/>
                      <w:bCs w:val="0"/>
                      <w:color w:val="auto"/>
                      <w:sz w:val="24"/>
                      <w:szCs w:val="24"/>
                      <w:highlight w:val="none"/>
                      <w:lang w:val="en-US" w:eastAsia="zh-CN"/>
                    </w:rPr>
                    <w:t>（二）评分依据：</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 xml:space="preserve">1.投标人提供的《实施方案》满足上述2项考察内容的，得50%分，每缺少1项扣25%分。 </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2.</w:t>
                  </w:r>
                  <w:r>
                    <w:rPr>
                      <w:rFonts w:ascii="宋体" w:eastAsia="宋体" w:hAnsi="宋体" w:cs="宋体" w:hint="eastAsia"/>
                      <w:color w:val="auto"/>
                      <w:sz w:val="24"/>
                      <w:szCs w:val="24"/>
                      <w:highlight w:val="none"/>
                      <w:lang w:eastAsia="zh-CN"/>
                    </w:rPr>
                    <w:t>在上述内容完整的基础上，</w:t>
                  </w:r>
                  <w:r>
                    <w:rPr>
                      <w:rFonts w:ascii="宋体" w:eastAsia="宋体" w:hAnsi="宋体" w:cs="宋体" w:hint="eastAsia"/>
                      <w:color w:val="auto"/>
                      <w:sz w:val="24"/>
                      <w:szCs w:val="24"/>
                      <w:highlight w:val="none"/>
                    </w:rPr>
                    <w:t>评标专家根据投标人提供的《实施方案》的</w:t>
                  </w:r>
                  <w:r>
                    <w:rPr>
                      <w:rFonts w:ascii="宋体" w:eastAsia="宋体" w:hAnsi="宋体" w:cs="宋体" w:hint="eastAsia"/>
                      <w:color w:val="auto"/>
                      <w:sz w:val="24"/>
                      <w:szCs w:val="24"/>
                      <w:highlight w:val="none"/>
                      <w:lang w:val="en-US" w:eastAsia="zh-CN"/>
                    </w:rPr>
                    <w:t>响应情况进一步评审。</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优评分标准：方案内容全面、具体，可行性高，加50%分。</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良评分标准：方案内容较全面，可行性较高，加30%分。</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中评分标准：方案全面性、可行性一般，加10%分。</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color w:val="auto"/>
                      <w:sz w:val="24"/>
                      <w:szCs w:val="24"/>
                      <w:highlight w:val="none"/>
                      <w:lang w:eastAsia="zh-CN"/>
                    </w:rPr>
                  </w:pPr>
                  <w:r>
                    <w:rPr>
                      <w:rFonts w:ascii="宋体" w:eastAsia="宋体" w:hAnsi="宋体" w:cs="宋体" w:hint="eastAsia"/>
                      <w:color w:val="auto"/>
                      <w:sz w:val="24"/>
                      <w:szCs w:val="24"/>
                      <w:highlight w:val="none"/>
                    </w:rPr>
                    <w:t>差评分标准：方案不全，可行性低，不加分。</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如果评分为差，专家须书面说明理由。</w:t>
                  </w:r>
                </w:p>
              </w:tc>
            </w:tr>
            <w:tr>
              <w:tblPrEx>
                <w:tblW w:w="0" w:type="auto"/>
                <w:jc w:val="center"/>
                <w:tblCellMar>
                  <w:top w:w="0" w:type="dxa"/>
                  <w:left w:w="108" w:type="dxa"/>
                  <w:bottom w:w="0" w:type="dxa"/>
                  <w:right w:w="108" w:type="dxa"/>
                </w:tblCellMar>
              </w:tblPrEx>
              <w:trPr>
                <w:trHeight w:val="1283"/>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left"/>
                    <w:textAlignment w:val="auto"/>
                    <w:rPr>
                      <w:rFonts w:ascii="宋体" w:eastAsia="宋体" w:hAnsi="宋体" w:cs="宋体" w:hint="eastAsia"/>
                      <w:color w:val="auto"/>
                      <w:sz w:val="24"/>
                      <w:szCs w:val="24"/>
                      <w:highlight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2</w:t>
                  </w: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项目重点难点分析、应对措施及相关合理化建议</w:t>
                  </w: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12</w:t>
                  </w:r>
                </w:p>
              </w:tc>
              <w:tc>
                <w:tcPr>
                  <w:tcW w:w="4771" w:type="dxa"/>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left"/>
                    <w:textAlignment w:val="auto"/>
                    <w:rPr>
                      <w:rFonts w:ascii="宋体" w:eastAsia="宋体" w:hAnsi="宋体" w:cs="宋体" w:hint="eastAsia"/>
                      <w:b/>
                      <w:color w:val="auto"/>
                      <w:sz w:val="24"/>
                      <w:szCs w:val="24"/>
                      <w:highlight w:val="none"/>
                    </w:rPr>
                  </w:pPr>
                  <w:r>
                    <w:rPr>
                      <w:rFonts w:ascii="宋体" w:eastAsia="宋体" w:hAnsi="宋体" w:cs="宋体" w:hint="eastAsia"/>
                      <w:b/>
                      <w:color w:val="auto"/>
                      <w:sz w:val="24"/>
                      <w:szCs w:val="24"/>
                      <w:highlight w:val="none"/>
                    </w:rPr>
                    <w:t>（一）评分内容：</w:t>
                  </w:r>
                </w:p>
                <w:p>
                  <w:pPr>
                    <w:pStyle w:val="BodyText"/>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b w:val="0"/>
                      <w:bCs w:val="0"/>
                      <w:color w:val="auto"/>
                      <w:sz w:val="24"/>
                      <w:szCs w:val="24"/>
                      <w:highlight w:val="none"/>
                      <w:lang w:val="en-US" w:eastAsia="zh-CN"/>
                    </w:rPr>
                  </w:pPr>
                  <w:r>
                    <w:rPr>
                      <w:rFonts w:ascii="宋体" w:eastAsia="宋体" w:hAnsi="宋体" w:cs="宋体" w:hint="eastAsia"/>
                      <w:b w:val="0"/>
                      <w:bCs w:val="0"/>
                      <w:color w:val="auto"/>
                      <w:sz w:val="24"/>
                      <w:szCs w:val="24"/>
                      <w:highlight w:val="none"/>
                      <w:lang w:val="en-US" w:eastAsia="zh-CN"/>
                    </w:rPr>
                    <w:t>根据投标人编制的项目重点难点分析、应对措施及相关合理化建议进行评审：</w:t>
                  </w:r>
                </w:p>
                <w:p>
                  <w:pPr>
                    <w:pStyle w:val="BodyText"/>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b w:val="0"/>
                      <w:bCs w:val="0"/>
                      <w:color w:val="auto"/>
                      <w:sz w:val="24"/>
                      <w:szCs w:val="24"/>
                      <w:highlight w:val="none"/>
                      <w:lang w:val="en-US" w:eastAsia="zh-CN"/>
                    </w:rPr>
                  </w:pPr>
                  <w:r>
                    <w:rPr>
                      <w:rFonts w:ascii="宋体" w:eastAsia="宋体" w:hAnsi="宋体" w:cs="宋体" w:hint="eastAsia"/>
                      <w:b w:val="0"/>
                      <w:bCs w:val="0"/>
                      <w:color w:val="auto"/>
                      <w:sz w:val="24"/>
                      <w:szCs w:val="24"/>
                      <w:highlight w:val="none"/>
                      <w:lang w:val="en-US" w:eastAsia="zh-CN"/>
                    </w:rPr>
                    <w:t>1.阐述盐坝高速坝光收费站的运营重点难点分析；</w:t>
                  </w:r>
                </w:p>
                <w:p>
                  <w:pPr>
                    <w:pStyle w:val="BodyText"/>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b w:val="0"/>
                      <w:bCs w:val="0"/>
                      <w:color w:val="auto"/>
                      <w:sz w:val="24"/>
                      <w:szCs w:val="24"/>
                      <w:highlight w:val="none"/>
                      <w:lang w:val="en-US" w:eastAsia="zh-CN"/>
                    </w:rPr>
                  </w:pPr>
                  <w:r>
                    <w:rPr>
                      <w:rFonts w:ascii="宋体" w:eastAsia="宋体" w:hAnsi="宋体" w:cs="宋体" w:hint="eastAsia"/>
                      <w:b w:val="0"/>
                      <w:bCs w:val="0"/>
                      <w:color w:val="auto"/>
                      <w:sz w:val="24"/>
                      <w:szCs w:val="24"/>
                      <w:highlight w:val="none"/>
                      <w:lang w:val="en-US" w:eastAsia="zh-CN"/>
                    </w:rPr>
                    <w:t>2.根据盐坝高速坝光收费站的运营重点难点，阐述应对措施；</w:t>
                  </w:r>
                </w:p>
                <w:p>
                  <w:pPr>
                    <w:pStyle w:val="BodyText"/>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b w:val="0"/>
                      <w:bCs w:val="0"/>
                      <w:color w:val="auto"/>
                      <w:sz w:val="24"/>
                      <w:szCs w:val="24"/>
                      <w:highlight w:val="none"/>
                      <w:lang w:val="en-US" w:eastAsia="zh-CN"/>
                    </w:rPr>
                  </w:pPr>
                  <w:r>
                    <w:rPr>
                      <w:rFonts w:ascii="宋体" w:eastAsia="宋体" w:hAnsi="宋体" w:cs="宋体" w:hint="eastAsia"/>
                      <w:b w:val="0"/>
                      <w:bCs w:val="0"/>
                      <w:color w:val="auto"/>
                      <w:sz w:val="24"/>
                      <w:szCs w:val="24"/>
                      <w:highlight w:val="none"/>
                      <w:lang w:val="en-US" w:eastAsia="zh-CN"/>
                    </w:rPr>
                    <w:t>3.向采购方提出项目实施的建议。</w:t>
                  </w:r>
                </w:p>
                <w:p>
                  <w:pPr>
                    <w:pStyle w:val="BodyText"/>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bCs w:val="0"/>
                      <w:color w:val="auto"/>
                      <w:sz w:val="24"/>
                      <w:szCs w:val="24"/>
                      <w:highlight w:val="none"/>
                      <w:lang w:val="en-US" w:eastAsia="zh-CN"/>
                    </w:rPr>
                  </w:pPr>
                  <w:r>
                    <w:rPr>
                      <w:rFonts w:ascii="宋体" w:eastAsia="宋体" w:hAnsi="宋体" w:cs="宋体" w:hint="eastAsia"/>
                      <w:bCs w:val="0"/>
                      <w:color w:val="auto"/>
                      <w:sz w:val="24"/>
                      <w:szCs w:val="24"/>
                      <w:highlight w:val="none"/>
                      <w:lang w:val="en-US" w:eastAsia="zh-CN"/>
                    </w:rPr>
                    <w:t>（二）评分依据：</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1.投标人提供的《项目重点难点分析、应对措施及相关的合理化建议》满足上述3项考察内容的，得50%分，每缺少1项扣2</w:t>
                  </w:r>
                  <w:r>
                    <w:rPr>
                      <w:rFonts w:ascii="宋体" w:eastAsia="宋体" w:hAnsi="宋体" w:cs="宋体" w:hint="eastAsia"/>
                      <w:color w:val="auto"/>
                      <w:sz w:val="24"/>
                      <w:szCs w:val="24"/>
                      <w:highlight w:val="none"/>
                      <w:lang w:val="en-US" w:eastAsia="zh-CN"/>
                    </w:rPr>
                    <w:t>0</w:t>
                  </w:r>
                  <w:r>
                    <w:rPr>
                      <w:rFonts w:ascii="宋体" w:eastAsia="宋体" w:hAnsi="宋体" w:cs="宋体" w:hint="eastAsia"/>
                      <w:color w:val="auto"/>
                      <w:sz w:val="24"/>
                      <w:szCs w:val="24"/>
                      <w:highlight w:val="none"/>
                    </w:rPr>
                    <w:t xml:space="preserve">%分。 </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2.</w:t>
                  </w:r>
                  <w:r>
                    <w:rPr>
                      <w:rFonts w:ascii="宋体" w:eastAsia="宋体" w:hAnsi="宋体" w:cs="宋体" w:hint="eastAsia"/>
                      <w:color w:val="auto"/>
                      <w:sz w:val="24"/>
                      <w:szCs w:val="24"/>
                      <w:highlight w:val="none"/>
                      <w:lang w:eastAsia="zh-CN"/>
                    </w:rPr>
                    <w:t>在上述内容完整的基础上，</w:t>
                  </w:r>
                  <w:r>
                    <w:rPr>
                      <w:rFonts w:ascii="宋体" w:eastAsia="宋体" w:hAnsi="宋体" w:cs="宋体" w:hint="eastAsia"/>
                      <w:color w:val="auto"/>
                      <w:sz w:val="24"/>
                      <w:szCs w:val="24"/>
                      <w:highlight w:val="none"/>
                    </w:rPr>
                    <w:t>评标专家根据投标人提供的《项目重点难点分析、应对措施及相关的合理化建议》的</w:t>
                  </w:r>
                  <w:r>
                    <w:rPr>
                      <w:rFonts w:ascii="宋体" w:eastAsia="宋体" w:hAnsi="宋体" w:cs="宋体" w:hint="eastAsia"/>
                      <w:color w:val="auto"/>
                      <w:sz w:val="24"/>
                      <w:szCs w:val="24"/>
                      <w:highlight w:val="none"/>
                      <w:lang w:val="en-US" w:eastAsia="zh-CN"/>
                    </w:rPr>
                    <w:t>响应情况进一步评审</w:t>
                  </w:r>
                  <w:r>
                    <w:rPr>
                      <w:rFonts w:ascii="宋体" w:eastAsia="宋体" w:hAnsi="宋体" w:cs="宋体" w:hint="eastAsia"/>
                      <w:color w:val="auto"/>
                      <w:sz w:val="24"/>
                      <w:szCs w:val="24"/>
                      <w:highlight w:val="none"/>
                    </w:rPr>
                    <w:t xml:space="preserve">。 </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优评分标准：方案内容全面、具体，可行性高，加50%分。</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良评分标准：方案内容较全面，可行性较高，加30%分。</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中评分标准：方案全面性、可行性一般，加10%分。</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差评分标准：方案不全，可行性低，不加分。如果评分为差，专家须书面说明理由。</w:t>
                  </w:r>
                </w:p>
              </w:tc>
            </w:tr>
            <w:tr>
              <w:tblPrEx>
                <w:tblW w:w="0" w:type="auto"/>
                <w:jc w:val="center"/>
                <w:tblCellMar>
                  <w:top w:w="0" w:type="dxa"/>
                  <w:left w:w="108" w:type="dxa"/>
                  <w:bottom w:w="0" w:type="dxa"/>
                  <w:right w:w="108" w:type="dxa"/>
                </w:tblCellMar>
              </w:tblPrEx>
              <w:trPr>
                <w:trHeight w:val="63"/>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left"/>
                    <w:textAlignment w:val="auto"/>
                    <w:rPr>
                      <w:rFonts w:ascii="宋体" w:eastAsia="宋体" w:hAnsi="宋体" w:cs="宋体" w:hint="eastAsia"/>
                      <w:color w:val="auto"/>
                      <w:sz w:val="24"/>
                      <w:szCs w:val="24"/>
                      <w:highlight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3</w:t>
                  </w: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质量保障措施及方案</w:t>
                  </w: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12</w:t>
                  </w:r>
                </w:p>
              </w:tc>
              <w:tc>
                <w:tcPr>
                  <w:tcW w:w="4771" w:type="dxa"/>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left"/>
                    <w:textAlignment w:val="auto"/>
                    <w:rPr>
                      <w:rFonts w:ascii="宋体" w:eastAsia="宋体" w:hAnsi="宋体" w:cs="宋体" w:hint="eastAsia"/>
                      <w:b/>
                      <w:color w:val="auto"/>
                      <w:sz w:val="24"/>
                      <w:szCs w:val="24"/>
                      <w:highlight w:val="none"/>
                    </w:rPr>
                  </w:pPr>
                  <w:r>
                    <w:rPr>
                      <w:rFonts w:ascii="宋体" w:eastAsia="宋体" w:hAnsi="宋体" w:cs="宋体" w:hint="eastAsia"/>
                      <w:b/>
                      <w:color w:val="auto"/>
                      <w:sz w:val="24"/>
                      <w:szCs w:val="24"/>
                      <w:highlight w:val="none"/>
                    </w:rPr>
                    <w:t>（一）评分内容：</w:t>
                  </w:r>
                </w:p>
                <w:p>
                  <w:pPr>
                    <w:pStyle w:val="BodyText"/>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b w:val="0"/>
                      <w:bCs w:val="0"/>
                      <w:color w:val="auto"/>
                      <w:sz w:val="24"/>
                      <w:szCs w:val="24"/>
                      <w:highlight w:val="none"/>
                      <w:lang w:val="en-US" w:eastAsia="zh-CN"/>
                    </w:rPr>
                  </w:pPr>
                  <w:r>
                    <w:rPr>
                      <w:rFonts w:ascii="宋体" w:eastAsia="宋体" w:hAnsi="宋体" w:cs="宋体" w:hint="eastAsia"/>
                      <w:b w:val="0"/>
                      <w:bCs w:val="0"/>
                      <w:color w:val="auto"/>
                      <w:sz w:val="24"/>
                      <w:szCs w:val="24"/>
                      <w:highlight w:val="none"/>
                      <w:lang w:val="en-US" w:eastAsia="zh-CN"/>
                    </w:rPr>
                    <w:t>根据投标人编制的质量保障措施及方案进行评审：</w:t>
                  </w:r>
                </w:p>
                <w:p>
                  <w:pPr>
                    <w:pStyle w:val="BodyText"/>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b w:val="0"/>
                      <w:bCs w:val="0"/>
                      <w:color w:val="auto"/>
                      <w:sz w:val="24"/>
                      <w:szCs w:val="24"/>
                      <w:highlight w:val="none"/>
                      <w:lang w:val="en-US" w:eastAsia="zh-CN"/>
                    </w:rPr>
                  </w:pPr>
                  <w:r>
                    <w:rPr>
                      <w:rFonts w:ascii="宋体" w:eastAsia="宋体" w:hAnsi="宋体" w:cs="宋体" w:hint="eastAsia"/>
                      <w:b w:val="0"/>
                      <w:bCs w:val="0"/>
                      <w:color w:val="auto"/>
                      <w:sz w:val="24"/>
                      <w:szCs w:val="24"/>
                      <w:highlight w:val="none"/>
                      <w:lang w:val="en-US" w:eastAsia="zh-CN"/>
                    </w:rPr>
                    <w:t>1.阐述盐坝高速坝光收费站的服务措施（包括但不限于：发卡、收费、稽查、监控、清点、联网、安全）；</w:t>
                  </w:r>
                </w:p>
                <w:p>
                  <w:pPr>
                    <w:pStyle w:val="BodyText"/>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b w:val="0"/>
                      <w:bCs w:val="0"/>
                      <w:color w:val="auto"/>
                      <w:sz w:val="24"/>
                      <w:szCs w:val="24"/>
                      <w:highlight w:val="none"/>
                      <w:lang w:val="en-US" w:eastAsia="zh-CN"/>
                    </w:rPr>
                  </w:pPr>
                  <w:r>
                    <w:rPr>
                      <w:rFonts w:ascii="宋体" w:eastAsia="宋体" w:hAnsi="宋体" w:cs="宋体" w:hint="eastAsia"/>
                      <w:b w:val="0"/>
                      <w:bCs w:val="0"/>
                      <w:color w:val="auto"/>
                      <w:sz w:val="24"/>
                      <w:szCs w:val="24"/>
                      <w:highlight w:val="none"/>
                      <w:lang w:val="en-US" w:eastAsia="zh-CN"/>
                    </w:rPr>
                    <w:t>2.建立盐坝高速坝光收费站的管理制度（包括但不限于：发卡、收费、稽查、监控、清点、联网、安全）。</w:t>
                  </w:r>
                </w:p>
                <w:p>
                  <w:pPr>
                    <w:pStyle w:val="BodyText"/>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bCs w:val="0"/>
                      <w:color w:val="auto"/>
                      <w:sz w:val="24"/>
                      <w:szCs w:val="24"/>
                      <w:highlight w:val="none"/>
                      <w:lang w:val="en-US" w:eastAsia="zh-CN"/>
                    </w:rPr>
                  </w:pPr>
                  <w:r>
                    <w:rPr>
                      <w:rFonts w:ascii="宋体" w:eastAsia="宋体" w:hAnsi="宋体" w:cs="宋体" w:hint="eastAsia"/>
                      <w:bCs w:val="0"/>
                      <w:color w:val="auto"/>
                      <w:sz w:val="24"/>
                      <w:szCs w:val="24"/>
                      <w:highlight w:val="none"/>
                      <w:lang w:val="en-US" w:eastAsia="zh-CN"/>
                    </w:rPr>
                    <w:t>（二）评分依据：</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1.投标人提供的《质量保障措施及方案》满足上述2项考察内容的，得50%分，每缺少</w:t>
                  </w:r>
                  <w:r>
                    <w:rPr>
                      <w:rFonts w:ascii="宋体" w:eastAsia="宋体" w:hAnsi="宋体" w:cs="宋体" w:hint="eastAsia"/>
                      <w:color w:val="auto"/>
                      <w:sz w:val="24"/>
                      <w:szCs w:val="24"/>
                      <w:highlight w:val="none"/>
                      <w:lang w:val="en-US" w:eastAsia="zh-CN"/>
                    </w:rPr>
                    <w:t>1</w:t>
                  </w:r>
                  <w:r>
                    <w:rPr>
                      <w:rFonts w:ascii="宋体" w:eastAsia="宋体" w:hAnsi="宋体" w:cs="宋体" w:hint="eastAsia"/>
                      <w:color w:val="auto"/>
                      <w:sz w:val="24"/>
                      <w:szCs w:val="24"/>
                      <w:highlight w:val="none"/>
                    </w:rPr>
                    <w:t xml:space="preserve">项扣25%分。 </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2.</w:t>
                  </w:r>
                  <w:r>
                    <w:rPr>
                      <w:rFonts w:ascii="宋体" w:eastAsia="宋体" w:hAnsi="宋体" w:cs="宋体" w:hint="eastAsia"/>
                      <w:color w:val="auto"/>
                      <w:sz w:val="24"/>
                      <w:szCs w:val="24"/>
                      <w:highlight w:val="none"/>
                      <w:lang w:eastAsia="zh-CN"/>
                    </w:rPr>
                    <w:t>在上述内容完整的基础上，</w:t>
                  </w:r>
                  <w:r>
                    <w:rPr>
                      <w:rFonts w:ascii="宋体" w:eastAsia="宋体" w:hAnsi="宋体" w:cs="宋体" w:hint="eastAsia"/>
                      <w:color w:val="auto"/>
                      <w:sz w:val="24"/>
                      <w:szCs w:val="24"/>
                      <w:highlight w:val="none"/>
                    </w:rPr>
                    <w:t>评标专家根据投标人提供的《质量保障措施及方案》的</w:t>
                  </w:r>
                  <w:r>
                    <w:rPr>
                      <w:rFonts w:ascii="宋体" w:eastAsia="宋体" w:hAnsi="宋体" w:cs="宋体" w:hint="eastAsia"/>
                      <w:color w:val="auto"/>
                      <w:sz w:val="24"/>
                      <w:szCs w:val="24"/>
                      <w:highlight w:val="none"/>
                      <w:lang w:val="en-US" w:eastAsia="zh-CN"/>
                    </w:rPr>
                    <w:t>响应情况进一步评审。</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优评分标准：方案内容全面、具体，可行性高，加50%分。</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良评分标准：方案内容较全面，可行性较高，加30%分。</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中评分标准：方案全面性、可行性一般，加10%分。</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差评分标准：方案不全，可行性低，不加分。如果评分为差，专家须书面说明理由。</w:t>
                  </w:r>
                </w:p>
              </w:tc>
            </w:tr>
            <w:tr>
              <w:tblPrEx>
                <w:tblW w:w="0" w:type="auto"/>
                <w:jc w:val="center"/>
                <w:tblCellMar>
                  <w:top w:w="0" w:type="dxa"/>
                  <w:left w:w="108" w:type="dxa"/>
                  <w:bottom w:w="0" w:type="dxa"/>
                  <w:right w:w="108" w:type="dxa"/>
                </w:tblCellMar>
              </w:tblPrEx>
              <w:trPr>
                <w:trHeight w:val="63"/>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left"/>
                    <w:textAlignment w:val="auto"/>
                    <w:rPr>
                      <w:rFonts w:ascii="宋体" w:eastAsia="宋体" w:hAnsi="宋体" w:cs="宋体" w:hint="eastAsia"/>
                      <w:color w:val="auto"/>
                      <w:sz w:val="24"/>
                      <w:szCs w:val="24"/>
                      <w:highlight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4</w:t>
                  </w: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项目完成（服务期满）后的服务承诺</w:t>
                  </w: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color w:val="auto"/>
                      <w:sz w:val="24"/>
                      <w:szCs w:val="24"/>
                      <w:highlight w:val="none"/>
                      <w:lang w:eastAsia="zh-CN"/>
                    </w:rPr>
                  </w:pPr>
                  <w:r>
                    <w:rPr>
                      <w:rFonts w:ascii="宋体" w:eastAsia="宋体" w:hAnsi="宋体" w:cs="宋体" w:hint="eastAsia"/>
                      <w:color w:val="auto"/>
                      <w:sz w:val="24"/>
                      <w:szCs w:val="24"/>
                      <w:highlight w:val="none"/>
                    </w:rPr>
                    <w:t xml:space="preserve">  </w:t>
                  </w:r>
                  <w:r>
                    <w:rPr>
                      <w:rFonts w:ascii="宋体" w:eastAsia="宋体" w:hAnsi="宋体" w:cs="宋体" w:hint="eastAsia"/>
                      <w:color w:val="auto"/>
                      <w:sz w:val="24"/>
                      <w:szCs w:val="24"/>
                      <w:highlight w:val="none"/>
                      <w:lang w:val="en-US" w:eastAsia="zh-CN"/>
                    </w:rPr>
                    <w:t>2</w:t>
                  </w:r>
                </w:p>
              </w:tc>
              <w:tc>
                <w:tcPr>
                  <w:tcW w:w="4771" w:type="dxa"/>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left"/>
                    <w:textAlignment w:val="auto"/>
                    <w:rPr>
                      <w:rFonts w:ascii="宋体" w:eastAsia="宋体" w:hAnsi="宋体" w:cs="宋体" w:hint="eastAsia"/>
                      <w:b/>
                      <w:color w:val="auto"/>
                      <w:sz w:val="24"/>
                      <w:szCs w:val="24"/>
                      <w:highlight w:val="none"/>
                    </w:rPr>
                  </w:pPr>
                  <w:r>
                    <w:rPr>
                      <w:rFonts w:ascii="宋体" w:eastAsia="宋体" w:hAnsi="宋体" w:cs="宋体" w:hint="eastAsia"/>
                      <w:b/>
                      <w:color w:val="auto"/>
                      <w:sz w:val="24"/>
                      <w:szCs w:val="24"/>
                      <w:highlight w:val="none"/>
                    </w:rPr>
                    <w:t>（一）评分内容：</w:t>
                  </w:r>
                </w:p>
                <w:p>
                  <w:pPr>
                    <w:keepNext w:val="0"/>
                    <w:keepLines w:val="0"/>
                    <w:pageBreakBefore w:val="0"/>
                    <w:widowControl/>
                    <w:kinsoku/>
                    <w:wordWrap/>
                    <w:overflowPunct/>
                    <w:topLinePunct w:val="0"/>
                    <w:autoSpaceDE/>
                    <w:autoSpaceDN/>
                    <w:bidi w:val="0"/>
                    <w:adjustRightInd/>
                    <w:snapToGrid/>
                    <w:spacing w:line="240" w:lineRule="auto"/>
                    <w:ind w:left="0" w:firstLine="0" w:left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根据对项目的理解及自身管理经验，提出项目完成（服务期满）后的服务承诺。包括但不限于以下内容：</w:t>
                  </w:r>
                </w:p>
                <w:p>
                  <w:pPr>
                    <w:keepNext w:val="0"/>
                    <w:keepLines w:val="0"/>
                    <w:pageBreakBefore w:val="0"/>
                    <w:widowControl/>
                    <w:numPr>
                      <w:ilvl w:val="0"/>
                      <w:numId w:val="0"/>
                    </w:numPr>
                    <w:tabs>
                      <w:tab w:val="left" w:pos="312"/>
                    </w:tabs>
                    <w:kinsoku/>
                    <w:wordWrap/>
                    <w:overflowPunct/>
                    <w:topLinePunct w:val="0"/>
                    <w:autoSpaceDE/>
                    <w:autoSpaceDN/>
                    <w:bidi w:val="0"/>
                    <w:adjustRightInd/>
                    <w:snapToGrid/>
                    <w:spacing w:line="240" w:lineRule="auto"/>
                    <w:ind w:left="0" w:firstLine="0" w:left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lang w:val="en-US" w:eastAsia="zh-CN"/>
                    </w:rPr>
                    <w:t>1.</w:t>
                  </w:r>
                  <w:r>
                    <w:rPr>
                      <w:rFonts w:ascii="宋体" w:eastAsia="宋体" w:hAnsi="宋体" w:cs="宋体" w:hint="eastAsia"/>
                      <w:color w:val="auto"/>
                      <w:sz w:val="24"/>
                      <w:szCs w:val="24"/>
                      <w:highlight w:val="none"/>
                    </w:rPr>
                    <w:t>项目完成后服务负责人信息与联系方式。</w:t>
                  </w:r>
                </w:p>
                <w:p>
                  <w:pPr>
                    <w:keepNext w:val="0"/>
                    <w:keepLines w:val="0"/>
                    <w:pageBreakBefore w:val="0"/>
                    <w:widowControl/>
                    <w:kinsoku/>
                    <w:wordWrap/>
                    <w:overflowPunct/>
                    <w:topLinePunct w:val="0"/>
                    <w:autoSpaceDE/>
                    <w:autoSpaceDN/>
                    <w:bidi w:val="0"/>
                    <w:adjustRightInd/>
                    <w:snapToGrid/>
                    <w:spacing w:line="240" w:lineRule="auto"/>
                    <w:ind w:left="0" w:firstLine="0" w:left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2.承诺后期服务年限不少于</w:t>
                  </w:r>
                  <w:r>
                    <w:rPr>
                      <w:rFonts w:ascii="宋体" w:eastAsia="宋体" w:hAnsi="宋体" w:cs="宋体" w:hint="eastAsia"/>
                      <w:color w:val="auto"/>
                      <w:sz w:val="24"/>
                      <w:szCs w:val="24"/>
                      <w:highlight w:val="none"/>
                      <w:lang w:val="en-US" w:eastAsia="zh-CN"/>
                    </w:rPr>
                    <w:t>1</w:t>
                  </w:r>
                  <w:r>
                    <w:rPr>
                      <w:rFonts w:ascii="宋体" w:eastAsia="宋体" w:hAnsi="宋体" w:cs="宋体" w:hint="eastAsia"/>
                      <w:color w:val="auto"/>
                      <w:sz w:val="24"/>
                      <w:szCs w:val="24"/>
                      <w:highlight w:val="none"/>
                    </w:rPr>
                    <w:t>年。</w:t>
                  </w:r>
                </w:p>
                <w:p>
                  <w:pPr>
                    <w:keepNext w:val="0"/>
                    <w:keepLines w:val="0"/>
                    <w:pageBreakBefore w:val="0"/>
                    <w:widowControl/>
                    <w:kinsoku/>
                    <w:wordWrap/>
                    <w:overflowPunct/>
                    <w:topLinePunct w:val="0"/>
                    <w:autoSpaceDE/>
                    <w:autoSpaceDN/>
                    <w:bidi w:val="0"/>
                    <w:adjustRightInd/>
                    <w:snapToGrid/>
                    <w:spacing w:line="240" w:lineRule="auto"/>
                    <w:ind w:left="0" w:firstLine="0" w:left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lang w:val="en-US" w:eastAsia="zh-CN"/>
                    </w:rPr>
                    <w:t>3</w:t>
                  </w:r>
                  <w:r>
                    <w:rPr>
                      <w:rFonts w:ascii="宋体" w:eastAsia="宋体" w:hAnsi="宋体" w:cs="宋体" w:hint="eastAsia"/>
                      <w:color w:val="auto"/>
                      <w:sz w:val="24"/>
                      <w:szCs w:val="24"/>
                      <w:highlight w:val="none"/>
                    </w:rPr>
                    <w:t>.详细阐述服务制度，服务响应时间不超过24小时。</w:t>
                  </w:r>
                </w:p>
                <w:p>
                  <w:pPr>
                    <w:keepNext w:val="0"/>
                    <w:keepLines w:val="0"/>
                    <w:pageBreakBefore w:val="0"/>
                    <w:widowControl/>
                    <w:kinsoku/>
                    <w:wordWrap/>
                    <w:overflowPunct/>
                    <w:topLinePunct w:val="0"/>
                    <w:autoSpaceDE/>
                    <w:autoSpaceDN/>
                    <w:bidi w:val="0"/>
                    <w:adjustRightInd/>
                    <w:snapToGrid/>
                    <w:spacing w:line="240" w:lineRule="auto"/>
                    <w:ind w:left="0" w:firstLine="0" w:left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lang w:val="en-US" w:eastAsia="zh-CN"/>
                    </w:rPr>
                    <w:t>4</w:t>
                  </w:r>
                  <w:r>
                    <w:rPr>
                      <w:rFonts w:ascii="宋体" w:eastAsia="宋体" w:hAnsi="宋体" w:cs="宋体" w:hint="eastAsia"/>
                      <w:color w:val="auto"/>
                      <w:sz w:val="24"/>
                      <w:szCs w:val="24"/>
                      <w:highlight w:val="none"/>
                    </w:rPr>
                    <w:t>.详细阐述项目完成后的服务内容。</w:t>
                  </w:r>
                </w:p>
                <w:p>
                  <w:pPr>
                    <w:keepNext w:val="0"/>
                    <w:keepLines w:val="0"/>
                    <w:pageBreakBefore w:val="0"/>
                    <w:widowControl/>
                    <w:kinsoku/>
                    <w:wordWrap/>
                    <w:overflowPunct/>
                    <w:topLinePunct w:val="0"/>
                    <w:autoSpaceDE/>
                    <w:autoSpaceDN/>
                    <w:bidi w:val="0"/>
                    <w:adjustRightInd/>
                    <w:snapToGrid/>
                    <w:spacing w:line="240" w:lineRule="auto"/>
                    <w:ind w:left="0" w:firstLine="0" w:leftChars="0"/>
                    <w:jc w:val="left"/>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（二）评分依据：</w:t>
                  </w:r>
                </w:p>
                <w:p>
                  <w:pPr>
                    <w:keepNext w:val="0"/>
                    <w:keepLines w:val="0"/>
                    <w:pageBreakBefore w:val="0"/>
                    <w:widowControl/>
                    <w:kinsoku/>
                    <w:wordWrap/>
                    <w:overflowPunct/>
                    <w:topLinePunct w:val="0"/>
                    <w:autoSpaceDE/>
                    <w:autoSpaceDN/>
                    <w:bidi w:val="0"/>
                    <w:adjustRightInd/>
                    <w:snapToGrid/>
                    <w:spacing w:line="240" w:lineRule="auto"/>
                    <w:ind w:left="0" w:firstLine="0" w:left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 xml:space="preserve">1.提供《项目完成（服务期满）后的服务承诺》且承诺满足上述考察内容的，得100%分。 </w:t>
                  </w:r>
                </w:p>
                <w:p>
                  <w:pPr>
                    <w:keepNext w:val="0"/>
                    <w:keepLines w:val="0"/>
                    <w:pageBreakBefore w:val="0"/>
                    <w:widowControl/>
                    <w:kinsoku/>
                    <w:wordWrap/>
                    <w:overflowPunct/>
                    <w:topLinePunct w:val="0"/>
                    <w:autoSpaceDE/>
                    <w:autoSpaceDN/>
                    <w:bidi w:val="0"/>
                    <w:adjustRightInd/>
                    <w:snapToGrid/>
                    <w:spacing w:line="240" w:lineRule="auto"/>
                    <w:ind w:left="0" w:firstLine="0" w:left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2.未提供《项目完成（服务期满）后的服务承诺》或提供的《项目完成（服务期满）后的服务承诺》未能体现承诺满足上述考察内容的，不得分。</w:t>
                  </w:r>
                </w:p>
              </w:tc>
            </w:tr>
            <w:tr>
              <w:tblPrEx>
                <w:tblW w:w="0" w:type="auto"/>
                <w:jc w:val="center"/>
                <w:tblCellMar>
                  <w:top w:w="0" w:type="dxa"/>
                  <w:left w:w="108" w:type="dxa"/>
                  <w:bottom w:w="0" w:type="dxa"/>
                  <w:right w:w="108" w:type="dxa"/>
                </w:tblCellMar>
              </w:tblPrEx>
              <w:trPr>
                <w:trHeight w:val="63"/>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left"/>
                    <w:textAlignment w:val="auto"/>
                    <w:rPr>
                      <w:rFonts w:ascii="宋体" w:eastAsia="宋体" w:hAnsi="宋体" w:cs="宋体" w:hint="eastAsia"/>
                      <w:color w:val="auto"/>
                      <w:sz w:val="24"/>
                      <w:szCs w:val="24"/>
                      <w:highlight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5</w:t>
                  </w: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违约承诺</w:t>
                  </w: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lang w:val="en-US" w:eastAsia="zh-CN"/>
                    </w:rPr>
                    <w:t>2</w:t>
                  </w:r>
                </w:p>
              </w:tc>
              <w:tc>
                <w:tcPr>
                  <w:tcW w:w="4771" w:type="dxa"/>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left"/>
                    <w:textAlignment w:val="auto"/>
                    <w:rPr>
                      <w:rFonts w:ascii="宋体" w:eastAsia="宋体" w:hAnsi="宋体" w:cs="宋体" w:hint="eastAsia"/>
                      <w:b/>
                      <w:color w:val="auto"/>
                      <w:sz w:val="24"/>
                      <w:szCs w:val="24"/>
                      <w:highlight w:val="none"/>
                    </w:rPr>
                  </w:pPr>
                  <w:r>
                    <w:rPr>
                      <w:rFonts w:ascii="宋体" w:eastAsia="宋体" w:hAnsi="宋体" w:cs="宋体" w:hint="eastAsia"/>
                      <w:b/>
                      <w:color w:val="auto"/>
                      <w:sz w:val="24"/>
                      <w:szCs w:val="24"/>
                      <w:highlight w:val="none"/>
                    </w:rPr>
                    <w:t>（一）评分内容：</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bCs/>
                      <w:color w:val="auto"/>
                      <w:sz w:val="24"/>
                      <w:szCs w:val="24"/>
                      <w:highlight w:val="none"/>
                    </w:rPr>
                  </w:pPr>
                  <w:r>
                    <w:rPr>
                      <w:rFonts w:ascii="宋体" w:eastAsia="宋体" w:hAnsi="宋体" w:cs="宋体" w:hint="eastAsia"/>
                      <w:color w:val="auto"/>
                      <w:sz w:val="24"/>
                      <w:szCs w:val="24"/>
                      <w:highlight w:val="none"/>
                    </w:rPr>
                    <w:t>承诺满足采购文件“商务需求”部分“</w:t>
                  </w:r>
                  <w:r>
                    <w:rPr>
                      <w:rFonts w:ascii="宋体" w:eastAsia="宋体" w:hAnsi="宋体" w:cs="宋体" w:hint="eastAsia"/>
                      <w:color w:val="auto"/>
                      <w:sz w:val="24"/>
                      <w:szCs w:val="24"/>
                      <w:highlight w:val="none"/>
                      <w:lang w:val="en-US" w:eastAsia="zh-CN"/>
                    </w:rPr>
                    <w:t>五</w:t>
                  </w:r>
                  <w:r>
                    <w:rPr>
                      <w:rFonts w:ascii="宋体" w:eastAsia="宋体" w:hAnsi="宋体" w:cs="宋体" w:hint="eastAsia"/>
                      <w:color w:val="auto"/>
                      <w:sz w:val="24"/>
                      <w:szCs w:val="24"/>
                      <w:highlight w:val="none"/>
                      <w:lang w:eastAsia="zh-CN"/>
                    </w:rPr>
                    <w:t>、</w:t>
                  </w:r>
                  <w:r>
                    <w:rPr>
                      <w:rFonts w:ascii="宋体" w:eastAsia="宋体" w:hAnsi="宋体" w:cs="宋体" w:hint="eastAsia"/>
                      <w:color w:val="auto"/>
                      <w:sz w:val="24"/>
                      <w:szCs w:val="24"/>
                      <w:highlight w:val="none"/>
                    </w:rPr>
                    <w:t>违约责任”中关于违约责任的全部内容，并提供《违约承诺函》。</w:t>
                  </w:r>
                </w:p>
                <w:p>
                  <w:pPr>
                    <w:keepNext w:val="0"/>
                    <w:keepLines w:val="0"/>
                    <w:pageBreakBefore w:val="0"/>
                    <w:widowControl/>
                    <w:kinsoku/>
                    <w:wordWrap/>
                    <w:overflowPunct/>
                    <w:topLinePunct w:val="0"/>
                    <w:autoSpaceDE/>
                    <w:autoSpaceDN/>
                    <w:bidi w:val="0"/>
                    <w:adjustRightInd/>
                    <w:snapToGrid/>
                    <w:spacing w:line="240" w:lineRule="auto"/>
                    <w:ind w:left="0" w:firstLine="0" w:leftChars="0"/>
                    <w:jc w:val="left"/>
                    <w:textAlignment w:val="auto"/>
                    <w:rPr>
                      <w:rFonts w:ascii="宋体" w:eastAsia="宋体" w:hAnsi="宋体" w:cs="宋体" w:hint="eastAsia"/>
                      <w:b/>
                      <w:color w:val="auto"/>
                      <w:sz w:val="24"/>
                      <w:szCs w:val="24"/>
                      <w:highlight w:val="none"/>
                    </w:rPr>
                  </w:pPr>
                  <w:r>
                    <w:rPr>
                      <w:rFonts w:ascii="宋体" w:eastAsia="宋体" w:hAnsi="宋体" w:cs="宋体" w:hint="eastAsia"/>
                      <w:b/>
                      <w:color w:val="auto"/>
                      <w:sz w:val="24"/>
                      <w:szCs w:val="24"/>
                      <w:highlight w:val="none"/>
                    </w:rPr>
                    <w:t>（二）评分依据：</w:t>
                  </w:r>
                </w:p>
                <w:p>
                  <w:pPr>
                    <w:keepNext w:val="0"/>
                    <w:keepLines w:val="0"/>
                    <w:pageBreakBefore w:val="0"/>
                    <w:widowControl/>
                    <w:kinsoku/>
                    <w:wordWrap/>
                    <w:overflowPunct/>
                    <w:topLinePunct w:val="0"/>
                    <w:autoSpaceDE/>
                    <w:autoSpaceDN/>
                    <w:bidi w:val="0"/>
                    <w:adjustRightInd/>
                    <w:snapToGrid/>
                    <w:spacing w:line="240" w:lineRule="auto"/>
                    <w:ind w:left="0" w:firstLine="0" w:leftChars="0"/>
                    <w:jc w:val="left"/>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1.提供《违约承诺函》且承诺满足上述考察内容的，得100%分。</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2.未提供《违约承诺函》或提供的《违约承诺函》未能体现承诺满足上述考察内容的，不得分。</w:t>
                  </w:r>
                </w:p>
              </w:tc>
            </w:tr>
            <w:tr>
              <w:tblPrEx>
                <w:tblW w:w="0" w:type="auto"/>
                <w:jc w:val="center"/>
                <w:tblCellMar>
                  <w:top w:w="0" w:type="dxa"/>
                  <w:left w:w="108" w:type="dxa"/>
                  <w:bottom w:w="0" w:type="dxa"/>
                  <w:right w:w="108" w:type="dxa"/>
                </w:tblCellMar>
              </w:tblPrEx>
              <w:trPr>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三</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综合实力部分</w:t>
                  </w:r>
                </w:p>
              </w:tc>
              <w:tc>
                <w:tcPr>
                  <w:tcW w:w="4771" w:type="dxa"/>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lang w:val="en-US" w:eastAsia="zh-CN"/>
                    </w:rPr>
                    <w:t>35</w:t>
                  </w:r>
                </w:p>
              </w:tc>
            </w:tr>
            <w:tr>
              <w:tblPrEx>
                <w:tblW w:w="0" w:type="auto"/>
                <w:jc w:val="center"/>
                <w:tblCellMar>
                  <w:top w:w="0" w:type="dxa"/>
                  <w:left w:w="108" w:type="dxa"/>
                  <w:bottom w:w="0" w:type="dxa"/>
                  <w:right w:w="108" w:type="dxa"/>
                </w:tblCellMar>
              </w:tblPrEx>
              <w:trPr>
                <w:trHeight w:val="81"/>
                <w:jc w:val="cent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序号</w:t>
                  </w: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评分因素</w:t>
                  </w: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权重</w:t>
                  </w:r>
                </w:p>
              </w:tc>
              <w:tc>
                <w:tcPr>
                  <w:tcW w:w="4771" w:type="dxa"/>
                  <w:tcBorders>
                    <w:top w:val="single" w:sz="4" w:space="0" w:color="000000"/>
                    <w:left w:val="single" w:sz="4" w:space="0" w:color="000000"/>
                    <w:bottom w:val="single" w:sz="4" w:space="0" w:color="000000"/>
                    <w:right w:val="single" w:sz="4" w:space="0" w:color="000000"/>
                  </w:tcBorders>
                  <w:shd w:val="clear" w:color="auto"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评分准则</w:t>
                  </w:r>
                </w:p>
              </w:tc>
            </w:tr>
            <w:tr>
              <w:tblPrEx>
                <w:tblW w:w="0" w:type="auto"/>
                <w:jc w:val="center"/>
                <w:tblCellMar>
                  <w:top w:w="0" w:type="dxa"/>
                  <w:left w:w="108" w:type="dxa"/>
                  <w:bottom w:w="0" w:type="dxa"/>
                  <w:right w:w="108" w:type="dxa"/>
                </w:tblCellMar>
              </w:tblPrEx>
              <w:trPr>
                <w:trHeight w:val="81"/>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w:t>
                  </w: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供应商同类业绩情况</w:t>
                  </w: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lang w:val="en-US" w:eastAsia="zh-CN"/>
                    </w:rPr>
                    <w:t>8</w:t>
                  </w:r>
                </w:p>
              </w:tc>
              <w:tc>
                <w:tcPr>
                  <w:tcW w:w="4771" w:type="dxa"/>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（一）评分内容：</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bCs/>
                      <w:color w:val="auto"/>
                      <w:sz w:val="24"/>
                      <w:szCs w:val="24"/>
                      <w:highlight w:val="none"/>
                    </w:rPr>
                  </w:pPr>
                  <w:r>
                    <w:rPr>
                      <w:rFonts w:ascii="宋体" w:eastAsia="宋体" w:hAnsi="宋体" w:cs="宋体" w:hint="eastAsia"/>
                      <w:bCs/>
                      <w:color w:val="auto"/>
                      <w:sz w:val="24"/>
                      <w:szCs w:val="24"/>
                      <w:highlight w:val="none"/>
                    </w:rPr>
                    <w:t>1.投标人承担过高速公路收费站运营管理业绩的，</w:t>
                  </w:r>
                  <w:r>
                    <w:rPr>
                      <w:rFonts w:ascii="宋体" w:eastAsia="宋体" w:hAnsi="宋体" w:cs="宋体" w:hint="eastAsia"/>
                      <w:color w:val="auto"/>
                      <w:sz w:val="24"/>
                      <w:szCs w:val="24"/>
                      <w:highlight w:val="none"/>
                    </w:rPr>
                    <w:t>每提供一个得2</w:t>
                  </w:r>
                  <w:r>
                    <w:rPr>
                      <w:rFonts w:ascii="宋体" w:eastAsia="宋体" w:hAnsi="宋体" w:cs="宋体" w:hint="eastAsia"/>
                      <w:color w:val="auto"/>
                      <w:sz w:val="24"/>
                      <w:szCs w:val="24"/>
                      <w:highlight w:val="none"/>
                      <w:lang w:val="en-US" w:eastAsia="zh-CN"/>
                    </w:rPr>
                    <w:t>5</w:t>
                  </w:r>
                  <w:r>
                    <w:rPr>
                      <w:rFonts w:ascii="宋体" w:eastAsia="宋体" w:hAnsi="宋体" w:cs="宋体" w:hint="eastAsia"/>
                      <w:color w:val="auto"/>
                      <w:sz w:val="24"/>
                      <w:szCs w:val="24"/>
                      <w:highlight w:val="none"/>
                    </w:rPr>
                    <w:t>%分，最高得</w:t>
                  </w:r>
                  <w:r>
                    <w:rPr>
                      <w:rFonts w:ascii="宋体" w:eastAsia="宋体" w:hAnsi="宋体" w:cs="宋体" w:hint="eastAsia"/>
                      <w:bCs/>
                      <w:color w:val="auto"/>
                      <w:sz w:val="24"/>
                      <w:szCs w:val="24"/>
                      <w:highlight w:val="none"/>
                      <w:lang w:val="en-US" w:eastAsia="zh-CN"/>
                    </w:rPr>
                    <w:t>5</w:t>
                  </w:r>
                  <w:r>
                    <w:rPr>
                      <w:rFonts w:ascii="宋体" w:eastAsia="宋体" w:hAnsi="宋体" w:cs="宋体" w:hint="eastAsia"/>
                      <w:bCs/>
                      <w:color w:val="auto"/>
                      <w:sz w:val="24"/>
                      <w:szCs w:val="24"/>
                      <w:highlight w:val="none"/>
                    </w:rPr>
                    <w:t>0%分；</w:t>
                  </w:r>
                </w:p>
                <w:p>
                  <w:pPr>
                    <w:keepNext w:val="0"/>
                    <w:keepLines w:val="0"/>
                    <w:pageBreakBefore w:val="0"/>
                    <w:widowControl/>
                    <w:kinsoku/>
                    <w:wordWrap/>
                    <w:overflowPunct/>
                    <w:topLinePunct w:val="0"/>
                    <w:autoSpaceDE/>
                    <w:autoSpaceDN/>
                    <w:bidi w:val="0"/>
                    <w:adjustRightInd/>
                    <w:snapToGrid/>
                    <w:spacing w:line="240" w:lineRule="auto"/>
                    <w:ind w:left="0" w:firstLine="0" w:leftChars="0" w:firstLineChars="0"/>
                    <w:textAlignment w:val="auto"/>
                    <w:rPr>
                      <w:rFonts w:ascii="宋体" w:eastAsia="宋体" w:hAnsi="宋体" w:cs="宋体" w:hint="eastAsia"/>
                      <w:bCs/>
                      <w:color w:val="auto"/>
                      <w:sz w:val="24"/>
                      <w:szCs w:val="24"/>
                      <w:highlight w:val="none"/>
                      <w:lang w:eastAsia="zh-CN"/>
                    </w:rPr>
                  </w:pPr>
                  <w:r>
                    <w:rPr>
                      <w:rFonts w:ascii="宋体" w:eastAsia="宋体" w:hAnsi="宋体" w:cs="宋体" w:hint="eastAsia"/>
                      <w:bCs/>
                      <w:color w:val="auto"/>
                      <w:sz w:val="24"/>
                      <w:szCs w:val="24"/>
                      <w:highlight w:val="none"/>
                    </w:rPr>
                    <w:t>2.投标人承担过高速公路运营（或综合管养）项目</w:t>
                  </w:r>
                  <w:r>
                    <w:rPr>
                      <w:rFonts w:ascii="宋体" w:eastAsia="宋体" w:hAnsi="宋体" w:cs="宋体" w:hint="eastAsia"/>
                      <w:bCs/>
                      <w:color w:val="auto"/>
                      <w:sz w:val="24"/>
                      <w:szCs w:val="24"/>
                      <w:highlight w:val="none"/>
                      <w:lang w:eastAsia="zh-CN"/>
                    </w:rPr>
                    <w:t>的</w:t>
                  </w:r>
                  <w:r>
                    <w:rPr>
                      <w:rFonts w:ascii="宋体" w:eastAsia="宋体" w:hAnsi="宋体" w:cs="宋体" w:hint="eastAsia"/>
                      <w:bCs/>
                      <w:color w:val="auto"/>
                      <w:sz w:val="24"/>
                      <w:szCs w:val="24"/>
                      <w:highlight w:val="none"/>
                      <w:lang w:val="en-US" w:eastAsia="zh-CN"/>
                    </w:rPr>
                    <w:t>,</w:t>
                  </w:r>
                  <w:r>
                    <w:rPr>
                      <w:rFonts w:ascii="宋体" w:eastAsia="宋体" w:hAnsi="宋体" w:cs="宋体" w:hint="eastAsia"/>
                      <w:bCs/>
                      <w:color w:val="auto"/>
                      <w:sz w:val="24"/>
                      <w:szCs w:val="24"/>
                      <w:highlight w:val="none"/>
                    </w:rPr>
                    <w:t>得</w:t>
                  </w:r>
                  <w:r>
                    <w:rPr>
                      <w:rFonts w:ascii="宋体" w:eastAsia="宋体" w:hAnsi="宋体" w:cs="宋体" w:hint="eastAsia"/>
                      <w:bCs/>
                      <w:color w:val="auto"/>
                      <w:sz w:val="24"/>
                      <w:szCs w:val="24"/>
                      <w:highlight w:val="none"/>
                      <w:lang w:val="en-US" w:eastAsia="zh-CN"/>
                    </w:rPr>
                    <w:t>5</w:t>
                  </w:r>
                  <w:r>
                    <w:rPr>
                      <w:rFonts w:ascii="宋体" w:eastAsia="宋体" w:hAnsi="宋体" w:cs="宋体" w:hint="eastAsia"/>
                      <w:bCs/>
                      <w:color w:val="auto"/>
                      <w:sz w:val="24"/>
                      <w:szCs w:val="24"/>
                      <w:highlight w:val="none"/>
                    </w:rPr>
                    <w:t>0%分</w:t>
                  </w:r>
                  <w:r>
                    <w:rPr>
                      <w:rFonts w:ascii="宋体" w:eastAsia="宋体" w:hAnsi="宋体" w:cs="宋体" w:hint="eastAsia"/>
                      <w:bCs/>
                      <w:color w:val="auto"/>
                      <w:sz w:val="24"/>
                      <w:szCs w:val="24"/>
                      <w:highlight w:val="none"/>
                      <w:lang w:eastAsia="zh-CN"/>
                    </w:rPr>
                    <w:t>。</w:t>
                  </w:r>
                </w:p>
                <w:p>
                  <w:pPr>
                    <w:keepNext w:val="0"/>
                    <w:keepLines w:val="0"/>
                    <w:pageBreakBefore w:val="0"/>
                    <w:widowControl/>
                    <w:kinsoku/>
                    <w:wordWrap/>
                    <w:overflowPunct/>
                    <w:topLinePunct w:val="0"/>
                    <w:autoSpaceDE/>
                    <w:autoSpaceDN/>
                    <w:bidi w:val="0"/>
                    <w:adjustRightInd/>
                    <w:snapToGrid/>
                    <w:spacing w:line="240" w:lineRule="auto"/>
                    <w:ind w:left="0" w:firstLine="0" w:leftChars="0" w:firstLineChars="0"/>
                    <w:textAlignment w:val="auto"/>
                    <w:rPr>
                      <w:rFonts w:ascii="宋体" w:eastAsia="宋体" w:hAnsi="宋体" w:cs="宋体" w:hint="eastAsia"/>
                      <w:bCs/>
                      <w:color w:val="auto"/>
                      <w:sz w:val="24"/>
                      <w:szCs w:val="24"/>
                      <w:highlight w:val="none"/>
                    </w:rPr>
                  </w:pPr>
                  <w:r>
                    <w:rPr>
                      <w:rFonts w:ascii="宋体" w:eastAsia="宋体" w:hAnsi="宋体" w:cs="宋体" w:hint="eastAsia"/>
                      <w:bCs/>
                      <w:color w:val="auto"/>
                      <w:sz w:val="24"/>
                      <w:szCs w:val="24"/>
                      <w:highlight w:val="none"/>
                      <w:lang w:eastAsia="zh-CN"/>
                    </w:rPr>
                    <w:t>以上两项累计得分，总分</w:t>
                  </w:r>
                  <w:r>
                    <w:rPr>
                      <w:rFonts w:ascii="宋体" w:eastAsia="宋体" w:hAnsi="宋体" w:cs="宋体" w:hint="eastAsia"/>
                      <w:bCs/>
                      <w:color w:val="auto"/>
                      <w:sz w:val="24"/>
                      <w:szCs w:val="24"/>
                      <w:highlight w:val="none"/>
                      <w:lang w:val="en-US" w:eastAsia="zh-CN"/>
                    </w:rPr>
                    <w:t>100%分</w:t>
                  </w:r>
                  <w:r>
                    <w:rPr>
                      <w:rFonts w:ascii="宋体" w:eastAsia="宋体" w:hAnsi="宋体" w:cs="宋体" w:hint="eastAsia"/>
                      <w:bCs/>
                      <w:color w:val="auto"/>
                      <w:sz w:val="24"/>
                      <w:szCs w:val="24"/>
                      <w:highlight w:val="none"/>
                    </w:rPr>
                    <w:t>。</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（二）评分依据：</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1.上述项目经验需为已完成业绩，且获得采购方履约 （验收）评价结果为“优”或“满意”等级的。 要求同时提供合同关键信息和项目履约（验收）评价证明文件作为得分依据，项目履约（验收）评价证明文件需加盖合同甲方公章（或甲方业务章）。</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2.通过合同关键信息无法判断是否得分的，还须同时提供能证明得分的其它证明资料，如项目报告或合同甲方出具的证明文件等。</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3.以上资料均要求提供扫描件</w:t>
                  </w:r>
                  <w:r>
                    <w:rPr>
                      <w:rFonts w:ascii="宋体" w:eastAsia="宋体" w:hAnsi="宋体" w:cs="宋体" w:hint="eastAsia"/>
                      <w:color w:val="auto"/>
                      <w:sz w:val="24"/>
                      <w:szCs w:val="24"/>
                      <w:highlight w:val="none"/>
                      <w:lang w:val="en-US" w:eastAsia="zh-CN"/>
                    </w:rPr>
                    <w:t>（或官方网站截图）</w:t>
                  </w:r>
                  <w:r>
                    <w:rPr>
                      <w:rFonts w:ascii="宋体" w:eastAsia="宋体" w:hAnsi="宋体" w:cs="宋体" w:hint="eastAsia"/>
                      <w:color w:val="auto"/>
                      <w:sz w:val="24"/>
                      <w:szCs w:val="24"/>
                      <w:highlight w:val="none"/>
                    </w:rPr>
                    <w:t>，原件备查。评分中出现无证明资料或专家无法凭所提供资料判断是否得分的情况，一律作不得分处理。</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4.上述项目开展时间须在20</w:t>
                  </w:r>
                  <w:r>
                    <w:rPr>
                      <w:rFonts w:ascii="宋体" w:eastAsia="宋体" w:hAnsi="宋体" w:cs="宋体" w:hint="eastAsia"/>
                      <w:color w:val="auto"/>
                      <w:sz w:val="24"/>
                      <w:szCs w:val="24"/>
                      <w:highlight w:val="none"/>
                      <w:lang w:val="en-US" w:eastAsia="zh-CN"/>
                    </w:rPr>
                    <w:t>22</w:t>
                  </w:r>
                  <w:r>
                    <w:rPr>
                      <w:rFonts w:ascii="宋体" w:eastAsia="宋体" w:hAnsi="宋体" w:cs="宋体" w:hint="eastAsia"/>
                      <w:color w:val="auto"/>
                      <w:sz w:val="24"/>
                      <w:szCs w:val="24"/>
                      <w:highlight w:val="none"/>
                    </w:rPr>
                    <w:t>年1月1日起至投标截止日期止，以合同签订日期</w:t>
                  </w:r>
                  <w:r>
                    <w:rPr>
                      <w:rFonts w:ascii="宋体" w:eastAsia="宋体" w:hAnsi="宋体" w:cs="宋体" w:hint="eastAsia"/>
                      <w:color w:val="auto"/>
                      <w:sz w:val="24"/>
                      <w:szCs w:val="24"/>
                      <w:highlight w:val="none"/>
                      <w:lang w:val="en-US" w:eastAsia="zh-CN"/>
                    </w:rPr>
                    <w:t>或合同中载明的履约时间</w:t>
                  </w:r>
                  <w:r>
                    <w:rPr>
                      <w:rFonts w:ascii="宋体" w:eastAsia="宋体" w:hAnsi="宋体" w:cs="宋体" w:hint="eastAsia"/>
                      <w:color w:val="auto"/>
                      <w:sz w:val="24"/>
                      <w:szCs w:val="24"/>
                      <w:highlight w:val="none"/>
                    </w:rPr>
                    <w:t>为准。</w:t>
                  </w:r>
                </w:p>
              </w:tc>
            </w:tr>
            <w:tr>
              <w:tblPrEx>
                <w:tblW w:w="0" w:type="auto"/>
                <w:jc w:val="center"/>
                <w:tblCellMar>
                  <w:top w:w="0" w:type="dxa"/>
                  <w:left w:w="108" w:type="dxa"/>
                  <w:bottom w:w="0" w:type="dxa"/>
                  <w:right w:w="108" w:type="dxa"/>
                </w:tblCellMar>
              </w:tblPrEx>
              <w:trPr>
                <w:trHeight w:val="78"/>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left"/>
                    <w:textAlignment w:val="auto"/>
                    <w:rPr>
                      <w:rFonts w:ascii="宋体" w:eastAsia="宋体" w:hAnsi="宋体" w:cs="宋体" w:hint="eastAsia"/>
                      <w:color w:val="auto"/>
                      <w:sz w:val="24"/>
                      <w:szCs w:val="24"/>
                      <w:highlight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lang w:val="en-US" w:eastAsia="zh-CN"/>
                    </w:rPr>
                    <w:t>2</w:t>
                  </w: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拟安排的项目负责人情况（仅限一人）</w:t>
                  </w: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8</w:t>
                  </w:r>
                </w:p>
              </w:tc>
              <w:tc>
                <w:tcPr>
                  <w:tcW w:w="4771" w:type="dxa"/>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（一）评分内容：</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b w:val="0"/>
                      <w:bCs w:val="0"/>
                      <w:color w:val="auto"/>
                      <w:sz w:val="24"/>
                      <w:szCs w:val="24"/>
                      <w:highlight w:val="none"/>
                    </w:rPr>
                  </w:pPr>
                  <w:r>
                    <w:rPr>
                      <w:rFonts w:ascii="宋体" w:eastAsia="宋体" w:hAnsi="宋体" w:cs="宋体" w:hint="eastAsia"/>
                      <w:b w:val="0"/>
                      <w:bCs w:val="0"/>
                      <w:color w:val="auto"/>
                      <w:sz w:val="24"/>
                      <w:szCs w:val="24"/>
                      <w:highlight w:val="none"/>
                    </w:rPr>
                    <w:t>项目负责人应为投标人本单位在职员工（以社保为准），且具有不少于3年的高速公路</w:t>
                  </w:r>
                  <w:r>
                    <w:rPr>
                      <w:rFonts w:ascii="宋体" w:eastAsia="宋体" w:hAnsi="宋体" w:cs="宋体" w:hint="eastAsia"/>
                      <w:b w:val="0"/>
                      <w:bCs w:val="0"/>
                      <w:color w:val="auto"/>
                      <w:sz w:val="24"/>
                      <w:szCs w:val="24"/>
                      <w:highlight w:val="none"/>
                      <w:lang w:eastAsia="zh-CN"/>
                    </w:rPr>
                    <w:t>收费站</w:t>
                  </w:r>
                  <w:r>
                    <w:rPr>
                      <w:rFonts w:ascii="宋体" w:eastAsia="宋体" w:hAnsi="宋体" w:cs="宋体" w:hint="eastAsia"/>
                      <w:b w:val="0"/>
                      <w:bCs w:val="0"/>
                      <w:color w:val="auto"/>
                      <w:sz w:val="24"/>
                      <w:szCs w:val="24"/>
                      <w:highlight w:val="none"/>
                    </w:rPr>
                    <w:t>运营</w:t>
                  </w:r>
                  <w:r>
                    <w:rPr>
                      <w:rFonts w:ascii="宋体" w:eastAsia="宋体" w:hAnsi="宋体" w:cs="宋体" w:hint="eastAsia"/>
                      <w:b w:val="0"/>
                      <w:bCs w:val="0"/>
                      <w:color w:val="auto"/>
                      <w:sz w:val="24"/>
                      <w:szCs w:val="24"/>
                      <w:highlight w:val="none"/>
                      <w:lang w:eastAsia="zh-CN"/>
                    </w:rPr>
                    <w:t>管理</w:t>
                  </w:r>
                  <w:r>
                    <w:rPr>
                      <w:rFonts w:ascii="宋体" w:eastAsia="宋体" w:hAnsi="宋体" w:cs="宋体" w:hint="eastAsia"/>
                      <w:b w:val="0"/>
                      <w:bCs w:val="0"/>
                      <w:color w:val="auto"/>
                      <w:sz w:val="24"/>
                      <w:szCs w:val="24"/>
                      <w:highlight w:val="none"/>
                    </w:rPr>
                    <w:t>的经验，否则本项不得分，在此基础上，拟安排的项目负责人：</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b w:val="0"/>
                      <w:bCs w:val="0"/>
                      <w:color w:val="auto"/>
                      <w:sz w:val="24"/>
                      <w:szCs w:val="24"/>
                      <w:highlight w:val="none"/>
                    </w:rPr>
                  </w:pPr>
                  <w:r>
                    <w:rPr>
                      <w:rFonts w:ascii="宋体" w:eastAsia="宋体" w:hAnsi="宋体" w:cs="宋体" w:hint="eastAsia"/>
                      <w:b w:val="0"/>
                      <w:bCs w:val="0"/>
                      <w:color w:val="auto"/>
                      <w:sz w:val="24"/>
                      <w:szCs w:val="24"/>
                      <w:highlight w:val="none"/>
                    </w:rPr>
                    <w:t>1.具有本科（或以上）学历者，得50%分；</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b w:val="0"/>
                      <w:bCs w:val="0"/>
                      <w:color w:val="auto"/>
                      <w:sz w:val="24"/>
                      <w:szCs w:val="24"/>
                      <w:highlight w:val="none"/>
                      <w:lang w:eastAsia="zh-CN"/>
                    </w:rPr>
                  </w:pPr>
                  <w:r>
                    <w:rPr>
                      <w:rFonts w:ascii="宋体" w:eastAsia="宋体" w:hAnsi="宋体" w:cs="宋体" w:hint="eastAsia"/>
                      <w:b w:val="0"/>
                      <w:bCs w:val="0"/>
                      <w:color w:val="auto"/>
                      <w:sz w:val="24"/>
                      <w:szCs w:val="24"/>
                      <w:highlight w:val="none"/>
                    </w:rPr>
                    <w:t>2.在高速公路</w:t>
                  </w:r>
                  <w:r>
                    <w:rPr>
                      <w:rFonts w:ascii="宋体" w:eastAsia="宋体" w:hAnsi="宋体" w:cs="宋体" w:hint="eastAsia"/>
                      <w:b w:val="0"/>
                      <w:bCs w:val="0"/>
                      <w:color w:val="auto"/>
                      <w:sz w:val="24"/>
                      <w:szCs w:val="24"/>
                      <w:highlight w:val="none"/>
                      <w:lang w:eastAsia="zh-CN"/>
                    </w:rPr>
                    <w:t>收费站运营管理</w:t>
                  </w:r>
                  <w:r>
                    <w:rPr>
                      <w:rFonts w:ascii="宋体" w:eastAsia="宋体" w:hAnsi="宋体" w:cs="宋体" w:hint="eastAsia"/>
                      <w:b w:val="0"/>
                      <w:bCs w:val="0"/>
                      <w:color w:val="auto"/>
                      <w:sz w:val="24"/>
                      <w:szCs w:val="24"/>
                      <w:highlight w:val="none"/>
                    </w:rPr>
                    <w:t>项目中</w:t>
                  </w:r>
                  <w:r>
                    <w:rPr>
                      <w:rFonts w:ascii="宋体" w:eastAsia="宋体" w:hAnsi="宋体" w:cs="宋体" w:hint="eastAsia"/>
                      <w:b w:val="0"/>
                      <w:bCs w:val="0"/>
                      <w:color w:val="auto"/>
                      <w:sz w:val="24"/>
                      <w:szCs w:val="24"/>
                      <w:highlight w:val="none"/>
                      <w:lang w:eastAsia="zh-CN"/>
                    </w:rPr>
                    <w:t>担任</w:t>
                  </w:r>
                  <w:r>
                    <w:rPr>
                      <w:rFonts w:ascii="宋体" w:eastAsia="宋体" w:hAnsi="宋体" w:cs="宋体" w:hint="eastAsia"/>
                      <w:b w:val="0"/>
                      <w:bCs w:val="0"/>
                      <w:color w:val="auto"/>
                      <w:sz w:val="24"/>
                      <w:szCs w:val="24"/>
                      <w:highlight w:val="none"/>
                    </w:rPr>
                    <w:t>过项目负责人的，得50%分</w:t>
                  </w:r>
                  <w:r>
                    <w:rPr>
                      <w:rFonts w:ascii="宋体" w:eastAsia="宋体" w:hAnsi="宋体" w:cs="宋体" w:hint="eastAsia"/>
                      <w:b w:val="0"/>
                      <w:bCs w:val="0"/>
                      <w:color w:val="auto"/>
                      <w:sz w:val="24"/>
                      <w:szCs w:val="24"/>
                      <w:highlight w:val="none"/>
                      <w:lang w:eastAsia="zh-CN"/>
                    </w:rPr>
                    <w:t>。</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b w:val="0"/>
                      <w:bCs w:val="0"/>
                      <w:color w:val="auto"/>
                      <w:sz w:val="24"/>
                      <w:szCs w:val="24"/>
                      <w:highlight w:val="none"/>
                      <w:lang w:val="en-US" w:eastAsia="zh-CN"/>
                    </w:rPr>
                  </w:pPr>
                  <w:r>
                    <w:rPr>
                      <w:rFonts w:ascii="宋体" w:eastAsia="宋体" w:hAnsi="宋体" w:cs="宋体" w:hint="eastAsia"/>
                      <w:b w:val="0"/>
                      <w:bCs w:val="0"/>
                      <w:color w:val="auto"/>
                      <w:sz w:val="24"/>
                      <w:szCs w:val="24"/>
                      <w:highlight w:val="none"/>
                      <w:lang w:eastAsia="zh-CN"/>
                    </w:rPr>
                    <w:t>以上两项累计得分，最高得</w:t>
                  </w:r>
                  <w:r>
                    <w:rPr>
                      <w:rFonts w:ascii="宋体" w:eastAsia="宋体" w:hAnsi="宋体" w:cs="宋体" w:hint="eastAsia"/>
                      <w:b w:val="0"/>
                      <w:bCs w:val="0"/>
                      <w:color w:val="auto"/>
                      <w:sz w:val="24"/>
                      <w:szCs w:val="24"/>
                      <w:highlight w:val="none"/>
                      <w:lang w:val="en-US" w:eastAsia="zh-CN"/>
                    </w:rPr>
                    <w:t>100%分。</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（二）评分依据：</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color w:val="auto"/>
                      <w:sz w:val="24"/>
                      <w:szCs w:val="24"/>
                      <w:highlight w:val="none"/>
                      <w:lang w:eastAsia="zh-CN"/>
                    </w:rPr>
                  </w:pPr>
                  <w:r>
                    <w:rPr>
                      <w:rFonts w:ascii="宋体" w:eastAsia="宋体" w:hAnsi="宋体" w:cs="宋体" w:hint="eastAsia"/>
                      <w:color w:val="auto"/>
                      <w:sz w:val="24"/>
                      <w:szCs w:val="24"/>
                      <w:highlight w:val="none"/>
                    </w:rPr>
                    <w:t>1.要求提供通过投标人缴纳的项目负责人近一个月的社保证明（如供应商为新成立单位且成立时间不足一个月的，可提供加盖公章的情况说明或者证明材料亦视为符合。</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2.要求提供项目负责人学历证书以及学信网查询记录。对于较早颁发的学历证书，学信网无法查询的，除要求提供证书扫描件，还需提供其他佐证材料（如毕业院校、人社部门等颁发机构或监管机构等单位出具的证明），海外留学（含港澳台）人员学历无法通过学信网站查询，应当提供教育部留学服务中心出具的国外学历认证证书以及教育部留学服务中心官网查询截图。 。</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3.如涉及考察人员业绩经验，要求提供项目合同关键信息作为得分依据，项目合同或协议合同协议或证明材料需体现拟派项目负责人职务。上述项目开展时间必须在 2022年 1 月 1 日起至投标截止日期止，以合同签订日期或合同中载明的履约时间为准。</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4.通过合同关键信息无法判断是否得分的，还须同时提供能证明得分的其它证明资料，如项目报告或合同甲方出具的证明文件等。</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5.以上资料均要求提供扫描件</w:t>
                  </w:r>
                  <w:r>
                    <w:rPr>
                      <w:rFonts w:ascii="宋体" w:eastAsia="宋体" w:hAnsi="宋体" w:cs="宋体" w:hint="eastAsia"/>
                      <w:color w:val="auto"/>
                      <w:sz w:val="24"/>
                      <w:szCs w:val="24"/>
                      <w:highlight w:val="none"/>
                      <w:lang w:val="en-US" w:eastAsia="zh-CN"/>
                    </w:rPr>
                    <w:t>（或官方网站截图）</w:t>
                  </w:r>
                  <w:r>
                    <w:rPr>
                      <w:rFonts w:ascii="宋体" w:eastAsia="宋体" w:hAnsi="宋体" w:cs="宋体" w:hint="eastAsia"/>
                      <w:color w:val="auto"/>
                      <w:sz w:val="24"/>
                      <w:szCs w:val="24"/>
                      <w:highlight w:val="none"/>
                    </w:rPr>
                    <w:t>，原件备查。评标时出现无证明资料或专家无法凭所提供资料判断是否得分的情况，一律作不得分处理。</w:t>
                  </w:r>
                </w:p>
              </w:tc>
            </w:tr>
            <w:tr>
              <w:tblPrEx>
                <w:tblW w:w="0" w:type="auto"/>
                <w:jc w:val="center"/>
                <w:tblCellMar>
                  <w:top w:w="0" w:type="dxa"/>
                  <w:left w:w="108" w:type="dxa"/>
                  <w:bottom w:w="0" w:type="dxa"/>
                  <w:right w:w="108" w:type="dxa"/>
                </w:tblCellMar>
              </w:tblPrEx>
              <w:trPr>
                <w:trHeight w:val="78"/>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left"/>
                    <w:textAlignment w:val="auto"/>
                    <w:rPr>
                      <w:rFonts w:ascii="宋体" w:eastAsia="宋体" w:hAnsi="宋体" w:cs="宋体" w:hint="eastAsia"/>
                      <w:color w:val="auto"/>
                      <w:sz w:val="24"/>
                      <w:szCs w:val="24"/>
                      <w:highlight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lang w:val="en-US" w:eastAsia="zh-CN"/>
                    </w:rPr>
                    <w:t>3</w:t>
                  </w: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拟安排的项目主要团队成员（主要技术人员）情况（项目负责人除外）</w:t>
                  </w: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w:t>
                  </w:r>
                  <w:r>
                    <w:rPr>
                      <w:rFonts w:ascii="宋体" w:eastAsia="宋体" w:hAnsi="宋体" w:cs="宋体" w:hint="eastAsia"/>
                      <w:color w:val="auto"/>
                      <w:sz w:val="24"/>
                      <w:szCs w:val="24"/>
                      <w:highlight w:val="none"/>
                    </w:rPr>
                    <w:t>4</w:t>
                  </w:r>
                </w:p>
              </w:tc>
              <w:tc>
                <w:tcPr>
                  <w:tcW w:w="4771" w:type="dxa"/>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（一）评分内容：</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color w:val="auto"/>
                      <w:sz w:val="24"/>
                      <w:szCs w:val="24"/>
                      <w:highlight w:val="none"/>
                      <w:lang w:eastAsia="zh-CN"/>
                    </w:rPr>
                  </w:pPr>
                  <w:r>
                    <w:rPr>
                      <w:rFonts w:ascii="宋体" w:eastAsia="宋体" w:hAnsi="宋体" w:cs="宋体" w:hint="eastAsia"/>
                      <w:color w:val="auto"/>
                      <w:sz w:val="24"/>
                      <w:szCs w:val="24"/>
                      <w:highlight w:val="none"/>
                    </w:rPr>
                    <w:t>拟投入</w:t>
                  </w:r>
                  <w:r>
                    <w:rPr>
                      <w:rFonts w:ascii="宋体" w:eastAsia="宋体" w:hAnsi="宋体" w:cs="宋体" w:hint="eastAsia"/>
                      <w:color w:val="auto"/>
                      <w:sz w:val="24"/>
                      <w:szCs w:val="24"/>
                      <w:highlight w:val="none"/>
                      <w:lang w:eastAsia="zh-CN"/>
                    </w:rPr>
                    <w:t>项目管理人员</w:t>
                  </w:r>
                  <w:r>
                    <w:rPr>
                      <w:rFonts w:ascii="宋体" w:eastAsia="宋体" w:hAnsi="宋体" w:cs="宋体" w:hint="eastAsia"/>
                      <w:color w:val="auto"/>
                      <w:sz w:val="24"/>
                      <w:szCs w:val="24"/>
                      <w:highlight w:val="none"/>
                    </w:rPr>
                    <w:t>不少于25名，</w:t>
                  </w:r>
                  <w:r>
                    <w:rPr>
                      <w:rFonts w:ascii="宋体" w:eastAsia="宋体" w:hAnsi="宋体" w:cs="宋体" w:hint="eastAsia"/>
                      <w:color w:val="auto"/>
                      <w:sz w:val="24"/>
                      <w:szCs w:val="24"/>
                      <w:highlight w:val="none"/>
                      <w:lang w:eastAsia="zh-CN"/>
                    </w:rPr>
                    <w:t>均</w:t>
                  </w:r>
                  <w:r>
                    <w:rPr>
                      <w:rFonts w:ascii="宋体" w:eastAsia="宋体" w:hAnsi="宋体" w:cs="宋体" w:hint="eastAsia"/>
                      <w:color w:val="auto"/>
                      <w:sz w:val="24"/>
                      <w:szCs w:val="24"/>
                      <w:highlight w:val="none"/>
                    </w:rPr>
                    <w:t>为投标人本单位在职员工（以社保为准）</w:t>
                  </w:r>
                  <w:r>
                    <w:rPr>
                      <w:rFonts w:ascii="宋体" w:eastAsia="宋体" w:hAnsi="宋体" w:cs="宋体" w:hint="eastAsia"/>
                      <w:color w:val="auto"/>
                      <w:sz w:val="24"/>
                      <w:szCs w:val="24"/>
                      <w:highlight w:val="none"/>
                      <w:lang w:eastAsia="zh-CN"/>
                    </w:rPr>
                    <w:t>，且</w:t>
                  </w:r>
                  <w:r>
                    <w:rPr>
                      <w:rFonts w:ascii="宋体" w:eastAsia="宋体" w:hAnsi="宋体" w:cs="宋体" w:hint="eastAsia"/>
                      <w:bCs/>
                      <w:color w:val="auto"/>
                      <w:sz w:val="24"/>
                      <w:szCs w:val="24"/>
                      <w:highlight w:val="none"/>
                    </w:rPr>
                    <w:t>具有不少于</w:t>
                  </w:r>
                  <w:r>
                    <w:rPr>
                      <w:rFonts w:ascii="宋体" w:eastAsia="宋体" w:hAnsi="宋体" w:cs="宋体" w:hint="eastAsia"/>
                      <w:bCs/>
                      <w:color w:val="auto"/>
                      <w:sz w:val="24"/>
                      <w:szCs w:val="24"/>
                      <w:highlight w:val="none"/>
                      <w:lang w:val="en-US" w:eastAsia="zh-CN"/>
                    </w:rPr>
                    <w:t>3</w:t>
                  </w:r>
                  <w:r>
                    <w:rPr>
                      <w:rFonts w:ascii="宋体" w:eastAsia="宋体" w:hAnsi="宋体" w:cs="宋体" w:hint="eastAsia"/>
                      <w:bCs/>
                      <w:color w:val="auto"/>
                      <w:sz w:val="24"/>
                      <w:szCs w:val="24"/>
                      <w:highlight w:val="none"/>
                    </w:rPr>
                    <w:t>年的高速公路</w:t>
                  </w:r>
                  <w:r>
                    <w:rPr>
                      <w:rFonts w:ascii="宋体" w:eastAsia="宋体" w:hAnsi="宋体" w:cs="宋体" w:hint="eastAsia"/>
                      <w:bCs/>
                      <w:color w:val="auto"/>
                      <w:sz w:val="24"/>
                      <w:szCs w:val="24"/>
                      <w:highlight w:val="none"/>
                      <w:lang w:eastAsia="zh-CN"/>
                    </w:rPr>
                    <w:t>收费站</w:t>
                  </w:r>
                  <w:r>
                    <w:rPr>
                      <w:rFonts w:ascii="宋体" w:eastAsia="宋体" w:hAnsi="宋体" w:cs="宋体" w:hint="eastAsia"/>
                      <w:bCs/>
                      <w:color w:val="auto"/>
                      <w:sz w:val="24"/>
                      <w:szCs w:val="24"/>
                      <w:highlight w:val="none"/>
                    </w:rPr>
                    <w:t>运营</w:t>
                  </w:r>
                  <w:r>
                    <w:rPr>
                      <w:rFonts w:ascii="宋体" w:eastAsia="宋体" w:hAnsi="宋体" w:cs="宋体" w:hint="eastAsia"/>
                      <w:bCs/>
                      <w:color w:val="auto"/>
                      <w:sz w:val="24"/>
                      <w:szCs w:val="24"/>
                      <w:highlight w:val="none"/>
                      <w:lang w:eastAsia="zh-CN"/>
                    </w:rPr>
                    <w:t>管理</w:t>
                  </w:r>
                  <w:r>
                    <w:rPr>
                      <w:rFonts w:ascii="宋体" w:eastAsia="宋体" w:hAnsi="宋体" w:cs="宋体" w:hint="eastAsia"/>
                      <w:bCs/>
                      <w:color w:val="auto"/>
                      <w:sz w:val="24"/>
                      <w:szCs w:val="24"/>
                      <w:highlight w:val="none"/>
                    </w:rPr>
                    <w:t>经验</w:t>
                  </w:r>
                  <w:r>
                    <w:rPr>
                      <w:rFonts w:ascii="宋体" w:eastAsia="宋体" w:hAnsi="宋体" w:cs="宋体" w:hint="eastAsia"/>
                      <w:color w:val="auto"/>
                      <w:sz w:val="24"/>
                      <w:szCs w:val="24"/>
                      <w:highlight w:val="none"/>
                    </w:rPr>
                    <w:t>，需包含：至少9名收费管理人员、至少3名数据管理人员、至少2名机电管理人员、至少3名票证管理人员、至少1名投诉与调度管理人员、至少5名</w:t>
                  </w:r>
                  <w:r>
                    <w:rPr>
                      <w:rFonts w:ascii="宋体" w:eastAsia="宋体" w:hAnsi="宋体" w:cs="宋体" w:hint="eastAsia"/>
                      <w:bCs/>
                      <w:color w:val="auto"/>
                      <w:sz w:val="24"/>
                      <w:szCs w:val="24"/>
                      <w:highlight w:val="none"/>
                    </w:rPr>
                    <w:t>路政管理人员、至少1名拖车救援管理人员、</w:t>
                  </w:r>
                  <w:r>
                    <w:rPr>
                      <w:rFonts w:ascii="宋体" w:eastAsia="宋体" w:hAnsi="宋体" w:cs="宋体" w:hint="eastAsia"/>
                      <w:color w:val="auto"/>
                      <w:sz w:val="24"/>
                      <w:szCs w:val="24"/>
                      <w:highlight w:val="none"/>
                    </w:rPr>
                    <w:t>至少1名安全业务管理人员，</w:t>
                  </w:r>
                  <w:r>
                    <w:rPr>
                      <w:rFonts w:ascii="宋体" w:eastAsia="宋体" w:hAnsi="宋体" w:cs="宋体" w:hint="eastAsia"/>
                      <w:bCs/>
                      <w:color w:val="auto"/>
                      <w:sz w:val="24"/>
                      <w:szCs w:val="24"/>
                      <w:highlight w:val="none"/>
                    </w:rPr>
                    <w:t>以上任一岗位不满足要求，则本项不得分。</w:t>
                  </w:r>
                  <w:r>
                    <w:rPr>
                      <w:rFonts w:ascii="宋体" w:eastAsia="宋体" w:hAnsi="宋体" w:cs="宋体" w:hint="eastAsia"/>
                      <w:color w:val="auto"/>
                      <w:sz w:val="24"/>
                      <w:szCs w:val="24"/>
                      <w:highlight w:val="none"/>
                    </w:rPr>
                    <w:t>（注：以上岗位管理人员不能为同一人，否则不予认可）</w:t>
                  </w:r>
                  <w:r>
                    <w:rPr>
                      <w:rFonts w:ascii="宋体" w:eastAsia="宋体" w:hAnsi="宋体" w:cs="宋体" w:hint="eastAsia"/>
                      <w:color w:val="auto"/>
                      <w:sz w:val="24"/>
                      <w:szCs w:val="24"/>
                      <w:highlight w:val="none"/>
                      <w:lang w:eastAsia="zh-CN"/>
                    </w:rPr>
                    <w:t>，</w:t>
                  </w:r>
                  <w:r>
                    <w:rPr>
                      <w:rFonts w:ascii="宋体" w:eastAsia="宋体" w:hAnsi="宋体" w:cs="宋体" w:hint="eastAsia"/>
                      <w:color w:val="auto"/>
                      <w:sz w:val="24"/>
                      <w:szCs w:val="24"/>
                      <w:highlight w:val="none"/>
                    </w:rPr>
                    <w:t>在此基础上</w:t>
                  </w:r>
                  <w:r>
                    <w:rPr>
                      <w:rFonts w:ascii="宋体" w:eastAsia="宋体" w:hAnsi="宋体" w:cs="宋体" w:hint="eastAsia"/>
                      <w:color w:val="auto"/>
                      <w:sz w:val="24"/>
                      <w:szCs w:val="24"/>
                      <w:highlight w:val="none"/>
                      <w:lang w:eastAsia="zh-CN"/>
                    </w:rPr>
                    <w:t>：</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bCs/>
                      <w:color w:val="auto"/>
                      <w:sz w:val="24"/>
                      <w:szCs w:val="24"/>
                      <w:highlight w:val="none"/>
                    </w:rPr>
                  </w:pPr>
                  <w:r>
                    <w:rPr>
                      <w:rFonts w:ascii="宋体" w:eastAsia="宋体" w:hAnsi="宋体" w:cs="宋体" w:hint="eastAsia"/>
                      <w:bCs/>
                      <w:color w:val="auto"/>
                      <w:sz w:val="24"/>
                      <w:szCs w:val="24"/>
                      <w:highlight w:val="none"/>
                    </w:rPr>
                    <w:t>1.收费管理人员均具有</w:t>
                  </w:r>
                  <w:r>
                    <w:rPr>
                      <w:rFonts w:ascii="宋体" w:eastAsia="宋体" w:hAnsi="宋体" w:cs="宋体" w:hint="eastAsia"/>
                      <w:sz w:val="24"/>
                      <w:szCs w:val="24"/>
                      <w:highlight w:val="none"/>
                      <w:lang w:val="en-US" w:eastAsia="zh-CN"/>
                    </w:rPr>
                    <w:t>大专</w:t>
                  </w:r>
                  <w:r>
                    <w:rPr>
                      <w:rFonts w:ascii="宋体" w:eastAsia="宋体" w:hAnsi="宋体" w:cs="宋体" w:hint="eastAsia"/>
                      <w:sz w:val="24"/>
                      <w:szCs w:val="24"/>
                      <w:highlight w:val="none"/>
                    </w:rPr>
                    <w:t>（或以上）</w:t>
                  </w:r>
                  <w:r>
                    <w:rPr>
                      <w:rFonts w:ascii="宋体" w:eastAsia="宋体" w:hAnsi="宋体" w:cs="宋体" w:hint="eastAsia"/>
                      <w:sz w:val="24"/>
                      <w:szCs w:val="24"/>
                      <w:highlight w:val="none"/>
                    </w:rPr>
                    <w:t>学历者</w:t>
                  </w:r>
                  <w:r>
                    <w:rPr>
                      <w:rFonts w:ascii="宋体" w:eastAsia="宋体" w:hAnsi="宋体" w:cs="宋体" w:hint="eastAsia"/>
                      <w:bCs/>
                      <w:color w:val="auto"/>
                      <w:sz w:val="24"/>
                      <w:szCs w:val="24"/>
                      <w:highlight w:val="none"/>
                    </w:rPr>
                    <w:t>，得10%分；</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bCs/>
                      <w:color w:val="auto"/>
                      <w:sz w:val="24"/>
                      <w:szCs w:val="24"/>
                      <w:highlight w:val="none"/>
                    </w:rPr>
                  </w:pPr>
                  <w:r>
                    <w:rPr>
                      <w:rFonts w:ascii="宋体" w:eastAsia="宋体" w:hAnsi="宋体" w:cs="宋体" w:hint="eastAsia"/>
                      <w:bCs/>
                      <w:color w:val="auto"/>
                      <w:sz w:val="24"/>
                      <w:szCs w:val="24"/>
                      <w:highlight w:val="none"/>
                    </w:rPr>
                    <w:t>2.数据管理人员均具有</w:t>
                  </w:r>
                  <w:r>
                    <w:rPr>
                      <w:rFonts w:ascii="宋体" w:eastAsia="宋体" w:hAnsi="宋体" w:cs="宋体" w:hint="eastAsia"/>
                      <w:sz w:val="24"/>
                      <w:szCs w:val="24"/>
                      <w:highlight w:val="none"/>
                      <w:lang w:val="en-US" w:eastAsia="zh-CN"/>
                    </w:rPr>
                    <w:t>大专</w:t>
                  </w:r>
                  <w:r>
                    <w:rPr>
                      <w:rFonts w:ascii="宋体" w:eastAsia="宋体" w:hAnsi="宋体" w:cs="宋体" w:hint="eastAsia"/>
                      <w:sz w:val="24"/>
                      <w:szCs w:val="24"/>
                      <w:highlight w:val="none"/>
                    </w:rPr>
                    <w:t>（或以上）</w:t>
                  </w:r>
                  <w:r>
                    <w:rPr>
                      <w:rFonts w:ascii="宋体" w:eastAsia="宋体" w:hAnsi="宋体" w:cs="宋体" w:hint="eastAsia"/>
                      <w:sz w:val="24"/>
                      <w:szCs w:val="24"/>
                      <w:highlight w:val="none"/>
                    </w:rPr>
                    <w:t>学历者</w:t>
                  </w:r>
                  <w:r>
                    <w:rPr>
                      <w:rFonts w:ascii="宋体" w:eastAsia="宋体" w:hAnsi="宋体" w:cs="宋体" w:hint="eastAsia"/>
                      <w:bCs/>
                      <w:color w:val="auto"/>
                      <w:sz w:val="24"/>
                      <w:szCs w:val="24"/>
                      <w:highlight w:val="none"/>
                    </w:rPr>
                    <w:t>，得10%分；</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bCs/>
                      <w:color w:val="auto"/>
                      <w:sz w:val="24"/>
                      <w:szCs w:val="24"/>
                      <w:highlight w:val="none"/>
                    </w:rPr>
                  </w:pPr>
                  <w:r>
                    <w:rPr>
                      <w:rFonts w:ascii="宋体" w:eastAsia="宋体" w:hAnsi="宋体" w:cs="宋体" w:hint="eastAsia"/>
                      <w:bCs/>
                      <w:color w:val="auto"/>
                      <w:sz w:val="24"/>
                      <w:szCs w:val="24"/>
                      <w:highlight w:val="none"/>
                    </w:rPr>
                    <w:t>3.机电管理人员均具有电气工程师或交通信息工程及控制工程师证书，得20%分；</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bCs/>
                      <w:color w:val="auto"/>
                      <w:sz w:val="24"/>
                      <w:szCs w:val="24"/>
                      <w:highlight w:val="none"/>
                    </w:rPr>
                  </w:pPr>
                  <w:r>
                    <w:rPr>
                      <w:rFonts w:ascii="宋体" w:eastAsia="宋体" w:hAnsi="宋体" w:cs="宋体" w:hint="eastAsia"/>
                      <w:bCs/>
                      <w:color w:val="auto"/>
                      <w:sz w:val="24"/>
                      <w:szCs w:val="24"/>
                      <w:highlight w:val="none"/>
                    </w:rPr>
                    <w:t>4.票证管理人员均具有</w:t>
                  </w:r>
                  <w:r>
                    <w:rPr>
                      <w:rFonts w:ascii="宋体" w:eastAsia="宋体" w:hAnsi="宋体" w:cs="宋体" w:hint="eastAsia"/>
                      <w:sz w:val="24"/>
                      <w:szCs w:val="24"/>
                      <w:highlight w:val="none"/>
                      <w:lang w:val="en-US" w:eastAsia="zh-CN"/>
                    </w:rPr>
                    <w:t>大专</w:t>
                  </w:r>
                  <w:r>
                    <w:rPr>
                      <w:rFonts w:ascii="宋体" w:eastAsia="宋体" w:hAnsi="宋体" w:cs="宋体" w:hint="eastAsia"/>
                      <w:sz w:val="24"/>
                      <w:szCs w:val="24"/>
                      <w:highlight w:val="none"/>
                    </w:rPr>
                    <w:t>（或以上）</w:t>
                  </w:r>
                  <w:r>
                    <w:rPr>
                      <w:rFonts w:ascii="宋体" w:eastAsia="宋体" w:hAnsi="宋体" w:cs="宋体" w:hint="eastAsia"/>
                      <w:sz w:val="24"/>
                      <w:szCs w:val="24"/>
                      <w:highlight w:val="none"/>
                    </w:rPr>
                    <w:t>学历者</w:t>
                  </w:r>
                  <w:r>
                    <w:rPr>
                      <w:rFonts w:ascii="宋体" w:eastAsia="宋体" w:hAnsi="宋体" w:cs="宋体" w:hint="eastAsia"/>
                      <w:bCs/>
                      <w:color w:val="auto"/>
                      <w:sz w:val="24"/>
                      <w:szCs w:val="24"/>
                      <w:highlight w:val="none"/>
                    </w:rPr>
                    <w:t>，得10%分；</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bCs/>
                      <w:color w:val="auto"/>
                      <w:sz w:val="24"/>
                      <w:szCs w:val="24"/>
                      <w:highlight w:val="none"/>
                    </w:rPr>
                  </w:pPr>
                  <w:r>
                    <w:rPr>
                      <w:rFonts w:ascii="宋体" w:eastAsia="宋体" w:hAnsi="宋体" w:cs="宋体" w:hint="eastAsia"/>
                      <w:bCs/>
                      <w:color w:val="auto"/>
                      <w:sz w:val="24"/>
                      <w:szCs w:val="24"/>
                      <w:highlight w:val="none"/>
                    </w:rPr>
                    <w:t>5.投诉与调度管理人员均具有</w:t>
                  </w:r>
                  <w:r>
                    <w:rPr>
                      <w:rFonts w:ascii="宋体" w:eastAsia="宋体" w:hAnsi="宋体" w:cs="宋体" w:hint="eastAsia"/>
                      <w:sz w:val="24"/>
                      <w:szCs w:val="24"/>
                      <w:highlight w:val="none"/>
                      <w:lang w:val="en-US" w:eastAsia="zh-CN"/>
                    </w:rPr>
                    <w:t>大专</w:t>
                  </w:r>
                  <w:r>
                    <w:rPr>
                      <w:rFonts w:ascii="宋体" w:eastAsia="宋体" w:hAnsi="宋体" w:cs="宋体" w:hint="eastAsia"/>
                      <w:sz w:val="24"/>
                      <w:szCs w:val="24"/>
                      <w:highlight w:val="none"/>
                    </w:rPr>
                    <w:t>（或以上）</w:t>
                  </w:r>
                  <w:r>
                    <w:rPr>
                      <w:rFonts w:ascii="宋体" w:eastAsia="宋体" w:hAnsi="宋体" w:cs="宋体" w:hint="eastAsia"/>
                      <w:sz w:val="24"/>
                      <w:szCs w:val="24"/>
                      <w:highlight w:val="none"/>
                    </w:rPr>
                    <w:t>学历者</w:t>
                  </w:r>
                  <w:r>
                    <w:rPr>
                      <w:rFonts w:ascii="宋体" w:eastAsia="宋体" w:hAnsi="宋体" w:cs="宋体" w:hint="eastAsia"/>
                      <w:bCs/>
                      <w:color w:val="auto"/>
                      <w:sz w:val="24"/>
                      <w:szCs w:val="24"/>
                      <w:highlight w:val="none"/>
                    </w:rPr>
                    <w:t>，得10%分；</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bCs/>
                      <w:color w:val="auto"/>
                      <w:sz w:val="24"/>
                      <w:szCs w:val="24"/>
                      <w:highlight w:val="none"/>
                    </w:rPr>
                  </w:pPr>
                  <w:r>
                    <w:rPr>
                      <w:rFonts w:ascii="宋体" w:eastAsia="宋体" w:hAnsi="宋体" w:cs="宋体" w:hint="eastAsia"/>
                      <w:bCs/>
                      <w:color w:val="auto"/>
                      <w:sz w:val="24"/>
                      <w:szCs w:val="24"/>
                      <w:highlight w:val="none"/>
                    </w:rPr>
                    <w:t>6.路政管理人员均持有省</w:t>
                  </w:r>
                  <w:r>
                    <w:rPr>
                      <w:rFonts w:ascii="宋体" w:eastAsia="宋体" w:hAnsi="宋体" w:cs="宋体" w:hint="eastAsia"/>
                      <w:bCs/>
                      <w:color w:val="auto"/>
                      <w:sz w:val="24"/>
                      <w:szCs w:val="24"/>
                      <w:highlight w:val="none"/>
                      <w:lang w:eastAsia="zh-CN"/>
                    </w:rPr>
                    <w:t>级</w:t>
                  </w:r>
                  <w:r>
                    <w:rPr>
                      <w:rFonts w:ascii="宋体" w:eastAsia="宋体" w:hAnsi="宋体" w:cs="宋体" w:hint="eastAsia"/>
                      <w:bCs/>
                      <w:color w:val="auto"/>
                      <w:sz w:val="24"/>
                      <w:szCs w:val="24"/>
                      <w:highlight w:val="none"/>
                    </w:rPr>
                    <w:t>公路</w:t>
                  </w:r>
                  <w:r>
                    <w:rPr>
                      <w:rFonts w:ascii="宋体" w:eastAsia="宋体" w:hAnsi="宋体" w:cs="宋体" w:hint="eastAsia"/>
                      <w:bCs/>
                      <w:color w:val="auto"/>
                      <w:sz w:val="24"/>
                      <w:szCs w:val="24"/>
                      <w:highlight w:val="none"/>
                      <w:lang w:eastAsia="zh-CN"/>
                    </w:rPr>
                    <w:t>管理机构</w:t>
                  </w:r>
                  <w:r>
                    <w:rPr>
                      <w:rFonts w:ascii="宋体" w:eastAsia="宋体" w:hAnsi="宋体" w:cs="宋体" w:hint="eastAsia"/>
                      <w:bCs/>
                      <w:color w:val="auto"/>
                      <w:sz w:val="24"/>
                      <w:szCs w:val="24"/>
                      <w:highlight w:val="none"/>
                    </w:rPr>
                    <w:t>颁发的《高速公路路政管理证》，得30%分；</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bCs/>
                      <w:color w:val="auto"/>
                      <w:sz w:val="24"/>
                      <w:szCs w:val="24"/>
                      <w:highlight w:val="none"/>
                    </w:rPr>
                  </w:pPr>
                  <w:r>
                    <w:rPr>
                      <w:rFonts w:ascii="宋体" w:eastAsia="宋体" w:hAnsi="宋体" w:cs="宋体" w:hint="eastAsia"/>
                      <w:bCs/>
                      <w:color w:val="auto"/>
                      <w:sz w:val="24"/>
                      <w:szCs w:val="24"/>
                      <w:highlight w:val="none"/>
                    </w:rPr>
                    <w:t>7.安全业务管理人员均具有应急管理部门颁发的安全生产知识和管理能力考核合格证，得10%分。</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（二）评分依据：</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color w:val="auto"/>
                      <w:sz w:val="24"/>
                      <w:szCs w:val="24"/>
                      <w:highlight w:val="none"/>
                      <w:lang w:eastAsia="zh-CN"/>
                    </w:rPr>
                  </w:pPr>
                  <w:r>
                    <w:rPr>
                      <w:rFonts w:ascii="宋体" w:eastAsia="宋体" w:hAnsi="宋体" w:cs="宋体" w:hint="eastAsia"/>
                      <w:color w:val="auto"/>
                      <w:sz w:val="24"/>
                      <w:szCs w:val="24"/>
                      <w:highlight w:val="none"/>
                    </w:rPr>
                    <w:t>1.要求提供通过投标人缴纳的项目团队成员近一个月的社保证明（如供应商为新成立单位且成立时间不足一个月的，可提供加盖公章的情况说明或者证明材料亦视为符合。</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2.要求提供项目团队成员学历证书以及学信网查询记录。对于较早颁发的学历证书，学信网无法查询的，除要求提供证书扫描件，还需提供其他佐证材料（如毕业院校、人社部门等颁发机构或监管机构等单位出具的证明），海外留学（含港澳台）人员学历无法通过学信网站查询，应当提供教育部留学服务中心出具的国外学历认证证书以及教育部留学服务中心官网查询截图。。</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3.通过合同关键信息无法判断是否得分的，还须同时提供能证明得分的其它证明资料，如项目报告或合同甲方出具的证明文件等。</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lang w:val="en-US" w:eastAsia="zh-CN"/>
                    </w:rPr>
                    <w:t>4</w:t>
                  </w:r>
                  <w:r>
                    <w:rPr>
                      <w:rFonts w:ascii="宋体" w:eastAsia="宋体" w:hAnsi="宋体" w:cs="宋体" w:hint="eastAsia"/>
                      <w:color w:val="auto"/>
                      <w:sz w:val="24"/>
                      <w:szCs w:val="24"/>
                      <w:highlight w:val="none"/>
                    </w:rPr>
                    <w:t>.以上资料均要求提供扫描件</w:t>
                  </w:r>
                  <w:r>
                    <w:rPr>
                      <w:rFonts w:ascii="宋体" w:eastAsia="宋体" w:hAnsi="宋体" w:cs="宋体" w:hint="eastAsia"/>
                      <w:color w:val="auto"/>
                      <w:sz w:val="24"/>
                      <w:szCs w:val="24"/>
                      <w:highlight w:val="none"/>
                      <w:lang w:val="en-US" w:eastAsia="zh-CN"/>
                    </w:rPr>
                    <w:t>（或官方网站截图）</w:t>
                  </w:r>
                  <w:r>
                    <w:rPr>
                      <w:rFonts w:ascii="宋体" w:eastAsia="宋体" w:hAnsi="宋体" w:cs="宋体" w:hint="eastAsia"/>
                      <w:color w:val="auto"/>
                      <w:sz w:val="24"/>
                      <w:szCs w:val="24"/>
                      <w:highlight w:val="none"/>
                    </w:rPr>
                    <w:t>，原件备查。评标时出现无证明资料或专家无法凭所提供资料判断是否得分的情况，一律作不得分处理。</w:t>
                  </w:r>
                </w:p>
              </w:tc>
            </w:tr>
            <w:tr>
              <w:tblPrEx>
                <w:tblW w:w="0" w:type="auto"/>
                <w:jc w:val="center"/>
                <w:tblCellMar>
                  <w:top w:w="0" w:type="dxa"/>
                  <w:left w:w="108" w:type="dxa"/>
                  <w:bottom w:w="0" w:type="dxa"/>
                  <w:right w:w="108" w:type="dxa"/>
                </w:tblCellMar>
              </w:tblPrEx>
              <w:trPr>
                <w:trHeight w:val="78"/>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FFFFFF"/>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left"/>
                    <w:textAlignment w:val="auto"/>
                    <w:rPr>
                      <w:rFonts w:ascii="宋体" w:eastAsia="宋体" w:hAnsi="宋体" w:cs="宋体" w:hint="eastAsia"/>
                      <w:color w:val="auto"/>
                      <w:sz w:val="24"/>
                      <w:szCs w:val="24"/>
                      <w:highlight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lang w:eastAsia="zh-CN"/>
                    </w:rPr>
                  </w:pPr>
                  <w:r>
                    <w:rPr>
                      <w:rFonts w:ascii="宋体" w:eastAsia="宋体" w:hAnsi="宋体" w:cs="宋体" w:hint="eastAsia"/>
                      <w:color w:val="auto"/>
                      <w:sz w:val="24"/>
                      <w:szCs w:val="24"/>
                      <w:highlight w:val="none"/>
                      <w:lang w:val="en-US" w:eastAsia="zh-CN"/>
                    </w:rPr>
                    <w:t>4</w:t>
                  </w: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投标人自主知识产权产品（创新、设计）情况</w:t>
                  </w: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5</w:t>
                  </w:r>
                </w:p>
              </w:tc>
              <w:tc>
                <w:tcPr>
                  <w:tcW w:w="4771" w:type="dxa"/>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（一）评分内容：</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具备高速公路收费站智慧化</w:t>
                  </w:r>
                  <w:r>
                    <w:rPr>
                      <w:rFonts w:ascii="宋体" w:eastAsia="宋体" w:hAnsi="宋体" w:cs="宋体" w:hint="eastAsia"/>
                      <w:color w:val="auto"/>
                      <w:sz w:val="24"/>
                      <w:szCs w:val="24"/>
                      <w:highlight w:val="none"/>
                      <w:lang w:eastAsia="zh-CN"/>
                    </w:rPr>
                    <w:t>或</w:t>
                  </w:r>
                  <w:r>
                    <w:rPr>
                      <w:rFonts w:ascii="宋体" w:eastAsia="宋体" w:hAnsi="宋体" w:cs="宋体" w:hint="eastAsia"/>
                      <w:color w:val="auto"/>
                      <w:sz w:val="24"/>
                      <w:szCs w:val="24"/>
                      <w:highlight w:val="none"/>
                    </w:rPr>
                    <w:t>信息化建设相关自主知识产权产品（如：无感支付、智慧收费、道路联勤、</w:t>
                  </w:r>
                  <w:r>
                    <w:rPr>
                      <w:rFonts w:ascii="宋体" w:eastAsia="宋体" w:hAnsi="宋体" w:cs="宋体" w:hint="eastAsia"/>
                      <w:i w:val="0"/>
                      <w:iCs w:val="0"/>
                      <w:caps w:val="0"/>
                      <w:color w:val="auto"/>
                      <w:spacing w:val="0"/>
                      <w:sz w:val="24"/>
                      <w:szCs w:val="24"/>
                      <w:highlight w:val="none"/>
                      <w:shd w:val="clear" w:color="auto" w:fill="auto"/>
                    </w:rPr>
                    <w:t>收费站引导</w:t>
                  </w:r>
                  <w:r>
                    <w:rPr>
                      <w:rFonts w:ascii="宋体" w:eastAsia="宋体" w:hAnsi="宋体" w:cs="宋体" w:hint="eastAsia"/>
                      <w:color w:val="auto"/>
                      <w:sz w:val="24"/>
                      <w:szCs w:val="24"/>
                      <w:highlight w:val="none"/>
                    </w:rPr>
                    <w:t>等），每提供一个得20%分，最高得100%分。</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（二）评分依据:</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1.要求提供有效的产权（专利</w:t>
                  </w:r>
                  <w:r>
                    <w:rPr>
                      <w:rFonts w:ascii="宋体" w:eastAsia="宋体" w:hAnsi="宋体" w:cs="宋体" w:hint="eastAsia"/>
                      <w:color w:val="auto"/>
                      <w:sz w:val="24"/>
                      <w:szCs w:val="24"/>
                      <w:highlight w:val="none"/>
                      <w:lang w:eastAsia="zh-CN"/>
                    </w:rPr>
                    <w:t>或</w:t>
                  </w:r>
                  <w:r>
                    <w:rPr>
                      <w:rFonts w:ascii="宋体" w:eastAsia="宋体" w:hAnsi="宋体" w:cs="宋体" w:hint="eastAsia"/>
                      <w:color w:val="auto"/>
                      <w:sz w:val="24"/>
                      <w:szCs w:val="24"/>
                      <w:highlight w:val="none"/>
                    </w:rPr>
                    <w:t>著作权）登记证书等证明材料作为得分依据。</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2.以上资料均要求提供扫描件（或官方网站截图），原件备查。评分中出现无证明资料或专家无法凭所提供资料判断是否得分。</w:t>
                  </w:r>
                </w:p>
              </w:tc>
            </w:tr>
            <w:tr>
              <w:tblPrEx>
                <w:tblW w:w="0" w:type="auto"/>
                <w:jc w:val="center"/>
                <w:tblCellMar>
                  <w:top w:w="0" w:type="dxa"/>
                  <w:left w:w="108" w:type="dxa"/>
                  <w:bottom w:w="0" w:type="dxa"/>
                  <w:right w:w="108" w:type="dxa"/>
                </w:tblCellMar>
              </w:tblPrEx>
              <w:trPr>
                <w:trHeight w:val="78"/>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四</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诚信情况</w:t>
                  </w:r>
                </w:p>
              </w:tc>
              <w:tc>
                <w:tcPr>
                  <w:tcW w:w="4771" w:type="dxa"/>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5</w:t>
                  </w:r>
                </w:p>
              </w:tc>
            </w:tr>
            <w:tr>
              <w:tblPrEx>
                <w:tblW w:w="0" w:type="auto"/>
                <w:jc w:val="center"/>
                <w:tblCellMar>
                  <w:top w:w="0" w:type="dxa"/>
                  <w:left w:w="108" w:type="dxa"/>
                  <w:bottom w:w="0" w:type="dxa"/>
                  <w:right w:w="108" w:type="dxa"/>
                </w:tblCellMar>
              </w:tblPrEx>
              <w:trPr>
                <w:trHeight w:val="78"/>
                <w:jc w:val="cent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bCs/>
                      <w:color w:val="auto"/>
                      <w:sz w:val="24"/>
                      <w:szCs w:val="24"/>
                      <w:highlight w:val="none"/>
                    </w:rPr>
                  </w:pPr>
                  <w:r>
                    <w:rPr>
                      <w:rFonts w:ascii="宋体" w:eastAsia="宋体" w:hAnsi="宋体" w:cs="宋体" w:hint="eastAsia"/>
                      <w:bCs/>
                      <w:color w:val="auto"/>
                      <w:sz w:val="24"/>
                      <w:szCs w:val="24"/>
                      <w:highlight w:val="none"/>
                    </w:rPr>
                    <w:t>序号</w:t>
                  </w: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bCs/>
                      <w:color w:val="auto"/>
                      <w:sz w:val="24"/>
                      <w:szCs w:val="24"/>
                      <w:highlight w:val="none"/>
                    </w:rPr>
                  </w:pPr>
                  <w:r>
                    <w:rPr>
                      <w:rFonts w:ascii="宋体" w:eastAsia="宋体" w:hAnsi="宋体" w:cs="宋体" w:hint="eastAsia"/>
                      <w:bCs/>
                      <w:color w:val="auto"/>
                      <w:sz w:val="24"/>
                      <w:szCs w:val="24"/>
                      <w:highlight w:val="none"/>
                    </w:rPr>
                    <w:t>评分因素</w:t>
                  </w: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bCs/>
                      <w:color w:val="auto"/>
                      <w:sz w:val="24"/>
                      <w:szCs w:val="24"/>
                      <w:highlight w:val="none"/>
                    </w:rPr>
                  </w:pPr>
                  <w:r>
                    <w:rPr>
                      <w:rFonts w:ascii="宋体" w:eastAsia="宋体" w:hAnsi="宋体" w:cs="宋体" w:hint="eastAsia"/>
                      <w:bCs/>
                      <w:color w:val="auto"/>
                      <w:sz w:val="24"/>
                      <w:szCs w:val="24"/>
                      <w:highlight w:val="none"/>
                    </w:rPr>
                    <w:t>权重</w:t>
                  </w:r>
                </w:p>
              </w:tc>
              <w:tc>
                <w:tcPr>
                  <w:tcW w:w="4771" w:type="dxa"/>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bCs/>
                      <w:color w:val="auto"/>
                      <w:sz w:val="24"/>
                      <w:szCs w:val="24"/>
                      <w:highlight w:val="none"/>
                    </w:rPr>
                  </w:pPr>
                  <w:r>
                    <w:rPr>
                      <w:rFonts w:ascii="宋体" w:eastAsia="宋体" w:hAnsi="宋体" w:cs="宋体" w:hint="eastAsia"/>
                      <w:bCs/>
                      <w:color w:val="auto"/>
                      <w:sz w:val="24"/>
                      <w:szCs w:val="24"/>
                      <w:highlight w:val="none"/>
                    </w:rPr>
                    <w:t>评分准则</w:t>
                  </w:r>
                </w:p>
              </w:tc>
            </w:tr>
            <w:tr>
              <w:tblPrEx>
                <w:tblW w:w="0" w:type="auto"/>
                <w:jc w:val="center"/>
                <w:tblCellMar>
                  <w:top w:w="0" w:type="dxa"/>
                  <w:left w:w="108" w:type="dxa"/>
                  <w:bottom w:w="0" w:type="dxa"/>
                  <w:right w:w="108" w:type="dxa"/>
                </w:tblCellMar>
              </w:tblPrEx>
              <w:trPr>
                <w:trHeight w:val="800"/>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w:t>
                  </w: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市财政局诚信管理情况</w:t>
                  </w:r>
                </w:p>
              </w:tc>
              <w:tc>
                <w:tcPr>
                  <w:tcW w:w="0" w:type="auto"/>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center"/>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5</w:t>
                  </w:r>
                </w:p>
              </w:tc>
              <w:tc>
                <w:tcPr>
                  <w:tcW w:w="4771" w:type="dxa"/>
                  <w:tcBorders>
                    <w:top w:val="single" w:sz="4" w:space="0" w:color="000000"/>
                    <w:left w:val="single" w:sz="4" w:space="0" w:color="000000"/>
                    <w:bottom w:val="single" w:sz="4" w:space="0" w:color="000000"/>
                    <w:right w:val="single" w:sz="4" w:space="0" w:color="000000"/>
                  </w:tcBorders>
                  <w:shd w:val="clear" w:color="auto" w:fill="FFFFFF"/>
                  <w:noWrap w:val="0"/>
                  <w:vAlign w:val="top"/>
                </w:tcPr>
                <w:p>
                  <w:pPr>
                    <w:keepNext w:val="0"/>
                    <w:keepLines w:val="0"/>
                    <w:pageBreakBefore w:val="0"/>
                    <w:widowControl/>
                    <w:kinsoku/>
                    <w:wordWrap/>
                    <w:overflowPunct/>
                    <w:topLinePunct w:val="0"/>
                    <w:autoSpaceDE/>
                    <w:autoSpaceDN/>
                    <w:bidi w:val="0"/>
                    <w:adjustRightInd/>
                    <w:snapToGrid/>
                    <w:spacing w:line="240" w:lineRule="auto"/>
                    <w:ind w:left="0" w:firstLine="0" w:leftChars="0"/>
                    <w:jc w:val="left"/>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（一）评分内容：</w:t>
                  </w:r>
                </w:p>
                <w:p>
                  <w:pPr>
                    <w:keepNext w:val="0"/>
                    <w:keepLines w:val="0"/>
                    <w:pageBreakBefore w:val="0"/>
                    <w:widowControl/>
                    <w:kinsoku/>
                    <w:wordWrap/>
                    <w:overflowPunct/>
                    <w:topLinePunct w:val="0"/>
                    <w:autoSpaceDE/>
                    <w:autoSpaceDN/>
                    <w:bidi w:val="0"/>
                    <w:adjustRightInd/>
                    <w:snapToGrid/>
                    <w:spacing w:line="240" w:lineRule="auto"/>
                    <w:ind w:left="0" w:firstLine="0" w:leftChars="0"/>
                    <w:jc w:val="left"/>
                    <w:textAlignment w:val="auto"/>
                    <w:rPr>
                      <w:rFonts w:ascii="宋体" w:eastAsia="宋体" w:hAnsi="宋体" w:cs="宋体" w:hint="eastAsia"/>
                      <w:b w:val="0"/>
                      <w:bCs w:val="0"/>
                      <w:color w:val="auto"/>
                      <w:sz w:val="24"/>
                      <w:szCs w:val="24"/>
                      <w:highlight w:val="none"/>
                    </w:rPr>
                  </w:pPr>
                  <w:r>
                    <w:rPr>
                      <w:rFonts w:ascii="宋体" w:eastAsia="宋体" w:hAnsi="宋体" w:cs="宋体" w:hint="eastAsia"/>
                      <w:color w:val="auto"/>
                      <w:sz w:val="24"/>
                      <w:szCs w:val="24"/>
                      <w:highlight w:val="none"/>
                    </w:rPr>
                    <w:t>根据《深圳市财政局关于印发&lt;深圳市财政局政府采购 供应商信用信息管理办法&gt;的通知》（深财规〔2023〕3 号）相关规定，如供应商在全国范围内存在因政府采购 违法、违规行为受到财政部门罚款等一般行政处罚信息，或者存在该办法第十一条所称在本市集中采购活动中的一般违法失信行为记录信息，且在公示期内的，本项不得分，否则得 100%分</w:t>
                  </w:r>
                  <w:r>
                    <w:rPr>
                      <w:rFonts w:ascii="宋体" w:eastAsia="宋体" w:hAnsi="宋体" w:cs="宋体" w:hint="eastAsia"/>
                      <w:b w:val="0"/>
                      <w:bCs w:val="0"/>
                      <w:color w:val="auto"/>
                      <w:sz w:val="24"/>
                      <w:szCs w:val="24"/>
                      <w:highlight w:val="none"/>
                    </w:rPr>
                    <w:t>。</w:t>
                  </w:r>
                </w:p>
                <w:p>
                  <w:pPr>
                    <w:keepNext w:val="0"/>
                    <w:keepLines w:val="0"/>
                    <w:pageBreakBefore w:val="0"/>
                    <w:widowControl/>
                    <w:kinsoku/>
                    <w:wordWrap/>
                    <w:overflowPunct/>
                    <w:topLinePunct w:val="0"/>
                    <w:autoSpaceDE/>
                    <w:autoSpaceDN/>
                    <w:bidi w:val="0"/>
                    <w:adjustRightInd/>
                    <w:snapToGrid/>
                    <w:spacing w:line="240" w:lineRule="auto"/>
                    <w:ind w:left="0" w:firstLine="0" w:leftChars="0"/>
                    <w:jc w:val="left"/>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（二）评分依据:</w:t>
                  </w:r>
                </w:p>
                <w:p>
                  <w:pPr>
                    <w:keepNext w:val="0"/>
                    <w:keepLines w:val="0"/>
                    <w:pageBreakBefore w:val="0"/>
                    <w:widowControl/>
                    <w:kinsoku/>
                    <w:wordWrap/>
                    <w:overflowPunct/>
                    <w:topLinePunct w:val="0"/>
                    <w:autoSpaceDE/>
                    <w:autoSpaceDN/>
                    <w:bidi w:val="0"/>
                    <w:adjustRightInd/>
                    <w:snapToGrid/>
                    <w:spacing w:line="240" w:lineRule="auto"/>
                    <w:ind w:left="0" w:firstLine="0" w:leftChars="0"/>
                    <w:textAlignment w:val="auto"/>
                    <w:rPr>
                      <w:rFonts w:ascii="宋体" w:eastAsia="宋体" w:hAnsi="宋体" w:cs="宋体" w:hint="eastAsia"/>
                      <w:b/>
                      <w:bCs/>
                      <w:color w:val="auto"/>
                      <w:sz w:val="24"/>
                      <w:szCs w:val="24"/>
                      <w:highlight w:val="none"/>
                    </w:rPr>
                  </w:pPr>
                  <w:r>
                    <w:rPr>
                      <w:rFonts w:ascii="宋体" w:eastAsia="宋体" w:hAnsi="宋体" w:cs="宋体" w:hint="eastAsia"/>
                      <w:color w:val="auto"/>
                      <w:sz w:val="24"/>
                      <w:szCs w:val="24"/>
                      <w:highlight w:val="none"/>
                    </w:rPr>
                    <w:t>采购代理机构通过“信用中国”、“中国政府采购网”、“深圳市政府采购监管网”以及市、区财政部门认定的其他渠道查询供应商信用信息，投标人无需提供证明材料</w:t>
                  </w:r>
                  <w:r>
                    <w:rPr>
                      <w:rFonts w:ascii="宋体" w:eastAsia="宋体" w:hAnsi="宋体" w:cs="宋体" w:hint="eastAsia"/>
                      <w:b w:val="0"/>
                      <w:bCs w:val="0"/>
                      <w:color w:val="auto"/>
                      <w:sz w:val="24"/>
                      <w:szCs w:val="24"/>
                      <w:highlight w:val="none"/>
                    </w:rPr>
                    <w:t>。</w:t>
                  </w:r>
                </w:p>
              </w:tc>
            </w:tr>
          </w:tbl>
          <w:p>
            <w:pPr>
              <w:pStyle w:val="NormalWeb"/>
              <w:keepNext w:val="0"/>
              <w:pageBreakBefore w:val="0"/>
              <w:kinsoku/>
              <w:overflowPunct/>
              <w:topLinePunct w:val="0"/>
              <w:autoSpaceDE/>
              <w:autoSpaceDN/>
              <w:bidi w:val="0"/>
              <w:adjustRightInd/>
              <w:snapToGrid/>
              <w:spacing w:line="240" w:lineRule="auto"/>
              <w:textAlignment w:val="auto"/>
              <w:rPr>
                <w:rFonts w:ascii="宋体" w:eastAsia="宋体" w:hAnsi="宋体" w:cs="宋体" w:hint="eastAsia"/>
                <w:color w:val="000000" w:themeColor="text1"/>
                <w:sz w:val="24"/>
                <w:szCs w:val="24"/>
                <w:highlight w:val="none"/>
                <w14:textFill>
                  <w14:solidFill>
                    <w14:schemeClr w14:val="tx1"/>
                  </w14:solidFill>
                </w14:textFill>
              </w:rPr>
            </w:pPr>
          </w:p>
        </w:tc>
      </w:tr>
    </w:tbl>
    <w:p>
      <w:pPr>
        <w:rPr>
          <w:vanish/>
          <w:color w:val="000000" w:themeColor="text1"/>
          <w:highlight w:val="none"/>
          <w14:textFill>
            <w14:solidFill>
              <w14:schemeClr w14:val="tx1"/>
            </w14:solidFill>
          </w14:textFill>
        </w:rPr>
      </w:pPr>
    </w:p>
    <w:p>
      <w:pPr>
        <w:rPr>
          <w:rFonts w:eastAsia="黑体"/>
          <w:highlight w:val="none"/>
        </w:rPr>
      </w:pPr>
    </w:p>
    <w:p>
      <w:pPr>
        <w:rPr>
          <w:rFonts w:eastAsia="黑体"/>
          <w:highlight w:val="none"/>
        </w:rPr>
      </w:pPr>
    </w:p>
    <w:p>
      <w:pPr>
        <w:rPr>
          <w:rFonts w:eastAsia="黑体"/>
          <w:highlight w:val="none"/>
        </w:rPr>
      </w:pPr>
      <w:r>
        <w:rPr>
          <w:rFonts w:eastAsia="黑体"/>
          <w:highlight w:val="none"/>
        </w:rPr>
        <w:br w:type="page"/>
      </w:r>
    </w:p>
    <w:p>
      <w:pPr>
        <w:pStyle w:val="NormalWeb"/>
        <w:spacing w:line="360" w:lineRule="auto"/>
        <w:jc w:val="center"/>
        <w:outlineLvl w:val="1"/>
        <w:rPr>
          <w:rFonts w:ascii="黑体" w:eastAsia="黑体" w:hAnsi="黑体"/>
          <w:color w:val="000000" w:themeColor="text1"/>
          <w:sz w:val="40"/>
          <w:szCs w:val="40"/>
          <w:highlight w:val="none"/>
          <w14:textFill>
            <w14:solidFill>
              <w14:schemeClr w14:val="tx1"/>
            </w14:solidFill>
          </w14:textFill>
        </w:rPr>
      </w:pPr>
      <w:r>
        <w:rPr>
          <w:rFonts w:ascii="黑体" w:eastAsia="黑体" w:hAnsi="黑体" w:hint="eastAsia"/>
          <w:color w:val="000000" w:themeColor="text1"/>
          <w:sz w:val="40"/>
          <w:szCs w:val="40"/>
          <w:highlight w:val="none"/>
          <w14:textFill>
            <w14:solidFill>
              <w14:schemeClr w14:val="tx1"/>
            </w14:solidFill>
          </w14:textFill>
        </w:rPr>
        <w:t>投标书目录</w:t>
      </w:r>
    </w:p>
    <w:tbl>
      <w:tblPr>
        <w:tblStyle w:val="TableNormal"/>
        <w:tblW w:w="9072" w:type="dxa"/>
        <w:jc w:val="center"/>
        <w:tblCellSpacing w:w="0" w:type="dxa"/>
        <w:tblLayout w:type="fixed"/>
        <w:tblCellMar>
          <w:top w:w="45" w:type="dxa"/>
          <w:left w:w="45" w:type="dxa"/>
          <w:bottom w:w="45" w:type="dxa"/>
          <w:right w:w="45" w:type="dxa"/>
        </w:tblCellMar>
      </w:tblPr>
      <w:tblGrid>
        <w:gridCol w:w="9072"/>
      </w:tblGrid>
      <w:tr>
        <w:tblPrEx>
          <w:tblW w:w="9072" w:type="dxa"/>
          <w:jc w:val="center"/>
          <w:tblCellSpacing w:w="0" w:type="dxa"/>
          <w:tblLayout w:type="fixed"/>
          <w:tblCellMar>
            <w:top w:w="45" w:type="dxa"/>
            <w:left w:w="45" w:type="dxa"/>
            <w:bottom w:w="45" w:type="dxa"/>
            <w:right w:w="45" w:type="dxa"/>
          </w:tblCellMar>
        </w:tblPrEx>
        <w:trPr>
          <w:trHeight w:val="11432"/>
          <w:tblCellSpacing w:w="0" w:type="dxa"/>
          <w:jc w:val="center"/>
        </w:trPr>
        <w:tc>
          <w:tcPr>
            <w:tcW w:w="9072" w:type="dxa"/>
            <w:vAlign w:val="center"/>
          </w:tcPr>
          <w:p>
            <w:pPr>
              <w:outlineLvl w:val="1"/>
              <w:rPr>
                <w:rFonts w:ascii="宋体" w:hAnsi="宋体"/>
                <w:b/>
                <w:bCs/>
                <w:color w:val="FF0000"/>
                <w:sz w:val="28"/>
                <w:szCs w:val="28"/>
                <w:highlight w:val="none"/>
              </w:rPr>
            </w:pPr>
            <w:r>
              <w:rPr>
                <w:rFonts w:ascii="宋体" w:hAnsi="宋体" w:hint="eastAsia"/>
                <w:b/>
                <w:bCs/>
                <w:color w:val="FF0000"/>
                <w:sz w:val="28"/>
                <w:szCs w:val="28"/>
                <w:highlight w:val="none"/>
              </w:rPr>
              <w:t>1.投标文件正文（信息公开部分）：</w:t>
            </w:r>
          </w:p>
          <w:p>
            <w:pPr>
              <w:outlineLvl w:val="1"/>
              <w:rPr>
                <w:rFonts w:ascii="宋体" w:hAnsi="宋体"/>
                <w:sz w:val="28"/>
                <w:szCs w:val="28"/>
                <w:highlight w:val="none"/>
              </w:rPr>
            </w:pPr>
            <w:r>
              <w:rPr>
                <w:rFonts w:ascii="宋体" w:hAnsi="宋体" w:hint="eastAsia"/>
                <w:sz w:val="28"/>
                <w:szCs w:val="28"/>
                <w:highlight w:val="none"/>
              </w:rPr>
              <w:t>（1）投标函</w:t>
            </w:r>
          </w:p>
          <w:p>
            <w:pPr>
              <w:outlineLvl w:val="1"/>
              <w:rPr>
                <w:rFonts w:ascii="宋体" w:hAnsi="宋体"/>
                <w:sz w:val="28"/>
                <w:szCs w:val="28"/>
                <w:highlight w:val="none"/>
              </w:rPr>
            </w:pPr>
            <w:r>
              <w:rPr>
                <w:rFonts w:ascii="宋体" w:hAnsi="宋体" w:hint="eastAsia"/>
                <w:sz w:val="28"/>
                <w:szCs w:val="28"/>
                <w:highlight w:val="none"/>
              </w:rPr>
              <w:t>（2）政府采购投标及履约承诺函</w:t>
            </w:r>
          </w:p>
          <w:p>
            <w:pPr>
              <w:outlineLvl w:val="1"/>
              <w:rPr>
                <w:rFonts w:ascii="宋体" w:hAnsi="宋体"/>
                <w:sz w:val="28"/>
                <w:szCs w:val="28"/>
                <w:highlight w:val="none"/>
              </w:rPr>
            </w:pPr>
            <w:r>
              <w:rPr>
                <w:rFonts w:ascii="宋体" w:hAnsi="宋体" w:hint="eastAsia"/>
                <w:sz w:val="28"/>
                <w:szCs w:val="28"/>
                <w:highlight w:val="none"/>
              </w:rPr>
              <w:t>（3）投标人情况及资格证明文件</w:t>
            </w:r>
          </w:p>
          <w:p>
            <w:pPr>
              <w:outlineLvl w:val="1"/>
              <w:rPr>
                <w:rFonts w:ascii="宋体" w:hAnsi="宋体"/>
                <w:sz w:val="28"/>
                <w:szCs w:val="28"/>
                <w:highlight w:val="none"/>
              </w:rPr>
            </w:pPr>
            <w:r>
              <w:rPr>
                <w:rFonts w:ascii="宋体" w:hAnsi="宋体" w:hint="eastAsia"/>
                <w:sz w:val="28"/>
                <w:szCs w:val="28"/>
                <w:highlight w:val="none"/>
              </w:rPr>
              <w:t>（4）项目详细报价</w:t>
            </w:r>
          </w:p>
          <w:p>
            <w:pPr>
              <w:outlineLvl w:val="1"/>
              <w:rPr>
                <w:rFonts w:ascii="宋体" w:hAnsi="宋体"/>
                <w:sz w:val="28"/>
                <w:szCs w:val="28"/>
                <w:highlight w:val="none"/>
              </w:rPr>
            </w:pPr>
            <w:r>
              <w:rPr>
                <w:rFonts w:ascii="宋体" w:hAnsi="宋体" w:hint="eastAsia"/>
                <w:sz w:val="28"/>
                <w:szCs w:val="28"/>
                <w:highlight w:val="none"/>
              </w:rPr>
              <w:t>（</w:t>
            </w:r>
            <w:r>
              <w:rPr>
                <w:rFonts w:ascii="宋体" w:hAnsi="宋体"/>
                <w:sz w:val="28"/>
                <w:szCs w:val="28"/>
                <w:highlight w:val="none"/>
              </w:rPr>
              <w:t>5</w:t>
            </w:r>
            <w:r>
              <w:rPr>
                <w:rFonts w:ascii="宋体" w:hAnsi="宋体" w:hint="eastAsia"/>
                <w:sz w:val="28"/>
                <w:szCs w:val="28"/>
                <w:highlight w:val="none"/>
              </w:rPr>
              <w:t>）供应商同类业绩情况</w:t>
            </w:r>
          </w:p>
          <w:p>
            <w:pPr>
              <w:outlineLvl w:val="1"/>
              <w:rPr>
                <w:rFonts w:ascii="宋体" w:hAnsi="宋体"/>
                <w:sz w:val="28"/>
                <w:szCs w:val="28"/>
                <w:highlight w:val="none"/>
              </w:rPr>
            </w:pPr>
            <w:r>
              <w:rPr>
                <w:rFonts w:ascii="宋体" w:hAnsi="宋体" w:hint="eastAsia"/>
                <w:sz w:val="28"/>
                <w:szCs w:val="28"/>
                <w:highlight w:val="none"/>
              </w:rPr>
              <w:t>（</w:t>
            </w:r>
            <w:r>
              <w:rPr>
                <w:rFonts w:ascii="宋体" w:hAnsi="宋体"/>
                <w:sz w:val="28"/>
                <w:szCs w:val="28"/>
                <w:highlight w:val="none"/>
              </w:rPr>
              <w:t>6</w:t>
            </w:r>
            <w:r>
              <w:rPr>
                <w:rFonts w:ascii="宋体" w:hAnsi="宋体" w:hint="eastAsia"/>
                <w:sz w:val="28"/>
                <w:szCs w:val="28"/>
                <w:highlight w:val="none"/>
              </w:rPr>
              <w:t>）投标人自主知识产权产品（创新、设计）情况</w:t>
            </w:r>
          </w:p>
          <w:p>
            <w:pPr>
              <w:outlineLvl w:val="1"/>
              <w:rPr>
                <w:rFonts w:ascii="宋体" w:eastAsia="宋体" w:hAnsi="宋体" w:hint="eastAsia"/>
                <w:sz w:val="28"/>
                <w:szCs w:val="28"/>
                <w:highlight w:val="none"/>
                <w:lang w:eastAsia="zh-CN"/>
              </w:rPr>
            </w:pPr>
            <w:r>
              <w:rPr>
                <w:rFonts w:ascii="宋体" w:hAnsi="宋体" w:hint="eastAsia"/>
                <w:sz w:val="28"/>
                <w:szCs w:val="28"/>
                <w:highlight w:val="none"/>
              </w:rPr>
              <w:t>（</w:t>
            </w:r>
            <w:r>
              <w:rPr>
                <w:rFonts w:ascii="宋体" w:hAnsi="宋体" w:hint="eastAsia"/>
                <w:sz w:val="28"/>
                <w:szCs w:val="28"/>
                <w:highlight w:val="none"/>
                <w:lang w:val="en-US" w:eastAsia="zh-CN"/>
              </w:rPr>
              <w:t>7</w:t>
            </w:r>
            <w:r>
              <w:rPr>
                <w:rFonts w:ascii="宋体" w:hAnsi="宋体" w:hint="eastAsia"/>
                <w:sz w:val="28"/>
                <w:szCs w:val="28"/>
                <w:highlight w:val="none"/>
              </w:rPr>
              <w:t>）投标人认为需要加以说明的其他内容</w:t>
            </w:r>
            <w:r>
              <w:rPr>
                <w:rFonts w:ascii="宋体" w:eastAsia="宋体" w:hAnsi="宋体" w:hint="eastAsia"/>
                <w:sz w:val="28"/>
                <w:szCs w:val="28"/>
                <w:highlight w:val="none"/>
                <w:lang w:eastAsia="zh-CN"/>
              </w:rPr>
              <w:t>（</w:t>
            </w:r>
            <w:r>
              <w:rPr>
                <w:rFonts w:ascii="宋体" w:eastAsia="宋体" w:hAnsi="宋体" w:hint="eastAsia"/>
                <w:sz w:val="28"/>
                <w:szCs w:val="28"/>
                <w:highlight w:val="none"/>
                <w:lang w:val="en-US" w:eastAsia="zh-CN"/>
              </w:rPr>
              <w:t>格式自定</w:t>
            </w:r>
            <w:r>
              <w:rPr>
                <w:rFonts w:ascii="宋体" w:eastAsia="宋体" w:hAnsi="宋体" w:hint="eastAsia"/>
                <w:sz w:val="28"/>
                <w:szCs w:val="28"/>
                <w:highlight w:val="none"/>
                <w:lang w:eastAsia="zh-CN"/>
              </w:rPr>
              <w:t>）</w:t>
            </w:r>
          </w:p>
          <w:p>
            <w:pPr>
              <w:outlineLvl w:val="1"/>
              <w:rPr>
                <w:rFonts w:ascii="宋体" w:hAnsi="宋体"/>
                <w:b/>
                <w:bCs/>
                <w:color w:val="FF0000"/>
                <w:sz w:val="28"/>
                <w:szCs w:val="28"/>
                <w:highlight w:val="none"/>
              </w:rPr>
            </w:pPr>
            <w:r>
              <w:rPr>
                <w:rFonts w:ascii="宋体" w:hAnsi="宋体" w:hint="eastAsia"/>
                <w:b/>
                <w:bCs/>
                <w:color w:val="FF0000"/>
                <w:sz w:val="28"/>
                <w:szCs w:val="28"/>
                <w:highlight w:val="none"/>
              </w:rPr>
              <w:t>2.投标文件附件（信息不公开部分）：</w:t>
            </w:r>
          </w:p>
          <w:p>
            <w:pPr>
              <w:outlineLvl w:val="1"/>
              <w:rPr>
                <w:rFonts w:ascii="宋体" w:eastAsia="宋体" w:hAnsi="宋体" w:cs="Times New Roman" w:hint="eastAsia"/>
                <w:sz w:val="28"/>
                <w:szCs w:val="28"/>
                <w:highlight w:val="none"/>
                <w:lang w:eastAsia="zh-CN"/>
              </w:rPr>
            </w:pPr>
            <w:r>
              <w:rPr>
                <w:rFonts w:ascii="宋体" w:hAnsi="宋体" w:cs="Times New Roman" w:hint="eastAsia"/>
                <w:sz w:val="28"/>
                <w:szCs w:val="28"/>
                <w:highlight w:val="none"/>
              </w:rPr>
              <w:t>（1）</w:t>
            </w:r>
            <w:r>
              <w:rPr>
                <w:rFonts w:ascii="宋体" w:eastAsia="宋体" w:hAnsi="宋体" w:cs="Times New Roman" w:hint="eastAsia"/>
                <w:sz w:val="28"/>
                <w:szCs w:val="28"/>
                <w:highlight w:val="none"/>
                <w:lang w:eastAsia="zh-CN"/>
              </w:rPr>
              <w:t>法定代表人（负责人或执行事务合伙人）资格证明书</w:t>
            </w:r>
          </w:p>
          <w:p>
            <w:pPr>
              <w:outlineLvl w:val="1"/>
              <w:rPr>
                <w:rFonts w:ascii="宋体" w:hAnsi="宋体" w:cs="Times New Roman" w:hint="eastAsia"/>
                <w:sz w:val="28"/>
                <w:szCs w:val="28"/>
                <w:highlight w:val="none"/>
              </w:rPr>
            </w:pPr>
            <w:r>
              <w:rPr>
                <w:rFonts w:ascii="宋体" w:hAnsi="宋体" w:cs="Times New Roman" w:hint="eastAsia"/>
                <w:sz w:val="28"/>
                <w:szCs w:val="28"/>
                <w:highlight w:val="none"/>
              </w:rPr>
              <w:t>（2）投标文件签署授权委托书</w:t>
            </w:r>
          </w:p>
          <w:p>
            <w:pPr>
              <w:outlineLvl w:val="1"/>
              <w:rPr>
                <w:rFonts w:ascii="宋体" w:eastAsia="宋体" w:hAnsi="宋体" w:cs="Times New Roman" w:hint="eastAsia"/>
                <w:sz w:val="28"/>
                <w:szCs w:val="28"/>
                <w:highlight w:val="none"/>
                <w:lang w:eastAsia="zh-CN"/>
              </w:rPr>
            </w:pPr>
            <w:r>
              <w:rPr>
                <w:rFonts w:ascii="宋体" w:eastAsia="宋体" w:hAnsi="宋体" w:cs="Times New Roman" w:hint="eastAsia"/>
                <w:sz w:val="28"/>
                <w:szCs w:val="28"/>
                <w:highlight w:val="none"/>
                <w:lang w:eastAsia="zh-CN"/>
              </w:rPr>
              <w:t>（</w:t>
            </w:r>
            <w:r>
              <w:rPr>
                <w:rFonts w:ascii="宋体" w:eastAsia="宋体" w:hAnsi="宋体" w:cs="Times New Roman" w:hint="eastAsia"/>
                <w:sz w:val="28"/>
                <w:szCs w:val="28"/>
                <w:highlight w:val="none"/>
                <w:lang w:val="en-US" w:eastAsia="zh-CN"/>
              </w:rPr>
              <w:t>3</w:t>
            </w:r>
            <w:r>
              <w:rPr>
                <w:rFonts w:ascii="宋体" w:eastAsia="宋体" w:hAnsi="宋体" w:cs="Times New Roman" w:hint="eastAsia"/>
                <w:sz w:val="28"/>
                <w:szCs w:val="28"/>
                <w:highlight w:val="none"/>
                <w:lang w:eastAsia="zh-CN"/>
              </w:rPr>
              <w:t>）</w:t>
            </w:r>
            <w:r>
              <w:rPr>
                <w:rFonts w:ascii="宋体" w:eastAsia="宋体" w:hAnsi="宋体" w:cs="Times New Roman" w:hint="eastAsia"/>
                <w:sz w:val="28"/>
                <w:szCs w:val="28"/>
                <w:highlight w:val="none"/>
                <w:lang w:val="en-US" w:eastAsia="zh-CN"/>
              </w:rPr>
              <w:t>供应商基本情况表</w:t>
            </w:r>
          </w:p>
          <w:p>
            <w:pPr>
              <w:outlineLvl w:val="1"/>
              <w:rPr>
                <w:rFonts w:ascii="宋体" w:hAnsi="宋体" w:cs="Times New Roman" w:hint="eastAsia"/>
                <w:sz w:val="28"/>
                <w:szCs w:val="28"/>
                <w:highlight w:val="none"/>
              </w:rPr>
            </w:pPr>
            <w:r>
              <w:rPr>
                <w:rFonts w:ascii="宋体" w:hAnsi="宋体" w:cs="Times New Roman" w:hint="eastAsia"/>
                <w:sz w:val="28"/>
                <w:szCs w:val="28"/>
                <w:highlight w:val="none"/>
              </w:rPr>
              <w:t>（</w:t>
            </w:r>
            <w:r>
              <w:rPr>
                <w:rFonts w:ascii="宋体" w:eastAsia="宋体" w:hAnsi="宋体" w:cs="Times New Roman" w:hint="eastAsia"/>
                <w:sz w:val="28"/>
                <w:szCs w:val="28"/>
                <w:highlight w:val="none"/>
                <w:lang w:val="en-US" w:eastAsia="zh-CN"/>
              </w:rPr>
              <w:t>4</w:t>
            </w:r>
            <w:r>
              <w:rPr>
                <w:rFonts w:ascii="宋体" w:hAnsi="宋体" w:cs="Times New Roman" w:hint="eastAsia"/>
                <w:sz w:val="28"/>
                <w:szCs w:val="28"/>
                <w:highlight w:val="none"/>
              </w:rPr>
              <w:t>）实质性条款响应情况表</w:t>
            </w:r>
          </w:p>
          <w:p>
            <w:pPr>
              <w:outlineLvl w:val="1"/>
              <w:rPr>
                <w:rFonts w:ascii="宋体" w:hAnsi="宋体" w:cs="Times New Roman" w:hint="eastAsia"/>
                <w:sz w:val="28"/>
                <w:szCs w:val="28"/>
                <w:highlight w:val="none"/>
              </w:rPr>
            </w:pPr>
            <w:r>
              <w:rPr>
                <w:rFonts w:ascii="宋体" w:hAnsi="宋体" w:cs="Times New Roman" w:hint="eastAsia"/>
                <w:sz w:val="28"/>
                <w:szCs w:val="28"/>
                <w:highlight w:val="none"/>
              </w:rPr>
              <w:t>（</w:t>
            </w:r>
            <w:r>
              <w:rPr>
                <w:rFonts w:ascii="宋体" w:eastAsia="宋体" w:hAnsi="宋体" w:cs="Times New Roman" w:hint="eastAsia"/>
                <w:sz w:val="28"/>
                <w:szCs w:val="28"/>
                <w:highlight w:val="none"/>
                <w:lang w:val="en-US" w:eastAsia="zh-CN"/>
              </w:rPr>
              <w:t>5</w:t>
            </w:r>
            <w:r>
              <w:rPr>
                <w:rFonts w:ascii="宋体" w:hAnsi="宋体" w:cs="Times New Roman" w:hint="eastAsia"/>
                <w:sz w:val="28"/>
                <w:szCs w:val="28"/>
                <w:highlight w:val="none"/>
              </w:rPr>
              <w:t>）商务、技术条款偏离表</w:t>
            </w:r>
          </w:p>
          <w:p>
            <w:pPr>
              <w:outlineLvl w:val="1"/>
              <w:rPr>
                <w:rFonts w:ascii="宋体" w:hAnsi="宋体" w:cs="Times New Roman" w:hint="eastAsia"/>
                <w:sz w:val="28"/>
                <w:szCs w:val="28"/>
                <w:highlight w:val="none"/>
              </w:rPr>
            </w:pPr>
            <w:r>
              <w:rPr>
                <w:rFonts w:ascii="宋体" w:hAnsi="宋体" w:cs="Times New Roman" w:hint="eastAsia"/>
                <w:sz w:val="28"/>
                <w:szCs w:val="28"/>
                <w:highlight w:val="none"/>
              </w:rPr>
              <w:t>（</w:t>
            </w:r>
            <w:r>
              <w:rPr>
                <w:rFonts w:ascii="宋体" w:eastAsia="宋体" w:hAnsi="宋体" w:cs="Times New Roman" w:hint="eastAsia"/>
                <w:sz w:val="28"/>
                <w:szCs w:val="28"/>
                <w:highlight w:val="none"/>
                <w:lang w:val="en-US" w:eastAsia="zh-CN"/>
              </w:rPr>
              <w:t>6</w:t>
            </w:r>
            <w:r>
              <w:rPr>
                <w:rFonts w:ascii="宋体" w:hAnsi="宋体" w:cs="Times New Roman" w:hint="eastAsia"/>
                <w:sz w:val="28"/>
                <w:szCs w:val="28"/>
                <w:highlight w:val="none"/>
              </w:rPr>
              <w:t>）拟安排的项目负责人情况（仅限一人）</w:t>
            </w:r>
          </w:p>
          <w:p>
            <w:pPr>
              <w:outlineLvl w:val="1"/>
              <w:rPr>
                <w:rFonts w:ascii="宋体" w:hAnsi="宋体" w:cs="Times New Roman" w:hint="eastAsia"/>
                <w:sz w:val="28"/>
                <w:szCs w:val="28"/>
                <w:highlight w:val="none"/>
              </w:rPr>
            </w:pPr>
            <w:r>
              <w:rPr>
                <w:rFonts w:ascii="宋体" w:hAnsi="宋体" w:cs="Times New Roman" w:hint="eastAsia"/>
                <w:sz w:val="28"/>
                <w:szCs w:val="28"/>
                <w:highlight w:val="none"/>
              </w:rPr>
              <w:t>（</w:t>
            </w:r>
            <w:r>
              <w:rPr>
                <w:rFonts w:ascii="宋体" w:eastAsia="宋体" w:hAnsi="宋体" w:cs="Times New Roman" w:hint="eastAsia"/>
                <w:sz w:val="28"/>
                <w:szCs w:val="28"/>
                <w:highlight w:val="none"/>
                <w:lang w:val="en-US" w:eastAsia="zh-CN"/>
              </w:rPr>
              <w:t>7</w:t>
            </w:r>
            <w:r>
              <w:rPr>
                <w:rFonts w:ascii="宋体" w:hAnsi="宋体" w:cs="Times New Roman" w:hint="eastAsia"/>
                <w:sz w:val="28"/>
                <w:szCs w:val="28"/>
                <w:highlight w:val="none"/>
              </w:rPr>
              <w:t>）拟安排的项目主要团队成员（主要技术人员）情况（项目负责人除外）</w:t>
            </w:r>
          </w:p>
          <w:p>
            <w:pPr>
              <w:outlineLvl w:val="1"/>
              <w:rPr>
                <w:rFonts w:ascii="宋体" w:hAnsi="宋体" w:cs="Times New Roman" w:hint="eastAsia"/>
                <w:sz w:val="28"/>
                <w:szCs w:val="28"/>
                <w:highlight w:val="none"/>
              </w:rPr>
            </w:pPr>
            <w:r>
              <w:rPr>
                <w:rFonts w:ascii="宋体" w:hAnsi="宋体" w:cs="Times New Roman" w:hint="eastAsia"/>
                <w:sz w:val="28"/>
                <w:szCs w:val="28"/>
                <w:highlight w:val="none"/>
                <w:lang w:eastAsia="zh-CN"/>
              </w:rPr>
              <w:t>（</w:t>
            </w:r>
            <w:r>
              <w:rPr>
                <w:rFonts w:ascii="宋体" w:hAnsi="宋体" w:cs="Times New Roman" w:hint="eastAsia"/>
                <w:sz w:val="28"/>
                <w:szCs w:val="28"/>
                <w:highlight w:val="none"/>
                <w:lang w:val="en-US" w:eastAsia="zh-CN"/>
              </w:rPr>
              <w:t xml:space="preserve">8）实施方案 </w:t>
            </w:r>
            <w:r>
              <w:rPr>
                <w:rFonts w:ascii="宋体" w:hAnsi="宋体" w:cs="Times New Roman" w:hint="eastAsia"/>
                <w:sz w:val="28"/>
                <w:szCs w:val="28"/>
                <w:highlight w:val="none"/>
              </w:rPr>
              <w:t>（格式自定）</w:t>
            </w:r>
          </w:p>
          <w:p>
            <w:pPr>
              <w:outlineLvl w:val="1"/>
              <w:rPr>
                <w:rFonts w:ascii="宋体" w:hAnsi="宋体" w:cs="Times New Roman" w:hint="eastAsia"/>
                <w:sz w:val="28"/>
                <w:szCs w:val="28"/>
                <w:highlight w:val="none"/>
              </w:rPr>
            </w:pPr>
            <w:r>
              <w:rPr>
                <w:rFonts w:ascii="宋体" w:hAnsi="宋体" w:cs="Times New Roman" w:hint="eastAsia"/>
                <w:sz w:val="28"/>
                <w:szCs w:val="28"/>
                <w:highlight w:val="none"/>
                <w:lang w:eastAsia="zh-CN"/>
              </w:rPr>
              <w:t>（</w:t>
            </w:r>
            <w:r>
              <w:rPr>
                <w:rFonts w:ascii="宋体" w:hAnsi="宋体" w:cs="Times New Roman" w:hint="eastAsia"/>
                <w:sz w:val="28"/>
                <w:szCs w:val="28"/>
                <w:highlight w:val="none"/>
                <w:lang w:val="en-US" w:eastAsia="zh-CN"/>
              </w:rPr>
              <w:t>9</w:t>
            </w:r>
            <w:r>
              <w:rPr>
                <w:rFonts w:ascii="宋体" w:hAnsi="宋体" w:cs="Times New Roman" w:hint="eastAsia"/>
                <w:sz w:val="28"/>
                <w:szCs w:val="28"/>
                <w:highlight w:val="none"/>
                <w:lang w:eastAsia="zh-CN"/>
              </w:rPr>
              <w:t>）项目重点难点分析、应对措施及相关合理化建议</w:t>
            </w:r>
            <w:r>
              <w:rPr>
                <w:rFonts w:ascii="宋体" w:hAnsi="宋体" w:cs="Times New Roman" w:hint="eastAsia"/>
                <w:sz w:val="28"/>
                <w:szCs w:val="28"/>
                <w:highlight w:val="none"/>
              </w:rPr>
              <w:t>（格式自定）</w:t>
            </w:r>
          </w:p>
          <w:p>
            <w:pPr>
              <w:outlineLvl w:val="1"/>
              <w:rPr>
                <w:rFonts w:ascii="宋体" w:hAnsi="宋体" w:cs="Times New Roman" w:hint="eastAsia"/>
                <w:sz w:val="28"/>
                <w:szCs w:val="28"/>
                <w:highlight w:val="none"/>
              </w:rPr>
            </w:pPr>
            <w:r>
              <w:rPr>
                <w:rFonts w:ascii="宋体" w:hAnsi="宋体" w:cs="Times New Roman" w:hint="eastAsia"/>
                <w:sz w:val="28"/>
                <w:szCs w:val="28"/>
                <w:highlight w:val="none"/>
                <w:lang w:eastAsia="zh-CN"/>
              </w:rPr>
              <w:t>（</w:t>
            </w:r>
            <w:r>
              <w:rPr>
                <w:rFonts w:ascii="宋体" w:hAnsi="宋体" w:cs="Times New Roman" w:hint="eastAsia"/>
                <w:sz w:val="28"/>
                <w:szCs w:val="28"/>
                <w:highlight w:val="none"/>
                <w:lang w:val="en-US" w:eastAsia="zh-CN"/>
              </w:rPr>
              <w:t>10</w:t>
            </w:r>
            <w:r>
              <w:rPr>
                <w:rFonts w:ascii="宋体" w:hAnsi="宋体" w:cs="Times New Roman" w:hint="eastAsia"/>
                <w:sz w:val="28"/>
                <w:szCs w:val="28"/>
                <w:highlight w:val="none"/>
                <w:lang w:eastAsia="zh-CN"/>
              </w:rPr>
              <w:t>）质量保障措施及方案</w:t>
            </w:r>
            <w:r>
              <w:rPr>
                <w:rFonts w:ascii="宋体" w:hAnsi="宋体" w:cs="Times New Roman" w:hint="eastAsia"/>
                <w:sz w:val="28"/>
                <w:szCs w:val="28"/>
                <w:highlight w:val="none"/>
              </w:rPr>
              <w:t>（格式自定）</w:t>
            </w:r>
          </w:p>
          <w:p>
            <w:pPr>
              <w:outlineLvl w:val="1"/>
              <w:rPr>
                <w:rFonts w:ascii="宋体" w:hAnsi="宋体" w:cs="Times New Roman" w:hint="eastAsia"/>
                <w:sz w:val="28"/>
                <w:szCs w:val="28"/>
                <w:highlight w:val="none"/>
              </w:rPr>
            </w:pPr>
            <w:r>
              <w:rPr>
                <w:rFonts w:ascii="宋体" w:hAnsi="宋体" w:cs="Times New Roman" w:hint="eastAsia"/>
                <w:sz w:val="28"/>
                <w:szCs w:val="28"/>
                <w:highlight w:val="none"/>
              </w:rPr>
              <w:t>（</w:t>
            </w:r>
            <w:r>
              <w:rPr>
                <w:rFonts w:ascii="宋体" w:hAnsi="宋体" w:cs="Times New Roman" w:hint="eastAsia"/>
                <w:sz w:val="28"/>
                <w:szCs w:val="28"/>
                <w:highlight w:val="none"/>
                <w:lang w:val="en-US" w:eastAsia="zh-CN"/>
              </w:rPr>
              <w:t>11</w:t>
            </w:r>
            <w:r>
              <w:rPr>
                <w:rFonts w:ascii="宋体" w:hAnsi="宋体" w:cs="Times New Roman" w:hint="eastAsia"/>
                <w:sz w:val="28"/>
                <w:szCs w:val="28"/>
                <w:highlight w:val="none"/>
              </w:rPr>
              <w:t>）项目完成（服务期满）后的服务承诺（格式自定）</w:t>
            </w:r>
          </w:p>
          <w:p>
            <w:pPr>
              <w:outlineLvl w:val="1"/>
              <w:rPr>
                <w:rFonts w:ascii="宋体" w:hAnsi="宋体" w:cs="Times New Roman" w:hint="eastAsia"/>
                <w:sz w:val="28"/>
                <w:szCs w:val="28"/>
                <w:highlight w:val="none"/>
              </w:rPr>
            </w:pPr>
            <w:r>
              <w:rPr>
                <w:rFonts w:ascii="宋体" w:hAnsi="宋体" w:cs="Times New Roman" w:hint="eastAsia"/>
                <w:sz w:val="28"/>
                <w:szCs w:val="28"/>
                <w:highlight w:val="none"/>
              </w:rPr>
              <w:t>（</w:t>
            </w:r>
            <w:r>
              <w:rPr>
                <w:rFonts w:ascii="宋体" w:hAnsi="宋体" w:cs="Times New Roman" w:hint="eastAsia"/>
                <w:sz w:val="28"/>
                <w:szCs w:val="28"/>
                <w:highlight w:val="none"/>
                <w:lang w:val="en-US" w:eastAsia="zh-CN"/>
              </w:rPr>
              <w:t>12</w:t>
            </w:r>
            <w:r>
              <w:rPr>
                <w:rFonts w:ascii="宋体" w:hAnsi="宋体" w:cs="Times New Roman" w:hint="eastAsia"/>
                <w:sz w:val="28"/>
                <w:szCs w:val="28"/>
                <w:highlight w:val="none"/>
              </w:rPr>
              <w:t>）违约承诺（格式自定）</w:t>
            </w:r>
          </w:p>
          <w:p>
            <w:pPr>
              <w:outlineLvl w:val="1"/>
              <w:rPr>
                <w:rFonts w:ascii="宋体" w:hAnsi="宋体" w:cs="宋体"/>
                <w:highlight w:val="none"/>
              </w:rPr>
            </w:pPr>
            <w:r>
              <w:rPr>
                <w:rFonts w:ascii="宋体" w:eastAsia="宋体" w:hAnsi="宋体" w:cs="Times New Roman" w:hint="eastAsia"/>
                <w:sz w:val="28"/>
                <w:szCs w:val="28"/>
                <w:highlight w:val="none"/>
                <w:lang w:eastAsia="zh-CN"/>
              </w:rPr>
              <w:t>（</w:t>
            </w:r>
            <w:r>
              <w:rPr>
                <w:rFonts w:ascii="宋体" w:eastAsia="宋体" w:hAnsi="宋体" w:cs="Times New Roman" w:hint="eastAsia"/>
                <w:sz w:val="28"/>
                <w:szCs w:val="28"/>
                <w:highlight w:val="none"/>
                <w:lang w:val="en-US" w:eastAsia="zh-CN"/>
              </w:rPr>
              <w:t>12</w:t>
            </w:r>
            <w:r>
              <w:rPr>
                <w:rFonts w:ascii="宋体" w:eastAsia="宋体" w:hAnsi="宋体" w:cs="Times New Roman" w:hint="eastAsia"/>
                <w:sz w:val="28"/>
                <w:szCs w:val="28"/>
                <w:highlight w:val="none"/>
                <w:lang w:eastAsia="zh-CN"/>
              </w:rPr>
              <w:t>）</w:t>
            </w:r>
            <w:r>
              <w:rPr>
                <w:rFonts w:ascii="宋体" w:hAnsi="宋体" w:cs="Times New Roman" w:hint="eastAsia"/>
                <w:sz w:val="28"/>
                <w:szCs w:val="28"/>
                <w:highlight w:val="none"/>
              </w:rPr>
              <w:t>投标人认为需要加以说明的其他内容（格式自定）</w:t>
            </w:r>
          </w:p>
        </w:tc>
      </w:tr>
    </w:tbl>
    <w:p>
      <w:pPr>
        <w:rPr>
          <w:highlight w:val="none"/>
        </w:rPr>
      </w:pPr>
    </w:p>
    <w:p>
      <w:pPr>
        <w:pStyle w:val="NormalIndent"/>
        <w:rPr>
          <w:highlight w:val="none"/>
        </w:rPr>
      </w:pPr>
    </w:p>
    <w:p>
      <w:pPr>
        <w:rPr>
          <w:highlight w:val="none"/>
        </w:rPr>
      </w:pPr>
      <w:r>
        <w:rPr>
          <w:highlight w:val="none"/>
        </w:rPr>
        <w:br w:type="page"/>
      </w: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jc w:val="center"/>
        <w:rPr>
          <w:b/>
          <w:color w:val="000000" w:themeColor="text1"/>
          <w:sz w:val="120"/>
          <w:szCs w:val="120"/>
          <w:highlight w:val="none"/>
          <w14:textFill>
            <w14:solidFill>
              <w14:schemeClr w14:val="tx1"/>
            </w14:solidFill>
          </w14:textFill>
        </w:rPr>
      </w:pPr>
      <w:r>
        <w:rPr>
          <w:rFonts w:hint="eastAsia"/>
          <w:b/>
          <w:color w:val="000000" w:themeColor="text1"/>
          <w:sz w:val="120"/>
          <w:szCs w:val="120"/>
          <w:highlight w:val="none"/>
          <w14:textFill>
            <w14:solidFill>
              <w14:schemeClr w14:val="tx1"/>
            </w14:solidFill>
          </w14:textFill>
        </w:rPr>
        <w:t>政府采购</w:t>
      </w:r>
    </w:p>
    <w:p>
      <w:pPr>
        <w:jc w:val="center"/>
        <w:rPr>
          <w:b/>
          <w:color w:val="000000" w:themeColor="text1"/>
          <w:sz w:val="120"/>
          <w:szCs w:val="120"/>
          <w:highlight w:val="none"/>
          <w14:textFill>
            <w14:solidFill>
              <w14:schemeClr w14:val="tx1"/>
            </w14:solidFill>
          </w14:textFill>
        </w:rPr>
      </w:pPr>
      <w:r>
        <w:rPr>
          <w:rFonts w:hint="eastAsia"/>
          <w:b/>
          <w:color w:val="000000" w:themeColor="text1"/>
          <w:sz w:val="120"/>
          <w:szCs w:val="120"/>
          <w:highlight w:val="none"/>
          <w14:textFill>
            <w14:solidFill>
              <w14:schemeClr w14:val="tx1"/>
            </w14:solidFill>
          </w14:textFill>
        </w:rPr>
        <w:t>招标文件</w:t>
      </w:r>
    </w:p>
    <w:p>
      <w:pPr>
        <w:jc w:val="center"/>
        <w:rPr>
          <w:b/>
          <w:color w:val="000000" w:themeColor="text1"/>
          <w:sz w:val="52"/>
          <w:szCs w:val="52"/>
          <w:highlight w:val="none"/>
          <w14:textFill>
            <w14:solidFill>
              <w14:schemeClr w14:val="tx1"/>
            </w14:solidFill>
          </w14:textFill>
        </w:rPr>
      </w:pPr>
    </w:p>
    <w:p>
      <w:pPr>
        <w:jc w:val="center"/>
        <w:rPr>
          <w:b/>
          <w:color w:val="000000" w:themeColor="text1"/>
          <w:sz w:val="52"/>
          <w:szCs w:val="52"/>
          <w:highlight w:val="none"/>
          <w14:textFill>
            <w14:solidFill>
              <w14:schemeClr w14:val="tx1"/>
            </w14:solidFill>
          </w14:textFill>
        </w:rPr>
      </w:pPr>
    </w:p>
    <w:p>
      <w:pPr>
        <w:jc w:val="center"/>
        <w:rPr>
          <w:b/>
          <w:color w:val="000000" w:themeColor="text1"/>
          <w:sz w:val="52"/>
          <w:szCs w:val="52"/>
          <w:highlight w:val="none"/>
          <w14:textFill>
            <w14:solidFill>
              <w14:schemeClr w14:val="tx1"/>
            </w14:solidFill>
          </w14:textFill>
        </w:rPr>
      </w:pPr>
    </w:p>
    <w:p>
      <w:pPr>
        <w:jc w:val="center"/>
        <w:rPr>
          <w:b/>
          <w:color w:val="000000" w:themeColor="text1"/>
          <w:sz w:val="52"/>
          <w:szCs w:val="52"/>
          <w:highlight w:val="none"/>
          <w14:textFill>
            <w14:solidFill>
              <w14:schemeClr w14:val="tx1"/>
            </w14:solidFill>
          </w14:textFill>
        </w:rPr>
      </w:pPr>
      <w:r>
        <w:rPr>
          <w:rFonts w:hint="eastAsia"/>
          <w:b/>
          <w:color w:val="000000" w:themeColor="text1"/>
          <w:sz w:val="52"/>
          <w:szCs w:val="52"/>
          <w:highlight w:val="none"/>
          <w14:textFill>
            <w14:solidFill>
              <w14:schemeClr w14:val="tx1"/>
            </w14:solidFill>
          </w14:textFill>
        </w:rPr>
        <w:t>（服务类）</w:t>
      </w: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jc w:val="center"/>
        <w:rPr>
          <w:b/>
          <w:color w:val="000000" w:themeColor="text1"/>
          <w:sz w:val="44"/>
          <w:szCs w:val="44"/>
          <w:highlight w:val="none"/>
          <w14:textFill>
            <w14:solidFill>
              <w14:schemeClr w14:val="tx1"/>
            </w14:solidFill>
          </w14:textFill>
        </w:rPr>
      </w:pPr>
    </w:p>
    <w:p>
      <w:pPr>
        <w:jc w:val="center"/>
        <w:rPr>
          <w:b/>
          <w:color w:val="000000" w:themeColor="text1"/>
          <w:sz w:val="44"/>
          <w:szCs w:val="44"/>
          <w:highlight w:val="none"/>
          <w14:textFill>
            <w14:solidFill>
              <w14:schemeClr w14:val="tx1"/>
            </w14:solidFill>
          </w14:textFill>
        </w:rPr>
      </w:pPr>
    </w:p>
    <w:p>
      <w:pPr>
        <w:jc w:val="center"/>
        <w:rPr>
          <w:b/>
          <w:color w:val="000000" w:themeColor="text1"/>
          <w:sz w:val="44"/>
          <w:szCs w:val="44"/>
          <w:highlight w:val="none"/>
          <w14:textFill>
            <w14:solidFill>
              <w14:schemeClr w14:val="tx1"/>
            </w14:solidFill>
          </w14:textFill>
        </w:rPr>
      </w:pPr>
    </w:p>
    <w:p>
      <w:pPr>
        <w:jc w:val="center"/>
        <w:rPr>
          <w:rFonts w:eastAsia="宋体"/>
          <w:b/>
          <w:color w:val="000000" w:themeColor="text1"/>
          <w:sz w:val="44"/>
          <w:szCs w:val="44"/>
          <w:highlight w:val="none"/>
          <w14:textFill>
            <w14:solidFill>
              <w14:schemeClr w14:val="tx1"/>
            </w14:solidFill>
          </w14:textFill>
        </w:rPr>
      </w:pPr>
      <w:bookmarkStart w:id="2" w:name="_Hlk71465316"/>
      <w:r>
        <w:rPr>
          <w:rFonts w:eastAsia="宋体" w:hint="eastAsia"/>
          <w:b/>
          <w:color w:val="000000" w:themeColor="text1"/>
          <w:sz w:val="44"/>
          <w:szCs w:val="44"/>
          <w:highlight w:val="none"/>
          <w14:textFill>
            <w14:solidFill>
              <w14:schemeClr w14:val="tx1"/>
            </w14:solidFill>
          </w14:textFill>
        </w:rPr>
        <w:t>友和保险经纪有限公司</w:t>
      </w:r>
    </w:p>
    <w:p>
      <w:pPr>
        <w:keepNext w:val="0"/>
        <w:keepLines w:val="0"/>
        <w:pageBreakBefore w:val="0"/>
        <w:widowControl/>
        <w:kinsoku/>
        <w:wordWrap/>
        <w:overflowPunct/>
        <w:topLinePunct w:val="0"/>
        <w:autoSpaceDE/>
        <w:autoSpaceDN/>
        <w:bidi w:val="0"/>
        <w:adjustRightInd/>
        <w:snapToGrid/>
        <w:spacing w:line="360" w:lineRule="auto"/>
        <w:ind w:firstLine="3600" w:firstLineChars="1500"/>
        <w:textAlignment w:val="auto"/>
        <w:outlineLvl w:val="1"/>
        <w:rPr>
          <w:rFonts w:ascii="宋体" w:hAnsi="宋体"/>
          <w:color w:val="FF0000"/>
          <w:sz w:val="30"/>
          <w:szCs w:val="30"/>
          <w:highlight w:val="none"/>
        </w:rPr>
      </w:pPr>
      <w:bookmarkEnd w:id="2"/>
      <w:r>
        <w:rPr>
          <w:rFonts w:hint="eastAsia"/>
          <w:color w:val="000000" w:themeColor="text1"/>
          <w:highlight w:val="none"/>
          <w14:textFill>
            <w14:solidFill>
              <w14:schemeClr w14:val="tx1"/>
            </w14:solidFill>
          </w14:textFill>
        </w:rPr>
        <w:br w:type="page"/>
      </w:r>
      <w:r>
        <w:rPr>
          <w:rFonts w:ascii="宋体" w:eastAsia="黑体" w:hAnsi="宋体" w:hint="eastAsia"/>
          <w:b/>
          <w:bCs/>
          <w:color w:val="FF0000"/>
          <w:kern w:val="44"/>
          <w:sz w:val="30"/>
          <w:szCs w:val="30"/>
          <w:highlight w:val="none"/>
        </w:rPr>
        <w:t>警示条款</w:t>
      </w:r>
    </w:p>
    <w:p>
      <w:pPr>
        <w:ind w:firstLine="480" w:firstLineChars="200"/>
        <w:rPr>
          <w:rFonts w:ascii="宋体" w:hAnsi="宋体" w:hint="eastAsia"/>
          <w:color w:val="FF0000"/>
          <w:highlight w:val="none"/>
        </w:rPr>
      </w:pPr>
      <w:r>
        <w:rPr>
          <w:rFonts w:ascii="宋体" w:hAnsi="宋体" w:hint="eastAsia"/>
          <w:color w:val="FF0000"/>
          <w:highlight w:val="none"/>
          <w:lang w:eastAsia="zh-CN"/>
        </w:rPr>
        <w:t>一、</w:t>
      </w:r>
      <w:r>
        <w:rPr>
          <w:rFonts w:ascii="宋体" w:hAnsi="宋体" w:hint="eastAsia"/>
          <w:color w:val="FF0000"/>
          <w:highlight w:val="none"/>
        </w:rPr>
        <w:t>参与本项目政府采购活动的供应商应认真阅读以下特别警示条款，不得存在以下所列禁止情形，一旦发现，将被处以记入供应商诚信档案、罚款、取消参与政府采购资格、吊销营业执照等处罚；构成犯罪的，依法追究刑事责任。</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11"/>
        <w:gridCol w:w="7711"/>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811" w:type="dxa"/>
            <w:vAlign w:val="center"/>
          </w:tcPr>
          <w:p>
            <w:pPr>
              <w:widowControl w:val="0"/>
              <w:jc w:val="center"/>
              <w:rPr>
                <w:rFonts w:ascii="宋体" w:hAnsi="宋体" w:hint="eastAsia"/>
                <w:color w:val="FF0000"/>
                <w:highlight w:val="none"/>
              </w:rPr>
            </w:pPr>
            <w:r>
              <w:rPr>
                <w:rFonts w:ascii="宋体" w:hAnsi="宋体" w:hint="eastAsia"/>
                <w:color w:val="FF0000"/>
                <w:highlight w:val="none"/>
              </w:rPr>
              <w:t>序号</w:t>
            </w:r>
          </w:p>
        </w:tc>
        <w:tc>
          <w:tcPr>
            <w:tcW w:w="7711" w:type="dxa"/>
            <w:vAlign w:val="center"/>
          </w:tcPr>
          <w:p>
            <w:pPr>
              <w:widowControl w:val="0"/>
              <w:jc w:val="center"/>
              <w:rPr>
                <w:rFonts w:ascii="宋体" w:hAnsi="宋体" w:hint="eastAsia"/>
                <w:color w:val="FF0000"/>
                <w:highlight w:val="none"/>
              </w:rPr>
            </w:pPr>
            <w:r>
              <w:rPr>
                <w:rFonts w:ascii="宋体" w:hAnsi="宋体" w:hint="eastAsia"/>
                <w:color w:val="FF0000"/>
                <w:highlight w:val="none"/>
              </w:rPr>
              <w:t>供应商参与投标禁止情形</w:t>
            </w:r>
          </w:p>
        </w:tc>
      </w:tr>
      <w:tr>
        <w:tblPrEx>
          <w:tblW w:w="0" w:type="auto"/>
          <w:tblInd w:w="0" w:type="dxa"/>
          <w:tblCellMar>
            <w:top w:w="0" w:type="dxa"/>
            <w:left w:w="108" w:type="dxa"/>
            <w:bottom w:w="0" w:type="dxa"/>
            <w:right w:w="108" w:type="dxa"/>
          </w:tblCellMar>
        </w:tblPrEx>
        <w:tc>
          <w:tcPr>
            <w:tcW w:w="811" w:type="dxa"/>
            <w:vAlign w:val="center"/>
          </w:tcPr>
          <w:p>
            <w:pPr>
              <w:widowControl w:val="0"/>
              <w:jc w:val="center"/>
              <w:rPr>
                <w:rFonts w:ascii="宋体" w:hAnsi="宋体" w:hint="eastAsia"/>
                <w:color w:val="FF0000"/>
                <w:highlight w:val="none"/>
              </w:rPr>
            </w:pPr>
            <w:r>
              <w:rPr>
                <w:rFonts w:ascii="宋体" w:hAnsi="宋体" w:hint="eastAsia"/>
                <w:color w:val="FF0000"/>
                <w:highlight w:val="none"/>
              </w:rPr>
              <w:t>1</w:t>
            </w:r>
          </w:p>
        </w:tc>
        <w:tc>
          <w:tcPr>
            <w:tcW w:w="7711" w:type="dxa"/>
            <w:vAlign w:val="center"/>
          </w:tcPr>
          <w:p>
            <w:pPr>
              <w:widowControl w:val="0"/>
              <w:jc w:val="both"/>
              <w:rPr>
                <w:rFonts w:ascii="宋体" w:hAnsi="宋体" w:hint="eastAsia"/>
                <w:color w:val="FF0000"/>
                <w:highlight w:val="none"/>
              </w:rPr>
            </w:pPr>
            <w:r>
              <w:rPr>
                <w:rFonts w:ascii="宋体" w:hAnsi="宋体" w:hint="eastAsia"/>
                <w:color w:val="FF0000"/>
                <w:highlight w:val="none"/>
              </w:rPr>
              <w:t>与其他投标供应商的法定代表人、主要经营负责人、投标授权代表人、项目负责人、主要技术人员为</w:t>
            </w:r>
            <w:r>
              <w:rPr>
                <w:rFonts w:ascii="宋体" w:hAnsi="宋体" w:hint="eastAsia"/>
                <w:b/>
                <w:bCs/>
                <w:color w:val="FF0000"/>
                <w:highlight w:val="none"/>
              </w:rPr>
              <w:t>同一人、属同一单位或者在同一单位缴纳社会保险。</w:t>
            </w:r>
          </w:p>
        </w:tc>
      </w:tr>
      <w:tr>
        <w:tblPrEx>
          <w:tblW w:w="0" w:type="auto"/>
          <w:tblInd w:w="0" w:type="dxa"/>
          <w:tblCellMar>
            <w:top w:w="0" w:type="dxa"/>
            <w:left w:w="108" w:type="dxa"/>
            <w:bottom w:w="0" w:type="dxa"/>
            <w:right w:w="108" w:type="dxa"/>
          </w:tblCellMar>
        </w:tblPrEx>
        <w:tc>
          <w:tcPr>
            <w:tcW w:w="811" w:type="dxa"/>
            <w:vAlign w:val="center"/>
          </w:tcPr>
          <w:p>
            <w:pPr>
              <w:widowControl w:val="0"/>
              <w:jc w:val="center"/>
              <w:rPr>
                <w:rFonts w:ascii="宋体" w:hAnsi="宋体" w:hint="eastAsia"/>
                <w:color w:val="FF0000"/>
                <w:highlight w:val="none"/>
              </w:rPr>
            </w:pPr>
            <w:r>
              <w:rPr>
                <w:rFonts w:ascii="宋体" w:hAnsi="宋体" w:hint="eastAsia"/>
                <w:color w:val="FF0000"/>
                <w:highlight w:val="none"/>
              </w:rPr>
              <w:t>2</w:t>
            </w:r>
          </w:p>
        </w:tc>
        <w:tc>
          <w:tcPr>
            <w:tcW w:w="7711" w:type="dxa"/>
            <w:vAlign w:val="center"/>
          </w:tcPr>
          <w:p>
            <w:pPr>
              <w:widowControl w:val="0"/>
              <w:jc w:val="both"/>
              <w:rPr>
                <w:rFonts w:ascii="宋体" w:hAnsi="宋体" w:hint="eastAsia"/>
                <w:color w:val="FF0000"/>
                <w:highlight w:val="none"/>
              </w:rPr>
            </w:pPr>
            <w:r>
              <w:rPr>
                <w:rFonts w:ascii="宋体" w:hAnsi="宋体" w:hint="eastAsia"/>
                <w:color w:val="FF0000"/>
                <w:highlight w:val="none"/>
              </w:rPr>
              <w:t>参与本项目政府采购活动时，与其他投标供应商存在单位负责人为</w:t>
            </w:r>
            <w:r>
              <w:rPr>
                <w:rFonts w:ascii="宋体" w:hAnsi="宋体" w:hint="eastAsia"/>
                <w:b/>
                <w:bCs/>
                <w:color w:val="FF0000"/>
                <w:highlight w:val="none"/>
              </w:rPr>
              <w:t>同一人或直接控股、管理关系</w:t>
            </w:r>
            <w:r>
              <w:rPr>
                <w:rFonts w:ascii="宋体" w:hAnsi="宋体" w:hint="eastAsia"/>
                <w:color w:val="FF0000"/>
                <w:highlight w:val="none"/>
              </w:rPr>
              <w:t>。</w:t>
            </w:r>
          </w:p>
        </w:tc>
      </w:tr>
      <w:tr>
        <w:tblPrEx>
          <w:tblW w:w="0" w:type="auto"/>
          <w:tblInd w:w="0" w:type="dxa"/>
          <w:tblCellMar>
            <w:top w:w="0" w:type="dxa"/>
            <w:left w:w="108" w:type="dxa"/>
            <w:bottom w:w="0" w:type="dxa"/>
            <w:right w:w="108" w:type="dxa"/>
          </w:tblCellMar>
        </w:tblPrEx>
        <w:tc>
          <w:tcPr>
            <w:tcW w:w="811" w:type="dxa"/>
            <w:vAlign w:val="center"/>
          </w:tcPr>
          <w:p>
            <w:pPr>
              <w:widowControl w:val="0"/>
              <w:jc w:val="center"/>
              <w:rPr>
                <w:rFonts w:ascii="宋体" w:hAnsi="宋体" w:hint="eastAsia"/>
                <w:color w:val="FF0000"/>
                <w:highlight w:val="none"/>
              </w:rPr>
            </w:pPr>
            <w:r>
              <w:rPr>
                <w:rFonts w:ascii="宋体" w:hAnsi="宋体" w:hint="eastAsia"/>
                <w:color w:val="FF0000"/>
                <w:highlight w:val="none"/>
              </w:rPr>
              <w:t>3</w:t>
            </w:r>
          </w:p>
        </w:tc>
        <w:tc>
          <w:tcPr>
            <w:tcW w:w="7711" w:type="dxa"/>
            <w:vAlign w:val="center"/>
          </w:tcPr>
          <w:p>
            <w:pPr>
              <w:widowControl w:val="0"/>
              <w:jc w:val="both"/>
              <w:rPr>
                <w:rFonts w:ascii="宋体" w:hAnsi="宋体" w:hint="eastAsia"/>
                <w:color w:val="FF0000"/>
                <w:highlight w:val="none"/>
              </w:rPr>
            </w:pPr>
            <w:r>
              <w:rPr>
                <w:rFonts w:ascii="宋体" w:hAnsi="宋体" w:hint="eastAsia"/>
                <w:color w:val="FF0000"/>
                <w:highlight w:val="none"/>
              </w:rPr>
              <w:t>与其他投标供应商的投标文件或部分投标文件</w:t>
            </w:r>
            <w:r>
              <w:rPr>
                <w:rFonts w:ascii="宋体" w:hAnsi="宋体" w:hint="eastAsia"/>
                <w:b/>
                <w:bCs/>
                <w:color w:val="FF0000"/>
                <w:highlight w:val="none"/>
              </w:rPr>
              <w:t>相互混装或存在非正常一致</w:t>
            </w:r>
            <w:r>
              <w:rPr>
                <w:rFonts w:ascii="宋体" w:hAnsi="宋体" w:hint="eastAsia"/>
                <w:color w:val="FF0000"/>
                <w:highlight w:val="none"/>
              </w:rPr>
              <w:t>。</w:t>
            </w:r>
          </w:p>
        </w:tc>
      </w:tr>
      <w:tr>
        <w:tblPrEx>
          <w:tblW w:w="0" w:type="auto"/>
          <w:tblInd w:w="0" w:type="dxa"/>
          <w:tblCellMar>
            <w:top w:w="0" w:type="dxa"/>
            <w:left w:w="108" w:type="dxa"/>
            <w:bottom w:w="0" w:type="dxa"/>
            <w:right w:w="108" w:type="dxa"/>
          </w:tblCellMar>
        </w:tblPrEx>
        <w:tc>
          <w:tcPr>
            <w:tcW w:w="811" w:type="dxa"/>
            <w:vAlign w:val="center"/>
          </w:tcPr>
          <w:p>
            <w:pPr>
              <w:widowControl w:val="0"/>
              <w:jc w:val="center"/>
              <w:rPr>
                <w:rFonts w:ascii="宋体" w:hAnsi="宋体" w:hint="eastAsia"/>
                <w:color w:val="FF0000"/>
                <w:highlight w:val="none"/>
              </w:rPr>
            </w:pPr>
            <w:r>
              <w:rPr>
                <w:rFonts w:ascii="宋体" w:hAnsi="宋体" w:hint="eastAsia"/>
                <w:color w:val="FF0000"/>
                <w:highlight w:val="none"/>
              </w:rPr>
              <w:t>4</w:t>
            </w:r>
          </w:p>
        </w:tc>
        <w:tc>
          <w:tcPr>
            <w:tcW w:w="7711" w:type="dxa"/>
            <w:vAlign w:val="center"/>
          </w:tcPr>
          <w:p>
            <w:pPr>
              <w:widowControl w:val="0"/>
              <w:jc w:val="both"/>
              <w:rPr>
                <w:rFonts w:ascii="宋体" w:hAnsi="宋体" w:hint="eastAsia"/>
                <w:color w:val="FF0000"/>
                <w:highlight w:val="none"/>
              </w:rPr>
            </w:pPr>
            <w:r>
              <w:rPr>
                <w:rFonts w:ascii="宋体" w:hAnsi="宋体" w:hint="eastAsia"/>
                <w:color w:val="FF0000"/>
                <w:highlight w:val="none"/>
              </w:rPr>
              <w:t>与其他投标供应商的投标文件由</w:t>
            </w:r>
            <w:r>
              <w:rPr>
                <w:rFonts w:ascii="宋体" w:hAnsi="宋体" w:hint="eastAsia"/>
                <w:b/>
                <w:bCs/>
                <w:color w:val="FF0000"/>
                <w:highlight w:val="none"/>
              </w:rPr>
              <w:t>同一单位或者同一人编制</w:t>
            </w:r>
            <w:r>
              <w:rPr>
                <w:rFonts w:ascii="宋体" w:hAnsi="宋体" w:hint="eastAsia"/>
                <w:color w:val="FF0000"/>
                <w:highlight w:val="none"/>
              </w:rPr>
              <w:t>，或者使用</w:t>
            </w:r>
            <w:r>
              <w:rPr>
                <w:rFonts w:ascii="宋体" w:hAnsi="宋体" w:hint="eastAsia"/>
                <w:b/>
                <w:bCs/>
                <w:color w:val="FF0000"/>
                <w:highlight w:val="none"/>
              </w:rPr>
              <w:t>同一设备编制</w:t>
            </w:r>
            <w:r>
              <w:rPr>
                <w:rFonts w:ascii="宋体" w:hAnsi="宋体" w:hint="eastAsia"/>
                <w:color w:val="FF0000"/>
                <w:highlight w:val="none"/>
              </w:rPr>
              <w:t>（“文件制作机器码”“文件创建标识码”一致）。</w:t>
            </w:r>
          </w:p>
        </w:tc>
      </w:tr>
      <w:tr>
        <w:tblPrEx>
          <w:tblW w:w="0" w:type="auto"/>
          <w:tblInd w:w="0" w:type="dxa"/>
          <w:tblCellMar>
            <w:top w:w="0" w:type="dxa"/>
            <w:left w:w="108" w:type="dxa"/>
            <w:bottom w:w="0" w:type="dxa"/>
            <w:right w:w="108" w:type="dxa"/>
          </w:tblCellMar>
        </w:tblPrEx>
        <w:tc>
          <w:tcPr>
            <w:tcW w:w="811" w:type="dxa"/>
            <w:vAlign w:val="center"/>
          </w:tcPr>
          <w:p>
            <w:pPr>
              <w:widowControl w:val="0"/>
              <w:jc w:val="center"/>
              <w:rPr>
                <w:rFonts w:ascii="宋体" w:hAnsi="宋体" w:hint="eastAsia"/>
                <w:color w:val="FF0000"/>
                <w:highlight w:val="none"/>
              </w:rPr>
            </w:pPr>
            <w:r>
              <w:rPr>
                <w:rFonts w:ascii="宋体" w:hAnsi="宋体" w:hint="eastAsia"/>
                <w:color w:val="FF0000"/>
                <w:highlight w:val="none"/>
              </w:rPr>
              <w:t>5</w:t>
            </w:r>
          </w:p>
        </w:tc>
        <w:tc>
          <w:tcPr>
            <w:tcW w:w="7711" w:type="dxa"/>
            <w:vAlign w:val="center"/>
          </w:tcPr>
          <w:p>
            <w:pPr>
              <w:widowControl w:val="0"/>
              <w:jc w:val="both"/>
              <w:rPr>
                <w:rFonts w:ascii="宋体" w:hAnsi="宋体" w:hint="eastAsia"/>
                <w:color w:val="FF0000"/>
                <w:highlight w:val="none"/>
              </w:rPr>
            </w:pPr>
            <w:r>
              <w:rPr>
                <w:rFonts w:ascii="宋体" w:hAnsi="宋体" w:hint="eastAsia"/>
                <w:color w:val="FF0000"/>
                <w:highlight w:val="none"/>
              </w:rPr>
              <w:t>提供</w:t>
            </w:r>
            <w:r>
              <w:rPr>
                <w:rFonts w:ascii="宋体" w:hAnsi="宋体" w:hint="eastAsia"/>
                <w:b/>
                <w:bCs/>
                <w:color w:val="FF0000"/>
                <w:highlight w:val="none"/>
              </w:rPr>
              <w:t>未经出具机构核实</w:t>
            </w:r>
            <w:r>
              <w:rPr>
                <w:rFonts w:ascii="宋体" w:hAnsi="宋体" w:hint="eastAsia"/>
                <w:color w:val="FF0000"/>
                <w:highlight w:val="none"/>
              </w:rPr>
              <w:t>的虚假的检验检测报告、业绩材料、社保缴纳证明、学历学位证书、职称认证证书等材料。</w:t>
            </w:r>
          </w:p>
        </w:tc>
      </w:tr>
      <w:tr>
        <w:tblPrEx>
          <w:tblW w:w="0" w:type="auto"/>
          <w:tblInd w:w="0" w:type="dxa"/>
          <w:tblCellMar>
            <w:top w:w="0" w:type="dxa"/>
            <w:left w:w="108" w:type="dxa"/>
            <w:bottom w:w="0" w:type="dxa"/>
            <w:right w:w="108" w:type="dxa"/>
          </w:tblCellMar>
        </w:tblPrEx>
        <w:tc>
          <w:tcPr>
            <w:tcW w:w="811" w:type="dxa"/>
            <w:vAlign w:val="center"/>
          </w:tcPr>
          <w:p>
            <w:pPr>
              <w:widowControl w:val="0"/>
              <w:jc w:val="center"/>
              <w:rPr>
                <w:rFonts w:ascii="宋体" w:hAnsi="宋体" w:hint="eastAsia"/>
                <w:color w:val="FF0000"/>
                <w:highlight w:val="none"/>
              </w:rPr>
            </w:pPr>
            <w:r>
              <w:rPr>
                <w:rFonts w:ascii="宋体" w:hAnsi="宋体" w:hint="eastAsia"/>
                <w:color w:val="FF0000"/>
                <w:highlight w:val="none"/>
              </w:rPr>
              <w:t>6</w:t>
            </w:r>
          </w:p>
        </w:tc>
        <w:tc>
          <w:tcPr>
            <w:tcW w:w="7711" w:type="dxa"/>
            <w:vAlign w:val="center"/>
          </w:tcPr>
          <w:p>
            <w:pPr>
              <w:widowControl w:val="0"/>
              <w:jc w:val="both"/>
              <w:rPr>
                <w:rFonts w:ascii="宋体" w:hAnsi="宋体" w:hint="eastAsia"/>
                <w:color w:val="FF0000"/>
                <w:highlight w:val="none"/>
              </w:rPr>
            </w:pPr>
            <w:r>
              <w:rPr>
                <w:rFonts w:ascii="宋体" w:hAnsi="宋体" w:hint="eastAsia"/>
                <w:color w:val="FF0000"/>
                <w:highlight w:val="none"/>
              </w:rPr>
              <w:t>擅自将投标密钥或电子营业执照出借他人使用或未妥善保管。</w:t>
            </w:r>
          </w:p>
        </w:tc>
      </w:tr>
    </w:tbl>
    <w:p>
      <w:pPr>
        <w:ind w:firstLine="480" w:firstLineChars="200"/>
        <w:rPr>
          <w:rFonts w:ascii="宋体" w:hAnsi="宋体"/>
          <w:color w:val="FF0000"/>
          <w:highlight w:val="none"/>
        </w:rPr>
      </w:pPr>
      <w:r>
        <w:rPr>
          <w:rFonts w:ascii="宋体" w:eastAsia="宋体" w:hAnsi="宋体" w:hint="eastAsia"/>
          <w:color w:val="FF0000"/>
          <w:highlight w:val="none"/>
          <w:lang w:eastAsia="zh-CN"/>
        </w:rPr>
        <w:t>二</w:t>
      </w:r>
      <w:r>
        <w:rPr>
          <w:rFonts w:ascii="宋体" w:hAnsi="宋体" w:hint="eastAsia"/>
          <w:color w:val="FF0000"/>
          <w:highlight w:val="none"/>
        </w:rPr>
        <w:t>、</w:t>
      </w:r>
      <w:r>
        <w:rPr>
          <w:rFonts w:ascii="宋体" w:hAnsi="宋体" w:hint="eastAsia"/>
          <w:b/>
          <w:bCs/>
          <w:color w:val="FF0000"/>
          <w:highlight w:val="none"/>
        </w:rPr>
        <w:t>《深圳经济特区政府采购条例》第五十七条</w:t>
      </w:r>
      <w:r>
        <w:rPr>
          <w:rFonts w:ascii="宋体" w:hAnsi="宋体" w:hint="eastAsia"/>
          <w:color w:val="FF0000"/>
          <w:highlight w:val="none"/>
        </w:rPr>
        <w:t xml:space="preserve">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ind w:firstLine="480" w:firstLineChars="200"/>
        <w:rPr>
          <w:rFonts w:ascii="宋体" w:hAnsi="宋体"/>
          <w:color w:val="FF0000"/>
          <w:highlight w:val="none"/>
        </w:rPr>
      </w:pPr>
      <w:r>
        <w:rPr>
          <w:rFonts w:ascii="宋体" w:hAnsi="宋体" w:hint="eastAsia"/>
          <w:color w:val="FF0000"/>
          <w:highlight w:val="none"/>
        </w:rPr>
        <w:t>（一）在采购活动中应当回避而未回避的；</w:t>
      </w:r>
    </w:p>
    <w:p>
      <w:pPr>
        <w:ind w:firstLine="480" w:firstLineChars="200"/>
        <w:rPr>
          <w:rFonts w:ascii="宋体" w:hAnsi="宋体"/>
          <w:color w:val="FF0000"/>
          <w:highlight w:val="none"/>
        </w:rPr>
      </w:pPr>
      <w:r>
        <w:rPr>
          <w:rFonts w:ascii="宋体" w:hAnsi="宋体" w:hint="eastAsia"/>
          <w:color w:val="FF0000"/>
          <w:highlight w:val="none"/>
        </w:rPr>
        <w:t>（二）未按本条例规定签订、履行采购合同，造成严重后果的；</w:t>
      </w:r>
    </w:p>
    <w:p>
      <w:pPr>
        <w:ind w:firstLine="480" w:firstLineChars="200"/>
        <w:rPr>
          <w:rFonts w:ascii="宋体" w:hAnsi="宋体"/>
          <w:color w:val="FF0000"/>
          <w:highlight w:val="none"/>
        </w:rPr>
      </w:pPr>
      <w:r>
        <w:rPr>
          <w:rFonts w:ascii="宋体" w:hAnsi="宋体" w:hint="eastAsia"/>
          <w:color w:val="FF0000"/>
          <w:highlight w:val="none"/>
        </w:rPr>
        <w:t>（三）隐瞒真实情况，提供虚假资料的；</w:t>
      </w:r>
    </w:p>
    <w:p>
      <w:pPr>
        <w:ind w:firstLine="480" w:firstLineChars="200"/>
        <w:rPr>
          <w:rFonts w:ascii="宋体" w:hAnsi="宋体"/>
          <w:color w:val="FF0000"/>
          <w:highlight w:val="none"/>
        </w:rPr>
      </w:pPr>
      <w:r>
        <w:rPr>
          <w:rFonts w:ascii="宋体" w:hAnsi="宋体" w:hint="eastAsia"/>
          <w:color w:val="FF0000"/>
          <w:highlight w:val="none"/>
        </w:rPr>
        <w:t>（四）以非法手段排斥其他供应商参与竞争的；</w:t>
      </w:r>
    </w:p>
    <w:p>
      <w:pPr>
        <w:ind w:firstLine="480" w:firstLineChars="200"/>
        <w:rPr>
          <w:rFonts w:ascii="宋体" w:hAnsi="宋体"/>
          <w:color w:val="FF0000"/>
          <w:highlight w:val="none"/>
        </w:rPr>
      </w:pPr>
      <w:r>
        <w:rPr>
          <w:rFonts w:ascii="宋体" w:hAnsi="宋体" w:hint="eastAsia"/>
          <w:color w:val="FF0000"/>
          <w:highlight w:val="none"/>
        </w:rPr>
        <w:t>（五）与其他采购参加人串通投标的；</w:t>
      </w:r>
    </w:p>
    <w:p>
      <w:pPr>
        <w:ind w:firstLine="480" w:firstLineChars="200"/>
        <w:rPr>
          <w:rFonts w:ascii="宋体" w:hAnsi="宋体"/>
          <w:color w:val="FF0000"/>
          <w:highlight w:val="none"/>
        </w:rPr>
      </w:pPr>
      <w:r>
        <w:rPr>
          <w:rFonts w:ascii="宋体" w:hAnsi="宋体" w:hint="eastAsia"/>
          <w:color w:val="FF0000"/>
          <w:highlight w:val="none"/>
        </w:rPr>
        <w:t>（六）恶意投诉的；</w:t>
      </w:r>
    </w:p>
    <w:p>
      <w:pPr>
        <w:ind w:firstLine="480" w:firstLineChars="200"/>
        <w:rPr>
          <w:rFonts w:ascii="宋体" w:hAnsi="宋体"/>
          <w:color w:val="FF0000"/>
          <w:highlight w:val="none"/>
        </w:rPr>
      </w:pPr>
      <w:r>
        <w:rPr>
          <w:rFonts w:ascii="宋体" w:hAnsi="宋体" w:hint="eastAsia"/>
          <w:color w:val="FF0000"/>
          <w:highlight w:val="none"/>
        </w:rPr>
        <w:t>（七）向采购项目相关人行贿或者提供其他不当利益的；</w:t>
      </w:r>
    </w:p>
    <w:p>
      <w:pPr>
        <w:ind w:firstLine="480" w:firstLineChars="200"/>
        <w:rPr>
          <w:rFonts w:ascii="宋体" w:hAnsi="宋体"/>
          <w:color w:val="FF0000"/>
          <w:highlight w:val="none"/>
        </w:rPr>
      </w:pPr>
      <w:r>
        <w:rPr>
          <w:rFonts w:ascii="宋体" w:hAnsi="宋体" w:hint="eastAsia"/>
          <w:color w:val="FF0000"/>
          <w:highlight w:val="none"/>
        </w:rPr>
        <w:t>（八）阻碍、抗拒主管部门监督检查的；</w:t>
      </w:r>
    </w:p>
    <w:p>
      <w:pPr>
        <w:ind w:firstLine="480" w:firstLineChars="200"/>
        <w:rPr>
          <w:rFonts w:ascii="宋体" w:hAnsi="宋体"/>
          <w:color w:val="FF0000"/>
          <w:highlight w:val="none"/>
        </w:rPr>
      </w:pPr>
      <w:r>
        <w:rPr>
          <w:rFonts w:ascii="宋体" w:hAnsi="宋体" w:hint="eastAsia"/>
          <w:color w:val="FF0000"/>
          <w:highlight w:val="none"/>
        </w:rPr>
        <w:t>（九）其他违反本条例规定的行为。</w:t>
      </w:r>
    </w:p>
    <w:p>
      <w:pPr>
        <w:ind w:firstLine="480" w:firstLineChars="200"/>
        <w:rPr>
          <w:rFonts w:ascii="宋体" w:hAnsi="宋体"/>
          <w:color w:val="FF0000"/>
          <w:highlight w:val="none"/>
        </w:rPr>
      </w:pPr>
      <w:r>
        <w:rPr>
          <w:rFonts w:ascii="宋体" w:eastAsia="宋体" w:hAnsi="宋体" w:hint="eastAsia"/>
          <w:b/>
          <w:bCs/>
          <w:color w:val="FF0000"/>
          <w:highlight w:val="none"/>
          <w:lang w:eastAsia="zh-CN"/>
        </w:rPr>
        <w:t>三</w:t>
      </w:r>
      <w:r>
        <w:rPr>
          <w:rFonts w:ascii="宋体" w:hAnsi="宋体" w:hint="eastAsia"/>
          <w:b/>
          <w:bCs/>
          <w:color w:val="FF0000"/>
          <w:highlight w:val="none"/>
        </w:rPr>
        <w:t>、《深圳经济特区政府采购条例实施细则》第七十五条 </w:t>
      </w:r>
      <w:r>
        <w:rPr>
          <w:rFonts w:ascii="宋体" w:hAnsi="宋体" w:hint="eastAsia"/>
          <w:color w:val="FF0000"/>
          <w:highlight w:val="none"/>
        </w:rPr>
        <w:t>供应商有下列情形的，属于采购条例所称的串通投标行为，按照采购条例第五十七条有关规定处理：（一）投标供应商之间相互约定给予未中标的供应商利益补偿；（二）不同投标供应商的法定代表人、主要经营负责人、项目投标授权代表人、项目负责人、主要技术人员为同一人、属同一单位或者在同一单位缴纳社会保险；（三）不同投标供应商的投标文件由同一单位或者同一人编制，或者由同一人分阶段参与编制的；（四）不同投标供应商的投标文件或部分投标文件相互混装；（五）不同投标供应商的投标文件内容存在非正常一致；（六）由同一单位工作人员为两家以上（含两家）供应商进行同一项投标活动的；（七）主管部门依照法律、法规认定的其他情形。</w:t>
      </w:r>
    </w:p>
    <w:p>
      <w:pPr>
        <w:ind w:firstLine="480" w:firstLineChars="200"/>
        <w:rPr>
          <w:rFonts w:ascii="宋体" w:hAnsi="宋体"/>
          <w:color w:val="FF0000"/>
          <w:highlight w:val="none"/>
        </w:rPr>
      </w:pPr>
      <w:r>
        <w:rPr>
          <w:rFonts w:ascii="宋体" w:eastAsia="宋体" w:hAnsi="宋体" w:hint="eastAsia"/>
          <w:b/>
          <w:bCs/>
          <w:color w:val="FF0000"/>
          <w:highlight w:val="none"/>
          <w:lang w:eastAsia="zh-CN"/>
        </w:rPr>
        <w:t>四</w:t>
      </w:r>
      <w:r>
        <w:rPr>
          <w:rFonts w:ascii="宋体" w:hAnsi="宋体" w:hint="eastAsia"/>
          <w:b/>
          <w:bCs/>
          <w:color w:val="FF0000"/>
          <w:highlight w:val="none"/>
        </w:rPr>
        <w:t>、《深圳经济特区政府采购条例实施细则》第七十七条 </w:t>
      </w:r>
      <w:r>
        <w:rPr>
          <w:rFonts w:ascii="宋体" w:hAnsi="宋体" w:hint="eastAsia"/>
          <w:color w:val="FF0000"/>
          <w:highlight w:val="none"/>
        </w:rPr>
        <w:t>供应商有下列情形之一的，属于隐瞒真实情况，提供虚假资料，按照采购条例第五十七的有关规定处理：（一）通过转让或者租借等方式从其他单位获取资格或者资质证书投标的；（二）由其他单位或者其他单位负责人在投标供应商编制的投标文件上加盖印章或者签字的；（三）项目负责人或者主要技术人员不是本单位人员的；（四）投标保证金不是从投标供应商基本账户转出的；（五）其他隐瞒真实情况、提供虚假资料的行为。</w:t>
      </w:r>
    </w:p>
    <w:p>
      <w:pPr>
        <w:ind w:firstLine="480" w:firstLineChars="200"/>
        <w:rPr>
          <w:rFonts w:ascii="宋体" w:hAnsi="宋体" w:hint="eastAsia"/>
          <w:color w:val="FF0000"/>
          <w:highlight w:val="none"/>
        </w:rPr>
      </w:pPr>
      <w:r>
        <w:rPr>
          <w:rFonts w:ascii="宋体" w:hAnsi="宋体" w:hint="eastAsia"/>
          <w:color w:val="FF0000"/>
          <w:highlight w:val="none"/>
        </w:rPr>
        <w:t>投标供应商不能提供项目负责人或者主要技术人员的劳动合同、社会保险等劳动关系证明材料的，视为存在前款第（三）项规定的情形。</w:t>
      </w:r>
    </w:p>
    <w:p>
      <w:pPr>
        <w:ind w:firstLine="480" w:firstLineChars="200"/>
        <w:rPr>
          <w:rFonts w:ascii="宋体" w:eastAsia="宋体" w:hAnsi="宋体" w:cs="Times New Roman" w:hint="eastAsia"/>
          <w:color w:val="FF0000"/>
          <w:highlight w:val="none"/>
          <w:lang w:eastAsia="zh-CN"/>
        </w:rPr>
      </w:pPr>
      <w:r>
        <w:rPr>
          <w:rFonts w:ascii="宋体" w:eastAsia="宋体" w:hAnsi="宋体" w:cs="Times New Roman" w:hint="eastAsia"/>
          <w:color w:val="FF0000"/>
          <w:highlight w:val="none"/>
          <w:lang w:eastAsia="zh-CN"/>
        </w:rPr>
        <w:t>五</w:t>
      </w:r>
      <w:r>
        <w:rPr>
          <w:rFonts w:ascii="宋体" w:eastAsia="Times New Roman" w:hAnsi="宋体" w:cs="Times New Roman" w:hint="eastAsia"/>
          <w:color w:val="FF0000"/>
          <w:highlight w:val="none"/>
        </w:rPr>
        <w:t>、请投标供应商阅读《政府采购违法行为风险知悉确认书》（内容详见“投标文件附件（信息不公开部分）”中“投标人认为需要加以说明的其他内容（格式自定）”</w:t>
      </w:r>
      <w:r>
        <w:rPr>
          <w:rFonts w:ascii="宋体" w:eastAsia="宋体" w:hAnsi="宋体" w:cs="Times New Roman" w:hint="eastAsia"/>
          <w:color w:val="FF0000"/>
          <w:highlight w:val="none"/>
          <w:lang w:eastAsia="zh-CN"/>
        </w:rPr>
        <w:t>）</w:t>
      </w:r>
      <w:r>
        <w:rPr>
          <w:rFonts w:ascii="宋体" w:eastAsia="Times New Roman" w:hAnsi="宋体" w:cs="Times New Roman" w:hint="eastAsia"/>
          <w:color w:val="FF0000"/>
          <w:highlight w:val="none"/>
        </w:rPr>
        <w:t>，并经各投标供应商负责人或投标授权代表签字并加盖单位公章后，扫描上传至投标文件一并提交。</w:t>
      </w:r>
    </w:p>
    <w:p>
      <w:pPr>
        <w:ind w:firstLine="480" w:firstLineChars="200"/>
        <w:rPr>
          <w:rFonts w:ascii="宋体" w:eastAsia="Times New Roman" w:hAnsi="宋体" w:cs="Times New Roman" w:hint="eastAsia"/>
          <w:color w:val="FF0000"/>
          <w:highlight w:val="none"/>
        </w:rPr>
      </w:pPr>
      <w:r>
        <w:rPr>
          <w:rFonts w:ascii="宋体" w:eastAsia="Times New Roman" w:hAnsi="宋体" w:cs="Times New Roman" w:hint="eastAsia"/>
          <w:color w:val="FF0000"/>
          <w:highlight w:val="none"/>
        </w:rPr>
        <w:t>注：该风险知悉确认书用于对供应商违法行为的警示，不作为供应商资格性审查及符合性审查条件。</w:t>
      </w:r>
    </w:p>
    <w:p>
      <w:pPr>
        <w:keepNext w:val="0"/>
        <w:keepLines w:val="0"/>
        <w:pageBreakBefore w:val="0"/>
        <w:widowControl/>
        <w:numPr>
          <w:ilvl w:val="0"/>
          <w:numId w:val="0"/>
        </w:numPr>
        <w:kinsoku/>
        <w:wordWrap/>
        <w:overflowPunct/>
        <w:topLinePunct w:val="0"/>
        <w:autoSpaceDE/>
        <w:autoSpaceDN/>
        <w:bidi w:val="0"/>
        <w:adjustRightInd/>
        <w:snapToGrid/>
        <w:ind w:firstLine="480" w:firstLineChars="200"/>
        <w:textAlignment w:val="auto"/>
        <w:rPr>
          <w:rFonts w:ascii="宋体" w:eastAsia="Times New Roman" w:hAnsi="宋体" w:cs="Times New Roman" w:hint="eastAsia"/>
          <w:b w:val="0"/>
          <w:bCs w:val="0"/>
          <w:color w:val="FF0000"/>
          <w:highlight w:val="none"/>
          <w:lang w:val="en-US" w:eastAsia="zh-CN"/>
        </w:rPr>
      </w:pPr>
      <w:r>
        <w:rPr>
          <w:rFonts w:ascii="宋体" w:hAnsi="宋体" w:cs="Times New Roman" w:hint="eastAsia"/>
          <w:b w:val="0"/>
          <w:bCs w:val="0"/>
          <w:color w:val="FF0000"/>
          <w:sz w:val="24"/>
          <w:szCs w:val="24"/>
          <w:highlight w:val="none"/>
          <w:lang w:val="en-US" w:eastAsia="zh-CN"/>
        </w:rPr>
        <w:t>六</w:t>
      </w:r>
      <w:r>
        <w:rPr>
          <w:rFonts w:ascii="宋体" w:eastAsia="Times New Roman" w:hAnsi="宋体" w:cs="Times New Roman" w:hint="eastAsia"/>
          <w:b w:val="0"/>
          <w:bCs w:val="0"/>
          <w:color w:val="FF0000"/>
          <w:sz w:val="24"/>
          <w:szCs w:val="24"/>
          <w:highlight w:val="none"/>
          <w:lang w:val="en-US" w:eastAsia="zh-CN"/>
        </w:rPr>
        <w:t>、</w:t>
      </w:r>
      <w:r>
        <w:rPr>
          <w:rFonts w:ascii="宋体" w:eastAsia="Times New Roman" w:hAnsi="宋体" w:cs="Times New Roman" w:hint="eastAsia"/>
          <w:b w:val="0"/>
          <w:bCs w:val="0"/>
          <w:color w:val="FF0000"/>
          <w:highlight w:val="none"/>
        </w:rPr>
        <w:t>供应商在使用深圳政府采购智慧平台的投标文件制作工具创建投标文件时，该工具将自动在投标文件中记录文件创建标识码，同时提取投标文件制作电脑的网卡MAC地址、硬盘序列号、CPU 序列号、主板序列号和工具标识号，经加密生成文件制作机器码并在投标文件中记录。文件制作机器码一致表明不同供应商使用了同一设备编制投标文件，文件创建标识码一致表明不同供应商的投标文件为同一份文件，IP 地址一致表明上传投标文件时使用了相同的网络。</w:t>
      </w:r>
    </w:p>
    <w:p>
      <w:pPr>
        <w:keepNext w:val="0"/>
        <w:keepLines w:val="0"/>
        <w:pageBreakBefore w:val="0"/>
        <w:widowControl/>
        <w:numPr>
          <w:ilvl w:val="0"/>
          <w:numId w:val="0"/>
        </w:numPr>
        <w:kinsoku/>
        <w:wordWrap/>
        <w:overflowPunct/>
        <w:topLinePunct w:val="0"/>
        <w:autoSpaceDE/>
        <w:autoSpaceDN/>
        <w:bidi w:val="0"/>
        <w:adjustRightInd/>
        <w:snapToGrid/>
        <w:ind w:firstLine="480" w:firstLineChars="200"/>
        <w:textAlignment w:val="auto"/>
        <w:rPr>
          <w:rFonts w:ascii="宋体" w:eastAsia="Times New Roman" w:hAnsi="宋体" w:cs="Times New Roman" w:hint="eastAsia"/>
          <w:b w:val="0"/>
          <w:bCs w:val="0"/>
          <w:color w:val="FF0000"/>
          <w:highlight w:val="none"/>
        </w:rPr>
      </w:pPr>
      <w:r>
        <w:rPr>
          <w:rFonts w:ascii="宋体" w:eastAsia="宋体" w:hAnsi="宋体" w:cs="Times New Roman" w:hint="eastAsia"/>
          <w:b w:val="0"/>
          <w:bCs w:val="0"/>
          <w:color w:val="FF0000"/>
          <w:highlight w:val="none"/>
          <w:lang w:eastAsia="zh-CN"/>
        </w:rPr>
        <w:t>七</w:t>
      </w:r>
      <w:r>
        <w:rPr>
          <w:rFonts w:ascii="宋体" w:eastAsia="Times New Roman" w:hAnsi="宋体" w:cs="Times New Roman" w:hint="eastAsia"/>
          <w:b w:val="0"/>
          <w:bCs w:val="0"/>
          <w:color w:val="FF0000"/>
          <w:highlight w:val="none"/>
        </w:rPr>
        <w:t>、为避免出现不同供应商投标文件的文件制作机器码、文件创建标识码、IP地址一致的异常情况，建议各供应商编制、上传投标文件时不要使用公共电脑设备或公共网络。</w:t>
      </w:r>
    </w:p>
    <w:p>
      <w:pPr>
        <w:keepNext w:val="0"/>
        <w:keepLines w:val="0"/>
        <w:pageBreakBefore w:val="0"/>
        <w:widowControl/>
        <w:numPr>
          <w:ilvl w:val="0"/>
          <w:numId w:val="0"/>
        </w:numPr>
        <w:kinsoku/>
        <w:wordWrap/>
        <w:overflowPunct/>
        <w:topLinePunct w:val="0"/>
        <w:autoSpaceDE/>
        <w:autoSpaceDN/>
        <w:bidi w:val="0"/>
        <w:adjustRightInd/>
        <w:snapToGrid/>
        <w:ind w:firstLine="480" w:firstLineChars="200"/>
        <w:textAlignment w:val="auto"/>
        <w:rPr>
          <w:rFonts w:ascii="宋体" w:eastAsia="Times New Roman" w:hAnsi="宋体" w:cs="Times New Roman" w:hint="eastAsia"/>
          <w:b w:val="0"/>
          <w:bCs w:val="0"/>
          <w:color w:val="FF0000"/>
          <w:highlight w:val="none"/>
          <w:lang w:val="en-US" w:eastAsia="zh-CN"/>
        </w:rPr>
      </w:pPr>
      <w:r>
        <w:rPr>
          <w:rFonts w:ascii="宋体" w:eastAsia="宋体" w:hAnsi="宋体" w:cs="Times New Roman" w:hint="eastAsia"/>
          <w:b w:val="0"/>
          <w:bCs w:val="0"/>
          <w:color w:val="FF0000"/>
          <w:highlight w:val="none"/>
          <w:lang w:eastAsia="zh-CN"/>
        </w:rPr>
        <w:t>八</w:t>
      </w:r>
      <w:r>
        <w:rPr>
          <w:rFonts w:ascii="宋体" w:eastAsia="Times New Roman" w:hAnsi="宋体" w:cs="Times New Roman" w:hint="eastAsia"/>
          <w:b w:val="0"/>
          <w:bCs w:val="0"/>
          <w:color w:val="FF0000"/>
          <w:highlight w:val="none"/>
        </w:rPr>
        <w:t>、根据《深圳经济特区政府采购条例实施细则》第七十五条规定，不同投标供应商的投标文件由同一单位或者同一人编制，或者由同一人分阶段参与编制的，或者由同一单位工作人员为两家以上（含两家）供应商进行同一项投标活动的，属于串通投标行为。一经查实，供应商将面临罚款、一定年限内禁止参与政府采购活动的行政处罚，请各供应商独立编制、上传投标文件，妥善保管和使用电子秘钥。</w:t>
      </w:r>
    </w:p>
    <w:p>
      <w:pPr>
        <w:rPr>
          <w:color w:val="000000" w:themeColor="text1"/>
          <w:highlight w:val="none"/>
          <w14:textFill>
            <w14:solidFill>
              <w14:schemeClr w14:val="tx1"/>
            </w14:solidFill>
          </w14:textFill>
        </w:rPr>
      </w:pPr>
    </w:p>
    <w:p>
      <w:pPr>
        <w:pStyle w:val="Heading1"/>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br w:type="page"/>
      </w:r>
      <w:r>
        <w:rPr>
          <w:rFonts w:hint="eastAsia"/>
          <w:color w:val="000000" w:themeColor="text1"/>
          <w:highlight w:val="none"/>
          <w14:textFill>
            <w14:solidFill>
              <w14:schemeClr w14:val="tx1"/>
            </w14:solidFill>
          </w14:textFill>
        </w:rPr>
        <w:t>目   录</w:t>
      </w:r>
    </w:p>
    <w:p>
      <w:pPr>
        <w:spacing w:line="360" w:lineRule="auto"/>
        <w:outlineLvl w:val="1"/>
        <w:rPr>
          <w:rFonts w:ascii="宋体" w:eastAsia="宋体" w:hAnsi="宋体"/>
          <w:b/>
          <w:color w:val="000000" w:themeColor="text1"/>
          <w:highlight w:val="none"/>
          <w14:textFill>
            <w14:solidFill>
              <w14:schemeClr w14:val="tx1"/>
            </w14:solidFill>
          </w14:textFill>
        </w:rPr>
      </w:pPr>
      <w:r>
        <w:rPr>
          <w:rFonts w:ascii="宋体" w:eastAsia="宋体" w:hAnsi="宋体" w:hint="eastAsia"/>
          <w:b/>
          <w:color w:val="000000" w:themeColor="text1"/>
          <w:highlight w:val="none"/>
          <w14:textFill>
            <w14:solidFill>
              <w14:schemeClr w14:val="tx1"/>
            </w14:solidFill>
          </w14:textFill>
        </w:rPr>
        <w:t>第一册  专用条款</w:t>
      </w:r>
    </w:p>
    <w:p>
      <w:pPr>
        <w:spacing w:line="360" w:lineRule="auto"/>
        <w:ind w:left="720" w:firstLine="470" w:leftChars="300" w:firstLineChars="196"/>
        <w:rPr>
          <w:rFonts w:ascii="宋体" w:eastAsia="宋体" w:hAnsi="宋体" w:hint="eastAsia"/>
          <w:color w:val="000000" w:themeColor="text1"/>
          <w:szCs w:val="21"/>
          <w:highlight w:val="none"/>
          <w14:textFill>
            <w14:solidFill>
              <w14:schemeClr w14:val="tx1"/>
            </w14:solidFill>
          </w14:textFill>
        </w:rPr>
      </w:pPr>
      <w:r>
        <w:rPr>
          <w:rFonts w:ascii="宋体" w:eastAsia="宋体" w:hAnsi="宋体" w:hint="eastAsia"/>
          <w:color w:val="000000" w:themeColor="text1"/>
          <w:szCs w:val="21"/>
          <w:highlight w:val="none"/>
          <w14:textFill>
            <w14:solidFill>
              <w14:schemeClr w14:val="tx1"/>
            </w14:solidFill>
          </w14:textFill>
        </w:rPr>
        <w:t>第一章  招标公告</w:t>
      </w:r>
    </w:p>
    <w:p>
      <w:pPr>
        <w:spacing w:line="360" w:lineRule="auto"/>
        <w:ind w:left="720" w:firstLine="470" w:leftChars="300" w:firstLineChars="196"/>
        <w:rPr>
          <w:rFonts w:ascii="宋体" w:eastAsia="宋体" w:hAnsi="宋体" w:hint="eastAsia"/>
          <w:color w:val="000000" w:themeColor="text1"/>
          <w:szCs w:val="21"/>
          <w:highlight w:val="none"/>
          <w14:textFill>
            <w14:solidFill>
              <w14:schemeClr w14:val="tx1"/>
            </w14:solidFill>
          </w14:textFill>
        </w:rPr>
      </w:pPr>
      <w:r>
        <w:rPr>
          <w:rFonts w:ascii="宋体" w:eastAsia="宋体" w:hAnsi="宋体" w:hint="eastAsia"/>
          <w:color w:val="000000" w:themeColor="text1"/>
          <w:szCs w:val="21"/>
          <w:highlight w:val="none"/>
          <w14:textFill>
            <w14:solidFill>
              <w14:schemeClr w14:val="tx1"/>
            </w14:solidFill>
          </w14:textFill>
        </w:rPr>
        <w:t xml:space="preserve">第二章  </w:t>
      </w:r>
      <w:bookmarkStart w:id="3" w:name="_Hlk71994379"/>
      <w:r>
        <w:rPr>
          <w:rFonts w:ascii="宋体" w:eastAsia="宋体" w:hAnsi="宋体" w:hint="eastAsia"/>
          <w:color w:val="000000" w:themeColor="text1"/>
          <w:szCs w:val="21"/>
          <w:highlight w:val="none"/>
          <w14:textFill>
            <w14:solidFill>
              <w14:schemeClr w14:val="tx1"/>
            </w14:solidFill>
          </w14:textFill>
        </w:rPr>
        <w:t>对通用条款的补充内容及其他关键信息</w:t>
      </w:r>
      <w:bookmarkEnd w:id="3"/>
    </w:p>
    <w:p>
      <w:pPr>
        <w:spacing w:line="360" w:lineRule="auto"/>
        <w:ind w:left="720" w:firstLine="470" w:leftChars="300" w:firstLineChars="196"/>
        <w:rPr>
          <w:rFonts w:ascii="宋体" w:eastAsia="宋体" w:hAnsi="宋体" w:hint="eastAsia"/>
          <w:color w:val="000000" w:themeColor="text1"/>
          <w:szCs w:val="21"/>
          <w:highlight w:val="none"/>
          <w14:textFill>
            <w14:solidFill>
              <w14:schemeClr w14:val="tx1"/>
            </w14:solidFill>
          </w14:textFill>
        </w:rPr>
      </w:pPr>
      <w:r>
        <w:rPr>
          <w:rFonts w:ascii="宋体" w:eastAsia="宋体" w:hAnsi="宋体" w:hint="eastAsia"/>
          <w:color w:val="000000" w:themeColor="text1"/>
          <w:szCs w:val="21"/>
          <w:highlight w:val="none"/>
          <w14:textFill>
            <w14:solidFill>
              <w14:schemeClr w14:val="tx1"/>
            </w14:solidFill>
          </w14:textFill>
        </w:rPr>
        <w:t>第三章  用户需求书</w:t>
      </w:r>
    </w:p>
    <w:p>
      <w:pPr>
        <w:spacing w:line="360" w:lineRule="auto"/>
        <w:ind w:left="720" w:firstLine="470" w:leftChars="300" w:firstLineChars="196"/>
        <w:rPr>
          <w:rFonts w:ascii="宋体" w:eastAsia="宋体" w:hAnsi="宋体" w:hint="eastAsia"/>
          <w:color w:val="000000" w:themeColor="text1"/>
          <w:szCs w:val="21"/>
          <w:highlight w:val="none"/>
          <w14:textFill>
            <w14:solidFill>
              <w14:schemeClr w14:val="tx1"/>
            </w14:solidFill>
          </w14:textFill>
        </w:rPr>
      </w:pPr>
      <w:r>
        <w:rPr>
          <w:rFonts w:ascii="宋体" w:eastAsia="宋体" w:hAnsi="宋体" w:hint="eastAsia"/>
          <w:color w:val="000000" w:themeColor="text1"/>
          <w:szCs w:val="21"/>
          <w:highlight w:val="none"/>
          <w14:textFill>
            <w14:solidFill>
              <w14:schemeClr w14:val="tx1"/>
            </w14:solidFill>
          </w14:textFill>
        </w:rPr>
        <w:t>第四章  投标文件组成要求及格式</w:t>
      </w:r>
    </w:p>
    <w:p>
      <w:pPr>
        <w:spacing w:line="360" w:lineRule="auto"/>
        <w:ind w:left="720" w:firstLine="470" w:leftChars="300" w:firstLineChars="196"/>
        <w:rPr>
          <w:rFonts w:ascii="宋体" w:eastAsia="宋体" w:hAnsi="宋体" w:hint="eastAsia"/>
          <w:color w:val="000000" w:themeColor="text1"/>
          <w:szCs w:val="21"/>
          <w:highlight w:val="none"/>
          <w14:textFill>
            <w14:solidFill>
              <w14:schemeClr w14:val="tx1"/>
            </w14:solidFill>
          </w14:textFill>
        </w:rPr>
      </w:pPr>
      <w:r>
        <w:rPr>
          <w:rFonts w:ascii="宋体" w:eastAsia="宋体" w:hAnsi="宋体" w:hint="eastAsia"/>
          <w:color w:val="000000" w:themeColor="text1"/>
          <w:szCs w:val="21"/>
          <w:highlight w:val="none"/>
          <w14:textFill>
            <w14:solidFill>
              <w14:schemeClr w14:val="tx1"/>
            </w14:solidFill>
          </w14:textFill>
        </w:rPr>
        <w:t>第五章  合同条款及格式</w:t>
      </w:r>
    </w:p>
    <w:p>
      <w:pPr>
        <w:rPr>
          <w:rFonts w:eastAsia="宋体"/>
          <w:highlight w:val="none"/>
        </w:rPr>
      </w:pPr>
    </w:p>
    <w:p>
      <w:pPr>
        <w:spacing w:line="360" w:lineRule="auto"/>
        <w:outlineLvl w:val="1"/>
        <w:rPr>
          <w:rFonts w:ascii="宋体" w:eastAsia="宋体" w:hAnsi="宋体"/>
          <w:b/>
          <w:color w:val="000000" w:themeColor="text1"/>
          <w:highlight w:val="none"/>
          <w14:textFill>
            <w14:solidFill>
              <w14:schemeClr w14:val="tx1"/>
            </w14:solidFill>
          </w14:textFill>
        </w:rPr>
      </w:pPr>
      <w:r>
        <w:rPr>
          <w:rFonts w:ascii="宋体" w:eastAsia="宋体" w:hAnsi="宋体" w:hint="eastAsia"/>
          <w:b/>
          <w:color w:val="000000" w:themeColor="text1"/>
          <w:highlight w:val="none"/>
          <w14:textFill>
            <w14:solidFill>
              <w14:schemeClr w14:val="tx1"/>
            </w14:solidFill>
          </w14:textFill>
        </w:rPr>
        <w:t>第二册  通用条款</w:t>
      </w:r>
    </w:p>
    <w:p>
      <w:pPr>
        <w:spacing w:line="360" w:lineRule="auto"/>
        <w:ind w:left="720" w:firstLine="470" w:leftChars="300" w:firstLineChars="196"/>
        <w:rPr>
          <w:rFonts w:ascii="宋体" w:eastAsia="宋体" w:hAnsi="宋体"/>
          <w:color w:val="000000" w:themeColor="text1"/>
          <w:szCs w:val="21"/>
          <w:highlight w:val="none"/>
          <w14:textFill>
            <w14:solidFill>
              <w14:schemeClr w14:val="tx1"/>
            </w14:solidFill>
          </w14:textFill>
        </w:rPr>
      </w:pPr>
      <w:r>
        <w:rPr>
          <w:rFonts w:ascii="宋体" w:eastAsia="宋体" w:hAnsi="宋体" w:hint="eastAsia"/>
          <w:color w:val="000000" w:themeColor="text1"/>
          <w:szCs w:val="21"/>
          <w:highlight w:val="none"/>
          <w14:textFill>
            <w14:solidFill>
              <w14:schemeClr w14:val="tx1"/>
            </w14:solidFill>
          </w14:textFill>
        </w:rPr>
        <w:t>第一章  总则</w:t>
      </w:r>
    </w:p>
    <w:p>
      <w:pPr>
        <w:spacing w:line="360" w:lineRule="auto"/>
        <w:ind w:left="720" w:firstLine="470" w:leftChars="300" w:firstLineChars="196"/>
        <w:rPr>
          <w:rFonts w:ascii="宋体" w:eastAsia="宋体" w:hAnsi="宋体"/>
          <w:color w:val="000000" w:themeColor="text1"/>
          <w:szCs w:val="21"/>
          <w:highlight w:val="none"/>
          <w14:textFill>
            <w14:solidFill>
              <w14:schemeClr w14:val="tx1"/>
            </w14:solidFill>
          </w14:textFill>
        </w:rPr>
      </w:pPr>
      <w:r>
        <w:rPr>
          <w:rFonts w:ascii="宋体" w:eastAsia="宋体" w:hAnsi="宋体" w:hint="eastAsia"/>
          <w:color w:val="000000" w:themeColor="text1"/>
          <w:szCs w:val="21"/>
          <w:highlight w:val="none"/>
          <w14:textFill>
            <w14:solidFill>
              <w14:schemeClr w14:val="tx1"/>
            </w14:solidFill>
          </w14:textFill>
        </w:rPr>
        <w:t>第二章  招标文件</w:t>
      </w:r>
    </w:p>
    <w:p>
      <w:pPr>
        <w:spacing w:line="360" w:lineRule="auto"/>
        <w:ind w:left="720" w:firstLine="470" w:leftChars="300" w:firstLineChars="196"/>
        <w:rPr>
          <w:rFonts w:ascii="宋体" w:eastAsia="宋体" w:hAnsi="宋体"/>
          <w:color w:val="000000" w:themeColor="text1"/>
          <w:szCs w:val="21"/>
          <w:highlight w:val="none"/>
          <w14:textFill>
            <w14:solidFill>
              <w14:schemeClr w14:val="tx1"/>
            </w14:solidFill>
          </w14:textFill>
        </w:rPr>
      </w:pPr>
      <w:r>
        <w:rPr>
          <w:rFonts w:ascii="宋体" w:eastAsia="宋体" w:hAnsi="宋体" w:hint="eastAsia"/>
          <w:color w:val="000000" w:themeColor="text1"/>
          <w:szCs w:val="21"/>
          <w:highlight w:val="none"/>
          <w14:textFill>
            <w14:solidFill>
              <w14:schemeClr w14:val="tx1"/>
            </w14:solidFill>
          </w14:textFill>
        </w:rPr>
        <w:t>第三章  投标文件的编制</w:t>
      </w:r>
    </w:p>
    <w:p>
      <w:pPr>
        <w:spacing w:line="360" w:lineRule="auto"/>
        <w:ind w:left="720" w:firstLine="470" w:leftChars="300" w:firstLineChars="196"/>
        <w:rPr>
          <w:rFonts w:ascii="宋体" w:eastAsia="宋体" w:hAnsi="宋体"/>
          <w:color w:val="000000" w:themeColor="text1"/>
          <w:szCs w:val="21"/>
          <w:highlight w:val="none"/>
          <w14:textFill>
            <w14:solidFill>
              <w14:schemeClr w14:val="tx1"/>
            </w14:solidFill>
          </w14:textFill>
        </w:rPr>
      </w:pPr>
      <w:r>
        <w:rPr>
          <w:rFonts w:ascii="宋体" w:eastAsia="宋体" w:hAnsi="宋体" w:hint="eastAsia"/>
          <w:color w:val="000000" w:themeColor="text1"/>
          <w:szCs w:val="21"/>
          <w:highlight w:val="none"/>
          <w14:textFill>
            <w14:solidFill>
              <w14:schemeClr w14:val="tx1"/>
            </w14:solidFill>
          </w14:textFill>
        </w:rPr>
        <w:t>第四章  投标文件的递交</w:t>
      </w:r>
    </w:p>
    <w:p>
      <w:pPr>
        <w:spacing w:line="360" w:lineRule="auto"/>
        <w:ind w:left="720" w:firstLine="470" w:leftChars="300" w:firstLineChars="196"/>
        <w:rPr>
          <w:rFonts w:ascii="宋体" w:eastAsia="宋体" w:hAnsi="宋体"/>
          <w:color w:val="000000" w:themeColor="text1"/>
          <w:szCs w:val="21"/>
          <w:highlight w:val="none"/>
          <w14:textFill>
            <w14:solidFill>
              <w14:schemeClr w14:val="tx1"/>
            </w14:solidFill>
          </w14:textFill>
        </w:rPr>
      </w:pPr>
      <w:r>
        <w:rPr>
          <w:rFonts w:ascii="宋体" w:eastAsia="宋体" w:hAnsi="宋体" w:hint="eastAsia"/>
          <w:color w:val="000000" w:themeColor="text1"/>
          <w:szCs w:val="21"/>
          <w:highlight w:val="none"/>
          <w14:textFill>
            <w14:solidFill>
              <w14:schemeClr w14:val="tx1"/>
            </w14:solidFill>
          </w14:textFill>
        </w:rPr>
        <w:t>第五章  开标</w:t>
      </w:r>
    </w:p>
    <w:p>
      <w:pPr>
        <w:spacing w:line="360" w:lineRule="auto"/>
        <w:ind w:left="720" w:firstLine="470" w:leftChars="300" w:firstLineChars="196"/>
        <w:rPr>
          <w:rFonts w:ascii="宋体" w:eastAsia="宋体" w:hAnsi="宋体"/>
          <w:color w:val="000000" w:themeColor="text1"/>
          <w:szCs w:val="21"/>
          <w:highlight w:val="none"/>
          <w14:textFill>
            <w14:solidFill>
              <w14:schemeClr w14:val="tx1"/>
            </w14:solidFill>
          </w14:textFill>
        </w:rPr>
      </w:pPr>
      <w:r>
        <w:rPr>
          <w:rFonts w:ascii="宋体" w:eastAsia="宋体" w:hAnsi="宋体" w:hint="eastAsia"/>
          <w:color w:val="000000" w:themeColor="text1"/>
          <w:szCs w:val="21"/>
          <w:highlight w:val="none"/>
          <w14:textFill>
            <w14:solidFill>
              <w14:schemeClr w14:val="tx1"/>
            </w14:solidFill>
          </w14:textFill>
        </w:rPr>
        <w:t>第六章  评审要求</w:t>
      </w:r>
    </w:p>
    <w:p>
      <w:pPr>
        <w:spacing w:line="360" w:lineRule="auto"/>
        <w:ind w:left="720" w:firstLine="470" w:leftChars="300" w:firstLineChars="196"/>
        <w:rPr>
          <w:rFonts w:ascii="宋体" w:eastAsia="宋体" w:hAnsi="宋体"/>
          <w:color w:val="auto"/>
          <w:szCs w:val="21"/>
          <w:highlight w:val="none"/>
        </w:rPr>
      </w:pPr>
      <w:r>
        <w:rPr>
          <w:rFonts w:ascii="宋体" w:eastAsia="宋体" w:hAnsi="宋体" w:hint="eastAsia"/>
          <w:color w:val="auto"/>
          <w:szCs w:val="21"/>
          <w:highlight w:val="none"/>
        </w:rPr>
        <w:t>第七章  评审程序及评审方法</w:t>
      </w:r>
    </w:p>
    <w:p>
      <w:pPr>
        <w:spacing w:line="360" w:lineRule="auto"/>
        <w:ind w:left="720" w:firstLine="470" w:leftChars="300" w:firstLineChars="196"/>
        <w:rPr>
          <w:rFonts w:ascii="宋体" w:eastAsia="宋体" w:hAnsi="宋体"/>
          <w:color w:val="auto"/>
          <w:szCs w:val="21"/>
          <w:highlight w:val="none"/>
        </w:rPr>
      </w:pPr>
      <w:r>
        <w:rPr>
          <w:rFonts w:ascii="宋体" w:eastAsia="宋体" w:hAnsi="宋体" w:hint="eastAsia"/>
          <w:color w:val="auto"/>
          <w:szCs w:val="21"/>
          <w:highlight w:val="none"/>
        </w:rPr>
        <w:t>第八章  定标及公示</w:t>
      </w:r>
    </w:p>
    <w:p>
      <w:pPr>
        <w:spacing w:line="360" w:lineRule="auto"/>
        <w:ind w:left="720" w:firstLine="470" w:leftChars="300" w:firstLineChars="196"/>
        <w:rPr>
          <w:rFonts w:ascii="宋体" w:eastAsia="宋体" w:hAnsi="宋体"/>
          <w:color w:val="auto"/>
          <w:szCs w:val="21"/>
          <w:highlight w:val="none"/>
        </w:rPr>
      </w:pPr>
      <w:r>
        <w:rPr>
          <w:rFonts w:ascii="宋体" w:eastAsia="宋体" w:hAnsi="宋体" w:hint="eastAsia"/>
          <w:color w:val="auto"/>
          <w:szCs w:val="21"/>
          <w:highlight w:val="none"/>
        </w:rPr>
        <w:t>第九章  公开招标失败的后续处理</w:t>
      </w:r>
    </w:p>
    <w:p>
      <w:pPr>
        <w:spacing w:line="360" w:lineRule="auto"/>
        <w:ind w:left="720" w:firstLine="470" w:leftChars="300" w:firstLineChars="196"/>
        <w:rPr>
          <w:rFonts w:ascii="宋体" w:eastAsia="宋体" w:hAnsi="宋体"/>
          <w:color w:val="auto"/>
          <w:szCs w:val="21"/>
          <w:highlight w:val="none"/>
        </w:rPr>
      </w:pPr>
      <w:r>
        <w:rPr>
          <w:rFonts w:ascii="宋体" w:eastAsia="宋体" w:hAnsi="宋体" w:hint="eastAsia"/>
          <w:color w:val="auto"/>
          <w:szCs w:val="21"/>
          <w:highlight w:val="none"/>
        </w:rPr>
        <w:t>第十章  合同的授予与备案</w:t>
      </w:r>
    </w:p>
    <w:p>
      <w:pPr>
        <w:spacing w:line="360" w:lineRule="auto"/>
        <w:ind w:left="720" w:firstLine="470" w:leftChars="300" w:firstLineChars="196"/>
        <w:rPr>
          <w:rFonts w:ascii="宋体" w:eastAsia="宋体" w:hAnsi="宋体"/>
          <w:color w:val="auto"/>
          <w:szCs w:val="21"/>
          <w:highlight w:val="none"/>
        </w:rPr>
      </w:pPr>
      <w:r>
        <w:rPr>
          <w:rFonts w:ascii="宋体" w:eastAsia="宋体" w:hAnsi="宋体" w:hint="eastAsia"/>
          <w:color w:val="auto"/>
          <w:szCs w:val="21"/>
          <w:highlight w:val="none"/>
        </w:rPr>
        <w:t>第十一章  质疑处理</w:t>
      </w:r>
    </w:p>
    <w:p>
      <w:pPr>
        <w:spacing w:line="360" w:lineRule="auto"/>
        <w:ind w:firstLine="480" w:firstLineChars="200"/>
        <w:rPr>
          <w:rFonts w:ascii="宋体" w:eastAsia="宋体" w:hAnsi="宋体"/>
          <w:color w:val="auto"/>
          <w:szCs w:val="21"/>
          <w:highlight w:val="none"/>
        </w:rPr>
      </w:pPr>
    </w:p>
    <w:p>
      <w:pPr>
        <w:pStyle w:val="Heading1"/>
        <w:rPr>
          <w:color w:val="auto"/>
          <w:sz w:val="24"/>
          <w:highlight w:val="none"/>
        </w:rPr>
      </w:pPr>
      <w:r>
        <w:rPr>
          <w:rFonts w:eastAsia="宋体"/>
          <w:color w:val="auto"/>
          <w:highlight w:val="none"/>
        </w:rPr>
        <w:br w:type="page"/>
      </w:r>
      <w:bookmarkStart w:id="4" w:name="bt技术标投标文件格式"/>
      <w:bookmarkEnd w:id="4"/>
      <w:bookmarkStart w:id="5" w:name="bt其他资料2"/>
      <w:bookmarkEnd w:id="5"/>
      <w:bookmarkStart w:id="6" w:name="合同格式"/>
      <w:bookmarkEnd w:id="6"/>
      <w:bookmarkStart w:id="7" w:name="bt投标报价汇总表"/>
      <w:bookmarkEnd w:id="7"/>
      <w:bookmarkStart w:id="8" w:name="bt投标人须知"/>
      <w:bookmarkEnd w:id="8"/>
      <w:bookmarkStart w:id="9" w:name="bt说明"/>
      <w:bookmarkEnd w:id="9"/>
      <w:bookmarkStart w:id="10" w:name="bt其他资料由投标人自定"/>
      <w:bookmarkEnd w:id="10"/>
      <w:bookmarkStart w:id="11" w:name="bt投标文件签署授权委托书"/>
      <w:bookmarkEnd w:id="11"/>
      <w:bookmarkStart w:id="12" w:name="bt投标人情况介绍"/>
      <w:bookmarkEnd w:id="12"/>
      <w:bookmarkStart w:id="13" w:name="bt投标函"/>
      <w:bookmarkEnd w:id="13"/>
      <w:bookmarkStart w:id="14" w:name="bt合同条款及格式"/>
      <w:bookmarkEnd w:id="14"/>
      <w:bookmarkStart w:id="15" w:name="bt开标一览表"/>
      <w:bookmarkEnd w:id="15"/>
      <w:bookmarkStart w:id="16" w:name="bt合同格式"/>
      <w:bookmarkEnd w:id="16"/>
      <w:bookmarkStart w:id="17" w:name="bt商务标投标文件格式"/>
      <w:bookmarkEnd w:id="17"/>
      <w:bookmarkStart w:id="18" w:name="bt本工程承诺书"/>
      <w:bookmarkEnd w:id="18"/>
      <w:bookmarkStart w:id="19" w:name="bt合同条款"/>
      <w:bookmarkEnd w:id="19"/>
      <w:bookmarkStart w:id="20" w:name="bt项目管理班子配备情况"/>
      <w:bookmarkEnd w:id="20"/>
      <w:r>
        <w:rPr>
          <w:rFonts w:hint="eastAsia"/>
          <w:color w:val="auto"/>
          <w:highlight w:val="none"/>
        </w:rPr>
        <w:t>第一册专用条款</w:t>
      </w:r>
    </w:p>
    <w:p>
      <w:pPr>
        <w:pStyle w:val="Heading2"/>
        <w:rPr>
          <w:b/>
          <w:bCs/>
          <w:color w:val="auto"/>
          <w:highlight w:val="none"/>
        </w:rPr>
      </w:pPr>
      <w:r>
        <w:rPr>
          <w:rFonts w:hint="eastAsia"/>
          <w:b/>
          <w:bCs/>
          <w:color w:val="auto"/>
          <w:highlight w:val="none"/>
        </w:rPr>
        <w:t xml:space="preserve">第一章  </w:t>
      </w:r>
      <w:r>
        <w:rPr>
          <w:rFonts w:cs="宋体" w:hint="eastAsia"/>
          <w:b/>
          <w:bCs/>
          <w:color w:val="auto"/>
          <w:szCs w:val="21"/>
          <w:highlight w:val="none"/>
        </w:rPr>
        <w:t>招标公告</w:t>
      </w:r>
      <w:r>
        <w:rPr>
          <w:rFonts w:hint="eastAsia"/>
          <w:b/>
          <w:bCs/>
          <w:color w:val="auto"/>
          <w:highlight w:val="none"/>
        </w:rPr>
        <w:t xml:space="preserve">  </w:t>
      </w:r>
    </w:p>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eastAsia="仿宋" w:hAnsi="仿宋" w:cs="仿宋" w:hint="eastAsia"/>
          <w:b/>
          <w:bCs/>
          <w:color w:val="auto"/>
          <w:sz w:val="28"/>
          <w:szCs w:val="28"/>
          <w:highlight w:val="none"/>
          <w:lang w:val="en-US" w:eastAsia="zh-CN"/>
        </w:rPr>
      </w:pPr>
      <w:r>
        <w:rPr>
          <w:rFonts w:ascii="仿宋" w:eastAsia="仿宋" w:hAnsi="仿宋" w:cs="仿宋" w:hint="eastAsia"/>
          <w:b/>
          <w:bCs/>
          <w:color w:val="auto"/>
          <w:sz w:val="28"/>
          <w:szCs w:val="28"/>
          <w:highlight w:val="none"/>
          <w:lang w:val="en-US" w:eastAsia="zh-CN"/>
        </w:rPr>
        <w:t>本公告内涉及时间的相关内容均已对外发布的招标公告内容为准</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auto"/>
          <w:szCs w:val="21"/>
          <w:highlight w:val="none"/>
          <w:lang w:eastAsia="zh-CN"/>
        </w:rPr>
      </w:pPr>
      <w:r>
        <w:rPr>
          <w:rFonts w:ascii="宋体" w:eastAsia="宋体" w:hAnsi="宋体" w:cs="宋体" w:hint="eastAsia"/>
          <w:b/>
          <w:color w:val="auto"/>
          <w:szCs w:val="21"/>
          <w:highlight w:val="none"/>
          <w:lang w:eastAsia="zh-CN"/>
        </w:rPr>
        <w:t>一、项目概况：</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u w:val="single"/>
          <w:lang w:val="en-US" w:eastAsia="zh-CN"/>
        </w:rPr>
        <w:t>盐坝高速公路坝光收费站物业运营维护管理</w:t>
      </w:r>
      <w:r>
        <w:rPr>
          <w:rFonts w:ascii="宋体" w:eastAsia="宋体" w:hAnsi="宋体" w:cs="宋体" w:hint="eastAsia"/>
          <w:color w:val="auto"/>
          <w:highlight w:val="none"/>
        </w:rPr>
        <w:t>的潜在投标人应在（本公告附件中）获取招标文件，于</w:t>
      </w:r>
      <w:r>
        <w:rPr>
          <w:rFonts w:ascii="宋体" w:eastAsia="宋体" w:hAnsi="宋体" w:cs="宋体" w:hint="eastAsia"/>
          <w:color w:val="auto"/>
          <w:highlight w:val="none"/>
          <w:lang w:eastAsia="zh-CN"/>
        </w:rPr>
        <w:t>2025年4月21日9时00分00秒</w:t>
      </w:r>
      <w:r>
        <w:rPr>
          <w:rFonts w:ascii="宋体" w:eastAsia="宋体" w:hAnsi="宋体" w:cs="宋体" w:hint="eastAsia"/>
          <w:color w:val="auto"/>
          <w:highlight w:val="none"/>
        </w:rPr>
        <w:t>（北京时间）前递交投标文件。</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一、项目基本情况</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default"/>
          <w:color w:val="auto"/>
          <w:highlight w:val="none"/>
          <w:lang w:val="en-US" w:eastAsia="zh-CN"/>
        </w:rPr>
      </w:pPr>
      <w:r>
        <w:rPr>
          <w:rFonts w:ascii="宋体" w:eastAsia="宋体" w:hAnsi="宋体" w:cs="宋体" w:hint="eastAsia"/>
          <w:color w:val="auto"/>
          <w:highlight w:val="none"/>
        </w:rPr>
        <w:t>1.项目编号：</w:t>
      </w:r>
      <w:r>
        <w:rPr>
          <w:rFonts w:ascii="宋体" w:eastAsia="宋体" w:hAnsi="宋体" w:cs="宋体" w:hint="eastAsia"/>
          <w:color w:val="auto"/>
          <w:highlight w:val="none"/>
          <w:u w:val="single"/>
          <w:lang w:val="en-US" w:eastAsia="zh-CN"/>
        </w:rPr>
        <w:t>SZDL2025000472</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lang w:eastAsia="zh-CN"/>
        </w:rPr>
      </w:pPr>
      <w:r>
        <w:rPr>
          <w:rFonts w:ascii="宋体" w:eastAsia="宋体" w:hAnsi="宋体" w:cs="宋体" w:hint="eastAsia"/>
          <w:color w:val="auto"/>
          <w:highlight w:val="none"/>
        </w:rPr>
        <w:t>2.项目名称：</w:t>
      </w:r>
      <w:r>
        <w:rPr>
          <w:rFonts w:ascii="宋体" w:eastAsia="宋体" w:hAnsi="宋体" w:cs="宋体" w:hint="eastAsia"/>
          <w:color w:val="auto"/>
          <w:highlight w:val="none"/>
          <w:u w:val="single"/>
          <w:lang w:val="en-US" w:eastAsia="zh-CN"/>
        </w:rPr>
        <w:t>盐坝高速公路坝光收费站物业运营维护管理</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3.预算金额：</w:t>
      </w:r>
      <w:r>
        <w:rPr>
          <w:rFonts w:ascii="宋体" w:eastAsia="宋体" w:hAnsi="宋体" w:cs="宋体" w:hint="eastAsia"/>
          <w:color w:val="auto"/>
          <w:highlight w:val="none"/>
          <w:lang w:val="en-US" w:eastAsia="zh-CN"/>
        </w:rPr>
        <w:t>9,100,000.00元</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4.最高限价：</w:t>
      </w:r>
      <w:r>
        <w:rPr>
          <w:rFonts w:ascii="宋体" w:eastAsia="宋体" w:hAnsi="宋体" w:cs="宋体" w:hint="eastAsia"/>
          <w:color w:val="auto"/>
          <w:highlight w:val="none"/>
          <w:lang w:val="en-US" w:eastAsia="zh-CN"/>
        </w:rPr>
        <w:t>9,100,000.00元</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5.采购需求：</w:t>
      </w:r>
    </w:p>
    <w:tbl>
      <w:tblPr>
        <w:tblStyle w:val="TableNormal"/>
        <w:tblW w:w="7941" w:type="dxa"/>
        <w:tblInd w:w="0" w:type="dxa"/>
        <w:tblBorders>
          <w:top w:val="outset" w:sz="6" w:space="0" w:color="AAAAAA"/>
          <w:left w:val="outset" w:sz="6" w:space="0" w:color="AAAAAA"/>
          <w:bottom w:val="outset" w:sz="6" w:space="0" w:color="AAAAAA"/>
          <w:right w:val="outset" w:sz="6" w:space="0" w:color="AAAAAA"/>
          <w:insideH w:val="nil"/>
          <w:insideV w:val="nil"/>
        </w:tblBorders>
        <w:tblLayout w:type="fixed"/>
        <w:tblCellMar>
          <w:top w:w="60" w:type="dxa"/>
          <w:left w:w="60" w:type="dxa"/>
          <w:bottom w:w="60" w:type="dxa"/>
          <w:right w:w="60" w:type="dxa"/>
        </w:tblCellMar>
      </w:tblPr>
      <w:tblGrid>
        <w:gridCol w:w="2228"/>
        <w:gridCol w:w="714"/>
        <w:gridCol w:w="714"/>
        <w:gridCol w:w="3571"/>
        <w:gridCol w:w="714"/>
      </w:tblGrid>
      <w:tr>
        <w:tblPrEx>
          <w:tblW w:w="7941" w:type="dxa"/>
          <w:tblInd w:w="0" w:type="dxa"/>
          <w:tblBorders>
            <w:top w:val="outset" w:sz="6" w:space="0" w:color="AAAAAA"/>
            <w:left w:val="outset" w:sz="6" w:space="0" w:color="AAAAAA"/>
            <w:bottom w:val="outset" w:sz="6" w:space="0" w:color="AAAAAA"/>
            <w:right w:val="outset" w:sz="6" w:space="0" w:color="AAAAAA"/>
            <w:insideH w:val="nil"/>
            <w:insideV w:val="nil"/>
          </w:tblBorders>
          <w:tblLayout w:type="fixed"/>
          <w:tblCellMar>
            <w:top w:w="60" w:type="dxa"/>
            <w:left w:w="60" w:type="dxa"/>
            <w:bottom w:w="60" w:type="dxa"/>
            <w:right w:w="60" w:type="dxa"/>
          </w:tblCellMar>
        </w:tblPrEx>
        <w:tc>
          <w:tcPr>
            <w:tcW w:w="2228"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Theme="minorEastAsia" w:eastAsiaTheme="minorEastAsia" w:hAnsiTheme="minorEastAsia" w:cs="宋体"/>
                <w:color w:val="auto"/>
                <w:szCs w:val="21"/>
                <w:highlight w:val="none"/>
              </w:rPr>
            </w:pPr>
            <w:r>
              <w:rPr>
                <w:rFonts w:asciiTheme="minorEastAsia" w:eastAsiaTheme="minorEastAsia" w:hAnsiTheme="minorEastAsia" w:cs="宋体"/>
                <w:color w:val="auto"/>
                <w:szCs w:val="21"/>
                <w:highlight w:val="none"/>
              </w:rPr>
              <w:t>标的名称</w:t>
            </w:r>
          </w:p>
        </w:tc>
        <w:tc>
          <w:tcPr>
            <w:tcW w:w="714"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Theme="minorEastAsia" w:eastAsiaTheme="minorEastAsia" w:hAnsiTheme="minorEastAsia" w:cs="宋体"/>
                <w:color w:val="auto"/>
                <w:szCs w:val="21"/>
                <w:highlight w:val="none"/>
              </w:rPr>
            </w:pPr>
            <w:r>
              <w:rPr>
                <w:rFonts w:asciiTheme="minorEastAsia" w:eastAsiaTheme="minorEastAsia" w:hAnsiTheme="minorEastAsia" w:cs="宋体"/>
                <w:color w:val="auto"/>
                <w:szCs w:val="21"/>
                <w:highlight w:val="none"/>
              </w:rPr>
              <w:t>数量</w:t>
            </w:r>
          </w:p>
        </w:tc>
        <w:tc>
          <w:tcPr>
            <w:tcW w:w="714"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Theme="minorEastAsia" w:eastAsiaTheme="minorEastAsia" w:hAnsiTheme="minorEastAsia" w:cs="宋体"/>
                <w:color w:val="auto"/>
                <w:szCs w:val="21"/>
                <w:highlight w:val="none"/>
              </w:rPr>
            </w:pPr>
            <w:r>
              <w:rPr>
                <w:rFonts w:asciiTheme="minorEastAsia" w:eastAsiaTheme="minorEastAsia" w:hAnsiTheme="minorEastAsia" w:cs="宋体"/>
                <w:color w:val="auto"/>
                <w:szCs w:val="21"/>
                <w:highlight w:val="none"/>
              </w:rPr>
              <w:t>单位</w:t>
            </w:r>
          </w:p>
        </w:tc>
        <w:tc>
          <w:tcPr>
            <w:tcW w:w="3571"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Theme="minorEastAsia" w:eastAsiaTheme="minorEastAsia" w:hAnsiTheme="minorEastAsia" w:cs="宋体"/>
                <w:color w:val="auto"/>
                <w:szCs w:val="21"/>
                <w:highlight w:val="none"/>
              </w:rPr>
            </w:pPr>
            <w:r>
              <w:rPr>
                <w:rFonts w:asciiTheme="minorEastAsia" w:eastAsiaTheme="minorEastAsia" w:hAnsiTheme="minorEastAsia" w:cs="宋体"/>
                <w:color w:val="auto"/>
                <w:szCs w:val="21"/>
                <w:highlight w:val="none"/>
              </w:rPr>
              <w:t>简要技术需求（服务需求）</w:t>
            </w:r>
          </w:p>
        </w:tc>
        <w:tc>
          <w:tcPr>
            <w:tcW w:w="714"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Theme="minorEastAsia" w:eastAsiaTheme="minorEastAsia" w:hAnsiTheme="minorEastAsia" w:cs="宋体"/>
                <w:color w:val="auto"/>
                <w:szCs w:val="21"/>
                <w:highlight w:val="none"/>
              </w:rPr>
            </w:pPr>
            <w:r>
              <w:rPr>
                <w:rFonts w:asciiTheme="minorEastAsia" w:eastAsiaTheme="minorEastAsia" w:hAnsiTheme="minorEastAsia" w:cs="宋体"/>
                <w:color w:val="auto"/>
                <w:szCs w:val="21"/>
                <w:highlight w:val="none"/>
              </w:rPr>
              <w:t>备注</w:t>
            </w:r>
          </w:p>
        </w:tc>
      </w:tr>
      <w:tr>
        <w:tblPrEx>
          <w:tblW w:w="7941" w:type="dxa"/>
          <w:tblInd w:w="0" w:type="dxa"/>
          <w:tblLayout w:type="fixed"/>
          <w:tblCellMar>
            <w:top w:w="60" w:type="dxa"/>
            <w:left w:w="60" w:type="dxa"/>
            <w:bottom w:w="60" w:type="dxa"/>
            <w:right w:w="60" w:type="dxa"/>
          </w:tblCellMar>
        </w:tblPrEx>
        <w:tc>
          <w:tcPr>
            <w:tcW w:w="2228" w:type="dxa"/>
            <w:tcBorders>
              <w:top w:val="outset" w:sz="6" w:space="0" w:color="AAAAAA"/>
              <w:left w:val="outset" w:sz="6" w:space="0" w:color="AAAAAA"/>
              <w:bottom w:val="outset" w:sz="6" w:space="0" w:color="AAAAAA"/>
              <w:right w:val="outset" w:sz="6" w:space="0" w:color="AAAAAA"/>
            </w:tcBorders>
            <w:vAlign w:val="center"/>
          </w:tcPr>
          <w:p>
            <w:pPr>
              <w:spacing w:before="100" w:beforeAutospacing="1" w:after="100" w:afterAutospacing="1"/>
              <w:jc w:val="center"/>
              <w:rPr>
                <w:rFonts w:asciiTheme="minorEastAsia" w:eastAsiaTheme="minorEastAsia" w:hAnsiTheme="minorEastAsia" w:cs="宋体" w:hint="eastAsia"/>
                <w:color w:val="auto"/>
                <w:szCs w:val="21"/>
                <w:highlight w:val="none"/>
                <w:lang w:eastAsia="zh-CN"/>
              </w:rPr>
            </w:pPr>
            <w:r>
              <w:rPr>
                <w:rFonts w:ascii="宋体" w:eastAsia="宋体" w:hAnsi="宋体" w:cs="宋体" w:hint="eastAsia"/>
                <w:color w:val="auto"/>
                <w:highlight w:val="none"/>
                <w:u w:val="single"/>
                <w:lang w:val="en-US" w:eastAsia="zh-CN"/>
              </w:rPr>
              <w:t>盐坝高速公路坝光收费站物业运营维护管理</w:t>
            </w:r>
          </w:p>
        </w:tc>
        <w:tc>
          <w:tcPr>
            <w:tcW w:w="714" w:type="dxa"/>
            <w:tcBorders>
              <w:top w:val="outset" w:sz="6" w:space="0" w:color="AAAAAA"/>
              <w:left w:val="outset" w:sz="6" w:space="0" w:color="AAAAAA"/>
              <w:bottom w:val="outset" w:sz="6" w:space="0" w:color="AAAAAA"/>
              <w:right w:val="outset" w:sz="6" w:space="0" w:color="AAAAAA"/>
            </w:tcBorders>
            <w:vAlign w:val="center"/>
          </w:tcPr>
          <w:p>
            <w:pPr>
              <w:spacing w:before="100" w:beforeAutospacing="1" w:after="100" w:afterAutospacing="1"/>
              <w:jc w:val="center"/>
              <w:rPr>
                <w:rFonts w:asciiTheme="minorEastAsia" w:eastAsiaTheme="minorEastAsia" w:hAnsiTheme="minorEastAsia" w:cs="宋体"/>
                <w:color w:val="auto"/>
                <w:szCs w:val="21"/>
                <w:highlight w:val="none"/>
              </w:rPr>
            </w:pPr>
            <w:r>
              <w:rPr>
                <w:rFonts w:asciiTheme="minorEastAsia" w:eastAsiaTheme="minorEastAsia" w:hAnsiTheme="minorEastAsia" w:cs="宋体"/>
                <w:color w:val="auto"/>
                <w:szCs w:val="21"/>
                <w:highlight w:val="none"/>
              </w:rPr>
              <w:t>1.0</w:t>
            </w:r>
          </w:p>
        </w:tc>
        <w:tc>
          <w:tcPr>
            <w:tcW w:w="714" w:type="dxa"/>
            <w:tcBorders>
              <w:top w:val="outset" w:sz="6" w:space="0" w:color="AAAAAA"/>
              <w:left w:val="outset" w:sz="6" w:space="0" w:color="AAAAAA"/>
              <w:bottom w:val="outset" w:sz="6" w:space="0" w:color="AAAAAA"/>
              <w:right w:val="outset" w:sz="6" w:space="0" w:color="AAAAAA"/>
            </w:tcBorders>
            <w:vAlign w:val="center"/>
          </w:tcPr>
          <w:p>
            <w:pPr>
              <w:spacing w:before="100" w:beforeAutospacing="1" w:after="100" w:afterAutospacing="1"/>
              <w:jc w:val="center"/>
              <w:rPr>
                <w:rFonts w:asciiTheme="minorEastAsia" w:eastAsiaTheme="minorEastAsia" w:hAnsiTheme="minorEastAsia" w:cs="宋体"/>
                <w:color w:val="auto"/>
                <w:szCs w:val="21"/>
                <w:highlight w:val="none"/>
              </w:rPr>
            </w:pPr>
            <w:r>
              <w:rPr>
                <w:rFonts w:asciiTheme="minorEastAsia" w:eastAsiaTheme="minorEastAsia" w:hAnsiTheme="minorEastAsia" w:cs="宋体"/>
                <w:color w:val="auto"/>
                <w:szCs w:val="21"/>
                <w:highlight w:val="none"/>
              </w:rPr>
              <w:t>项</w:t>
            </w:r>
          </w:p>
        </w:tc>
        <w:tc>
          <w:tcPr>
            <w:tcW w:w="3571" w:type="dxa"/>
            <w:tcBorders>
              <w:top w:val="outset" w:sz="6" w:space="0" w:color="AAAAAA"/>
              <w:left w:val="outset" w:sz="6" w:space="0" w:color="AAAAAA"/>
              <w:bottom w:val="outset" w:sz="6" w:space="0" w:color="AAAAAA"/>
              <w:right w:val="outset" w:sz="6" w:space="0" w:color="AAAAAA"/>
            </w:tcBorders>
            <w:vAlign w:val="center"/>
          </w:tcPr>
          <w:p>
            <w:pPr>
              <w:spacing w:before="100" w:beforeAutospacing="1" w:after="100" w:afterAutospacing="1"/>
              <w:jc w:val="center"/>
              <w:rPr>
                <w:rFonts w:asciiTheme="minorEastAsia" w:eastAsiaTheme="minorEastAsia" w:hAnsiTheme="minorEastAsia" w:cs="宋体"/>
                <w:color w:val="auto"/>
                <w:szCs w:val="21"/>
                <w:highlight w:val="none"/>
              </w:rPr>
            </w:pPr>
            <w:r>
              <w:rPr>
                <w:rFonts w:asciiTheme="minorEastAsia" w:eastAsiaTheme="minorEastAsia" w:hAnsiTheme="minorEastAsia" w:cs="宋体"/>
                <w:color w:val="auto"/>
                <w:szCs w:val="21"/>
                <w:highlight w:val="none"/>
              </w:rPr>
              <w:t>详见采购文件</w:t>
            </w:r>
          </w:p>
        </w:tc>
        <w:tc>
          <w:tcPr>
            <w:tcW w:w="714" w:type="dxa"/>
            <w:tcBorders>
              <w:top w:val="outset" w:sz="6" w:space="0" w:color="AAAAAA"/>
              <w:left w:val="outset" w:sz="6" w:space="0" w:color="AAAAAA"/>
              <w:bottom w:val="outset" w:sz="6" w:space="0" w:color="AAAAAA"/>
              <w:right w:val="outset" w:sz="6" w:space="0" w:color="AAAAAA"/>
            </w:tcBorders>
            <w:vAlign w:val="center"/>
          </w:tcPr>
          <w:p>
            <w:pPr>
              <w:jc w:val="center"/>
              <w:rPr>
                <w:rFonts w:asciiTheme="minorEastAsia" w:eastAsiaTheme="minorEastAsia" w:hAnsiTheme="minorEastAsia" w:cs="宋体"/>
                <w:color w:val="auto"/>
                <w:szCs w:val="21"/>
                <w:highlight w:val="none"/>
              </w:rPr>
            </w:pPr>
          </w:p>
        </w:tc>
      </w:tr>
    </w:tbl>
    <w:p>
      <w:pPr>
        <w:spacing w:line="400" w:lineRule="exact"/>
        <w:ind w:firstLine="480" w:firstLineChars="200"/>
        <w:rPr>
          <w:rFonts w:ascii="宋体" w:eastAsia="宋体" w:hAnsi="宋体" w:cs="宋体" w:hint="eastAsia"/>
          <w:color w:val="auto"/>
          <w:highlight w:val="none"/>
        </w:rPr>
      </w:pPr>
      <w:r>
        <w:rPr>
          <w:rFonts w:ascii="宋体" w:eastAsia="宋体" w:hAnsi="宋体" w:cs="宋体" w:hint="eastAsia"/>
          <w:color w:val="auto"/>
          <w:highlight w:val="none"/>
        </w:rPr>
        <w:t>6.合同履行期限：详见招标文件。</w:t>
      </w:r>
    </w:p>
    <w:p>
      <w:pPr>
        <w:spacing w:line="400" w:lineRule="exact"/>
        <w:ind w:firstLine="480" w:firstLineChars="200"/>
        <w:rPr>
          <w:rFonts w:ascii="宋体" w:eastAsia="宋体" w:hAnsi="宋体" w:cs="宋体" w:hint="eastAsia"/>
          <w:color w:val="auto"/>
          <w:highlight w:val="none"/>
        </w:rPr>
      </w:pPr>
      <w:r>
        <w:rPr>
          <w:rFonts w:ascii="宋体" w:eastAsia="宋体" w:hAnsi="宋体" w:cs="宋体" w:hint="eastAsia"/>
          <w:color w:val="auto"/>
          <w:highlight w:val="none"/>
        </w:rPr>
        <w:t>7.本项目</w:t>
      </w:r>
      <w:r>
        <w:rPr>
          <w:rFonts w:ascii="宋体" w:eastAsia="宋体" w:hAnsi="宋体" w:cs="宋体" w:hint="eastAsia"/>
          <w:color w:val="auto"/>
          <w:highlight w:val="none"/>
          <w:lang w:val="en-US" w:eastAsia="zh-CN"/>
        </w:rPr>
        <w:t>不</w:t>
      </w:r>
      <w:r>
        <w:rPr>
          <w:rFonts w:ascii="宋体" w:eastAsia="宋体" w:hAnsi="宋体" w:cs="宋体" w:hint="eastAsia"/>
          <w:color w:val="auto"/>
          <w:highlight w:val="none"/>
        </w:rPr>
        <w:t>接受联合体投标。</w:t>
      </w:r>
    </w:p>
    <w:p>
      <w:pPr>
        <w:spacing w:beforeLines="0" w:afterLines="0" w:line="240" w:lineRule="auto"/>
        <w:rPr>
          <w:rFonts w:ascii="宋体" w:eastAsia="宋体" w:hAnsi="宋体" w:cs="宋体" w:hint="eastAsia"/>
          <w:b/>
          <w:color w:val="auto"/>
          <w:szCs w:val="21"/>
          <w:highlight w:val="none"/>
          <w:lang w:eastAsia="zh-CN"/>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b/>
          <w:color w:val="auto"/>
          <w:szCs w:val="21"/>
          <w:highlight w:val="none"/>
        </w:rPr>
      </w:pPr>
      <w:r>
        <w:rPr>
          <w:rFonts w:ascii="宋体" w:eastAsia="宋体" w:hAnsi="宋体" w:cs="宋体" w:hint="eastAsia"/>
          <w:b/>
          <w:color w:val="auto"/>
          <w:szCs w:val="21"/>
          <w:highlight w:val="none"/>
          <w:lang w:eastAsia="zh-CN"/>
        </w:rPr>
        <w:t>二、</w:t>
      </w:r>
      <w:r>
        <w:rPr>
          <w:rFonts w:ascii="宋体" w:eastAsia="宋体" w:hAnsi="宋体" w:cs="宋体" w:hint="eastAsia"/>
          <w:b/>
          <w:color w:val="auto"/>
          <w:szCs w:val="21"/>
          <w:highlight w:val="none"/>
        </w:rPr>
        <w:t>投标人的资格要求：</w:t>
      </w:r>
    </w:p>
    <w:p>
      <w:pPr>
        <w:spacing w:line="400" w:lineRule="exact"/>
        <w:ind w:firstLine="480" w:firstLineChars="200"/>
        <w:rPr>
          <w:rFonts w:ascii="宋体" w:eastAsia="宋体" w:hAnsi="宋体" w:cs="宋体" w:hint="eastAsia"/>
          <w:color w:val="auto"/>
          <w:highlight w:val="none"/>
          <w:lang w:val="en-US" w:eastAsia="zh-CN"/>
        </w:rPr>
      </w:pPr>
      <w:r>
        <w:rPr>
          <w:rFonts w:ascii="宋体" w:eastAsia="宋体" w:hAnsi="宋体" w:cs="宋体" w:hint="eastAsia"/>
          <w:color w:val="auto"/>
          <w:highlight w:val="none"/>
          <w:lang w:val="en-US" w:eastAsia="zh-CN"/>
        </w:rPr>
        <w:t>1.具有独立法人资格或具有独立承担民事责任的能力的其它组织（提供营业执照或事业单位法人证等法人证明扫描件，原件备查）；</w:t>
      </w:r>
    </w:p>
    <w:p>
      <w:pPr>
        <w:spacing w:line="400" w:lineRule="exact"/>
        <w:ind w:firstLine="480" w:firstLineChars="200"/>
        <w:rPr>
          <w:rFonts w:ascii="宋体" w:eastAsia="宋体" w:hAnsi="宋体" w:cs="宋体" w:hint="eastAsia"/>
          <w:color w:val="auto"/>
          <w:highlight w:val="none"/>
          <w:lang w:eastAsia="zh-CN"/>
        </w:rPr>
      </w:pPr>
      <w:r>
        <w:rPr>
          <w:rFonts w:ascii="宋体" w:eastAsia="宋体" w:hAnsi="宋体" w:cs="宋体" w:hint="eastAsia"/>
          <w:color w:val="auto"/>
          <w:highlight w:val="none"/>
          <w:lang w:eastAsia="zh-CN"/>
        </w:rPr>
        <w:t>2.</w:t>
      </w:r>
      <w:r>
        <w:rPr>
          <w:rFonts w:ascii="宋体" w:eastAsia="宋体" w:hAnsi="宋体" w:cs="宋体" w:hint="eastAsia"/>
          <w:color w:val="auto"/>
          <w:highlight w:val="none"/>
          <w:lang w:val="en-US" w:eastAsia="zh-CN"/>
        </w:rPr>
        <w:t>不同供应商的法定代表人、主要经营负责人、项目投标授权代表人、项目负责人、主要技术人员不得为同一人、属同一单位或者在同一单位缴纳社会保险；不同投标供应商的投标文件不得由同一单位或者同一人编制；单位负责人为同一人或者存在直接控股、管理关系的不同供应商，不得参加本项目政府采购活动（由供应商填写《供应商基本情况表》相关信息，如发现不同投标供应商的相关信息存在上述“不得”的情形，作投标无效处理）；</w:t>
      </w:r>
    </w:p>
    <w:p>
      <w:pPr>
        <w:spacing w:line="400" w:lineRule="exact"/>
        <w:ind w:firstLine="480" w:firstLineChars="200"/>
        <w:rPr>
          <w:rFonts w:ascii="宋体" w:eastAsia="宋体" w:hAnsi="宋体" w:cs="宋体" w:hint="eastAsia"/>
          <w:color w:val="auto"/>
          <w:highlight w:val="none"/>
          <w:lang w:val="en-US" w:eastAsia="zh-CN"/>
        </w:rPr>
      </w:pPr>
      <w:r>
        <w:rPr>
          <w:rFonts w:ascii="宋体" w:eastAsia="宋体" w:hAnsi="宋体" w:cs="宋体" w:hint="eastAsia"/>
          <w:color w:val="auto"/>
          <w:highlight w:val="none"/>
          <w:lang w:eastAsia="zh-CN"/>
        </w:rPr>
        <w:t>3</w:t>
      </w:r>
      <w:r>
        <w:rPr>
          <w:rFonts w:ascii="宋体" w:eastAsia="宋体" w:hAnsi="宋体" w:cs="宋体" w:hint="eastAsia"/>
          <w:color w:val="auto"/>
          <w:highlight w:val="none"/>
          <w:lang w:val="en-US" w:eastAsia="zh-CN"/>
        </w:rPr>
        <w:t>.参与本项目投标前三年内，在经营活动中没有重大违法记录（由供应商在《政府采购投标及履约承诺函》中作出声明）；</w:t>
      </w:r>
    </w:p>
    <w:p>
      <w:pPr>
        <w:spacing w:line="400" w:lineRule="exact"/>
        <w:ind w:firstLine="480" w:firstLineChars="200"/>
        <w:rPr>
          <w:rFonts w:ascii="宋体" w:eastAsia="宋体" w:hAnsi="宋体" w:cs="宋体" w:hint="eastAsia"/>
          <w:color w:val="auto"/>
          <w:highlight w:val="none"/>
          <w:lang w:val="en-US" w:eastAsia="zh-CN"/>
        </w:rPr>
      </w:pPr>
      <w:r>
        <w:rPr>
          <w:rFonts w:ascii="宋体" w:eastAsia="宋体" w:hAnsi="宋体" w:cs="宋体" w:hint="eastAsia"/>
          <w:color w:val="auto"/>
          <w:highlight w:val="none"/>
          <w:lang w:eastAsia="zh-CN"/>
        </w:rPr>
        <w:t>4</w:t>
      </w:r>
      <w:r>
        <w:rPr>
          <w:rFonts w:ascii="宋体" w:eastAsia="宋体" w:hAnsi="宋体" w:cs="宋体" w:hint="eastAsia"/>
          <w:color w:val="auto"/>
          <w:highlight w:val="none"/>
          <w:lang w:val="en-US" w:eastAsia="zh-CN"/>
        </w:rPr>
        <w:t>.参与本项目政府采购活动时不存在被有关部门禁止参与政府采购活动且在有效期内的情况（由供应商在《政府采购投标及履约承诺函》中作出声明）；</w:t>
      </w:r>
    </w:p>
    <w:p>
      <w:pPr>
        <w:spacing w:line="400" w:lineRule="exact"/>
        <w:ind w:firstLine="480" w:firstLineChars="200"/>
        <w:rPr>
          <w:rFonts w:ascii="宋体" w:eastAsia="宋体" w:hAnsi="宋体" w:cs="宋体" w:hint="eastAsia"/>
          <w:color w:val="auto"/>
          <w:highlight w:val="none"/>
          <w:lang w:val="en-US" w:eastAsia="zh-CN"/>
        </w:rPr>
      </w:pPr>
      <w:r>
        <w:rPr>
          <w:rFonts w:ascii="宋体" w:eastAsia="宋体" w:hAnsi="宋体" w:cs="宋体" w:hint="eastAsia"/>
          <w:color w:val="auto"/>
          <w:highlight w:val="none"/>
          <w:lang w:eastAsia="zh-CN"/>
        </w:rPr>
        <w:t>5</w:t>
      </w:r>
      <w:r>
        <w:rPr>
          <w:rFonts w:ascii="宋体" w:eastAsia="宋体" w:hAnsi="宋体" w:cs="宋体" w:hint="eastAsia"/>
          <w:color w:val="auto"/>
          <w:highlight w:val="none"/>
          <w:lang w:val="en-US" w:eastAsia="zh-CN"/>
        </w:rPr>
        <w:t>.具备《中华人民共和国政府采购法》第二十二条第一款的条件（由供应商在《政府采购投标及履约承诺函》中作出声明）；</w:t>
      </w:r>
    </w:p>
    <w:p>
      <w:pPr>
        <w:spacing w:line="400" w:lineRule="exact"/>
        <w:ind w:firstLine="480" w:firstLineChars="200"/>
        <w:rPr>
          <w:rFonts w:ascii="宋体" w:eastAsia="宋体" w:hAnsi="宋体" w:cs="宋体" w:hint="eastAsia"/>
          <w:color w:val="auto"/>
          <w:highlight w:val="none"/>
          <w:lang w:val="en-US" w:eastAsia="zh-CN"/>
        </w:rPr>
      </w:pPr>
      <w:r>
        <w:rPr>
          <w:rFonts w:ascii="宋体" w:eastAsia="宋体" w:hAnsi="宋体" w:cs="宋体" w:hint="eastAsia"/>
          <w:color w:val="auto"/>
          <w:highlight w:val="none"/>
          <w:lang w:eastAsia="zh-CN"/>
        </w:rPr>
        <w:t>6</w:t>
      </w:r>
      <w:r>
        <w:rPr>
          <w:rFonts w:ascii="宋体" w:eastAsia="宋体" w:hAnsi="宋体" w:cs="宋体" w:hint="eastAsia"/>
          <w:color w:val="auto"/>
          <w:highlight w:val="none"/>
          <w:lang w:val="en-US" w:eastAsia="zh-CN"/>
        </w:rPr>
        <w:t>.未被列入失信被执行人、重大税收违法案件当事人名单、政府采购严重违法失信行为记录名单；</w:t>
      </w:r>
    </w:p>
    <w:p>
      <w:pPr>
        <w:spacing w:line="400" w:lineRule="exact"/>
        <w:ind w:firstLine="480" w:firstLineChars="200"/>
        <w:rPr>
          <w:rFonts w:ascii="宋体" w:eastAsia="宋体" w:hAnsi="宋体" w:cs="宋体" w:hint="eastAsia"/>
          <w:color w:val="auto"/>
          <w:highlight w:val="none"/>
          <w:lang w:val="en-US" w:eastAsia="zh-CN"/>
        </w:rPr>
      </w:pPr>
      <w:r>
        <w:rPr>
          <w:rFonts w:ascii="宋体" w:eastAsia="宋体" w:hAnsi="宋体" w:cs="宋体" w:hint="eastAsia"/>
          <w:color w:val="auto"/>
          <w:highlight w:val="none"/>
          <w:lang w:eastAsia="zh-CN"/>
        </w:rPr>
        <w:t>7</w:t>
      </w:r>
      <w:r>
        <w:rPr>
          <w:rFonts w:ascii="宋体" w:eastAsia="宋体" w:hAnsi="宋体" w:cs="宋体" w:hint="eastAsia"/>
          <w:color w:val="auto"/>
          <w:highlight w:val="none"/>
          <w:lang w:val="en-US" w:eastAsia="zh-CN"/>
        </w:rPr>
        <w:t>.为采购项目提供整体设计、规范编制或者项目管理、监理、检测等服务的供应商，不得再参加该采购项目的其他采购活动（由供应商在《政府采购投标及履约承诺函》中作出声明）；</w:t>
      </w:r>
    </w:p>
    <w:p>
      <w:pPr>
        <w:spacing w:line="400" w:lineRule="exact"/>
        <w:ind w:firstLine="480" w:firstLineChars="200"/>
        <w:rPr>
          <w:rFonts w:ascii="宋体" w:eastAsia="宋体" w:hAnsi="宋体" w:cs="宋体" w:hint="eastAsia"/>
          <w:color w:val="auto"/>
          <w:highlight w:val="none"/>
          <w:lang w:val="en-US" w:eastAsia="zh-CN"/>
        </w:rPr>
      </w:pPr>
      <w:r>
        <w:rPr>
          <w:rFonts w:ascii="宋体" w:eastAsia="宋体" w:hAnsi="宋体" w:cs="宋体" w:hint="eastAsia"/>
          <w:color w:val="auto"/>
          <w:highlight w:val="none"/>
          <w:lang w:eastAsia="zh-CN"/>
        </w:rPr>
        <w:t>8</w:t>
      </w:r>
      <w:r>
        <w:rPr>
          <w:rFonts w:ascii="宋体" w:eastAsia="宋体" w:hAnsi="宋体" w:cs="宋体" w:hint="eastAsia"/>
          <w:color w:val="auto"/>
          <w:highlight w:val="none"/>
          <w:lang w:val="en-US" w:eastAsia="zh-CN"/>
        </w:rPr>
        <w:t>.参与本项目政府采购活动不存在与其他采购参加人串通投标，隐瞒真实情况，提供虚假资料等违法违规情形（由供应商在《政府采购投标及履约承诺函》中作出声明）；</w:t>
      </w:r>
    </w:p>
    <w:p>
      <w:pPr>
        <w:spacing w:line="400" w:lineRule="exact"/>
        <w:ind w:firstLine="480" w:firstLineChars="200"/>
        <w:rPr>
          <w:rFonts w:ascii="宋体" w:eastAsia="宋体" w:hAnsi="宋体" w:cs="宋体" w:hint="eastAsia"/>
          <w:color w:val="auto"/>
          <w:highlight w:val="none"/>
          <w:lang w:val="en-US" w:eastAsia="zh-CN"/>
        </w:rPr>
      </w:pPr>
      <w:r>
        <w:rPr>
          <w:rFonts w:ascii="宋体" w:eastAsia="宋体" w:hAnsi="宋体" w:cs="宋体" w:hint="eastAsia"/>
          <w:color w:val="auto"/>
          <w:highlight w:val="none"/>
          <w:lang w:eastAsia="zh-CN"/>
        </w:rPr>
        <w:t>9</w:t>
      </w:r>
      <w:r>
        <w:rPr>
          <w:rFonts w:ascii="宋体" w:eastAsia="宋体" w:hAnsi="宋体" w:cs="宋体" w:hint="eastAsia"/>
          <w:color w:val="auto"/>
          <w:highlight w:val="none"/>
          <w:lang w:val="en-US" w:eastAsia="zh-CN"/>
        </w:rPr>
        <w:t xml:space="preserve">.本项目禁止转包和违法分包。 </w:t>
      </w:r>
    </w:p>
    <w:p>
      <w:pPr>
        <w:spacing w:line="400" w:lineRule="exact"/>
        <w:ind w:firstLine="480" w:firstLineChars="200"/>
        <w:rPr>
          <w:rFonts w:ascii="宋体" w:eastAsia="宋体" w:hAnsi="宋体" w:cs="宋体" w:hint="eastAsia"/>
          <w:color w:val="auto"/>
          <w:highlight w:val="none"/>
        </w:rPr>
      </w:pPr>
      <w:r>
        <w:rPr>
          <w:rFonts w:ascii="宋体" w:eastAsia="宋体" w:hAnsi="宋体" w:cs="宋体" w:hint="eastAsia"/>
          <w:color w:val="auto"/>
          <w:highlight w:val="none"/>
          <w:lang w:val="en-US" w:eastAsia="zh-CN"/>
        </w:rPr>
        <w:t>10.</w:t>
      </w:r>
      <w:r>
        <w:rPr>
          <w:rFonts w:ascii="宋体" w:eastAsia="宋体" w:hAnsi="宋体" w:cs="宋体" w:hint="eastAsia"/>
          <w:color w:val="auto"/>
          <w:highlight w:val="none"/>
        </w:rPr>
        <w:t>本项目不接受联合体投标。</w:t>
      </w:r>
    </w:p>
    <w:p>
      <w:pPr>
        <w:spacing w:line="400" w:lineRule="exact"/>
        <w:ind w:firstLine="480" w:firstLineChars="200"/>
        <w:rPr>
          <w:rFonts w:ascii="宋体" w:eastAsia="宋体" w:hAnsi="宋体" w:cs="宋体" w:hint="eastAsia"/>
          <w:color w:val="auto"/>
          <w:highlight w:val="none"/>
          <w:lang w:eastAsia="zh-CN"/>
        </w:rPr>
      </w:pPr>
      <w:r>
        <w:rPr>
          <w:rFonts w:ascii="宋体" w:eastAsia="宋体" w:hAnsi="宋体" w:cs="宋体" w:hint="eastAsia"/>
          <w:color w:val="auto"/>
          <w:highlight w:val="none"/>
          <w:lang w:val="en-US" w:eastAsia="zh-CN"/>
        </w:rPr>
        <w:t>11.</w:t>
      </w:r>
      <w:r>
        <w:rPr>
          <w:rFonts w:ascii="宋体" w:eastAsia="宋体" w:hAnsi="宋体" w:cs="宋体" w:hint="eastAsia"/>
          <w:color w:val="auto"/>
          <w:highlight w:val="none"/>
        </w:rPr>
        <w:t>本项目是否专门面向中小</w:t>
      </w:r>
      <w:r>
        <w:rPr>
          <w:rFonts w:ascii="宋体" w:eastAsia="宋体" w:hAnsi="宋体" w:cs="宋体" w:hint="eastAsia"/>
          <w:color w:val="auto"/>
          <w:highlight w:val="none"/>
          <w:lang w:eastAsia="zh-CN"/>
        </w:rPr>
        <w:t>微</w:t>
      </w:r>
      <w:r>
        <w:rPr>
          <w:rFonts w:ascii="宋体" w:eastAsia="宋体" w:hAnsi="宋体" w:cs="宋体" w:hint="eastAsia"/>
          <w:color w:val="auto"/>
          <w:highlight w:val="none"/>
        </w:rPr>
        <w:t>企业采购：否</w:t>
      </w:r>
      <w:r>
        <w:rPr>
          <w:rFonts w:ascii="宋体" w:eastAsia="宋体" w:hAnsi="宋体" w:cs="宋体" w:hint="eastAsia"/>
          <w:color w:val="auto"/>
          <w:highlight w:val="none"/>
          <w:lang w:val="en-US" w:eastAsia="zh-CN"/>
        </w:rPr>
        <w:t>（由供应商在《中小企业声明函（服务）》或《残疾人福利性单位声明函》或《监狱企业声明函》中作出声明</w:t>
      </w:r>
      <w:r>
        <w:rPr>
          <w:rFonts w:ascii="宋体" w:eastAsia="宋体" w:hAnsi="宋体" w:cs="宋体" w:hint="eastAsia"/>
          <w:color w:val="auto"/>
          <w:highlight w:val="none"/>
          <w:lang w:eastAsia="zh-CN"/>
        </w:rPr>
        <w:t>）</w:t>
      </w:r>
      <w:r>
        <w:rPr>
          <w:rFonts w:ascii="宋体" w:eastAsia="宋体" w:hAnsi="宋体" w:cs="宋体" w:hint="eastAsia"/>
          <w:color w:val="auto"/>
          <w:highlight w:val="none"/>
          <w:lang w:val="en-US" w:eastAsia="zh-CN"/>
        </w:rPr>
        <w:t>；</w:t>
      </w:r>
    </w:p>
    <w:p>
      <w:pPr>
        <w:pStyle w:val="BodyText"/>
        <w:spacing w:beforeLines="0" w:after="0" w:afterLines="0" w:line="240" w:lineRule="auto"/>
        <w:ind w:firstLine="480" w:firstLineChars="200"/>
        <w:rPr>
          <w:rFonts w:ascii="宋体" w:eastAsia="宋体" w:hAnsi="宋体"/>
          <w:b/>
          <w:bCs/>
          <w:color w:val="auto"/>
          <w:highlight w:val="none"/>
        </w:rPr>
      </w:pPr>
      <w:r>
        <w:rPr>
          <w:rFonts w:ascii="宋体" w:eastAsia="宋体" w:hAnsi="宋体" w:hint="eastAsia"/>
          <w:b/>
          <w:bCs/>
          <w:color w:val="auto"/>
          <w:highlight w:val="none"/>
        </w:rPr>
        <w:t>本项目所属行业类型为：</w:t>
      </w:r>
      <w:r>
        <w:rPr>
          <w:rFonts w:ascii="宋体" w:eastAsia="宋体" w:hAnsi="宋体" w:hint="eastAsia"/>
          <w:b/>
          <w:bCs/>
          <w:color w:val="auto"/>
          <w:highlight w:val="none"/>
          <w:u w:val="single"/>
          <w:lang w:val="en-US" w:eastAsia="zh-CN"/>
        </w:rPr>
        <w:t>其他未列明行业</w:t>
      </w:r>
      <w:r>
        <w:rPr>
          <w:rFonts w:ascii="宋体" w:eastAsia="宋体" w:hAnsi="宋体" w:hint="eastAsia"/>
          <w:b/>
          <w:bCs/>
          <w:color w:val="auto"/>
          <w:highlight w:val="none"/>
        </w:rPr>
        <w:t>。</w:t>
      </w:r>
    </w:p>
    <w:p>
      <w:pPr>
        <w:spacing w:beforeLines="0" w:afterLines="0"/>
        <w:ind w:firstLine="480" w:firstLineChars="200"/>
        <w:jc w:val="both"/>
        <w:rPr>
          <w:rFonts w:ascii="宋体" w:eastAsia="宋体" w:hAnsi="宋体"/>
          <w:color w:val="auto"/>
          <w:highlight w:val="none"/>
        </w:rPr>
      </w:pPr>
      <w:r>
        <w:rPr>
          <w:rFonts w:ascii="宋体" w:eastAsia="宋体" w:hAnsi="宋体" w:hint="eastAsia"/>
          <w:color w:val="auto"/>
          <w:highlight w:val="none"/>
        </w:rPr>
        <w:t>注：（1）采购代理机构将通过“信用中国”中“信用服务”栏的“</w:t>
      </w:r>
      <w:r>
        <w:rPr>
          <w:rFonts w:ascii="宋体" w:eastAsia="宋体" w:hAnsi="宋体" w:hint="eastAsia"/>
          <w:color w:val="auto"/>
          <w:highlight w:val="none"/>
          <w:lang w:eastAsia="zh-CN"/>
        </w:rPr>
        <w:t>重大税收违法失信主体</w:t>
      </w:r>
      <w:r>
        <w:rPr>
          <w:rFonts w:ascii="宋体" w:eastAsia="宋体" w:hAnsi="宋体" w:hint="eastAsia"/>
          <w:color w:val="auto"/>
          <w:highlight w:val="none"/>
        </w:rPr>
        <w:t>”“失信被执行人”</w:t>
      </w:r>
      <w:r>
        <w:rPr>
          <w:rFonts w:ascii="宋体" w:eastAsia="宋体" w:hAnsi="宋体" w:hint="eastAsia"/>
          <w:color w:val="auto"/>
          <w:highlight w:val="none"/>
          <w:lang w:eastAsia="zh-CN"/>
        </w:rPr>
        <w:t>，</w:t>
      </w:r>
      <w:r>
        <w:rPr>
          <w:rFonts w:ascii="宋体" w:eastAsia="宋体" w:hAnsi="宋体" w:hint="eastAsia"/>
          <w:color w:val="auto"/>
          <w:highlight w:val="none"/>
        </w:rPr>
        <w:t>“中国政府采购网”中的“政府采购严重违法失信行为记录名单”“深圳信用网”以及“深圳市政府采购监管网”为供应商信用信息的查询渠道，相关信息以开标当日的查询结果为准。信用信息查询记录应当作为项目档案材料一并保存；</w:t>
      </w:r>
    </w:p>
    <w:p>
      <w:pPr>
        <w:ind w:firstLine="480" w:firstLineChars="200"/>
        <w:jc w:val="both"/>
        <w:rPr>
          <w:rFonts w:ascii="宋体" w:eastAsia="宋体" w:hAnsi="宋体" w:hint="eastAsia"/>
          <w:color w:val="auto"/>
          <w:kern w:val="0"/>
          <w:highlight w:val="none"/>
          <w:lang w:eastAsia="zh-CN"/>
        </w:rPr>
      </w:pPr>
      <w:r>
        <w:rPr>
          <w:rFonts w:ascii="宋体" w:hAnsi="宋体" w:hint="eastAsia"/>
          <w:color w:val="auto"/>
          <w:kern w:val="0"/>
          <w:highlight w:val="none"/>
          <w:lang w:eastAsia="zh-CN"/>
        </w:rPr>
        <w:t>（</w:t>
      </w:r>
      <w:r>
        <w:rPr>
          <w:rFonts w:ascii="宋体" w:hAnsi="宋体" w:hint="eastAsia"/>
          <w:color w:val="auto"/>
          <w:kern w:val="0"/>
          <w:highlight w:val="none"/>
          <w:lang w:val="en-US" w:eastAsia="zh-CN"/>
        </w:rPr>
        <w:t>2</w:t>
      </w:r>
      <w:r>
        <w:rPr>
          <w:rFonts w:ascii="宋体" w:hAnsi="宋体" w:hint="eastAsia"/>
          <w:color w:val="auto"/>
          <w:kern w:val="0"/>
          <w:highlight w:val="none"/>
          <w:lang w:eastAsia="zh-CN"/>
        </w:rPr>
        <w:t>）</w:t>
      </w:r>
      <w:r>
        <w:rPr>
          <w:rFonts w:ascii="仿宋" w:eastAsia="仿宋" w:hAnsi="仿宋" w:cs="仿宋" w:hint="eastAsia"/>
          <w:color w:val="auto"/>
          <w:sz w:val="24"/>
          <w:highlight w:val="none"/>
        </w:rPr>
        <w:t>采购代理机构将通过国家企业信用信息公示系统(https://www.gsxt.gov.cn/index.html）或机关赋码和事业单位登记管理网（http://gjsy.gov.cn/sydwfrxxcx/)或全国社会组织信用信息公示平台（https://xxgs.chinanpo.mca.gov.cn/gsxt/newList 等网站查询供应商信息，相关信息以截标当日的查询结果为准</w:t>
      </w:r>
      <w:r>
        <w:rPr>
          <w:rFonts w:ascii="宋体" w:eastAsia="宋体" w:hAnsi="宋体" w:hint="eastAsia"/>
          <w:color w:val="auto"/>
          <w:kern w:val="0"/>
          <w:highlight w:val="none"/>
          <w:lang w:eastAsia="zh-CN"/>
        </w:rPr>
        <w:t>；</w:t>
      </w:r>
    </w:p>
    <w:p>
      <w:pPr>
        <w:spacing w:beforeLines="0" w:afterLines="0"/>
        <w:ind w:firstLine="480" w:firstLineChars="200"/>
        <w:jc w:val="both"/>
        <w:rPr>
          <w:rFonts w:ascii="宋体" w:eastAsia="宋体" w:hAnsi="宋体"/>
          <w:color w:val="auto"/>
          <w:highlight w:val="none"/>
        </w:rPr>
      </w:pPr>
      <w:r>
        <w:rPr>
          <w:rFonts w:ascii="宋体" w:eastAsia="宋体" w:hAnsi="宋体" w:hint="eastAsia"/>
          <w:color w:val="auto"/>
          <w:highlight w:val="none"/>
        </w:rPr>
        <w:t>（</w:t>
      </w:r>
      <w:r>
        <w:rPr>
          <w:rFonts w:ascii="宋体" w:eastAsia="宋体" w:hAnsi="宋体" w:hint="eastAsia"/>
          <w:color w:val="auto"/>
          <w:highlight w:val="none"/>
          <w:lang w:val="en-US" w:eastAsia="zh-CN"/>
        </w:rPr>
        <w:t>3</w:t>
      </w:r>
      <w:r>
        <w:rPr>
          <w:rFonts w:ascii="宋体" w:eastAsia="宋体" w:hAnsi="宋体" w:hint="eastAsia"/>
          <w:color w:val="auto"/>
          <w:highlight w:val="none"/>
        </w:rPr>
        <w:t>）供应商投标（上传投标文件）请先行办理注册手续，具体请按照本公告“六、其他补充事宜”相关内容指引办理。</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auto"/>
          <w:szCs w:val="21"/>
          <w:highlight w:val="none"/>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default"/>
          <w:b/>
          <w:color w:val="auto"/>
          <w:szCs w:val="21"/>
          <w:highlight w:val="none"/>
          <w:lang w:val="en-US" w:eastAsia="zh-CN"/>
        </w:rPr>
      </w:pPr>
      <w:r>
        <w:rPr>
          <w:rFonts w:ascii="宋体" w:eastAsia="宋体" w:hAnsi="宋体" w:cs="宋体" w:hint="eastAsia"/>
          <w:b/>
          <w:color w:val="auto"/>
          <w:szCs w:val="21"/>
          <w:highlight w:val="none"/>
        </w:rPr>
        <w:t>三、获取招标文件</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时间：发布招标公告当日至</w:t>
      </w:r>
      <w:r>
        <w:rPr>
          <w:rFonts w:ascii="宋体" w:eastAsia="宋体" w:hAnsi="宋体" w:cs="宋体" w:hint="eastAsia"/>
          <w:color w:val="auto"/>
          <w:highlight w:val="none"/>
          <w:lang w:val="en-US" w:eastAsia="zh-CN"/>
        </w:rPr>
        <w:t>2025年4月21日9时00分00秒</w:t>
      </w:r>
      <w:r>
        <w:rPr>
          <w:rFonts w:ascii="宋体" w:eastAsia="宋体" w:hAnsi="宋体" w:cs="宋体" w:hint="eastAsia"/>
          <w:color w:val="auto"/>
          <w:highlight w:val="none"/>
        </w:rPr>
        <w:t xml:space="preserve">（北京时间）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地点：登录深圳政府采购智慧平台（http://zfcg.szggzy.com:8081）下载本项目的招标文件。</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 xml:space="preserve">方式：在线下载。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售价：免费。</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ascii="宋体" w:eastAsia="宋体" w:hAnsi="宋体" w:cs="宋体" w:hint="eastAsia"/>
          <w:color w:val="auto"/>
          <w:highlight w:val="none"/>
        </w:rPr>
      </w:pPr>
      <w:r>
        <w:rPr>
          <w:rFonts w:ascii="宋体" w:eastAsia="宋体" w:hAnsi="宋体" w:cs="宋体" w:hint="eastAsia"/>
          <w:color w:val="auto"/>
          <w:highlight w:val="none"/>
        </w:rPr>
        <w:t>凡已注册的深圳市网上政府采购供应商，按照授予的操作权限，可于发布招标公告当日至</w:t>
      </w:r>
      <w:r>
        <w:rPr>
          <w:rFonts w:ascii="宋体" w:eastAsia="宋体" w:hAnsi="宋体" w:cs="宋体" w:hint="eastAsia"/>
          <w:color w:val="auto"/>
          <w:highlight w:val="none"/>
          <w:lang w:val="en-US" w:eastAsia="zh-CN"/>
        </w:rPr>
        <w:t>2025年4月21日9时00分00秒</w:t>
      </w:r>
      <w:r>
        <w:rPr>
          <w:rFonts w:ascii="宋体" w:eastAsia="宋体" w:hAnsi="宋体" w:cs="宋体" w:hint="eastAsia"/>
          <w:color w:val="auto"/>
          <w:highlight w:val="none"/>
        </w:rPr>
        <w:t>（北京时间）期间登录深圳政府采购智慧平台（http://zfcg.szggzy.com:8081/）下载本项目的采购文件。投标人如确定参加投标，首先要在深圳政府采购智慧平台网上办事子系统（http://zfcg.szggzy.com:8081/TPBidder/memberLogin）网上报名投标，方法为在网上办事子系统后点击“【招标公告】→【我要报名】”；如果网上报名后上传了投标文件，又不参加投标，应再到【我的项目】→【项目流程】→【递交投标(应答)文件】功能点中进行“【撤回本次投标】”操作；如果是未注册为深圳政府采购智慧平台（http://zfcg.szggzy.com:8081/）的供应商，请先办理密钥（请点击），并前往深圳公共资源交易中心（深圳交易集团有限公司政府采购业务分公司）绑定深圳政府采购智慧平台用户（地址：</w:t>
      </w:r>
      <w:r>
        <w:rPr>
          <w:rFonts w:ascii="宋体" w:eastAsia="宋体" w:hAnsi="宋体" w:cs="宋体" w:hint="eastAsia"/>
          <w:color w:val="auto"/>
          <w:highlight w:val="none"/>
          <w:lang w:eastAsia="zh-CN"/>
        </w:rPr>
        <w:t>深圳市南山区沙河西路3185号南山智谷A座（深圳交易集团总部大楼）3楼前台，咨询电话：0755-83948165、0755-83938966、4008301330</w:t>
      </w:r>
      <w:r>
        <w:rPr>
          <w:rFonts w:ascii="宋体" w:eastAsia="宋体" w:hAnsi="宋体" w:cs="宋体" w:hint="eastAsia"/>
          <w:color w:val="auto"/>
          <w:highlight w:val="none"/>
        </w:rPr>
        <w:t>），再进行投标报名。在网上报名后，点击“【我的项目】→【项目流程】→【采购文件下载】”进行招标文件的下载。</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auto"/>
          <w:szCs w:val="21"/>
          <w:highlight w:val="none"/>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auto"/>
          <w:szCs w:val="21"/>
          <w:highlight w:val="none"/>
        </w:rPr>
      </w:pPr>
      <w:r>
        <w:rPr>
          <w:rFonts w:ascii="宋体" w:eastAsia="宋体" w:hAnsi="宋体" w:cs="宋体" w:hint="eastAsia"/>
          <w:b/>
          <w:color w:val="auto"/>
          <w:szCs w:val="21"/>
          <w:highlight w:val="none"/>
        </w:rPr>
        <w:t>四、提交投标文件截止时间、开标时间和地点</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1.投标截止时间：所有投标文件应于</w:t>
      </w:r>
      <w:r>
        <w:rPr>
          <w:rFonts w:ascii="宋体" w:eastAsia="宋体" w:hAnsi="宋体" w:cs="宋体" w:hint="eastAsia"/>
          <w:color w:val="auto"/>
          <w:highlight w:val="none"/>
          <w:lang w:val="en-US" w:eastAsia="zh-CN"/>
        </w:rPr>
        <w:t>2025年4月21日9时00分00秒（北京时间）</w:t>
      </w:r>
      <w:r>
        <w:rPr>
          <w:rFonts w:ascii="宋体" w:eastAsia="宋体" w:hAnsi="宋体" w:cs="宋体" w:hint="eastAsia"/>
          <w:color w:val="auto"/>
          <w:highlight w:val="none"/>
        </w:rPr>
        <w:t>之前上传到深圳政府采购智慧平台（http://zfcg.szggzy.com:8081/）。具体操作为登录“深圳政府采购智慧平台用户网上办事子系统（http://zfcg.szggzy.com:8081/TPBidder/memberLogin）”，用“【我的项目】→【项目流程】→【递交投标(应答)文件】”功能点上传投标文件。本项目电子投标文件最大容量为100MB，超过此容量的文件将被拒绝。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2.开标时间和地点：定于</w:t>
      </w:r>
      <w:r>
        <w:rPr>
          <w:rFonts w:ascii="宋体" w:eastAsia="宋体" w:hAnsi="宋体" w:cs="宋体" w:hint="eastAsia"/>
          <w:color w:val="auto"/>
          <w:highlight w:val="none"/>
          <w:lang w:val="en-US" w:eastAsia="zh-CN"/>
        </w:rPr>
        <w:t>2025年4月21日9时00分00秒（北京时间）</w:t>
      </w:r>
      <w:r>
        <w:rPr>
          <w:rFonts w:ascii="宋体" w:eastAsia="宋体" w:hAnsi="宋体" w:cs="宋体" w:hint="eastAsia"/>
          <w:color w:val="auto"/>
          <w:highlight w:val="none"/>
        </w:rPr>
        <w:t>，在友和保险经纪有限公司公开开标。供应商可以登录“深圳政府采购智慧平台用户网上办事子系统（http://zfcg.szggzy.com:8081/TPBidder/memberLogin）”，在“【我的项目】→【项目流程】→【开标及解密】”进行在线解密、查询开标情况。</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3.在线解密：投标人须在</w:t>
      </w:r>
      <w:r>
        <w:rPr>
          <w:rFonts w:ascii="宋体" w:eastAsia="宋体" w:hAnsi="宋体" w:cs="宋体" w:hint="eastAsia"/>
          <w:color w:val="auto"/>
          <w:highlight w:val="none"/>
          <w:lang w:val="en-US" w:eastAsia="zh-CN"/>
        </w:rPr>
        <w:t>开标当日9:00:00-10:00:00期间</w:t>
      </w:r>
      <w:r>
        <w:rPr>
          <w:rFonts w:ascii="宋体" w:eastAsia="宋体" w:hAnsi="宋体" w:cs="宋体" w:hint="eastAsia"/>
          <w:color w:val="auto"/>
          <w:highlight w:val="none"/>
        </w:rPr>
        <w:t>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auto"/>
          <w:szCs w:val="21"/>
          <w:highlight w:val="none"/>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auto"/>
          <w:szCs w:val="21"/>
          <w:highlight w:val="none"/>
        </w:rPr>
      </w:pPr>
      <w:r>
        <w:rPr>
          <w:rFonts w:ascii="宋体" w:eastAsia="宋体" w:hAnsi="宋体" w:cs="宋体" w:hint="eastAsia"/>
          <w:b/>
          <w:color w:val="auto"/>
          <w:szCs w:val="21"/>
          <w:highlight w:val="none"/>
        </w:rPr>
        <w:t>五、公告期限</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自本公告发布之日起5个工作日。</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auto"/>
          <w:szCs w:val="21"/>
          <w:highlight w:val="none"/>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auto"/>
          <w:szCs w:val="21"/>
          <w:highlight w:val="none"/>
        </w:rPr>
      </w:pPr>
      <w:r>
        <w:rPr>
          <w:rFonts w:ascii="宋体" w:eastAsia="宋体" w:hAnsi="宋体" w:cs="宋体" w:hint="eastAsia"/>
          <w:b/>
          <w:color w:val="auto"/>
          <w:szCs w:val="21"/>
          <w:highlight w:val="none"/>
        </w:rPr>
        <w:t>六、其他补充事宜</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1.本项目实行网上投标，采用电子投标文件。</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2.报名操作：投标人如确定参加投标，首先要在深圳政府采购网上报名投标，方法为登录深圳公共资源交易中心（深圳交易集团有限公司政府采购业务分公司）网后点击“招标公告”选中要报名标段点击“我要报名”或“代办→邀请提醒”；如果网上报名后上传了投标文件，又不参加投标，应再到【我的项目】→【项目流程】→【递交投标(应答)文件】→【上传投标文件】功能点中进行“撤标”操作；如果是未注册为深圳政府采购的供应商，请访问深圳公共资源交易中心（深圳交易集团有限公司政府采购业务分公司）（http://www.szzfcg.cn/）,先办理注册手续（注册咨询：83938966；电子密钥咨询：83948165</w:t>
      </w:r>
      <w:r>
        <w:rPr>
          <w:rFonts w:ascii="宋体" w:eastAsia="宋体" w:hAnsi="宋体" w:cs="宋体" w:hint="eastAsia"/>
          <w:color w:val="auto"/>
          <w:highlight w:val="none"/>
          <w:lang w:eastAsia="zh-CN"/>
        </w:rPr>
        <w:t>、</w:t>
      </w:r>
      <w:r>
        <w:rPr>
          <w:rFonts w:ascii="宋体" w:eastAsia="宋体" w:hAnsi="宋体" w:cs="宋体" w:hint="eastAsia"/>
          <w:color w:val="auto"/>
          <w:highlight w:val="none"/>
        </w:rPr>
        <w:t>4008301330 ），再进行投标报名。在网上报名后，点击“我的项目→项目流程”中进行招标文件的下载。</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3.开标操作：投标人可以登录“深圳公共资源交易中心（深圳交易集团有限公司政府采购业务分公司）网站”，在系统登录首页面即可查看开标情况。</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4.投标操作：具体操作为登录“深圳公共资源交易中心（深圳交易集团有限公司政府采购业务分公司）网站”，用“我的项目→项目流程→递交投标(应答)文件→上传投标文件”功能点上传投标文件。本项目电子投标文件最大容量为100MB，超过此容量的文件将被拒绝。</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5.采购文件澄清/修改事项：</w:t>
      </w:r>
      <w:r>
        <w:rPr>
          <w:rFonts w:ascii="宋体" w:eastAsia="宋体" w:hAnsi="宋体" w:cs="宋体" w:hint="eastAsia"/>
          <w:color w:val="auto"/>
          <w:highlight w:val="none"/>
          <w:lang w:val="en-US" w:eastAsia="zh-CN"/>
        </w:rPr>
        <w:t>2025年4月15日17:00:00（北京时间）前</w:t>
      </w:r>
      <w:r>
        <w:rPr>
          <w:rFonts w:ascii="宋体" w:eastAsia="宋体" w:hAnsi="宋体" w:cs="宋体" w:hint="eastAsia"/>
          <w:color w:val="auto"/>
          <w:highlight w:val="none"/>
        </w:rPr>
        <w:t>，供应商如果认为采购文件存在不明确、不清晰和前后不一致等问题，可登录深圳公共资源交易中心网（http://zfcg.szggzy.com:8081/）→“深圳政府采购智慧平台用户网上办事子系统（http://zfcg.szggzy.com:8081/TPBidder/memberLogin）”，在“【我的项目】→【项目流程】→【提问】”功能点中填写需澄清内容</w:t>
      </w:r>
      <w:r>
        <w:rPr>
          <w:rFonts w:ascii="宋体" w:eastAsia="宋体" w:hAnsi="宋体" w:cs="宋体" w:hint="eastAsia"/>
          <w:color w:val="auto"/>
          <w:highlight w:val="none"/>
          <w:lang w:val="en-US" w:eastAsia="zh-CN"/>
        </w:rPr>
        <w:t>2025年4月17日23:00:00（北京时间）</w:t>
      </w:r>
      <w:r>
        <w:rPr>
          <w:rFonts w:ascii="宋体" w:eastAsia="宋体" w:hAnsi="宋体" w:cs="宋体" w:hint="eastAsia"/>
          <w:color w:val="auto"/>
          <w:highlight w:val="none"/>
        </w:rPr>
        <w:t>前将采购文件澄清/修改情况在“【我的项目】→【项目流程】→【答疑澄清文件下载】”中公布，望投标人予以关注。</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重要提示：“提出采购文件澄清要求”不等同于“对采购文件质疑”，供应商提出的澄清要求内容如出现“质疑”字眼，将予以退回。供应商如认为采购文件存在限制性、倾向性、其权益受到损害，应在采购文件公布之日起七个工作日内以书面形式提出质疑。请质疑供应商根据深圳公共资源交易中心网（ https://www.szggzy.com/globalSearch/details.html?contentId=1211037）所发布的质疑指引、质疑函模板填写质疑函并提交质疑材料。质疑材料可以采用现场或邮寄方式提交，采用邮寄方式提交的，交邮时间应在本公告发布之日起七个工作日内。质疑材料现场提交、邮寄地址：深圳市福田区福田体育公园西北角友和招标代理服务中心（靠近北门）。</w:t>
      </w:r>
      <w:r>
        <w:rPr>
          <w:rFonts w:ascii="宋体" w:eastAsia="宋体" w:hAnsi="宋体" w:cs="宋体" w:hint="eastAsia"/>
          <w:color w:val="auto"/>
          <w:highlight w:val="none"/>
          <w:lang w:val="en-US" w:eastAsia="zh-CN"/>
        </w:rPr>
        <w:t>质疑咨询电话：0755-83889026，</w:t>
      </w:r>
      <w:r>
        <w:rPr>
          <w:rFonts w:ascii="宋体" w:eastAsia="宋体" w:hAnsi="宋体" w:cs="宋体" w:hint="eastAsia"/>
          <w:color w:val="auto"/>
          <w:highlight w:val="none"/>
          <w:lang w:eastAsia="zh-CN"/>
        </w:rPr>
        <w:t>质疑材料提交邮箱：ywjd@uho.cn</w:t>
      </w:r>
      <w:r>
        <w:rPr>
          <w:rFonts w:ascii="宋体" w:eastAsia="宋体" w:hAnsi="宋体" w:cs="宋体" w:hint="eastAsia"/>
          <w:b w:val="0"/>
          <w:bCs w:val="0"/>
          <w:color w:val="auto"/>
          <w:highlight w:val="none"/>
        </w:rPr>
        <w:t>。</w:t>
      </w:r>
      <w:r>
        <w:rPr>
          <w:rFonts w:ascii="宋体" w:eastAsia="宋体" w:hAnsi="宋体" w:cs="宋体" w:hint="eastAsia"/>
          <w:color w:val="auto"/>
          <w:highlight w:val="none"/>
        </w:rPr>
        <w:t xml:space="preserve">根据《深圳经济特区政府采购条例》第四十二条“供应商投诉的事项应当是经过质疑的事项”的规定，未经正式质疑的，将影响供应商行使向财政部门提起投诉的权利。）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 xml:space="preserve">6.友和保险经纪有限公司有权对投标人就本项目要求提供的相关证明资料（原件）进行审查。供应商提供虚假资料被查实的，则可能面临被取消本项目中标资格、列入不良行为记录名单和三年内禁止参与深圳市政府采购活动的风险。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7.本招标公告及本项目招标文件所涉及的时间一律为北京时间。投标人有义务在招标活动期间浏览深圳公共资源交易中心（深圳交易集团有限公司政府采购业务分公司）网（http://zfcg.szggzy.com:8081），在深圳公共资源交易中心（深圳交易集团有限公司政府采购业务分公司）网上公布的与本次招标项目有关的信息视为已送达各投标人。</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8.本项目不需要投标保证金。</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auto"/>
          <w:szCs w:val="21"/>
          <w:highlight w:val="none"/>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auto"/>
          <w:szCs w:val="21"/>
          <w:highlight w:val="none"/>
        </w:rPr>
      </w:pPr>
      <w:r>
        <w:rPr>
          <w:rFonts w:ascii="宋体" w:eastAsia="宋体" w:hAnsi="宋体" w:cs="宋体" w:hint="eastAsia"/>
          <w:b/>
          <w:color w:val="auto"/>
          <w:szCs w:val="21"/>
          <w:highlight w:val="none"/>
        </w:rPr>
        <w:t>七、对本次采购提出询问，请按以下方式联系</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1.采购人信息</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名　称：深圳市交通运输局</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地　址：广东省深圳市福田区紫竹七道16号</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default"/>
          <w:color w:val="auto"/>
          <w:highlight w:val="none"/>
          <w:lang w:val="en-US" w:eastAsia="zh-CN"/>
        </w:rPr>
      </w:pPr>
      <w:r>
        <w:rPr>
          <w:rFonts w:ascii="宋体" w:eastAsia="宋体" w:hAnsi="宋体" w:cs="宋体" w:hint="eastAsia"/>
          <w:color w:val="auto"/>
          <w:highlight w:val="none"/>
        </w:rPr>
        <w:t>联系方式：</w:t>
      </w:r>
      <w:r>
        <w:rPr>
          <w:rFonts w:ascii="宋体" w:eastAsia="宋体" w:hAnsi="宋体" w:cs="宋体" w:hint="eastAsia"/>
          <w:color w:val="auto"/>
          <w:highlight w:val="none"/>
          <w:lang w:val="en-US" w:eastAsia="zh-CN"/>
        </w:rPr>
        <w:t xml:space="preserve">杨先生，0755-83168145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2.招标机构</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名　称：友和保险经纪有限公司</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地　址：深圳市福田区福田体育公园西北角友和招标代理服务中心（靠近北门）</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sz w:val="24"/>
          <w:szCs w:val="24"/>
          <w:highlight w:val="none"/>
          <w:lang w:val="en-US" w:eastAsia="zh-CN"/>
        </w:rPr>
      </w:pPr>
      <w:r>
        <w:rPr>
          <w:rFonts w:ascii="宋体" w:eastAsia="宋体" w:hAnsi="宋体" w:cs="宋体" w:hint="eastAsia"/>
          <w:color w:val="auto"/>
          <w:sz w:val="24"/>
          <w:szCs w:val="24"/>
          <w:highlight w:val="none"/>
          <w:lang w:val="en-US" w:eastAsia="zh-CN"/>
        </w:rPr>
        <w:t>监督举报：0755-83889803、83889016</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3.项目联系方式</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lang w:val="en-US" w:eastAsia="zh-CN"/>
        </w:rPr>
      </w:pPr>
      <w:r>
        <w:rPr>
          <w:rFonts w:ascii="宋体" w:eastAsia="宋体" w:hAnsi="宋体" w:cs="宋体" w:hint="eastAsia"/>
          <w:color w:val="auto"/>
          <w:highlight w:val="none"/>
        </w:rPr>
        <w:t>项目联系人：</w:t>
      </w:r>
      <w:r>
        <w:rPr>
          <w:rFonts w:ascii="宋体" w:eastAsia="宋体" w:hAnsi="宋体" w:cs="宋体" w:hint="eastAsia"/>
          <w:color w:val="auto"/>
          <w:highlight w:val="none"/>
          <w:lang w:val="en-US" w:eastAsia="zh-CN"/>
        </w:rPr>
        <w:t>朴雪花/张挺/黎秋君</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lang w:val="en-US" w:eastAsia="zh-CN"/>
        </w:rPr>
      </w:pPr>
      <w:r>
        <w:rPr>
          <w:rFonts w:ascii="宋体" w:eastAsia="宋体" w:hAnsi="宋体" w:cs="宋体" w:hint="eastAsia"/>
          <w:color w:val="auto"/>
          <w:highlight w:val="none"/>
          <w:lang w:eastAsia="zh-CN"/>
        </w:rPr>
        <w:t>项目咨询</w:t>
      </w:r>
      <w:r>
        <w:rPr>
          <w:rFonts w:ascii="宋体" w:eastAsia="宋体" w:hAnsi="宋体" w:cs="宋体" w:hint="eastAsia"/>
          <w:color w:val="auto"/>
          <w:highlight w:val="none"/>
        </w:rPr>
        <w:t>：</w:t>
      </w:r>
      <w:r>
        <w:rPr>
          <w:rFonts w:ascii="宋体" w:eastAsia="宋体" w:hAnsi="宋体" w:cs="宋体" w:hint="eastAsia"/>
          <w:color w:val="auto"/>
          <w:highlight w:val="none"/>
          <w:lang w:val="en-US" w:eastAsia="zh-CN"/>
        </w:rPr>
        <w:t>0755-83889026</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outlineLvl w:val="9"/>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投标报名：0755-83881111（总机）</w:t>
      </w:r>
    </w:p>
    <w:p>
      <w:pPr>
        <w:pStyle w:val="-111"/>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480" w:leftChars="200"/>
        <w:jc w:val="left"/>
        <w:textAlignment w:val="auto"/>
        <w:outlineLvl w:val="9"/>
        <w:rPr>
          <w:rFonts w:ascii="宋体" w:eastAsia="宋体" w:hAnsi="宋体" w:cs="宋体" w:hint="eastAsia"/>
          <w:sz w:val="24"/>
          <w:szCs w:val="24"/>
          <w:highlight w:val="none"/>
        </w:rPr>
      </w:pPr>
      <w:r>
        <w:rPr>
          <w:rFonts w:ascii="宋体" w:eastAsia="宋体" w:hAnsi="宋体" w:cs="宋体" w:hint="eastAsia"/>
          <w:highlight w:val="none"/>
          <w:lang w:val="en-US" w:eastAsia="zh-CN"/>
        </w:rPr>
        <w:t>4.</w:t>
      </w:r>
      <w:r>
        <w:rPr>
          <w:rFonts w:ascii="宋体" w:eastAsia="宋体" w:hAnsi="宋体" w:cs="宋体" w:hint="eastAsia"/>
          <w:sz w:val="24"/>
          <w:szCs w:val="24"/>
          <w:highlight w:val="none"/>
        </w:rPr>
        <w:t>相关项目信息查询网址</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outlineLvl w:val="9"/>
        <w:rPr>
          <w:rFonts w:ascii="宋体" w:eastAsia="宋体" w:hAnsi="宋体" w:cs="宋体" w:hint="eastAsia"/>
          <w:sz w:val="24"/>
          <w:szCs w:val="24"/>
          <w:highlight w:val="none"/>
        </w:rPr>
      </w:pPr>
      <w:r>
        <w:rPr>
          <w:rFonts w:ascii="宋体" w:eastAsia="宋体" w:hAnsi="宋体" w:cs="宋体" w:hint="eastAsia"/>
          <w:sz w:val="24"/>
          <w:szCs w:val="24"/>
          <w:highlight w:val="none"/>
        </w:rPr>
        <w:t>深圳政府采购智慧平台</w:t>
      </w:r>
      <w:r>
        <w:rPr>
          <w:rFonts w:ascii="宋体" w:eastAsia="宋体" w:hAnsi="宋体" w:cs="宋体" w:hint="eastAsia"/>
          <w:sz w:val="24"/>
          <w:szCs w:val="24"/>
          <w:highlight w:val="none"/>
          <w:lang w:val="en-US" w:eastAsia="zh-CN"/>
        </w:rPr>
        <w:t xml:space="preserve"> </w:t>
      </w:r>
      <w:r>
        <w:rPr>
          <w:rFonts w:ascii="宋体" w:eastAsia="宋体" w:hAnsi="宋体" w:cs="宋体" w:hint="eastAsia"/>
          <w:color w:val="auto"/>
          <w:sz w:val="24"/>
          <w:szCs w:val="24"/>
          <w:highlight w:val="none"/>
          <w:u w:val="none"/>
        </w:rPr>
        <w:t>http://zfcg.szggzy.com:8081/</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outlineLvl w:val="9"/>
        <w:rPr>
          <w:rFonts w:ascii="宋体" w:eastAsia="宋体" w:hAnsi="宋体" w:cs="宋体" w:hint="eastAsia"/>
          <w:sz w:val="24"/>
          <w:szCs w:val="24"/>
          <w:highlight w:val="none"/>
        </w:rPr>
      </w:pPr>
      <w:r>
        <w:rPr>
          <w:rFonts w:ascii="宋体" w:eastAsia="宋体" w:hAnsi="宋体" w:cs="宋体" w:hint="eastAsia"/>
          <w:sz w:val="24"/>
          <w:szCs w:val="24"/>
          <w:highlight w:val="none"/>
        </w:rPr>
        <w:t>友和招标代理服务网 http://yhzb.uho.cn/</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eastAsia="宋体" w:hint="default"/>
          <w:highlight w:val="none"/>
          <w:lang w:val="en-US" w:eastAsia="zh-CN"/>
        </w:rPr>
      </w:pP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highlight w:val="none"/>
        </w:rPr>
      </w:pP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right"/>
        <w:textAlignment w:val="auto"/>
        <w:rPr>
          <w:rFonts w:ascii="宋体" w:eastAsia="宋体" w:hAnsi="宋体" w:cs="宋体" w:hint="eastAsia"/>
          <w:highlight w:val="none"/>
        </w:rPr>
      </w:pPr>
      <w:r>
        <w:rPr>
          <w:rFonts w:ascii="宋体" w:eastAsia="宋体" w:hAnsi="宋体" w:cs="宋体" w:hint="eastAsia"/>
          <w:highlight w:val="none"/>
        </w:rPr>
        <w:t>友和保险经纪有限公司</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right"/>
        <w:textAlignment w:val="auto"/>
        <w:rPr>
          <w:rFonts w:ascii="宋体" w:eastAsia="宋体" w:hAnsi="宋体" w:cs="宋体" w:hint="eastAsia"/>
          <w:highlight w:val="none"/>
        </w:rPr>
      </w:pPr>
      <w:r>
        <w:rPr>
          <w:rFonts w:ascii="宋体" w:eastAsia="宋体" w:hAnsi="宋体" w:cs="宋体" w:hint="eastAsia"/>
          <w:highlight w:val="none"/>
          <w:lang w:eastAsia="zh-CN"/>
        </w:rPr>
        <w:t>2025</w:t>
      </w:r>
      <w:r>
        <w:rPr>
          <w:rFonts w:ascii="宋体" w:eastAsia="宋体" w:hAnsi="宋体" w:cs="宋体" w:hint="eastAsia"/>
          <w:highlight w:val="none"/>
        </w:rPr>
        <w:t>年</w:t>
      </w:r>
      <w:r>
        <w:rPr>
          <w:rFonts w:ascii="宋体" w:eastAsia="宋体" w:hAnsi="宋体" w:cs="宋体" w:hint="eastAsia"/>
          <w:highlight w:val="none"/>
          <w:lang w:val="en-US" w:eastAsia="zh-CN"/>
        </w:rPr>
        <w:t>4</w:t>
      </w:r>
      <w:r>
        <w:rPr>
          <w:rFonts w:ascii="宋体" w:eastAsia="宋体" w:hAnsi="宋体" w:cs="宋体" w:hint="eastAsia"/>
          <w:highlight w:val="none"/>
        </w:rPr>
        <w:t>月</w:t>
      </w:r>
      <w:r>
        <w:rPr>
          <w:rFonts w:ascii="宋体" w:eastAsia="宋体" w:hAnsi="宋体" w:cs="宋体" w:hint="eastAsia"/>
          <w:highlight w:val="none"/>
          <w:lang w:val="en-US" w:eastAsia="zh-CN"/>
        </w:rPr>
        <w:t>8</w:t>
      </w:r>
      <w:r>
        <w:rPr>
          <w:rFonts w:ascii="宋体" w:eastAsia="宋体" w:hAnsi="宋体" w:cs="宋体" w:hint="eastAsia"/>
          <w:highlight w:val="none"/>
        </w:rPr>
        <w:t>日</w:t>
      </w:r>
    </w:p>
    <w:p>
      <w:pPr>
        <w:rPr>
          <w:highlight w:val="none"/>
        </w:rPr>
      </w:pPr>
    </w:p>
    <w:p>
      <w:pPr>
        <w:spacing w:beforeLines="0" w:afterLines="0"/>
        <w:rPr>
          <w:rFonts w:ascii="宋体" w:eastAsia="宋体" w:hAnsi="宋体" w:cs="宋体"/>
          <w:b/>
          <w:bCs/>
          <w:szCs w:val="21"/>
          <w:highlight w:val="none"/>
        </w:rPr>
      </w:pPr>
    </w:p>
    <w:p>
      <w:pPr>
        <w:pStyle w:val="NormalIndent"/>
        <w:spacing w:before="0" w:beforeLines="0" w:after="0" w:afterLines="0" w:line="240" w:lineRule="auto"/>
        <w:ind w:firstLine="0"/>
        <w:rPr>
          <w:rFonts w:ascii="宋体" w:eastAsia="宋体" w:hAnsi="宋体"/>
          <w:b/>
          <w:color w:val="auto"/>
          <w:sz w:val="28"/>
          <w:szCs w:val="28"/>
          <w:highlight w:val="none"/>
        </w:rPr>
      </w:pPr>
      <w:r>
        <w:rPr>
          <w:rFonts w:hint="eastAsia"/>
          <w:color w:val="auto"/>
          <w:szCs w:val="20"/>
          <w:highlight w:val="none"/>
        </w:rPr>
        <w:t>完整公告内容详见：http://zfcg.szggzy.com:8081/</w:t>
      </w:r>
    </w:p>
    <w:p>
      <w:pPr>
        <w:spacing w:line="360" w:lineRule="auto"/>
        <w:rPr>
          <w:rFonts w:ascii="宋体" w:eastAsia="宋体" w:hAnsi="宋体"/>
          <w:color w:val="000000" w:themeColor="text1"/>
          <w:highlight w:val="none"/>
          <w14:textFill>
            <w14:solidFill>
              <w14:schemeClr w14:val="tx1"/>
            </w14:solidFill>
          </w14:textFill>
        </w:rPr>
      </w:pPr>
      <w:r>
        <w:rPr>
          <w:rFonts w:ascii="宋体" w:eastAsia="宋体" w:hAnsi="宋体" w:hint="eastAsia"/>
          <w:color w:val="000000" w:themeColor="text1"/>
          <w:highlight w:val="none"/>
          <w14:textFill>
            <w14:solidFill>
              <w14:schemeClr w14:val="tx1"/>
            </w14:solidFill>
          </w14:textFill>
        </w:rPr>
        <w:br w:type="page"/>
      </w:r>
    </w:p>
    <w:p>
      <w:pPr>
        <w:pStyle w:val="Heading2"/>
        <w:rPr>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第二章 对通用条款的补充内容及其他关键信息</w:t>
      </w:r>
    </w:p>
    <w:p>
      <w:pPr>
        <w:jc w:val="center"/>
        <w:outlineLvl w:val="2"/>
        <w:rPr>
          <w:b/>
          <w:bCs/>
          <w:sz w:val="28"/>
          <w:szCs w:val="28"/>
          <w:highlight w:val="none"/>
        </w:rPr>
      </w:pPr>
      <w:bookmarkStart w:id="21" w:name="_Toc101074876"/>
      <w:bookmarkStart w:id="22" w:name="_Toc73521635"/>
      <w:bookmarkStart w:id="23" w:name="_Toc73518117"/>
      <w:bookmarkStart w:id="24" w:name="_Toc73517639"/>
      <w:bookmarkStart w:id="25" w:name="_Toc100052364"/>
      <w:bookmarkStart w:id="26" w:name="_Toc60631620"/>
      <w:bookmarkStart w:id="27" w:name="_Toc73521547"/>
      <w:bookmarkStart w:id="28" w:name="_Toc60560625"/>
      <w:r>
        <w:rPr>
          <w:rFonts w:ascii="宋体" w:eastAsia="宋体" w:hAnsi="宋体" w:cs="宋体" w:hint="eastAsia"/>
          <w:b/>
          <w:bCs/>
          <w:sz w:val="28"/>
          <w:szCs w:val="28"/>
          <w:highlight w:val="none"/>
        </w:rPr>
        <w:t>一、对通用条款的补充内容</w:t>
      </w:r>
    </w:p>
    <w:tbl>
      <w:tblPr>
        <w:tblStyle w:val="TableNormal"/>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
      <w:tblGrid>
        <w:gridCol w:w="978"/>
        <w:gridCol w:w="1888"/>
        <w:gridCol w:w="5501"/>
      </w:tblGrid>
      <w:tr>
        <w:tblPrEx>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b/>
                <w:bCs/>
                <w:color w:val="000000" w:themeColor="text1"/>
                <w:highlight w:val="none"/>
                <w14:textFill>
                  <w14:solidFill>
                    <w14:schemeClr w14:val="tx1"/>
                  </w14:solidFill>
                </w14:textFill>
              </w:rPr>
            </w:pPr>
            <w:bookmarkEnd w:id="21"/>
            <w:bookmarkEnd w:id="22"/>
            <w:bookmarkEnd w:id="23"/>
            <w:bookmarkEnd w:id="24"/>
            <w:bookmarkEnd w:id="25"/>
            <w:bookmarkEnd w:id="26"/>
            <w:bookmarkEnd w:id="27"/>
            <w:bookmarkEnd w:id="28"/>
            <w:r>
              <w:rPr>
                <w:rFonts w:ascii="宋体" w:hAnsi="宋体" w:hint="eastAsia"/>
                <w:b/>
                <w:bCs/>
                <w:color w:val="000000" w:themeColor="text1"/>
                <w:highlight w:val="none"/>
                <w14:textFill>
                  <w14:solidFill>
                    <w14:schemeClr w14:val="tx1"/>
                  </w14:solidFill>
                </w14:textFill>
              </w:rPr>
              <w:t>通用条款序号</w:t>
            </w:r>
          </w:p>
        </w:tc>
        <w:tc>
          <w:tcPr>
            <w:tcW w:w="1888" w:type="dxa"/>
            <w:vAlign w:val="center"/>
          </w:tcPr>
          <w:p>
            <w:pPr>
              <w:jc w:val="center"/>
              <w:rPr>
                <w:rFonts w:ascii="宋体" w:hAnsi="宋体"/>
                <w:b/>
                <w:bCs/>
                <w:color w:val="000000" w:themeColor="text1"/>
                <w:highlight w:val="none"/>
                <w14:textFill>
                  <w14:solidFill>
                    <w14:schemeClr w14:val="tx1"/>
                  </w14:solidFill>
                </w14:textFill>
              </w:rPr>
            </w:pPr>
            <w:r>
              <w:rPr>
                <w:rFonts w:ascii="宋体" w:hAnsi="宋体" w:hint="eastAsia"/>
                <w:b/>
                <w:bCs/>
                <w:color w:val="000000" w:themeColor="text1"/>
                <w:highlight w:val="none"/>
                <w14:textFill>
                  <w14:solidFill>
                    <w14:schemeClr w14:val="tx1"/>
                  </w14:solidFill>
                </w14:textFill>
              </w:rPr>
              <w:t>涉及事项</w:t>
            </w:r>
          </w:p>
        </w:tc>
        <w:tc>
          <w:tcPr>
            <w:tcW w:w="5501" w:type="dxa"/>
            <w:vAlign w:val="center"/>
          </w:tcPr>
          <w:p>
            <w:pPr>
              <w:jc w:val="center"/>
              <w:rPr>
                <w:rFonts w:ascii="宋体" w:hAnsi="宋体"/>
                <w:b/>
                <w:bCs/>
                <w:color w:val="000000" w:themeColor="text1"/>
                <w:highlight w:val="none"/>
                <w14:textFill>
                  <w14:solidFill>
                    <w14:schemeClr w14:val="tx1"/>
                  </w14:solidFill>
                </w14:textFill>
              </w:rPr>
            </w:pPr>
            <w:r>
              <w:rPr>
                <w:rFonts w:ascii="宋体" w:hAnsi="宋体" w:hint="eastAsia"/>
                <w:b/>
                <w:bCs/>
                <w:color w:val="000000" w:themeColor="text1"/>
                <w:highlight w:val="none"/>
                <w14:textFill>
                  <w14:solidFill>
                    <w14:schemeClr w14:val="tx1"/>
                  </w14:solidFill>
                </w14:textFill>
              </w:rPr>
              <w:t xml:space="preserve">具 </w:t>
            </w:r>
            <w:r>
              <w:rPr>
                <w:rFonts w:ascii="宋体" w:hAnsi="宋体"/>
                <w:b/>
                <w:bCs/>
                <w:color w:val="000000" w:themeColor="text1"/>
                <w:highlight w:val="none"/>
                <w14:textFill>
                  <w14:solidFill>
                    <w14:schemeClr w14:val="tx1"/>
                  </w14:solidFill>
                </w14:textFill>
              </w:rPr>
              <w:t xml:space="preserve"> </w:t>
            </w:r>
            <w:r>
              <w:rPr>
                <w:rFonts w:ascii="宋体" w:hAnsi="宋体" w:hint="eastAsia"/>
                <w:b/>
                <w:bCs/>
                <w:color w:val="000000" w:themeColor="text1"/>
                <w:highlight w:val="none"/>
                <w14:textFill>
                  <w14:solidFill>
                    <w14:schemeClr w14:val="tx1"/>
                  </w14:solidFill>
                </w14:textFill>
              </w:rPr>
              <w:t xml:space="preserve">体 </w:t>
            </w:r>
            <w:r>
              <w:rPr>
                <w:rFonts w:ascii="宋体" w:hAnsi="宋体"/>
                <w:b/>
                <w:bCs/>
                <w:color w:val="000000" w:themeColor="text1"/>
                <w:highlight w:val="none"/>
                <w14:textFill>
                  <w14:solidFill>
                    <w14:schemeClr w14:val="tx1"/>
                  </w14:solidFill>
                </w14:textFill>
              </w:rPr>
              <w:t xml:space="preserve"> </w:t>
            </w:r>
            <w:r>
              <w:rPr>
                <w:rFonts w:ascii="宋体" w:hAnsi="宋体" w:hint="eastAsia"/>
                <w:b/>
                <w:bCs/>
                <w:color w:val="000000" w:themeColor="text1"/>
                <w:highlight w:val="none"/>
                <w14:textFill>
                  <w14:solidFill>
                    <w14:schemeClr w14:val="tx1"/>
                  </w14:solidFill>
                </w14:textFill>
              </w:rPr>
              <w:t xml:space="preserve">补 </w:t>
            </w:r>
            <w:r>
              <w:rPr>
                <w:rFonts w:ascii="宋体" w:hAnsi="宋体"/>
                <w:b/>
                <w:bCs/>
                <w:color w:val="000000" w:themeColor="text1"/>
                <w:highlight w:val="none"/>
                <w14:textFill>
                  <w14:solidFill>
                    <w14:schemeClr w14:val="tx1"/>
                  </w14:solidFill>
                </w14:textFill>
              </w:rPr>
              <w:t xml:space="preserve"> </w:t>
            </w:r>
            <w:r>
              <w:rPr>
                <w:rFonts w:ascii="宋体" w:hAnsi="宋体" w:hint="eastAsia"/>
                <w:b/>
                <w:bCs/>
                <w:color w:val="000000" w:themeColor="text1"/>
                <w:highlight w:val="none"/>
                <w14:textFill>
                  <w14:solidFill>
                    <w14:schemeClr w14:val="tx1"/>
                  </w14:solidFill>
                </w14:textFill>
              </w:rPr>
              <w:t xml:space="preserve">充 </w:t>
            </w:r>
            <w:r>
              <w:rPr>
                <w:rFonts w:ascii="宋体" w:hAnsi="宋体"/>
                <w:b/>
                <w:bCs/>
                <w:color w:val="000000" w:themeColor="text1"/>
                <w:highlight w:val="none"/>
                <w14:textFill>
                  <w14:solidFill>
                    <w14:schemeClr w14:val="tx1"/>
                  </w14:solidFill>
                </w14:textFill>
              </w:rPr>
              <w:t xml:space="preserve"> </w:t>
            </w:r>
            <w:r>
              <w:rPr>
                <w:rFonts w:ascii="宋体" w:hAnsi="宋体" w:hint="eastAsia"/>
                <w:b/>
                <w:bCs/>
                <w:color w:val="000000" w:themeColor="text1"/>
                <w:highlight w:val="none"/>
                <w14:textFill>
                  <w14:solidFill>
                    <w14:schemeClr w14:val="tx1"/>
                  </w14:solidFill>
                </w14:textFill>
              </w:rPr>
              <w:t xml:space="preserve">内 </w:t>
            </w:r>
            <w:r>
              <w:rPr>
                <w:rFonts w:ascii="宋体" w:hAnsi="宋体"/>
                <w:b/>
                <w:bCs/>
                <w:color w:val="000000" w:themeColor="text1"/>
                <w:highlight w:val="none"/>
                <w14:textFill>
                  <w14:solidFill>
                    <w14:schemeClr w14:val="tx1"/>
                  </w14:solidFill>
                </w14:textFill>
              </w:rPr>
              <w:t xml:space="preserve"> </w:t>
            </w:r>
            <w:r>
              <w:rPr>
                <w:rFonts w:ascii="宋体" w:hAnsi="宋体" w:hint="eastAsia"/>
                <w:b/>
                <w:bCs/>
                <w:color w:val="000000" w:themeColor="text1"/>
                <w:highlight w:val="none"/>
                <w14:textFill>
                  <w14:solidFill>
                    <w14:schemeClr w14:val="tx1"/>
                  </w14:solidFill>
                </w14:textFill>
              </w:rPr>
              <w:t>容</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3</w:t>
            </w:r>
            <w:r>
              <w:rPr>
                <w:rFonts w:ascii="宋体" w:hAnsi="宋体"/>
                <w:color w:val="000000" w:themeColor="text1"/>
                <w:highlight w:val="none"/>
                <w14:textFill>
                  <w14:solidFill>
                    <w14:schemeClr w14:val="tx1"/>
                  </w14:solidFill>
                </w14:textFill>
              </w:rPr>
              <w:t>.1</w:t>
            </w:r>
          </w:p>
        </w:tc>
        <w:tc>
          <w:tcPr>
            <w:tcW w:w="1888" w:type="dxa"/>
            <w:vAlign w:val="center"/>
          </w:tcPr>
          <w:p>
            <w:pPr>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采购人</w:t>
            </w:r>
          </w:p>
        </w:tc>
        <w:tc>
          <w:tcPr>
            <w:tcW w:w="5501" w:type="dxa"/>
            <w:vAlign w:val="center"/>
          </w:tcPr>
          <w:p>
            <w:pPr>
              <w:jc w:val="center"/>
              <w:rPr>
                <w:rFonts w:ascii="宋体" w:hAnsi="宋体" w:eastAsiaTheme="minorEastAsia" w:hint="eastAsia"/>
                <w:color w:val="000000" w:themeColor="text1"/>
                <w:highlight w:val="none"/>
                <w:lang w:eastAsia="zh-CN"/>
                <w14:textFill>
                  <w14:solidFill>
                    <w14:schemeClr w14:val="tx1"/>
                  </w14:solidFill>
                </w14:textFill>
              </w:rPr>
            </w:pPr>
            <w:r>
              <w:rPr>
                <w:rFonts w:ascii="宋体" w:hAnsi="宋体" w:eastAsiaTheme="minorEastAsia" w:hint="eastAsia"/>
                <w:color w:val="000000" w:themeColor="text1"/>
                <w:highlight w:val="none"/>
                <w:lang w:eastAsia="zh-CN"/>
                <w14:textFill>
                  <w14:solidFill>
                    <w14:schemeClr w14:val="tx1"/>
                  </w14:solidFill>
                </w14:textFill>
              </w:rPr>
              <w:t>深圳市交通运输局</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3</w:t>
            </w:r>
            <w:r>
              <w:rPr>
                <w:rFonts w:ascii="宋体" w:hAnsi="宋体"/>
                <w:color w:val="000000" w:themeColor="text1"/>
                <w:highlight w:val="none"/>
                <w14:textFill>
                  <w14:solidFill>
                    <w14:schemeClr w14:val="tx1"/>
                  </w14:solidFill>
                </w14:textFill>
              </w:rPr>
              <w:t>.2</w:t>
            </w:r>
          </w:p>
        </w:tc>
        <w:tc>
          <w:tcPr>
            <w:tcW w:w="1888" w:type="dxa"/>
            <w:vAlign w:val="center"/>
          </w:tcPr>
          <w:p>
            <w:pPr>
              <w:jc w:val="center"/>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采购机构</w:t>
            </w:r>
          </w:p>
        </w:tc>
        <w:tc>
          <w:tcPr>
            <w:tcW w:w="5501" w:type="dxa"/>
            <w:vAlign w:val="center"/>
          </w:tcPr>
          <w:p>
            <w:pPr>
              <w:jc w:val="center"/>
              <w:rPr>
                <w:rFonts w:ascii="宋体" w:eastAsia="宋体" w:hAnsi="宋体"/>
                <w:color w:val="000000" w:themeColor="text1"/>
                <w:highlight w:val="none"/>
                <w14:textFill>
                  <w14:solidFill>
                    <w14:schemeClr w14:val="tx1"/>
                  </w14:solidFill>
                </w14:textFill>
              </w:rPr>
            </w:pPr>
            <w:r>
              <w:rPr>
                <w:rFonts w:ascii="宋体" w:eastAsia="宋体" w:hAnsi="宋体" w:hint="eastAsia"/>
                <w:color w:val="000000" w:themeColor="text1"/>
                <w:highlight w:val="none"/>
                <w14:textFill>
                  <w14:solidFill>
                    <w14:schemeClr w14:val="tx1"/>
                  </w14:solidFill>
                </w14:textFill>
              </w:rPr>
              <w:t>友和保险经纪有限公司</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5</w:t>
            </w:r>
            <w:r>
              <w:rPr>
                <w:rFonts w:ascii="宋体" w:hAnsi="宋体"/>
                <w:color w:val="000000" w:themeColor="text1"/>
                <w:highlight w:val="none"/>
                <w14:textFill>
                  <w14:solidFill>
                    <w14:schemeClr w14:val="tx1"/>
                  </w14:solidFill>
                </w14:textFill>
              </w:rPr>
              <w:t>.3</w:t>
            </w:r>
          </w:p>
        </w:tc>
        <w:tc>
          <w:tcPr>
            <w:tcW w:w="1888" w:type="dxa"/>
            <w:vAlign w:val="center"/>
          </w:tcPr>
          <w:p>
            <w:pPr>
              <w:jc w:val="center"/>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联合体投标</w:t>
            </w:r>
          </w:p>
        </w:tc>
        <w:tc>
          <w:tcPr>
            <w:tcW w:w="5501" w:type="dxa"/>
            <w:vAlign w:val="center"/>
          </w:tcPr>
          <w:p>
            <w:pPr>
              <w:jc w:val="center"/>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不接受</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9</w:t>
            </w:r>
          </w:p>
        </w:tc>
        <w:tc>
          <w:tcPr>
            <w:tcW w:w="1888" w:type="dxa"/>
            <w:vAlign w:val="center"/>
          </w:tcPr>
          <w:p>
            <w:pPr>
              <w:jc w:val="center"/>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踏勘现场</w:t>
            </w:r>
          </w:p>
        </w:tc>
        <w:tc>
          <w:tcPr>
            <w:tcW w:w="5501" w:type="dxa"/>
            <w:vAlign w:val="center"/>
          </w:tcPr>
          <w:p>
            <w:pPr>
              <w:jc w:val="center"/>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不组织</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1</w:t>
            </w:r>
            <w:r>
              <w:rPr>
                <w:rFonts w:ascii="宋体" w:hAnsi="宋体"/>
                <w:color w:val="000000" w:themeColor="text1"/>
                <w:highlight w:val="none"/>
                <w14:textFill>
                  <w14:solidFill>
                    <w14:schemeClr w14:val="tx1"/>
                  </w14:solidFill>
                </w14:textFill>
              </w:rPr>
              <w:t>0</w:t>
            </w:r>
          </w:p>
        </w:tc>
        <w:tc>
          <w:tcPr>
            <w:tcW w:w="1888" w:type="dxa"/>
            <w:vAlign w:val="center"/>
          </w:tcPr>
          <w:p>
            <w:pPr>
              <w:jc w:val="center"/>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标前会议</w:t>
            </w:r>
          </w:p>
        </w:tc>
        <w:tc>
          <w:tcPr>
            <w:tcW w:w="5501" w:type="dxa"/>
            <w:vAlign w:val="center"/>
          </w:tcPr>
          <w:p>
            <w:pPr>
              <w:jc w:val="center"/>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不组织</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1</w:t>
            </w:r>
            <w:r>
              <w:rPr>
                <w:rFonts w:ascii="宋体" w:hAnsi="宋体"/>
                <w:color w:val="000000" w:themeColor="text1"/>
                <w:highlight w:val="none"/>
                <w14:textFill>
                  <w14:solidFill>
                    <w14:schemeClr w14:val="tx1"/>
                  </w14:solidFill>
                </w14:textFill>
              </w:rPr>
              <w:t>2</w:t>
            </w:r>
            <w:r>
              <w:rPr>
                <w:rFonts w:ascii="宋体" w:hAnsi="宋体" w:hint="eastAsia"/>
                <w:color w:val="000000" w:themeColor="text1"/>
                <w:highlight w:val="none"/>
                <w14:textFill>
                  <w14:solidFill>
                    <w14:schemeClr w14:val="tx1"/>
                  </w14:solidFill>
                </w14:textFill>
              </w:rPr>
              <w:t>/1</w:t>
            </w:r>
            <w:r>
              <w:rPr>
                <w:rFonts w:ascii="宋体" w:hAnsi="宋体"/>
                <w:color w:val="000000" w:themeColor="text1"/>
                <w:highlight w:val="none"/>
                <w14:textFill>
                  <w14:solidFill>
                    <w14:schemeClr w14:val="tx1"/>
                  </w14:solidFill>
                </w14:textFill>
              </w:rPr>
              <w:t>3</w:t>
            </w:r>
          </w:p>
        </w:tc>
        <w:tc>
          <w:tcPr>
            <w:tcW w:w="1888" w:type="dxa"/>
            <w:vAlign w:val="center"/>
          </w:tcPr>
          <w:p>
            <w:pPr>
              <w:jc w:val="center"/>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招标文件的澄清和修改</w:t>
            </w:r>
          </w:p>
        </w:tc>
        <w:tc>
          <w:tcPr>
            <w:tcW w:w="5501" w:type="dxa"/>
            <w:vAlign w:val="center"/>
          </w:tcPr>
          <w:p>
            <w:pPr>
              <w:jc w:val="center"/>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不晚于投标截止日三日前（详见招标公告），投标人有义务在招标期间在</w:t>
            </w:r>
            <w:r>
              <w:rPr>
                <w:rFonts w:ascii="宋体" w:eastAsia="宋体" w:hAnsi="宋体" w:hint="eastAsia"/>
                <w:color w:val="000000" w:themeColor="text1"/>
                <w:highlight w:val="none"/>
                <w14:textFill>
                  <w14:solidFill>
                    <w14:schemeClr w14:val="tx1"/>
                  </w14:solidFill>
                </w14:textFill>
              </w:rPr>
              <w:t>招标机构</w:t>
            </w:r>
            <w:r>
              <w:rPr>
                <w:rFonts w:ascii="宋体" w:hAnsi="宋体" w:hint="eastAsia"/>
                <w:color w:val="000000" w:themeColor="text1"/>
                <w:highlight w:val="none"/>
                <w14:textFill>
                  <w14:solidFill>
                    <w14:schemeClr w14:val="tx1"/>
                  </w14:solidFill>
                </w14:textFill>
              </w:rPr>
              <w:t>网站浏览与本项目有关的澄清和修改信息</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2</w:t>
            </w:r>
            <w:r>
              <w:rPr>
                <w:rFonts w:ascii="宋体" w:hAnsi="宋体"/>
                <w:color w:val="000000" w:themeColor="text1"/>
                <w:highlight w:val="none"/>
                <w14:textFill>
                  <w14:solidFill>
                    <w14:schemeClr w14:val="tx1"/>
                  </w14:solidFill>
                </w14:textFill>
              </w:rPr>
              <w:t>0</w:t>
            </w:r>
          </w:p>
        </w:tc>
        <w:tc>
          <w:tcPr>
            <w:tcW w:w="1888" w:type="dxa"/>
            <w:vAlign w:val="center"/>
          </w:tcPr>
          <w:p>
            <w:pPr>
              <w:jc w:val="center"/>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投标有效期</w:t>
            </w:r>
          </w:p>
        </w:tc>
        <w:tc>
          <w:tcPr>
            <w:tcW w:w="5501" w:type="dxa"/>
            <w:vAlign w:val="center"/>
          </w:tcPr>
          <w:p>
            <w:pPr>
              <w:jc w:val="center"/>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120个日历日</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2</w:t>
            </w:r>
            <w:r>
              <w:rPr>
                <w:rFonts w:ascii="宋体" w:hAnsi="宋体"/>
                <w:color w:val="000000" w:themeColor="text1"/>
                <w:highlight w:val="none"/>
                <w14:textFill>
                  <w14:solidFill>
                    <w14:schemeClr w14:val="tx1"/>
                  </w14:solidFill>
                </w14:textFill>
              </w:rPr>
              <w:t>2</w:t>
            </w:r>
          </w:p>
        </w:tc>
        <w:tc>
          <w:tcPr>
            <w:tcW w:w="1888" w:type="dxa"/>
            <w:vAlign w:val="center"/>
          </w:tcPr>
          <w:p>
            <w:pPr>
              <w:jc w:val="center"/>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投标人的替代方案</w:t>
            </w:r>
          </w:p>
        </w:tc>
        <w:tc>
          <w:tcPr>
            <w:tcW w:w="5501" w:type="dxa"/>
            <w:vAlign w:val="center"/>
          </w:tcPr>
          <w:p>
            <w:pPr>
              <w:jc w:val="center"/>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不接受</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2</w:t>
            </w:r>
            <w:r>
              <w:rPr>
                <w:rFonts w:ascii="宋体" w:hAnsi="宋体"/>
                <w:color w:val="000000" w:themeColor="text1"/>
                <w:highlight w:val="none"/>
                <w14:textFill>
                  <w14:solidFill>
                    <w14:schemeClr w14:val="tx1"/>
                  </w14:solidFill>
                </w14:textFill>
              </w:rPr>
              <w:t>5</w:t>
            </w:r>
          </w:p>
        </w:tc>
        <w:tc>
          <w:tcPr>
            <w:tcW w:w="1888" w:type="dxa"/>
            <w:vAlign w:val="center"/>
          </w:tcPr>
          <w:p>
            <w:pPr>
              <w:jc w:val="center"/>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投标文件的大小</w:t>
            </w:r>
          </w:p>
        </w:tc>
        <w:tc>
          <w:tcPr>
            <w:tcW w:w="5501" w:type="dxa"/>
            <w:vAlign w:val="center"/>
          </w:tcPr>
          <w:p>
            <w:pPr>
              <w:jc w:val="center"/>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投标文件大小不得超过</w:t>
            </w:r>
            <w:r>
              <w:rPr>
                <w:rFonts w:ascii="宋体" w:hAnsi="宋体"/>
                <w:color w:val="000000" w:themeColor="text1"/>
                <w:highlight w:val="none"/>
                <w14:textFill>
                  <w14:solidFill>
                    <w14:schemeClr w14:val="tx1"/>
                  </w14:solidFill>
                </w14:textFill>
              </w:rPr>
              <w:t>1</w:t>
            </w:r>
            <w:r>
              <w:rPr>
                <w:rFonts w:ascii="宋体" w:hAnsi="宋体" w:hint="eastAsia"/>
                <w:color w:val="000000" w:themeColor="text1"/>
                <w:highlight w:val="none"/>
                <w14:textFill>
                  <w14:solidFill>
                    <w14:schemeClr w14:val="tx1"/>
                  </w14:solidFill>
                </w14:textFill>
              </w:rPr>
              <w:t>00MB</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2</w:t>
            </w:r>
            <w:r>
              <w:rPr>
                <w:rFonts w:ascii="宋体" w:hAnsi="宋体"/>
                <w:color w:val="000000" w:themeColor="text1"/>
                <w:highlight w:val="none"/>
                <w14:textFill>
                  <w14:solidFill>
                    <w14:schemeClr w14:val="tx1"/>
                  </w14:solidFill>
                </w14:textFill>
              </w:rPr>
              <w:t>6</w:t>
            </w:r>
          </w:p>
        </w:tc>
        <w:tc>
          <w:tcPr>
            <w:tcW w:w="1888" w:type="dxa"/>
            <w:vAlign w:val="center"/>
          </w:tcPr>
          <w:p>
            <w:pPr>
              <w:jc w:val="center"/>
              <w:rPr>
                <w:rFonts w:ascii="宋体" w:hAnsi="宋体"/>
                <w:color w:val="000000" w:themeColor="text1"/>
                <w:highlight w:val="none"/>
                <w14:textFill>
                  <w14:solidFill>
                    <w14:schemeClr w14:val="tx1"/>
                  </w14:solidFill>
                </w14:textFill>
              </w:rPr>
            </w:pPr>
            <w:bookmarkStart w:id="29" w:name="_Hlk71664860"/>
            <w:r>
              <w:rPr>
                <w:rFonts w:ascii="宋体" w:hAnsi="宋体" w:hint="eastAsia"/>
                <w:color w:val="000000" w:themeColor="text1"/>
                <w:highlight w:val="none"/>
                <w14:textFill>
                  <w14:solidFill>
                    <w14:schemeClr w14:val="tx1"/>
                  </w14:solidFill>
                </w14:textFill>
              </w:rPr>
              <w:t>样品、现场演示、方案讲解</w:t>
            </w:r>
            <w:bookmarkEnd w:id="29"/>
          </w:p>
        </w:tc>
        <w:tc>
          <w:tcPr>
            <w:tcW w:w="5501" w:type="dxa"/>
            <w:vAlign w:val="center"/>
          </w:tcPr>
          <w:p>
            <w:pPr>
              <w:jc w:val="center"/>
              <w:rPr>
                <w:rFonts w:ascii="宋体" w:hAnsi="宋体"/>
                <w:color w:val="000000" w:themeColor="text1"/>
                <w:highlight w:val="none"/>
                <w14:textFill>
                  <w14:solidFill>
                    <w14:schemeClr w14:val="tx1"/>
                  </w14:solidFill>
                </w14:textFill>
              </w:rPr>
            </w:pPr>
            <w:r>
              <w:rPr>
                <w:rFonts w:ascii="Wingdings 2" w:hAnsi="Wingdings 2"/>
                <w:b/>
                <w:color w:val="000000" w:themeColor="text1"/>
                <w:highlight w:val="none"/>
                <w14:textFill>
                  <w14:solidFill>
                    <w14:schemeClr w14:val="tx1"/>
                  </w14:solidFill>
                </w14:textFill>
              </w:rPr>
              <w:sym w:font="Wingdings 2" w:char="F052"/>
            </w:r>
            <w:r>
              <w:rPr>
                <w:rFonts w:ascii="宋体" w:hAnsi="宋体" w:hint="eastAsia"/>
                <w:color w:val="000000" w:themeColor="text1"/>
                <w:highlight w:val="none"/>
                <w14:textFill>
                  <w14:solidFill>
                    <w14:schemeClr w14:val="tx1"/>
                  </w14:solidFill>
                </w14:textFill>
              </w:rPr>
              <w:t xml:space="preserve"> 无</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3</w:t>
            </w:r>
            <w:r>
              <w:rPr>
                <w:rFonts w:ascii="宋体" w:hAnsi="宋体"/>
                <w:color w:val="000000" w:themeColor="text1"/>
                <w:highlight w:val="none"/>
                <w14:textFill>
                  <w14:solidFill>
                    <w14:schemeClr w14:val="tx1"/>
                  </w14:solidFill>
                </w14:textFill>
              </w:rPr>
              <w:t>7</w:t>
            </w:r>
          </w:p>
        </w:tc>
        <w:tc>
          <w:tcPr>
            <w:tcW w:w="1888" w:type="dxa"/>
            <w:vAlign w:val="center"/>
          </w:tcPr>
          <w:p>
            <w:pPr>
              <w:jc w:val="center"/>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评审方法</w:t>
            </w:r>
          </w:p>
        </w:tc>
        <w:tc>
          <w:tcPr>
            <w:tcW w:w="5501" w:type="dxa"/>
            <w:vAlign w:val="center"/>
          </w:tcPr>
          <w:p>
            <w:pPr>
              <w:jc w:val="center"/>
              <w:rPr>
                <w:rFonts w:ascii="宋体" w:hAnsi="宋体"/>
                <w:color w:val="000000" w:themeColor="text1"/>
                <w:highlight w:val="none"/>
                <w14:textFill>
                  <w14:solidFill>
                    <w14:schemeClr w14:val="tx1"/>
                  </w14:solidFill>
                </w14:textFill>
              </w:rPr>
            </w:pPr>
            <w:r>
              <w:rPr>
                <w:rFonts w:ascii="Wingdings 2" w:hAnsi="Wingdings 2"/>
                <w:b/>
                <w:color w:val="000000" w:themeColor="text1"/>
                <w:highlight w:val="none"/>
                <w14:textFill>
                  <w14:solidFill>
                    <w14:schemeClr w14:val="tx1"/>
                  </w14:solidFill>
                </w14:textFill>
              </w:rPr>
              <w:sym w:font="Wingdings 2" w:char="F052"/>
            </w:r>
            <w:r>
              <w:rPr>
                <w:rFonts w:ascii="宋体" w:hAnsi="宋体" w:hint="eastAsia"/>
                <w:b/>
                <w:color w:val="000000" w:themeColor="text1"/>
                <w:highlight w:val="none"/>
                <w14:textFill>
                  <w14:solidFill>
                    <w14:schemeClr w14:val="tx1"/>
                  </w14:solidFill>
                </w14:textFill>
              </w:rPr>
              <w:t xml:space="preserve"> </w:t>
            </w:r>
            <w:r>
              <w:rPr>
                <w:rFonts w:ascii="宋体" w:hAnsi="宋体" w:hint="eastAsia"/>
                <w:color w:val="000000" w:themeColor="text1"/>
                <w:highlight w:val="none"/>
                <w14:textFill>
                  <w14:solidFill>
                    <w14:schemeClr w14:val="tx1"/>
                  </w14:solidFill>
                </w14:textFill>
              </w:rPr>
              <w:t>综合评分法</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3</w:t>
            </w:r>
            <w:r>
              <w:rPr>
                <w:rFonts w:ascii="宋体" w:hAnsi="宋体"/>
                <w:color w:val="000000" w:themeColor="text1"/>
                <w:highlight w:val="none"/>
                <w14:textFill>
                  <w14:solidFill>
                    <w14:schemeClr w14:val="tx1"/>
                  </w14:solidFill>
                </w14:textFill>
              </w:rPr>
              <w:t>8</w:t>
            </w:r>
          </w:p>
        </w:tc>
        <w:tc>
          <w:tcPr>
            <w:tcW w:w="1888" w:type="dxa"/>
            <w:vAlign w:val="center"/>
          </w:tcPr>
          <w:p>
            <w:pPr>
              <w:jc w:val="center"/>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定标方法</w:t>
            </w:r>
          </w:p>
        </w:tc>
        <w:tc>
          <w:tcPr>
            <w:tcW w:w="5501" w:type="dxa"/>
            <w:vAlign w:val="center"/>
          </w:tcPr>
          <w:p>
            <w:pPr>
              <w:jc w:val="center"/>
              <w:rPr>
                <w:rFonts w:ascii="宋体" w:eastAsia="宋体" w:hAnsi="宋体"/>
                <w:color w:val="000000" w:themeColor="text1"/>
                <w:highlight w:val="none"/>
                <w14:textFill>
                  <w14:solidFill>
                    <w14:schemeClr w14:val="tx1"/>
                  </w14:solidFill>
                </w14:textFill>
              </w:rPr>
            </w:pPr>
            <w:r>
              <w:rPr>
                <w:rFonts w:ascii="Wingdings 2" w:eastAsia="宋体" w:hAnsi="Wingdings 2"/>
                <w:b/>
                <w:color w:val="000000" w:themeColor="text1"/>
                <w:highlight w:val="none"/>
                <w14:textFill>
                  <w14:solidFill>
                    <w14:schemeClr w14:val="tx1"/>
                  </w14:solidFill>
                </w14:textFill>
              </w:rPr>
              <w:t>无</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4</w:t>
            </w:r>
            <w:r>
              <w:rPr>
                <w:rFonts w:ascii="宋体" w:hAnsi="宋体"/>
                <w:color w:val="000000" w:themeColor="text1"/>
                <w:highlight w:val="none"/>
                <w14:textFill>
                  <w14:solidFill>
                    <w14:schemeClr w14:val="tx1"/>
                  </w14:solidFill>
                </w14:textFill>
              </w:rPr>
              <w:t>6</w:t>
            </w:r>
          </w:p>
        </w:tc>
        <w:tc>
          <w:tcPr>
            <w:tcW w:w="1888" w:type="dxa"/>
            <w:vAlign w:val="center"/>
          </w:tcPr>
          <w:p>
            <w:pPr>
              <w:jc w:val="center"/>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履约担保</w:t>
            </w:r>
          </w:p>
        </w:tc>
        <w:tc>
          <w:tcPr>
            <w:tcW w:w="5501" w:type="dxa"/>
            <w:vAlign w:val="center"/>
          </w:tcPr>
          <w:p>
            <w:pPr>
              <w:pStyle w:val="CommentText"/>
              <w:jc w:val="center"/>
              <w:rPr>
                <w:rFonts w:ascii="宋体" w:hAnsi="宋体" w:eastAsiaTheme="minorEastAsia" w:cs="宋体" w:hint="default"/>
                <w:szCs w:val="21"/>
                <w:highlight w:val="none"/>
                <w:lang w:val="en-US" w:eastAsia="zh-CN"/>
              </w:rPr>
            </w:pPr>
            <w:r>
              <w:rPr>
                <w:rFonts w:ascii="宋体" w:hAnsi="宋体" w:eastAsiaTheme="minorEastAsia" w:cs="宋体" w:hint="eastAsia"/>
                <w:szCs w:val="21"/>
                <w:highlight w:val="none"/>
                <w:lang w:val="en-US" w:eastAsia="zh-CN"/>
              </w:rPr>
              <w:t>无</w:t>
            </w:r>
          </w:p>
        </w:tc>
      </w:tr>
    </w:tbl>
    <w:p>
      <w:pPr>
        <w:rPr>
          <w:b/>
          <w:color w:val="000000" w:themeColor="text1"/>
          <w:highlight w:val="none"/>
          <w14:textFill>
            <w14:solidFill>
              <w14:schemeClr w14:val="tx1"/>
            </w14:solidFill>
          </w14:textFill>
        </w:rPr>
      </w:pPr>
      <w:r>
        <w:rPr>
          <w:rFonts w:hint="eastAsia"/>
          <w:color w:val="000000" w:themeColor="text1"/>
          <w:szCs w:val="21"/>
          <w:highlight w:val="none"/>
          <w14:textFill>
            <w14:solidFill>
              <w14:schemeClr w14:val="tx1"/>
            </w14:solidFill>
          </w14:textFill>
        </w:rPr>
        <w:t>备注：本表是通用条款相关条款的补充和明确，如与通用条款内容相冲突的，以本表为准。</w:t>
      </w:r>
      <w:r>
        <w:rPr>
          <w:rFonts w:hint="eastAsia"/>
          <w:b/>
          <w:bCs/>
          <w:color w:val="FF0000"/>
          <w:szCs w:val="21"/>
          <w:highlight w:val="none"/>
        </w:rPr>
        <w:t>本项目使用深圳政府采购智慧平台进行操作，通用条款中如有与深圳政府采购智慧平台操作流程不一致的内容，请以深圳政府采购智慧平台</w:t>
      </w:r>
      <w:r>
        <w:rPr>
          <w:b/>
          <w:bCs/>
          <w:color w:val="FF0000"/>
          <w:szCs w:val="21"/>
          <w:highlight w:val="none"/>
        </w:rPr>
        <w:t>zfcg.szggzy.com:8081</w:t>
      </w:r>
      <w:r>
        <w:rPr>
          <w:rFonts w:hint="eastAsia"/>
          <w:b/>
          <w:bCs/>
          <w:color w:val="FF0000"/>
          <w:szCs w:val="21"/>
          <w:highlight w:val="none"/>
        </w:rPr>
        <w:t>公布的操作手册内容为准。</w:t>
      </w:r>
    </w:p>
    <w:p>
      <w:pPr>
        <w:rPr>
          <w:b/>
          <w:color w:val="000000" w:themeColor="text1"/>
          <w:highlight w:val="none"/>
          <w14:textFill>
            <w14:solidFill>
              <w14:schemeClr w14:val="tx1"/>
            </w14:solidFill>
          </w14:textFill>
        </w:rPr>
      </w:pPr>
    </w:p>
    <w:p>
      <w:pPr>
        <w:jc w:val="center"/>
        <w:outlineLvl w:val="2"/>
        <w:rPr>
          <w:rFonts w:ascii="宋体" w:eastAsia="宋体" w:hAnsi="宋体" w:cs="宋体"/>
          <w:b/>
          <w:bCs/>
          <w:sz w:val="28"/>
          <w:szCs w:val="28"/>
          <w:highlight w:val="none"/>
        </w:rPr>
      </w:pPr>
      <w:r>
        <w:rPr>
          <w:rFonts w:ascii="宋体" w:eastAsia="宋体" w:hAnsi="宋体" w:cs="宋体" w:hint="eastAsia"/>
          <w:b/>
          <w:bCs/>
          <w:sz w:val="28"/>
          <w:szCs w:val="28"/>
          <w:highlight w:val="none"/>
        </w:rPr>
        <w:t>二、其他关键信息</w:t>
      </w:r>
    </w:p>
    <w:p>
      <w:pPr>
        <w:ind w:firstLine="480" w:firstLineChars="200"/>
        <w:rPr>
          <w:rFonts w:ascii="仿宋" w:eastAsia="仿宋" w:hAnsi="仿宋" w:cs="仿宋" w:hint="eastAsia"/>
          <w:b/>
          <w:color w:val="FF0000"/>
          <w:sz w:val="24"/>
          <w:highlight w:val="none"/>
        </w:rPr>
      </w:pPr>
      <w:r>
        <w:rPr>
          <w:rFonts w:hint="eastAsia"/>
          <w:b/>
          <w:bCs/>
          <w:highlight w:val="none"/>
        </w:rPr>
        <w:t>（一）评标定标信息</w:t>
      </w:r>
    </w:p>
    <w:p>
      <w:pPr>
        <w:ind w:firstLine="480" w:firstLineChars="200"/>
        <w:rPr>
          <w:rFonts w:ascii="仿宋" w:eastAsia="仿宋" w:hAnsi="仿宋" w:cs="仿宋"/>
          <w:b/>
          <w:color w:val="4F81BD" w:themeColor="accent1"/>
          <w:sz w:val="24"/>
          <w:highlight w:val="none"/>
          <w14:textFill>
            <w14:solidFill>
              <w14:schemeClr w14:val="accent1"/>
            </w14:solidFill>
          </w14:textFill>
        </w:rPr>
      </w:pPr>
      <w:r>
        <w:rPr>
          <w:rFonts w:ascii="仿宋" w:eastAsia="仿宋" w:hAnsi="仿宋" w:cs="仿宋" w:hint="eastAsia"/>
          <w:b/>
          <w:color w:val="4F81BD" w:themeColor="accent1"/>
          <w:sz w:val="24"/>
          <w:highlight w:val="none"/>
          <w14:textFill>
            <w14:solidFill>
              <w14:schemeClr w14:val="accent1"/>
            </w14:solidFill>
          </w14:textFill>
        </w:rPr>
        <w:t>适用于非评定分离项目</w:t>
      </w:r>
    </w:p>
    <w:p>
      <w:pPr>
        <w:ind w:firstLine="480" w:firstLineChars="200"/>
        <w:rPr>
          <w:rFonts w:ascii="仿宋" w:eastAsia="仿宋" w:hAnsi="仿宋" w:cs="仿宋" w:hint="eastAsia"/>
          <w:color w:val="4F81BD" w:themeColor="accent1"/>
          <w:sz w:val="24"/>
          <w:highlight w:val="none"/>
          <w14:textFill>
            <w14:solidFill>
              <w14:schemeClr w14:val="accent1"/>
            </w14:solidFill>
          </w14:textFill>
        </w:rPr>
      </w:pPr>
      <w:r>
        <w:rPr>
          <w:rFonts w:ascii="仿宋" w:eastAsia="仿宋" w:hAnsi="仿宋" w:cs="仿宋" w:hint="eastAsia"/>
          <w:color w:val="4F81BD" w:themeColor="accent1"/>
          <w:sz w:val="24"/>
          <w:highlight w:val="none"/>
          <w14:textFill>
            <w14:solidFill>
              <w14:schemeClr w14:val="accent1"/>
            </w14:solidFill>
          </w14:textFill>
        </w:rPr>
        <w:t>本次评标采用综合评分法，投标文件满足招标文件全部实质性要求，且按照招标文件中规定的各项评审因素进行量化打分，评标结果按评审后得分由高到低顺序排列。得分相同的，按投标报价由低到高顺序排列。得分且投标报价相同的，按技术/服务部分得分由高到低排列。得分、投标报价和技术/服务部分得分均相同的并列，出现并列情况采取随机抽取的方式确定，具体操作办法及流程由评审委员会确定，以评审总得分最高的投标人为中标供应商（排名第二的投标人为第一替补中标候选人、排名第三的投标人为第二替补中标候选人）。</w:t>
      </w:r>
    </w:p>
    <w:tbl>
      <w:tblPr>
        <w:tblStyle w:val="TableGrid"/>
        <w:tblpPr w:leftFromText="180" w:rightFromText="180" w:vertAnchor="text" w:horzAnchor="page" w:tblpX="1989" w:tblpY="141"/>
        <w:tblOverlap w:val="never"/>
        <w:tblW w:w="815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090"/>
        <w:gridCol w:w="4065"/>
      </w:tblGrid>
      <w:tr>
        <w:tblPrEx>
          <w:tblW w:w="815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4090" w:type="dxa"/>
            <w:vAlign w:val="top"/>
          </w:tcPr>
          <w:p>
            <w:pPr>
              <w:widowControl w:val="0"/>
              <w:jc w:val="center"/>
              <w:rPr>
                <w:highlight w:val="none"/>
              </w:rPr>
            </w:pPr>
            <w:bookmarkStart w:id="30" w:name="_Hlk74239733"/>
            <w:r>
              <w:rPr>
                <w:rFonts w:hint="eastAsia"/>
                <w:highlight w:val="none"/>
              </w:rPr>
              <w:t>评标方法</w:t>
            </w:r>
          </w:p>
        </w:tc>
        <w:tc>
          <w:tcPr>
            <w:tcW w:w="4065" w:type="dxa"/>
            <w:vAlign w:val="top"/>
          </w:tcPr>
          <w:p>
            <w:pPr>
              <w:widowControl w:val="0"/>
              <w:jc w:val="center"/>
              <w:rPr>
                <w:highlight w:val="none"/>
              </w:rPr>
            </w:pPr>
            <w:r>
              <w:rPr>
                <w:rFonts w:hint="eastAsia"/>
                <w:highlight w:val="none"/>
              </w:rPr>
              <w:t>综合评分法</w:t>
            </w:r>
          </w:p>
        </w:tc>
      </w:tr>
      <w:tr>
        <w:tblPrEx>
          <w:tblW w:w="8155" w:type="dxa"/>
          <w:tblInd w:w="0" w:type="dxa"/>
          <w:tblLayout w:type="fixed"/>
          <w:tblCellMar>
            <w:top w:w="0" w:type="dxa"/>
            <w:left w:w="108" w:type="dxa"/>
            <w:bottom w:w="0" w:type="dxa"/>
            <w:right w:w="108" w:type="dxa"/>
          </w:tblCellMar>
        </w:tblPrEx>
        <w:tc>
          <w:tcPr>
            <w:tcW w:w="4090" w:type="dxa"/>
            <w:vAlign w:val="top"/>
          </w:tcPr>
          <w:p>
            <w:pPr>
              <w:widowControl w:val="0"/>
              <w:jc w:val="center"/>
              <w:rPr>
                <w:highlight w:val="none"/>
              </w:rPr>
            </w:pPr>
            <w:r>
              <w:rPr>
                <w:rFonts w:hint="eastAsia"/>
                <w:highlight w:val="none"/>
              </w:rPr>
              <w:t>候选中标供应商家数</w:t>
            </w:r>
          </w:p>
        </w:tc>
        <w:tc>
          <w:tcPr>
            <w:tcW w:w="4065" w:type="dxa"/>
            <w:vAlign w:val="top"/>
          </w:tcPr>
          <w:p>
            <w:pPr>
              <w:widowControl w:val="0"/>
              <w:jc w:val="center"/>
              <w:rPr>
                <w:highlight w:val="none"/>
              </w:rPr>
            </w:pPr>
            <w:r>
              <w:rPr>
                <w:rFonts w:hint="eastAsia"/>
                <w:highlight w:val="none"/>
              </w:rPr>
              <w:t>3</w:t>
            </w:r>
          </w:p>
        </w:tc>
      </w:tr>
      <w:tr>
        <w:tblPrEx>
          <w:tblW w:w="8155" w:type="dxa"/>
          <w:tblInd w:w="0" w:type="dxa"/>
          <w:tblLayout w:type="fixed"/>
          <w:tblCellMar>
            <w:top w:w="0" w:type="dxa"/>
            <w:left w:w="108" w:type="dxa"/>
            <w:bottom w:w="0" w:type="dxa"/>
            <w:right w:w="108" w:type="dxa"/>
          </w:tblCellMar>
        </w:tblPrEx>
        <w:tc>
          <w:tcPr>
            <w:tcW w:w="4090" w:type="dxa"/>
            <w:vAlign w:val="top"/>
          </w:tcPr>
          <w:p>
            <w:pPr>
              <w:widowControl w:val="0"/>
              <w:jc w:val="center"/>
              <w:rPr>
                <w:highlight w:val="none"/>
              </w:rPr>
            </w:pPr>
            <w:r>
              <w:rPr>
                <w:rFonts w:hint="eastAsia"/>
                <w:highlight w:val="none"/>
              </w:rPr>
              <w:t>中标供应商家数</w:t>
            </w:r>
          </w:p>
        </w:tc>
        <w:tc>
          <w:tcPr>
            <w:tcW w:w="4065" w:type="dxa"/>
            <w:vAlign w:val="top"/>
          </w:tcPr>
          <w:p>
            <w:pPr>
              <w:widowControl w:val="0"/>
              <w:jc w:val="center"/>
              <w:rPr>
                <w:highlight w:val="none"/>
              </w:rPr>
            </w:pPr>
            <w:r>
              <w:rPr>
                <w:rFonts w:hint="eastAsia"/>
                <w:highlight w:val="none"/>
              </w:rPr>
              <w:t>1</w:t>
            </w:r>
          </w:p>
        </w:tc>
      </w:tr>
    </w:tbl>
    <w:p>
      <w:pPr>
        <w:pStyle w:val="BodyText"/>
        <w:rPr>
          <w:highlight w:val="none"/>
        </w:rPr>
      </w:pPr>
      <w:bookmarkEnd w:id="30"/>
    </w:p>
    <w:p>
      <w:pPr>
        <w:ind w:firstLine="480" w:firstLineChars="200"/>
        <w:rPr>
          <w:rFonts w:ascii="仿宋" w:eastAsia="仿宋" w:hAnsi="仿宋" w:cs="仿宋"/>
          <w:color w:val="4F81BD" w:themeColor="accent1"/>
          <w:sz w:val="24"/>
          <w:highlight w:val="none"/>
          <w14:textFill>
            <w14:solidFill>
              <w14:schemeClr w14:val="accent1"/>
            </w14:solidFill>
          </w14:textFill>
        </w:rPr>
      </w:pPr>
      <w:r>
        <w:rPr>
          <w:rFonts w:ascii="仿宋" w:eastAsia="仿宋" w:hAnsi="仿宋" w:cs="仿宋" w:hint="eastAsia"/>
          <w:color w:val="4F81BD" w:themeColor="accent1"/>
          <w:sz w:val="24"/>
          <w:highlight w:val="none"/>
          <w14:textFill>
            <w14:solidFill>
              <w14:schemeClr w14:val="accent1"/>
            </w14:solidFill>
          </w14:textFill>
        </w:rPr>
        <w:t>评审委员会对每个通过资格性检查和符合性检查且报价不超过最高限价的投标人进行评审、打分，然后汇总每个投标人每项</w:t>
      </w:r>
      <w:r>
        <w:rPr>
          <w:rFonts w:ascii="仿宋" w:eastAsia="仿宋" w:hAnsi="仿宋" w:cs="仿宋" w:hint="eastAsia"/>
          <w:color w:val="4F81BD" w:themeColor="accent1"/>
          <w:sz w:val="24"/>
          <w:highlight w:val="none"/>
          <w:lang w:eastAsia="zh-CN"/>
          <w14:textFill>
            <w14:solidFill>
              <w14:schemeClr w14:val="accent1"/>
            </w14:solidFill>
          </w14:textFill>
        </w:rPr>
        <w:t>评审因素</w:t>
      </w:r>
      <w:r>
        <w:rPr>
          <w:rFonts w:ascii="仿宋" w:eastAsia="仿宋" w:hAnsi="仿宋" w:cs="仿宋" w:hint="eastAsia"/>
          <w:color w:val="4F81BD" w:themeColor="accent1"/>
          <w:sz w:val="24"/>
          <w:highlight w:val="none"/>
          <w14:textFill>
            <w14:solidFill>
              <w14:schemeClr w14:val="accent1"/>
            </w14:solidFill>
          </w14:textFill>
        </w:rPr>
        <w:t>的评分。</w:t>
      </w:r>
    </w:p>
    <w:p>
      <w:pPr>
        <w:ind w:firstLine="480" w:firstLineChars="200"/>
        <w:rPr>
          <w:rFonts w:ascii="仿宋" w:eastAsia="仿宋" w:hAnsi="仿宋" w:cs="仿宋" w:hint="eastAsia"/>
          <w:color w:val="4F81BD" w:themeColor="accent1"/>
          <w:sz w:val="24"/>
          <w:highlight w:val="none"/>
          <w:lang w:eastAsia="zh-CN"/>
          <w14:textFill>
            <w14:solidFill>
              <w14:schemeClr w14:val="accent1"/>
            </w14:solidFill>
          </w14:textFill>
        </w:rPr>
      </w:pPr>
      <w:r>
        <w:rPr>
          <w:rFonts w:ascii="仿宋" w:eastAsia="仿宋" w:hAnsi="仿宋" w:cs="仿宋" w:hint="eastAsia"/>
          <w:color w:val="4F81BD" w:themeColor="accent1"/>
          <w:sz w:val="24"/>
          <w:highlight w:val="none"/>
          <w14:textFill>
            <w14:solidFill>
              <w14:schemeClr w14:val="accent1"/>
            </w14:solidFill>
          </w14:textFill>
        </w:rPr>
        <w:t>评委会在评审时，按照</w:t>
      </w:r>
      <w:r>
        <w:rPr>
          <w:rFonts w:ascii="仿宋" w:eastAsia="仿宋" w:hAnsi="仿宋" w:cs="仿宋" w:hint="eastAsia"/>
          <w:color w:val="4F81BD" w:themeColor="accent1"/>
          <w:sz w:val="24"/>
          <w:highlight w:val="none"/>
          <w:lang w:eastAsia="zh-CN"/>
          <w14:textFill>
            <w14:solidFill>
              <w14:schemeClr w14:val="accent1"/>
            </w14:solidFill>
          </w14:textFill>
        </w:rPr>
        <w:t>《评标信息》中</w:t>
      </w:r>
      <w:r>
        <w:rPr>
          <w:rFonts w:ascii="仿宋" w:eastAsia="仿宋" w:hAnsi="仿宋" w:cs="仿宋" w:hint="eastAsia"/>
          <w:color w:val="4F81BD" w:themeColor="accent1"/>
          <w:sz w:val="24"/>
          <w:highlight w:val="none"/>
          <w14:textFill>
            <w14:solidFill>
              <w14:schemeClr w14:val="accent1"/>
            </w14:solidFill>
          </w14:textFill>
        </w:rPr>
        <w:t>的评审因素，对进入该阶段评审的各投标文件进行分析和比较</w:t>
      </w:r>
      <w:r>
        <w:rPr>
          <w:rFonts w:ascii="仿宋" w:eastAsia="仿宋" w:hAnsi="仿宋" w:cs="仿宋" w:hint="eastAsia"/>
          <w:color w:val="4F81BD" w:themeColor="accent1"/>
          <w:sz w:val="24"/>
          <w:highlight w:val="none"/>
          <w:lang w:eastAsia="zh-CN"/>
          <w14:textFill>
            <w14:solidFill>
              <w14:schemeClr w14:val="accent1"/>
            </w14:solidFill>
          </w14:textFill>
        </w:rPr>
        <w:t>。</w:t>
      </w:r>
    </w:p>
    <w:p>
      <w:pPr>
        <w:spacing w:line="360" w:lineRule="auto"/>
        <w:ind w:firstLine="480" w:firstLineChars="200"/>
        <w:rPr>
          <w:b/>
          <w:bCs/>
          <w:color w:val="000000" w:themeColor="text1"/>
          <w:highlight w:val="none"/>
          <w14:textFill>
            <w14:solidFill>
              <w14:schemeClr w14:val="tx1"/>
            </w14:solidFill>
          </w14:textFill>
        </w:rPr>
      </w:pPr>
      <w:r>
        <w:rPr>
          <w:rFonts w:hint="eastAsia"/>
          <w:b/>
          <w:color w:val="000000" w:themeColor="text1"/>
          <w:highlight w:val="none"/>
          <w14:textFill>
            <w14:solidFill>
              <w14:schemeClr w14:val="tx1"/>
            </w14:solidFill>
          </w14:textFill>
        </w:rPr>
        <w:t>（二）其他事项</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b/>
          <w:bCs/>
          <w:color w:val="000000" w:themeColor="text1"/>
          <w:highlight w:val="none"/>
          <w14:textFill>
            <w14:solidFill>
              <w14:schemeClr w14:val="tx1"/>
            </w14:solidFill>
          </w14:textFill>
        </w:rPr>
      </w:pPr>
      <w:r>
        <w:rPr>
          <w:b/>
          <w:bCs/>
          <w:color w:val="000000" w:themeColor="text1"/>
          <w:highlight w:val="none"/>
          <w14:textFill>
            <w14:solidFill>
              <w14:schemeClr w14:val="tx1"/>
            </w14:solidFill>
          </w14:textFill>
        </w:rPr>
        <w:t>1</w:t>
      </w:r>
      <w:r>
        <w:rPr>
          <w:rFonts w:eastAsia="宋体" w:hint="eastAsia"/>
          <w:b/>
          <w:bCs/>
          <w:color w:val="000000" w:themeColor="text1"/>
          <w:highlight w:val="none"/>
          <w:lang w:val="en-US" w:eastAsia="zh-CN"/>
          <w14:textFill>
            <w14:solidFill>
              <w14:schemeClr w14:val="tx1"/>
            </w14:solidFill>
          </w14:textFill>
        </w:rPr>
        <w:t>.</w:t>
      </w:r>
      <w:r>
        <w:rPr>
          <w:rFonts w:hint="eastAsia"/>
          <w:b/>
          <w:bCs/>
          <w:color w:val="000000" w:themeColor="text1"/>
          <w:highlight w:val="none"/>
          <w14:textFill>
            <w14:solidFill>
              <w14:schemeClr w14:val="tx1"/>
            </w14:solidFill>
          </w14:textFill>
        </w:rPr>
        <w:t>关于享受优惠政策的主体及价格扣除比例</w:t>
      </w:r>
    </w:p>
    <w:p>
      <w:pPr>
        <w:keepNext w:val="0"/>
        <w:keepLines w:val="0"/>
        <w:pageBreakBefore w:val="0"/>
        <w:widowControl/>
        <w:kinsoku/>
        <w:wordWrap/>
        <w:overflowPunct/>
        <w:topLinePunct w:val="0"/>
        <w:autoSpaceDE/>
        <w:autoSpaceDN/>
        <w:bidi w:val="0"/>
        <w:adjustRightInd/>
        <w:snapToGrid/>
        <w:spacing w:line="240" w:lineRule="auto"/>
        <w:ind w:firstLine="480" w:firstLineChars="200"/>
        <w:jc w:val="both"/>
        <w:textAlignment w:val="auto"/>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（1）投标人提供的服务</w:t>
      </w:r>
      <w:r>
        <w:rPr>
          <w:rFonts w:ascii="宋体" w:eastAsia="宋体" w:hAnsi="宋体" w:cs="宋体" w:hint="eastAsia"/>
          <w:color w:val="000000" w:themeColor="text1"/>
          <w:highlight w:val="none"/>
          <w14:textFill>
            <w14:solidFill>
              <w14:schemeClr w14:val="tx1"/>
            </w14:solidFill>
          </w14:textFill>
        </w:rPr>
        <w:t>全部</w:t>
      </w:r>
      <w:r>
        <w:rPr>
          <w:rFonts w:hint="eastAsia"/>
          <w:color w:val="000000" w:themeColor="text1"/>
          <w:highlight w:val="none"/>
          <w14:textFill>
            <w14:solidFill>
              <w14:schemeClr w14:val="tx1"/>
            </w14:solidFill>
          </w14:textFill>
        </w:rPr>
        <w:t>均由优惠主体承接，则对其投标总价给予</w:t>
      </w:r>
      <w:r>
        <w:rPr>
          <w:color w:val="000000" w:themeColor="text1"/>
          <w:highlight w:val="none"/>
          <w14:textFill>
            <w14:solidFill>
              <w14:schemeClr w14:val="tx1"/>
            </w14:solidFill>
          </w14:textFill>
        </w:rPr>
        <w:t xml:space="preserve"> </w:t>
      </w:r>
      <w:r>
        <w:rPr>
          <w:color w:val="FF0000"/>
          <w:highlight w:val="none"/>
        </w:rPr>
        <w:t>10</w:t>
      </w:r>
      <w:r>
        <w:rPr>
          <w:rFonts w:eastAsia="宋体" w:hint="eastAsia"/>
          <w:color w:val="FF0000"/>
          <w:highlight w:val="none"/>
          <w:lang w:val="en-US" w:eastAsia="zh-CN"/>
        </w:rPr>
        <w:t>%</w:t>
      </w:r>
      <w:r>
        <w:rPr>
          <w:rFonts w:hint="eastAsia"/>
          <w:color w:val="000000" w:themeColor="text1"/>
          <w:highlight w:val="none"/>
          <w14:textFill>
            <w14:solidFill>
              <w14:schemeClr w14:val="tx1"/>
            </w14:solidFill>
          </w14:textFill>
        </w:rPr>
        <w:t>的扣除，用扣除后的价格参与评审。</w:t>
      </w:r>
    </w:p>
    <w:p>
      <w:pPr>
        <w:keepNext w:val="0"/>
        <w:keepLines w:val="0"/>
        <w:pageBreakBefore w:val="0"/>
        <w:widowControl/>
        <w:kinsoku/>
        <w:wordWrap/>
        <w:overflowPunct/>
        <w:topLinePunct w:val="0"/>
        <w:autoSpaceDE/>
        <w:autoSpaceDN/>
        <w:bidi w:val="0"/>
        <w:adjustRightInd/>
        <w:snapToGrid/>
        <w:spacing w:line="240" w:lineRule="auto"/>
        <w:ind w:firstLine="480" w:firstLineChars="200"/>
        <w:jc w:val="both"/>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接受大中型企业与小微企业组成联合体或者允许大中型企业向一家或者多家小微企业分包的采购项目，对于联合协议或者分包意向协议约定小微企业的合同份额占到合同总金额30%以上的，将对联合体或者大中型企业的报价给予</w:t>
      </w:r>
      <w:r>
        <w:rPr>
          <w:rFonts w:hint="eastAsia"/>
          <w:color w:val="FF0000"/>
          <w:highlight w:val="none"/>
          <w:lang w:val="en-US" w:eastAsia="zh-CN"/>
        </w:rPr>
        <w:t>4</w:t>
      </w:r>
      <w:r>
        <w:rPr>
          <w:rFonts w:hint="eastAsia"/>
          <w:color w:val="FF0000"/>
          <w:highlight w:val="none"/>
        </w:rPr>
        <w:t>%</w:t>
      </w:r>
      <w:r>
        <w:rPr>
          <w:rFonts w:hint="eastAsia"/>
          <w:color w:val="000000" w:themeColor="text1"/>
          <w:highlight w:val="none"/>
          <w14:textFill>
            <w14:solidFill>
              <w14:schemeClr w14:val="tx1"/>
            </w14:solidFill>
          </w14:textFill>
        </w:rPr>
        <w:t>的扣除。</w:t>
      </w:r>
    </w:p>
    <w:p>
      <w:pPr>
        <w:keepNext w:val="0"/>
        <w:keepLines w:val="0"/>
        <w:pageBreakBefore w:val="0"/>
        <w:widowControl/>
        <w:kinsoku/>
        <w:wordWrap/>
        <w:overflowPunct/>
        <w:topLinePunct w:val="0"/>
        <w:autoSpaceDE/>
        <w:autoSpaceDN/>
        <w:bidi w:val="0"/>
        <w:adjustRightInd/>
        <w:snapToGrid/>
        <w:spacing w:line="240" w:lineRule="auto"/>
        <w:ind w:firstLine="480" w:firstLineChars="200"/>
        <w:jc w:val="both"/>
        <w:textAlignment w:val="auto"/>
        <w:rPr>
          <w:rFonts w:ascii="宋体" w:eastAsia="宋体" w:hAnsi="宋体" w:cs="宋体" w:hint="eastAsia"/>
          <w:b/>
          <w:bCs/>
          <w:color w:val="FF0000"/>
          <w:highlight w:val="none"/>
        </w:rPr>
      </w:pPr>
      <w:r>
        <w:rPr>
          <w:rFonts w:eastAsia="宋体" w:hint="eastAsia"/>
          <w:color w:val="000000" w:themeColor="text1"/>
          <w:highlight w:val="none"/>
          <w:lang w:eastAsia="zh-CN"/>
          <w14:textFill>
            <w14:solidFill>
              <w14:schemeClr w14:val="tx1"/>
            </w14:solidFill>
          </w14:textFill>
        </w:rPr>
        <w:t>（</w:t>
      </w:r>
      <w:r>
        <w:rPr>
          <w:rFonts w:eastAsia="宋体" w:hint="eastAsia"/>
          <w:color w:val="000000" w:themeColor="text1"/>
          <w:highlight w:val="none"/>
          <w:lang w:val="en-US" w:eastAsia="zh-CN"/>
          <w14:textFill>
            <w14:solidFill>
              <w14:schemeClr w14:val="tx1"/>
            </w14:solidFill>
          </w14:textFill>
        </w:rPr>
        <w:t>3</w:t>
      </w:r>
      <w:r>
        <w:rPr>
          <w:rFonts w:eastAsia="宋体"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满足多项优惠政策的企业，不重复享受多项价格扣除政策。</w:t>
      </w:r>
      <w:r>
        <w:rPr>
          <w:rFonts w:ascii="宋体" w:eastAsia="宋体" w:hAnsi="宋体" w:cs="宋体" w:hint="eastAsia"/>
          <w:b/>
          <w:bCs/>
          <w:color w:val="FF0000"/>
          <w:highlight w:val="none"/>
        </w:rPr>
        <w:t>政策调整后价格仅作为评审依据，不作为中标价格。享受价格扣除获得政府采购合同的，小微企业不得将合同分包给大中型企业。</w:t>
      </w:r>
    </w:p>
    <w:p>
      <w:pPr>
        <w:keepNext w:val="0"/>
        <w:keepLines w:val="0"/>
        <w:pageBreakBefore w:val="0"/>
        <w:widowControl/>
        <w:tabs>
          <w:tab w:val="left" w:pos="720"/>
        </w:tabs>
        <w:kinsoku/>
        <w:wordWrap/>
        <w:overflowPunct/>
        <w:topLinePunct w:val="0"/>
        <w:autoSpaceDE/>
        <w:autoSpaceDN/>
        <w:bidi w:val="0"/>
        <w:adjustRightInd/>
        <w:snapToGrid/>
        <w:spacing w:line="240" w:lineRule="auto"/>
        <w:ind w:firstLine="480" w:firstLineChars="200"/>
        <w:jc w:val="both"/>
        <w:textAlignment w:val="auto"/>
        <w:rPr>
          <w:rFonts w:ascii="宋体" w:hAnsi="宋体"/>
          <w:bCs/>
          <w:highlight w:val="none"/>
        </w:rPr>
      </w:pPr>
      <w:r>
        <w:rPr>
          <w:rFonts w:hint="eastAsia"/>
          <w:color w:val="000000" w:themeColor="text1"/>
          <w:highlight w:val="none"/>
          <w14:textFill>
            <w14:solidFill>
              <w14:schemeClr w14:val="tx1"/>
            </w14:solidFill>
          </w14:textFill>
        </w:rPr>
        <w:t>备注：（a）优惠主体包括小型企业、微型企业、监狱企业、残疾人福利性单位；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政府采购活动中视同中小企业；(</w:t>
      </w:r>
      <w:r>
        <w:rPr>
          <w:color w:val="000000" w:themeColor="text1"/>
          <w:highlight w:val="none"/>
          <w14:textFill>
            <w14:solidFill>
              <w14:schemeClr w14:val="tx1"/>
            </w14:solidFill>
          </w14:textFill>
        </w:rPr>
        <w:t>b)</w:t>
      </w:r>
      <w:r>
        <w:rPr>
          <w:rFonts w:hint="eastAsia"/>
          <w:color w:val="000000" w:themeColor="text1"/>
          <w:highlight w:val="none"/>
          <w14:textFill>
            <w14:solidFill>
              <w14:schemeClr w14:val="tx1"/>
            </w14:solidFill>
          </w14:textFill>
        </w:rPr>
        <w:t>优惠主体承接是指提供服务的人员为中小企业依照《中华人民共和国劳动合同法》订立劳动合同的从业人员。(</w:t>
      </w:r>
      <w:r>
        <w:rPr>
          <w:color w:val="000000" w:themeColor="text1"/>
          <w:highlight w:val="none"/>
          <w14:textFill>
            <w14:solidFill>
              <w14:schemeClr w14:val="tx1"/>
            </w14:solidFill>
          </w14:textFill>
        </w:rPr>
        <w:t>c)</w:t>
      </w:r>
      <w:r>
        <w:rPr>
          <w:rFonts w:ascii="宋体" w:hAnsi="宋体" w:hint="eastAsia"/>
          <w:bCs/>
          <w:highlight w:val="none"/>
        </w:rPr>
        <w:t>小型企业、微型企业、残疾人福利性单位作为优惠主体的认定资料为《中小企业声明函》、《残疾人福利性单位声明函》；监狱企业作为优惠主体的认定资料为省级以上监狱管理局、戒毒管理局出具的监狱企业证明文件。</w:t>
      </w:r>
    </w:p>
    <w:p>
      <w:pPr>
        <w:keepNext w:val="0"/>
        <w:keepLines w:val="0"/>
        <w:pageBreakBefore w:val="0"/>
        <w:widowControl/>
        <w:tabs>
          <w:tab w:val="left" w:pos="720"/>
        </w:tabs>
        <w:kinsoku/>
        <w:wordWrap/>
        <w:overflowPunct/>
        <w:topLinePunct w:val="0"/>
        <w:autoSpaceDE/>
        <w:autoSpaceDN/>
        <w:bidi w:val="0"/>
        <w:adjustRightInd/>
        <w:snapToGrid/>
        <w:spacing w:line="240" w:lineRule="auto"/>
        <w:ind w:firstLine="480" w:firstLineChars="200"/>
        <w:jc w:val="both"/>
        <w:textAlignment w:val="auto"/>
        <w:rPr>
          <w:rFonts w:ascii="宋体" w:hAnsi="宋体" w:hint="eastAsia"/>
          <w:bCs/>
          <w:highlight w:val="none"/>
        </w:rPr>
      </w:pPr>
      <w:r>
        <w:rPr>
          <w:rFonts w:ascii="宋体" w:hAnsi="宋体" w:hint="eastAsia"/>
          <w:bCs/>
          <w:highlight w:val="none"/>
        </w:rPr>
        <w:t>本项目采购标的对应的中小企业划分标准所属行业，根据《中小企业划型标准规定》（工信部联企业〔2011〕300号）、《</w:t>
      </w:r>
      <w:r>
        <w:rPr>
          <w:rFonts w:ascii="宋体" w:hAnsi="宋体"/>
          <w:bCs/>
          <w:highlight w:val="none"/>
        </w:rPr>
        <w:t>统计上大中小微型企业划分办法（2017）</w:t>
      </w:r>
      <w:r>
        <w:rPr>
          <w:rFonts w:ascii="宋体" w:hAnsi="宋体" w:hint="eastAsia"/>
          <w:bCs/>
          <w:highlight w:val="none"/>
        </w:rPr>
        <w:t>》（国统字〔2017〕213号）或国务院批准的其他中小企业划分标准文件确定。</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b/>
          <w:bCs/>
          <w:color w:val="000000" w:themeColor="text1"/>
          <w:highlight w:val="none"/>
          <w:lang w:val="en-US" w:eastAsia="zh-CN"/>
          <w14:textFill>
            <w14:solidFill>
              <w14:schemeClr w14:val="tx1"/>
            </w14:solidFill>
          </w14:textFill>
        </w:rPr>
      </w:pPr>
      <w:r>
        <w:rPr>
          <w:rFonts w:hint="eastAsia"/>
          <w:b/>
          <w:bCs/>
          <w:color w:val="000000" w:themeColor="text1"/>
          <w:highlight w:val="none"/>
          <w:lang w:val="en-US" w:eastAsia="zh-CN"/>
          <w14:textFill>
            <w14:solidFill>
              <w14:schemeClr w14:val="tx1"/>
            </w14:solidFill>
          </w14:textFill>
        </w:rPr>
        <w:t>2.关于落实政府绿色采购有关事项</w:t>
      </w:r>
    </w:p>
    <w:p>
      <w:pPr>
        <w:keepNext w:val="0"/>
        <w:keepLines w:val="0"/>
        <w:pageBreakBefore w:val="0"/>
        <w:widowControl/>
        <w:tabs>
          <w:tab w:val="left" w:pos="720"/>
        </w:tabs>
        <w:kinsoku/>
        <w:wordWrap/>
        <w:overflowPunct/>
        <w:topLinePunct w:val="0"/>
        <w:autoSpaceDE/>
        <w:autoSpaceDN/>
        <w:bidi w:val="0"/>
        <w:adjustRightInd/>
        <w:snapToGrid/>
        <w:spacing w:line="240" w:lineRule="auto"/>
        <w:ind w:firstLine="480" w:firstLineChars="200"/>
        <w:jc w:val="both"/>
        <w:textAlignment w:val="auto"/>
        <w:rPr>
          <w:rFonts w:ascii="宋体" w:hAnsi="宋体" w:hint="default"/>
          <w:bCs/>
          <w:highlight w:val="none"/>
          <w:lang w:val="en-US" w:eastAsia="zh-CN"/>
        </w:rPr>
      </w:pPr>
      <w:r>
        <w:rPr>
          <w:rFonts w:ascii="宋体" w:hAnsi="宋体" w:hint="eastAsia"/>
          <w:bCs/>
          <w:highlight w:val="none"/>
          <w:lang w:val="en-US" w:eastAsia="zh-CN"/>
        </w:rPr>
        <w:t>根据《深圳市财政局关于大力推广政府绿色采购有关事项的通知》（深财购〔2023〕49号）要求，如拟采购的产品属于节能产品或环境标志产品政府采购品目清单范围的，将在采购需求中对产品进行标识，并依据国家确认的认证机构出具的、处于有效期之内的节能产品或环境标志产品认证证书，对获得证书的产品实施政府优先采购或强制采购。如项目涉及商品包装、快递包装、绿色建筑和绿色建材、绿色数据中心等内容，需求标准将严格执行《商品包装政府采购需求标准（试行）》、《快递包装政府采购需求标准（试行）》（财办库〔2020〕123号）、《绿色建筑和绿色建材政府采购需求标准》（财办库〔2022〕35号）、《绿色数据中心政府采购需求标准（试行）》（财办库〔2023〕7号）等文件要求，并在采购文件和采购合同中载明具体需求、履约验收条款和违约责任，促进绿色包装、绿色运输、绿色建筑、绿色建材和绿色数据中心在政府采购领域的应用。</w:t>
      </w:r>
    </w:p>
    <w:p>
      <w:pPr>
        <w:spacing w:line="360" w:lineRule="auto"/>
        <w:jc w:val="center"/>
        <w:rPr>
          <w:rFonts w:cs="宋体" w:hint="eastAsia"/>
          <w:b/>
          <w:bCs/>
          <w:color w:val="000000" w:themeColor="text1"/>
          <w:sz w:val="28"/>
          <w:szCs w:val="28"/>
          <w:highlight w:val="none"/>
          <w14:textFill>
            <w14:solidFill>
              <w14:schemeClr w14:val="tx1"/>
            </w14:solidFill>
          </w14:textFill>
        </w:rPr>
      </w:pPr>
      <w:bookmarkStart w:id="31" w:name="_Toc128884461"/>
    </w:p>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1"/>
        <w:rPr>
          <w:b/>
          <w:bCs/>
          <w:color w:val="000000" w:themeColor="text1"/>
          <w:sz w:val="28"/>
          <w:szCs w:val="28"/>
          <w:highlight w:val="none"/>
          <w14:textFill>
            <w14:solidFill>
              <w14:schemeClr w14:val="tx1"/>
            </w14:solidFill>
          </w14:textFill>
        </w:rPr>
      </w:pPr>
      <w:r>
        <w:rPr>
          <w:rFonts w:cs="宋体" w:hint="eastAsia"/>
          <w:b/>
          <w:bCs/>
          <w:color w:val="000000" w:themeColor="text1"/>
          <w:sz w:val="28"/>
          <w:szCs w:val="28"/>
          <w:highlight w:val="none"/>
          <w14:textFill>
            <w14:solidFill>
              <w14:schemeClr w14:val="tx1"/>
            </w14:solidFill>
          </w14:textFill>
        </w:rPr>
        <w:t>第三章</w:t>
      </w:r>
      <w:r>
        <w:rPr>
          <w:rFonts w:hint="eastAsia"/>
          <w:b/>
          <w:bCs/>
          <w:color w:val="000000" w:themeColor="text1"/>
          <w:sz w:val="28"/>
          <w:szCs w:val="28"/>
          <w:highlight w:val="none"/>
          <w14:textFill>
            <w14:solidFill>
              <w14:schemeClr w14:val="tx1"/>
            </w14:solidFill>
          </w14:textFill>
        </w:rPr>
        <w:t xml:space="preserve"> </w:t>
      </w:r>
      <w:r>
        <w:rPr>
          <w:rFonts w:cs="宋体" w:hint="eastAsia"/>
          <w:b/>
          <w:bCs/>
          <w:color w:val="000000" w:themeColor="text1"/>
          <w:sz w:val="28"/>
          <w:szCs w:val="28"/>
          <w:highlight w:val="none"/>
          <w14:textFill>
            <w14:solidFill>
              <w14:schemeClr w14:val="tx1"/>
            </w14:solidFill>
          </w14:textFill>
        </w:rPr>
        <w:t>用户需求书</w:t>
      </w:r>
    </w:p>
    <w:p>
      <w:pPr>
        <w:spacing w:line="360" w:lineRule="auto"/>
        <w:jc w:val="center"/>
        <w:outlineLvl w:val="2"/>
        <w:rPr>
          <w:rFonts w:eastAsia="宋体"/>
          <w:b/>
          <w:bCs/>
          <w:highlight w:val="none"/>
        </w:rPr>
      </w:pPr>
      <w:bookmarkEnd w:id="31"/>
      <w:bookmarkStart w:id="32" w:name="_Toc11426270"/>
      <w:r>
        <w:rPr>
          <w:rFonts w:ascii="宋体" w:eastAsia="宋体" w:hAnsi="宋体" w:cs="宋体" w:hint="eastAsia"/>
          <w:b/>
          <w:bCs/>
          <w:highlight w:val="none"/>
        </w:rPr>
        <w:t>一、项目基本信息</w:t>
      </w:r>
    </w:p>
    <w:tbl>
      <w:tblPr>
        <w:tblStyle w:val="TableNormal"/>
        <w:tblpPr w:leftFromText="180" w:rightFromText="180" w:vertAnchor="text" w:horzAnchor="margin" w:tblpXSpec="center" w:tblpY="173"/>
        <w:tblW w:w="820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38"/>
        <w:gridCol w:w="2166"/>
        <w:gridCol w:w="2175"/>
        <w:gridCol w:w="2205"/>
        <w:gridCol w:w="1224"/>
      </w:tblGrid>
      <w:tr>
        <w:tblPrEx>
          <w:tblW w:w="820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90"/>
        </w:trPr>
        <w:tc>
          <w:tcPr>
            <w:tcW w:w="438" w:type="dxa"/>
            <w:shd w:val="clear" w:color="auto" w:fill="C6D9F0" w:themeFill="text2" w:themeFillTint="33"/>
            <w:vAlign w:val="center"/>
          </w:tcPr>
          <w:p>
            <w:pPr>
              <w:jc w:val="center"/>
              <w:rPr>
                <w:b/>
                <w:color w:val="000000" w:themeColor="text1"/>
                <w:szCs w:val="21"/>
                <w:highlight w:val="none"/>
                <w14:textFill>
                  <w14:solidFill>
                    <w14:schemeClr w14:val="tx1"/>
                  </w14:solidFill>
                </w14:textFill>
              </w:rPr>
            </w:pPr>
            <w:r>
              <w:rPr>
                <w:rFonts w:ascii="宋体" w:eastAsia="宋体" w:hAnsi="宋体" w:cs="宋体" w:hint="eastAsia"/>
                <w:b/>
                <w:color w:val="000000" w:themeColor="text1"/>
                <w:szCs w:val="21"/>
                <w:highlight w:val="none"/>
                <w14:textFill>
                  <w14:solidFill>
                    <w14:schemeClr w14:val="tx1"/>
                  </w14:solidFill>
                </w14:textFill>
              </w:rPr>
              <w:t>序</w:t>
            </w:r>
            <w:r>
              <w:rPr>
                <w:rFonts w:hint="eastAsia"/>
                <w:b/>
                <w:color w:val="000000" w:themeColor="text1"/>
                <w:szCs w:val="21"/>
                <w:highlight w:val="none"/>
                <w14:textFill>
                  <w14:solidFill>
                    <w14:schemeClr w14:val="tx1"/>
                  </w14:solidFill>
                </w14:textFill>
              </w:rPr>
              <w:t>号</w:t>
            </w:r>
          </w:p>
        </w:tc>
        <w:tc>
          <w:tcPr>
            <w:tcW w:w="2166" w:type="dxa"/>
            <w:shd w:val="clear" w:color="auto" w:fill="C6D9F0" w:themeFill="text2" w:themeFillTint="33"/>
            <w:vAlign w:val="center"/>
          </w:tcPr>
          <w:p>
            <w:pPr>
              <w:jc w:val="center"/>
              <w:rPr>
                <w:b/>
                <w:color w:val="000000" w:themeColor="text1"/>
                <w:szCs w:val="21"/>
                <w:highlight w:val="none"/>
                <w14:textFill>
                  <w14:solidFill>
                    <w14:schemeClr w14:val="tx1"/>
                  </w14:solidFill>
                </w14:textFill>
              </w:rPr>
            </w:pPr>
            <w:r>
              <w:rPr>
                <w:rFonts w:hint="eastAsia"/>
                <w:b/>
                <w:color w:val="000000" w:themeColor="text1"/>
                <w:szCs w:val="21"/>
                <w:highlight w:val="none"/>
                <w14:textFill>
                  <w14:solidFill>
                    <w14:schemeClr w14:val="tx1"/>
                  </w14:solidFill>
                </w14:textFill>
              </w:rPr>
              <w:t>采购项目名称</w:t>
            </w:r>
          </w:p>
        </w:tc>
        <w:tc>
          <w:tcPr>
            <w:tcW w:w="2175" w:type="dxa"/>
            <w:shd w:val="clear" w:color="auto" w:fill="C6D9F0" w:themeFill="text2" w:themeFillTint="33"/>
            <w:vAlign w:val="center"/>
          </w:tcPr>
          <w:p>
            <w:pPr>
              <w:jc w:val="center"/>
              <w:rPr>
                <w:b/>
                <w:color w:val="000000" w:themeColor="text1"/>
                <w:szCs w:val="21"/>
                <w:highlight w:val="none"/>
                <w14:textFill>
                  <w14:solidFill>
                    <w14:schemeClr w14:val="tx1"/>
                  </w14:solidFill>
                </w14:textFill>
              </w:rPr>
            </w:pPr>
            <w:r>
              <w:rPr>
                <w:rFonts w:hint="eastAsia"/>
                <w:b/>
                <w:color w:val="000000" w:themeColor="text1"/>
                <w:szCs w:val="21"/>
                <w:highlight w:val="none"/>
                <w14:textFill>
                  <w14:solidFill>
                    <w14:schemeClr w14:val="tx1"/>
                  </w14:solidFill>
                </w14:textFill>
              </w:rPr>
              <w:t>财政预算限额（元）</w:t>
            </w:r>
          </w:p>
        </w:tc>
        <w:tc>
          <w:tcPr>
            <w:tcW w:w="2205" w:type="dxa"/>
            <w:shd w:val="clear" w:color="auto" w:fill="C6D9F0" w:themeFill="text2" w:themeFillTint="33"/>
            <w:vAlign w:val="center"/>
          </w:tcPr>
          <w:p>
            <w:pPr>
              <w:jc w:val="center"/>
              <w:rPr>
                <w:b/>
                <w:color w:val="000000" w:themeColor="text1"/>
                <w:szCs w:val="21"/>
                <w:highlight w:val="none"/>
                <w14:textFill>
                  <w14:solidFill>
                    <w14:schemeClr w14:val="tx1"/>
                  </w14:solidFill>
                </w14:textFill>
              </w:rPr>
            </w:pPr>
            <w:r>
              <w:rPr>
                <w:rFonts w:hint="eastAsia"/>
                <w:b/>
                <w:color w:val="000000" w:themeColor="text1"/>
                <w:szCs w:val="21"/>
                <w:highlight w:val="none"/>
                <w14:textFill>
                  <w14:solidFill>
                    <w14:schemeClr w14:val="tx1"/>
                  </w14:solidFill>
                </w14:textFill>
              </w:rPr>
              <w:t>最高限价（元）</w:t>
            </w:r>
          </w:p>
        </w:tc>
        <w:tc>
          <w:tcPr>
            <w:tcW w:w="1224" w:type="dxa"/>
            <w:shd w:val="clear" w:color="auto" w:fill="C6D9F0" w:themeFill="text2" w:themeFillTint="33"/>
            <w:vAlign w:val="center"/>
          </w:tcPr>
          <w:p>
            <w:pPr>
              <w:jc w:val="center"/>
              <w:rPr>
                <w:rFonts w:eastAsiaTheme="minorEastAsia" w:hint="eastAsia"/>
                <w:b/>
                <w:color w:val="000000" w:themeColor="text1"/>
                <w:szCs w:val="21"/>
                <w:highlight w:val="none"/>
                <w:lang w:eastAsia="zh-CN"/>
                <w14:textFill>
                  <w14:solidFill>
                    <w14:schemeClr w14:val="tx1"/>
                  </w14:solidFill>
                </w14:textFill>
              </w:rPr>
            </w:pPr>
            <w:r>
              <w:rPr>
                <w:rFonts w:hint="eastAsia"/>
                <w:b/>
                <w:color w:val="000000" w:themeColor="text1"/>
                <w:szCs w:val="21"/>
                <w:highlight w:val="none"/>
                <w:lang w:val="en-US" w:eastAsia="zh-CN"/>
                <w14:textFill>
                  <w14:solidFill>
                    <w14:schemeClr w14:val="tx1"/>
                  </w14:solidFill>
                </w14:textFill>
              </w:rPr>
              <w:t>备注</w:t>
            </w:r>
          </w:p>
        </w:tc>
      </w:tr>
      <w:tr>
        <w:tblPrEx>
          <w:tblW w:w="8208" w:type="dxa"/>
          <w:tblInd w:w="0" w:type="dxa"/>
          <w:tblLayout w:type="fixed"/>
          <w:tblCellMar>
            <w:top w:w="0" w:type="dxa"/>
            <w:left w:w="108" w:type="dxa"/>
            <w:bottom w:w="0" w:type="dxa"/>
            <w:right w:w="108" w:type="dxa"/>
          </w:tblCellMar>
        </w:tblPrEx>
        <w:trPr>
          <w:trHeight w:val="306"/>
        </w:trPr>
        <w:tc>
          <w:tcPr>
            <w:tcW w:w="438" w:type="dxa"/>
            <w:vAlign w:val="center"/>
          </w:tcPr>
          <w:p>
            <w:pPr>
              <w:jc w:val="center"/>
              <w:rPr>
                <w:bCs/>
                <w:color w:val="000000" w:themeColor="text1"/>
                <w:szCs w:val="21"/>
                <w:highlight w:val="none"/>
                <w14:textFill>
                  <w14:solidFill>
                    <w14:schemeClr w14:val="tx1"/>
                  </w14:solidFill>
                </w14:textFill>
              </w:rPr>
            </w:pPr>
            <w:r>
              <w:rPr>
                <w:rFonts w:hint="eastAsia"/>
                <w:bCs/>
                <w:color w:val="000000" w:themeColor="text1"/>
                <w:szCs w:val="21"/>
                <w:highlight w:val="none"/>
                <w14:textFill>
                  <w14:solidFill>
                    <w14:schemeClr w14:val="tx1"/>
                  </w14:solidFill>
                </w14:textFill>
              </w:rPr>
              <w:t>1</w:t>
            </w:r>
          </w:p>
        </w:tc>
        <w:tc>
          <w:tcPr>
            <w:tcW w:w="2166" w:type="dxa"/>
            <w:vAlign w:val="center"/>
          </w:tcPr>
          <w:p>
            <w:pPr>
              <w:jc w:val="center"/>
              <w:rPr>
                <w:rFonts w:ascii="宋体" w:eastAsia="宋体" w:hAnsi="宋体" w:cs="宋体" w:hint="eastAsia"/>
                <w:bCs/>
                <w:color w:val="FF0000"/>
                <w:szCs w:val="21"/>
                <w:highlight w:val="none"/>
                <w:lang w:eastAsia="zh-CN"/>
              </w:rPr>
            </w:pPr>
            <w:r>
              <w:rPr>
                <w:rFonts w:ascii="宋体" w:eastAsia="宋体" w:hAnsi="宋体" w:cs="宋体" w:hint="eastAsia"/>
                <w:bCs/>
                <w:color w:val="auto"/>
                <w:szCs w:val="21"/>
                <w:highlight w:val="none"/>
                <w:lang w:eastAsia="zh-CN"/>
              </w:rPr>
              <w:t>盐坝高速公路坝光收费站物业运营维护管理</w:t>
            </w:r>
          </w:p>
        </w:tc>
        <w:tc>
          <w:tcPr>
            <w:tcW w:w="2175" w:type="dxa"/>
            <w:vAlign w:val="center"/>
          </w:tcPr>
          <w:p>
            <w:pPr>
              <w:jc w:val="center"/>
              <w:rPr>
                <w:rFonts w:eastAsiaTheme="minorEastAsia" w:hint="eastAsia"/>
                <w:b/>
                <w:bCs/>
                <w:color w:val="000000" w:themeColor="text1"/>
                <w:szCs w:val="21"/>
                <w:highlight w:val="none"/>
                <w:lang w:eastAsia="zh-CN"/>
                <w14:textFill>
                  <w14:solidFill>
                    <w14:schemeClr w14:val="tx1"/>
                  </w14:solidFill>
                </w14:textFill>
              </w:rPr>
            </w:pPr>
            <w:r>
              <w:rPr>
                <w:rFonts w:eastAsiaTheme="minorEastAsia" w:hint="eastAsia"/>
                <w:b/>
                <w:bCs/>
                <w:color w:val="000000" w:themeColor="text1"/>
                <w:szCs w:val="21"/>
                <w:highlight w:val="none"/>
                <w:lang w:val="en-US" w:eastAsia="zh-CN"/>
                <w14:textFill>
                  <w14:solidFill>
                    <w14:schemeClr w14:val="tx1"/>
                  </w14:solidFill>
                </w14:textFill>
              </w:rPr>
              <w:t>9</w:t>
            </w:r>
            <w:r>
              <w:rPr>
                <w:rFonts w:eastAsiaTheme="minorEastAsia" w:hint="eastAsia"/>
                <w:b/>
                <w:bCs/>
                <w:color w:val="000000" w:themeColor="text1"/>
                <w:szCs w:val="21"/>
                <w:highlight w:val="none"/>
                <w:lang w:eastAsia="zh-CN"/>
                <w14:textFill>
                  <w14:solidFill>
                    <w14:schemeClr w14:val="tx1"/>
                  </w14:solidFill>
                </w14:textFill>
              </w:rPr>
              <w:t>,</w:t>
            </w:r>
            <w:r>
              <w:rPr>
                <w:rFonts w:eastAsiaTheme="minorEastAsia" w:hint="eastAsia"/>
                <w:b/>
                <w:bCs/>
                <w:color w:val="000000" w:themeColor="text1"/>
                <w:szCs w:val="21"/>
                <w:highlight w:val="none"/>
                <w:lang w:val="en-US" w:eastAsia="zh-CN"/>
                <w14:textFill>
                  <w14:solidFill>
                    <w14:schemeClr w14:val="tx1"/>
                  </w14:solidFill>
                </w14:textFill>
              </w:rPr>
              <w:t>10</w:t>
            </w:r>
            <w:r>
              <w:rPr>
                <w:rFonts w:eastAsiaTheme="minorEastAsia" w:hint="eastAsia"/>
                <w:b/>
                <w:bCs/>
                <w:color w:val="000000" w:themeColor="text1"/>
                <w:szCs w:val="21"/>
                <w:highlight w:val="none"/>
                <w:lang w:eastAsia="zh-CN"/>
                <w14:textFill>
                  <w14:solidFill>
                    <w14:schemeClr w14:val="tx1"/>
                  </w14:solidFill>
                </w14:textFill>
              </w:rPr>
              <w:t>0,000.00</w:t>
            </w:r>
          </w:p>
        </w:tc>
        <w:tc>
          <w:tcPr>
            <w:tcW w:w="2205" w:type="dxa"/>
            <w:vAlign w:val="center"/>
          </w:tcPr>
          <w:p>
            <w:pPr>
              <w:jc w:val="center"/>
              <w:rPr>
                <w:rFonts w:ascii="宋体" w:eastAsia="宋体" w:hAnsi="宋体" w:cs="宋体" w:hint="eastAsia"/>
                <w:bCs/>
                <w:color w:val="000000" w:themeColor="text1"/>
                <w:szCs w:val="21"/>
                <w:highlight w:val="none"/>
                <w:lang w:eastAsia="zh-CN"/>
                <w14:textFill>
                  <w14:solidFill>
                    <w14:schemeClr w14:val="tx1"/>
                  </w14:solidFill>
                </w14:textFill>
              </w:rPr>
            </w:pPr>
            <w:r>
              <w:rPr>
                <w:rFonts w:eastAsiaTheme="minorEastAsia" w:hint="eastAsia"/>
                <w:b/>
                <w:bCs/>
                <w:color w:val="000000" w:themeColor="text1"/>
                <w:szCs w:val="21"/>
                <w:highlight w:val="none"/>
                <w:lang w:val="en-US" w:eastAsia="zh-CN"/>
                <w14:textFill>
                  <w14:solidFill>
                    <w14:schemeClr w14:val="tx1"/>
                  </w14:solidFill>
                </w14:textFill>
              </w:rPr>
              <w:t>9</w:t>
            </w:r>
            <w:r>
              <w:rPr>
                <w:rFonts w:eastAsiaTheme="minorEastAsia" w:hint="eastAsia"/>
                <w:b/>
                <w:bCs/>
                <w:color w:val="000000" w:themeColor="text1"/>
                <w:szCs w:val="21"/>
                <w:highlight w:val="none"/>
                <w:lang w:eastAsia="zh-CN"/>
                <w14:textFill>
                  <w14:solidFill>
                    <w14:schemeClr w14:val="tx1"/>
                  </w14:solidFill>
                </w14:textFill>
              </w:rPr>
              <w:t>,</w:t>
            </w:r>
            <w:r>
              <w:rPr>
                <w:rFonts w:eastAsiaTheme="minorEastAsia" w:hint="eastAsia"/>
                <w:b/>
                <w:bCs/>
                <w:color w:val="000000" w:themeColor="text1"/>
                <w:szCs w:val="21"/>
                <w:highlight w:val="none"/>
                <w:lang w:val="en-US" w:eastAsia="zh-CN"/>
                <w14:textFill>
                  <w14:solidFill>
                    <w14:schemeClr w14:val="tx1"/>
                  </w14:solidFill>
                </w14:textFill>
              </w:rPr>
              <w:t>10</w:t>
            </w:r>
            <w:r>
              <w:rPr>
                <w:rFonts w:eastAsiaTheme="minorEastAsia" w:hint="eastAsia"/>
                <w:b/>
                <w:bCs/>
                <w:color w:val="000000" w:themeColor="text1"/>
                <w:szCs w:val="21"/>
                <w:highlight w:val="none"/>
                <w:lang w:eastAsia="zh-CN"/>
                <w14:textFill>
                  <w14:solidFill>
                    <w14:schemeClr w14:val="tx1"/>
                  </w14:solidFill>
                </w14:textFill>
              </w:rPr>
              <w:t>0,000.00</w:t>
            </w:r>
          </w:p>
        </w:tc>
        <w:tc>
          <w:tcPr>
            <w:tcW w:w="1224" w:type="dxa"/>
            <w:vAlign w:val="center"/>
          </w:tcPr>
          <w:p>
            <w:pPr>
              <w:jc w:val="center"/>
              <w:rPr>
                <w:rFonts w:ascii="宋体" w:eastAsia="宋体" w:hAnsi="宋体" w:cs="宋体" w:hint="eastAsia"/>
                <w:bCs/>
                <w:color w:val="000000" w:themeColor="text1"/>
                <w:szCs w:val="21"/>
                <w:highlight w:val="none"/>
                <w:lang w:eastAsia="zh-CN"/>
                <w14:textFill>
                  <w14:solidFill>
                    <w14:schemeClr w14:val="tx1"/>
                  </w14:solidFill>
                </w14:textFill>
              </w:rPr>
            </w:pPr>
          </w:p>
        </w:tc>
      </w:tr>
    </w:tbl>
    <w:p>
      <w:pPr>
        <w:ind w:firstLine="480" w:firstLineChars="200"/>
        <w:rPr>
          <w:rFonts w:ascii="宋体" w:hAnsi="宋体"/>
          <w:b/>
          <w:color w:val="FF0000"/>
          <w:szCs w:val="21"/>
          <w:highlight w:val="none"/>
        </w:rPr>
      </w:pPr>
      <w:r>
        <w:rPr>
          <w:rFonts w:ascii="宋体" w:hAnsi="宋体" w:hint="eastAsia"/>
          <w:b/>
          <w:color w:val="FF0000"/>
          <w:szCs w:val="21"/>
          <w:highlight w:val="none"/>
        </w:rPr>
        <w:t>本项目在财政预算金额下设定最高限价，如投标人的投标报价超过最高限价，将按照符合性审查要求作投标无效处理</w:t>
      </w:r>
    </w:p>
    <w:p>
      <w:pPr>
        <w:pStyle w:val="NormalIndent"/>
        <w:rPr>
          <w:highlight w:val="none"/>
        </w:rPr>
      </w:pPr>
    </w:p>
    <w:p>
      <w:pPr>
        <w:spacing w:line="360" w:lineRule="auto"/>
        <w:jc w:val="center"/>
        <w:outlineLvl w:val="2"/>
        <w:rPr>
          <w:rFonts w:ascii="宋体" w:eastAsia="宋体" w:hAnsi="宋体" w:cs="宋体"/>
          <w:b/>
          <w:bCs/>
          <w:highlight w:val="none"/>
        </w:rPr>
      </w:pPr>
      <w:r>
        <w:rPr>
          <w:rFonts w:ascii="宋体" w:eastAsia="宋体" w:hAnsi="宋体" w:cs="宋体" w:hint="eastAsia"/>
          <w:b/>
          <w:bCs/>
          <w:highlight w:val="none"/>
        </w:rPr>
        <w:t>二、</w:t>
      </w:r>
      <w:bookmarkStart w:id="33" w:name="_Hlk72073432"/>
      <w:r>
        <w:rPr>
          <w:rFonts w:ascii="宋体" w:eastAsia="宋体" w:hAnsi="宋体" w:cs="宋体" w:hint="eastAsia"/>
          <w:b/>
          <w:bCs/>
          <w:highlight w:val="none"/>
        </w:rPr>
        <w:t>服务需求明细</w:t>
      </w:r>
      <w:bookmarkEnd w:id="33"/>
    </w:p>
    <w:tbl>
      <w:tblPr>
        <w:tblStyle w:val="TableNormal"/>
        <w:tblW w:w="8273" w:type="dxa"/>
        <w:jc w:val="center"/>
        <w:tblLayout w:type="fixed"/>
        <w:tblCellMar>
          <w:top w:w="0" w:type="dxa"/>
          <w:left w:w="108" w:type="dxa"/>
          <w:bottom w:w="0" w:type="dxa"/>
          <w:right w:w="108" w:type="dxa"/>
        </w:tblCellMar>
      </w:tblPr>
      <w:tblGrid>
        <w:gridCol w:w="633"/>
        <w:gridCol w:w="3641"/>
        <w:gridCol w:w="797"/>
        <w:gridCol w:w="780"/>
        <w:gridCol w:w="1414"/>
        <w:gridCol w:w="1008"/>
      </w:tblGrid>
      <w:tr>
        <w:tblPrEx>
          <w:tblW w:w="8273" w:type="dxa"/>
          <w:jc w:val="center"/>
          <w:tblLayout w:type="fixed"/>
          <w:tblCellMar>
            <w:top w:w="0" w:type="dxa"/>
            <w:left w:w="108" w:type="dxa"/>
            <w:bottom w:w="0" w:type="dxa"/>
            <w:right w:w="108" w:type="dxa"/>
          </w:tblCellMar>
        </w:tblPrEx>
        <w:trPr>
          <w:trHeight w:val="552"/>
          <w:jc w:val="center"/>
        </w:trPr>
        <w:tc>
          <w:tcPr>
            <w:tcW w:w="633" w:type="dxa"/>
            <w:tcBorders>
              <w:top w:val="single" w:sz="4" w:space="0" w:color="000000"/>
              <w:left w:val="single" w:sz="4" w:space="0" w:color="000000"/>
              <w:bottom w:val="single" w:sz="4" w:space="0" w:color="000000"/>
              <w:right w:val="single" w:sz="4" w:space="0" w:color="auto"/>
            </w:tcBorders>
            <w:shd w:val="clear" w:color="auto" w:fill="C6D9F1"/>
            <w:tcMar>
              <w:top w:w="15" w:type="dxa"/>
              <w:left w:w="15" w:type="dxa"/>
              <w:bottom w:w="15" w:type="dxa"/>
              <w:right w:w="15" w:type="dxa"/>
            </w:tcMar>
            <w:vAlign w:val="center"/>
          </w:tcPr>
          <w:p>
            <w:pPr>
              <w:jc w:val="center"/>
              <w:rPr>
                <w:b/>
                <w:bCs/>
                <w:highlight w:val="none"/>
              </w:rPr>
            </w:pPr>
            <w:r>
              <w:rPr>
                <w:rFonts w:ascii="宋体" w:eastAsia="宋体" w:hAnsi="宋体" w:cs="宋体" w:hint="eastAsia"/>
                <w:b/>
                <w:bCs/>
                <w:highlight w:val="none"/>
              </w:rPr>
              <w:t>序号</w:t>
            </w:r>
          </w:p>
        </w:tc>
        <w:tc>
          <w:tcPr>
            <w:tcW w:w="3641" w:type="dxa"/>
            <w:tcBorders>
              <w:top w:val="single" w:sz="4" w:space="0" w:color="000000"/>
              <w:left w:val="single" w:sz="4" w:space="0" w:color="auto"/>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b/>
                <w:bCs/>
                <w:highlight w:val="none"/>
              </w:rPr>
            </w:pPr>
            <w:r>
              <w:rPr>
                <w:rFonts w:ascii="宋体" w:eastAsia="宋体" w:hAnsi="宋体" w:cs="宋体" w:hint="eastAsia"/>
                <w:b/>
                <w:bCs/>
                <w:highlight w:val="none"/>
              </w:rPr>
              <w:t>服务名称（标的名称）</w:t>
            </w:r>
          </w:p>
        </w:tc>
        <w:tc>
          <w:tcPr>
            <w:tcW w:w="797"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b/>
                <w:bCs/>
                <w:highlight w:val="none"/>
              </w:rPr>
            </w:pPr>
            <w:r>
              <w:rPr>
                <w:rFonts w:ascii="宋体" w:eastAsia="宋体" w:hAnsi="宋体" w:cs="宋体" w:hint="eastAsia"/>
                <w:b/>
                <w:bCs/>
                <w:highlight w:val="none"/>
              </w:rPr>
              <w:t>单位</w:t>
            </w:r>
          </w:p>
        </w:tc>
        <w:tc>
          <w:tcPr>
            <w:tcW w:w="780"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b/>
                <w:bCs/>
                <w:highlight w:val="none"/>
              </w:rPr>
            </w:pPr>
            <w:r>
              <w:rPr>
                <w:rFonts w:ascii="宋体" w:eastAsia="宋体" w:hAnsi="宋体" w:cs="宋体" w:hint="eastAsia"/>
                <w:b/>
                <w:bCs/>
                <w:highlight w:val="none"/>
              </w:rPr>
              <w:t>数量</w:t>
            </w:r>
          </w:p>
        </w:tc>
        <w:tc>
          <w:tcPr>
            <w:tcW w:w="1414"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b/>
                <w:bCs/>
                <w:highlight w:val="none"/>
              </w:rPr>
            </w:pPr>
            <w:r>
              <w:rPr>
                <w:rFonts w:ascii="宋体" w:eastAsia="宋体" w:hAnsi="宋体" w:cs="宋体" w:hint="eastAsia"/>
                <w:b/>
                <w:bCs/>
                <w:highlight w:val="none"/>
              </w:rPr>
              <w:t>所属行业</w:t>
            </w:r>
          </w:p>
        </w:tc>
        <w:tc>
          <w:tcPr>
            <w:tcW w:w="1008"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b/>
                <w:bCs/>
                <w:highlight w:val="none"/>
              </w:rPr>
            </w:pPr>
            <w:r>
              <w:rPr>
                <w:rFonts w:ascii="宋体" w:eastAsia="宋体" w:hAnsi="宋体" w:cs="宋体" w:hint="eastAsia"/>
                <w:b/>
                <w:bCs/>
                <w:highlight w:val="none"/>
              </w:rPr>
              <w:t>备注</w:t>
            </w:r>
          </w:p>
        </w:tc>
      </w:tr>
      <w:tr>
        <w:tblPrEx>
          <w:tblW w:w="8273" w:type="dxa"/>
          <w:jc w:val="center"/>
          <w:tblLayout w:type="fixed"/>
          <w:tblCellMar>
            <w:top w:w="0" w:type="dxa"/>
            <w:left w:w="108" w:type="dxa"/>
            <w:bottom w:w="0" w:type="dxa"/>
            <w:right w:w="108" w:type="dxa"/>
          </w:tblCellMar>
        </w:tblPrEx>
        <w:trPr>
          <w:trHeight w:val="841"/>
          <w:jc w:val="center"/>
        </w:trPr>
        <w:tc>
          <w:tcPr>
            <w:tcW w:w="633" w:type="dxa"/>
            <w:tcBorders>
              <w:top w:val="single" w:sz="4" w:space="0" w:color="000000"/>
              <w:left w:val="single" w:sz="4" w:space="0" w:color="000000"/>
              <w:bottom w:val="single" w:sz="4" w:space="0" w:color="000000"/>
              <w:right w:val="single" w:sz="4" w:space="0" w:color="auto"/>
            </w:tcBorders>
            <w:tcMar>
              <w:top w:w="15" w:type="dxa"/>
              <w:left w:w="15" w:type="dxa"/>
              <w:bottom w:w="15" w:type="dxa"/>
              <w:right w:w="15" w:type="dxa"/>
            </w:tcMar>
            <w:vAlign w:val="center"/>
          </w:tcPr>
          <w:p>
            <w:pPr>
              <w:jc w:val="center"/>
              <w:rPr>
                <w:highlight w:val="none"/>
              </w:rPr>
            </w:pPr>
            <w:r>
              <w:rPr>
                <w:rFonts w:hint="eastAsia"/>
                <w:highlight w:val="none"/>
              </w:rPr>
              <w:t>1</w:t>
            </w:r>
          </w:p>
        </w:tc>
        <w:tc>
          <w:tcPr>
            <w:tcW w:w="3641" w:type="dxa"/>
            <w:tcBorders>
              <w:top w:val="single" w:sz="4" w:space="0" w:color="000000"/>
              <w:left w:val="single" w:sz="4" w:space="0" w:color="auto"/>
              <w:bottom w:val="single" w:sz="4" w:space="0" w:color="000000"/>
              <w:right w:val="single" w:sz="4" w:space="0" w:color="000000"/>
            </w:tcBorders>
            <w:tcMar>
              <w:top w:w="15" w:type="dxa"/>
              <w:left w:w="15" w:type="dxa"/>
              <w:bottom w:w="15" w:type="dxa"/>
              <w:right w:w="15" w:type="dxa"/>
            </w:tcMar>
            <w:vAlign w:val="center"/>
          </w:tcPr>
          <w:p>
            <w:pPr>
              <w:jc w:val="center"/>
              <w:rPr>
                <w:rFonts w:asciiTheme="minorEastAsia" w:eastAsiaTheme="minorEastAsia" w:hAnsiTheme="minorEastAsia" w:hint="eastAsia"/>
                <w:b/>
                <w:bCs/>
                <w:highlight w:val="none"/>
                <w:lang w:eastAsia="zh-CN"/>
              </w:rPr>
            </w:pPr>
            <w:r>
              <w:rPr>
                <w:rFonts w:asciiTheme="minorEastAsia" w:eastAsiaTheme="minorEastAsia" w:hAnsiTheme="minorEastAsia" w:hint="eastAsia"/>
                <w:b/>
                <w:bCs/>
                <w:highlight w:val="none"/>
                <w:lang w:eastAsia="zh-CN"/>
              </w:rPr>
              <w:t>盐坝高速公路坝光收费站物业运营维护管理</w:t>
            </w:r>
          </w:p>
        </w:tc>
        <w:tc>
          <w:tcPr>
            <w:tcW w:w="79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bCs/>
                <w:highlight w:val="none"/>
              </w:rPr>
            </w:pPr>
            <w:r>
              <w:rPr>
                <w:rFonts w:ascii="宋体" w:eastAsia="宋体" w:hAnsi="宋体" w:cs="宋体" w:hint="eastAsia"/>
                <w:bCs/>
                <w:highlight w:val="none"/>
              </w:rPr>
              <w:t>项</w:t>
            </w:r>
          </w:p>
        </w:tc>
        <w:tc>
          <w:tcPr>
            <w:tcW w:w="78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bCs/>
                <w:highlight w:val="none"/>
              </w:rPr>
            </w:pPr>
            <w:r>
              <w:rPr>
                <w:bCs/>
                <w:highlight w:val="none"/>
              </w:rPr>
              <w:t>1</w:t>
            </w:r>
          </w:p>
        </w:tc>
        <w:tc>
          <w:tcPr>
            <w:tcW w:w="141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hint="default"/>
                <w:bCs/>
                <w:highlight w:val="none"/>
                <w:lang w:val="en-US" w:eastAsia="zh-CN"/>
              </w:rPr>
            </w:pPr>
            <w:r>
              <w:rPr>
                <w:rFonts w:ascii="宋体" w:eastAsia="宋体" w:hAnsi="宋体" w:cs="宋体" w:hint="eastAsia"/>
                <w:bCs/>
                <w:highlight w:val="none"/>
                <w:lang w:val="en-US" w:eastAsia="zh-CN"/>
              </w:rPr>
              <w:t>其他未列明行业</w:t>
            </w:r>
          </w:p>
        </w:tc>
        <w:tc>
          <w:tcPr>
            <w:tcW w:w="100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bCs/>
                <w:highlight w:val="none"/>
              </w:rPr>
            </w:pPr>
          </w:p>
        </w:tc>
      </w:tr>
    </w:tbl>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sz w:val="24"/>
          <w:szCs w:val="24"/>
          <w:highlight w:val="none"/>
        </w:rPr>
      </w:pPr>
      <w:bookmarkEnd w:id="32"/>
      <w:r>
        <w:rPr>
          <w:rFonts w:ascii="宋体" w:eastAsia="宋体" w:hAnsi="宋体" w:cs="宋体" w:hint="eastAsia"/>
          <w:b/>
          <w:sz w:val="24"/>
          <w:szCs w:val="24"/>
          <w:highlight w:val="none"/>
        </w:rPr>
        <w:t>项目概况：</w:t>
      </w:r>
      <w:r>
        <w:rPr>
          <w:rFonts w:ascii="宋体" w:eastAsia="宋体" w:hAnsi="宋体" w:cs="宋体" w:hint="eastAsia"/>
          <w:color w:val="auto"/>
          <w:sz w:val="24"/>
          <w:szCs w:val="24"/>
          <w:highlight w:val="none"/>
        </w:rPr>
        <w:t>坝光收费站位于盐坝高速终点K28+575处，包含7条入口车道及10条出口车道，其中入口2条ETC车道，出口3条ETC车道。收费站配套保障用房面积6024平方米，室外附属设施面积6201平方米，收费广场水泥混凝土路面（含卸货场、内部联络通道）25181平方米，共计37406平方米。</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sz w:val="24"/>
          <w:szCs w:val="24"/>
          <w:highlight w:val="none"/>
        </w:rPr>
      </w:pPr>
      <w:r>
        <w:rPr>
          <w:rFonts w:ascii="宋体" w:eastAsia="宋体" w:hAnsi="宋体" w:cs="宋体" w:hint="eastAsia"/>
          <w:color w:val="auto"/>
          <w:sz w:val="24"/>
          <w:szCs w:val="24"/>
          <w:highlight w:val="none"/>
        </w:rPr>
        <w:t>2015年，</w:t>
      </w:r>
      <w:r>
        <w:rPr>
          <w:rFonts w:ascii="宋体" w:eastAsia="宋体" w:hAnsi="宋体" w:cs="宋体" w:hint="eastAsia"/>
          <w:color w:val="auto"/>
          <w:sz w:val="24"/>
          <w:szCs w:val="24"/>
          <w:highlight w:val="none"/>
          <w:lang w:eastAsia="zh-CN"/>
        </w:rPr>
        <w:t>深圳</w:t>
      </w:r>
      <w:r>
        <w:rPr>
          <w:rFonts w:ascii="宋体" w:eastAsia="宋体" w:hAnsi="宋体" w:cs="宋体" w:hint="eastAsia"/>
          <w:color w:val="auto"/>
          <w:sz w:val="24"/>
          <w:szCs w:val="24"/>
          <w:highlight w:val="none"/>
        </w:rPr>
        <w:t>市提前回购盐坝高速，实行免费通行。为保持高速公路联网收费的闭合性和完整性，在盐坝高速的终点K28+575（深圳市与惠州市交界）建设坝光主线收费站。2019年3月，广东省交通运输厅《关于盐坝高速公路主线收费站运营管理等问题的通知》提出：经征询交通运输部意见，坝光收费站后续运营工作由深圳市负责。经市政府同意，自2021年1月1日起至2035年3月26日，通过公开招标确定坝光收费站运营维护管理主体。</w:t>
      </w:r>
    </w:p>
    <w:p>
      <w:pPr>
        <w:ind w:left="547" w:firstLine="480" w:leftChars="228" w:firstLineChars="200"/>
        <w:rPr>
          <w:rFonts w:asciiTheme="minorEastAsia" w:hAnsiTheme="minorEastAsia" w:cs="仿宋"/>
          <w:sz w:val="21"/>
          <w:szCs w:val="21"/>
          <w:highlight w:val="none"/>
        </w:rPr>
      </w:pPr>
      <w:bookmarkStart w:id="34" w:name="_Toc320311558"/>
      <w:bookmarkEnd w:id="34"/>
      <w:bookmarkStart w:id="35" w:name="_Toc11426271"/>
    </w:p>
    <w:p>
      <w:pPr>
        <w:ind w:left="547" w:firstLine="480" w:leftChars="228" w:firstLineChars="200"/>
        <w:rPr>
          <w:rFonts w:asciiTheme="minorEastAsia" w:hAnsiTheme="minorEastAsia" w:cs="仿宋"/>
          <w:sz w:val="21"/>
          <w:szCs w:val="21"/>
          <w:highlight w:val="none"/>
        </w:rPr>
      </w:pPr>
    </w:p>
    <w:p>
      <w:pPr>
        <w:spacing w:line="360" w:lineRule="auto"/>
        <w:jc w:val="center"/>
        <w:outlineLvl w:val="2"/>
        <w:rPr>
          <w:rFonts w:ascii="宋体" w:eastAsia="宋体" w:hAnsi="宋体" w:cs="宋体"/>
          <w:b/>
          <w:bCs/>
          <w:highlight w:val="none"/>
        </w:rPr>
      </w:pPr>
      <w:r>
        <w:rPr>
          <w:rFonts w:ascii="宋体" w:eastAsia="宋体" w:hAnsi="宋体" w:cs="宋体" w:hint="eastAsia"/>
          <w:b/>
          <w:bCs/>
          <w:highlight w:val="none"/>
        </w:rPr>
        <w:t>三</w:t>
      </w:r>
      <w:r>
        <w:rPr>
          <w:rFonts w:ascii="宋体" w:eastAsia="宋体" w:hAnsi="宋体" w:cs="宋体"/>
          <w:b/>
          <w:bCs/>
          <w:highlight w:val="none"/>
        </w:rPr>
        <w:t>、</w:t>
      </w:r>
      <w:r>
        <w:rPr>
          <w:rFonts w:ascii="宋体" w:eastAsia="宋体" w:hAnsi="宋体" w:cs="宋体" w:hint="eastAsia"/>
          <w:b/>
          <w:bCs/>
          <w:highlight w:val="none"/>
        </w:rPr>
        <w:t>实质性条款</w:t>
      </w:r>
    </w:p>
    <w:tbl>
      <w:tblPr>
        <w:tblStyle w:val="TableNormal"/>
        <w:tblW w:w="8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05"/>
        <w:gridCol w:w="7483"/>
      </w:tblGrid>
      <w:tr>
        <w:tblPrEx>
          <w:tblW w:w="8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jc w:val="center"/>
        </w:trPr>
        <w:tc>
          <w:tcPr>
            <w:tcW w:w="705" w:type="dxa"/>
            <w:vAlign w:val="center"/>
          </w:tcPr>
          <w:p>
            <w:pPr>
              <w:adjustRightInd w:val="0"/>
              <w:snapToGrid w:val="0"/>
              <w:spacing w:line="360" w:lineRule="auto"/>
              <w:jc w:val="center"/>
              <w:rPr>
                <w:rFonts w:asciiTheme="minorEastAsia" w:hAnsiTheme="minorEastAsia"/>
                <w:sz w:val="21"/>
                <w:szCs w:val="21"/>
                <w:highlight w:val="none"/>
              </w:rPr>
            </w:pPr>
            <w:r>
              <w:rPr>
                <w:rFonts w:asciiTheme="minorEastAsia" w:hAnsiTheme="minorEastAsia" w:hint="eastAsia"/>
                <w:sz w:val="21"/>
                <w:szCs w:val="21"/>
                <w:highlight w:val="none"/>
              </w:rPr>
              <w:t>序号</w:t>
            </w:r>
          </w:p>
        </w:tc>
        <w:tc>
          <w:tcPr>
            <w:tcW w:w="7483" w:type="dxa"/>
            <w:vAlign w:val="center"/>
          </w:tcPr>
          <w:p>
            <w:pPr>
              <w:adjustRightInd w:val="0"/>
              <w:snapToGrid w:val="0"/>
              <w:spacing w:line="360" w:lineRule="auto"/>
              <w:jc w:val="center"/>
              <w:rPr>
                <w:rFonts w:asciiTheme="minorEastAsia" w:hAnsiTheme="minorEastAsia"/>
                <w:sz w:val="21"/>
                <w:szCs w:val="21"/>
                <w:highlight w:val="none"/>
              </w:rPr>
            </w:pPr>
            <w:r>
              <w:rPr>
                <w:rFonts w:asciiTheme="minorEastAsia" w:hAnsiTheme="minorEastAsia" w:hint="eastAsia"/>
                <w:sz w:val="21"/>
                <w:szCs w:val="21"/>
                <w:highlight w:val="none"/>
              </w:rPr>
              <w:t>实质性条款具体内容</w:t>
            </w:r>
          </w:p>
        </w:tc>
      </w:tr>
      <w:tr>
        <w:tblPrEx>
          <w:tblW w:w="8188" w:type="dxa"/>
          <w:jc w:val="center"/>
          <w:tblCellMar>
            <w:top w:w="0" w:type="dxa"/>
            <w:left w:w="108" w:type="dxa"/>
            <w:bottom w:w="0" w:type="dxa"/>
            <w:right w:w="108" w:type="dxa"/>
          </w:tblCellMar>
        </w:tblPrEx>
        <w:trPr>
          <w:jc w:val="center"/>
        </w:trPr>
        <w:tc>
          <w:tcPr>
            <w:tcW w:w="705" w:type="dxa"/>
            <w:vAlign w:val="center"/>
          </w:tcPr>
          <w:p>
            <w:pPr>
              <w:adjustRightInd w:val="0"/>
              <w:snapToGrid w:val="0"/>
              <w:spacing w:line="360" w:lineRule="auto"/>
              <w:jc w:val="center"/>
              <w:rPr>
                <w:rFonts w:asciiTheme="minorEastAsia" w:hAnsiTheme="minorEastAsia" w:cs="Times New Roman" w:hint="eastAsia"/>
                <w:sz w:val="21"/>
                <w:szCs w:val="21"/>
                <w:highlight w:val="none"/>
              </w:rPr>
            </w:pPr>
            <w:r>
              <w:rPr>
                <w:rFonts w:ascii="宋体" w:eastAsia="宋体" w:hAnsi="宋体" w:hint="eastAsia"/>
                <w:szCs w:val="21"/>
                <w:highlight w:val="none"/>
              </w:rPr>
              <w:t>1</w:t>
            </w:r>
          </w:p>
        </w:tc>
        <w:tc>
          <w:tcPr>
            <w:tcW w:w="7483" w:type="dxa"/>
            <w:vAlign w:val="center"/>
          </w:tcPr>
          <w:p>
            <w:pPr>
              <w:keepNext w:val="0"/>
              <w:keepLines w:val="0"/>
              <w:pageBreakBefore w:val="0"/>
              <w:widowControl/>
              <w:tabs>
                <w:tab w:val="left" w:pos="720"/>
              </w:tabs>
              <w:kinsoku/>
              <w:wordWrap/>
              <w:overflowPunct/>
              <w:topLinePunct w:val="0"/>
              <w:autoSpaceDE/>
              <w:autoSpaceDN/>
              <w:bidi w:val="0"/>
              <w:adjustRightInd/>
              <w:snapToGrid/>
              <w:spacing w:line="240" w:lineRule="auto"/>
              <w:ind w:left="0" w:firstLine="0" w:leftChars="0" w:firstLineChars="0"/>
              <w:jc w:val="center"/>
              <w:textAlignment w:val="auto"/>
              <w:rPr>
                <w:rFonts w:eastAsia="宋体" w:asciiTheme="minorEastAsia" w:hAnsiTheme="minorEastAsia" w:cs="Times New Roman" w:hint="default"/>
                <w:sz w:val="21"/>
                <w:szCs w:val="21"/>
                <w:highlight w:val="none"/>
                <w:lang w:val="en-US" w:eastAsia="zh-CN"/>
              </w:rPr>
            </w:pPr>
            <w:r>
              <w:rPr>
                <w:rFonts w:eastAsia="宋体" w:asciiTheme="minorEastAsia" w:hAnsiTheme="minorEastAsia" w:cs="Times New Roman" w:hint="default"/>
                <w:sz w:val="21"/>
                <w:szCs w:val="21"/>
                <w:highlight w:val="none"/>
                <w:lang w:val="en-US" w:eastAsia="zh-CN"/>
              </w:rPr>
              <w:t>满足项目服务地点及期限</w:t>
            </w:r>
          </w:p>
        </w:tc>
      </w:tr>
    </w:tbl>
    <w:p>
      <w:pPr>
        <w:rPr>
          <w:sz w:val="21"/>
          <w:highlight w:val="none"/>
        </w:rPr>
      </w:pPr>
      <w:r>
        <w:rPr>
          <w:rFonts w:hint="eastAsia"/>
          <w:sz w:val="21"/>
          <w:highlight w:val="none"/>
        </w:rPr>
        <w:t>注：上表所列内容为不可负偏离条款，负偏离将视为未实质性满足招标文件要求作投标无效处理。</w:t>
      </w:r>
    </w:p>
    <w:p>
      <w:pPr>
        <w:pStyle w:val="Heading3"/>
        <w:jc w:val="center"/>
        <w:rPr>
          <w:rFonts w:asciiTheme="minorEastAsia" w:eastAsiaTheme="minorEastAsia" w:hAnsiTheme="minorEastAsia"/>
          <w:szCs w:val="21"/>
          <w:highlight w:val="none"/>
        </w:rPr>
      </w:pPr>
      <w:r>
        <w:rPr>
          <w:rFonts w:asciiTheme="minorEastAsia" w:eastAsiaTheme="minorEastAsia" w:hAnsiTheme="minorEastAsia" w:hint="eastAsia"/>
          <w:szCs w:val="21"/>
          <w:highlight w:val="none"/>
        </w:rPr>
        <w:t>四、项目服务要求</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lang w:val="en-US" w:eastAsia="zh-CN"/>
        </w:rPr>
      </w:pPr>
      <w:r>
        <w:rPr>
          <w:rFonts w:ascii="宋体" w:eastAsia="宋体" w:hAnsi="宋体" w:cs="宋体" w:hint="eastAsia"/>
          <w:color w:val="auto"/>
          <w:sz w:val="24"/>
          <w:szCs w:val="24"/>
          <w:highlight w:val="none"/>
          <w:lang w:val="en-US" w:eastAsia="zh-CN"/>
        </w:rPr>
        <w:t>一、项目依据及参考标准</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val="0"/>
          <w:bCs w:val="0"/>
          <w:color w:val="auto"/>
          <w:sz w:val="24"/>
          <w:szCs w:val="24"/>
          <w:highlight w:val="none"/>
          <w:lang w:val="en-US" w:eastAsia="zh-CN"/>
        </w:rPr>
      </w:pPr>
      <w:r>
        <w:rPr>
          <w:rFonts w:ascii="宋体" w:eastAsia="宋体" w:hAnsi="宋体" w:cs="宋体" w:hint="eastAsia"/>
          <w:b w:val="0"/>
          <w:bCs w:val="0"/>
          <w:color w:val="auto"/>
          <w:sz w:val="24"/>
          <w:szCs w:val="24"/>
          <w:highlight w:val="none"/>
          <w:lang w:val="en-US" w:eastAsia="zh-CN"/>
        </w:rPr>
        <w:t>按照《公路法》《收费公路管理条例》《广东省高速公路运营管理办法》《收费公路联网收费运营和服务规程》《〈收费公路车辆通行费车型分类〉(JT/T 489-2019）》《深圳市交通运输局收费高速公路运营管理监督考评办法》，严格执行规定的收费期限、收费标准、收费规则，在服务期限内，如国家、省、深圳市主管部门及单位对收费政策、标准、规则有调整，则按新规定执行。</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color w:val="auto"/>
          <w:sz w:val="24"/>
          <w:szCs w:val="24"/>
          <w:highlight w:val="none"/>
          <w:lang w:eastAsia="zh-CN"/>
        </w:rPr>
      </w:pPr>
      <w:r>
        <w:rPr>
          <w:rFonts w:ascii="宋体" w:eastAsia="宋体" w:hAnsi="宋体" w:cs="宋体" w:hint="eastAsia"/>
          <w:b/>
          <w:color w:val="auto"/>
          <w:sz w:val="24"/>
          <w:szCs w:val="24"/>
          <w:highlight w:val="none"/>
        </w:rPr>
        <w:t>二、项目</w:t>
      </w:r>
      <w:r>
        <w:rPr>
          <w:rFonts w:ascii="宋体" w:eastAsia="宋体" w:hAnsi="宋体" w:cs="宋体" w:hint="eastAsia"/>
          <w:b/>
          <w:color w:val="auto"/>
          <w:sz w:val="24"/>
          <w:szCs w:val="24"/>
          <w:highlight w:val="none"/>
          <w:lang w:eastAsia="zh-CN"/>
        </w:rPr>
        <w:t>工作内容</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color w:val="auto"/>
          <w:sz w:val="24"/>
          <w:szCs w:val="24"/>
          <w:highlight w:val="none"/>
        </w:rPr>
      </w:pPr>
      <w:r>
        <w:rPr>
          <w:rFonts w:ascii="宋体" w:eastAsia="宋体" w:hAnsi="宋体" w:cs="宋体" w:hint="eastAsia"/>
          <w:bCs/>
          <w:color w:val="auto"/>
          <w:sz w:val="24"/>
          <w:szCs w:val="24"/>
          <w:highlight w:val="none"/>
        </w:rPr>
        <w:t>1.工作内容</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contextualSpacing w:val="0"/>
        <w:textAlignment w:val="auto"/>
        <w:rPr>
          <w:rFonts w:ascii="宋体" w:eastAsia="宋体" w:hAnsi="宋体" w:cs="宋体" w:hint="eastAsia"/>
          <w:color w:val="auto"/>
          <w:sz w:val="24"/>
          <w:szCs w:val="24"/>
          <w:highlight w:val="none"/>
          <w:lang w:val="en-US" w:eastAsia="zh-CN"/>
        </w:rPr>
      </w:pPr>
      <w:r>
        <w:rPr>
          <w:rFonts w:ascii="宋体" w:eastAsia="宋体" w:hAnsi="宋体" w:cs="宋体" w:hint="eastAsia"/>
          <w:color w:val="auto"/>
          <w:sz w:val="24"/>
          <w:szCs w:val="24"/>
          <w:highlight w:val="none"/>
          <w:lang w:val="en-US" w:eastAsia="zh-CN"/>
        </w:rPr>
        <w:t>盐坝高速公路坝光主线收费站共计17条车道，采购工作内容为盐坝高速公路坝光收费站收费业务（发卡、收费）、监控业务、稽查业务、清点业务、钱票卡管理、收费现场管理（交通秩序、入口治超、安全、站容站貌、优质服务）、机电设备养护维修、</w:t>
      </w:r>
      <w:r>
        <w:rPr>
          <w:rFonts w:ascii="宋体" w:eastAsia="宋体" w:hAnsi="宋体" w:cs="宋体" w:hint="eastAsia"/>
          <w:b w:val="0"/>
          <w:color w:val="auto"/>
          <w:sz w:val="24"/>
          <w:szCs w:val="24"/>
          <w:highlight w:val="none"/>
        </w:rPr>
        <w:t>房建设施管理</w:t>
      </w:r>
      <w:r>
        <w:rPr>
          <w:rFonts w:ascii="宋体" w:eastAsia="宋体" w:hAnsi="宋体" w:cs="宋体" w:hint="eastAsia"/>
          <w:b w:val="0"/>
          <w:color w:val="auto"/>
          <w:sz w:val="24"/>
          <w:szCs w:val="24"/>
          <w:highlight w:val="none"/>
          <w:lang w:eastAsia="zh-CN"/>
        </w:rPr>
        <w:t>维护（含水、电费）</w:t>
      </w:r>
      <w:r>
        <w:rPr>
          <w:rFonts w:ascii="宋体" w:eastAsia="宋体" w:hAnsi="宋体" w:cs="宋体" w:hint="eastAsia"/>
          <w:color w:val="auto"/>
          <w:sz w:val="24"/>
          <w:szCs w:val="24"/>
          <w:highlight w:val="none"/>
          <w:lang w:val="en-US" w:eastAsia="zh-CN"/>
        </w:rPr>
        <w:t>等综合运营工作。</w:t>
      </w:r>
    </w:p>
    <w:tbl>
      <w:tblPr>
        <w:tblStyle w:val="TableNormal"/>
        <w:tblW w:w="4802" w:type="pct"/>
        <w:tblInd w:w="0"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top w:w="0" w:type="dxa"/>
          <w:left w:w="108" w:type="dxa"/>
          <w:bottom w:w="0" w:type="dxa"/>
          <w:right w:w="108" w:type="dxa"/>
        </w:tblCellMar>
      </w:tblPr>
      <w:tblGrid>
        <w:gridCol w:w="838"/>
        <w:gridCol w:w="1329"/>
        <w:gridCol w:w="6018"/>
      </w:tblGrid>
      <w:tr>
        <w:tblPrEx>
          <w:tblW w:w="4802" w:type="pct"/>
          <w:tblInd w:w="0"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CellMar>
            <w:top w:w="0" w:type="dxa"/>
            <w:left w:w="108" w:type="dxa"/>
            <w:bottom w:w="0" w:type="dxa"/>
            <w:right w:w="108" w:type="dxa"/>
          </w:tblCellMar>
        </w:tblPrEx>
        <w:trPr>
          <w:trHeight w:val="302"/>
        </w:trPr>
        <w:tc>
          <w:tcPr>
            <w:tcW w:w="512" w:type="pct"/>
            <w:noWrap w:val="0"/>
            <w:vAlign w:val="top"/>
          </w:tcPr>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b/>
                <w:color w:val="auto"/>
                <w:sz w:val="24"/>
                <w:szCs w:val="24"/>
                <w:highlight w:val="none"/>
              </w:rPr>
            </w:pPr>
            <w:r>
              <w:rPr>
                <w:rFonts w:ascii="宋体" w:eastAsia="宋体" w:hAnsi="宋体" w:cs="宋体" w:hint="eastAsia"/>
                <w:b/>
                <w:color w:val="auto"/>
                <w:sz w:val="24"/>
                <w:szCs w:val="24"/>
                <w:highlight w:val="none"/>
              </w:rPr>
              <w:t>项目</w:t>
            </w:r>
          </w:p>
        </w:tc>
        <w:tc>
          <w:tcPr>
            <w:tcW w:w="811" w:type="pct"/>
            <w:noWrap w:val="0"/>
            <w:vAlign w:val="center"/>
          </w:tcPr>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b/>
                <w:color w:val="auto"/>
                <w:sz w:val="24"/>
                <w:szCs w:val="24"/>
                <w:highlight w:val="none"/>
              </w:rPr>
            </w:pPr>
            <w:r>
              <w:rPr>
                <w:rFonts w:ascii="宋体" w:eastAsia="宋体" w:hAnsi="宋体" w:cs="宋体" w:hint="eastAsia"/>
                <w:b/>
                <w:color w:val="auto"/>
                <w:sz w:val="24"/>
                <w:szCs w:val="24"/>
                <w:highlight w:val="none"/>
              </w:rPr>
              <w:t>细目</w:t>
            </w:r>
          </w:p>
        </w:tc>
        <w:tc>
          <w:tcPr>
            <w:tcW w:w="3676" w:type="pct"/>
            <w:noWrap w:val="0"/>
            <w:vAlign w:val="center"/>
          </w:tcPr>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b/>
                <w:color w:val="auto"/>
                <w:sz w:val="24"/>
                <w:szCs w:val="24"/>
                <w:highlight w:val="none"/>
              </w:rPr>
            </w:pPr>
            <w:r>
              <w:rPr>
                <w:rFonts w:ascii="宋体" w:eastAsia="宋体" w:hAnsi="宋体" w:cs="宋体" w:hint="eastAsia"/>
                <w:b/>
                <w:color w:val="auto"/>
                <w:sz w:val="24"/>
                <w:szCs w:val="24"/>
                <w:highlight w:val="none"/>
              </w:rPr>
              <w:t>工作内容</w:t>
            </w:r>
          </w:p>
        </w:tc>
      </w:tr>
      <w:tr>
        <w:tblPrEx>
          <w:tblW w:w="4802" w:type="pct"/>
          <w:tblInd w:w="0" w:type="dxa"/>
          <w:tblLayout w:type="fixed"/>
          <w:tblCellMar>
            <w:top w:w="0" w:type="dxa"/>
            <w:left w:w="108" w:type="dxa"/>
            <w:bottom w:w="0" w:type="dxa"/>
            <w:right w:w="108" w:type="dxa"/>
          </w:tblCellMar>
        </w:tblPrEx>
        <w:tc>
          <w:tcPr>
            <w:tcW w:w="512" w:type="pct"/>
            <w:vMerge w:val="restart"/>
            <w:noWrap w:val="0"/>
            <w:vAlign w:val="center"/>
          </w:tcPr>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b/>
                <w:color w:val="auto"/>
                <w:sz w:val="24"/>
                <w:szCs w:val="24"/>
                <w:highlight w:val="none"/>
              </w:rPr>
              <w:t>收费业务</w:t>
            </w:r>
          </w:p>
        </w:tc>
        <w:tc>
          <w:tcPr>
            <w:tcW w:w="811" w:type="pct"/>
            <w:noWrap w:val="0"/>
            <w:vAlign w:val="center"/>
          </w:tcPr>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b/>
                <w:bCs/>
                <w:color w:val="auto"/>
                <w:sz w:val="24"/>
                <w:szCs w:val="24"/>
                <w:highlight w:val="none"/>
              </w:rPr>
              <w:t>发卡作业</w:t>
            </w:r>
          </w:p>
        </w:tc>
        <w:tc>
          <w:tcPr>
            <w:tcW w:w="3676" w:type="pct"/>
            <w:noWrap w:val="0"/>
            <w:vAlign w:val="center"/>
          </w:tcPr>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1.各班（组）依照收费班排班表，按规定着装，领取当班所需通行卡（满卡盒）、纸质入口券和其他有关当班用品上班。</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2.在统一指挥下进行交接，保持车道畅通，按照全国统一联网规则、以及车型判别标准进行发卡操作。</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3.应认真把好车辆行驶安全的源头关，严禁“三超”、抛洒货物的车辆，无证危险品运输和其他违法车辆进入，一旦发现，应立即制止，制止无效的及时通知监控报路政队处理；判断是否有必要引导车辆驶入超宽车道。</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4.认真做好入口行人及非机动车辆劝返工作。</w:t>
            </w:r>
          </w:p>
        </w:tc>
      </w:tr>
      <w:tr>
        <w:tblPrEx>
          <w:tblW w:w="4802" w:type="pct"/>
          <w:tblInd w:w="0" w:type="dxa"/>
          <w:tblLayout w:type="fixed"/>
          <w:tblCellMar>
            <w:top w:w="0" w:type="dxa"/>
            <w:left w:w="108" w:type="dxa"/>
            <w:bottom w:w="0" w:type="dxa"/>
            <w:right w:w="108" w:type="dxa"/>
          </w:tblCellMar>
        </w:tblPrEx>
        <w:tc>
          <w:tcPr>
            <w:tcW w:w="512" w:type="pct"/>
            <w:vMerge/>
            <w:noWrap w:val="0"/>
            <w:vAlign w:val="center"/>
          </w:tcPr>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p>
        </w:tc>
        <w:tc>
          <w:tcPr>
            <w:tcW w:w="811" w:type="pct"/>
            <w:noWrap w:val="0"/>
            <w:vAlign w:val="center"/>
          </w:tcPr>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b/>
                <w:color w:val="auto"/>
                <w:sz w:val="24"/>
                <w:szCs w:val="24"/>
                <w:highlight w:val="none"/>
              </w:rPr>
              <w:t>收费作业</w:t>
            </w:r>
          </w:p>
        </w:tc>
        <w:tc>
          <w:tcPr>
            <w:tcW w:w="3676" w:type="pct"/>
            <w:noWrap w:val="0"/>
            <w:vAlign w:val="center"/>
          </w:tcPr>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1.各班（组）依照本站收费班排班表，按规定着装，领取当班所需CPC卡盒（空卡盒）、定额备用金及其他有关当班用品上班。</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2.统一指挥下进行交接，保持车道畅通，按照全国联网统一收费规则、以及收费标准进行收费操作。</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3.按公路通行费收费标准，正确收取通行费。</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4.按照相关文件要求，做好绿色通道管理及车辆查验及特殊车辆的管理工作。</w:t>
            </w:r>
          </w:p>
        </w:tc>
      </w:tr>
      <w:tr>
        <w:tblPrEx>
          <w:tblW w:w="4802" w:type="pct"/>
          <w:tblInd w:w="0" w:type="dxa"/>
          <w:tblLayout w:type="fixed"/>
          <w:tblCellMar>
            <w:top w:w="0" w:type="dxa"/>
            <w:left w:w="108" w:type="dxa"/>
            <w:bottom w:w="0" w:type="dxa"/>
            <w:right w:w="108" w:type="dxa"/>
          </w:tblCellMar>
        </w:tblPrEx>
        <w:trPr>
          <w:trHeight w:val="351"/>
        </w:trPr>
        <w:tc>
          <w:tcPr>
            <w:tcW w:w="512" w:type="pct"/>
            <w:noWrap w:val="0"/>
            <w:vAlign w:val="center"/>
          </w:tcPr>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b/>
                <w:color w:val="auto"/>
                <w:sz w:val="24"/>
                <w:szCs w:val="24"/>
                <w:highlight w:val="none"/>
              </w:rPr>
              <w:t>监控业务</w:t>
            </w:r>
          </w:p>
        </w:tc>
        <w:tc>
          <w:tcPr>
            <w:tcW w:w="811" w:type="pct"/>
            <w:noWrap w:val="0"/>
            <w:vAlign w:val="center"/>
          </w:tcPr>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b/>
                <w:color w:val="auto"/>
                <w:sz w:val="24"/>
                <w:szCs w:val="24"/>
                <w:highlight w:val="none"/>
              </w:rPr>
              <w:t>监控作业</w:t>
            </w:r>
          </w:p>
        </w:tc>
        <w:tc>
          <w:tcPr>
            <w:tcW w:w="3676" w:type="pct"/>
            <w:noWrap w:val="0"/>
            <w:vAlign w:val="center"/>
          </w:tcPr>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bCs/>
                <w:color w:val="auto"/>
                <w:sz w:val="24"/>
                <w:szCs w:val="24"/>
                <w:highlight w:val="none"/>
              </w:rPr>
            </w:pPr>
            <w:r>
              <w:rPr>
                <w:rFonts w:ascii="宋体" w:eastAsia="宋体" w:hAnsi="宋体" w:cs="宋体" w:hint="eastAsia"/>
                <w:bCs/>
                <w:color w:val="auto"/>
                <w:sz w:val="24"/>
                <w:szCs w:val="24"/>
                <w:highlight w:val="none"/>
              </w:rPr>
              <w:t>1.对收费员的当班特殊情况、工作纪律认真进行监督。</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bCs/>
                <w:color w:val="auto"/>
                <w:sz w:val="24"/>
                <w:szCs w:val="24"/>
                <w:highlight w:val="none"/>
              </w:rPr>
            </w:pPr>
            <w:r>
              <w:rPr>
                <w:rFonts w:ascii="宋体" w:eastAsia="宋体" w:hAnsi="宋体" w:cs="宋体" w:hint="eastAsia"/>
                <w:bCs/>
                <w:color w:val="auto"/>
                <w:sz w:val="24"/>
                <w:szCs w:val="24"/>
                <w:highlight w:val="none"/>
              </w:rPr>
              <w:t>2.实时监督收费员的文明服务情况。</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bCs/>
                <w:color w:val="auto"/>
                <w:sz w:val="24"/>
                <w:szCs w:val="24"/>
                <w:highlight w:val="none"/>
              </w:rPr>
            </w:pPr>
            <w:r>
              <w:rPr>
                <w:rFonts w:ascii="宋体" w:eastAsia="宋体" w:hAnsi="宋体" w:cs="宋体" w:hint="eastAsia"/>
                <w:bCs/>
                <w:color w:val="auto"/>
                <w:sz w:val="24"/>
                <w:szCs w:val="24"/>
                <w:highlight w:val="none"/>
              </w:rPr>
              <w:t>3.记录收费特殊情况。</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b/>
                <w:color w:val="auto"/>
                <w:sz w:val="24"/>
                <w:szCs w:val="24"/>
                <w:highlight w:val="none"/>
              </w:rPr>
            </w:pPr>
            <w:r>
              <w:rPr>
                <w:rFonts w:ascii="宋体" w:eastAsia="宋体" w:hAnsi="宋体" w:cs="宋体" w:hint="eastAsia"/>
                <w:bCs/>
                <w:color w:val="auto"/>
                <w:sz w:val="24"/>
                <w:szCs w:val="24"/>
                <w:highlight w:val="none"/>
              </w:rPr>
              <w:t>4.通知传达其他重要信息。</w:t>
            </w:r>
          </w:p>
        </w:tc>
      </w:tr>
      <w:tr>
        <w:tblPrEx>
          <w:tblW w:w="4802" w:type="pct"/>
          <w:tblInd w:w="0" w:type="dxa"/>
          <w:tblLayout w:type="fixed"/>
          <w:tblCellMar>
            <w:top w:w="0" w:type="dxa"/>
            <w:left w:w="108" w:type="dxa"/>
            <w:bottom w:w="0" w:type="dxa"/>
            <w:right w:w="108" w:type="dxa"/>
          </w:tblCellMar>
        </w:tblPrEx>
        <w:tc>
          <w:tcPr>
            <w:tcW w:w="512" w:type="pct"/>
            <w:noWrap w:val="0"/>
            <w:vAlign w:val="center"/>
          </w:tcPr>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b/>
                <w:color w:val="auto"/>
                <w:sz w:val="24"/>
                <w:szCs w:val="24"/>
                <w:highlight w:val="none"/>
              </w:rPr>
              <w:t>稽查业务</w:t>
            </w:r>
          </w:p>
        </w:tc>
        <w:tc>
          <w:tcPr>
            <w:tcW w:w="811" w:type="pct"/>
            <w:noWrap w:val="0"/>
            <w:vAlign w:val="center"/>
          </w:tcPr>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b/>
                <w:color w:val="auto"/>
                <w:sz w:val="24"/>
                <w:szCs w:val="24"/>
                <w:highlight w:val="none"/>
              </w:rPr>
            </w:pPr>
            <w:r>
              <w:rPr>
                <w:rFonts w:ascii="宋体" w:eastAsia="宋体" w:hAnsi="宋体" w:cs="宋体" w:hint="eastAsia"/>
                <w:b/>
                <w:color w:val="auto"/>
                <w:sz w:val="24"/>
                <w:szCs w:val="24"/>
                <w:highlight w:val="none"/>
              </w:rPr>
              <w:t>稽查作业</w:t>
            </w:r>
          </w:p>
        </w:tc>
        <w:tc>
          <w:tcPr>
            <w:tcW w:w="3676" w:type="pct"/>
            <w:noWrap w:val="0"/>
            <w:vAlign w:val="top"/>
          </w:tcPr>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bCs/>
                <w:color w:val="auto"/>
                <w:sz w:val="24"/>
                <w:szCs w:val="24"/>
                <w:highlight w:val="none"/>
              </w:rPr>
            </w:pPr>
            <w:r>
              <w:rPr>
                <w:rFonts w:ascii="宋体" w:eastAsia="宋体" w:hAnsi="宋体" w:cs="宋体" w:hint="eastAsia"/>
                <w:bCs/>
                <w:color w:val="auto"/>
                <w:sz w:val="24"/>
                <w:szCs w:val="24"/>
                <w:highlight w:val="none"/>
              </w:rPr>
              <w:t>1.对收费、发卡过程的监督检查。</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bCs/>
                <w:color w:val="auto"/>
                <w:sz w:val="24"/>
                <w:szCs w:val="24"/>
                <w:highlight w:val="none"/>
              </w:rPr>
            </w:pPr>
            <w:r>
              <w:rPr>
                <w:rFonts w:ascii="宋体" w:eastAsia="宋体" w:hAnsi="宋体" w:cs="宋体" w:hint="eastAsia"/>
                <w:bCs/>
                <w:color w:val="auto"/>
                <w:sz w:val="24"/>
                <w:szCs w:val="24"/>
                <w:highlight w:val="none"/>
              </w:rPr>
              <w:t>2.当班所有特殊事件稽查。</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bCs/>
                <w:color w:val="auto"/>
                <w:sz w:val="24"/>
                <w:szCs w:val="24"/>
                <w:highlight w:val="none"/>
              </w:rPr>
            </w:pPr>
            <w:r>
              <w:rPr>
                <w:rFonts w:ascii="宋体" w:eastAsia="宋体" w:hAnsi="宋体" w:cs="宋体" w:hint="eastAsia"/>
                <w:bCs/>
                <w:color w:val="auto"/>
                <w:sz w:val="24"/>
                <w:szCs w:val="24"/>
                <w:highlight w:val="none"/>
              </w:rPr>
              <w:t>3.司机逃费稽查。</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bCs/>
                <w:color w:val="auto"/>
                <w:sz w:val="24"/>
                <w:szCs w:val="24"/>
                <w:highlight w:val="none"/>
              </w:rPr>
            </w:pPr>
            <w:r>
              <w:rPr>
                <w:rFonts w:ascii="宋体" w:eastAsia="宋体" w:hAnsi="宋体" w:cs="宋体" w:hint="eastAsia"/>
                <w:bCs/>
                <w:color w:val="auto"/>
                <w:sz w:val="24"/>
                <w:szCs w:val="24"/>
                <w:highlight w:val="none"/>
              </w:rPr>
              <w:t>4.当班人员劳动纪律稽查。</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bCs/>
                <w:color w:val="auto"/>
                <w:sz w:val="24"/>
                <w:szCs w:val="24"/>
                <w:highlight w:val="none"/>
              </w:rPr>
            </w:pPr>
            <w:r>
              <w:rPr>
                <w:rFonts w:ascii="宋体" w:eastAsia="宋体" w:hAnsi="宋体" w:cs="宋体" w:hint="eastAsia"/>
                <w:bCs/>
                <w:color w:val="auto"/>
                <w:sz w:val="24"/>
                <w:szCs w:val="24"/>
                <w:highlight w:val="none"/>
              </w:rPr>
              <w:t>5.当班人员文明服务稽查。</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kern w:val="0"/>
                <w:sz w:val="24"/>
                <w:szCs w:val="24"/>
                <w:highlight w:val="none"/>
              </w:rPr>
            </w:pPr>
            <w:r>
              <w:rPr>
                <w:rFonts w:ascii="宋体" w:eastAsia="宋体" w:hAnsi="宋体" w:cs="宋体" w:hint="eastAsia"/>
                <w:bCs/>
                <w:color w:val="auto"/>
                <w:sz w:val="24"/>
                <w:szCs w:val="24"/>
                <w:highlight w:val="none"/>
              </w:rPr>
              <w:t>6.绿通车辆、无入口信息等特殊事件稽查。</w:t>
            </w:r>
          </w:p>
        </w:tc>
      </w:tr>
      <w:tr>
        <w:tblPrEx>
          <w:tblW w:w="4802" w:type="pct"/>
          <w:tblInd w:w="0" w:type="dxa"/>
          <w:tblLayout w:type="fixed"/>
          <w:tblCellMar>
            <w:top w:w="0" w:type="dxa"/>
            <w:left w:w="108" w:type="dxa"/>
            <w:bottom w:w="0" w:type="dxa"/>
            <w:right w:w="108" w:type="dxa"/>
          </w:tblCellMar>
        </w:tblPrEx>
        <w:tc>
          <w:tcPr>
            <w:tcW w:w="512" w:type="pct"/>
            <w:noWrap w:val="0"/>
            <w:vAlign w:val="center"/>
          </w:tcPr>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b/>
                <w:color w:val="auto"/>
                <w:sz w:val="24"/>
                <w:szCs w:val="24"/>
                <w:highlight w:val="none"/>
              </w:rPr>
              <w:t>清点业务</w:t>
            </w:r>
          </w:p>
        </w:tc>
        <w:tc>
          <w:tcPr>
            <w:tcW w:w="811" w:type="pct"/>
            <w:noWrap w:val="0"/>
            <w:vAlign w:val="center"/>
          </w:tcPr>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b/>
                <w:color w:val="auto"/>
                <w:sz w:val="24"/>
                <w:szCs w:val="24"/>
                <w:highlight w:val="none"/>
              </w:rPr>
              <w:t>清点作业</w:t>
            </w:r>
          </w:p>
        </w:tc>
        <w:tc>
          <w:tcPr>
            <w:tcW w:w="3676" w:type="pct"/>
            <w:noWrap w:val="0"/>
            <w:vAlign w:val="center"/>
          </w:tcPr>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1.备用金的领用和清点。</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2.每班次收取的通行费清点。</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3.当班员工长、短款处理。</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4.电脑票、定额票、纸卷的领用和清点。</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5.CPC通行卡的领用和清点。</w:t>
            </w:r>
          </w:p>
        </w:tc>
      </w:tr>
      <w:tr>
        <w:tblPrEx>
          <w:tblW w:w="4802" w:type="pct"/>
          <w:tblInd w:w="0" w:type="dxa"/>
          <w:tblLayout w:type="fixed"/>
          <w:tblCellMar>
            <w:top w:w="0" w:type="dxa"/>
            <w:left w:w="108" w:type="dxa"/>
            <w:bottom w:w="0" w:type="dxa"/>
            <w:right w:w="108" w:type="dxa"/>
          </w:tblCellMar>
        </w:tblPrEx>
        <w:tc>
          <w:tcPr>
            <w:tcW w:w="512" w:type="pct"/>
            <w:vMerge w:val="restart"/>
            <w:noWrap w:val="0"/>
            <w:vAlign w:val="center"/>
          </w:tcPr>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b/>
                <w:color w:val="auto"/>
                <w:sz w:val="24"/>
                <w:szCs w:val="24"/>
                <w:highlight w:val="none"/>
              </w:rPr>
            </w:pPr>
            <w:r>
              <w:rPr>
                <w:rFonts w:ascii="宋体" w:eastAsia="宋体" w:hAnsi="宋体" w:cs="宋体" w:hint="eastAsia"/>
                <w:b/>
                <w:color w:val="auto"/>
                <w:sz w:val="24"/>
                <w:szCs w:val="24"/>
                <w:highlight w:val="none"/>
              </w:rPr>
              <w:t>钱票卡</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b/>
                <w:color w:val="auto"/>
                <w:sz w:val="24"/>
                <w:szCs w:val="24"/>
                <w:highlight w:val="none"/>
              </w:rPr>
            </w:pPr>
            <w:r>
              <w:rPr>
                <w:rFonts w:ascii="宋体" w:eastAsia="宋体" w:hAnsi="宋体" w:cs="宋体" w:hint="eastAsia"/>
                <w:b/>
                <w:color w:val="auto"/>
                <w:sz w:val="24"/>
                <w:szCs w:val="24"/>
                <w:highlight w:val="none"/>
              </w:rPr>
              <w:t>管理</w:t>
            </w:r>
          </w:p>
        </w:tc>
        <w:tc>
          <w:tcPr>
            <w:tcW w:w="811" w:type="pct"/>
            <w:noWrap w:val="0"/>
            <w:vAlign w:val="center"/>
          </w:tcPr>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b/>
                <w:color w:val="auto"/>
                <w:sz w:val="24"/>
                <w:szCs w:val="24"/>
                <w:highlight w:val="none"/>
              </w:rPr>
            </w:pPr>
            <w:r>
              <w:rPr>
                <w:rFonts w:ascii="宋体" w:eastAsia="宋体" w:hAnsi="宋体" w:cs="宋体" w:hint="eastAsia"/>
                <w:b/>
                <w:color w:val="auto"/>
                <w:sz w:val="24"/>
                <w:szCs w:val="24"/>
                <w:highlight w:val="none"/>
              </w:rPr>
              <w:t>通行介质</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b/>
                <w:color w:val="auto"/>
                <w:sz w:val="24"/>
                <w:szCs w:val="24"/>
                <w:highlight w:val="none"/>
              </w:rPr>
            </w:pPr>
            <w:r>
              <w:rPr>
                <w:rFonts w:ascii="宋体" w:eastAsia="宋体" w:hAnsi="宋体" w:cs="宋体" w:hint="eastAsia"/>
                <w:b/>
                <w:color w:val="auto"/>
                <w:sz w:val="24"/>
                <w:szCs w:val="24"/>
                <w:highlight w:val="none"/>
              </w:rPr>
              <w:t>管理</w:t>
            </w:r>
          </w:p>
        </w:tc>
        <w:tc>
          <w:tcPr>
            <w:tcW w:w="3676" w:type="pct"/>
            <w:noWrap w:val="0"/>
            <w:vAlign w:val="center"/>
          </w:tcPr>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1.收费员、发卡员在上下班时应在清点室进行通行卡、卡盒的应实核销和领用交接手续的办理。</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2.发卡员发卡时必须一车一卡，不允许一车多卡。</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3.因特殊情况（应急或其他原因）造成的入口通行卡紧缺的情况，可在现场对满卡的卡盒进行调配，应严格按照现场流转规定完成通行卡交接。</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4.车道操作人员下班时须及时将坏卡上缴站级清点室进行核销，站级清点员对上缴的坏卡应定期盘点。</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5.如发生短卡，进行核实后，由相关人员赔偿通行卡工本费。</w:t>
            </w:r>
          </w:p>
        </w:tc>
      </w:tr>
      <w:tr>
        <w:tblPrEx>
          <w:tblW w:w="4802" w:type="pct"/>
          <w:tblInd w:w="0" w:type="dxa"/>
          <w:tblLayout w:type="fixed"/>
          <w:tblCellMar>
            <w:top w:w="0" w:type="dxa"/>
            <w:left w:w="108" w:type="dxa"/>
            <w:bottom w:w="0" w:type="dxa"/>
            <w:right w:w="108" w:type="dxa"/>
          </w:tblCellMar>
        </w:tblPrEx>
        <w:tc>
          <w:tcPr>
            <w:tcW w:w="512" w:type="pct"/>
            <w:vMerge/>
            <w:noWrap w:val="0"/>
            <w:vAlign w:val="center"/>
          </w:tcPr>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b/>
                <w:color w:val="auto"/>
                <w:sz w:val="24"/>
                <w:szCs w:val="24"/>
                <w:highlight w:val="none"/>
              </w:rPr>
            </w:pPr>
          </w:p>
        </w:tc>
        <w:tc>
          <w:tcPr>
            <w:tcW w:w="811" w:type="pct"/>
            <w:noWrap w:val="0"/>
            <w:vAlign w:val="center"/>
          </w:tcPr>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b/>
                <w:color w:val="auto"/>
                <w:sz w:val="24"/>
                <w:szCs w:val="24"/>
                <w:highlight w:val="none"/>
              </w:rPr>
            </w:pPr>
            <w:r>
              <w:rPr>
                <w:rFonts w:ascii="宋体" w:eastAsia="宋体" w:hAnsi="宋体" w:cs="宋体" w:hint="eastAsia"/>
                <w:b/>
                <w:color w:val="auto"/>
                <w:sz w:val="24"/>
                <w:szCs w:val="24"/>
                <w:highlight w:val="none"/>
              </w:rPr>
              <w:t>现金管理</w:t>
            </w:r>
          </w:p>
        </w:tc>
        <w:tc>
          <w:tcPr>
            <w:tcW w:w="3676" w:type="pct"/>
            <w:noWrap w:val="0"/>
            <w:vAlign w:val="center"/>
          </w:tcPr>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1.库存现金必须在限定的范围内。</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2.向银行送存、支付现金的凭证必须写明收入来源或支付用途。</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3.不得在本站通行费收入资金中直接支用资金。</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4.站通行费现金收入必须在次日下午前由解押公司人员解送到开户银行存行。</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5.收费站必须建立现金日记账、总账，并做到日清月结，保证库存现金与现金日记账余额相符、现金日记账余额与总账现金余额相符。</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6.禁止“白条”抵充库存现金。</w:t>
            </w:r>
          </w:p>
        </w:tc>
      </w:tr>
      <w:tr>
        <w:tblPrEx>
          <w:tblW w:w="4802" w:type="pct"/>
          <w:tblInd w:w="0" w:type="dxa"/>
          <w:tblLayout w:type="fixed"/>
          <w:tblCellMar>
            <w:top w:w="0" w:type="dxa"/>
            <w:left w:w="108" w:type="dxa"/>
            <w:bottom w:w="0" w:type="dxa"/>
            <w:right w:w="108" w:type="dxa"/>
          </w:tblCellMar>
        </w:tblPrEx>
        <w:tc>
          <w:tcPr>
            <w:tcW w:w="512" w:type="pct"/>
            <w:vMerge/>
            <w:noWrap w:val="0"/>
            <w:vAlign w:val="center"/>
          </w:tcPr>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b/>
                <w:color w:val="auto"/>
                <w:sz w:val="24"/>
                <w:szCs w:val="24"/>
                <w:highlight w:val="none"/>
              </w:rPr>
            </w:pPr>
          </w:p>
        </w:tc>
        <w:tc>
          <w:tcPr>
            <w:tcW w:w="811" w:type="pct"/>
            <w:noWrap w:val="0"/>
            <w:vAlign w:val="center"/>
          </w:tcPr>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b/>
                <w:color w:val="auto"/>
                <w:sz w:val="24"/>
                <w:szCs w:val="24"/>
                <w:highlight w:val="none"/>
              </w:rPr>
            </w:pPr>
            <w:r>
              <w:rPr>
                <w:rFonts w:ascii="宋体" w:eastAsia="宋体" w:hAnsi="宋体" w:cs="宋体" w:hint="eastAsia"/>
                <w:b/>
                <w:color w:val="auto"/>
                <w:sz w:val="24"/>
                <w:szCs w:val="24"/>
                <w:highlight w:val="none"/>
              </w:rPr>
              <w:t>发票管理</w:t>
            </w:r>
          </w:p>
        </w:tc>
        <w:tc>
          <w:tcPr>
            <w:tcW w:w="3676" w:type="pct"/>
            <w:noWrap w:val="0"/>
            <w:vAlign w:val="center"/>
          </w:tcPr>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1.每年底申报站下年度票据需求计划。</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2.领取时，填写《票据领用单》，查核所领票据的起止号及份数正确无误后，共同在领用单上签字，完成领用手续。</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3.电脑发票和定额发票的核销实行每班核销制。</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4.每月对库存和领出的电脑发票和定额发票进行一次全面盘点。每月对领出的定额发票回收清理一次。</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5.每月定期对库存票据进行检查，不定期对收费员个人保管的票据进行抽检，并与相关台帐核对，确保票据的完好性、正确性。</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6.票据使用或保管的相关责任人变动时，必须办理交接手续。</w:t>
            </w:r>
          </w:p>
        </w:tc>
      </w:tr>
      <w:tr>
        <w:tblPrEx>
          <w:tblW w:w="4802" w:type="pct"/>
          <w:tblInd w:w="0" w:type="dxa"/>
          <w:tblLayout w:type="fixed"/>
          <w:tblCellMar>
            <w:top w:w="0" w:type="dxa"/>
            <w:left w:w="108" w:type="dxa"/>
            <w:bottom w:w="0" w:type="dxa"/>
            <w:right w:w="108" w:type="dxa"/>
          </w:tblCellMar>
        </w:tblPrEx>
        <w:tc>
          <w:tcPr>
            <w:tcW w:w="512" w:type="pct"/>
            <w:vMerge w:val="restart"/>
            <w:noWrap w:val="0"/>
            <w:vAlign w:val="center"/>
          </w:tcPr>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b/>
                <w:color w:val="auto"/>
                <w:sz w:val="24"/>
                <w:szCs w:val="24"/>
                <w:highlight w:val="none"/>
              </w:rPr>
            </w:pPr>
            <w:r>
              <w:rPr>
                <w:rFonts w:ascii="宋体" w:eastAsia="宋体" w:hAnsi="宋体" w:cs="宋体" w:hint="eastAsia"/>
                <w:b/>
                <w:color w:val="auto"/>
                <w:sz w:val="24"/>
                <w:szCs w:val="24"/>
                <w:highlight w:val="none"/>
              </w:rPr>
              <w:t>收费现场管理</w:t>
            </w:r>
          </w:p>
        </w:tc>
        <w:tc>
          <w:tcPr>
            <w:tcW w:w="811" w:type="pct"/>
            <w:noWrap w:val="0"/>
            <w:vAlign w:val="center"/>
          </w:tcPr>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b/>
                <w:color w:val="auto"/>
                <w:sz w:val="24"/>
                <w:szCs w:val="24"/>
                <w:highlight w:val="none"/>
              </w:rPr>
            </w:pPr>
            <w:r>
              <w:rPr>
                <w:rFonts w:ascii="宋体" w:eastAsia="宋体" w:hAnsi="宋体" w:cs="宋体" w:hint="eastAsia"/>
                <w:b/>
                <w:color w:val="auto"/>
                <w:sz w:val="24"/>
                <w:szCs w:val="24"/>
                <w:highlight w:val="none"/>
              </w:rPr>
              <w:t>交通秩序管理</w:t>
            </w:r>
          </w:p>
        </w:tc>
        <w:tc>
          <w:tcPr>
            <w:tcW w:w="3676" w:type="pct"/>
            <w:noWrap w:val="0"/>
            <w:vAlign w:val="center"/>
          </w:tcPr>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1.按政策规定，开足车道。</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2.应密切关注广场车流变化情况，当排队车辆增多时必须立即安排开启备用车道。</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3.广场人员应维持好广场交通秩序。</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4.如车辆因故或其他原因，车辆在车道停留时间较长，应尽快安排开启备用车道，并及时处理滞道车辆。</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5.道路封闭时，广场人员应做好上路车辆的劝退工作，确保交通秩序井然。</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6.认真做好上级通知的布控车辆拦截工作。</w:t>
            </w:r>
          </w:p>
        </w:tc>
      </w:tr>
      <w:tr>
        <w:tblPrEx>
          <w:tblW w:w="4802" w:type="pct"/>
          <w:tblInd w:w="0" w:type="dxa"/>
          <w:tblLayout w:type="fixed"/>
          <w:tblCellMar>
            <w:top w:w="0" w:type="dxa"/>
            <w:left w:w="108" w:type="dxa"/>
            <w:bottom w:w="0" w:type="dxa"/>
            <w:right w:w="108" w:type="dxa"/>
          </w:tblCellMar>
        </w:tblPrEx>
        <w:tc>
          <w:tcPr>
            <w:tcW w:w="512" w:type="pct"/>
            <w:vMerge/>
            <w:noWrap w:val="0"/>
            <w:vAlign w:val="center"/>
          </w:tcPr>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b/>
                <w:color w:val="auto"/>
                <w:sz w:val="24"/>
                <w:szCs w:val="24"/>
                <w:highlight w:val="none"/>
              </w:rPr>
            </w:pPr>
          </w:p>
        </w:tc>
        <w:tc>
          <w:tcPr>
            <w:tcW w:w="811" w:type="pct"/>
            <w:noWrap w:val="0"/>
            <w:vAlign w:val="center"/>
          </w:tcPr>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b/>
                <w:color w:val="auto"/>
                <w:sz w:val="24"/>
                <w:szCs w:val="24"/>
                <w:highlight w:val="none"/>
              </w:rPr>
            </w:pPr>
            <w:r>
              <w:rPr>
                <w:rFonts w:ascii="宋体" w:eastAsia="宋体" w:hAnsi="宋体" w:cs="宋体" w:hint="eastAsia"/>
                <w:b/>
                <w:color w:val="auto"/>
                <w:sz w:val="24"/>
                <w:szCs w:val="24"/>
                <w:highlight w:val="none"/>
              </w:rPr>
              <w:t>入口治超管理</w:t>
            </w:r>
          </w:p>
        </w:tc>
        <w:tc>
          <w:tcPr>
            <w:tcW w:w="3676" w:type="pct"/>
            <w:noWrap w:val="0"/>
            <w:vAlign w:val="center"/>
          </w:tcPr>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1.严格按照《高速公路称重检测业务规范和技术要求》，确保系统正常有效运作。</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2.对经检测显示超限超载且无法提供超限超载运输许可的货车，拒绝其驶入高速公路并采取有效措施引导劝返，固定并提供车辆的图片、相关视频及数据等信息，及时报告交通执法部门和公安交管部门。</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3.建立入口检测设备运维制度，做好检测设施(设备)日常运行维护工作，制定“货车必检、超限禁入”的应急预案。</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4.在高速入口设置称重检测预告标志、入口指示标识及客货车分流标识，设置电子抓拍等设施，引导货车进入称重检测车道接受检测。</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5.在高速公路收费站入口附近建设或租赁符合要求的卸载场地，并建设或改造增设劝返车道。</w:t>
            </w:r>
          </w:p>
        </w:tc>
      </w:tr>
      <w:tr>
        <w:tblPrEx>
          <w:tblW w:w="4802" w:type="pct"/>
          <w:tblInd w:w="0" w:type="dxa"/>
          <w:tblLayout w:type="fixed"/>
          <w:tblCellMar>
            <w:top w:w="0" w:type="dxa"/>
            <w:left w:w="108" w:type="dxa"/>
            <w:bottom w:w="0" w:type="dxa"/>
            <w:right w:w="108" w:type="dxa"/>
          </w:tblCellMar>
        </w:tblPrEx>
        <w:tc>
          <w:tcPr>
            <w:tcW w:w="512" w:type="pct"/>
            <w:vMerge/>
            <w:noWrap w:val="0"/>
            <w:vAlign w:val="center"/>
          </w:tcPr>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b/>
                <w:color w:val="auto"/>
                <w:sz w:val="24"/>
                <w:szCs w:val="24"/>
                <w:highlight w:val="none"/>
              </w:rPr>
            </w:pPr>
          </w:p>
        </w:tc>
        <w:tc>
          <w:tcPr>
            <w:tcW w:w="811" w:type="pct"/>
            <w:noWrap w:val="0"/>
            <w:vAlign w:val="center"/>
          </w:tcPr>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b/>
                <w:color w:val="auto"/>
                <w:sz w:val="24"/>
                <w:szCs w:val="24"/>
                <w:highlight w:val="none"/>
              </w:rPr>
            </w:pPr>
            <w:r>
              <w:rPr>
                <w:rFonts w:ascii="宋体" w:eastAsia="宋体" w:hAnsi="宋体" w:cs="宋体" w:hint="eastAsia"/>
                <w:b/>
                <w:color w:val="auto"/>
                <w:sz w:val="24"/>
                <w:szCs w:val="24"/>
                <w:highlight w:val="none"/>
              </w:rPr>
              <w:t>安全管理</w:t>
            </w:r>
          </w:p>
        </w:tc>
        <w:tc>
          <w:tcPr>
            <w:tcW w:w="3676" w:type="pct"/>
            <w:noWrap w:val="0"/>
            <w:vAlign w:val="center"/>
          </w:tcPr>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1.进出收费广场应穿反光衣从人行天桥或指定线路通行。提钱箱行走时要做到钱箱不离手。</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2.广场人员执勤时必须穿反光衣。除特殊情况，一律站在安全岛上。</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3.进入收费亭，应随即反锁收费亭门。</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4.当车辆因制动失灵等原因失控时，应采取合理措施，做好自我防范，确保人身安全。</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5.若在收费车道发生车辆失火，如有人员受伤，首先应抢救伤员。如火势较小，使用灭火器迅速扑灭；若火势较大，应立即拨打119。同时做好车辆和人员的疏导工作，防止更大事故发生。</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6.车道内发生交通事故，做好车辆疏导工作，确保车辆通行畅通。</w:t>
            </w:r>
          </w:p>
        </w:tc>
      </w:tr>
      <w:tr>
        <w:tblPrEx>
          <w:tblW w:w="4802" w:type="pct"/>
          <w:tblInd w:w="0" w:type="dxa"/>
          <w:tblLayout w:type="fixed"/>
          <w:tblCellMar>
            <w:top w:w="0" w:type="dxa"/>
            <w:left w:w="108" w:type="dxa"/>
            <w:bottom w:w="0" w:type="dxa"/>
            <w:right w:w="108" w:type="dxa"/>
          </w:tblCellMar>
        </w:tblPrEx>
        <w:tc>
          <w:tcPr>
            <w:tcW w:w="512" w:type="pct"/>
            <w:vMerge/>
            <w:noWrap w:val="0"/>
            <w:vAlign w:val="center"/>
          </w:tcPr>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b/>
                <w:color w:val="auto"/>
                <w:sz w:val="24"/>
                <w:szCs w:val="24"/>
                <w:highlight w:val="none"/>
              </w:rPr>
            </w:pPr>
          </w:p>
        </w:tc>
        <w:tc>
          <w:tcPr>
            <w:tcW w:w="811" w:type="pct"/>
            <w:noWrap w:val="0"/>
            <w:vAlign w:val="center"/>
          </w:tcPr>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b/>
                <w:color w:val="auto"/>
                <w:sz w:val="24"/>
                <w:szCs w:val="24"/>
                <w:highlight w:val="none"/>
              </w:rPr>
            </w:pPr>
            <w:r>
              <w:rPr>
                <w:rFonts w:ascii="宋体" w:eastAsia="宋体" w:hAnsi="宋体" w:cs="宋体" w:hint="eastAsia"/>
                <w:b/>
                <w:color w:val="auto"/>
                <w:sz w:val="24"/>
                <w:szCs w:val="24"/>
                <w:highlight w:val="none"/>
              </w:rPr>
              <w:t>站容站貌管理</w:t>
            </w:r>
          </w:p>
        </w:tc>
        <w:tc>
          <w:tcPr>
            <w:tcW w:w="3676" w:type="pct"/>
            <w:noWrap w:val="0"/>
            <w:vAlign w:val="center"/>
          </w:tcPr>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1.进入收费亭，应将证件及收费物品按规定摆放。</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2.在收费作业时，收费员应保持良好的精神状态，仪表整洁。</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3.亭外人员应着装整齐，站姿规范。处理特殊情况及纠正违章应保证文明用语。</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4.维护收费区域环境卫生，发现垃圾及时处理。</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5.认真履行当班卫生保洁工作职责，保证收费亭地净墙洁窗明。</w:t>
            </w:r>
          </w:p>
        </w:tc>
      </w:tr>
      <w:tr>
        <w:tblPrEx>
          <w:tblW w:w="4802" w:type="pct"/>
          <w:tblInd w:w="0" w:type="dxa"/>
          <w:tblLayout w:type="fixed"/>
          <w:tblCellMar>
            <w:top w:w="0" w:type="dxa"/>
            <w:left w:w="108" w:type="dxa"/>
            <w:bottom w:w="0" w:type="dxa"/>
            <w:right w:w="108" w:type="dxa"/>
          </w:tblCellMar>
        </w:tblPrEx>
        <w:tc>
          <w:tcPr>
            <w:tcW w:w="512" w:type="pct"/>
            <w:vMerge/>
            <w:noWrap w:val="0"/>
            <w:vAlign w:val="center"/>
          </w:tcPr>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b/>
                <w:color w:val="auto"/>
                <w:sz w:val="24"/>
                <w:szCs w:val="24"/>
                <w:highlight w:val="none"/>
              </w:rPr>
            </w:pPr>
          </w:p>
        </w:tc>
        <w:tc>
          <w:tcPr>
            <w:tcW w:w="811" w:type="pct"/>
            <w:noWrap w:val="0"/>
            <w:vAlign w:val="center"/>
          </w:tcPr>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b/>
                <w:color w:val="auto"/>
                <w:sz w:val="24"/>
                <w:szCs w:val="24"/>
                <w:highlight w:val="none"/>
              </w:rPr>
            </w:pPr>
            <w:r>
              <w:rPr>
                <w:rFonts w:ascii="宋体" w:eastAsia="宋体" w:hAnsi="宋体" w:cs="宋体" w:hint="eastAsia"/>
                <w:b/>
                <w:color w:val="auto"/>
                <w:sz w:val="24"/>
                <w:szCs w:val="24"/>
                <w:highlight w:val="none"/>
              </w:rPr>
              <w:t>优质服务管理</w:t>
            </w:r>
          </w:p>
        </w:tc>
        <w:tc>
          <w:tcPr>
            <w:tcW w:w="3676" w:type="pct"/>
            <w:noWrap w:val="0"/>
            <w:vAlign w:val="center"/>
          </w:tcPr>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1.收费速度：每车平均处理时间为10秒；发卡速度：每车平均处理时间为8秒（入口计重劝返除外）。</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2.收费员要以优质服务为宗旨，耐心解答司乘人员的询问，提供力所能及的帮助。收费一线人员必须熟悉本路段及互通路段各收费站方向及位置，熟悉本站周边路网及重点目的地的行车路线。积极宣传收费政策。</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3.收费人员不得向司乘人员索要任何财物。</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4.收费员因故需暂时离开收费亭，应先请示班长，待班长封道、报监控员后锁窗、门后离开。</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5.若收费员离开时由顶班人员顶班，则收费员应与顶班人员核对钱、卡后方可离开。顶班人员到位后，应将自己的上岗证替换原收费员的上岗证，做到持证上岗。</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6.顶岗人员在收费员回岗后，报监控员，核对钱、卡后方可离开。</w:t>
            </w:r>
          </w:p>
        </w:tc>
      </w:tr>
      <w:tr>
        <w:tblPrEx>
          <w:tblW w:w="4802" w:type="pct"/>
          <w:tblInd w:w="0" w:type="dxa"/>
          <w:tblLayout w:type="fixed"/>
          <w:tblCellMar>
            <w:top w:w="0" w:type="dxa"/>
            <w:left w:w="108" w:type="dxa"/>
            <w:bottom w:w="0" w:type="dxa"/>
            <w:right w:w="108" w:type="dxa"/>
          </w:tblCellMar>
        </w:tblPrEx>
        <w:tc>
          <w:tcPr>
            <w:tcW w:w="512" w:type="pct"/>
            <w:noWrap w:val="0"/>
            <w:vAlign w:val="center"/>
          </w:tcPr>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b/>
                <w:color w:val="auto"/>
                <w:sz w:val="24"/>
                <w:szCs w:val="24"/>
                <w:highlight w:val="none"/>
              </w:rPr>
            </w:pPr>
            <w:r>
              <w:rPr>
                <w:rFonts w:ascii="宋体" w:eastAsia="宋体" w:hAnsi="宋体" w:cs="宋体" w:hint="eastAsia"/>
                <w:b/>
                <w:color w:val="auto"/>
                <w:sz w:val="24"/>
                <w:szCs w:val="24"/>
                <w:highlight w:val="none"/>
              </w:rPr>
              <w:t>机电管理</w:t>
            </w:r>
          </w:p>
        </w:tc>
        <w:tc>
          <w:tcPr>
            <w:tcW w:w="811" w:type="pct"/>
            <w:noWrap w:val="0"/>
            <w:vAlign w:val="center"/>
          </w:tcPr>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b/>
                <w:color w:val="auto"/>
                <w:sz w:val="24"/>
                <w:szCs w:val="24"/>
                <w:highlight w:val="none"/>
              </w:rPr>
            </w:pPr>
            <w:r>
              <w:rPr>
                <w:rFonts w:ascii="宋体" w:eastAsia="宋体" w:hAnsi="宋体" w:cs="宋体" w:hint="eastAsia"/>
                <w:b/>
                <w:color w:val="auto"/>
                <w:sz w:val="24"/>
                <w:szCs w:val="24"/>
                <w:highlight w:val="none"/>
              </w:rPr>
              <w:t>机电设备维护</w:t>
            </w:r>
          </w:p>
        </w:tc>
        <w:tc>
          <w:tcPr>
            <w:tcW w:w="3676" w:type="pct"/>
            <w:noWrap w:val="0"/>
            <w:vAlign w:val="center"/>
          </w:tcPr>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1.根据机电设备维护技术规范要求，编制年度机电系统的日常保养计划和日常巡检内容。</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2.各设备使用单位根据年度机电系统的日常保养计划和日常巡检内容做好机电系统设备的日常保养和巡检工作。</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3.在日常保养和巡检中发现的故障隐患，及时记录到相关的巡检日志之中,并根据故障处理流程上报故障和跟进故障处理工作。</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4.立即安排维护人员对故障进行修复。</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5.故障修复后，设备使用单位对修复的故障的时效和工程量进行验收。</w:t>
            </w:r>
          </w:p>
        </w:tc>
      </w:tr>
      <w:tr>
        <w:tblPrEx>
          <w:tblW w:w="4802" w:type="pct"/>
          <w:tblInd w:w="0" w:type="dxa"/>
          <w:tblLayout w:type="fixed"/>
          <w:tblCellMar>
            <w:top w:w="0" w:type="dxa"/>
            <w:left w:w="108" w:type="dxa"/>
            <w:bottom w:w="0" w:type="dxa"/>
            <w:right w:w="108" w:type="dxa"/>
          </w:tblCellMar>
        </w:tblPrEx>
        <w:tc>
          <w:tcPr>
            <w:tcW w:w="512" w:type="pct"/>
            <w:noWrap w:val="0"/>
            <w:vAlign w:val="center"/>
          </w:tcPr>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b/>
                <w:color w:val="auto"/>
                <w:kern w:val="2"/>
                <w:sz w:val="24"/>
                <w:szCs w:val="24"/>
                <w:highlight w:val="none"/>
                <w:lang w:val="en-US" w:eastAsia="zh-CN" w:bidi="ar-SA"/>
              </w:rPr>
            </w:pPr>
            <w:r>
              <w:rPr>
                <w:rFonts w:ascii="宋体" w:eastAsia="宋体" w:hAnsi="宋体" w:cs="宋体" w:hint="eastAsia"/>
                <w:b/>
                <w:color w:val="auto"/>
                <w:sz w:val="24"/>
                <w:szCs w:val="24"/>
                <w:highlight w:val="none"/>
              </w:rPr>
              <w:t>房建设施管理</w:t>
            </w:r>
          </w:p>
        </w:tc>
        <w:tc>
          <w:tcPr>
            <w:tcW w:w="811" w:type="pct"/>
            <w:noWrap w:val="0"/>
            <w:vAlign w:val="center"/>
          </w:tcPr>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b/>
                <w:color w:val="auto"/>
                <w:kern w:val="2"/>
                <w:sz w:val="24"/>
                <w:szCs w:val="24"/>
                <w:highlight w:val="none"/>
                <w:lang w:val="en-US" w:eastAsia="zh-CN" w:bidi="ar-SA"/>
              </w:rPr>
            </w:pPr>
            <w:r>
              <w:rPr>
                <w:rFonts w:ascii="宋体" w:eastAsia="宋体" w:hAnsi="宋体" w:cs="宋体" w:hint="eastAsia"/>
                <w:b/>
                <w:color w:val="auto"/>
                <w:sz w:val="24"/>
                <w:szCs w:val="24"/>
                <w:highlight w:val="none"/>
              </w:rPr>
              <w:t>房建设施维护</w:t>
            </w:r>
          </w:p>
        </w:tc>
        <w:tc>
          <w:tcPr>
            <w:tcW w:w="3676" w:type="pct"/>
            <w:noWrap w:val="0"/>
            <w:vAlign w:val="center"/>
          </w:tcPr>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bCs/>
                <w:color w:val="auto"/>
                <w:sz w:val="24"/>
                <w:szCs w:val="24"/>
                <w:highlight w:val="none"/>
              </w:rPr>
            </w:pPr>
            <w:r>
              <w:rPr>
                <w:rFonts w:ascii="宋体" w:eastAsia="宋体" w:hAnsi="宋体" w:cs="宋体" w:hint="eastAsia"/>
                <w:color w:val="auto"/>
                <w:sz w:val="24"/>
                <w:szCs w:val="24"/>
                <w:highlight w:val="none"/>
              </w:rPr>
              <w:t>1.做好收费雨棚维护工作，及时修补缺陷与损伤，雨棚结构稳固、无漏雨。</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bCs/>
                <w:color w:val="auto"/>
                <w:sz w:val="24"/>
                <w:szCs w:val="24"/>
                <w:highlight w:val="none"/>
              </w:rPr>
            </w:pPr>
            <w:r>
              <w:rPr>
                <w:rFonts w:ascii="宋体" w:eastAsia="宋体" w:hAnsi="宋体" w:cs="宋体" w:hint="eastAsia"/>
                <w:bCs/>
                <w:color w:val="auto"/>
                <w:sz w:val="24"/>
                <w:szCs w:val="24"/>
                <w:highlight w:val="none"/>
              </w:rPr>
              <w:t>2.做好收费车道安全岛维护工作，及时修补损伤与刷新，保持安全岛美观、整洁。</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3.开展房建设施日常巡查检查，重点对地基基础、墙体裂缝、房建梁板构件、建筑构件与部件等巡检，发现存在不均匀下沉、倾斜变形、开裂及装饰脱落等故障隐患，及时立即安排维护人员对故障进行修复。</w:t>
            </w:r>
          </w:p>
          <w:p>
            <w:pPr>
              <w:pStyle w:val="NormalIndent"/>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宋体" w:eastAsia="宋体" w:hAnsi="宋体" w:cs="宋体" w:hint="eastAsia"/>
                <w:b w:val="0"/>
                <w:bCs/>
                <w:color w:val="auto"/>
                <w:kern w:val="2"/>
                <w:sz w:val="24"/>
                <w:szCs w:val="24"/>
                <w:highlight w:val="none"/>
                <w:lang w:val="en-US" w:eastAsia="zh-CN" w:bidi="ar-SA"/>
              </w:rPr>
            </w:pPr>
            <w:r>
              <w:rPr>
                <w:rFonts w:ascii="宋体" w:eastAsia="宋体" w:hAnsi="宋体" w:cs="宋体" w:hint="eastAsia"/>
                <w:b w:val="0"/>
                <w:color w:val="auto"/>
                <w:sz w:val="24"/>
                <w:szCs w:val="24"/>
                <w:highlight w:val="none"/>
              </w:rPr>
              <w:t>4.故障修复后应按照规定进行验收，并做好台账记录。</w:t>
            </w:r>
          </w:p>
        </w:tc>
      </w:tr>
    </w:tbl>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color w:val="auto"/>
          <w:sz w:val="24"/>
          <w:szCs w:val="24"/>
          <w:highlight w:val="none"/>
          <w:lang w:val="en-US" w:eastAsia="zh-CN"/>
        </w:rPr>
      </w:pPr>
      <w:r>
        <w:rPr>
          <w:rFonts w:ascii="宋体" w:eastAsia="宋体" w:hAnsi="宋体" w:cs="宋体" w:hint="eastAsia"/>
          <w:bCs/>
          <w:color w:val="auto"/>
          <w:sz w:val="24"/>
          <w:szCs w:val="24"/>
          <w:highlight w:val="none"/>
          <w:lang w:val="en-US" w:eastAsia="zh-CN"/>
        </w:rPr>
        <w:t>2.合同方式：2025年盐坝高速坝光收费站运营维护管理协议，总价包干。</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rPr>
      </w:pPr>
      <w:r>
        <w:rPr>
          <w:rFonts w:ascii="宋体" w:eastAsia="宋体" w:hAnsi="宋体" w:cs="宋体" w:hint="eastAsia"/>
          <w:bCs/>
          <w:color w:val="auto"/>
          <w:sz w:val="24"/>
          <w:szCs w:val="24"/>
          <w:highlight w:val="none"/>
          <w:lang w:val="en-US" w:eastAsia="zh-CN"/>
        </w:rPr>
        <w:t>（1）服务期：</w:t>
      </w:r>
      <w:r>
        <w:rPr>
          <w:rFonts w:ascii="宋体" w:eastAsia="宋体" w:hAnsi="宋体" w:cs="宋体" w:hint="eastAsia"/>
          <w:sz w:val="24"/>
          <w:szCs w:val="24"/>
          <w:highlight w:val="none"/>
          <w:lang w:eastAsia="zh-CN"/>
        </w:rPr>
        <w:t>自合同签订之日起</w:t>
      </w:r>
      <w:r>
        <w:rPr>
          <w:rFonts w:ascii="宋体" w:eastAsia="宋体" w:hAnsi="宋体" w:cs="宋体" w:hint="eastAsia"/>
          <w:sz w:val="24"/>
          <w:szCs w:val="24"/>
          <w:highlight w:val="none"/>
          <w:lang w:val="en-US" w:eastAsia="zh-CN"/>
        </w:rPr>
        <w:t>1年</w:t>
      </w:r>
      <w:r>
        <w:rPr>
          <w:rFonts w:ascii="宋体" w:eastAsia="宋体" w:hAnsi="宋体" w:cs="宋体" w:hint="eastAsia"/>
          <w:color w:val="auto"/>
          <w:sz w:val="24"/>
          <w:szCs w:val="24"/>
          <w:highlight w:val="none"/>
        </w:rPr>
        <w:t>。</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color w:val="auto"/>
          <w:sz w:val="24"/>
          <w:szCs w:val="24"/>
          <w:highlight w:val="none"/>
          <w:lang w:val="en-US" w:eastAsia="zh-CN"/>
        </w:rPr>
      </w:pPr>
      <w:r>
        <w:rPr>
          <w:rFonts w:ascii="宋体" w:eastAsia="宋体" w:hAnsi="宋体" w:cs="宋体" w:hint="eastAsia"/>
          <w:bCs/>
          <w:color w:val="auto"/>
          <w:sz w:val="24"/>
          <w:szCs w:val="24"/>
          <w:highlight w:val="none"/>
          <w:lang w:val="en-US" w:eastAsia="zh-CN"/>
        </w:rPr>
        <w:t>（2）结算价：中标价。</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color w:val="auto"/>
          <w:sz w:val="24"/>
          <w:szCs w:val="24"/>
          <w:highlight w:val="none"/>
          <w:lang w:val="en-US" w:eastAsia="zh-CN"/>
        </w:rPr>
      </w:pPr>
      <w:r>
        <w:rPr>
          <w:rFonts w:ascii="宋体" w:eastAsia="宋体" w:hAnsi="宋体" w:cs="宋体" w:hint="eastAsia"/>
          <w:bCs/>
          <w:color w:val="auto"/>
          <w:sz w:val="24"/>
          <w:szCs w:val="24"/>
          <w:highlight w:val="none"/>
          <w:lang w:val="en-US" w:eastAsia="zh-CN"/>
        </w:rPr>
        <w:t>（3）如因相关部门职能调整或其他政策原因导致合同主体变更，中标方应无条件接受并不得因此提出索赔或补偿要求。</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lang w:val="en-US" w:eastAsia="zh-CN"/>
        </w:rPr>
      </w:pPr>
      <w:r>
        <w:rPr>
          <w:rFonts w:ascii="宋体" w:eastAsia="宋体" w:hAnsi="宋体" w:cs="宋体" w:hint="eastAsia"/>
          <w:bCs/>
          <w:color w:val="auto"/>
          <w:sz w:val="24"/>
          <w:szCs w:val="24"/>
          <w:highlight w:val="none"/>
          <w:lang w:val="en-US" w:eastAsia="zh-CN"/>
        </w:rPr>
        <w:t>3.管理质量要求：</w:t>
      </w:r>
      <w:r>
        <w:rPr>
          <w:rFonts w:ascii="宋体" w:eastAsia="宋体" w:hAnsi="宋体" w:cs="宋体" w:hint="eastAsia"/>
          <w:color w:val="auto"/>
          <w:sz w:val="24"/>
          <w:szCs w:val="24"/>
          <w:highlight w:val="none"/>
          <w:lang w:val="en-US" w:eastAsia="zh-CN"/>
        </w:rPr>
        <w:t>按《公路法》《收费公路管理条例》《广东省高速公路运营管理办法》《收费公路联网收费运营和服务规程》《〈收费公路车辆通行费车型分类〉(JT/T 489-2019）》《深圳市交通运输局收费高速公路运营管理监督考评办法》执行。在服务期限内，如国家、省、深圳市主管部门及单位对道路运营管理标准有调整的，则按新标准执行。</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color w:val="auto"/>
          <w:sz w:val="24"/>
          <w:szCs w:val="24"/>
          <w:highlight w:val="none"/>
          <w:lang w:val="en-US" w:eastAsia="zh-CN"/>
        </w:rPr>
      </w:pPr>
      <w:r>
        <w:rPr>
          <w:rFonts w:ascii="宋体" w:eastAsia="宋体" w:hAnsi="宋体" w:cs="宋体" w:hint="eastAsia"/>
          <w:bCs/>
          <w:color w:val="auto"/>
          <w:sz w:val="24"/>
          <w:szCs w:val="24"/>
          <w:highlight w:val="none"/>
          <w:lang w:val="en-US" w:eastAsia="zh-CN"/>
        </w:rPr>
        <w:t>4.运营期限：1年。</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lang w:val="en-US" w:eastAsia="zh-CN"/>
        </w:rPr>
      </w:pPr>
      <w:r>
        <w:rPr>
          <w:rFonts w:ascii="宋体" w:eastAsia="宋体" w:hAnsi="宋体" w:cs="宋体" w:hint="eastAsia"/>
          <w:color w:val="auto"/>
          <w:sz w:val="24"/>
          <w:szCs w:val="24"/>
          <w:highlight w:val="none"/>
          <w:lang w:val="en-US" w:eastAsia="zh-CN"/>
        </w:rPr>
        <w:t>5.特别约定</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lang w:val="en-US" w:eastAsia="zh-CN"/>
        </w:rPr>
      </w:pPr>
      <w:r>
        <w:rPr>
          <w:rFonts w:ascii="宋体" w:eastAsia="宋体" w:hAnsi="宋体" w:cs="宋体" w:hint="eastAsia"/>
          <w:color w:val="auto"/>
          <w:sz w:val="24"/>
          <w:szCs w:val="24"/>
          <w:highlight w:val="none"/>
          <w:lang w:val="en-US" w:eastAsia="zh-CN"/>
        </w:rPr>
        <w:t>因国家、省、市主管部门的政策要求带来的新工艺新材料新设备运用、收费政策调整、技术改造升级、广场改扩建以及自然灾害等产生的费用，不包含在本合同价中。</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lang w:val="en-US" w:eastAsia="zh-CN"/>
        </w:rPr>
      </w:pPr>
      <w:r>
        <w:rPr>
          <w:rFonts w:ascii="宋体" w:eastAsia="宋体" w:hAnsi="宋体" w:cs="宋体" w:hint="eastAsia"/>
          <w:color w:val="auto"/>
          <w:sz w:val="24"/>
          <w:szCs w:val="24"/>
          <w:highlight w:val="none"/>
          <w:lang w:val="en-US" w:eastAsia="zh-CN"/>
        </w:rPr>
        <w:t>三、项目管理要求</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lang w:val="en-US" w:eastAsia="zh-CN"/>
        </w:rPr>
      </w:pPr>
      <w:r>
        <w:rPr>
          <w:rFonts w:ascii="宋体" w:eastAsia="宋体" w:hAnsi="宋体" w:cs="宋体" w:hint="eastAsia"/>
          <w:color w:val="auto"/>
          <w:sz w:val="24"/>
          <w:szCs w:val="24"/>
          <w:highlight w:val="none"/>
          <w:lang w:val="en-US" w:eastAsia="zh-CN"/>
        </w:rPr>
        <w:t>（一）总则</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bCs/>
          <w:color w:val="auto"/>
          <w:sz w:val="24"/>
          <w:szCs w:val="24"/>
          <w:highlight w:val="none"/>
          <w:lang w:val="en-US" w:eastAsia="zh-CN"/>
        </w:rPr>
      </w:pPr>
      <w:r>
        <w:rPr>
          <w:rFonts w:ascii="宋体" w:eastAsia="宋体" w:hAnsi="宋体" w:cs="宋体" w:hint="eastAsia"/>
          <w:b/>
          <w:bCs/>
          <w:color w:val="auto"/>
          <w:sz w:val="24"/>
          <w:szCs w:val="24"/>
          <w:highlight w:val="none"/>
          <w:lang w:val="en-US" w:eastAsia="zh-CN"/>
        </w:rPr>
        <w:t>1.标准与规范</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color w:val="auto"/>
          <w:sz w:val="24"/>
          <w:szCs w:val="24"/>
          <w:highlight w:val="none"/>
        </w:rPr>
      </w:pPr>
      <w:r>
        <w:rPr>
          <w:rFonts w:ascii="宋体" w:eastAsia="宋体" w:hAnsi="宋体" w:cs="宋体" w:hint="eastAsia"/>
          <w:bCs/>
          <w:color w:val="auto"/>
          <w:sz w:val="24"/>
          <w:szCs w:val="24"/>
          <w:highlight w:val="none"/>
        </w:rPr>
        <w:t>（1）在运营管理实施中，所引用的标准或规范如果有局部修订或新颁布，则</w:t>
      </w:r>
      <w:r>
        <w:rPr>
          <w:rFonts w:ascii="宋体" w:eastAsia="宋体" w:hAnsi="宋体" w:cs="宋体" w:hint="eastAsia"/>
          <w:bCs/>
          <w:color w:val="auto"/>
          <w:sz w:val="24"/>
          <w:szCs w:val="24"/>
          <w:highlight w:val="none"/>
          <w:lang w:eastAsia="zh-CN"/>
        </w:rPr>
        <w:t>中标方</w:t>
      </w:r>
      <w:r>
        <w:rPr>
          <w:rFonts w:ascii="宋体" w:eastAsia="宋体" w:hAnsi="宋体" w:cs="宋体" w:hint="eastAsia"/>
          <w:bCs/>
          <w:color w:val="auto"/>
          <w:sz w:val="24"/>
          <w:szCs w:val="24"/>
          <w:highlight w:val="none"/>
        </w:rPr>
        <w:t>应采用新的标准或规范执行；采购方亦将按新的技术标准或规范进行考核，且价格不变。</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color w:val="auto"/>
          <w:sz w:val="24"/>
          <w:szCs w:val="24"/>
          <w:highlight w:val="none"/>
        </w:rPr>
      </w:pPr>
      <w:r>
        <w:rPr>
          <w:rFonts w:ascii="宋体" w:eastAsia="宋体" w:hAnsi="宋体" w:cs="宋体" w:hint="eastAsia"/>
          <w:bCs/>
          <w:color w:val="auto"/>
          <w:sz w:val="24"/>
          <w:szCs w:val="24"/>
          <w:highlight w:val="none"/>
        </w:rPr>
        <w:t>（2）对于运营管理所采用的标准或规范的任何部分，当</w:t>
      </w:r>
      <w:r>
        <w:rPr>
          <w:rFonts w:ascii="宋体" w:eastAsia="宋体" w:hAnsi="宋体" w:cs="宋体" w:hint="eastAsia"/>
          <w:bCs/>
          <w:color w:val="auto"/>
          <w:sz w:val="24"/>
          <w:szCs w:val="24"/>
          <w:highlight w:val="none"/>
          <w:lang w:eastAsia="zh-CN"/>
        </w:rPr>
        <w:t>中标方</w:t>
      </w:r>
      <w:r>
        <w:rPr>
          <w:rFonts w:ascii="宋体" w:eastAsia="宋体" w:hAnsi="宋体" w:cs="宋体" w:hint="eastAsia"/>
          <w:bCs/>
          <w:color w:val="auto"/>
          <w:sz w:val="24"/>
          <w:szCs w:val="24"/>
          <w:highlight w:val="none"/>
        </w:rPr>
        <w:t>认为调整其他标准或规范，能够保证运营管理达到更高质量要求时，</w:t>
      </w:r>
      <w:r>
        <w:rPr>
          <w:rFonts w:ascii="宋体" w:eastAsia="宋体" w:hAnsi="宋体" w:cs="宋体" w:hint="eastAsia"/>
          <w:bCs/>
          <w:color w:val="auto"/>
          <w:sz w:val="24"/>
          <w:szCs w:val="24"/>
          <w:highlight w:val="none"/>
          <w:lang w:eastAsia="zh-CN"/>
        </w:rPr>
        <w:t>中标方</w:t>
      </w:r>
      <w:r>
        <w:rPr>
          <w:rFonts w:ascii="宋体" w:eastAsia="宋体" w:hAnsi="宋体" w:cs="宋体" w:hint="eastAsia"/>
          <w:bCs/>
          <w:color w:val="auto"/>
          <w:sz w:val="24"/>
          <w:szCs w:val="24"/>
          <w:highlight w:val="none"/>
        </w:rPr>
        <w:t>应在7</w:t>
      </w:r>
      <w:r>
        <w:rPr>
          <w:rFonts w:ascii="宋体" w:eastAsia="宋体" w:hAnsi="宋体" w:cs="宋体" w:hint="eastAsia"/>
          <w:bCs/>
          <w:color w:val="auto"/>
          <w:sz w:val="24"/>
          <w:szCs w:val="24"/>
          <w:highlight w:val="none"/>
          <w:lang w:eastAsia="zh-CN"/>
        </w:rPr>
        <w:t>个工作日</w:t>
      </w:r>
      <w:r>
        <w:rPr>
          <w:rFonts w:ascii="宋体" w:eastAsia="宋体" w:hAnsi="宋体" w:cs="宋体" w:hint="eastAsia"/>
          <w:bCs/>
          <w:color w:val="auto"/>
          <w:sz w:val="24"/>
          <w:szCs w:val="24"/>
          <w:highlight w:val="none"/>
        </w:rPr>
        <w:t>前报经采购方审批后，方可采用。但这种批准，应不免除</w:t>
      </w:r>
      <w:r>
        <w:rPr>
          <w:rFonts w:ascii="宋体" w:eastAsia="宋体" w:hAnsi="宋体" w:cs="宋体" w:hint="eastAsia"/>
          <w:bCs/>
          <w:color w:val="auto"/>
          <w:sz w:val="24"/>
          <w:szCs w:val="24"/>
          <w:highlight w:val="none"/>
          <w:lang w:eastAsia="zh-CN"/>
        </w:rPr>
        <w:t>中标方</w:t>
      </w:r>
      <w:r>
        <w:rPr>
          <w:rFonts w:ascii="宋体" w:eastAsia="宋体" w:hAnsi="宋体" w:cs="宋体" w:hint="eastAsia"/>
          <w:bCs/>
          <w:color w:val="auto"/>
          <w:sz w:val="24"/>
          <w:szCs w:val="24"/>
          <w:highlight w:val="none"/>
        </w:rPr>
        <w:t>根据合同规定的任何责任，且价格不变。</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color w:val="auto"/>
          <w:sz w:val="24"/>
          <w:szCs w:val="24"/>
          <w:highlight w:val="none"/>
        </w:rPr>
      </w:pPr>
      <w:r>
        <w:rPr>
          <w:rFonts w:ascii="宋体" w:eastAsia="宋体" w:hAnsi="宋体" w:cs="宋体" w:hint="eastAsia"/>
          <w:bCs/>
          <w:color w:val="auto"/>
          <w:sz w:val="24"/>
          <w:szCs w:val="24"/>
          <w:highlight w:val="none"/>
        </w:rPr>
        <w:t>（3）当适用于运营管理的标准与规范出现意义不明或不一致时，应由采购方作出解释和校正，并就此向</w:t>
      </w:r>
      <w:r>
        <w:rPr>
          <w:rFonts w:ascii="宋体" w:eastAsia="宋体" w:hAnsi="宋体" w:cs="宋体" w:hint="eastAsia"/>
          <w:bCs/>
          <w:color w:val="auto"/>
          <w:sz w:val="24"/>
          <w:szCs w:val="24"/>
          <w:highlight w:val="none"/>
          <w:lang w:eastAsia="zh-CN"/>
        </w:rPr>
        <w:t>中标方</w:t>
      </w:r>
      <w:r>
        <w:rPr>
          <w:rFonts w:ascii="宋体" w:eastAsia="宋体" w:hAnsi="宋体" w:cs="宋体" w:hint="eastAsia"/>
          <w:bCs/>
          <w:color w:val="auto"/>
          <w:sz w:val="24"/>
          <w:szCs w:val="24"/>
          <w:highlight w:val="none"/>
        </w:rPr>
        <w:t>发出指令。</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bCs/>
          <w:color w:val="auto"/>
          <w:sz w:val="24"/>
          <w:szCs w:val="24"/>
          <w:highlight w:val="none"/>
          <w:lang w:val="en-US" w:eastAsia="zh-CN"/>
        </w:rPr>
      </w:pPr>
      <w:r>
        <w:rPr>
          <w:rFonts w:ascii="宋体" w:eastAsia="宋体" w:hAnsi="宋体" w:cs="宋体" w:hint="eastAsia"/>
          <w:b/>
          <w:bCs/>
          <w:color w:val="auto"/>
          <w:sz w:val="24"/>
          <w:szCs w:val="24"/>
          <w:highlight w:val="none"/>
          <w:lang w:val="en-US" w:eastAsia="zh-CN"/>
        </w:rPr>
        <w:t>2.各支付项的范围</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color w:val="auto"/>
          <w:sz w:val="24"/>
          <w:szCs w:val="24"/>
          <w:highlight w:val="none"/>
        </w:rPr>
      </w:pPr>
      <w:r>
        <w:rPr>
          <w:rFonts w:ascii="宋体" w:eastAsia="宋体" w:hAnsi="宋体" w:cs="宋体" w:hint="eastAsia"/>
          <w:bCs/>
          <w:color w:val="auto"/>
          <w:sz w:val="24"/>
          <w:szCs w:val="24"/>
          <w:highlight w:val="none"/>
        </w:rPr>
        <w:t>（1）</w:t>
      </w:r>
      <w:r>
        <w:rPr>
          <w:rFonts w:ascii="宋体" w:eastAsia="宋体" w:hAnsi="宋体" w:cs="宋体" w:hint="eastAsia"/>
          <w:bCs/>
          <w:color w:val="auto"/>
          <w:sz w:val="24"/>
          <w:szCs w:val="24"/>
          <w:highlight w:val="none"/>
          <w:lang w:eastAsia="zh-CN"/>
        </w:rPr>
        <w:t>中标方</w:t>
      </w:r>
      <w:r>
        <w:rPr>
          <w:rFonts w:ascii="宋体" w:eastAsia="宋体" w:hAnsi="宋体" w:cs="宋体" w:hint="eastAsia"/>
          <w:bCs/>
          <w:color w:val="auto"/>
          <w:sz w:val="24"/>
          <w:szCs w:val="24"/>
          <w:highlight w:val="none"/>
        </w:rPr>
        <w:t>应得到并接受按合同规定的报酬，作为实施本项目日常运营中需提供的一切劳务（包括劳务的管理）、材料、机械及其他事务的充分支付。</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color w:val="auto"/>
          <w:sz w:val="24"/>
          <w:szCs w:val="24"/>
          <w:highlight w:val="none"/>
        </w:rPr>
      </w:pPr>
      <w:r>
        <w:rPr>
          <w:rFonts w:ascii="宋体" w:eastAsia="宋体" w:hAnsi="宋体" w:cs="宋体" w:hint="eastAsia"/>
          <w:bCs/>
          <w:color w:val="auto"/>
          <w:sz w:val="24"/>
          <w:szCs w:val="24"/>
          <w:highlight w:val="none"/>
        </w:rPr>
        <w:t>（2）除非另有规定，合同价格均已包括了为实施和完成合同项目所需的劳务、材料、管理、利润、保险、规费、应纳税额（或费）等一切费用，以及合同明示或暗示的所有责任、义务和一般风险，且在合同期内不予调整。</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lang w:val="en-US" w:eastAsia="zh-CN"/>
        </w:rPr>
      </w:pPr>
      <w:r>
        <w:rPr>
          <w:rFonts w:ascii="宋体" w:eastAsia="宋体" w:hAnsi="宋体" w:cs="宋体" w:hint="eastAsia"/>
          <w:color w:val="auto"/>
          <w:sz w:val="24"/>
          <w:szCs w:val="24"/>
          <w:highlight w:val="none"/>
          <w:lang w:val="en-US" w:eastAsia="zh-CN"/>
        </w:rPr>
        <w:t>（二）运营管理</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1.收费作业过程管理</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（1）正常收费车辆收费、发卡作业流程</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应做到依法收费、规范管理、文明服务、快捷高效；及时开足车道，确保畅通；加强政策宣传，提高通行效率和服务水平，确保应收不漏，应免不收。</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（2）特殊车辆收费作业流程</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绿色通道车辆管理：遵照国家相关文件加强对绿通车辆的现场管理，强化“查验与监督”。</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收费站治超管理：对于超限超载车辆，做好超限超载车辆入口劝返以及劝离工作，对劝离车辆发放告知书和信息上报统计工作。</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冲卡逃费车处理：做好黑名单参数管理，由系统自动拦截；对冲卡逃费车辆进行有效拦截，有效打击冲卡逃费车辆。</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收费广场突发意外车辆事故情况下，按照事故车辆人员伤亡、财产损失以及对收费广场交通影响程度，现场人员应及时启动相应的应急预案。</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2.收费现场安全管理</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（1）进出收费广场应穿反光衣从地下通道或指定线路通行，要做到钱箱不离手，行走过道口时，应坚持“一慢、二看、三通过”的安全原则，在车辆停稳之前绝对禁止通过。</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（2）在上班过程中应精力集中，随时注意前方来车，除处理特殊情况外，一律站在安全岛上。</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（3）进入收费亭，应随即反锁收费亭门，短暂离开收费亭，应关闭窗户、抽屉和亭门。</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3.钱票卡清点工作</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收费作业完成后，对通行费、发票、收发卡的进行清点，将通行费、发票、复合卡等与系统进行核对，按要求并做好长、短款、假币处理，认真填写相关单据、表格。</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4.收费过程监督稽查</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对收费管理过程进行全过程监督稽查，包括对岗前准备工作的监督检查、对收费、发卡过程的监督检查、对当班司机逃费稽查、劳动纪律稽查、清点工作稽查等所有特殊事件进行稽查。</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应及时掌握监控、收费设备运行情况，规范使用监控设备，对收费特殊情况做好记录和作业指引，对工作纪律认真进行监督，发现有违规违纪现象时，及时提醒并做好监督记录。</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5.收费一线人员业务能力提升</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收费站认真抓好员工队伍建设，做好站级文明服务提升培训和专项业务操作培训，确保一线员工熟练掌握操作指引，打造创新、高效、团结、奋进的人才队伍。</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6.顾客投诉、咨询处理</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针对站场现场投诉、电话投诉、信访、媒体、主管部门投诉及其他业务咨询类问题，收费站现场收到后，应根据实际情况判断投诉是否有效，做好投诉事件的转办、传递、处理、反馈、回访工作。如无效，应直接回复顾客，并做好沟通解释工作；如为有效投诉，应开展对投诉事件的具体调查处理。</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lang w:val="en-US" w:eastAsia="zh-CN"/>
        </w:rPr>
      </w:pPr>
      <w:r>
        <w:rPr>
          <w:rFonts w:ascii="宋体" w:eastAsia="宋体" w:hAnsi="宋体" w:cs="宋体" w:hint="eastAsia"/>
          <w:color w:val="auto"/>
          <w:sz w:val="24"/>
          <w:szCs w:val="24"/>
          <w:highlight w:val="none"/>
          <w:lang w:val="en-US" w:eastAsia="zh-CN"/>
        </w:rPr>
        <w:t>（三）采购方权利与义务</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1.采购方不具体负责和直接参与收费站的运营管理工作，由</w:t>
      </w:r>
      <w:r>
        <w:rPr>
          <w:rFonts w:ascii="宋体" w:eastAsia="宋体" w:hAnsi="宋体" w:cs="宋体" w:hint="eastAsia"/>
          <w:color w:val="auto"/>
          <w:sz w:val="24"/>
          <w:szCs w:val="24"/>
          <w:highlight w:val="none"/>
          <w:lang w:eastAsia="zh-CN"/>
        </w:rPr>
        <w:t>中标方</w:t>
      </w:r>
      <w:r>
        <w:rPr>
          <w:rFonts w:ascii="宋体" w:eastAsia="宋体" w:hAnsi="宋体" w:cs="宋体" w:hint="eastAsia"/>
          <w:color w:val="auto"/>
          <w:sz w:val="24"/>
          <w:szCs w:val="24"/>
          <w:highlight w:val="none"/>
        </w:rPr>
        <w:t>负责该收费站的运营管理工作。</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2.采购方依照法律的规定和本协议的约定监督</w:t>
      </w:r>
      <w:r>
        <w:rPr>
          <w:rFonts w:ascii="宋体" w:eastAsia="宋体" w:hAnsi="宋体" w:cs="宋体" w:hint="eastAsia"/>
          <w:color w:val="auto"/>
          <w:sz w:val="24"/>
          <w:szCs w:val="24"/>
          <w:highlight w:val="none"/>
          <w:lang w:eastAsia="zh-CN"/>
        </w:rPr>
        <w:t>中标方</w:t>
      </w:r>
      <w:r>
        <w:rPr>
          <w:rFonts w:ascii="宋体" w:eastAsia="宋体" w:hAnsi="宋体" w:cs="宋体" w:hint="eastAsia"/>
          <w:color w:val="auto"/>
          <w:sz w:val="24"/>
          <w:szCs w:val="24"/>
          <w:highlight w:val="none"/>
        </w:rPr>
        <w:t>全面、高效履行收费站的运营、管理义务和职责。</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3.采购方有权制定相关办法，对</w:t>
      </w:r>
      <w:r>
        <w:rPr>
          <w:rFonts w:ascii="宋体" w:eastAsia="宋体" w:hAnsi="宋体" w:cs="宋体" w:hint="eastAsia"/>
          <w:color w:val="auto"/>
          <w:sz w:val="24"/>
          <w:szCs w:val="24"/>
          <w:highlight w:val="none"/>
          <w:lang w:eastAsia="zh-CN"/>
        </w:rPr>
        <w:t>中标方</w:t>
      </w:r>
      <w:r>
        <w:rPr>
          <w:rFonts w:ascii="宋体" w:eastAsia="宋体" w:hAnsi="宋体" w:cs="宋体" w:hint="eastAsia"/>
          <w:color w:val="auto"/>
          <w:sz w:val="24"/>
          <w:szCs w:val="24"/>
          <w:highlight w:val="none"/>
        </w:rPr>
        <w:t>营运管理服务进行监督检查、考核评定。</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4.采购方应按照本协议的约定支付服务费用。</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lang w:val="en-US" w:eastAsia="zh-CN"/>
        </w:rPr>
      </w:pPr>
      <w:r>
        <w:rPr>
          <w:rFonts w:ascii="宋体" w:eastAsia="宋体" w:hAnsi="宋体" w:cs="宋体" w:hint="eastAsia"/>
          <w:color w:val="auto"/>
          <w:sz w:val="24"/>
          <w:szCs w:val="24"/>
          <w:highlight w:val="none"/>
          <w:lang w:val="en-US" w:eastAsia="zh-CN"/>
        </w:rPr>
        <w:t>（四）中标方权利与义务</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w:t>
      </w:r>
      <w:r>
        <w:rPr>
          <w:rFonts w:ascii="宋体" w:eastAsia="宋体" w:hAnsi="宋体" w:cs="宋体" w:hint="eastAsia"/>
          <w:color w:val="auto"/>
          <w:sz w:val="24"/>
          <w:szCs w:val="24"/>
          <w:highlight w:val="none"/>
          <w:lang w:eastAsia="zh-CN"/>
        </w:rPr>
        <w:t>中标方</w:t>
      </w:r>
      <w:r>
        <w:rPr>
          <w:rFonts w:ascii="宋体" w:eastAsia="宋体" w:hAnsi="宋体" w:cs="宋体" w:hint="eastAsia"/>
          <w:color w:val="auto"/>
          <w:sz w:val="24"/>
          <w:szCs w:val="24"/>
          <w:highlight w:val="none"/>
        </w:rPr>
        <w:t>不得将收费站运营管理转包</w:t>
      </w:r>
      <w:r>
        <w:rPr>
          <w:rFonts w:ascii="宋体" w:eastAsia="宋体" w:hAnsi="宋体" w:cs="宋体" w:hint="eastAsia"/>
          <w:color w:val="auto"/>
          <w:sz w:val="24"/>
          <w:szCs w:val="24"/>
          <w:highlight w:val="none"/>
          <w:lang w:val="en-US" w:eastAsia="zh-CN"/>
        </w:rPr>
        <w:t>或转包</w:t>
      </w:r>
      <w:r>
        <w:rPr>
          <w:rFonts w:ascii="宋体" w:eastAsia="宋体" w:hAnsi="宋体" w:cs="宋体" w:hint="eastAsia"/>
          <w:color w:val="auto"/>
          <w:sz w:val="24"/>
          <w:szCs w:val="24"/>
          <w:highlight w:val="none"/>
        </w:rPr>
        <w:t>给任何第三方。</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2.</w:t>
      </w:r>
      <w:r>
        <w:rPr>
          <w:rFonts w:ascii="宋体" w:eastAsia="宋体" w:hAnsi="宋体" w:cs="宋体" w:hint="eastAsia"/>
          <w:color w:val="auto"/>
          <w:sz w:val="24"/>
          <w:szCs w:val="24"/>
          <w:highlight w:val="none"/>
          <w:lang w:eastAsia="zh-CN"/>
        </w:rPr>
        <w:t>中标方</w:t>
      </w:r>
      <w:r>
        <w:rPr>
          <w:rFonts w:ascii="宋体" w:eastAsia="宋体" w:hAnsi="宋体" w:cs="宋体" w:hint="eastAsia"/>
          <w:color w:val="auto"/>
          <w:sz w:val="24"/>
          <w:szCs w:val="24"/>
          <w:highlight w:val="none"/>
        </w:rPr>
        <w:t>应勤勉尽职完成收费站的运营、管理事务，保证按照国家、广东省、深圳市有关高速公路收费站的服务规范标准规定提供服务。</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3.</w:t>
      </w:r>
      <w:r>
        <w:rPr>
          <w:rFonts w:ascii="宋体" w:eastAsia="宋体" w:hAnsi="宋体" w:cs="宋体" w:hint="eastAsia"/>
          <w:color w:val="auto"/>
          <w:sz w:val="24"/>
          <w:szCs w:val="24"/>
          <w:highlight w:val="none"/>
          <w:lang w:eastAsia="zh-CN"/>
        </w:rPr>
        <w:t>中标方</w:t>
      </w:r>
      <w:r>
        <w:rPr>
          <w:rFonts w:ascii="宋体" w:eastAsia="宋体" w:hAnsi="宋体" w:cs="宋体" w:hint="eastAsia"/>
          <w:color w:val="auto"/>
          <w:sz w:val="24"/>
          <w:szCs w:val="24"/>
          <w:highlight w:val="none"/>
        </w:rPr>
        <w:t>应当严格按照国家《公路法》、《收费公路管理条例》、《广东省高速公路运营管理办法》及深圳市的有关规定制定相应的收费站管理服务制度、安全生产制度并报采购方备案。</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4.</w:t>
      </w:r>
      <w:r>
        <w:rPr>
          <w:rFonts w:ascii="宋体" w:eastAsia="宋体" w:hAnsi="宋体" w:cs="宋体" w:hint="eastAsia"/>
          <w:color w:val="auto"/>
          <w:sz w:val="24"/>
          <w:szCs w:val="24"/>
          <w:highlight w:val="none"/>
          <w:lang w:eastAsia="zh-CN"/>
        </w:rPr>
        <w:t>中标方</w:t>
      </w:r>
      <w:r>
        <w:rPr>
          <w:rFonts w:ascii="宋体" w:eastAsia="宋体" w:hAnsi="宋体" w:cs="宋体" w:hint="eastAsia"/>
          <w:color w:val="auto"/>
          <w:sz w:val="24"/>
          <w:szCs w:val="24"/>
          <w:highlight w:val="none"/>
        </w:rPr>
        <w:t>应当严格执行规定的收费期限和收费标准，按规定的时间开征通行费，不得拖延开征时间；按规定的期限停止收费，严禁未经批准超期收费；严禁擅自提高或降低收费标准。</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5.</w:t>
      </w:r>
      <w:r>
        <w:rPr>
          <w:rFonts w:ascii="宋体" w:eastAsia="宋体" w:hAnsi="宋体" w:cs="宋体" w:hint="eastAsia"/>
          <w:color w:val="auto"/>
          <w:sz w:val="24"/>
          <w:szCs w:val="24"/>
          <w:highlight w:val="none"/>
          <w:lang w:eastAsia="zh-CN"/>
        </w:rPr>
        <w:t>中标方</w:t>
      </w:r>
      <w:r>
        <w:rPr>
          <w:rFonts w:ascii="宋体" w:eastAsia="宋体" w:hAnsi="宋体" w:cs="宋体" w:hint="eastAsia"/>
          <w:color w:val="auto"/>
          <w:sz w:val="24"/>
          <w:szCs w:val="24"/>
          <w:highlight w:val="none"/>
        </w:rPr>
        <w:t>应当加强收费管理和车辆疏导，防止发生交通阻塞现象（未开足车道，每车道有待通行车辆五辆以上视为堵车。交通事故等不可抗力因素除外）。遇有大型车队应当安排值勤人员指挥疏导交通。</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6.</w:t>
      </w:r>
      <w:r>
        <w:rPr>
          <w:rFonts w:ascii="宋体" w:eastAsia="宋体" w:hAnsi="宋体" w:cs="宋体" w:hint="eastAsia"/>
          <w:color w:val="auto"/>
          <w:sz w:val="24"/>
          <w:szCs w:val="24"/>
          <w:highlight w:val="none"/>
          <w:lang w:eastAsia="zh-CN"/>
        </w:rPr>
        <w:t>中标方</w:t>
      </w:r>
      <w:r>
        <w:rPr>
          <w:rFonts w:ascii="宋体" w:eastAsia="宋体" w:hAnsi="宋体" w:cs="宋体" w:hint="eastAsia"/>
          <w:color w:val="auto"/>
          <w:sz w:val="24"/>
          <w:szCs w:val="24"/>
          <w:highlight w:val="none"/>
        </w:rPr>
        <w:t>应当正确处理通行费票据，严禁违规使用特殊功能键，擅自放行车辆；做好通行卡的调拨、核算和仓储保管工作，确保通行卡的正常流通和安全完整；做好特殊车辆的登记和处理工作，坚持原则，不徇私情，杜绝违章违纪现象发生；遵照各类设备操作规定，正确使用和维护设备，确保设备和人身安全。</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7.</w:t>
      </w:r>
      <w:r>
        <w:rPr>
          <w:rFonts w:ascii="宋体" w:eastAsia="宋体" w:hAnsi="宋体" w:cs="宋体" w:hint="eastAsia"/>
          <w:color w:val="auto"/>
          <w:sz w:val="24"/>
          <w:szCs w:val="24"/>
          <w:highlight w:val="none"/>
          <w:lang w:eastAsia="zh-CN"/>
        </w:rPr>
        <w:t>中标方</w:t>
      </w:r>
      <w:r>
        <w:rPr>
          <w:rFonts w:ascii="宋体" w:eastAsia="宋体" w:hAnsi="宋体" w:cs="宋体" w:hint="eastAsia"/>
          <w:color w:val="auto"/>
          <w:sz w:val="24"/>
          <w:szCs w:val="24"/>
          <w:highlight w:val="none"/>
        </w:rPr>
        <w:t>应当建立健全通行费票据账，准确、及时地记录票据的领用、缴销和库存情况，做到账账、账实、账表相符。</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8.</w:t>
      </w:r>
      <w:r>
        <w:rPr>
          <w:rFonts w:ascii="宋体" w:eastAsia="宋体" w:hAnsi="宋体" w:cs="宋体" w:hint="eastAsia"/>
          <w:color w:val="auto"/>
          <w:sz w:val="24"/>
          <w:szCs w:val="24"/>
          <w:highlight w:val="none"/>
          <w:lang w:eastAsia="zh-CN"/>
        </w:rPr>
        <w:t>中标方</w:t>
      </w:r>
      <w:r>
        <w:rPr>
          <w:rFonts w:ascii="宋体" w:eastAsia="宋体" w:hAnsi="宋体" w:cs="宋体" w:hint="eastAsia"/>
          <w:color w:val="auto"/>
          <w:sz w:val="24"/>
          <w:szCs w:val="24"/>
          <w:highlight w:val="none"/>
        </w:rPr>
        <w:t>所安排的职员在完成该收费站日常事务过程中所产生的任何责任及第三方无论是故意还是过失给</w:t>
      </w:r>
      <w:r>
        <w:rPr>
          <w:rFonts w:ascii="宋体" w:eastAsia="宋体" w:hAnsi="宋体" w:cs="宋体" w:hint="eastAsia"/>
          <w:color w:val="auto"/>
          <w:sz w:val="24"/>
          <w:szCs w:val="24"/>
          <w:highlight w:val="none"/>
          <w:lang w:eastAsia="zh-CN"/>
        </w:rPr>
        <w:t>中标方</w:t>
      </w:r>
      <w:r>
        <w:rPr>
          <w:rFonts w:ascii="宋体" w:eastAsia="宋体" w:hAnsi="宋体" w:cs="宋体" w:hint="eastAsia"/>
          <w:color w:val="auto"/>
          <w:sz w:val="24"/>
          <w:szCs w:val="24"/>
          <w:highlight w:val="none"/>
        </w:rPr>
        <w:t>造成的任何损害都由</w:t>
      </w:r>
      <w:r>
        <w:rPr>
          <w:rFonts w:ascii="宋体" w:eastAsia="宋体" w:hAnsi="宋体" w:cs="宋体" w:hint="eastAsia"/>
          <w:color w:val="auto"/>
          <w:sz w:val="24"/>
          <w:szCs w:val="24"/>
          <w:highlight w:val="none"/>
          <w:lang w:eastAsia="zh-CN"/>
        </w:rPr>
        <w:t>中标方</w:t>
      </w:r>
      <w:r>
        <w:rPr>
          <w:rFonts w:ascii="宋体" w:eastAsia="宋体" w:hAnsi="宋体" w:cs="宋体" w:hint="eastAsia"/>
          <w:color w:val="auto"/>
          <w:sz w:val="24"/>
          <w:szCs w:val="24"/>
          <w:highlight w:val="none"/>
        </w:rPr>
        <w:t>承担，与采购方无关。</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9.如果由于</w:t>
      </w:r>
      <w:r>
        <w:rPr>
          <w:rFonts w:ascii="宋体" w:eastAsia="宋体" w:hAnsi="宋体" w:cs="宋体" w:hint="eastAsia"/>
          <w:color w:val="auto"/>
          <w:sz w:val="24"/>
          <w:szCs w:val="24"/>
          <w:highlight w:val="none"/>
          <w:lang w:eastAsia="zh-CN"/>
        </w:rPr>
        <w:t>中标方</w:t>
      </w:r>
      <w:r>
        <w:rPr>
          <w:rFonts w:ascii="宋体" w:eastAsia="宋体" w:hAnsi="宋体" w:cs="宋体" w:hint="eastAsia"/>
          <w:color w:val="auto"/>
          <w:sz w:val="24"/>
          <w:szCs w:val="24"/>
          <w:highlight w:val="none"/>
        </w:rPr>
        <w:t>未能在协议履约过程中采取各种必要的措施而导致或发生与此有关的安全事故和社会责任（人身伤亡、罚款、索赔、损失补偿、人道补偿、诉讼费用及其他一切责任）均应当由</w:t>
      </w:r>
      <w:r>
        <w:rPr>
          <w:rFonts w:ascii="宋体" w:eastAsia="宋体" w:hAnsi="宋体" w:cs="宋体" w:hint="eastAsia"/>
          <w:color w:val="auto"/>
          <w:sz w:val="24"/>
          <w:szCs w:val="24"/>
          <w:highlight w:val="none"/>
          <w:lang w:eastAsia="zh-CN"/>
        </w:rPr>
        <w:t>中标方</w:t>
      </w:r>
      <w:r>
        <w:rPr>
          <w:rFonts w:ascii="宋体" w:eastAsia="宋体" w:hAnsi="宋体" w:cs="宋体" w:hint="eastAsia"/>
          <w:color w:val="auto"/>
          <w:sz w:val="24"/>
          <w:szCs w:val="24"/>
          <w:highlight w:val="none"/>
        </w:rPr>
        <w:t>负责。如采购方因第三方索赔或追诉而承担了赔偿责任，</w:t>
      </w:r>
      <w:r>
        <w:rPr>
          <w:rFonts w:ascii="宋体" w:eastAsia="宋体" w:hAnsi="宋体" w:cs="宋体" w:hint="eastAsia"/>
          <w:color w:val="auto"/>
          <w:sz w:val="24"/>
          <w:szCs w:val="24"/>
          <w:highlight w:val="none"/>
          <w:lang w:eastAsia="zh-CN"/>
        </w:rPr>
        <w:t>中标方</w:t>
      </w:r>
      <w:r>
        <w:rPr>
          <w:rFonts w:ascii="宋体" w:eastAsia="宋体" w:hAnsi="宋体" w:cs="宋体" w:hint="eastAsia"/>
          <w:color w:val="auto"/>
          <w:sz w:val="24"/>
          <w:szCs w:val="24"/>
          <w:highlight w:val="none"/>
        </w:rPr>
        <w:t>应当向采购方全额赔偿采购方因此遭受的全部损失和支出（包括但不限于赔偿金、补充金，诉讼费，交通费、律师费等）。</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10.收费站有关环保、消防、安全检查、定期维护等管理义务均由</w:t>
      </w:r>
      <w:r>
        <w:rPr>
          <w:rFonts w:ascii="宋体" w:eastAsia="宋体" w:hAnsi="宋体" w:cs="宋体" w:hint="eastAsia"/>
          <w:color w:val="auto"/>
          <w:sz w:val="24"/>
          <w:szCs w:val="24"/>
          <w:highlight w:val="none"/>
          <w:lang w:eastAsia="zh-CN"/>
        </w:rPr>
        <w:t>中标方</w:t>
      </w:r>
      <w:r>
        <w:rPr>
          <w:rFonts w:ascii="宋体" w:eastAsia="宋体" w:hAnsi="宋体" w:cs="宋体" w:hint="eastAsia"/>
          <w:color w:val="auto"/>
          <w:sz w:val="24"/>
          <w:szCs w:val="24"/>
          <w:highlight w:val="none"/>
        </w:rPr>
        <w:t>承担，因相关物业侵害第三人导致的侵权责任也由</w:t>
      </w:r>
      <w:r>
        <w:rPr>
          <w:rFonts w:ascii="宋体" w:eastAsia="宋体" w:hAnsi="宋体" w:cs="宋体" w:hint="eastAsia"/>
          <w:color w:val="auto"/>
          <w:sz w:val="24"/>
          <w:szCs w:val="24"/>
          <w:highlight w:val="none"/>
          <w:lang w:eastAsia="zh-CN"/>
        </w:rPr>
        <w:t>中标方</w:t>
      </w:r>
      <w:r>
        <w:rPr>
          <w:rFonts w:ascii="宋体" w:eastAsia="宋体" w:hAnsi="宋体" w:cs="宋体" w:hint="eastAsia"/>
          <w:color w:val="auto"/>
          <w:sz w:val="24"/>
          <w:szCs w:val="24"/>
          <w:highlight w:val="none"/>
        </w:rPr>
        <w:t>承担。</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11.收费站及其附属设施的日常维护工作由</w:t>
      </w:r>
      <w:r>
        <w:rPr>
          <w:rFonts w:ascii="宋体" w:eastAsia="宋体" w:hAnsi="宋体" w:cs="宋体" w:hint="eastAsia"/>
          <w:color w:val="auto"/>
          <w:sz w:val="24"/>
          <w:szCs w:val="24"/>
          <w:highlight w:val="none"/>
          <w:lang w:eastAsia="zh-CN"/>
        </w:rPr>
        <w:t>中标方</w:t>
      </w:r>
      <w:r>
        <w:rPr>
          <w:rFonts w:ascii="宋体" w:eastAsia="宋体" w:hAnsi="宋体" w:cs="宋体" w:hint="eastAsia"/>
          <w:color w:val="auto"/>
          <w:sz w:val="24"/>
          <w:szCs w:val="24"/>
          <w:highlight w:val="none"/>
        </w:rPr>
        <w:t>负责具体实施并承担相应费用，采购方不再另行支付费用。</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12.</w:t>
      </w:r>
      <w:r>
        <w:rPr>
          <w:rFonts w:ascii="宋体" w:eastAsia="宋体" w:hAnsi="宋体" w:cs="宋体" w:hint="eastAsia"/>
          <w:color w:val="auto"/>
          <w:sz w:val="24"/>
          <w:szCs w:val="24"/>
          <w:highlight w:val="none"/>
          <w:lang w:eastAsia="zh-CN"/>
        </w:rPr>
        <w:t>中标方</w:t>
      </w:r>
      <w:r>
        <w:rPr>
          <w:rFonts w:ascii="宋体" w:eastAsia="宋体" w:hAnsi="宋体" w:cs="宋体" w:hint="eastAsia"/>
          <w:color w:val="auto"/>
          <w:sz w:val="24"/>
          <w:szCs w:val="24"/>
          <w:highlight w:val="none"/>
        </w:rPr>
        <w:t>应当确保所收取通行费的资金安全，应当依照规定及时结算，不得扣留，因此所产生的任何责任由</w:t>
      </w:r>
      <w:r>
        <w:rPr>
          <w:rFonts w:ascii="宋体" w:eastAsia="宋体" w:hAnsi="宋体" w:cs="宋体" w:hint="eastAsia"/>
          <w:color w:val="auto"/>
          <w:sz w:val="24"/>
          <w:szCs w:val="24"/>
          <w:highlight w:val="none"/>
          <w:lang w:eastAsia="zh-CN"/>
        </w:rPr>
        <w:t>中标方</w:t>
      </w:r>
      <w:r>
        <w:rPr>
          <w:rFonts w:ascii="宋体" w:eastAsia="宋体" w:hAnsi="宋体" w:cs="宋体" w:hint="eastAsia"/>
          <w:color w:val="auto"/>
          <w:sz w:val="24"/>
          <w:szCs w:val="24"/>
          <w:highlight w:val="none"/>
        </w:rPr>
        <w:t>负责。</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13.</w:t>
      </w:r>
      <w:r>
        <w:rPr>
          <w:rFonts w:ascii="宋体" w:eastAsia="宋体" w:hAnsi="宋体" w:cs="宋体" w:hint="eastAsia"/>
          <w:color w:val="auto"/>
          <w:sz w:val="24"/>
          <w:szCs w:val="24"/>
          <w:highlight w:val="none"/>
          <w:lang w:eastAsia="zh-CN"/>
        </w:rPr>
        <w:t>中标方</w:t>
      </w:r>
      <w:r>
        <w:rPr>
          <w:rFonts w:ascii="宋体" w:eastAsia="宋体" w:hAnsi="宋体" w:cs="宋体" w:hint="eastAsia"/>
          <w:color w:val="auto"/>
          <w:sz w:val="24"/>
          <w:szCs w:val="24"/>
          <w:highlight w:val="none"/>
        </w:rPr>
        <w:t>不得将收费站及其附属设施相关物业用于本合同规定以外的任何用途；未经甲方书面同意，</w:t>
      </w:r>
      <w:r>
        <w:rPr>
          <w:rFonts w:ascii="宋体" w:eastAsia="宋体" w:hAnsi="宋体" w:cs="宋体" w:hint="eastAsia"/>
          <w:color w:val="auto"/>
          <w:sz w:val="24"/>
          <w:szCs w:val="24"/>
          <w:highlight w:val="none"/>
          <w:lang w:val="en-US" w:eastAsia="zh-CN"/>
        </w:rPr>
        <w:t>中标方</w:t>
      </w:r>
      <w:r>
        <w:rPr>
          <w:rFonts w:ascii="宋体" w:eastAsia="宋体" w:hAnsi="宋体" w:cs="宋体" w:hint="eastAsia"/>
          <w:color w:val="auto"/>
          <w:sz w:val="24"/>
          <w:szCs w:val="24"/>
          <w:highlight w:val="none"/>
        </w:rPr>
        <w:t>不得将该物业转租、转让、分租、转借给任何第三者或与其互换房屋使用。</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lang w:val="en-US" w:eastAsia="zh-CN"/>
        </w:rPr>
      </w:pPr>
      <w:r>
        <w:rPr>
          <w:rFonts w:ascii="宋体" w:eastAsia="宋体" w:hAnsi="宋体" w:cs="宋体" w:hint="eastAsia"/>
          <w:color w:val="auto"/>
          <w:sz w:val="24"/>
          <w:szCs w:val="24"/>
          <w:highlight w:val="none"/>
          <w:lang w:val="en-US" w:eastAsia="zh-CN"/>
        </w:rPr>
        <w:t>四、项目人员要求</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lang w:val="en-US" w:eastAsia="zh-CN"/>
        </w:rPr>
      </w:pPr>
      <w:r>
        <w:rPr>
          <w:rFonts w:ascii="宋体" w:eastAsia="宋体" w:hAnsi="宋体" w:cs="宋体" w:hint="eastAsia"/>
          <w:color w:val="auto"/>
          <w:sz w:val="24"/>
          <w:szCs w:val="24"/>
          <w:highlight w:val="none"/>
          <w:lang w:val="en-US" w:eastAsia="zh-CN"/>
        </w:rPr>
        <w:t>投标人为项目投入的负责人和团队成员，其职称、学历、资质、经验等相关情况将作为评分的重要因素，但至少应满足以下条件：</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lang w:val="en-US" w:eastAsia="zh-CN"/>
        </w:rPr>
      </w:pPr>
      <w:r>
        <w:rPr>
          <w:rFonts w:ascii="宋体" w:eastAsia="宋体" w:hAnsi="宋体" w:cs="宋体" w:hint="eastAsia"/>
          <w:color w:val="auto"/>
          <w:sz w:val="24"/>
          <w:szCs w:val="24"/>
          <w:highlight w:val="none"/>
          <w:lang w:val="en-US" w:eastAsia="zh-CN"/>
        </w:rPr>
        <w:t>1.项目负责人1人，应至少满足不少于3年的高速公路收费站运营管理的经验条件。</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lang w:val="en-US" w:eastAsia="zh-CN"/>
        </w:rPr>
      </w:pPr>
      <w:r>
        <w:rPr>
          <w:rFonts w:ascii="宋体" w:eastAsia="宋体" w:hAnsi="宋体" w:cs="宋体" w:hint="eastAsia"/>
          <w:color w:val="auto"/>
          <w:sz w:val="24"/>
          <w:szCs w:val="24"/>
          <w:highlight w:val="none"/>
          <w:lang w:val="en-US" w:eastAsia="zh-CN"/>
        </w:rPr>
        <w:t>2.项目管理人员不少于25人，包含：至少9名收费管理人员、至少3名数据管理人员、至少2名机电管理人员、至少3名票证管理人员、至少1名投诉与调度管理人员、至少5名路政管理人员、至少1名拖车救援管理人员、至少1名安全业务管理人员，均应满足不少于3年的高速公路收费站运营管理的经验。</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lang w:val="en-US" w:eastAsia="zh-CN"/>
        </w:rPr>
      </w:pPr>
      <w:r>
        <w:rPr>
          <w:rFonts w:ascii="宋体" w:eastAsia="宋体" w:hAnsi="宋体" w:cs="宋体" w:hint="eastAsia"/>
          <w:color w:val="auto"/>
          <w:sz w:val="24"/>
          <w:szCs w:val="24"/>
          <w:highlight w:val="none"/>
          <w:lang w:val="en-US" w:eastAsia="zh-CN"/>
        </w:rPr>
        <w:t>3.其他收费工作人员不少于66人。</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highlight w:val="none"/>
        </w:rPr>
      </w:pPr>
      <w:r>
        <w:rPr>
          <w:rFonts w:ascii="宋体" w:eastAsia="宋体" w:hAnsi="宋体" w:cs="宋体" w:hint="eastAsia"/>
          <w:color w:val="auto"/>
          <w:sz w:val="24"/>
          <w:szCs w:val="24"/>
          <w:highlight w:val="none"/>
          <w:lang w:val="en-US" w:eastAsia="zh-CN"/>
        </w:rPr>
        <w:t>4.中标方不得擅自更换项目负责人和项目团队成员。履约过程中，因客观原因确需更换项目人员的，应取得采购方同意后方可更换。</w:t>
      </w:r>
    </w:p>
    <w:p>
      <w:pPr>
        <w:keepNext w:val="0"/>
        <w:keepLines w:val="0"/>
        <w:pageBreakBefore w:val="0"/>
        <w:widowControl/>
        <w:kinsoku/>
        <w:wordWrap/>
        <w:overflowPunct/>
        <w:topLinePunct w:val="0"/>
        <w:autoSpaceDE/>
        <w:autoSpaceDN/>
        <w:bidi w:val="0"/>
        <w:adjustRightInd/>
        <w:snapToGrid/>
        <w:rPr>
          <w:rFonts w:ascii="宋体" w:eastAsia="宋体" w:hAnsi="宋体" w:cs="宋体" w:hint="eastAsia"/>
          <w:sz w:val="21"/>
          <w:szCs w:val="21"/>
          <w:highlight w:val="none"/>
        </w:rPr>
      </w:pPr>
    </w:p>
    <w:p>
      <w:pPr>
        <w:rPr>
          <w:highlight w:val="none"/>
        </w:rPr>
      </w:pPr>
    </w:p>
    <w:p>
      <w:pPr>
        <w:pStyle w:val="Heading3"/>
        <w:jc w:val="center"/>
        <w:rPr>
          <w:rFonts w:asciiTheme="minorEastAsia" w:eastAsiaTheme="minorEastAsia" w:hAnsiTheme="minorEastAsia"/>
          <w:szCs w:val="21"/>
          <w:highlight w:val="none"/>
        </w:rPr>
      </w:pPr>
      <w:r>
        <w:rPr>
          <w:rFonts w:asciiTheme="minorEastAsia" w:eastAsiaTheme="minorEastAsia" w:hAnsiTheme="minorEastAsia" w:hint="eastAsia"/>
          <w:szCs w:val="21"/>
          <w:highlight w:val="none"/>
        </w:rPr>
        <w:t>五</w:t>
      </w:r>
      <w:r>
        <w:rPr>
          <w:rFonts w:asciiTheme="minorEastAsia" w:eastAsiaTheme="minorEastAsia" w:hAnsiTheme="minorEastAsia"/>
          <w:szCs w:val="21"/>
          <w:highlight w:val="none"/>
        </w:rPr>
        <w:t>、</w:t>
      </w:r>
      <w:r>
        <w:rPr>
          <w:rFonts w:asciiTheme="minorEastAsia" w:eastAsiaTheme="minorEastAsia" w:hAnsiTheme="minorEastAsia" w:hint="eastAsia"/>
          <w:szCs w:val="21"/>
          <w:highlight w:val="none"/>
        </w:rPr>
        <w:t>项目商务要求</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一、项目服务地点及期限</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1.服务地点：深圳市。</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2.服务期限：</w:t>
      </w:r>
      <w:r>
        <w:rPr>
          <w:rFonts w:ascii="宋体" w:eastAsia="宋体" w:hAnsi="宋体" w:cs="宋体" w:hint="eastAsia"/>
          <w:sz w:val="24"/>
          <w:szCs w:val="24"/>
          <w:highlight w:val="none"/>
          <w:lang w:eastAsia="zh-CN"/>
        </w:rPr>
        <w:t>自合同签订之日起</w:t>
      </w:r>
      <w:r>
        <w:rPr>
          <w:rFonts w:ascii="宋体" w:eastAsia="宋体" w:hAnsi="宋体" w:cs="宋体" w:hint="eastAsia"/>
          <w:sz w:val="24"/>
          <w:szCs w:val="24"/>
          <w:highlight w:val="none"/>
          <w:lang w:val="en-US" w:eastAsia="zh-CN"/>
        </w:rPr>
        <w:t>1年</w:t>
      </w:r>
      <w:r>
        <w:rPr>
          <w:rFonts w:ascii="宋体" w:eastAsia="宋体" w:hAnsi="宋体" w:cs="宋体" w:hint="eastAsia"/>
          <w:color w:val="auto"/>
          <w:sz w:val="24"/>
          <w:szCs w:val="24"/>
          <w:highlight w:val="none"/>
        </w:rPr>
        <w:t>。</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bCs/>
          <w:color w:val="auto"/>
          <w:sz w:val="24"/>
          <w:szCs w:val="24"/>
          <w:highlight w:val="none"/>
        </w:rPr>
      </w:pPr>
      <w:r>
        <w:rPr>
          <w:rFonts w:ascii="宋体" w:eastAsia="宋体" w:hAnsi="宋体" w:cs="宋体" w:hint="eastAsia"/>
          <w:b/>
          <w:bCs/>
          <w:color w:val="auto"/>
          <w:sz w:val="24"/>
          <w:szCs w:val="24"/>
          <w:highlight w:val="none"/>
        </w:rPr>
        <w:t>二、投标报价要求</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1.本项目投标报价采用包干制，应包括成本、法定税费和相应的利润。应涵盖本项目采购范围和采购文件所列的各项内容中所述的全部。由投标人根据采购需求自行测算投标报价，一经中标投标报价即作为中标单位与采购方签订的合同金额。</w:t>
      </w:r>
      <w:r>
        <w:rPr>
          <w:rFonts w:ascii="宋体" w:eastAsia="宋体" w:hAnsi="宋体" w:cs="宋体" w:hint="eastAsia"/>
          <w:bCs/>
          <w:color w:val="auto"/>
          <w:sz w:val="24"/>
          <w:szCs w:val="24"/>
          <w:highlight w:val="none"/>
          <w:lang w:val="en-US" w:eastAsia="zh-CN"/>
        </w:rPr>
        <w:t>投标人根据招标文件要求编制投标文件，投标人只需填报所投1年的日常运营的总报价，投标总报价应包括本项目1年的盐坝高速坝光收费站委托管理产生的成本、</w:t>
      </w:r>
      <w:r>
        <w:rPr>
          <w:rFonts w:ascii="宋体" w:eastAsia="宋体" w:hAnsi="宋体" w:cs="宋体" w:hint="eastAsia"/>
          <w:color w:val="auto"/>
          <w:sz w:val="24"/>
          <w:szCs w:val="24"/>
          <w:highlight w:val="none"/>
        </w:rPr>
        <w:t>法定税费和相应的利润</w:t>
      </w:r>
      <w:r>
        <w:rPr>
          <w:rFonts w:ascii="宋体" w:eastAsia="宋体" w:hAnsi="宋体" w:cs="宋体" w:hint="eastAsia"/>
          <w:bCs/>
          <w:color w:val="auto"/>
          <w:sz w:val="24"/>
          <w:szCs w:val="24"/>
          <w:highlight w:val="none"/>
          <w:lang w:val="en-US" w:eastAsia="zh-CN"/>
        </w:rPr>
        <w:t>。</w:t>
      </w:r>
    </w:p>
    <w:p>
      <w:pPr>
        <w:pStyle w:val="NormalInden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color w:val="auto"/>
          <w:sz w:val="24"/>
          <w:szCs w:val="24"/>
          <w:highlight w:val="none"/>
          <w:lang w:val="en-US" w:eastAsia="zh-CN"/>
        </w:rPr>
      </w:pPr>
      <w:r>
        <w:rPr>
          <w:rFonts w:ascii="宋体" w:eastAsia="宋体" w:hAnsi="宋体" w:cs="宋体" w:hint="eastAsia"/>
          <w:color w:val="auto"/>
          <w:sz w:val="24"/>
          <w:szCs w:val="24"/>
          <w:highlight w:val="none"/>
        </w:rPr>
        <w:t>2.</w:t>
      </w:r>
      <w:r>
        <w:rPr>
          <w:rFonts w:ascii="宋体" w:eastAsia="宋体" w:hAnsi="宋体" w:cs="宋体" w:hint="eastAsia"/>
          <w:color w:val="auto"/>
          <w:sz w:val="24"/>
          <w:szCs w:val="24"/>
          <w:highlight w:val="none"/>
          <w:lang w:eastAsia="zh-CN"/>
        </w:rPr>
        <w:t>投标</w:t>
      </w:r>
      <w:r>
        <w:rPr>
          <w:rFonts w:ascii="宋体" w:eastAsia="宋体" w:hAnsi="宋体" w:cs="宋体" w:hint="eastAsia"/>
          <w:color w:val="auto"/>
          <w:sz w:val="24"/>
          <w:szCs w:val="24"/>
          <w:highlight w:val="none"/>
          <w:lang w:val="en-US" w:eastAsia="zh-CN"/>
        </w:rPr>
        <w:t>价</w:t>
      </w:r>
      <w:r>
        <w:rPr>
          <w:rFonts w:ascii="宋体" w:eastAsia="宋体" w:hAnsi="宋体" w:cs="宋体" w:hint="eastAsia"/>
          <w:color w:val="auto"/>
          <w:kern w:val="0"/>
          <w:sz w:val="24"/>
          <w:szCs w:val="24"/>
          <w:highlight w:val="none"/>
          <w:lang w:val="zh-CN" w:eastAsia="zh-CN"/>
        </w:rPr>
        <w:t>均应包括了</w:t>
      </w:r>
      <w:r>
        <w:rPr>
          <w:rFonts w:ascii="宋体" w:eastAsia="宋体" w:hAnsi="宋体" w:cs="宋体" w:hint="eastAsia"/>
          <w:color w:val="auto"/>
          <w:sz w:val="24"/>
          <w:szCs w:val="24"/>
          <w:highlight w:val="none"/>
          <w:lang w:val="en-US" w:eastAsia="zh-CN"/>
        </w:rPr>
        <w:t>为实施和完成合同项目所需的劳务、材料、管理、利润、保险、规费、应纳税额（或费）等一切费用，以及合同明示或暗示的所有责任、义务和一般风险，</w:t>
      </w:r>
      <w:r>
        <w:rPr>
          <w:rFonts w:ascii="宋体" w:eastAsia="宋体" w:hAnsi="宋体" w:cs="宋体" w:hint="eastAsia"/>
          <w:bCs/>
          <w:color w:val="auto"/>
          <w:kern w:val="0"/>
          <w:sz w:val="24"/>
          <w:szCs w:val="24"/>
          <w:highlight w:val="none"/>
          <w:lang w:val="zh-CN" w:eastAsia="zh-CN"/>
        </w:rPr>
        <w:t>且合同期内不予调整。</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3.投标人应根据本企业的成本自行决定报价，但不得以低于其企业成本的报价投标；评标时，评标委员会认为投标人的报价明显低于其他通过符合性审查投标人的报价，有可能影响服务质量或者不能诚信履约的，应当要求其在评标现场合理的时间内提供书面说明，必要时提交相关证明材料；投标人不能证明其报价合理性的，评标委员会应当将其作为无效投标处理。若评审委员会成员对是否须由投标人作出报价合理性说明，以及书面说明是否采纳等判断不一致的，按照“少数服从多数”的原则确定评审委员会的意见。</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4.投标人在投标报价时，应充分考虑投标报价的风险，充分了解项目的位置及任何足以影响投标报价的情况，任何因忽视或误解项目情况而导致的索赔或服务期限延长申请将不获批准。</w:t>
      </w:r>
    </w:p>
    <w:p>
      <w:pPr>
        <w:pStyle w:val="BodyTex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lang w:val="en-US" w:eastAsia="zh-CN"/>
        </w:rPr>
      </w:pPr>
      <w:r>
        <w:rPr>
          <w:rFonts w:ascii="宋体" w:eastAsia="宋体" w:hAnsi="宋体" w:cs="宋体" w:hint="eastAsia"/>
          <w:color w:val="auto"/>
          <w:sz w:val="24"/>
          <w:szCs w:val="24"/>
          <w:highlight w:val="none"/>
          <w:lang w:val="en-US" w:eastAsia="zh-CN"/>
        </w:rPr>
        <w:t>三、项目付款要求</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kern w:val="0"/>
          <w:sz w:val="24"/>
          <w:szCs w:val="24"/>
          <w:highlight w:val="none"/>
        </w:rPr>
      </w:pPr>
      <w:r>
        <w:rPr>
          <w:rFonts w:ascii="宋体" w:eastAsia="宋体" w:hAnsi="宋体" w:cs="宋体" w:hint="eastAsia"/>
          <w:color w:val="auto"/>
          <w:sz w:val="24"/>
          <w:szCs w:val="24"/>
          <w:highlight w:val="none"/>
        </w:rPr>
        <w:t>1.费用支付：</w:t>
      </w:r>
      <w:r>
        <w:rPr>
          <w:rFonts w:ascii="宋体" w:eastAsia="宋体" w:hAnsi="宋体" w:cs="宋体" w:hint="eastAsia"/>
          <w:kern w:val="0"/>
          <w:sz w:val="24"/>
          <w:szCs w:val="24"/>
          <w:highlight w:val="none"/>
        </w:rPr>
        <w:t>本项目分</w:t>
      </w:r>
      <w:r>
        <w:rPr>
          <w:rFonts w:ascii="宋体" w:eastAsia="宋体" w:hAnsi="宋体" w:cs="宋体" w:hint="eastAsia"/>
          <w:kern w:val="0"/>
          <w:sz w:val="24"/>
          <w:szCs w:val="24"/>
          <w:highlight w:val="none"/>
          <w:lang w:val="en-US" w:eastAsia="zh-CN"/>
        </w:rPr>
        <w:t>3</w:t>
      </w:r>
      <w:r>
        <w:rPr>
          <w:rFonts w:ascii="宋体" w:eastAsia="宋体" w:hAnsi="宋体" w:cs="宋体" w:hint="eastAsia"/>
          <w:kern w:val="0"/>
          <w:sz w:val="24"/>
          <w:szCs w:val="24"/>
          <w:highlight w:val="none"/>
        </w:rPr>
        <w:t>期支付：</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kern w:val="0"/>
          <w:sz w:val="24"/>
          <w:szCs w:val="24"/>
          <w:highlight w:val="none"/>
        </w:rPr>
      </w:pPr>
      <w:r>
        <w:rPr>
          <w:rFonts w:ascii="宋体" w:eastAsia="宋体" w:hAnsi="宋体" w:cs="宋体" w:hint="eastAsia"/>
          <w:kern w:val="0"/>
          <w:sz w:val="24"/>
          <w:szCs w:val="24"/>
          <w:highlight w:val="none"/>
          <w:lang w:eastAsia="zh-CN"/>
        </w:rPr>
        <w:t>（</w:t>
      </w:r>
      <w:r>
        <w:rPr>
          <w:rFonts w:ascii="宋体" w:eastAsia="宋体" w:hAnsi="宋体" w:cs="宋体" w:hint="eastAsia"/>
          <w:kern w:val="0"/>
          <w:sz w:val="24"/>
          <w:szCs w:val="24"/>
          <w:highlight w:val="none"/>
          <w:lang w:val="en-US" w:eastAsia="zh-CN"/>
        </w:rPr>
        <w:t>1</w:t>
      </w:r>
      <w:r>
        <w:rPr>
          <w:rFonts w:ascii="宋体" w:eastAsia="宋体" w:hAnsi="宋体" w:cs="宋体" w:hint="eastAsia"/>
          <w:kern w:val="0"/>
          <w:sz w:val="24"/>
          <w:szCs w:val="24"/>
          <w:highlight w:val="none"/>
          <w:lang w:eastAsia="zh-CN"/>
        </w:rPr>
        <w:t>）</w:t>
      </w:r>
      <w:r>
        <w:rPr>
          <w:rFonts w:ascii="宋体" w:eastAsia="宋体" w:hAnsi="宋体" w:cs="宋体" w:hint="eastAsia"/>
          <w:color w:val="auto"/>
          <w:sz w:val="24"/>
          <w:szCs w:val="24"/>
          <w:highlight w:val="none"/>
          <w:lang w:val="en-US" w:eastAsia="zh-CN"/>
        </w:rPr>
        <w:t>2025年6月30日前</w:t>
      </w:r>
      <w:r>
        <w:rPr>
          <w:rFonts w:ascii="宋体" w:eastAsia="宋体" w:hAnsi="宋体" w:cs="宋体" w:hint="eastAsia"/>
          <w:color w:val="auto"/>
          <w:sz w:val="24"/>
          <w:szCs w:val="24"/>
          <w:highlight w:val="none"/>
        </w:rPr>
        <w:t>，</w:t>
      </w:r>
      <w:r>
        <w:rPr>
          <w:rFonts w:ascii="宋体" w:eastAsia="宋体" w:hAnsi="宋体" w:cs="宋体" w:hint="eastAsia"/>
          <w:color w:val="auto"/>
          <w:sz w:val="24"/>
          <w:szCs w:val="24"/>
          <w:highlight w:val="none"/>
          <w:lang w:eastAsia="zh-CN"/>
        </w:rPr>
        <w:t>采购方</w:t>
      </w:r>
      <w:r>
        <w:rPr>
          <w:rFonts w:ascii="宋体" w:eastAsia="宋体" w:hAnsi="宋体" w:cs="宋体" w:hint="eastAsia"/>
          <w:color w:val="auto"/>
          <w:sz w:val="24"/>
          <w:szCs w:val="24"/>
          <w:highlight w:val="none"/>
        </w:rPr>
        <w:t>对中标</w:t>
      </w:r>
      <w:r>
        <w:rPr>
          <w:rFonts w:ascii="宋体" w:eastAsia="宋体" w:hAnsi="宋体" w:cs="宋体" w:hint="eastAsia"/>
          <w:color w:val="auto"/>
          <w:sz w:val="24"/>
          <w:szCs w:val="24"/>
          <w:highlight w:val="none"/>
          <w:lang w:eastAsia="zh-CN"/>
        </w:rPr>
        <w:t>方</w:t>
      </w:r>
      <w:r>
        <w:rPr>
          <w:rFonts w:ascii="宋体" w:eastAsia="宋体" w:hAnsi="宋体" w:cs="宋体" w:hint="eastAsia"/>
          <w:color w:val="auto"/>
          <w:sz w:val="24"/>
          <w:szCs w:val="24"/>
          <w:highlight w:val="none"/>
        </w:rPr>
        <w:t>运营管理服务情况进行考核评定，考核合格的</w:t>
      </w:r>
      <w:r>
        <w:rPr>
          <w:rFonts w:ascii="宋体" w:eastAsia="宋体" w:hAnsi="宋体" w:cs="宋体" w:hint="eastAsia"/>
          <w:color w:val="auto"/>
          <w:sz w:val="24"/>
          <w:szCs w:val="24"/>
          <w:highlight w:val="none"/>
          <w:lang w:eastAsia="zh-CN"/>
        </w:rPr>
        <w:t>，向中标方支付合同总费用的</w:t>
      </w:r>
      <w:r>
        <w:rPr>
          <w:rFonts w:ascii="宋体" w:eastAsia="宋体" w:hAnsi="宋体" w:cs="宋体" w:hint="eastAsia"/>
          <w:color w:val="auto"/>
          <w:sz w:val="24"/>
          <w:szCs w:val="24"/>
          <w:highlight w:val="none"/>
          <w:lang w:val="en-US" w:eastAsia="zh-CN"/>
        </w:rPr>
        <w:t>25%</w:t>
      </w:r>
      <w:r>
        <w:rPr>
          <w:rFonts w:ascii="宋体" w:eastAsia="宋体" w:hAnsi="宋体" w:cs="宋体" w:hint="eastAsia"/>
          <w:kern w:val="0"/>
          <w:sz w:val="24"/>
          <w:szCs w:val="24"/>
          <w:highlight w:val="none"/>
          <w:lang w:eastAsia="zh-CN"/>
        </w:rPr>
        <w:t>；</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lang w:val="en-US" w:eastAsia="zh-CN"/>
        </w:rPr>
      </w:pPr>
      <w:r>
        <w:rPr>
          <w:rFonts w:ascii="宋体" w:eastAsia="宋体" w:hAnsi="宋体" w:cs="宋体" w:hint="eastAsia"/>
          <w:kern w:val="0"/>
          <w:sz w:val="24"/>
          <w:szCs w:val="24"/>
          <w:highlight w:val="none"/>
          <w:lang w:eastAsia="zh-CN"/>
        </w:rPr>
        <w:t>（</w:t>
      </w:r>
      <w:r>
        <w:rPr>
          <w:rFonts w:ascii="宋体" w:eastAsia="宋体" w:hAnsi="宋体" w:cs="宋体" w:hint="eastAsia"/>
          <w:kern w:val="0"/>
          <w:sz w:val="24"/>
          <w:szCs w:val="24"/>
          <w:highlight w:val="none"/>
          <w:lang w:val="en-US" w:eastAsia="zh-CN"/>
        </w:rPr>
        <w:t>2</w:t>
      </w:r>
      <w:r>
        <w:rPr>
          <w:rFonts w:ascii="宋体" w:eastAsia="宋体" w:hAnsi="宋体" w:cs="宋体" w:hint="eastAsia"/>
          <w:kern w:val="0"/>
          <w:sz w:val="24"/>
          <w:szCs w:val="24"/>
          <w:highlight w:val="none"/>
          <w:lang w:eastAsia="zh-CN"/>
        </w:rPr>
        <w:t>）</w:t>
      </w:r>
      <w:r>
        <w:rPr>
          <w:rFonts w:ascii="宋体" w:eastAsia="宋体" w:hAnsi="宋体" w:cs="宋体" w:hint="eastAsia"/>
          <w:color w:val="auto"/>
          <w:sz w:val="24"/>
          <w:szCs w:val="24"/>
          <w:highlight w:val="none"/>
          <w:lang w:val="en-US" w:eastAsia="zh-CN"/>
        </w:rPr>
        <w:t>2025年9月30日前</w:t>
      </w:r>
      <w:r>
        <w:rPr>
          <w:rFonts w:ascii="宋体" w:eastAsia="宋体" w:hAnsi="宋体" w:cs="宋体" w:hint="eastAsia"/>
          <w:color w:val="auto"/>
          <w:sz w:val="24"/>
          <w:szCs w:val="24"/>
          <w:highlight w:val="none"/>
        </w:rPr>
        <w:t>，</w:t>
      </w:r>
      <w:r>
        <w:rPr>
          <w:rFonts w:ascii="宋体" w:eastAsia="宋体" w:hAnsi="宋体" w:cs="宋体" w:hint="eastAsia"/>
          <w:color w:val="auto"/>
          <w:sz w:val="24"/>
          <w:szCs w:val="24"/>
          <w:highlight w:val="none"/>
          <w:lang w:eastAsia="zh-CN"/>
        </w:rPr>
        <w:t>采购方</w:t>
      </w:r>
      <w:r>
        <w:rPr>
          <w:rFonts w:ascii="宋体" w:eastAsia="宋体" w:hAnsi="宋体" w:cs="宋体" w:hint="eastAsia"/>
          <w:color w:val="auto"/>
          <w:sz w:val="24"/>
          <w:szCs w:val="24"/>
          <w:highlight w:val="none"/>
        </w:rPr>
        <w:t>对中标</w:t>
      </w:r>
      <w:r>
        <w:rPr>
          <w:rFonts w:ascii="宋体" w:eastAsia="宋体" w:hAnsi="宋体" w:cs="宋体" w:hint="eastAsia"/>
          <w:color w:val="auto"/>
          <w:sz w:val="24"/>
          <w:szCs w:val="24"/>
          <w:highlight w:val="none"/>
          <w:lang w:eastAsia="zh-CN"/>
        </w:rPr>
        <w:t>方</w:t>
      </w:r>
      <w:r>
        <w:rPr>
          <w:rFonts w:ascii="宋体" w:eastAsia="宋体" w:hAnsi="宋体" w:cs="宋体" w:hint="eastAsia"/>
          <w:color w:val="auto"/>
          <w:sz w:val="24"/>
          <w:szCs w:val="24"/>
          <w:highlight w:val="none"/>
        </w:rPr>
        <w:t>运营管理服务情况进行考核评定，考核合格的</w:t>
      </w:r>
      <w:r>
        <w:rPr>
          <w:rFonts w:ascii="宋体" w:eastAsia="宋体" w:hAnsi="宋体" w:cs="宋体" w:hint="eastAsia"/>
          <w:color w:val="auto"/>
          <w:sz w:val="24"/>
          <w:szCs w:val="24"/>
          <w:highlight w:val="none"/>
          <w:lang w:eastAsia="zh-CN"/>
        </w:rPr>
        <w:t>，向中标方支付合同总费用的</w:t>
      </w:r>
      <w:r>
        <w:rPr>
          <w:rFonts w:ascii="宋体" w:eastAsia="宋体" w:hAnsi="宋体" w:cs="宋体" w:hint="eastAsia"/>
          <w:color w:val="auto"/>
          <w:sz w:val="24"/>
          <w:szCs w:val="24"/>
          <w:highlight w:val="none"/>
          <w:lang w:val="en-US" w:eastAsia="zh-CN"/>
        </w:rPr>
        <w:t>25%；</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lang w:val="en-US" w:eastAsia="zh-CN"/>
        </w:rPr>
        <w:t>（3）2025年12月15日前</w:t>
      </w:r>
      <w:r>
        <w:rPr>
          <w:rFonts w:ascii="宋体" w:eastAsia="宋体" w:hAnsi="宋体" w:cs="宋体" w:hint="eastAsia"/>
          <w:color w:val="auto"/>
          <w:sz w:val="24"/>
          <w:szCs w:val="24"/>
          <w:highlight w:val="none"/>
        </w:rPr>
        <w:t>，</w:t>
      </w:r>
      <w:r>
        <w:rPr>
          <w:rFonts w:ascii="宋体" w:eastAsia="宋体" w:hAnsi="宋体" w:cs="宋体" w:hint="eastAsia"/>
          <w:color w:val="auto"/>
          <w:sz w:val="24"/>
          <w:szCs w:val="24"/>
          <w:highlight w:val="none"/>
          <w:lang w:eastAsia="zh-CN"/>
        </w:rPr>
        <w:t>采购方</w:t>
      </w:r>
      <w:r>
        <w:rPr>
          <w:rFonts w:ascii="宋体" w:eastAsia="宋体" w:hAnsi="宋体" w:cs="宋体" w:hint="eastAsia"/>
          <w:color w:val="auto"/>
          <w:sz w:val="24"/>
          <w:szCs w:val="24"/>
          <w:highlight w:val="none"/>
        </w:rPr>
        <w:t>对中标</w:t>
      </w:r>
      <w:r>
        <w:rPr>
          <w:rFonts w:ascii="宋体" w:eastAsia="宋体" w:hAnsi="宋体" w:cs="宋体" w:hint="eastAsia"/>
          <w:color w:val="auto"/>
          <w:sz w:val="24"/>
          <w:szCs w:val="24"/>
          <w:highlight w:val="none"/>
          <w:lang w:eastAsia="zh-CN"/>
        </w:rPr>
        <w:t>方</w:t>
      </w:r>
      <w:r>
        <w:rPr>
          <w:rFonts w:ascii="宋体" w:eastAsia="宋体" w:hAnsi="宋体" w:cs="宋体" w:hint="eastAsia"/>
          <w:color w:val="auto"/>
          <w:sz w:val="24"/>
          <w:szCs w:val="24"/>
          <w:highlight w:val="none"/>
        </w:rPr>
        <w:t>运营管理服务情况进行考核评定，考核合格的</w:t>
      </w:r>
      <w:r>
        <w:rPr>
          <w:rFonts w:ascii="宋体" w:eastAsia="宋体" w:hAnsi="宋体" w:cs="宋体" w:hint="eastAsia"/>
          <w:color w:val="auto"/>
          <w:sz w:val="24"/>
          <w:szCs w:val="24"/>
          <w:highlight w:val="none"/>
          <w:lang w:eastAsia="zh-CN"/>
        </w:rPr>
        <w:t>，向中标方支付合同总费用的</w:t>
      </w:r>
      <w:r>
        <w:rPr>
          <w:rFonts w:ascii="宋体" w:eastAsia="宋体" w:hAnsi="宋体" w:cs="宋体" w:hint="eastAsia"/>
          <w:color w:val="auto"/>
          <w:sz w:val="24"/>
          <w:szCs w:val="24"/>
          <w:highlight w:val="none"/>
          <w:lang w:val="en-US" w:eastAsia="zh-CN"/>
        </w:rPr>
        <w:t>30%。</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highlight w:val="none"/>
          <w:lang w:eastAsia="zh-CN"/>
        </w:rPr>
      </w:pPr>
      <w:r>
        <w:rPr>
          <w:rFonts w:ascii="宋体" w:eastAsia="宋体" w:hAnsi="宋体" w:cs="宋体" w:hint="eastAsia"/>
          <w:color w:val="auto"/>
          <w:sz w:val="24"/>
          <w:szCs w:val="24"/>
          <w:highlight w:val="none"/>
          <w:lang w:eastAsia="zh-CN"/>
        </w:rPr>
        <w:t>（</w:t>
      </w:r>
      <w:r>
        <w:rPr>
          <w:rFonts w:ascii="宋体" w:eastAsia="宋体" w:hAnsi="宋体" w:cs="宋体" w:hint="eastAsia"/>
          <w:color w:val="auto"/>
          <w:sz w:val="24"/>
          <w:szCs w:val="24"/>
          <w:highlight w:val="none"/>
          <w:lang w:val="en-US" w:eastAsia="zh-CN"/>
        </w:rPr>
        <w:t>3</w:t>
      </w:r>
      <w:r>
        <w:rPr>
          <w:rFonts w:ascii="宋体" w:eastAsia="宋体" w:hAnsi="宋体" w:cs="宋体" w:hint="eastAsia"/>
          <w:color w:val="auto"/>
          <w:sz w:val="24"/>
          <w:szCs w:val="24"/>
          <w:highlight w:val="none"/>
          <w:lang w:eastAsia="zh-CN"/>
        </w:rPr>
        <w:t>）合同履约完成，采购方</w:t>
      </w:r>
      <w:r>
        <w:rPr>
          <w:rFonts w:ascii="宋体" w:eastAsia="宋体" w:hAnsi="宋体" w:cs="宋体" w:hint="eastAsia"/>
          <w:color w:val="auto"/>
          <w:sz w:val="24"/>
          <w:szCs w:val="24"/>
          <w:highlight w:val="none"/>
        </w:rPr>
        <w:t>对中标</w:t>
      </w:r>
      <w:r>
        <w:rPr>
          <w:rFonts w:ascii="宋体" w:eastAsia="宋体" w:hAnsi="宋体" w:cs="宋体" w:hint="eastAsia"/>
          <w:color w:val="auto"/>
          <w:sz w:val="24"/>
          <w:szCs w:val="24"/>
          <w:highlight w:val="none"/>
          <w:lang w:eastAsia="zh-CN"/>
        </w:rPr>
        <w:t>方</w:t>
      </w:r>
      <w:r>
        <w:rPr>
          <w:rFonts w:ascii="宋体" w:eastAsia="宋体" w:hAnsi="宋体" w:cs="宋体" w:hint="eastAsia"/>
          <w:color w:val="auto"/>
          <w:sz w:val="24"/>
          <w:szCs w:val="24"/>
          <w:highlight w:val="none"/>
        </w:rPr>
        <w:t>运营管理服务情况进行考核评定，考核合格的</w:t>
      </w:r>
      <w:r>
        <w:rPr>
          <w:rFonts w:ascii="宋体" w:eastAsia="宋体" w:hAnsi="宋体" w:cs="宋体" w:hint="eastAsia"/>
          <w:color w:val="auto"/>
          <w:sz w:val="24"/>
          <w:szCs w:val="24"/>
          <w:highlight w:val="none"/>
          <w:lang w:eastAsia="zh-CN"/>
        </w:rPr>
        <w:t>，向中标方支付合同剩余尾款</w:t>
      </w:r>
      <w:r>
        <w:rPr>
          <w:rFonts w:ascii="宋体" w:eastAsia="宋体" w:hAnsi="宋体" w:cs="宋体" w:hint="eastAsia"/>
          <w:color w:val="auto"/>
          <w:sz w:val="24"/>
          <w:szCs w:val="24"/>
          <w:highlight w:val="none"/>
          <w:lang w:val="en-US" w:eastAsia="zh-CN"/>
        </w:rPr>
        <w:t>。</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2.支付程序：由中标</w:t>
      </w:r>
      <w:r>
        <w:rPr>
          <w:rFonts w:ascii="宋体" w:eastAsia="宋体" w:hAnsi="宋体" w:cs="宋体" w:hint="eastAsia"/>
          <w:color w:val="auto"/>
          <w:sz w:val="24"/>
          <w:szCs w:val="24"/>
          <w:highlight w:val="none"/>
          <w:lang w:eastAsia="zh-CN"/>
        </w:rPr>
        <w:t>方</w:t>
      </w:r>
      <w:r>
        <w:rPr>
          <w:rFonts w:ascii="宋体" w:eastAsia="宋体" w:hAnsi="宋体" w:cs="宋体" w:hint="eastAsia"/>
          <w:color w:val="auto"/>
          <w:sz w:val="24"/>
          <w:szCs w:val="24"/>
          <w:highlight w:val="none"/>
        </w:rPr>
        <w:t>提出支付申请，按照运营费用金额开具发票并附收款账户信息，采购方</w:t>
      </w:r>
      <w:r>
        <w:rPr>
          <w:rFonts w:ascii="宋体" w:eastAsia="宋体" w:hAnsi="宋体" w:cs="宋体" w:hint="eastAsia"/>
          <w:color w:val="auto"/>
          <w:sz w:val="24"/>
          <w:szCs w:val="24"/>
          <w:highlight w:val="none"/>
          <w:lang w:val="en-US" w:eastAsia="zh-CN"/>
        </w:rPr>
        <w:t>在10个工作日内审批并支付</w:t>
      </w:r>
      <w:r>
        <w:rPr>
          <w:rFonts w:ascii="宋体" w:eastAsia="宋体" w:hAnsi="宋体" w:cs="宋体" w:hint="eastAsia"/>
          <w:color w:val="auto"/>
          <w:sz w:val="24"/>
          <w:szCs w:val="24"/>
          <w:highlight w:val="none"/>
        </w:rPr>
        <w:t>。</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rPr>
      </w:pPr>
      <w:r>
        <w:rPr>
          <w:rFonts w:ascii="宋体" w:eastAsia="宋体" w:hAnsi="宋体" w:cs="宋体" w:hint="eastAsia"/>
          <w:color w:val="auto"/>
          <w:sz w:val="24"/>
          <w:szCs w:val="24"/>
          <w:highlight w:val="none"/>
        </w:rPr>
        <w:t>说明：合同中约定的支付时间只指采购方申请审批支付的期限。因政府其他部门核批导致付款延迟的，不得视为采购方违约，中标</w:t>
      </w:r>
      <w:r>
        <w:rPr>
          <w:rFonts w:ascii="宋体" w:eastAsia="宋体" w:hAnsi="宋体" w:cs="宋体" w:hint="eastAsia"/>
          <w:color w:val="auto"/>
          <w:sz w:val="24"/>
          <w:szCs w:val="24"/>
          <w:highlight w:val="none"/>
          <w:lang w:eastAsia="zh-CN"/>
        </w:rPr>
        <w:t>方</w:t>
      </w:r>
      <w:r>
        <w:rPr>
          <w:rFonts w:ascii="宋体" w:eastAsia="宋体" w:hAnsi="宋体" w:cs="宋体" w:hint="eastAsia"/>
          <w:color w:val="auto"/>
          <w:sz w:val="24"/>
          <w:szCs w:val="24"/>
          <w:highlight w:val="none"/>
        </w:rPr>
        <w:t>不得据此拒绝或怠于履行合同义务。因中标</w:t>
      </w:r>
      <w:r>
        <w:rPr>
          <w:rFonts w:ascii="宋体" w:eastAsia="宋体" w:hAnsi="宋体" w:cs="宋体" w:hint="eastAsia"/>
          <w:color w:val="auto"/>
          <w:sz w:val="24"/>
          <w:szCs w:val="24"/>
          <w:highlight w:val="none"/>
          <w:lang w:eastAsia="zh-CN"/>
        </w:rPr>
        <w:t>方</w:t>
      </w:r>
      <w:r>
        <w:rPr>
          <w:rFonts w:ascii="宋体" w:eastAsia="宋体" w:hAnsi="宋体" w:cs="宋体" w:hint="eastAsia"/>
          <w:color w:val="auto"/>
          <w:sz w:val="24"/>
          <w:szCs w:val="24"/>
          <w:highlight w:val="none"/>
        </w:rPr>
        <w:t>提供的资料不齐全或不及时导致付款延迟的，概由中标</w:t>
      </w:r>
      <w:r>
        <w:rPr>
          <w:rFonts w:ascii="宋体" w:eastAsia="宋体" w:hAnsi="宋体" w:cs="宋体" w:hint="eastAsia"/>
          <w:color w:val="auto"/>
          <w:sz w:val="24"/>
          <w:szCs w:val="24"/>
          <w:highlight w:val="none"/>
          <w:lang w:eastAsia="zh-CN"/>
        </w:rPr>
        <w:t>方</w:t>
      </w:r>
      <w:r>
        <w:rPr>
          <w:rFonts w:ascii="宋体" w:eastAsia="宋体" w:hAnsi="宋体" w:cs="宋体" w:hint="eastAsia"/>
          <w:color w:val="auto"/>
          <w:sz w:val="24"/>
          <w:szCs w:val="24"/>
          <w:highlight w:val="none"/>
        </w:rPr>
        <w:t>自行承担。</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bCs/>
          <w:sz w:val="24"/>
          <w:szCs w:val="24"/>
          <w:highlight w:val="none"/>
        </w:rPr>
      </w:pPr>
      <w:r>
        <w:rPr>
          <w:rFonts w:ascii="宋体" w:eastAsia="宋体" w:hAnsi="宋体" w:cs="宋体" w:hint="eastAsia"/>
          <w:b/>
          <w:bCs/>
          <w:color w:val="auto"/>
          <w:sz w:val="24"/>
          <w:szCs w:val="24"/>
          <w:highlight w:val="none"/>
          <w:lang w:val="en-US" w:eastAsia="zh-CN"/>
        </w:rPr>
        <w:t>四、</w:t>
      </w:r>
      <w:bookmarkStart w:id="36" w:name="_Toc260314562"/>
      <w:bookmarkStart w:id="37" w:name="_Toc222480774"/>
      <w:r>
        <w:rPr>
          <w:rFonts w:ascii="宋体" w:eastAsia="宋体" w:hAnsi="宋体" w:cs="宋体" w:hint="eastAsia"/>
          <w:b/>
          <w:bCs/>
          <w:sz w:val="24"/>
          <w:szCs w:val="24"/>
          <w:highlight w:val="none"/>
        </w:rPr>
        <w:t>售后服务要求</w:t>
      </w:r>
      <w:bookmarkEnd w:id="36"/>
      <w:bookmarkEnd w:id="37"/>
    </w:p>
    <w:p>
      <w:pPr>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jc w:val="left"/>
        <w:textAlignment w:val="auto"/>
        <w:rPr>
          <w:rFonts w:ascii="宋体" w:eastAsia="宋体" w:hAnsi="宋体" w:cs="宋体" w:hint="eastAsia"/>
          <w:kern w:val="0"/>
          <w:sz w:val="24"/>
          <w:szCs w:val="24"/>
          <w:highlight w:val="none"/>
        </w:rPr>
      </w:pPr>
      <w:r>
        <w:rPr>
          <w:rFonts w:ascii="宋体" w:eastAsia="宋体" w:hAnsi="宋体" w:cs="宋体" w:hint="eastAsia"/>
          <w:kern w:val="0"/>
          <w:sz w:val="24"/>
          <w:szCs w:val="24"/>
          <w:highlight w:val="none"/>
          <w:lang w:val="en-US" w:eastAsia="zh-CN"/>
        </w:rPr>
        <w:t>1.</w:t>
      </w:r>
      <w:r>
        <w:rPr>
          <w:rFonts w:ascii="宋体" w:eastAsia="宋体" w:hAnsi="宋体" w:cs="宋体" w:hint="eastAsia"/>
          <w:sz w:val="24"/>
          <w:szCs w:val="24"/>
          <w:highlight w:val="none"/>
        </w:rPr>
        <w:t>售后服务内容</w:t>
      </w:r>
    </w:p>
    <w:p>
      <w:pPr>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jc w:val="left"/>
        <w:textAlignment w:val="auto"/>
        <w:rPr>
          <w:rFonts w:ascii="宋体" w:eastAsia="宋体" w:hAnsi="宋体" w:cs="宋体" w:hint="eastAsia"/>
          <w:kern w:val="0"/>
          <w:sz w:val="24"/>
          <w:szCs w:val="24"/>
          <w:highlight w:val="none"/>
        </w:rPr>
      </w:pPr>
      <w:r>
        <w:rPr>
          <w:rFonts w:ascii="宋体" w:eastAsia="宋体" w:hAnsi="宋体" w:cs="宋体" w:hint="eastAsia"/>
          <w:kern w:val="0"/>
          <w:sz w:val="24"/>
          <w:szCs w:val="24"/>
          <w:highlight w:val="none"/>
        </w:rPr>
        <w:t>在售后服务期限内提供技术支持</w:t>
      </w:r>
      <w:r>
        <w:rPr>
          <w:rFonts w:ascii="宋体" w:eastAsia="宋体" w:hAnsi="宋体" w:cs="宋体" w:hint="eastAsia"/>
          <w:kern w:val="0"/>
          <w:sz w:val="24"/>
          <w:szCs w:val="24"/>
          <w:highlight w:val="none"/>
          <w:lang w:eastAsia="zh-CN"/>
        </w:rPr>
        <w:t>、收费争议处理</w:t>
      </w:r>
      <w:r>
        <w:rPr>
          <w:rFonts w:ascii="宋体" w:eastAsia="宋体" w:hAnsi="宋体" w:cs="宋体" w:hint="eastAsia"/>
          <w:kern w:val="0"/>
          <w:sz w:val="24"/>
          <w:szCs w:val="24"/>
          <w:highlight w:val="none"/>
        </w:rPr>
        <w:t>等支持</w:t>
      </w:r>
      <w:r>
        <w:rPr>
          <w:rFonts w:ascii="宋体" w:eastAsia="宋体" w:hAnsi="宋体" w:cs="宋体" w:hint="eastAsia"/>
          <w:kern w:val="0"/>
          <w:sz w:val="24"/>
          <w:szCs w:val="24"/>
          <w:highlight w:val="none"/>
          <w:lang w:eastAsia="zh-CN"/>
        </w:rPr>
        <w:t>服务</w:t>
      </w:r>
      <w:r>
        <w:rPr>
          <w:rFonts w:ascii="宋体" w:eastAsia="宋体" w:hAnsi="宋体" w:cs="宋体" w:hint="eastAsia"/>
          <w:kern w:val="0"/>
          <w:sz w:val="24"/>
          <w:szCs w:val="24"/>
          <w:highlight w:val="none"/>
        </w:rPr>
        <w:t>。</w:t>
      </w:r>
    </w:p>
    <w:p>
      <w:pPr>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jc w:val="left"/>
        <w:textAlignment w:val="auto"/>
        <w:rPr>
          <w:rFonts w:ascii="宋体" w:eastAsia="宋体" w:hAnsi="宋体" w:cs="宋体" w:hint="eastAsia"/>
          <w:kern w:val="0"/>
          <w:sz w:val="24"/>
          <w:szCs w:val="24"/>
          <w:highlight w:val="none"/>
        </w:rPr>
      </w:pPr>
      <w:r>
        <w:rPr>
          <w:rFonts w:ascii="宋体" w:eastAsia="宋体" w:hAnsi="宋体" w:cs="宋体" w:hint="eastAsia"/>
          <w:kern w:val="0"/>
          <w:sz w:val="24"/>
          <w:szCs w:val="24"/>
          <w:highlight w:val="none"/>
          <w:lang w:val="en-US" w:eastAsia="zh-CN"/>
        </w:rPr>
        <w:t>2.</w:t>
      </w:r>
      <w:r>
        <w:rPr>
          <w:rFonts w:ascii="宋体" w:eastAsia="宋体" w:hAnsi="宋体" w:cs="宋体" w:hint="eastAsia"/>
          <w:kern w:val="0"/>
          <w:sz w:val="24"/>
          <w:szCs w:val="24"/>
          <w:highlight w:val="none"/>
        </w:rPr>
        <w:t>售后服务要求</w:t>
      </w:r>
    </w:p>
    <w:p>
      <w:pPr>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jc w:val="left"/>
        <w:textAlignment w:val="auto"/>
        <w:rPr>
          <w:rFonts w:ascii="宋体" w:eastAsia="宋体" w:hAnsi="宋体" w:cs="宋体" w:hint="eastAsia"/>
          <w:kern w:val="0"/>
          <w:sz w:val="24"/>
          <w:szCs w:val="24"/>
          <w:highlight w:val="none"/>
        </w:rPr>
      </w:pPr>
      <w:r>
        <w:rPr>
          <w:rFonts w:ascii="宋体" w:eastAsia="宋体" w:hAnsi="宋体" w:cs="宋体" w:hint="eastAsia"/>
          <w:kern w:val="0"/>
          <w:sz w:val="24"/>
          <w:szCs w:val="24"/>
          <w:highlight w:val="none"/>
          <w:lang w:eastAsia="zh-CN"/>
        </w:rPr>
        <w:t>（</w:t>
      </w:r>
      <w:r>
        <w:rPr>
          <w:rFonts w:ascii="宋体" w:eastAsia="宋体" w:hAnsi="宋体" w:cs="宋体" w:hint="eastAsia"/>
          <w:kern w:val="0"/>
          <w:sz w:val="24"/>
          <w:szCs w:val="24"/>
          <w:highlight w:val="none"/>
          <w:lang w:val="en-US" w:eastAsia="zh-CN"/>
        </w:rPr>
        <w:t>1</w:t>
      </w:r>
      <w:r>
        <w:rPr>
          <w:rFonts w:ascii="宋体" w:eastAsia="宋体" w:hAnsi="宋体" w:cs="宋体" w:hint="eastAsia"/>
          <w:kern w:val="0"/>
          <w:sz w:val="24"/>
          <w:szCs w:val="24"/>
          <w:highlight w:val="none"/>
          <w:lang w:eastAsia="zh-CN"/>
        </w:rPr>
        <w:t>）</w:t>
      </w:r>
      <w:r>
        <w:rPr>
          <w:rFonts w:ascii="宋体" w:eastAsia="宋体" w:hAnsi="宋体" w:cs="宋体" w:hint="eastAsia"/>
          <w:kern w:val="0"/>
          <w:sz w:val="24"/>
          <w:szCs w:val="24"/>
          <w:highlight w:val="none"/>
        </w:rPr>
        <w:t>投标人在投标文件中应提供详细的售后服务承诺书；</w:t>
      </w:r>
    </w:p>
    <w:p>
      <w:pPr>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jc w:val="left"/>
        <w:textAlignment w:val="auto"/>
        <w:rPr>
          <w:rFonts w:ascii="宋体" w:eastAsia="宋体" w:hAnsi="宋体" w:cs="宋体" w:hint="eastAsia"/>
          <w:kern w:val="0"/>
          <w:sz w:val="24"/>
          <w:szCs w:val="24"/>
          <w:highlight w:val="none"/>
        </w:rPr>
      </w:pPr>
      <w:r>
        <w:rPr>
          <w:rFonts w:ascii="宋体" w:eastAsia="宋体" w:hAnsi="宋体" w:cs="宋体" w:hint="eastAsia"/>
          <w:kern w:val="0"/>
          <w:sz w:val="24"/>
          <w:szCs w:val="24"/>
          <w:highlight w:val="none"/>
          <w:lang w:eastAsia="zh-CN"/>
        </w:rPr>
        <w:t>（</w:t>
      </w:r>
      <w:r>
        <w:rPr>
          <w:rFonts w:ascii="宋体" w:eastAsia="宋体" w:hAnsi="宋体" w:cs="宋体" w:hint="eastAsia"/>
          <w:kern w:val="0"/>
          <w:sz w:val="24"/>
          <w:szCs w:val="24"/>
          <w:highlight w:val="none"/>
          <w:lang w:val="en-US" w:eastAsia="zh-CN"/>
        </w:rPr>
        <w:t>2</w:t>
      </w:r>
      <w:r>
        <w:rPr>
          <w:rFonts w:ascii="宋体" w:eastAsia="宋体" w:hAnsi="宋体" w:cs="宋体" w:hint="eastAsia"/>
          <w:kern w:val="0"/>
          <w:sz w:val="24"/>
          <w:szCs w:val="24"/>
          <w:highlight w:val="none"/>
          <w:lang w:eastAsia="zh-CN"/>
        </w:rPr>
        <w:t>）</w:t>
      </w:r>
      <w:r>
        <w:rPr>
          <w:rFonts w:ascii="宋体" w:eastAsia="宋体" w:hAnsi="宋体" w:cs="宋体" w:hint="eastAsia"/>
          <w:kern w:val="0"/>
          <w:sz w:val="24"/>
          <w:szCs w:val="24"/>
          <w:highlight w:val="none"/>
        </w:rPr>
        <w:t>安排专人负责售后技术支持，并提供其联系手机、电话、传真、Email；如人员需要调整应及时通知采购方。</w:t>
      </w:r>
    </w:p>
    <w:p>
      <w:pPr>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jc w:val="left"/>
        <w:textAlignment w:val="auto"/>
        <w:rPr>
          <w:rFonts w:ascii="宋体" w:eastAsia="宋体" w:hAnsi="宋体" w:cs="宋体" w:hint="eastAsia"/>
          <w:kern w:val="0"/>
          <w:sz w:val="24"/>
          <w:szCs w:val="24"/>
          <w:highlight w:val="none"/>
        </w:rPr>
      </w:pPr>
      <w:r>
        <w:rPr>
          <w:rFonts w:ascii="宋体" w:eastAsia="宋体" w:hAnsi="宋体" w:cs="宋体" w:hint="eastAsia"/>
          <w:kern w:val="0"/>
          <w:sz w:val="24"/>
          <w:szCs w:val="24"/>
          <w:highlight w:val="none"/>
          <w:lang w:val="en-US" w:eastAsia="zh-CN"/>
        </w:rPr>
        <w:t>3.</w:t>
      </w:r>
      <w:r>
        <w:rPr>
          <w:rFonts w:ascii="宋体" w:eastAsia="宋体" w:hAnsi="宋体" w:cs="宋体" w:hint="eastAsia"/>
          <w:kern w:val="0"/>
          <w:sz w:val="24"/>
          <w:szCs w:val="24"/>
          <w:highlight w:val="none"/>
        </w:rPr>
        <w:t>售后服务期限</w:t>
      </w:r>
    </w:p>
    <w:p>
      <w:pPr>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jc w:val="left"/>
        <w:textAlignment w:val="auto"/>
        <w:rPr>
          <w:rFonts w:ascii="宋体" w:eastAsia="宋体" w:hAnsi="宋体" w:cs="宋体" w:hint="eastAsia"/>
          <w:color w:val="auto"/>
          <w:sz w:val="24"/>
          <w:szCs w:val="24"/>
          <w:highlight w:val="none"/>
          <w:lang w:val="en-US" w:eastAsia="zh-CN"/>
        </w:rPr>
      </w:pPr>
      <w:r>
        <w:rPr>
          <w:rFonts w:ascii="宋体" w:eastAsia="宋体" w:hAnsi="宋体" w:cs="宋体" w:hint="eastAsia"/>
          <w:kern w:val="0"/>
          <w:sz w:val="24"/>
          <w:szCs w:val="24"/>
          <w:highlight w:val="none"/>
        </w:rPr>
        <w:t>本项目最终成果提交采购方并通过审查后即进入售后服务期，要求由中标方提供</w:t>
      </w:r>
      <w:r>
        <w:rPr>
          <w:rFonts w:ascii="宋体" w:eastAsia="宋体" w:hAnsi="宋体" w:cs="宋体" w:hint="eastAsia"/>
          <w:kern w:val="0"/>
          <w:sz w:val="24"/>
          <w:szCs w:val="24"/>
          <w:highlight w:val="none"/>
          <w:lang w:val="en-US" w:eastAsia="zh-CN"/>
        </w:rPr>
        <w:t>1年</w:t>
      </w:r>
      <w:r>
        <w:rPr>
          <w:rFonts w:ascii="宋体" w:eastAsia="宋体" w:hAnsi="宋体" w:cs="宋体" w:hint="eastAsia"/>
          <w:kern w:val="0"/>
          <w:sz w:val="24"/>
          <w:szCs w:val="24"/>
          <w:highlight w:val="none"/>
        </w:rPr>
        <w:t>的免费售后支持。</w:t>
      </w:r>
    </w:p>
    <w:p>
      <w:pPr>
        <w:pStyle w:val="BodyTex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lang w:val="en-US" w:eastAsia="zh-CN"/>
        </w:rPr>
      </w:pPr>
      <w:r>
        <w:rPr>
          <w:rFonts w:ascii="宋体" w:eastAsia="宋体" w:hAnsi="宋体" w:cs="宋体" w:hint="eastAsia"/>
          <w:color w:val="auto"/>
          <w:sz w:val="24"/>
          <w:szCs w:val="24"/>
          <w:highlight w:val="none"/>
          <w:lang w:val="en-US" w:eastAsia="zh-CN"/>
        </w:rPr>
        <w:t>五、违约责任</w:t>
      </w:r>
    </w:p>
    <w:p>
      <w:pPr>
        <w:pStyle w:val="BodyTex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val="0"/>
          <w:bCs w:val="0"/>
          <w:color w:val="auto"/>
          <w:sz w:val="24"/>
          <w:szCs w:val="24"/>
          <w:highlight w:val="none"/>
          <w:lang w:val="en-US" w:eastAsia="zh-CN"/>
        </w:rPr>
      </w:pPr>
      <w:r>
        <w:rPr>
          <w:rFonts w:ascii="宋体" w:eastAsia="宋体" w:hAnsi="宋体" w:cs="宋体" w:hint="eastAsia"/>
          <w:b w:val="0"/>
          <w:bCs w:val="0"/>
          <w:color w:val="auto"/>
          <w:sz w:val="24"/>
          <w:szCs w:val="24"/>
          <w:highlight w:val="none"/>
          <w:lang w:val="en-US" w:eastAsia="zh-CN"/>
        </w:rPr>
        <w:t>1.中标方将采购方所委托完成的任何工作转包、或未经采购方书面同意分包给任何第三人的，采购方有权解除合同，中标方应向采购方支付相当于合同最高总价20%的违约金。</w:t>
      </w:r>
    </w:p>
    <w:p>
      <w:pPr>
        <w:pStyle w:val="BodyTex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val="0"/>
          <w:bCs w:val="0"/>
          <w:color w:val="auto"/>
          <w:sz w:val="24"/>
          <w:szCs w:val="24"/>
          <w:highlight w:val="none"/>
          <w:lang w:val="en-US" w:eastAsia="zh-CN"/>
        </w:rPr>
      </w:pPr>
      <w:r>
        <w:rPr>
          <w:rFonts w:ascii="宋体" w:eastAsia="宋体" w:hAnsi="宋体" w:cs="宋体" w:hint="eastAsia"/>
          <w:b w:val="0"/>
          <w:bCs w:val="0"/>
          <w:color w:val="auto"/>
          <w:sz w:val="24"/>
          <w:szCs w:val="24"/>
          <w:highlight w:val="none"/>
          <w:lang w:val="en-US" w:eastAsia="zh-CN"/>
        </w:rPr>
        <w:t>2.没有发生法律或者合同约定的合同解除事项，中标方解除合同的，应支付采购方合同最高总价20%的违约金。本条款不视为赋予中标方单方解除本合同的权利。因政策变化、规划调整、机构改革、履职要求、产权变更、形势变更以及公共利益需要等原因，采购方不需要中标方继续提供服务的，经采购方提前30天通知中标方，采购方有权解除本合同，这不视为采购方违约。采购方应按照中标方实际完成的合格工作量支付服务价款，此外采购方无需向中标方承担任何赔偿、补偿责任。</w:t>
      </w:r>
    </w:p>
    <w:p>
      <w:pPr>
        <w:pStyle w:val="BodyTex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val="0"/>
          <w:bCs w:val="0"/>
          <w:color w:val="auto"/>
          <w:sz w:val="24"/>
          <w:szCs w:val="24"/>
          <w:highlight w:val="none"/>
          <w:lang w:val="en-US" w:eastAsia="zh-CN"/>
        </w:rPr>
      </w:pPr>
      <w:r>
        <w:rPr>
          <w:rFonts w:ascii="宋体" w:eastAsia="宋体" w:hAnsi="宋体" w:cs="宋体" w:hint="eastAsia"/>
          <w:b w:val="0"/>
          <w:bCs w:val="0"/>
          <w:color w:val="auto"/>
          <w:sz w:val="24"/>
          <w:szCs w:val="24"/>
          <w:highlight w:val="none"/>
          <w:lang w:val="en-US" w:eastAsia="zh-CN"/>
        </w:rPr>
        <w:t>3.除合同对违约责任另有约定外，中标方有任何违反合同约定的行为的，采购方有权要求中标方改正和补救，同时可按照合同最高总价5%每次的标准计扣违约金。中标方拒不改正、未改正至采购方满意或累计3次（含本数）出现违约行为的，采购方有权解除合同，中标方应向采购方支付相当于合同最高总价20%的违约金。</w:t>
      </w:r>
    </w:p>
    <w:p>
      <w:pPr>
        <w:pStyle w:val="BodyTex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val="0"/>
          <w:bCs w:val="0"/>
          <w:color w:val="auto"/>
          <w:sz w:val="24"/>
          <w:szCs w:val="24"/>
          <w:highlight w:val="none"/>
          <w:lang w:val="en-US" w:eastAsia="zh-CN"/>
        </w:rPr>
      </w:pPr>
      <w:r>
        <w:rPr>
          <w:rFonts w:ascii="宋体" w:eastAsia="宋体" w:hAnsi="宋体" w:cs="宋体" w:hint="eastAsia"/>
          <w:b w:val="0"/>
          <w:bCs w:val="0"/>
          <w:color w:val="auto"/>
          <w:sz w:val="24"/>
          <w:szCs w:val="24"/>
          <w:highlight w:val="none"/>
          <w:lang w:val="en-US" w:eastAsia="zh-CN"/>
        </w:rPr>
        <w:t>4.中标方违反本合同，给采购方造成的损失超过违约金的，还应承担补足责任。</w:t>
      </w:r>
    </w:p>
    <w:p>
      <w:pPr>
        <w:pStyle w:val="BodyText"/>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auto"/>
          <w:sz w:val="24"/>
          <w:szCs w:val="24"/>
          <w:highlight w:val="none"/>
          <w:lang w:val="en-US" w:eastAsia="zh-CN"/>
        </w:rPr>
      </w:pPr>
      <w:r>
        <w:rPr>
          <w:rFonts w:ascii="宋体" w:eastAsia="宋体" w:hAnsi="宋体" w:cs="宋体" w:hint="eastAsia"/>
          <w:color w:val="auto"/>
          <w:sz w:val="24"/>
          <w:szCs w:val="24"/>
          <w:highlight w:val="none"/>
          <w:lang w:val="en-US" w:eastAsia="zh-CN"/>
        </w:rPr>
        <w:t>六、项目其他要求</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highlight w:val="none"/>
        </w:rPr>
      </w:pPr>
      <w:r>
        <w:rPr>
          <w:rFonts w:ascii="宋体" w:eastAsia="宋体" w:hAnsi="宋体" w:cs="宋体" w:hint="eastAsia"/>
          <w:color w:val="auto"/>
          <w:kern w:val="0"/>
          <w:sz w:val="24"/>
          <w:szCs w:val="24"/>
          <w:highlight w:val="none"/>
        </w:rPr>
        <w:t>1.投标人应确保投标文件信息真实、有效。</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highlight w:val="none"/>
        </w:rPr>
      </w:pPr>
      <w:r>
        <w:rPr>
          <w:rFonts w:ascii="宋体" w:eastAsia="宋体" w:hAnsi="宋体" w:cs="宋体" w:hint="eastAsia"/>
          <w:color w:val="auto"/>
          <w:kern w:val="0"/>
          <w:sz w:val="24"/>
          <w:szCs w:val="24"/>
          <w:highlight w:val="none"/>
        </w:rPr>
        <w:t>2.本项目实施所需相关资料及评价标准等均需由投标人自行收集，投标人使用的标准必须是国际公认或国家、地方政府颁布的同等或更高的标准。</w:t>
      </w:r>
    </w:p>
    <w:p>
      <w:pPr>
        <w:ind w:firstLine="480" w:firstLineChars="200"/>
        <w:rPr>
          <w:rFonts w:ascii="宋体" w:hAnsi="宋体"/>
          <w:b/>
          <w:bCs/>
          <w:highlight w:val="none"/>
        </w:rPr>
      </w:pPr>
    </w:p>
    <w:p>
      <w:pPr>
        <w:rPr>
          <w:highlight w:val="none"/>
        </w:rPr>
      </w:pPr>
    </w:p>
    <w:p>
      <w:pPr>
        <w:pStyle w:val="Heading3"/>
        <w:jc w:val="center"/>
        <w:rPr>
          <w:rFonts w:asciiTheme="minorEastAsia" w:eastAsiaTheme="minorEastAsia" w:hAnsiTheme="minorEastAsia"/>
          <w:szCs w:val="21"/>
          <w:highlight w:val="none"/>
        </w:rPr>
      </w:pPr>
      <w:r>
        <w:rPr>
          <w:rFonts w:asciiTheme="minorEastAsia" w:eastAsiaTheme="minorEastAsia" w:hAnsiTheme="minorEastAsia" w:hint="eastAsia"/>
          <w:szCs w:val="21"/>
          <w:highlight w:val="none"/>
        </w:rPr>
        <w:t>六、其他重要条款</w:t>
      </w:r>
    </w:p>
    <w:p>
      <w:pPr>
        <w:ind w:firstLine="480" w:firstLineChars="200"/>
        <w:rPr>
          <w:rFonts w:asciiTheme="minorEastAsia" w:hAnsiTheme="minorEastAsia"/>
          <w:bCs/>
          <w:sz w:val="21"/>
          <w:szCs w:val="21"/>
          <w:highlight w:val="none"/>
        </w:rPr>
      </w:pPr>
      <w:bookmarkStart w:id="38" w:name="_Hlk72257111"/>
      <w:r>
        <w:rPr>
          <w:rFonts w:asciiTheme="minorEastAsia" w:hAnsiTheme="minorEastAsia" w:hint="eastAsia"/>
          <w:bCs/>
          <w:sz w:val="21"/>
          <w:szCs w:val="21"/>
          <w:highlight w:val="none"/>
        </w:rPr>
        <w:t>1、本项目投标报价采用包干制，应包括成本、法定税费和相应的利润，应涵盖本项目招标范围和招标文件所列的各项内容中所述的全部。由投标人根据招标需求自行测算投标报价；一经中标，投标报价即作为中标单位与采购人签订的合同金额。</w:t>
      </w:r>
    </w:p>
    <w:p>
      <w:pPr>
        <w:pStyle w:val="NormalIndent"/>
        <w:spacing w:before="60" w:beforeLines="25" w:after="60" w:afterLines="25"/>
        <w:ind w:firstLine="449" w:firstLineChars="187"/>
        <w:rPr>
          <w:rFonts w:asciiTheme="minorEastAsia" w:hAnsiTheme="minorEastAsia"/>
          <w:sz w:val="21"/>
          <w:szCs w:val="21"/>
          <w:highlight w:val="none"/>
        </w:rPr>
      </w:pPr>
      <w:r>
        <w:rPr>
          <w:rFonts w:asciiTheme="minorEastAsia" w:hAnsiTheme="minorEastAsia"/>
          <w:bCs/>
          <w:sz w:val="21"/>
          <w:szCs w:val="21"/>
          <w:highlight w:val="none"/>
        </w:rPr>
        <w:t>2</w:t>
      </w:r>
      <w:r>
        <w:rPr>
          <w:rFonts w:asciiTheme="minorEastAsia" w:hAnsiTheme="minorEastAsia" w:hint="eastAsia"/>
          <w:bCs/>
          <w:sz w:val="21"/>
          <w:szCs w:val="21"/>
          <w:highlight w:val="none"/>
        </w:rPr>
        <w:t>、投标人应充分了解项目的位置、情况、道路及任何其它足以影响投标报价的情况，任何因忽视或误解项目情况而导致的索赔或服务期限延长申请将不获批准。</w:t>
      </w:r>
    </w:p>
    <w:p>
      <w:pPr>
        <w:ind w:firstLine="480" w:firstLineChars="200"/>
        <w:rPr>
          <w:rFonts w:asciiTheme="minorEastAsia" w:hAnsiTheme="minorEastAsia"/>
          <w:bCs/>
          <w:sz w:val="21"/>
          <w:szCs w:val="21"/>
          <w:highlight w:val="none"/>
        </w:rPr>
      </w:pPr>
      <w:r>
        <w:rPr>
          <w:rFonts w:asciiTheme="minorEastAsia" w:hAnsiTheme="minorEastAsia"/>
          <w:bCs/>
          <w:sz w:val="21"/>
          <w:szCs w:val="21"/>
          <w:highlight w:val="none"/>
        </w:rPr>
        <w:t>3</w:t>
      </w:r>
      <w:r>
        <w:rPr>
          <w:rFonts w:asciiTheme="minorEastAsia" w:hAnsiTheme="minorEastAsia" w:hint="eastAsia"/>
          <w:bCs/>
          <w:sz w:val="21"/>
          <w:szCs w:val="21"/>
          <w:highlight w:val="none"/>
        </w:rPr>
        <w:t>、投标人不得期望通过索赔等方式获取补偿，否则，除可能遭到拒绝外，还可能将被作为不良行为记录在案，并可能影响其以后参加政府采购的项目投标。各投标人在投标报价时，应充分考虑投标报价的风险。</w:t>
      </w:r>
    </w:p>
    <w:p>
      <w:pPr>
        <w:ind w:firstLine="480" w:firstLineChars="200"/>
        <w:rPr>
          <w:rFonts w:asciiTheme="minorEastAsia" w:hAnsiTheme="minorEastAsia"/>
          <w:bCs/>
          <w:color w:val="auto"/>
          <w:sz w:val="21"/>
          <w:szCs w:val="21"/>
          <w:highlight w:val="none"/>
        </w:rPr>
      </w:pPr>
      <w:r>
        <w:rPr>
          <w:rFonts w:asciiTheme="minorEastAsia" w:hAnsiTheme="minorEastAsia"/>
          <w:bCs/>
          <w:color w:val="auto"/>
          <w:sz w:val="21"/>
          <w:szCs w:val="21"/>
          <w:highlight w:val="none"/>
        </w:rPr>
        <w:t>4</w:t>
      </w:r>
      <w:r>
        <w:rPr>
          <w:rFonts w:asciiTheme="minorEastAsia" w:hAnsiTheme="minorEastAsia" w:hint="eastAsia"/>
          <w:bCs/>
          <w:color w:val="auto"/>
          <w:sz w:val="21"/>
          <w:szCs w:val="21"/>
          <w:highlight w:val="none"/>
        </w:rPr>
        <w:t>、鼓励采购人积极运用公共信用信息，明确对信用记录良好的供应商（特别是中小微企业）免收履约保证金，确需收取履约保证金的，列明通过保函等非现金方式收取。在采购合同中明确对上述企业加大首付款或预付款比例，具体由采购人根据项目实际情况确定。</w:t>
      </w:r>
    </w:p>
    <w:p>
      <w:pPr>
        <w:ind w:firstLine="480" w:firstLineChars="200"/>
        <w:rPr>
          <w:rFonts w:asciiTheme="minorEastAsia" w:hAnsiTheme="minorEastAsia"/>
          <w:bCs/>
          <w:sz w:val="21"/>
          <w:szCs w:val="21"/>
          <w:highlight w:val="none"/>
        </w:rPr>
      </w:pPr>
      <w:r>
        <w:rPr>
          <w:rFonts w:asciiTheme="minorEastAsia" w:hAnsiTheme="minorEastAsia"/>
          <w:bCs/>
          <w:sz w:val="21"/>
          <w:szCs w:val="21"/>
          <w:highlight w:val="none"/>
        </w:rPr>
        <w:t>5</w:t>
      </w:r>
      <w:r>
        <w:rPr>
          <w:rFonts w:asciiTheme="minorEastAsia" w:hAnsiTheme="minorEastAsia" w:hint="eastAsia"/>
          <w:bCs/>
          <w:sz w:val="21"/>
          <w:szCs w:val="21"/>
          <w:highlight w:val="none"/>
        </w:rPr>
        <w:t>、除政府采购合同继续履行将损害国家利益和社会公共利益外，双方当事人不得擅自变更、中止或者终止合同。</w:t>
      </w:r>
    </w:p>
    <w:p>
      <w:pPr>
        <w:ind w:firstLine="480" w:firstLineChars="200"/>
        <w:rPr>
          <w:rFonts w:asciiTheme="minorEastAsia" w:hAnsiTheme="minorEastAsia"/>
          <w:bCs/>
          <w:sz w:val="18"/>
          <w:szCs w:val="21"/>
          <w:highlight w:val="none"/>
        </w:rPr>
      </w:pPr>
      <w:r>
        <w:rPr>
          <w:rFonts w:asciiTheme="minorEastAsia" w:hAnsiTheme="minorEastAsia"/>
          <w:bCs/>
          <w:sz w:val="21"/>
          <w:szCs w:val="21"/>
          <w:highlight w:val="none"/>
        </w:rPr>
        <w:t>6</w:t>
      </w:r>
      <w:r>
        <w:rPr>
          <w:rFonts w:asciiTheme="minorEastAsia" w:hAnsiTheme="minorEastAsia" w:hint="eastAsia"/>
          <w:bCs/>
          <w:sz w:val="21"/>
          <w:szCs w:val="21"/>
          <w:highlight w:val="none"/>
        </w:rPr>
        <w:t>、“信用中国”、“中国政府采购网”、“深圳信用网”以及“深圳市政府采购监管网”为供应商信用信息的查询渠道，相关信息以开标当日的查询结果为准。</w:t>
      </w:r>
      <w:bookmarkEnd w:id="38"/>
    </w:p>
    <w:p>
      <w:pPr>
        <w:pStyle w:val="NormalIndent"/>
        <w:spacing w:before="60" w:beforeLines="25" w:after="60" w:afterLines="25"/>
        <w:ind w:firstLine="0"/>
        <w:rPr>
          <w:rFonts w:asciiTheme="minorEastAsia" w:hAnsiTheme="minorEastAsia"/>
          <w:sz w:val="21"/>
          <w:szCs w:val="21"/>
          <w:highlight w:val="none"/>
        </w:rPr>
      </w:pPr>
      <w:bookmarkEnd w:id="35"/>
      <w:r>
        <w:rPr>
          <w:rFonts w:asciiTheme="minorEastAsia" w:hAnsiTheme="minorEastAsia"/>
          <w:sz w:val="21"/>
          <w:szCs w:val="21"/>
          <w:highlight w:val="none"/>
        </w:rPr>
        <w:br w:type="page"/>
      </w:r>
    </w:p>
    <w:p>
      <w:pPr>
        <w:pStyle w:val="Heading2"/>
        <w:rPr>
          <w:color w:val="000000" w:themeColor="text1"/>
          <w:kern w:val="2"/>
          <w:highlight w:val="none"/>
          <w14:textFill>
            <w14:solidFill>
              <w14:schemeClr w14:val="tx1"/>
            </w14:solidFill>
          </w14:textFill>
        </w:rPr>
      </w:pPr>
      <w:r>
        <w:rPr>
          <w:rFonts w:hint="eastAsia"/>
          <w:color w:val="000000" w:themeColor="text1"/>
          <w:kern w:val="2"/>
          <w:highlight w:val="none"/>
          <w14:textFill>
            <w14:solidFill>
              <w14:schemeClr w14:val="tx1"/>
            </w14:solidFill>
          </w14:textFill>
        </w:rPr>
        <w:t>第四章 投标文件组成要求及格式</w:t>
      </w:r>
    </w:p>
    <w:p>
      <w:pPr>
        <w:spacing w:line="360" w:lineRule="auto"/>
        <w:rPr>
          <w:rStyle w:val="3Char"/>
          <w:rFonts w:ascii="宋体" w:eastAsia="宋体" w:hAnsi="宋体" w:cs="宋体"/>
          <w:b/>
          <w:bCs w:val="0"/>
          <w:color w:val="000000" w:themeColor="text1"/>
          <w:sz w:val="24"/>
          <w:highlight w:val="none"/>
          <w14:textFill>
            <w14:solidFill>
              <w14:schemeClr w14:val="tx1"/>
            </w14:solidFill>
          </w14:textFill>
        </w:rPr>
      </w:pPr>
      <w:r>
        <w:rPr>
          <w:rStyle w:val="3Char"/>
          <w:rFonts w:ascii="宋体" w:eastAsia="宋体" w:hAnsi="宋体" w:cs="宋体" w:hint="eastAsia"/>
          <w:b/>
          <w:bCs w:val="0"/>
          <w:color w:val="000000" w:themeColor="text1"/>
          <w:sz w:val="24"/>
          <w:highlight w:val="none"/>
          <w14:textFill>
            <w14:solidFill>
              <w14:schemeClr w14:val="tx1"/>
            </w14:solidFill>
          </w14:textFill>
        </w:rPr>
        <w:t>特别提醒：</w:t>
      </w:r>
    </w:p>
    <w:p>
      <w:pPr>
        <w:spacing w:line="360" w:lineRule="auto"/>
        <w:ind w:firstLine="480" w:firstLineChars="200"/>
        <w:rPr>
          <w:rFonts w:ascii="宋体" w:hAnsi="宋体" w:cs="宋体"/>
          <w:color w:val="000000" w:themeColor="text1"/>
          <w:szCs w:val="21"/>
          <w:highlight w:val="none"/>
          <w14:textFill>
            <w14:solidFill>
              <w14:schemeClr w14:val="tx1"/>
            </w14:solidFill>
          </w14:textFill>
        </w:rPr>
      </w:pPr>
      <w:r>
        <w:rPr>
          <w:rFonts w:ascii="宋体" w:hAnsi="宋体" w:cs="宋体" w:hint="eastAsia"/>
          <w:color w:val="000000" w:themeColor="text1"/>
          <w:szCs w:val="21"/>
          <w:highlight w:val="none"/>
          <w14:textFill>
            <w14:solidFill>
              <w14:schemeClr w14:val="tx1"/>
            </w14:solidFill>
          </w14:textFill>
        </w:rPr>
        <w:t>投标文件正文将对外公开，投标文件附件不公开。投标人在编辑投标文件时，在投标文件目录中属于本节点内容的必须在本节点中填写，填写到其他节点或附件的将可能导致投标无效，一切后果由供应商自行承担。</w:t>
      </w:r>
    </w:p>
    <w:p>
      <w:pPr>
        <w:spacing w:line="360" w:lineRule="auto"/>
        <w:ind w:firstLine="480" w:firstLineChars="200"/>
        <w:rPr>
          <w:rFonts w:ascii="宋体" w:hAnsi="宋体" w:cs="宋体"/>
          <w:color w:val="000000" w:themeColor="text1"/>
          <w:szCs w:val="21"/>
          <w:highlight w:val="none"/>
          <w14:textFill>
            <w14:solidFill>
              <w14:schemeClr w14:val="tx1"/>
            </w14:solidFill>
          </w14:textFill>
        </w:rPr>
      </w:pPr>
      <w:r>
        <w:rPr>
          <w:rFonts w:ascii="宋体" w:hAnsi="宋体" w:cs="宋体" w:hint="eastAsia"/>
          <w:color w:val="000000" w:themeColor="text1"/>
          <w:szCs w:val="21"/>
          <w:highlight w:val="none"/>
          <w14:textFill>
            <w14:solidFill>
              <w14:schemeClr w14:val="tx1"/>
            </w14:solidFill>
          </w14:textFill>
        </w:rPr>
        <w:t>投标文件正文（信息公开部分）必须编制于“投标书目录”部分，投标文件附件（非信息公开部分）必须编制于“投标书附件”部分，如下图所示。</w:t>
      </w:r>
    </w:p>
    <w:p>
      <w:pPr>
        <w:rPr>
          <w:rFonts w:ascii="宋体" w:hAnsi="宋体" w:cs="宋体"/>
          <w:color w:val="000000" w:themeColor="text1"/>
          <w:highlight w:val="none"/>
          <w14:textFill>
            <w14:solidFill>
              <w14:schemeClr w14:val="tx1"/>
            </w14:solidFill>
          </w14:textFill>
        </w:rPr>
      </w:pPr>
      <w:r>
        <w:rPr>
          <w:rFonts w:ascii="仿宋_GB2312" w:eastAsia="仿宋_GB2312"/>
          <w:color w:val="000000" w:themeColor="text1"/>
          <w:highlight w:val="none"/>
          <w14:textFill>
            <w14:solidFill>
              <w14:schemeClr w14:val="tx1"/>
            </w14:solidFill>
          </w14:textFill>
        </w:rPr>
        <w:drawing>
          <wp:inline distT="0" distB="0" distL="0" distR="0">
            <wp:extent cx="5278755" cy="4126230"/>
            <wp:effectExtent l="0" t="0" r="0" b="0"/>
            <wp:docPr id="6" name="图片 6"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形用户界面, 应用程序&#10;&#10;描述已自动生成"/>
                    <pic:cNvPicPr>
                      <a:picLocks noChangeAspect="1" noChangeArrowheads="1"/>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4126230"/>
                    </a:xfrm>
                    <a:prstGeom prst="rect">
                      <a:avLst/>
                    </a:prstGeom>
                    <a:noFill/>
                    <a:ln>
                      <a:noFill/>
                    </a:ln>
                  </pic:spPr>
                </pic:pic>
              </a:graphicData>
            </a:graphic>
          </wp:inline>
        </w:drawing>
      </w:r>
    </w:p>
    <w:p>
      <w:pPr>
        <w:rPr>
          <w:rFonts w:ascii="仿宋_GB2312" w:eastAsia="仿宋_GB2312"/>
          <w:color w:val="000000" w:themeColor="text1"/>
          <w:highlight w:val="none"/>
          <w14:textFill>
            <w14:solidFill>
              <w14:schemeClr w14:val="tx1"/>
            </w14:solidFill>
          </w14:textFill>
        </w:rPr>
      </w:pPr>
    </w:p>
    <w:p>
      <w:pPr>
        <w:pStyle w:val="NormalIndent"/>
        <w:rPr>
          <w:rFonts w:eastAsia="仿宋_GB2312"/>
          <w:highlight w:val="none"/>
        </w:rPr>
      </w:pPr>
    </w:p>
    <w:p>
      <w:pPr>
        <w:rPr>
          <w:rFonts w:eastAsia="仿宋_GB2312"/>
          <w:highlight w:val="none"/>
        </w:rPr>
      </w:pPr>
    </w:p>
    <w:p>
      <w:pPr>
        <w:pStyle w:val="NormalIndent"/>
        <w:rPr>
          <w:rFonts w:eastAsia="仿宋_GB2312"/>
          <w:highlight w:val="none"/>
        </w:rPr>
      </w:pPr>
    </w:p>
    <w:p>
      <w:pPr>
        <w:rPr>
          <w:rFonts w:eastAsia="仿宋_GB2312"/>
          <w:highlight w:val="none"/>
        </w:rPr>
      </w:pPr>
    </w:p>
    <w:p>
      <w:pPr>
        <w:pStyle w:val="NormalIndent"/>
        <w:rPr>
          <w:rFonts w:eastAsia="仿宋_GB2312"/>
          <w:highlight w:val="none"/>
        </w:rPr>
      </w:pPr>
    </w:p>
    <w:p>
      <w:pPr>
        <w:rPr>
          <w:rFonts w:eastAsia="仿宋_GB2312"/>
          <w:highlight w:val="none"/>
        </w:rPr>
      </w:pPr>
    </w:p>
    <w:p>
      <w:pPr>
        <w:pStyle w:val="NormalIndent"/>
        <w:rPr>
          <w:rFonts w:eastAsia="仿宋_GB2312"/>
          <w:highlight w:val="none"/>
        </w:rPr>
      </w:pPr>
    </w:p>
    <w:p>
      <w:pPr>
        <w:rPr>
          <w:rFonts w:eastAsia="仿宋_GB2312"/>
          <w:highlight w:val="none"/>
        </w:rPr>
      </w:pPr>
    </w:p>
    <w:p>
      <w:pPr>
        <w:pStyle w:val="NormalIndent"/>
        <w:rPr>
          <w:rFonts w:eastAsia="仿宋_GB2312"/>
          <w:highlight w:val="none"/>
        </w:rPr>
      </w:pPr>
    </w:p>
    <w:p>
      <w:pPr>
        <w:rPr>
          <w:rFonts w:eastAsia="仿宋_GB2312"/>
          <w:highlight w:val="none"/>
        </w:rPr>
      </w:pPr>
    </w:p>
    <w:p>
      <w:pPr>
        <w:pStyle w:val="NormalIndent"/>
        <w:rPr>
          <w:rFonts w:eastAsia="仿宋_GB2312"/>
          <w:highlight w:val="none"/>
        </w:rPr>
      </w:pPr>
    </w:p>
    <w:p>
      <w:pPr>
        <w:rPr>
          <w:rFonts w:eastAsia="仿宋_GB2312"/>
          <w:highlight w:val="none"/>
        </w:rPr>
      </w:pPr>
    </w:p>
    <w:p>
      <w:pPr>
        <w:pStyle w:val="NormalIndent"/>
        <w:ind w:firstLine="0"/>
        <w:rPr>
          <w:rFonts w:eastAsia="仿宋_GB2312"/>
          <w:highlight w:val="none"/>
        </w:rPr>
      </w:pP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ascii="仿宋_GB2312" w:eastAsia="仿宋_GB2312"/>
          <w:color w:val="000000" w:themeColor="text1"/>
          <w:highlight w:val="none"/>
          <w14:textFill>
            <w14:solidFill>
              <w14:schemeClr w14:val="tx1"/>
            </w14:solidFill>
          </w14:textFill>
        </w:rPr>
      </w:pPr>
      <w:bookmarkStart w:id="39" w:name="_Hlk72257167"/>
      <w:r>
        <w:rPr>
          <w:rFonts w:ascii="宋体" w:hAnsi="宋体" w:cs="宋体" w:hint="eastAsia"/>
          <w:color w:val="000000" w:themeColor="text1"/>
          <w:highlight w:val="none"/>
          <w14:textFill>
            <w14:solidFill>
              <w14:schemeClr w14:val="tx1"/>
            </w14:solidFill>
          </w14:textFill>
        </w:rPr>
        <w:t>招标机构公布投标文件正文（信息公开部分）时为计算机截取信息自动公布，</w:t>
      </w:r>
      <w:r>
        <w:rPr>
          <w:rFonts w:ascii="宋体" w:hAnsi="宋体" w:cs="宋体" w:hint="eastAsia"/>
          <w:b/>
          <w:bCs/>
          <w:color w:val="000000" w:themeColor="text1"/>
          <w:highlight w:val="none"/>
          <w14:textFill>
            <w14:solidFill>
              <w14:schemeClr w14:val="tx1"/>
            </w14:solidFill>
          </w14:textFill>
        </w:rPr>
        <w:t>如投标人误将涉及个人隐私的信息放入投标文件正文，相关后果由投标人自负；</w:t>
      </w:r>
      <w:r>
        <w:rPr>
          <w:rFonts w:ascii="宋体" w:hAnsi="宋体" w:cs="宋体" w:hint="eastAsia"/>
          <w:color w:val="000000" w:themeColor="text1"/>
          <w:highlight w:val="none"/>
          <w14:textFill>
            <w14:solidFill>
              <w14:schemeClr w14:val="tx1"/>
            </w14:solidFill>
          </w14:textFill>
        </w:rPr>
        <w:t>如投标人将必须放于投标文件正文（信息公开部分）的内容放入投标文件附件（非信息公开部分），将作投标无效处理。</w:t>
      </w:r>
      <w:bookmarkEnd w:id="39"/>
    </w:p>
    <w:p>
      <w:pPr>
        <w:ind w:firstLine="480" w:firstLineChars="200"/>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投标文件组成：</w:t>
      </w:r>
    </w:p>
    <w:p>
      <w:pPr>
        <w:ind w:firstLine="480" w:firstLineChars="200"/>
        <w:rPr>
          <w:rFonts w:ascii="宋体" w:hAnsi="宋体" w:cs="宋体"/>
          <w:b/>
          <w:bCs/>
          <w:color w:val="000000" w:themeColor="text1"/>
          <w:highlight w:val="none"/>
          <w14:textFill>
            <w14:solidFill>
              <w14:schemeClr w14:val="tx1"/>
            </w14:solidFill>
          </w14:textFill>
        </w:rPr>
      </w:pPr>
      <w:r>
        <w:rPr>
          <w:rFonts w:ascii="宋体" w:hAnsi="宋体" w:cs="宋体" w:hint="eastAsia"/>
          <w:b/>
          <w:bCs/>
          <w:color w:val="000000" w:themeColor="text1"/>
          <w:highlight w:val="none"/>
          <w14:textFill>
            <w14:solidFill>
              <w14:schemeClr w14:val="tx1"/>
            </w14:solidFill>
          </w14:textFill>
        </w:rPr>
        <w:t>1.投标文件正文（信息公开部分），主要包括以下内容：</w:t>
      </w:r>
    </w:p>
    <w:p>
      <w:pPr>
        <w:ind w:firstLine="480" w:firstLineChars="200"/>
        <w:rPr>
          <w:rFonts w:ascii="宋体" w:hAnsi="宋体" w:cs="宋体"/>
          <w:color w:val="000000" w:themeColor="text1"/>
          <w:highlight w:val="none"/>
          <w14:textFill>
            <w14:solidFill>
              <w14:schemeClr w14:val="tx1"/>
            </w14:solidFill>
          </w14:textFill>
        </w:rPr>
      </w:pPr>
      <w:r>
        <w:rPr>
          <w:rFonts w:ascii="宋体" w:hAnsi="宋体" w:cs="宋体" w:hint="eastAsia"/>
          <w:color w:val="000000" w:themeColor="text1"/>
          <w:highlight w:val="none"/>
          <w14:textFill>
            <w14:solidFill>
              <w14:schemeClr w14:val="tx1"/>
            </w14:solidFill>
          </w14:textFill>
        </w:rPr>
        <w:t>（1）投标函</w:t>
      </w:r>
    </w:p>
    <w:p>
      <w:pPr>
        <w:ind w:firstLine="480" w:firstLineChars="200"/>
        <w:rPr>
          <w:rFonts w:ascii="宋体" w:hAnsi="宋体" w:cs="宋体"/>
          <w:color w:val="000000" w:themeColor="text1"/>
          <w:highlight w:val="none"/>
          <w14:textFill>
            <w14:solidFill>
              <w14:schemeClr w14:val="tx1"/>
            </w14:solidFill>
          </w14:textFill>
        </w:rPr>
      </w:pPr>
      <w:r>
        <w:rPr>
          <w:rFonts w:ascii="宋体" w:hAnsi="宋体" w:cs="宋体" w:hint="eastAsia"/>
          <w:color w:val="000000" w:themeColor="text1"/>
          <w:highlight w:val="none"/>
          <w14:textFill>
            <w14:solidFill>
              <w14:schemeClr w14:val="tx1"/>
            </w14:solidFill>
          </w14:textFill>
        </w:rPr>
        <w:t>（2）政府采购投标及履约承诺函</w:t>
      </w:r>
    </w:p>
    <w:p>
      <w:pPr>
        <w:ind w:firstLine="480" w:firstLineChars="200"/>
        <w:rPr>
          <w:rFonts w:ascii="宋体" w:hAnsi="宋体" w:cs="宋体"/>
          <w:color w:val="000000" w:themeColor="text1"/>
          <w:highlight w:val="none"/>
          <w14:textFill>
            <w14:solidFill>
              <w14:schemeClr w14:val="tx1"/>
            </w14:solidFill>
          </w14:textFill>
        </w:rPr>
      </w:pPr>
      <w:r>
        <w:rPr>
          <w:rFonts w:ascii="宋体" w:hAnsi="宋体" w:cs="宋体" w:hint="eastAsia"/>
          <w:color w:val="000000" w:themeColor="text1"/>
          <w:highlight w:val="none"/>
          <w14:textFill>
            <w14:solidFill>
              <w14:schemeClr w14:val="tx1"/>
            </w14:solidFill>
          </w14:textFill>
        </w:rPr>
        <w:t>（3）投标人情况及资格证明文件</w:t>
      </w:r>
    </w:p>
    <w:p>
      <w:pPr>
        <w:ind w:firstLine="480" w:firstLineChars="200"/>
        <w:rPr>
          <w:rFonts w:ascii="宋体" w:hAnsi="宋体" w:cs="宋体" w:hint="eastAsia"/>
          <w:color w:val="000000" w:themeColor="text1"/>
          <w:highlight w:val="none"/>
          <w14:textFill>
            <w14:solidFill>
              <w14:schemeClr w14:val="tx1"/>
            </w14:solidFill>
          </w14:textFill>
        </w:rPr>
      </w:pPr>
      <w:r>
        <w:rPr>
          <w:rFonts w:ascii="宋体" w:hAnsi="宋体" w:cs="宋体" w:hint="eastAsia"/>
          <w:color w:val="000000" w:themeColor="text1"/>
          <w:highlight w:val="none"/>
          <w14:textFill>
            <w14:solidFill>
              <w14:schemeClr w14:val="tx1"/>
            </w14:solidFill>
          </w14:textFill>
        </w:rPr>
        <w:t>（4）项目详细报价</w:t>
      </w:r>
    </w:p>
    <w:p>
      <w:pPr>
        <w:ind w:firstLine="480" w:firstLineChars="200"/>
        <w:rPr>
          <w:rFonts w:ascii="宋体" w:hAnsi="宋体" w:cs="宋体" w:hint="eastAsia"/>
          <w:color w:val="000000" w:themeColor="text1"/>
          <w:highlight w:val="none"/>
          <w14:textFill>
            <w14:solidFill>
              <w14:schemeClr w14:val="tx1"/>
            </w14:solidFill>
          </w14:textFill>
        </w:rPr>
      </w:pPr>
      <w:r>
        <w:rPr>
          <w:rFonts w:ascii="宋体" w:hAnsi="宋体" w:cs="宋体" w:hint="eastAsia"/>
          <w:color w:val="000000" w:themeColor="text1"/>
          <w:highlight w:val="none"/>
          <w14:textFill>
            <w14:solidFill>
              <w14:schemeClr w14:val="tx1"/>
            </w14:solidFill>
          </w14:textFill>
        </w:rPr>
        <w:t>（5）供应商同类业绩情况</w:t>
      </w:r>
    </w:p>
    <w:p>
      <w:pPr>
        <w:ind w:firstLine="480" w:firstLineChars="200"/>
        <w:rPr>
          <w:rFonts w:ascii="宋体" w:hAnsi="宋体" w:cs="宋体" w:hint="eastAsia"/>
          <w:color w:val="000000" w:themeColor="text1"/>
          <w:highlight w:val="none"/>
          <w14:textFill>
            <w14:solidFill>
              <w14:schemeClr w14:val="tx1"/>
            </w14:solidFill>
          </w14:textFill>
        </w:rPr>
      </w:pPr>
      <w:r>
        <w:rPr>
          <w:rFonts w:ascii="宋体" w:hAnsi="宋体" w:cs="宋体" w:hint="eastAsia"/>
          <w:color w:val="000000" w:themeColor="text1"/>
          <w:highlight w:val="none"/>
          <w14:textFill>
            <w14:solidFill>
              <w14:schemeClr w14:val="tx1"/>
            </w14:solidFill>
          </w14:textFill>
        </w:rPr>
        <w:t>（6）投标人自主知识产权产品（创新、设计）情况</w:t>
      </w:r>
    </w:p>
    <w:p>
      <w:pPr>
        <w:ind w:firstLine="480" w:firstLineChars="200"/>
        <w:rPr>
          <w:rFonts w:ascii="宋体" w:hAnsi="宋体" w:cs="宋体" w:hint="eastAsia"/>
          <w:color w:val="000000" w:themeColor="text1"/>
          <w:highlight w:val="none"/>
          <w:lang w:eastAsia="zh-CN"/>
          <w14:textFill>
            <w14:solidFill>
              <w14:schemeClr w14:val="tx1"/>
            </w14:solidFill>
          </w14:textFill>
        </w:rPr>
      </w:pPr>
      <w:r>
        <w:rPr>
          <w:rFonts w:ascii="宋体" w:hAnsi="宋体" w:cs="宋体" w:hint="eastAsia"/>
          <w:color w:val="000000" w:themeColor="text1"/>
          <w:highlight w:val="none"/>
          <w14:textFill>
            <w14:solidFill>
              <w14:schemeClr w14:val="tx1"/>
            </w14:solidFill>
          </w14:textFill>
        </w:rPr>
        <w:t>（</w:t>
      </w:r>
      <w:r>
        <w:rPr>
          <w:rFonts w:ascii="宋体" w:hAnsi="宋体" w:cs="宋体" w:hint="eastAsia"/>
          <w:color w:val="000000" w:themeColor="text1"/>
          <w:highlight w:val="none"/>
          <w:lang w:val="en-US" w:eastAsia="zh-CN"/>
          <w14:textFill>
            <w14:solidFill>
              <w14:schemeClr w14:val="tx1"/>
            </w14:solidFill>
          </w14:textFill>
        </w:rPr>
        <w:t>7</w:t>
      </w:r>
      <w:r>
        <w:rPr>
          <w:rFonts w:ascii="宋体" w:hAnsi="宋体" w:cs="宋体" w:hint="eastAsia"/>
          <w:color w:val="000000" w:themeColor="text1"/>
          <w:highlight w:val="none"/>
          <w14:textFill>
            <w14:solidFill>
              <w14:schemeClr w14:val="tx1"/>
            </w14:solidFill>
          </w14:textFill>
        </w:rPr>
        <w:t>）投标人认为需要加以说明的其他内容</w:t>
      </w:r>
      <w:r>
        <w:rPr>
          <w:rFonts w:ascii="宋体" w:hAnsi="宋体" w:cs="宋体" w:hint="eastAsia"/>
          <w:color w:val="000000" w:themeColor="text1"/>
          <w:highlight w:val="none"/>
          <w:lang w:eastAsia="zh-CN"/>
          <w14:textFill>
            <w14:solidFill>
              <w14:schemeClr w14:val="tx1"/>
            </w14:solidFill>
          </w14:textFill>
        </w:rPr>
        <w:t>（</w:t>
      </w:r>
      <w:r>
        <w:rPr>
          <w:rFonts w:ascii="宋体" w:hAnsi="宋体" w:cs="宋体" w:hint="eastAsia"/>
          <w:color w:val="000000" w:themeColor="text1"/>
          <w:highlight w:val="none"/>
          <w:lang w:val="en-US" w:eastAsia="zh-CN"/>
          <w14:textFill>
            <w14:solidFill>
              <w14:schemeClr w14:val="tx1"/>
            </w14:solidFill>
          </w14:textFill>
        </w:rPr>
        <w:t>格式自定</w:t>
      </w:r>
      <w:r>
        <w:rPr>
          <w:rFonts w:ascii="宋体" w:hAnsi="宋体" w:cs="宋体" w:hint="eastAsia"/>
          <w:color w:val="000000" w:themeColor="text1"/>
          <w:highlight w:val="none"/>
          <w:lang w:eastAsia="zh-CN"/>
          <w14:textFill>
            <w14:solidFill>
              <w14:schemeClr w14:val="tx1"/>
            </w14:solidFill>
          </w14:textFill>
        </w:rPr>
        <w:t>）</w:t>
      </w:r>
    </w:p>
    <w:p>
      <w:pPr>
        <w:ind w:firstLine="480" w:firstLineChars="200"/>
        <w:rPr>
          <w:rFonts w:ascii="宋体" w:hAnsi="宋体" w:cs="宋体"/>
          <w:b/>
          <w:bCs/>
          <w:color w:val="000000" w:themeColor="text1"/>
          <w:highlight w:val="none"/>
          <w14:textFill>
            <w14:solidFill>
              <w14:schemeClr w14:val="tx1"/>
            </w14:solidFill>
          </w14:textFill>
        </w:rPr>
      </w:pPr>
      <w:r>
        <w:rPr>
          <w:rFonts w:ascii="宋体" w:hAnsi="宋体" w:cs="宋体" w:hint="eastAsia"/>
          <w:b/>
          <w:bCs/>
          <w:color w:val="000000" w:themeColor="text1"/>
          <w:highlight w:val="none"/>
          <w14:textFill>
            <w14:solidFill>
              <w14:schemeClr w14:val="tx1"/>
            </w14:solidFill>
          </w14:textFill>
        </w:rPr>
        <w:t>2.投标文件附件（信息不公开部分）：主要包括以下内容：</w:t>
      </w:r>
    </w:p>
    <w:p>
      <w:pPr>
        <w:ind w:firstLine="480" w:firstLineChars="200"/>
        <w:rPr>
          <w:rFonts w:ascii="宋体" w:hAnsi="宋体" w:cs="宋体" w:hint="eastAsia"/>
          <w:color w:val="000000" w:themeColor="text1"/>
          <w:highlight w:val="none"/>
          <w:lang w:eastAsia="zh-CN"/>
          <w14:textFill>
            <w14:solidFill>
              <w14:schemeClr w14:val="tx1"/>
            </w14:solidFill>
          </w14:textFill>
        </w:rPr>
      </w:pPr>
      <w:r>
        <w:rPr>
          <w:rFonts w:ascii="宋体" w:hAnsi="宋体" w:cs="宋体" w:hint="eastAsia"/>
          <w:color w:val="000000" w:themeColor="text1"/>
          <w:highlight w:val="none"/>
          <w14:textFill>
            <w14:solidFill>
              <w14:schemeClr w14:val="tx1"/>
            </w14:solidFill>
          </w14:textFill>
        </w:rPr>
        <w:t>（1）</w:t>
      </w:r>
      <w:r>
        <w:rPr>
          <w:rFonts w:ascii="宋体" w:hAnsi="宋体" w:cs="宋体" w:hint="eastAsia"/>
          <w:color w:val="000000" w:themeColor="text1"/>
          <w:highlight w:val="none"/>
          <w:lang w:eastAsia="zh-CN"/>
          <w14:textFill>
            <w14:solidFill>
              <w14:schemeClr w14:val="tx1"/>
            </w14:solidFill>
          </w14:textFill>
        </w:rPr>
        <w:t>法定代表人（负责人或执行事务合伙人）资格证明书</w:t>
      </w:r>
    </w:p>
    <w:p>
      <w:pPr>
        <w:ind w:firstLine="480" w:firstLineChars="200"/>
        <w:rPr>
          <w:rFonts w:ascii="宋体" w:hAnsi="宋体" w:cs="宋体" w:hint="eastAsia"/>
          <w:color w:val="000000" w:themeColor="text1"/>
          <w:highlight w:val="none"/>
          <w14:textFill>
            <w14:solidFill>
              <w14:schemeClr w14:val="tx1"/>
            </w14:solidFill>
          </w14:textFill>
        </w:rPr>
      </w:pPr>
      <w:r>
        <w:rPr>
          <w:rFonts w:ascii="宋体" w:hAnsi="宋体" w:cs="宋体" w:hint="eastAsia"/>
          <w:color w:val="000000" w:themeColor="text1"/>
          <w:highlight w:val="none"/>
          <w14:textFill>
            <w14:solidFill>
              <w14:schemeClr w14:val="tx1"/>
            </w14:solidFill>
          </w14:textFill>
        </w:rPr>
        <w:t>（2）投标文件签署授权委托书</w:t>
      </w:r>
    </w:p>
    <w:p>
      <w:pPr>
        <w:ind w:firstLine="480" w:firstLineChars="200"/>
        <w:rPr>
          <w:rFonts w:ascii="宋体" w:hAnsi="宋体" w:cs="宋体" w:hint="eastAsia"/>
          <w:color w:val="000000" w:themeColor="text1"/>
          <w:highlight w:val="none"/>
          <w:lang w:eastAsia="zh-CN"/>
          <w14:textFill>
            <w14:solidFill>
              <w14:schemeClr w14:val="tx1"/>
            </w14:solidFill>
          </w14:textFill>
        </w:rPr>
      </w:pPr>
      <w:r>
        <w:rPr>
          <w:rFonts w:ascii="宋体" w:hAnsi="宋体" w:cs="宋体" w:hint="eastAsia"/>
          <w:color w:val="000000" w:themeColor="text1"/>
          <w:highlight w:val="none"/>
          <w:lang w:eastAsia="zh-CN"/>
          <w14:textFill>
            <w14:solidFill>
              <w14:schemeClr w14:val="tx1"/>
            </w14:solidFill>
          </w14:textFill>
        </w:rPr>
        <w:t>（</w:t>
      </w:r>
      <w:r>
        <w:rPr>
          <w:rFonts w:ascii="宋体" w:hAnsi="宋体" w:cs="宋体" w:hint="eastAsia"/>
          <w:color w:val="000000" w:themeColor="text1"/>
          <w:highlight w:val="none"/>
          <w:lang w:val="en-US" w:eastAsia="zh-CN"/>
          <w14:textFill>
            <w14:solidFill>
              <w14:schemeClr w14:val="tx1"/>
            </w14:solidFill>
          </w14:textFill>
        </w:rPr>
        <w:t>3</w:t>
      </w:r>
      <w:r>
        <w:rPr>
          <w:rFonts w:ascii="宋体" w:hAnsi="宋体" w:cs="宋体" w:hint="eastAsia"/>
          <w:color w:val="000000" w:themeColor="text1"/>
          <w:highlight w:val="none"/>
          <w:lang w:eastAsia="zh-CN"/>
          <w14:textFill>
            <w14:solidFill>
              <w14:schemeClr w14:val="tx1"/>
            </w14:solidFill>
          </w14:textFill>
        </w:rPr>
        <w:t>）</w:t>
      </w:r>
      <w:r>
        <w:rPr>
          <w:rFonts w:ascii="宋体" w:hAnsi="宋体" w:cs="宋体" w:hint="eastAsia"/>
          <w:color w:val="000000" w:themeColor="text1"/>
          <w:highlight w:val="none"/>
          <w:lang w:val="en-US" w:eastAsia="zh-CN"/>
          <w14:textFill>
            <w14:solidFill>
              <w14:schemeClr w14:val="tx1"/>
            </w14:solidFill>
          </w14:textFill>
        </w:rPr>
        <w:t>供应商基本情况表</w:t>
      </w:r>
    </w:p>
    <w:p>
      <w:pPr>
        <w:ind w:firstLine="480" w:firstLineChars="200"/>
        <w:rPr>
          <w:rFonts w:ascii="宋体" w:hAnsi="宋体" w:cs="宋体" w:hint="eastAsia"/>
          <w:color w:val="000000" w:themeColor="text1"/>
          <w:highlight w:val="none"/>
          <w14:textFill>
            <w14:solidFill>
              <w14:schemeClr w14:val="tx1"/>
            </w14:solidFill>
          </w14:textFill>
        </w:rPr>
      </w:pPr>
      <w:r>
        <w:rPr>
          <w:rFonts w:ascii="宋体" w:hAnsi="宋体" w:cs="宋体" w:hint="eastAsia"/>
          <w:color w:val="000000" w:themeColor="text1"/>
          <w:highlight w:val="none"/>
          <w14:textFill>
            <w14:solidFill>
              <w14:schemeClr w14:val="tx1"/>
            </w14:solidFill>
          </w14:textFill>
        </w:rPr>
        <w:t>（</w:t>
      </w:r>
      <w:r>
        <w:rPr>
          <w:rFonts w:ascii="宋体" w:hAnsi="宋体" w:cs="宋体" w:hint="eastAsia"/>
          <w:color w:val="000000" w:themeColor="text1"/>
          <w:highlight w:val="none"/>
          <w:lang w:val="en-US" w:eastAsia="zh-CN"/>
          <w14:textFill>
            <w14:solidFill>
              <w14:schemeClr w14:val="tx1"/>
            </w14:solidFill>
          </w14:textFill>
        </w:rPr>
        <w:t>4</w:t>
      </w:r>
      <w:r>
        <w:rPr>
          <w:rFonts w:ascii="宋体" w:hAnsi="宋体" w:cs="宋体" w:hint="eastAsia"/>
          <w:color w:val="000000" w:themeColor="text1"/>
          <w:highlight w:val="none"/>
          <w14:textFill>
            <w14:solidFill>
              <w14:schemeClr w14:val="tx1"/>
            </w14:solidFill>
          </w14:textFill>
        </w:rPr>
        <w:t>）实质性条款响应情况表</w:t>
      </w:r>
    </w:p>
    <w:p>
      <w:pPr>
        <w:ind w:firstLine="480" w:firstLineChars="200"/>
        <w:rPr>
          <w:rFonts w:ascii="宋体" w:hAnsi="宋体" w:cs="宋体" w:hint="eastAsia"/>
          <w:color w:val="000000" w:themeColor="text1"/>
          <w:highlight w:val="none"/>
          <w14:textFill>
            <w14:solidFill>
              <w14:schemeClr w14:val="tx1"/>
            </w14:solidFill>
          </w14:textFill>
        </w:rPr>
      </w:pPr>
      <w:r>
        <w:rPr>
          <w:rFonts w:ascii="宋体" w:hAnsi="宋体" w:cs="宋体" w:hint="eastAsia"/>
          <w:color w:val="000000" w:themeColor="text1"/>
          <w:highlight w:val="none"/>
          <w14:textFill>
            <w14:solidFill>
              <w14:schemeClr w14:val="tx1"/>
            </w14:solidFill>
          </w14:textFill>
        </w:rPr>
        <w:t>（</w:t>
      </w:r>
      <w:r>
        <w:rPr>
          <w:rFonts w:ascii="宋体" w:hAnsi="宋体" w:cs="宋体" w:hint="eastAsia"/>
          <w:color w:val="000000" w:themeColor="text1"/>
          <w:highlight w:val="none"/>
          <w:lang w:val="en-US" w:eastAsia="zh-CN"/>
          <w14:textFill>
            <w14:solidFill>
              <w14:schemeClr w14:val="tx1"/>
            </w14:solidFill>
          </w14:textFill>
        </w:rPr>
        <w:t>5</w:t>
      </w:r>
      <w:r>
        <w:rPr>
          <w:rFonts w:ascii="宋体" w:hAnsi="宋体" w:cs="宋体" w:hint="eastAsia"/>
          <w:color w:val="000000" w:themeColor="text1"/>
          <w:highlight w:val="none"/>
          <w14:textFill>
            <w14:solidFill>
              <w14:schemeClr w14:val="tx1"/>
            </w14:solidFill>
          </w14:textFill>
        </w:rPr>
        <w:t>）商务、技术条款偏离表</w:t>
      </w:r>
    </w:p>
    <w:p>
      <w:pPr>
        <w:ind w:firstLine="480" w:firstLineChars="200"/>
        <w:rPr>
          <w:rFonts w:ascii="宋体" w:hAnsi="宋体" w:cs="宋体" w:hint="eastAsia"/>
          <w:color w:val="000000" w:themeColor="text1"/>
          <w:highlight w:val="none"/>
          <w14:textFill>
            <w14:solidFill>
              <w14:schemeClr w14:val="tx1"/>
            </w14:solidFill>
          </w14:textFill>
        </w:rPr>
      </w:pPr>
      <w:r>
        <w:rPr>
          <w:rFonts w:ascii="宋体" w:hAnsi="宋体" w:cs="宋体" w:hint="eastAsia"/>
          <w:color w:val="000000" w:themeColor="text1"/>
          <w:highlight w:val="none"/>
          <w14:textFill>
            <w14:solidFill>
              <w14:schemeClr w14:val="tx1"/>
            </w14:solidFill>
          </w14:textFill>
        </w:rPr>
        <w:t>（</w:t>
      </w:r>
      <w:r>
        <w:rPr>
          <w:rFonts w:ascii="宋体" w:hAnsi="宋体" w:cs="宋体" w:hint="eastAsia"/>
          <w:color w:val="000000" w:themeColor="text1"/>
          <w:highlight w:val="none"/>
          <w:lang w:val="en-US" w:eastAsia="zh-CN"/>
          <w14:textFill>
            <w14:solidFill>
              <w14:schemeClr w14:val="tx1"/>
            </w14:solidFill>
          </w14:textFill>
        </w:rPr>
        <w:t>6</w:t>
      </w:r>
      <w:r>
        <w:rPr>
          <w:rFonts w:ascii="宋体" w:hAnsi="宋体" w:cs="宋体" w:hint="eastAsia"/>
          <w:color w:val="000000" w:themeColor="text1"/>
          <w:highlight w:val="none"/>
          <w14:textFill>
            <w14:solidFill>
              <w14:schemeClr w14:val="tx1"/>
            </w14:solidFill>
          </w14:textFill>
        </w:rPr>
        <w:t>）拟安排的项目负责人情况（仅限一人）</w:t>
      </w:r>
    </w:p>
    <w:p>
      <w:pPr>
        <w:ind w:firstLine="480" w:firstLineChars="200"/>
        <w:rPr>
          <w:rFonts w:ascii="宋体" w:hAnsi="宋体" w:cs="宋体" w:hint="eastAsia"/>
          <w:color w:val="000000" w:themeColor="text1"/>
          <w:highlight w:val="none"/>
          <w14:textFill>
            <w14:solidFill>
              <w14:schemeClr w14:val="tx1"/>
            </w14:solidFill>
          </w14:textFill>
        </w:rPr>
      </w:pPr>
      <w:r>
        <w:rPr>
          <w:rFonts w:ascii="宋体" w:hAnsi="宋体" w:cs="宋体" w:hint="eastAsia"/>
          <w:color w:val="000000" w:themeColor="text1"/>
          <w:highlight w:val="none"/>
          <w14:textFill>
            <w14:solidFill>
              <w14:schemeClr w14:val="tx1"/>
            </w14:solidFill>
          </w14:textFill>
        </w:rPr>
        <w:t>（</w:t>
      </w:r>
      <w:r>
        <w:rPr>
          <w:rFonts w:ascii="宋体" w:hAnsi="宋体" w:cs="宋体" w:hint="eastAsia"/>
          <w:color w:val="000000" w:themeColor="text1"/>
          <w:highlight w:val="none"/>
          <w:lang w:val="en-US" w:eastAsia="zh-CN"/>
          <w14:textFill>
            <w14:solidFill>
              <w14:schemeClr w14:val="tx1"/>
            </w14:solidFill>
          </w14:textFill>
        </w:rPr>
        <w:t>7</w:t>
      </w:r>
      <w:r>
        <w:rPr>
          <w:rFonts w:ascii="宋体" w:hAnsi="宋体" w:cs="宋体" w:hint="eastAsia"/>
          <w:color w:val="000000" w:themeColor="text1"/>
          <w:highlight w:val="none"/>
          <w14:textFill>
            <w14:solidFill>
              <w14:schemeClr w14:val="tx1"/>
            </w14:solidFill>
          </w14:textFill>
        </w:rPr>
        <w:t>）拟安排的项目主要团队成员（主要技术人员）情况（项目负责人除外）</w:t>
      </w:r>
    </w:p>
    <w:p>
      <w:pPr>
        <w:ind w:firstLine="480" w:firstLineChars="200"/>
        <w:rPr>
          <w:rFonts w:ascii="宋体" w:hAnsi="宋体" w:cs="宋体" w:hint="eastAsia"/>
          <w:color w:val="000000" w:themeColor="text1"/>
          <w:highlight w:val="none"/>
          <w14:textFill>
            <w14:solidFill>
              <w14:schemeClr w14:val="tx1"/>
            </w14:solidFill>
          </w14:textFill>
        </w:rPr>
      </w:pPr>
      <w:r>
        <w:rPr>
          <w:rFonts w:ascii="宋体" w:hAnsi="宋体" w:cs="宋体" w:hint="eastAsia"/>
          <w:color w:val="000000" w:themeColor="text1"/>
          <w:highlight w:val="none"/>
          <w:lang w:eastAsia="zh-CN"/>
          <w14:textFill>
            <w14:solidFill>
              <w14:schemeClr w14:val="tx1"/>
            </w14:solidFill>
          </w14:textFill>
        </w:rPr>
        <w:t>（</w:t>
      </w:r>
      <w:r>
        <w:rPr>
          <w:rFonts w:ascii="宋体" w:hAnsi="宋体" w:cs="宋体" w:hint="eastAsia"/>
          <w:color w:val="000000" w:themeColor="text1"/>
          <w:highlight w:val="none"/>
          <w:lang w:val="en-US" w:eastAsia="zh-CN"/>
          <w14:textFill>
            <w14:solidFill>
              <w14:schemeClr w14:val="tx1"/>
            </w14:solidFill>
          </w14:textFill>
        </w:rPr>
        <w:t xml:space="preserve">8）实施方案 </w:t>
      </w:r>
      <w:r>
        <w:rPr>
          <w:rFonts w:ascii="宋体" w:hAnsi="宋体" w:cs="宋体" w:hint="eastAsia"/>
          <w:color w:val="000000" w:themeColor="text1"/>
          <w:highlight w:val="none"/>
          <w14:textFill>
            <w14:solidFill>
              <w14:schemeClr w14:val="tx1"/>
            </w14:solidFill>
          </w14:textFill>
        </w:rPr>
        <w:t>（格式自定）</w:t>
      </w:r>
    </w:p>
    <w:p>
      <w:pPr>
        <w:ind w:firstLine="480" w:firstLineChars="200"/>
        <w:rPr>
          <w:rFonts w:ascii="宋体" w:hAnsi="宋体" w:cs="宋体" w:hint="eastAsia"/>
          <w:color w:val="000000" w:themeColor="text1"/>
          <w:highlight w:val="none"/>
          <w14:textFill>
            <w14:solidFill>
              <w14:schemeClr w14:val="tx1"/>
            </w14:solidFill>
          </w14:textFill>
        </w:rPr>
      </w:pPr>
      <w:r>
        <w:rPr>
          <w:rFonts w:ascii="宋体" w:hAnsi="宋体" w:cs="宋体" w:hint="eastAsia"/>
          <w:color w:val="000000" w:themeColor="text1"/>
          <w:highlight w:val="none"/>
          <w:lang w:eastAsia="zh-CN"/>
          <w14:textFill>
            <w14:solidFill>
              <w14:schemeClr w14:val="tx1"/>
            </w14:solidFill>
          </w14:textFill>
        </w:rPr>
        <w:t>（</w:t>
      </w:r>
      <w:r>
        <w:rPr>
          <w:rFonts w:ascii="宋体" w:hAnsi="宋体" w:cs="宋体" w:hint="eastAsia"/>
          <w:color w:val="000000" w:themeColor="text1"/>
          <w:highlight w:val="none"/>
          <w:lang w:val="en-US" w:eastAsia="zh-CN"/>
          <w14:textFill>
            <w14:solidFill>
              <w14:schemeClr w14:val="tx1"/>
            </w14:solidFill>
          </w14:textFill>
        </w:rPr>
        <w:t>9</w:t>
      </w:r>
      <w:r>
        <w:rPr>
          <w:rFonts w:ascii="宋体" w:hAnsi="宋体" w:cs="宋体" w:hint="eastAsia"/>
          <w:color w:val="000000" w:themeColor="text1"/>
          <w:highlight w:val="none"/>
          <w:lang w:eastAsia="zh-CN"/>
          <w14:textFill>
            <w14:solidFill>
              <w14:schemeClr w14:val="tx1"/>
            </w14:solidFill>
          </w14:textFill>
        </w:rPr>
        <w:t>）项目重点难点分析、应对措施及相关合理化建议</w:t>
      </w:r>
      <w:r>
        <w:rPr>
          <w:rFonts w:ascii="宋体" w:hAnsi="宋体" w:cs="宋体" w:hint="eastAsia"/>
          <w:color w:val="000000" w:themeColor="text1"/>
          <w:highlight w:val="none"/>
          <w14:textFill>
            <w14:solidFill>
              <w14:schemeClr w14:val="tx1"/>
            </w14:solidFill>
          </w14:textFill>
        </w:rPr>
        <w:t>（格式自定）</w:t>
      </w:r>
    </w:p>
    <w:p>
      <w:pPr>
        <w:ind w:firstLine="480" w:firstLineChars="200"/>
        <w:rPr>
          <w:rFonts w:ascii="宋体" w:hAnsi="宋体" w:cs="宋体" w:hint="eastAsia"/>
          <w:color w:val="000000" w:themeColor="text1"/>
          <w:highlight w:val="none"/>
          <w14:textFill>
            <w14:solidFill>
              <w14:schemeClr w14:val="tx1"/>
            </w14:solidFill>
          </w14:textFill>
        </w:rPr>
      </w:pPr>
      <w:r>
        <w:rPr>
          <w:rFonts w:ascii="宋体" w:hAnsi="宋体" w:cs="宋体" w:hint="eastAsia"/>
          <w:color w:val="000000" w:themeColor="text1"/>
          <w:highlight w:val="none"/>
          <w:lang w:eastAsia="zh-CN"/>
          <w14:textFill>
            <w14:solidFill>
              <w14:schemeClr w14:val="tx1"/>
            </w14:solidFill>
          </w14:textFill>
        </w:rPr>
        <w:t>（</w:t>
      </w:r>
      <w:r>
        <w:rPr>
          <w:rFonts w:ascii="宋体" w:hAnsi="宋体" w:cs="宋体" w:hint="eastAsia"/>
          <w:color w:val="000000" w:themeColor="text1"/>
          <w:highlight w:val="none"/>
          <w:lang w:val="en-US" w:eastAsia="zh-CN"/>
          <w14:textFill>
            <w14:solidFill>
              <w14:schemeClr w14:val="tx1"/>
            </w14:solidFill>
          </w14:textFill>
        </w:rPr>
        <w:t>10</w:t>
      </w:r>
      <w:r>
        <w:rPr>
          <w:rFonts w:ascii="宋体" w:hAnsi="宋体" w:cs="宋体" w:hint="eastAsia"/>
          <w:color w:val="000000" w:themeColor="text1"/>
          <w:highlight w:val="none"/>
          <w:lang w:eastAsia="zh-CN"/>
          <w14:textFill>
            <w14:solidFill>
              <w14:schemeClr w14:val="tx1"/>
            </w14:solidFill>
          </w14:textFill>
        </w:rPr>
        <w:t>）质量保障措施及方案</w:t>
      </w:r>
      <w:r>
        <w:rPr>
          <w:rFonts w:ascii="宋体" w:hAnsi="宋体" w:cs="宋体" w:hint="eastAsia"/>
          <w:color w:val="000000" w:themeColor="text1"/>
          <w:highlight w:val="none"/>
          <w14:textFill>
            <w14:solidFill>
              <w14:schemeClr w14:val="tx1"/>
            </w14:solidFill>
          </w14:textFill>
        </w:rPr>
        <w:t>（格式自定）</w:t>
      </w:r>
    </w:p>
    <w:p>
      <w:pPr>
        <w:ind w:firstLine="480" w:firstLineChars="200"/>
        <w:rPr>
          <w:rFonts w:ascii="宋体" w:hAnsi="宋体" w:cs="宋体" w:hint="eastAsia"/>
          <w:color w:val="000000" w:themeColor="text1"/>
          <w:highlight w:val="none"/>
          <w14:textFill>
            <w14:solidFill>
              <w14:schemeClr w14:val="tx1"/>
            </w14:solidFill>
          </w14:textFill>
        </w:rPr>
      </w:pPr>
      <w:r>
        <w:rPr>
          <w:rFonts w:ascii="宋体" w:hAnsi="宋体" w:cs="宋体" w:hint="eastAsia"/>
          <w:color w:val="000000" w:themeColor="text1"/>
          <w:highlight w:val="none"/>
          <w14:textFill>
            <w14:solidFill>
              <w14:schemeClr w14:val="tx1"/>
            </w14:solidFill>
          </w14:textFill>
        </w:rPr>
        <w:t>（</w:t>
      </w:r>
      <w:r>
        <w:rPr>
          <w:rFonts w:ascii="宋体" w:hAnsi="宋体" w:cs="宋体" w:hint="eastAsia"/>
          <w:color w:val="000000" w:themeColor="text1"/>
          <w:highlight w:val="none"/>
          <w:lang w:val="en-US" w:eastAsia="zh-CN"/>
          <w14:textFill>
            <w14:solidFill>
              <w14:schemeClr w14:val="tx1"/>
            </w14:solidFill>
          </w14:textFill>
        </w:rPr>
        <w:t>11</w:t>
      </w:r>
      <w:r>
        <w:rPr>
          <w:rFonts w:ascii="宋体" w:hAnsi="宋体" w:cs="宋体" w:hint="eastAsia"/>
          <w:color w:val="000000" w:themeColor="text1"/>
          <w:highlight w:val="none"/>
          <w14:textFill>
            <w14:solidFill>
              <w14:schemeClr w14:val="tx1"/>
            </w14:solidFill>
          </w14:textFill>
        </w:rPr>
        <w:t>）项目完成（服务期满）后的服务承诺（格式自定）</w:t>
      </w:r>
    </w:p>
    <w:p>
      <w:pPr>
        <w:ind w:firstLine="480" w:firstLineChars="200"/>
        <w:rPr>
          <w:rFonts w:ascii="宋体" w:hAnsi="宋体" w:cs="宋体" w:hint="eastAsia"/>
          <w:color w:val="000000" w:themeColor="text1"/>
          <w:highlight w:val="none"/>
          <w14:textFill>
            <w14:solidFill>
              <w14:schemeClr w14:val="tx1"/>
            </w14:solidFill>
          </w14:textFill>
        </w:rPr>
      </w:pPr>
      <w:r>
        <w:rPr>
          <w:rFonts w:ascii="宋体" w:hAnsi="宋体" w:cs="宋体" w:hint="eastAsia"/>
          <w:color w:val="000000" w:themeColor="text1"/>
          <w:highlight w:val="none"/>
          <w14:textFill>
            <w14:solidFill>
              <w14:schemeClr w14:val="tx1"/>
            </w14:solidFill>
          </w14:textFill>
        </w:rPr>
        <w:t>（</w:t>
      </w:r>
      <w:r>
        <w:rPr>
          <w:rFonts w:ascii="宋体" w:hAnsi="宋体" w:cs="宋体" w:hint="eastAsia"/>
          <w:color w:val="000000" w:themeColor="text1"/>
          <w:highlight w:val="none"/>
          <w:lang w:val="en-US" w:eastAsia="zh-CN"/>
          <w14:textFill>
            <w14:solidFill>
              <w14:schemeClr w14:val="tx1"/>
            </w14:solidFill>
          </w14:textFill>
        </w:rPr>
        <w:t>12</w:t>
      </w:r>
      <w:r>
        <w:rPr>
          <w:rFonts w:ascii="宋体" w:hAnsi="宋体" w:cs="宋体" w:hint="eastAsia"/>
          <w:color w:val="000000" w:themeColor="text1"/>
          <w:highlight w:val="none"/>
          <w14:textFill>
            <w14:solidFill>
              <w14:schemeClr w14:val="tx1"/>
            </w14:solidFill>
          </w14:textFill>
        </w:rPr>
        <w:t>）违约承诺（格式自定）</w:t>
      </w:r>
    </w:p>
    <w:p>
      <w:pPr>
        <w:ind w:firstLine="480" w:firstLineChars="200"/>
        <w:rPr>
          <w:rFonts w:ascii="宋体" w:hAnsi="宋体" w:cs="宋体" w:hint="eastAsia"/>
          <w:color w:val="000000" w:themeColor="text1"/>
          <w:highlight w:val="none"/>
          <w14:textFill>
            <w14:solidFill>
              <w14:schemeClr w14:val="tx1"/>
            </w14:solidFill>
          </w14:textFill>
        </w:rPr>
      </w:pPr>
      <w:r>
        <w:rPr>
          <w:rFonts w:ascii="宋体" w:hAnsi="宋体" w:cs="宋体" w:hint="eastAsia"/>
          <w:color w:val="000000" w:themeColor="text1"/>
          <w:highlight w:val="none"/>
          <w:lang w:eastAsia="zh-CN"/>
          <w14:textFill>
            <w14:solidFill>
              <w14:schemeClr w14:val="tx1"/>
            </w14:solidFill>
          </w14:textFill>
        </w:rPr>
        <w:t>（</w:t>
      </w:r>
      <w:r>
        <w:rPr>
          <w:rFonts w:ascii="宋体" w:hAnsi="宋体" w:cs="宋体" w:hint="eastAsia"/>
          <w:color w:val="000000" w:themeColor="text1"/>
          <w:highlight w:val="none"/>
          <w:lang w:val="en-US" w:eastAsia="zh-CN"/>
          <w14:textFill>
            <w14:solidFill>
              <w14:schemeClr w14:val="tx1"/>
            </w14:solidFill>
          </w14:textFill>
        </w:rPr>
        <w:t>13</w:t>
      </w:r>
      <w:r>
        <w:rPr>
          <w:rFonts w:ascii="宋体" w:hAnsi="宋体" w:cs="宋体" w:hint="eastAsia"/>
          <w:color w:val="000000" w:themeColor="text1"/>
          <w:highlight w:val="none"/>
          <w:lang w:eastAsia="zh-CN"/>
          <w14:textFill>
            <w14:solidFill>
              <w14:schemeClr w14:val="tx1"/>
            </w14:solidFill>
          </w14:textFill>
        </w:rPr>
        <w:t>）</w:t>
      </w:r>
      <w:r>
        <w:rPr>
          <w:rFonts w:ascii="宋体" w:hAnsi="宋体" w:cs="宋体" w:hint="eastAsia"/>
          <w:color w:val="000000" w:themeColor="text1"/>
          <w:highlight w:val="none"/>
          <w14:textFill>
            <w14:solidFill>
              <w14:schemeClr w14:val="tx1"/>
            </w14:solidFill>
          </w14:textFill>
        </w:rPr>
        <w:t>投标人认为需要加以说明的其他内容（格式自定）</w:t>
      </w:r>
    </w:p>
    <w:p>
      <w:pPr>
        <w:ind w:firstLine="485" w:firstLineChars="202"/>
        <w:rPr>
          <w:rFonts w:ascii="宋体" w:hAnsi="宋体"/>
          <w:b/>
          <w:color w:val="000000" w:themeColor="text1"/>
          <w:szCs w:val="21"/>
          <w:highlight w:val="none"/>
          <w14:textFill>
            <w14:solidFill>
              <w14:schemeClr w14:val="tx1"/>
            </w14:solidFill>
          </w14:textFill>
        </w:rPr>
      </w:pPr>
      <w:r>
        <w:rPr>
          <w:rFonts w:ascii="宋体" w:hAnsi="宋体" w:hint="eastAsia"/>
          <w:b/>
          <w:color w:val="000000" w:themeColor="text1"/>
          <w:szCs w:val="21"/>
          <w:highlight w:val="none"/>
          <w14:textFill>
            <w14:solidFill>
              <w14:schemeClr w14:val="tx1"/>
            </w14:solidFill>
          </w14:textFill>
        </w:rPr>
        <w:t>备注：</w:t>
      </w:r>
    </w:p>
    <w:p>
      <w:pPr>
        <w:ind w:firstLine="485" w:firstLineChars="202"/>
        <w:rPr>
          <w:rFonts w:ascii="宋体" w:hAnsi="宋体"/>
          <w:b/>
          <w:color w:val="000000" w:themeColor="text1"/>
          <w:szCs w:val="21"/>
          <w:highlight w:val="none"/>
          <w14:textFill>
            <w14:solidFill>
              <w14:schemeClr w14:val="tx1"/>
            </w14:solidFill>
          </w14:textFill>
        </w:rPr>
      </w:pPr>
      <w:r>
        <w:rPr>
          <w:rFonts w:ascii="宋体" w:hAnsi="宋体" w:hint="eastAsia"/>
          <w:b/>
          <w:color w:val="000000" w:themeColor="text1"/>
          <w:szCs w:val="21"/>
          <w:highlight w:val="none"/>
          <w14:textFill>
            <w14:solidFill>
              <w14:schemeClr w14:val="tx1"/>
            </w14:solidFill>
          </w14:textFill>
        </w:rPr>
        <w:t>1.本项目为网上电子投标项目，投标文件不需法人或授权委托人另行签字，无需加盖单位公章，招标文件专用条款另有规定的除外。</w:t>
      </w:r>
    </w:p>
    <w:p>
      <w:pPr>
        <w:ind w:firstLine="485" w:firstLineChars="202"/>
        <w:rPr>
          <w:rFonts w:ascii="宋体" w:hAnsi="宋体"/>
          <w:b/>
          <w:color w:val="000000" w:themeColor="text1"/>
          <w:szCs w:val="21"/>
          <w:highlight w:val="none"/>
          <w14:textFill>
            <w14:solidFill>
              <w14:schemeClr w14:val="tx1"/>
            </w14:solidFill>
          </w14:textFill>
        </w:rPr>
      </w:pPr>
      <w:r>
        <w:rPr>
          <w:rFonts w:ascii="宋体" w:hAnsi="宋体" w:hint="eastAsia"/>
          <w:b/>
          <w:color w:val="000000" w:themeColor="text1"/>
          <w:szCs w:val="21"/>
          <w:highlight w:val="none"/>
          <w14:textFill>
            <w14:solidFill>
              <w14:schemeClr w14:val="tx1"/>
            </w14:solidFill>
          </w14:textFill>
        </w:rPr>
        <w:t>2.关于填写“开标一览表”的说明：“开标一览表”中除“投标报价”外，其他信息不作评审依据。</w:t>
      </w:r>
    </w:p>
    <w:p>
      <w:pPr>
        <w:rPr>
          <w:highlight w:val="none"/>
        </w:rPr>
      </w:pPr>
    </w:p>
    <w:p>
      <w:pPr>
        <w:pStyle w:val="NormalIndent"/>
        <w:rPr>
          <w:highlight w:val="none"/>
        </w:rPr>
      </w:pPr>
    </w:p>
    <w:p>
      <w:pPr>
        <w:rPr>
          <w:highlight w:val="none"/>
        </w:rPr>
      </w:pPr>
    </w:p>
    <w:p>
      <w:pPr>
        <w:pStyle w:val="NormalIndent"/>
        <w:rPr>
          <w:highlight w:val="none"/>
        </w:rPr>
      </w:pPr>
    </w:p>
    <w:p>
      <w:pPr>
        <w:rPr>
          <w:highlight w:val="none"/>
        </w:rPr>
      </w:pPr>
    </w:p>
    <w:p>
      <w:pPr>
        <w:pStyle w:val="NormalIndent"/>
        <w:rPr>
          <w:highlight w:val="none"/>
        </w:rPr>
      </w:pPr>
      <w:r>
        <w:rPr>
          <w:highlight w:val="none"/>
        </w:rPr>
        <w:br w:type="page"/>
      </w:r>
    </w:p>
    <w:p>
      <w:pPr>
        <w:outlineLvl w:val="1"/>
        <w:rPr>
          <w:rFonts w:ascii="宋体" w:hAnsi="宋体"/>
          <w:b/>
          <w:color w:val="FF0000"/>
          <w:sz w:val="28"/>
          <w:szCs w:val="28"/>
          <w:highlight w:val="none"/>
        </w:rPr>
      </w:pPr>
      <w:r>
        <w:rPr>
          <w:rFonts w:ascii="宋体" w:hAnsi="宋体" w:hint="eastAsia"/>
          <w:b/>
          <w:color w:val="FF0000"/>
          <w:sz w:val="28"/>
          <w:szCs w:val="28"/>
          <w:highlight w:val="none"/>
        </w:rPr>
        <w:t>投标文件正文（信息公开部分）</w:t>
      </w:r>
    </w:p>
    <w:p>
      <w:pPr>
        <w:pStyle w:val="Heading3"/>
        <w:jc w:val="center"/>
        <w:rPr>
          <w:rFonts w:ascii="黑体" w:eastAsia="黑体"/>
          <w:b w:val="0"/>
          <w:color w:val="000000" w:themeColor="text1"/>
          <w:sz w:val="24"/>
          <w:highlight w:val="none"/>
          <w14:textFill>
            <w14:solidFill>
              <w14:schemeClr w14:val="tx1"/>
            </w14:solidFill>
          </w14:textFill>
        </w:rPr>
      </w:pPr>
      <w:r>
        <w:rPr>
          <w:rFonts w:ascii="黑体" w:eastAsia="黑体" w:hint="eastAsia"/>
          <w:b w:val="0"/>
          <w:color w:val="000000" w:themeColor="text1"/>
          <w:sz w:val="24"/>
          <w:highlight w:val="none"/>
          <w14:textFill>
            <w14:solidFill>
              <w14:schemeClr w14:val="tx1"/>
            </w14:solidFill>
          </w14:textFill>
        </w:rPr>
        <w:t>一、投标函</w:t>
      </w:r>
    </w:p>
    <w:p>
      <w:pPr>
        <w:spacing w:line="360" w:lineRule="auto"/>
        <w:rPr>
          <w:rFonts w:ascii="宋体" w:eastAsia="宋体" w:hAnsi="宋体"/>
          <w:color w:val="000000" w:themeColor="text1"/>
          <w:highlight w:val="none"/>
          <w14:textFill>
            <w14:solidFill>
              <w14:schemeClr w14:val="tx1"/>
            </w14:solidFill>
          </w14:textFill>
        </w:rPr>
      </w:pPr>
      <w:r>
        <w:rPr>
          <w:rFonts w:ascii="宋体" w:eastAsia="宋体" w:hAnsi="宋体" w:hint="eastAsia"/>
          <w:color w:val="000000" w:themeColor="text1"/>
          <w:highlight w:val="none"/>
          <w14:textFill>
            <w14:solidFill>
              <w14:schemeClr w14:val="tx1"/>
            </w14:solidFill>
          </w14:textFill>
        </w:rPr>
        <w:t>致：</w:t>
      </w:r>
      <w:r>
        <w:rPr>
          <w:rFonts w:ascii="宋体" w:eastAsia="宋体" w:hAnsi="宋体" w:hint="eastAsia"/>
          <w:color w:val="000000" w:themeColor="text1"/>
          <w:highlight w:val="none"/>
          <w:u w:val="single"/>
          <w14:textFill>
            <w14:solidFill>
              <w14:schemeClr w14:val="tx1"/>
            </w14:solidFill>
          </w14:textFill>
        </w:rPr>
        <w:t xml:space="preserve">友和保险经纪有限公司 </w:t>
      </w:r>
    </w:p>
    <w:p>
      <w:pPr>
        <w:ind w:firstLine="480" w:firstLineChars="200"/>
        <w:rPr>
          <w:rFonts w:ascii="宋体" w:eastAsia="宋体" w:hAnsi="宋体"/>
          <w:color w:val="000000" w:themeColor="text1"/>
          <w:highlight w:val="none"/>
          <w14:textFill>
            <w14:solidFill>
              <w14:schemeClr w14:val="tx1"/>
            </w14:solidFill>
          </w14:textFill>
        </w:rPr>
      </w:pPr>
      <w:bookmarkStart w:id="40" w:name="_Hlk73818812"/>
      <w:r>
        <w:rPr>
          <w:rFonts w:ascii="宋体" w:eastAsia="宋体" w:hAnsi="宋体" w:hint="eastAsia"/>
          <w:color w:val="000000" w:themeColor="text1"/>
          <w:highlight w:val="none"/>
          <w14:textFill>
            <w14:solidFill>
              <w14:schemeClr w14:val="tx1"/>
            </w14:solidFill>
          </w14:textFill>
        </w:rPr>
        <w:t>1、根据已收到贵单位的项目编号为</w:t>
      </w:r>
      <w:r>
        <w:rPr>
          <w:rFonts w:ascii="宋体" w:eastAsia="宋体" w:hAnsi="宋体"/>
          <w:color w:val="000000" w:themeColor="text1"/>
          <w:highlight w:val="none"/>
          <w:u w:val="single"/>
          <w14:textFill>
            <w14:solidFill>
              <w14:schemeClr w14:val="tx1"/>
            </w14:solidFill>
          </w14:textFill>
        </w:rPr>
        <w:t xml:space="preserve">   </w:t>
      </w:r>
      <w:r>
        <w:rPr>
          <w:rFonts w:ascii="宋体" w:eastAsia="宋体" w:hAnsi="宋体" w:hint="eastAsia"/>
          <w:color w:val="000000" w:themeColor="text1"/>
          <w:highlight w:val="none"/>
          <w:u w:val="single"/>
          <w14:textFill>
            <w14:solidFill>
              <w14:schemeClr w14:val="tx1"/>
            </w14:solidFill>
          </w14:textFill>
        </w:rPr>
        <w:t xml:space="preserve">     </w:t>
      </w:r>
      <w:r>
        <w:rPr>
          <w:rFonts w:ascii="宋体" w:eastAsia="宋体" w:hAnsi="宋体" w:hint="eastAsia"/>
          <w:color w:val="000000" w:themeColor="text1"/>
          <w:highlight w:val="none"/>
          <w14:textFill>
            <w14:solidFill>
              <w14:schemeClr w14:val="tx1"/>
            </w14:solidFill>
          </w14:textFill>
        </w:rPr>
        <w:t>的</w:t>
      </w:r>
      <w:r>
        <w:rPr>
          <w:rFonts w:ascii="宋体" w:eastAsia="宋体" w:hAnsi="宋体" w:hint="eastAsia"/>
          <w:color w:val="000000" w:themeColor="text1"/>
          <w:highlight w:val="none"/>
          <w:u w:val="single"/>
          <w14:textFill>
            <w14:solidFill>
              <w14:schemeClr w14:val="tx1"/>
            </w14:solidFill>
          </w14:textFill>
        </w:rPr>
        <w:t xml:space="preserve">       </w:t>
      </w:r>
      <w:r>
        <w:rPr>
          <w:rFonts w:ascii="宋体" w:eastAsia="宋体" w:hAnsi="宋体"/>
          <w:color w:val="000000" w:themeColor="text1"/>
          <w:highlight w:val="none"/>
          <w:u w:val="single"/>
          <w14:textFill>
            <w14:solidFill>
              <w14:schemeClr w14:val="tx1"/>
            </w14:solidFill>
          </w14:textFill>
        </w:rPr>
        <w:t xml:space="preserve">                                      </w:t>
      </w:r>
      <w:r>
        <w:rPr>
          <w:rFonts w:ascii="宋体" w:eastAsia="宋体" w:hAnsi="宋体" w:hint="eastAsia"/>
          <w:color w:val="000000" w:themeColor="text1"/>
          <w:highlight w:val="none"/>
          <w:u w:val="single"/>
          <w14:textFill>
            <w14:solidFill>
              <w14:schemeClr w14:val="tx1"/>
            </w14:solidFill>
          </w14:textFill>
        </w:rPr>
        <w:t xml:space="preserve">        </w:t>
      </w:r>
      <w:r>
        <w:rPr>
          <w:rFonts w:ascii="宋体" w:eastAsia="宋体" w:hAnsi="宋体" w:hint="eastAsia"/>
          <w:color w:val="000000" w:themeColor="text1"/>
          <w:highlight w:val="none"/>
          <w14:textFill>
            <w14:solidFill>
              <w14:schemeClr w14:val="tx1"/>
            </w14:solidFill>
          </w14:textFill>
        </w:rPr>
        <w:t>项目的招标文件，遵照《深圳经济特区政府采购条例》和《深圳网上政府采购管理暂行办法》等有关规定，我单位经研究上述招标文件的专用条款及通用条款后，</w:t>
      </w:r>
      <w:bookmarkStart w:id="41" w:name="_Hlk72263588"/>
      <w:r>
        <w:rPr>
          <w:rFonts w:ascii="宋体" w:eastAsia="宋体" w:hAnsi="宋体" w:hint="eastAsia"/>
          <w:color w:val="000000" w:themeColor="text1"/>
          <w:highlight w:val="none"/>
          <w14:textFill>
            <w14:solidFill>
              <w14:schemeClr w14:val="tx1"/>
            </w14:solidFill>
          </w14:textFill>
        </w:rPr>
        <w:t>愿意按照招标文件要求承包上述项目并修补其任何缺陷。</w:t>
      </w:r>
      <w:bookmarkEnd w:id="41"/>
    </w:p>
    <w:p>
      <w:pPr>
        <w:ind w:firstLine="480" w:firstLineChars="200"/>
        <w:rPr>
          <w:rFonts w:ascii="宋体" w:eastAsia="宋体" w:hAnsi="宋体"/>
          <w:color w:val="000000" w:themeColor="text1"/>
          <w:highlight w:val="none"/>
          <w14:textFill>
            <w14:solidFill>
              <w14:schemeClr w14:val="tx1"/>
            </w14:solidFill>
          </w14:textFill>
        </w:rPr>
      </w:pPr>
      <w:r>
        <w:rPr>
          <w:rFonts w:ascii="宋体" w:eastAsia="宋体" w:hAnsi="宋体"/>
          <w:color w:val="000000" w:themeColor="text1"/>
          <w:highlight w:val="none"/>
          <w14:textFill>
            <w14:solidFill>
              <w14:schemeClr w14:val="tx1"/>
            </w14:solidFill>
          </w14:textFill>
        </w:rPr>
        <w:t>2</w:t>
      </w:r>
      <w:r>
        <w:rPr>
          <w:rFonts w:ascii="宋体" w:eastAsia="宋体" w:hAnsi="宋体" w:hint="eastAsia"/>
          <w:color w:val="000000" w:themeColor="text1"/>
          <w:highlight w:val="none"/>
          <w14:textFill>
            <w14:solidFill>
              <w14:schemeClr w14:val="tx1"/>
            </w14:solidFill>
          </w14:textFill>
        </w:rPr>
        <w:t>、投标价格见投标书编制软件中《开标一览表》中填写的投标总价。</w:t>
      </w:r>
    </w:p>
    <w:p>
      <w:pPr>
        <w:ind w:firstLine="480" w:firstLineChars="200"/>
        <w:rPr>
          <w:rFonts w:ascii="宋体" w:eastAsia="宋体" w:hAnsi="宋体"/>
          <w:color w:val="000000" w:themeColor="text1"/>
          <w:highlight w:val="none"/>
          <w14:textFill>
            <w14:solidFill>
              <w14:schemeClr w14:val="tx1"/>
            </w14:solidFill>
          </w14:textFill>
        </w:rPr>
      </w:pPr>
      <w:r>
        <w:rPr>
          <w:rFonts w:ascii="宋体" w:eastAsia="宋体" w:hAnsi="宋体" w:hint="eastAsia"/>
          <w:color w:val="000000" w:themeColor="text1"/>
          <w:highlight w:val="none"/>
          <w14:textFill>
            <w14:solidFill>
              <w14:schemeClr w14:val="tx1"/>
            </w14:solidFill>
          </w14:textFill>
        </w:rPr>
        <w:t>3、如果我单位中标，我单位将按照招标文件的要求足额提交履约担保。</w:t>
      </w:r>
    </w:p>
    <w:p>
      <w:pPr>
        <w:ind w:firstLine="480" w:firstLineChars="200"/>
        <w:rPr>
          <w:rFonts w:ascii="宋体" w:eastAsia="宋体" w:hAnsi="宋体"/>
          <w:color w:val="000000" w:themeColor="text1"/>
          <w:highlight w:val="none"/>
          <w14:textFill>
            <w14:solidFill>
              <w14:schemeClr w14:val="tx1"/>
            </w14:solidFill>
          </w14:textFill>
        </w:rPr>
      </w:pPr>
      <w:r>
        <w:rPr>
          <w:rFonts w:ascii="宋体" w:eastAsia="宋体" w:hAnsi="宋体" w:hint="eastAsia"/>
          <w:color w:val="000000" w:themeColor="text1"/>
          <w:highlight w:val="none"/>
          <w14:textFill>
            <w14:solidFill>
              <w14:schemeClr w14:val="tx1"/>
            </w14:solidFill>
          </w14:textFill>
        </w:rPr>
        <w:t>4、我单位同意所递交的投标文件在“对通用条款的补充内容”中明确的投标有效期内有效，在此期间内我单位的投标有可能中标，我方将受此约束。</w:t>
      </w:r>
    </w:p>
    <w:p>
      <w:pPr>
        <w:ind w:firstLine="480" w:firstLineChars="200"/>
        <w:rPr>
          <w:rFonts w:ascii="宋体" w:eastAsia="宋体" w:hAnsi="宋体"/>
          <w:color w:val="000000" w:themeColor="text1"/>
          <w:highlight w:val="none"/>
          <w14:textFill>
            <w14:solidFill>
              <w14:schemeClr w14:val="tx1"/>
            </w14:solidFill>
          </w14:textFill>
        </w:rPr>
      </w:pPr>
      <w:r>
        <w:rPr>
          <w:rFonts w:ascii="宋体" w:eastAsia="宋体" w:hAnsi="宋体" w:hint="eastAsia"/>
          <w:color w:val="000000" w:themeColor="text1"/>
          <w:highlight w:val="none"/>
          <w14:textFill>
            <w14:solidFill>
              <w14:schemeClr w14:val="tx1"/>
            </w14:solidFill>
          </w14:textFill>
        </w:rPr>
        <w:t>5、除非另外达成协议并生效，贵单位的中标通知书和本投标文件将构成合同的重要内容。</w:t>
      </w:r>
    </w:p>
    <w:p>
      <w:pPr>
        <w:ind w:left="600" w:hanging="120" w:leftChars="200" w:hangingChars="50"/>
        <w:rPr>
          <w:rFonts w:ascii="宋体" w:eastAsia="宋体" w:hAnsi="宋体" w:hint="eastAsia"/>
          <w:color w:val="000000" w:themeColor="text1"/>
          <w:highlight w:val="none"/>
          <w14:textFill>
            <w14:solidFill>
              <w14:schemeClr w14:val="tx1"/>
            </w14:solidFill>
          </w14:textFill>
        </w:rPr>
      </w:pPr>
      <w:r>
        <w:rPr>
          <w:rFonts w:ascii="宋体" w:eastAsia="宋体" w:hAnsi="宋体" w:hint="eastAsia"/>
          <w:color w:val="000000" w:themeColor="text1"/>
          <w:highlight w:val="none"/>
          <w14:textFill>
            <w14:solidFill>
              <w14:schemeClr w14:val="tx1"/>
            </w14:solidFill>
          </w14:textFill>
        </w:rPr>
        <w:t>6、我单位理解贵单位将不受必须接受所收到的最低报价或其它任何投标文件的约束。</w:t>
      </w:r>
      <w:bookmarkEnd w:id="40"/>
    </w:p>
    <w:p>
      <w:pPr>
        <w:ind w:left="600" w:hanging="120" w:leftChars="200" w:hangingChars="50"/>
        <w:rPr>
          <w:rFonts w:ascii="宋体" w:eastAsia="宋体" w:hAnsi="宋体" w:hint="eastAsia"/>
          <w:color w:val="000000" w:themeColor="text1"/>
          <w:highlight w:val="none"/>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360" w:lineRule="auto"/>
        <w:ind w:left="600" w:hanging="120" w:leftChars="200" w:hangingChars="50"/>
        <w:textAlignment w:val="auto"/>
        <w:rPr>
          <w:rFonts w:ascii="宋体" w:eastAsia="宋体" w:hAnsi="宋体"/>
          <w:color w:val="000000" w:themeColor="text1"/>
          <w:highlight w:val="none"/>
          <w:u w:val="single"/>
          <w14:textFill>
            <w14:solidFill>
              <w14:schemeClr w14:val="tx1"/>
            </w14:solidFill>
          </w14:textFill>
        </w:rPr>
      </w:pPr>
      <w:r>
        <w:rPr>
          <w:rFonts w:ascii="宋体" w:eastAsia="宋体" w:hAnsi="宋体" w:hint="eastAsia"/>
          <w:color w:val="000000" w:themeColor="text1"/>
          <w:highlight w:val="none"/>
          <w14:textFill>
            <w14:solidFill>
              <w14:schemeClr w14:val="tx1"/>
            </w14:solidFill>
          </w14:textFill>
        </w:rPr>
        <w:t>投标人：</w:t>
      </w:r>
      <w:r>
        <w:rPr>
          <w:rFonts w:ascii="宋体" w:eastAsia="宋体" w:hAnsi="宋体" w:hint="eastAsia"/>
          <w:color w:val="000000" w:themeColor="text1"/>
          <w:highlight w:val="none"/>
          <w:u w:val="single"/>
          <w14:textFill>
            <w14:solidFill>
              <w14:schemeClr w14:val="tx1"/>
            </w14:solidFill>
          </w14:textFill>
        </w:rPr>
        <w:t xml:space="preserve">                   </w:t>
      </w:r>
      <w:r>
        <w:rPr>
          <w:rFonts w:ascii="宋体" w:eastAsia="宋体" w:hAnsi="宋体" w:hint="eastAsia"/>
          <w:color w:val="000000" w:themeColor="text1"/>
          <w:highlight w:val="none"/>
          <w14:textFill>
            <w14:solidFill>
              <w14:schemeClr w14:val="tx1"/>
            </w14:solidFill>
          </w14:textFill>
        </w:rPr>
        <w:t xml:space="preserve">    单位地址：</w:t>
      </w:r>
      <w:r>
        <w:rPr>
          <w:rFonts w:ascii="宋体" w:eastAsia="宋体" w:hAnsi="宋体" w:hint="eastAsia"/>
          <w:color w:val="000000" w:themeColor="text1"/>
          <w:highlight w:val="none"/>
          <w:u w:val="single"/>
          <w14:textFill>
            <w14:solidFill>
              <w14:schemeClr w14:val="tx1"/>
            </w14:solidFill>
          </w14:textFill>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olor w:val="000000" w:themeColor="text1"/>
          <w:highlight w:val="none"/>
          <w:u w:val="single"/>
          <w14:textFill>
            <w14:solidFill>
              <w14:schemeClr w14:val="tx1"/>
            </w14:solidFill>
          </w14:textFill>
        </w:rPr>
      </w:pPr>
      <w:r>
        <w:rPr>
          <w:rFonts w:ascii="宋体" w:eastAsia="宋体" w:hAnsi="宋体" w:hint="eastAsia"/>
          <w:color w:val="000000" w:themeColor="text1"/>
          <w:highlight w:val="none"/>
          <w14:textFill>
            <w14:solidFill>
              <w14:schemeClr w14:val="tx1"/>
            </w14:solidFill>
          </w14:textFill>
        </w:rPr>
        <w:t>法定代表人（负责人）或其委托代理人：</w:t>
      </w:r>
      <w:r>
        <w:rPr>
          <w:rFonts w:ascii="宋体" w:eastAsia="宋体" w:hAnsi="宋体" w:hint="eastAsia"/>
          <w:color w:val="000000" w:themeColor="text1"/>
          <w:highlight w:val="none"/>
          <w:u w:val="single"/>
          <w14:textFill>
            <w14:solidFill>
              <w14:schemeClr w14:val="tx1"/>
            </w14:solidFill>
          </w14:textFill>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hint="eastAsia"/>
          <w:color w:val="000000" w:themeColor="text1"/>
          <w:highlight w:val="none"/>
          <w:u w:val="single"/>
          <w14:textFill>
            <w14:solidFill>
              <w14:schemeClr w14:val="tx1"/>
            </w14:solidFill>
          </w14:textFill>
        </w:rPr>
      </w:pPr>
      <w:r>
        <w:rPr>
          <w:rFonts w:ascii="宋体" w:eastAsia="宋体" w:hAnsi="宋体" w:hint="eastAsia"/>
          <w:color w:val="000000" w:themeColor="text1"/>
          <w:highlight w:val="none"/>
          <w14:textFill>
            <w14:solidFill>
              <w14:schemeClr w14:val="tx1"/>
            </w14:solidFill>
          </w14:textFill>
        </w:rPr>
        <w:t>邮政编码：</w:t>
      </w:r>
      <w:r>
        <w:rPr>
          <w:rFonts w:ascii="宋体" w:eastAsia="宋体" w:hAnsi="宋体" w:hint="eastAsia"/>
          <w:color w:val="000000" w:themeColor="text1"/>
          <w:highlight w:val="none"/>
          <w:u w:val="single"/>
          <w14:textFill>
            <w14:solidFill>
              <w14:schemeClr w14:val="tx1"/>
            </w14:solidFill>
          </w14:textFill>
        </w:rPr>
        <w:t xml:space="preserve">          </w:t>
      </w:r>
      <w:r>
        <w:rPr>
          <w:rFonts w:ascii="宋体" w:eastAsia="宋体" w:hAnsi="宋体" w:hint="eastAsia"/>
          <w:color w:val="000000" w:themeColor="text1"/>
          <w:highlight w:val="none"/>
          <w14:textFill>
            <w14:solidFill>
              <w14:schemeClr w14:val="tx1"/>
            </w14:solidFill>
          </w14:textFill>
        </w:rPr>
        <w:t xml:space="preserve">  电话：</w:t>
      </w:r>
      <w:r>
        <w:rPr>
          <w:rFonts w:ascii="宋体" w:eastAsia="宋体" w:hAnsi="宋体" w:hint="eastAsia"/>
          <w:color w:val="000000" w:themeColor="text1"/>
          <w:highlight w:val="none"/>
          <w:u w:val="single"/>
          <w14:textFill>
            <w14:solidFill>
              <w14:schemeClr w14:val="tx1"/>
            </w14:solidFill>
          </w14:textFill>
        </w:rPr>
        <w:t xml:space="preserve">          </w:t>
      </w:r>
      <w:r>
        <w:rPr>
          <w:rFonts w:ascii="宋体" w:eastAsia="宋体" w:hAnsi="宋体" w:hint="eastAsia"/>
          <w:color w:val="000000" w:themeColor="text1"/>
          <w:highlight w:val="none"/>
          <w14:textFill>
            <w14:solidFill>
              <w14:schemeClr w14:val="tx1"/>
            </w14:solidFill>
          </w14:textFill>
        </w:rPr>
        <w:t xml:space="preserve">  传真：</w:t>
      </w:r>
      <w:r>
        <w:rPr>
          <w:rFonts w:ascii="宋体" w:eastAsia="宋体" w:hAnsi="宋体" w:hint="eastAsia"/>
          <w:color w:val="000000" w:themeColor="text1"/>
          <w:highlight w:val="none"/>
          <w:u w:val="single"/>
          <w14:textFill>
            <w14:solidFill>
              <w14:schemeClr w14:val="tx1"/>
            </w14:solidFill>
          </w14:textFill>
        </w:rPr>
        <w:t xml:space="preserve">            </w:t>
      </w:r>
    </w:p>
    <w:p>
      <w:pPr>
        <w:pStyle w:val="NormalIndent"/>
        <w:keepNext w:val="0"/>
        <w:keepLines w:val="0"/>
        <w:pageBreakBefore w:val="0"/>
        <w:widowControl/>
        <w:kinsoku/>
        <w:wordWrap/>
        <w:overflowPunct/>
        <w:topLinePunct w:val="0"/>
        <w:autoSpaceDE/>
        <w:autoSpaceDN/>
        <w:bidi w:val="0"/>
        <w:adjustRightInd/>
        <w:snapToGrid/>
        <w:spacing w:line="360" w:lineRule="auto"/>
        <w:ind w:left="0" w:firstLine="480" w:leftChars="0" w:firstLineChars="200"/>
        <w:textAlignment w:val="auto"/>
        <w:rPr>
          <w:rFonts w:hint="eastAsia"/>
          <w:highlight w:val="none"/>
          <w:lang w:val="en-US" w:eastAsia="zh-CN"/>
        </w:rPr>
      </w:pPr>
      <w:r>
        <w:rPr>
          <w:rFonts w:ascii="宋体" w:eastAsia="宋体" w:hAnsi="宋体" w:hint="eastAsia"/>
          <w:color w:val="000000" w:themeColor="text1"/>
          <w:highlight w:val="none"/>
          <w:lang w:val="en-US" w:eastAsia="zh-CN"/>
          <w14:textFill>
            <w14:solidFill>
              <w14:schemeClr w14:val="tx1"/>
            </w14:solidFill>
          </w14:textFill>
        </w:rPr>
        <w:t>邮箱</w:t>
      </w:r>
      <w:r>
        <w:rPr>
          <w:rFonts w:ascii="宋体" w:eastAsia="宋体" w:hAnsi="宋体" w:hint="eastAsia"/>
          <w:color w:val="000000" w:themeColor="text1"/>
          <w:highlight w:val="none"/>
          <w14:textFill>
            <w14:solidFill>
              <w14:schemeClr w14:val="tx1"/>
            </w14:solidFill>
          </w14:textFill>
        </w:rPr>
        <w:t>：</w:t>
      </w:r>
      <w:r>
        <w:rPr>
          <w:rFonts w:ascii="宋体" w:eastAsia="宋体" w:hAnsi="宋体" w:hint="eastAsia"/>
          <w:color w:val="000000" w:themeColor="text1"/>
          <w:highlight w:val="none"/>
          <w:u w:val="single"/>
          <w14:textFill>
            <w14:solidFill>
              <w14:schemeClr w14:val="tx1"/>
            </w14:solidFill>
          </w14:textFill>
        </w:rPr>
        <w:t xml:space="preserve"> </w:t>
      </w:r>
      <w:r>
        <w:rPr>
          <w:rFonts w:ascii="宋体" w:eastAsia="宋体" w:hAnsi="宋体" w:hint="eastAsia"/>
          <w:color w:val="000000" w:themeColor="text1"/>
          <w:highlight w:val="none"/>
          <w:u w:val="single"/>
          <w:lang w:val="en-US" w:eastAsia="zh-CN"/>
          <w14:textFill>
            <w14:solidFill>
              <w14:schemeClr w14:val="tx1"/>
            </w14:solidFill>
          </w14:textFill>
        </w:rPr>
        <w:t xml:space="preserve">                      </w:t>
      </w:r>
      <w:r>
        <w:rPr>
          <w:rFonts w:ascii="宋体" w:eastAsia="宋体" w:hAnsi="宋体" w:hint="eastAsia"/>
          <w:color w:val="000000" w:themeColor="text1"/>
          <w:highlight w:val="none"/>
          <w:u w:val="single"/>
          <w14:textFill>
            <w14:solidFill>
              <w14:schemeClr w14:val="tx1"/>
            </w14:solidFill>
          </w14:textFill>
        </w:rPr>
        <w:t xml:space="preserve">     </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hint="eastAsia"/>
          <w:color w:val="000000" w:themeColor="text1"/>
          <w:highlight w:val="none"/>
          <w14:textFill>
            <w14:solidFill>
              <w14:schemeClr w14:val="tx1"/>
            </w14:solidFill>
          </w14:textFill>
        </w:rPr>
      </w:pPr>
      <w:r>
        <w:rPr>
          <w:rFonts w:ascii="宋体" w:eastAsia="宋体" w:hAnsi="宋体" w:hint="eastAsia"/>
          <w:color w:val="000000" w:themeColor="text1"/>
          <w:highlight w:val="none"/>
          <w14:textFill>
            <w14:solidFill>
              <w14:schemeClr w14:val="tx1"/>
            </w14:solidFill>
          </w14:textFill>
        </w:rPr>
        <w:t>开户银行名称：</w:t>
      </w:r>
      <w:r>
        <w:rPr>
          <w:rFonts w:ascii="宋体" w:eastAsia="宋体" w:hAnsi="宋体" w:hint="eastAsia"/>
          <w:color w:val="000000" w:themeColor="text1"/>
          <w:highlight w:val="none"/>
          <w:u w:val="single"/>
          <w14:textFill>
            <w14:solidFill>
              <w14:schemeClr w14:val="tx1"/>
            </w14:solidFill>
          </w14:textFill>
        </w:rPr>
        <w:tab/>
      </w:r>
      <w:r>
        <w:rPr>
          <w:rFonts w:ascii="宋体" w:eastAsia="宋体" w:hAnsi="宋体" w:hint="eastAsia"/>
          <w:color w:val="000000" w:themeColor="text1"/>
          <w:highlight w:val="none"/>
          <w:u w:val="single"/>
          <w14:textFill>
            <w14:solidFill>
              <w14:schemeClr w14:val="tx1"/>
            </w14:solidFill>
          </w14:textFill>
        </w:rPr>
        <w:tab/>
      </w:r>
      <w:r>
        <w:rPr>
          <w:rFonts w:ascii="宋体" w:eastAsia="宋体" w:hAnsi="宋体" w:hint="eastAsia"/>
          <w:color w:val="000000" w:themeColor="text1"/>
          <w:highlight w:val="none"/>
          <w:u w:val="single"/>
          <w14:textFill>
            <w14:solidFill>
              <w14:schemeClr w14:val="tx1"/>
            </w14:solidFill>
          </w14:textFill>
        </w:rPr>
        <w:tab/>
      </w:r>
      <w:r>
        <w:rPr>
          <w:rFonts w:ascii="宋体" w:eastAsia="宋体" w:hAnsi="宋体" w:hint="eastAsia"/>
          <w:color w:val="000000" w:themeColor="text1"/>
          <w:highlight w:val="none"/>
          <w:u w:val="single"/>
          <w14:textFill>
            <w14:solidFill>
              <w14:schemeClr w14:val="tx1"/>
            </w14:solidFill>
          </w14:textFill>
        </w:rPr>
        <w:tab/>
      </w:r>
      <w:r>
        <w:rPr>
          <w:rFonts w:ascii="宋体" w:eastAsia="宋体" w:hAnsi="宋体" w:hint="eastAsia"/>
          <w:color w:val="000000" w:themeColor="text1"/>
          <w:highlight w:val="none"/>
          <w14:textFill>
            <w14:solidFill>
              <w14:schemeClr w14:val="tx1"/>
            </w14:solidFill>
          </w14:textFill>
        </w:rPr>
        <w:tab/>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olor w:val="000000" w:themeColor="text1"/>
          <w:highlight w:val="none"/>
          <w14:textFill>
            <w14:solidFill>
              <w14:schemeClr w14:val="tx1"/>
            </w14:solidFill>
          </w14:textFill>
        </w:rPr>
      </w:pPr>
      <w:r>
        <w:rPr>
          <w:rFonts w:ascii="宋体" w:eastAsia="宋体" w:hAnsi="宋体" w:hint="eastAsia"/>
          <w:color w:val="000000" w:themeColor="text1"/>
          <w:highlight w:val="none"/>
          <w14:textFill>
            <w14:solidFill>
              <w14:schemeClr w14:val="tx1"/>
            </w14:solidFill>
          </w14:textFill>
        </w:rPr>
        <w:t>开户银行账号：</w:t>
      </w:r>
      <w:r>
        <w:rPr>
          <w:rFonts w:ascii="宋体" w:eastAsia="宋体" w:hAnsi="宋体" w:hint="eastAsia"/>
          <w:color w:val="000000" w:themeColor="text1"/>
          <w:highlight w:val="none"/>
          <w:u w:val="single"/>
          <w14:textFill>
            <w14:solidFill>
              <w14:schemeClr w14:val="tx1"/>
            </w14:solidFill>
          </w14:textFill>
        </w:rPr>
        <w:tab/>
      </w:r>
      <w:r>
        <w:rPr>
          <w:rFonts w:ascii="宋体" w:eastAsia="宋体" w:hAnsi="宋体" w:hint="eastAsia"/>
          <w:color w:val="000000" w:themeColor="text1"/>
          <w:highlight w:val="none"/>
          <w:u w:val="single"/>
          <w14:textFill>
            <w14:solidFill>
              <w14:schemeClr w14:val="tx1"/>
            </w14:solidFill>
          </w14:textFill>
        </w:rPr>
        <w:tab/>
      </w:r>
      <w:r>
        <w:rPr>
          <w:rFonts w:ascii="宋体" w:eastAsia="宋体" w:hAnsi="宋体" w:hint="eastAsia"/>
          <w:color w:val="000000" w:themeColor="text1"/>
          <w:highlight w:val="none"/>
          <w:u w:val="single"/>
          <w14:textFill>
            <w14:solidFill>
              <w14:schemeClr w14:val="tx1"/>
            </w14:solidFill>
          </w14:textFill>
        </w:rPr>
        <w:tab/>
      </w:r>
      <w:r>
        <w:rPr>
          <w:rFonts w:ascii="宋体" w:eastAsia="宋体" w:hAnsi="宋体" w:hint="eastAsia"/>
          <w:color w:val="000000" w:themeColor="text1"/>
          <w:highlight w:val="none"/>
          <w:u w:val="single"/>
          <w14:textFill>
            <w14:solidFill>
              <w14:schemeClr w14:val="tx1"/>
            </w14:solidFill>
          </w14:textFill>
        </w:rPr>
        <w:tab/>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hint="eastAsia"/>
          <w:color w:val="000000" w:themeColor="text1"/>
          <w:highlight w:val="none"/>
          <w14:textFill>
            <w14:solidFill>
              <w14:schemeClr w14:val="tx1"/>
            </w14:solidFill>
          </w14:textFill>
        </w:rPr>
      </w:pPr>
      <w:r>
        <w:rPr>
          <w:rFonts w:ascii="宋体" w:eastAsia="宋体" w:hAnsi="宋体" w:hint="eastAsia"/>
          <w:color w:val="000000" w:themeColor="text1"/>
          <w:highlight w:val="none"/>
          <w14:textFill>
            <w14:solidFill>
              <w14:schemeClr w14:val="tx1"/>
            </w14:solidFill>
          </w14:textFill>
        </w:rPr>
        <w:t>开户银行地址：</w:t>
      </w:r>
      <w:r>
        <w:rPr>
          <w:rFonts w:ascii="宋体" w:eastAsia="宋体" w:hAnsi="宋体" w:hint="eastAsia"/>
          <w:color w:val="000000" w:themeColor="text1"/>
          <w:highlight w:val="none"/>
          <w:u w:val="single"/>
          <w14:textFill>
            <w14:solidFill>
              <w14:schemeClr w14:val="tx1"/>
            </w14:solidFill>
          </w14:textFill>
        </w:rPr>
        <w:tab/>
      </w:r>
      <w:r>
        <w:rPr>
          <w:rFonts w:ascii="宋体" w:eastAsia="宋体" w:hAnsi="宋体" w:hint="eastAsia"/>
          <w:color w:val="000000" w:themeColor="text1"/>
          <w:highlight w:val="none"/>
          <w:u w:val="single"/>
          <w14:textFill>
            <w14:solidFill>
              <w14:schemeClr w14:val="tx1"/>
            </w14:solidFill>
          </w14:textFill>
        </w:rPr>
        <w:tab/>
      </w:r>
      <w:r>
        <w:rPr>
          <w:rFonts w:ascii="宋体" w:eastAsia="宋体" w:hAnsi="宋体" w:hint="eastAsia"/>
          <w:color w:val="000000" w:themeColor="text1"/>
          <w:highlight w:val="none"/>
          <w:u w:val="single"/>
          <w14:textFill>
            <w14:solidFill>
              <w14:schemeClr w14:val="tx1"/>
            </w14:solidFill>
          </w14:textFill>
        </w:rPr>
        <w:tab/>
      </w:r>
      <w:r>
        <w:rPr>
          <w:rFonts w:ascii="宋体" w:eastAsia="宋体" w:hAnsi="宋体" w:hint="eastAsia"/>
          <w:color w:val="000000" w:themeColor="text1"/>
          <w:highlight w:val="none"/>
          <w:u w:val="single"/>
          <w14:textFill>
            <w14:solidFill>
              <w14:schemeClr w14:val="tx1"/>
            </w14:solidFill>
          </w14:textFill>
        </w:rPr>
        <w:tab/>
      </w:r>
      <w:r>
        <w:rPr>
          <w:rFonts w:ascii="宋体" w:eastAsia="宋体" w:hAnsi="宋体" w:hint="eastAsia"/>
          <w:color w:val="000000" w:themeColor="text1"/>
          <w:highlight w:val="none"/>
          <w14:textFill>
            <w14:solidFill>
              <w14:schemeClr w14:val="tx1"/>
            </w14:solidFill>
          </w14:textFill>
        </w:rPr>
        <w:tab/>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olor w:val="000000" w:themeColor="text1"/>
          <w:highlight w:val="none"/>
          <w14:textFill>
            <w14:solidFill>
              <w14:schemeClr w14:val="tx1"/>
            </w14:solidFill>
          </w14:textFill>
        </w:rPr>
      </w:pPr>
      <w:r>
        <w:rPr>
          <w:rFonts w:ascii="宋体" w:eastAsia="宋体" w:hAnsi="宋体" w:hint="eastAsia"/>
          <w:color w:val="000000" w:themeColor="text1"/>
          <w:highlight w:val="none"/>
          <w14:textFill>
            <w14:solidFill>
              <w14:schemeClr w14:val="tx1"/>
            </w14:solidFill>
          </w14:textFill>
        </w:rPr>
        <w:t>开户银行电话：</w:t>
      </w:r>
      <w:r>
        <w:rPr>
          <w:rFonts w:ascii="宋体" w:eastAsia="宋体" w:hAnsi="宋体" w:hint="eastAsia"/>
          <w:color w:val="000000" w:themeColor="text1"/>
          <w:highlight w:val="none"/>
          <w:u w:val="single"/>
          <w14:textFill>
            <w14:solidFill>
              <w14:schemeClr w14:val="tx1"/>
            </w14:solidFill>
          </w14:textFill>
        </w:rPr>
        <w:tab/>
      </w:r>
      <w:r>
        <w:rPr>
          <w:rFonts w:ascii="宋体" w:eastAsia="宋体" w:hAnsi="宋体" w:hint="eastAsia"/>
          <w:color w:val="000000" w:themeColor="text1"/>
          <w:highlight w:val="none"/>
          <w:u w:val="single"/>
          <w14:textFill>
            <w14:solidFill>
              <w14:schemeClr w14:val="tx1"/>
            </w14:solidFill>
          </w14:textFill>
        </w:rPr>
        <w:tab/>
      </w:r>
      <w:r>
        <w:rPr>
          <w:rFonts w:ascii="宋体" w:eastAsia="宋体" w:hAnsi="宋体" w:hint="eastAsia"/>
          <w:color w:val="000000" w:themeColor="text1"/>
          <w:highlight w:val="none"/>
          <w:u w:val="single"/>
          <w14:textFill>
            <w14:solidFill>
              <w14:schemeClr w14:val="tx1"/>
            </w14:solidFill>
          </w14:textFill>
        </w:rPr>
        <w:tab/>
      </w:r>
      <w:r>
        <w:rPr>
          <w:rFonts w:ascii="宋体" w:eastAsia="宋体" w:hAnsi="宋体" w:hint="eastAsia"/>
          <w:color w:val="000000" w:themeColor="text1"/>
          <w:highlight w:val="none"/>
          <w:u w:val="single"/>
          <w14:textFill>
            <w14:solidFill>
              <w14:schemeClr w14:val="tx1"/>
            </w14:solidFill>
          </w14:textFill>
        </w:rPr>
        <w:tab/>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color w:val="000000" w:themeColor="text1"/>
          <w:highlight w:val="none"/>
          <w14:textFill>
            <w14:solidFill>
              <w14:schemeClr w14:val="tx1"/>
            </w14:solidFill>
          </w14:textFill>
        </w:rPr>
      </w:pPr>
      <w:r>
        <w:rPr>
          <w:rFonts w:ascii="宋体" w:eastAsia="宋体" w:hAnsi="宋体" w:hint="eastAsia"/>
          <w:color w:val="000000" w:themeColor="text1"/>
          <w:highlight w:val="none"/>
          <w14:textFill>
            <w14:solidFill>
              <w14:schemeClr w14:val="tx1"/>
            </w14:solidFill>
          </w14:textFill>
        </w:rPr>
        <w:t>日期：</w:t>
      </w:r>
      <w:r>
        <w:rPr>
          <w:rFonts w:ascii="宋体" w:eastAsia="宋体" w:hAnsi="宋体" w:hint="eastAsia"/>
          <w:color w:val="000000" w:themeColor="text1"/>
          <w:highlight w:val="none"/>
          <w:u w:val="single"/>
          <w14:textFill>
            <w14:solidFill>
              <w14:schemeClr w14:val="tx1"/>
            </w14:solidFill>
          </w14:textFill>
        </w:rPr>
        <w:t xml:space="preserve">       </w:t>
      </w:r>
      <w:r>
        <w:rPr>
          <w:rFonts w:ascii="宋体" w:eastAsia="宋体" w:hAnsi="宋体" w:hint="eastAsia"/>
          <w:color w:val="000000" w:themeColor="text1"/>
          <w:highlight w:val="none"/>
          <w14:textFill>
            <w14:solidFill>
              <w14:schemeClr w14:val="tx1"/>
            </w14:solidFill>
          </w14:textFill>
        </w:rPr>
        <w:t>年</w:t>
      </w:r>
      <w:r>
        <w:rPr>
          <w:rFonts w:ascii="宋体" w:eastAsia="宋体" w:hAnsi="宋体" w:hint="eastAsia"/>
          <w:color w:val="000000" w:themeColor="text1"/>
          <w:highlight w:val="none"/>
          <w:u w:val="single"/>
          <w14:textFill>
            <w14:solidFill>
              <w14:schemeClr w14:val="tx1"/>
            </w14:solidFill>
          </w14:textFill>
        </w:rPr>
        <w:t xml:space="preserve">     </w:t>
      </w:r>
      <w:r>
        <w:rPr>
          <w:rFonts w:ascii="宋体" w:eastAsia="宋体" w:hAnsi="宋体" w:hint="eastAsia"/>
          <w:color w:val="000000" w:themeColor="text1"/>
          <w:highlight w:val="none"/>
          <w14:textFill>
            <w14:solidFill>
              <w14:schemeClr w14:val="tx1"/>
            </w14:solidFill>
          </w14:textFill>
        </w:rPr>
        <w:t>月</w:t>
      </w:r>
      <w:r>
        <w:rPr>
          <w:rFonts w:ascii="宋体" w:eastAsia="宋体" w:hAnsi="宋体" w:hint="eastAsia"/>
          <w:color w:val="000000" w:themeColor="text1"/>
          <w:highlight w:val="none"/>
          <w:u w:val="single"/>
          <w14:textFill>
            <w14:solidFill>
              <w14:schemeClr w14:val="tx1"/>
            </w14:solidFill>
          </w14:textFill>
        </w:rPr>
        <w:t xml:space="preserve">    </w:t>
      </w:r>
      <w:r>
        <w:rPr>
          <w:rFonts w:ascii="宋体" w:eastAsia="宋体" w:hAnsi="宋体" w:hint="eastAsia"/>
          <w:color w:val="000000" w:themeColor="text1"/>
          <w:highlight w:val="none"/>
          <w14:textFill>
            <w14:solidFill>
              <w14:schemeClr w14:val="tx1"/>
            </w14:solidFill>
          </w14:textFill>
        </w:rPr>
        <w:t xml:space="preserve">日    </w:t>
      </w:r>
      <w:r>
        <w:rPr>
          <w:rFonts w:hint="eastAsia"/>
          <w:color w:val="000000" w:themeColor="text1"/>
          <w:highlight w:val="none"/>
          <w14:textFill>
            <w14:solidFill>
              <w14:schemeClr w14:val="tx1"/>
            </w14:solidFill>
          </w14:textFill>
        </w:rPr>
        <w:t xml:space="preserve">                            </w:t>
      </w:r>
    </w:p>
    <w:p>
      <w:pPr>
        <w:rPr>
          <w:rFonts w:ascii="黑体" w:eastAsia="黑体" w:hAnsi="宋体"/>
          <w:color w:val="000000" w:themeColor="text1"/>
          <w:highlight w:val="none"/>
          <w14:textFill>
            <w14:solidFill>
              <w14:schemeClr w14:val="tx1"/>
            </w14:solidFill>
          </w14:textFill>
        </w:rPr>
      </w:pPr>
    </w:p>
    <w:p>
      <w:pPr>
        <w:rPr>
          <w:rFonts w:ascii="宋体" w:hAnsi="宋体"/>
          <w:color w:val="000000" w:themeColor="text1"/>
          <w:szCs w:val="21"/>
          <w:highlight w:val="none"/>
          <w14:textFill>
            <w14:solidFill>
              <w14:schemeClr w14:val="tx1"/>
            </w14:solidFill>
          </w14:textFill>
        </w:rPr>
      </w:pPr>
    </w:p>
    <w:p>
      <w:pPr>
        <w:rPr>
          <w:rFonts w:ascii="黑体" w:eastAsia="黑体" w:hAnsi="宋体"/>
          <w:color w:val="000000" w:themeColor="text1"/>
          <w:highlight w:val="none"/>
          <w14:textFill>
            <w14:solidFill>
              <w14:schemeClr w14:val="tx1"/>
            </w14:solidFill>
          </w14:textFill>
        </w:rPr>
      </w:pPr>
    </w:p>
    <w:p>
      <w:pPr>
        <w:rPr>
          <w:rFonts w:ascii="黑体" w:eastAsia="黑体" w:hAnsi="宋体"/>
          <w:color w:val="000000" w:themeColor="text1"/>
          <w:highlight w:val="none"/>
          <w14:textFill>
            <w14:solidFill>
              <w14:schemeClr w14:val="tx1"/>
            </w14:solidFill>
          </w14:textFill>
        </w:rPr>
      </w:pPr>
    </w:p>
    <w:p>
      <w:pPr>
        <w:rPr>
          <w:rFonts w:ascii="黑体" w:eastAsia="黑体" w:hAnsi="宋体"/>
          <w:color w:val="000000" w:themeColor="text1"/>
          <w:highlight w:val="none"/>
          <w14:textFill>
            <w14:solidFill>
              <w14:schemeClr w14:val="tx1"/>
            </w14:solidFill>
          </w14:textFill>
        </w:rPr>
      </w:pPr>
    </w:p>
    <w:p>
      <w:pPr>
        <w:pStyle w:val="Heading3"/>
        <w:jc w:val="center"/>
        <w:rPr>
          <w:rFonts w:ascii="黑体" w:eastAsia="黑体"/>
          <w:b w:val="0"/>
          <w:color w:val="000000" w:themeColor="text1"/>
          <w:sz w:val="24"/>
          <w:highlight w:val="none"/>
          <w14:textFill>
            <w14:solidFill>
              <w14:schemeClr w14:val="tx1"/>
            </w14:solidFill>
          </w14:textFill>
        </w:rPr>
      </w:pPr>
      <w:r>
        <w:rPr>
          <w:rFonts w:ascii="黑体" w:eastAsia="黑体" w:hint="eastAsia"/>
          <w:b w:val="0"/>
          <w:color w:val="000000" w:themeColor="text1"/>
          <w:sz w:val="24"/>
          <w:highlight w:val="none"/>
          <w14:textFill>
            <w14:solidFill>
              <w14:schemeClr w14:val="tx1"/>
            </w14:solidFill>
          </w14:textFill>
        </w:rPr>
        <w:br w:type="page"/>
      </w:r>
      <w:r>
        <w:rPr>
          <w:rFonts w:ascii="黑体" w:eastAsia="黑体" w:hint="eastAsia"/>
          <w:b w:val="0"/>
          <w:color w:val="000000" w:themeColor="text1"/>
          <w:sz w:val="24"/>
          <w:highlight w:val="none"/>
          <w14:textFill>
            <w14:solidFill>
              <w14:schemeClr w14:val="tx1"/>
            </w14:solidFill>
          </w14:textFill>
        </w:rPr>
        <w:t>二、政府采购投标及履约承诺函</w:t>
      </w:r>
    </w:p>
    <w:p>
      <w:pPr>
        <w:rPr>
          <w:rFonts w:ascii="宋体" w:eastAsia="宋体" w:hAnsi="宋体"/>
          <w:color w:val="000000" w:themeColor="text1"/>
          <w:highlight w:val="none"/>
          <w14:textFill>
            <w14:solidFill>
              <w14:schemeClr w14:val="tx1"/>
            </w14:solidFill>
          </w14:textFill>
        </w:rPr>
      </w:pPr>
      <w:r>
        <w:rPr>
          <w:rFonts w:ascii="宋体" w:eastAsia="宋体" w:hAnsi="宋体" w:hint="eastAsia"/>
          <w:color w:val="000000" w:themeColor="text1"/>
          <w:highlight w:val="none"/>
          <w14:textFill>
            <w14:solidFill>
              <w14:schemeClr w14:val="tx1"/>
            </w14:solidFill>
          </w14:textFill>
        </w:rPr>
        <w:t>致：</w:t>
      </w:r>
      <w:r>
        <w:rPr>
          <w:rFonts w:ascii="宋体" w:eastAsia="宋体" w:hAnsi="宋体" w:hint="eastAsia"/>
          <w:color w:val="000000" w:themeColor="text1"/>
          <w:highlight w:val="none"/>
          <w:u w:val="single"/>
          <w14:textFill>
            <w14:solidFill>
              <w14:schemeClr w14:val="tx1"/>
            </w14:solidFill>
          </w14:textFill>
        </w:rPr>
        <w:t>友和保险经纪有限公司</w:t>
      </w:r>
    </w:p>
    <w:p>
      <w:pPr>
        <w:ind w:right="-815" w:firstLine="480" w:firstLineChars="200"/>
        <w:rPr>
          <w:rFonts w:ascii="宋体" w:eastAsia="宋体" w:hAnsi="宋体"/>
          <w:color w:val="000000" w:themeColor="text1"/>
          <w:highlight w:val="none"/>
          <w14:textFill>
            <w14:solidFill>
              <w14:schemeClr w14:val="tx1"/>
            </w14:solidFill>
          </w14:textFill>
        </w:rPr>
      </w:pPr>
      <w:r>
        <w:rPr>
          <w:rFonts w:ascii="宋体" w:eastAsia="宋体" w:hAnsi="宋体" w:hint="eastAsia"/>
          <w:color w:val="000000" w:themeColor="text1"/>
          <w:highlight w:val="none"/>
          <w14:textFill>
            <w14:solidFill>
              <w14:schemeClr w14:val="tx1"/>
            </w14:solidFill>
          </w14:textFill>
        </w:rPr>
        <w:t>我单位承诺：</w:t>
      </w:r>
    </w:p>
    <w:p>
      <w:pPr>
        <w:ind w:firstLine="480" w:firstLineChars="200"/>
        <w:rPr>
          <w:rFonts w:ascii="宋体" w:eastAsia="宋体" w:hAnsi="宋体"/>
          <w:color w:val="000000" w:themeColor="text1"/>
          <w:highlight w:val="none"/>
          <w14:textFill>
            <w14:solidFill>
              <w14:schemeClr w14:val="tx1"/>
            </w14:solidFill>
          </w14:textFill>
        </w:rPr>
      </w:pPr>
      <w:r>
        <w:rPr>
          <w:rFonts w:ascii="宋体" w:eastAsia="宋体" w:hAnsi="宋体" w:hint="eastAsia"/>
          <w:color w:val="000000" w:themeColor="text1"/>
          <w:highlight w:val="none"/>
          <w14:textFill>
            <w14:solidFill>
              <w14:schemeClr w14:val="tx1"/>
            </w14:solidFill>
          </w14:textFill>
        </w:rPr>
        <w:t>1.</w:t>
      </w:r>
      <w:r>
        <w:rPr>
          <w:rFonts w:ascii="宋体" w:hAnsi="宋体" w:hint="eastAsia"/>
          <w:szCs w:val="21"/>
          <w:highlight w:val="none"/>
        </w:rPr>
        <w:t>我单位参与本项目所投标（响应）的货物、工程或服务，不存在侵犯知识产权的情况；已知悉并同意中标（成交）结果信息公示（公开）的内容。</w:t>
      </w:r>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eastAsia="宋体" w:hAnsi="宋体" w:hint="eastAsia"/>
          <w:highlight w:val="none"/>
          <w:lang w:eastAsia="zh-CN"/>
        </w:rPr>
      </w:pPr>
      <w:r>
        <w:rPr>
          <w:rFonts w:ascii="宋体" w:eastAsia="宋体" w:hAnsi="宋体" w:hint="eastAsia"/>
          <w:color w:val="000000" w:themeColor="text1"/>
          <w:highlight w:val="none"/>
          <w14:textFill>
            <w14:solidFill>
              <w14:schemeClr w14:val="tx1"/>
            </w14:solidFill>
          </w14:textFill>
        </w:rPr>
        <w:t>2.</w:t>
      </w:r>
      <w:r>
        <w:rPr>
          <w:rFonts w:ascii="宋体" w:hAnsi="宋体" w:hint="eastAsia"/>
          <w:szCs w:val="21"/>
          <w:highlight w:val="none"/>
        </w:rPr>
        <w:t>我单位参与该项目投标，</w:t>
      </w:r>
      <w:r>
        <w:rPr>
          <w:rFonts w:ascii="宋体" w:eastAsia="宋体" w:hAnsi="宋体" w:hint="eastAsia"/>
          <w:highlight w:val="none"/>
        </w:rPr>
        <w:t>不</w:t>
      </w:r>
      <w:r>
        <w:rPr>
          <w:rFonts w:ascii="宋体" w:eastAsia="宋体" w:hAnsi="宋体" w:hint="eastAsia"/>
          <w:highlight w:val="none"/>
          <w:lang w:eastAsia="zh-CN"/>
        </w:rPr>
        <w:t>采用</w:t>
      </w:r>
      <w:r>
        <w:rPr>
          <w:rFonts w:ascii="宋体" w:eastAsia="宋体" w:hAnsi="宋体" w:hint="eastAsia"/>
          <w:highlight w:val="none"/>
        </w:rPr>
        <w:t>联合体投标</w:t>
      </w:r>
      <w:r>
        <w:rPr>
          <w:rFonts w:ascii="宋体" w:eastAsia="宋体" w:hAnsi="宋体" w:hint="eastAsia"/>
          <w:highlight w:val="none"/>
          <w:lang w:eastAsia="zh-CN"/>
        </w:rPr>
        <w:t>，</w:t>
      </w:r>
      <w:r>
        <w:rPr>
          <w:rFonts w:ascii="宋体" w:eastAsia="宋体" w:hAnsi="宋体" w:hint="eastAsia"/>
          <w:highlight w:val="none"/>
        </w:rPr>
        <w:t>不</w:t>
      </w:r>
      <w:r>
        <w:rPr>
          <w:rFonts w:ascii="宋体" w:eastAsia="宋体" w:hAnsi="宋体" w:hint="eastAsia"/>
          <w:highlight w:val="none"/>
          <w:lang w:eastAsia="zh-CN"/>
        </w:rPr>
        <w:t>使用</w:t>
      </w:r>
      <w:r>
        <w:rPr>
          <w:rFonts w:ascii="宋体" w:eastAsia="宋体" w:hAnsi="宋体" w:hint="eastAsia"/>
          <w:highlight w:val="none"/>
        </w:rPr>
        <w:t>进口产品参与投标</w:t>
      </w:r>
      <w:r>
        <w:rPr>
          <w:rFonts w:ascii="宋体" w:eastAsia="宋体" w:hAnsi="宋体" w:hint="eastAsia"/>
          <w:highlight w:val="none"/>
          <w:lang w:eastAsia="zh-CN"/>
        </w:rPr>
        <w:t>。</w:t>
      </w:r>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hAnsi="宋体" w:hint="eastAsia"/>
          <w:szCs w:val="21"/>
          <w:highlight w:val="none"/>
        </w:rPr>
      </w:pPr>
      <w:r>
        <w:rPr>
          <w:rFonts w:ascii="宋体" w:hAnsi="宋体" w:hint="eastAsia"/>
          <w:szCs w:val="21"/>
          <w:highlight w:val="none"/>
        </w:rPr>
        <w:t>3.我单位参与本项目政府采购活动时不存在被有关部门禁止参与政府采购活动且在有效期内的情况。</w:t>
      </w:r>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hAnsi="宋体" w:hint="eastAsia"/>
          <w:szCs w:val="21"/>
          <w:highlight w:val="none"/>
        </w:rPr>
      </w:pPr>
      <w:r>
        <w:rPr>
          <w:rFonts w:ascii="宋体" w:hAnsi="宋体" w:hint="eastAsia"/>
          <w:szCs w:val="21"/>
          <w:highlight w:val="none"/>
        </w:rPr>
        <w:t>4.我单位具备《中华人民共和国政府采购法》第二十二条第一款规定的六项条件。</w:t>
      </w:r>
    </w:p>
    <w:p>
      <w:pPr>
        <w:ind w:firstLine="480" w:firstLineChars="200"/>
        <w:rPr>
          <w:rFonts w:ascii="宋体" w:eastAsia="宋体" w:hAnsi="宋体"/>
          <w:color w:val="000000" w:themeColor="text1"/>
          <w:highlight w:val="none"/>
          <w14:textFill>
            <w14:solidFill>
              <w14:schemeClr w14:val="tx1"/>
            </w14:solidFill>
          </w14:textFill>
        </w:rPr>
      </w:pPr>
      <w:r>
        <w:rPr>
          <w:rFonts w:ascii="宋体" w:eastAsia="宋体" w:hAnsi="宋体" w:hint="eastAsia"/>
          <w:color w:val="000000" w:themeColor="text1"/>
          <w:highlight w:val="none"/>
          <w14:textFill>
            <w14:solidFill>
              <w14:schemeClr w14:val="tx1"/>
            </w14:solidFill>
          </w14:textFill>
        </w:rPr>
        <w:t>5.我单位未被列入失信被执行人、</w:t>
      </w:r>
      <w:r>
        <w:rPr>
          <w:rFonts w:ascii="宋体" w:eastAsia="宋体" w:hAnsi="宋体" w:hint="eastAsia"/>
          <w:color w:val="000000" w:themeColor="text1"/>
          <w:highlight w:val="none"/>
          <w:lang w:eastAsia="zh-CN"/>
          <w14:textFill>
            <w14:solidFill>
              <w14:schemeClr w14:val="tx1"/>
            </w14:solidFill>
          </w14:textFill>
        </w:rPr>
        <w:t>重大税收违法失信主体</w:t>
      </w:r>
      <w:r>
        <w:rPr>
          <w:rFonts w:ascii="宋体" w:eastAsia="宋体" w:hAnsi="宋体" w:hint="eastAsia"/>
          <w:color w:val="000000" w:themeColor="text1"/>
          <w:highlight w:val="none"/>
          <w14:textFill>
            <w14:solidFill>
              <w14:schemeClr w14:val="tx1"/>
            </w14:solidFill>
          </w14:textFill>
        </w:rPr>
        <w:t>、政府采购严重违法失信行为记录名单</w:t>
      </w:r>
      <w:r>
        <w:rPr>
          <w:rFonts w:ascii="宋体" w:eastAsia="宋体" w:hAnsi="宋体" w:hint="eastAsia"/>
          <w:color w:val="000000" w:themeColor="text1"/>
          <w:highlight w:val="none"/>
          <w:lang w:eastAsia="zh-CN"/>
          <w14:textFill>
            <w14:solidFill>
              <w14:schemeClr w14:val="tx1"/>
            </w14:solidFill>
          </w14:textFill>
        </w:rPr>
        <w:t>；不存在《深圳市财政局政府采购供应商信用信息管理办法》（深财规〔2023〕3号）列明的严重违法失信行为。</w:t>
      </w:r>
    </w:p>
    <w:p>
      <w:pPr>
        <w:ind w:firstLine="480" w:firstLineChars="200"/>
        <w:rPr>
          <w:rFonts w:ascii="宋体" w:eastAsia="宋体" w:hAnsi="宋体"/>
          <w:color w:val="000000" w:themeColor="text1"/>
          <w:highlight w:val="none"/>
          <w14:textFill>
            <w14:solidFill>
              <w14:schemeClr w14:val="tx1"/>
            </w14:solidFill>
          </w14:textFill>
        </w:rPr>
      </w:pPr>
      <w:r>
        <w:rPr>
          <w:rFonts w:ascii="宋体" w:eastAsia="宋体" w:hAnsi="宋体" w:hint="eastAsia"/>
          <w:color w:val="000000" w:themeColor="text1"/>
          <w:highlight w:val="none"/>
          <w14:textFill>
            <w14:solidFill>
              <w14:schemeClr w14:val="tx1"/>
            </w14:solidFill>
          </w14:textFill>
        </w:rPr>
        <w:t>6.我单位参与该项目投标，严格遵守政府采购相关法律，不造假，不围标、串标、陪标。我单位已清楚，如违反上述要求，投标将作无效处理，被列入不良记录名单并在网上曝光，同时将被提请政府采购主管部门给予一定年限</w:t>
      </w:r>
      <w:r>
        <w:rPr>
          <w:rFonts w:ascii="宋体" w:eastAsia="宋体" w:hAnsi="宋体"/>
          <w:color w:val="000000" w:themeColor="text1"/>
          <w:highlight w:val="none"/>
          <w14:textFill>
            <w14:solidFill>
              <w14:schemeClr w14:val="tx1"/>
            </w14:solidFill>
          </w14:textFill>
        </w:rPr>
        <w:t>内禁止参与政府采购活动或其他处罚。</w:t>
      </w:r>
    </w:p>
    <w:p>
      <w:pPr>
        <w:ind w:firstLine="480" w:firstLineChars="200"/>
        <w:rPr>
          <w:rFonts w:ascii="宋体" w:eastAsia="宋体" w:hAnsi="宋体"/>
          <w:color w:val="000000" w:themeColor="text1"/>
          <w:highlight w:val="none"/>
          <w14:textFill>
            <w14:solidFill>
              <w14:schemeClr w14:val="tx1"/>
            </w14:solidFill>
          </w14:textFill>
        </w:rPr>
      </w:pPr>
      <w:r>
        <w:rPr>
          <w:rFonts w:ascii="宋体" w:eastAsia="宋体" w:hAnsi="宋体"/>
          <w:color w:val="000000" w:themeColor="text1"/>
          <w:highlight w:val="none"/>
          <w14:textFill>
            <w14:solidFill>
              <w14:schemeClr w14:val="tx1"/>
            </w14:solidFill>
          </w14:textFill>
        </w:rPr>
        <w:t>7.</w:t>
      </w:r>
      <w:r>
        <w:rPr>
          <w:rFonts w:ascii="宋体" w:eastAsia="宋体" w:hAnsi="宋体" w:hint="eastAsia"/>
          <w:color w:val="000000" w:themeColor="text1"/>
          <w:highlight w:val="none"/>
          <w14:textFill>
            <w14:solidFill>
              <w14:schemeClr w14:val="tx1"/>
            </w14:solidFill>
          </w14:textFill>
        </w:rPr>
        <w:t>我单位不存在“单位负责人为同一人或者存在直接控股、管理关系的不同供应商，参加同一合同项下的政府采购活动”的情形；不存在不同投标供应商法定代表人、主要经营负责人、投标授权代表人、项目负责人（如有）、主要技术人员（如有）、投标文件编制人员为同一人、属同一单位或者在同一单位缴纳社会保险的情形。</w:t>
      </w:r>
    </w:p>
    <w:p>
      <w:pPr>
        <w:ind w:firstLine="480" w:firstLineChars="200"/>
        <w:rPr>
          <w:rFonts w:ascii="宋体" w:eastAsia="宋体" w:hAnsi="宋体"/>
          <w:color w:val="000000" w:themeColor="text1"/>
          <w:highlight w:val="none"/>
          <w14:textFill>
            <w14:solidFill>
              <w14:schemeClr w14:val="tx1"/>
            </w14:solidFill>
          </w14:textFill>
        </w:rPr>
      </w:pPr>
      <w:r>
        <w:rPr>
          <w:rFonts w:ascii="宋体" w:eastAsia="宋体" w:hAnsi="宋体" w:hint="eastAsia"/>
          <w:color w:val="000000" w:themeColor="text1"/>
          <w:highlight w:val="none"/>
          <w14:textFill>
            <w14:solidFill>
              <w14:schemeClr w14:val="tx1"/>
            </w14:solidFill>
          </w14:textFill>
        </w:rPr>
        <w:t>8</w:t>
      </w:r>
      <w:r>
        <w:rPr>
          <w:rFonts w:ascii="宋体" w:eastAsia="宋体" w:hAnsi="宋体"/>
          <w:color w:val="000000" w:themeColor="text1"/>
          <w:highlight w:val="none"/>
          <w14:textFill>
            <w14:solidFill>
              <w14:schemeClr w14:val="tx1"/>
            </w14:solidFill>
          </w14:textFill>
        </w:rPr>
        <w:t>.我单位如果中标，做到守信，不偷工减料，依</w:t>
      </w:r>
      <w:r>
        <w:rPr>
          <w:rFonts w:ascii="宋体" w:eastAsia="宋体" w:hAnsi="宋体" w:hint="eastAsia"/>
          <w:color w:val="000000" w:themeColor="text1"/>
          <w:highlight w:val="none"/>
          <w14:textFill>
            <w14:solidFill>
              <w14:schemeClr w14:val="tx1"/>
            </w14:solidFill>
          </w14:textFill>
        </w:rPr>
        <w:t>照本项目招标文件需求内容、签署的采购合同及本单位在投标中所作的一切承诺履约。我单位对本项目的报价负责，中标后将严格按照本项目招标文件需求、签署的采购合同及我单位在投标中所作的全部承诺履行。</w:t>
      </w:r>
    </w:p>
    <w:p>
      <w:pPr>
        <w:ind w:firstLine="480" w:firstLineChars="200"/>
        <w:rPr>
          <w:rFonts w:ascii="宋体" w:eastAsia="宋体" w:hAnsi="宋体"/>
          <w:color w:val="000000" w:themeColor="text1"/>
          <w:highlight w:val="none"/>
          <w14:textFill>
            <w14:solidFill>
              <w14:schemeClr w14:val="tx1"/>
            </w14:solidFill>
          </w14:textFill>
        </w:rPr>
      </w:pPr>
      <w:r>
        <w:rPr>
          <w:rFonts w:ascii="宋体" w:eastAsia="宋体" w:hAnsi="宋体" w:hint="eastAsia"/>
          <w:color w:val="000000" w:themeColor="text1"/>
          <w:highlight w:val="none"/>
          <w14:textFill>
            <w14:solidFill>
              <w14:schemeClr w14:val="tx1"/>
            </w14:solidFill>
          </w14:textFill>
        </w:rPr>
        <w:t>9</w:t>
      </w:r>
      <w:r>
        <w:rPr>
          <w:rFonts w:ascii="宋体" w:eastAsia="宋体" w:hAnsi="宋体"/>
          <w:color w:val="000000" w:themeColor="text1"/>
          <w:highlight w:val="none"/>
          <w14:textFill>
            <w14:solidFill>
              <w14:schemeClr w14:val="tx1"/>
            </w14:solidFill>
          </w14:textFill>
        </w:rPr>
        <w:t>.</w:t>
      </w:r>
      <w:r>
        <w:rPr>
          <w:rFonts w:ascii="宋体" w:eastAsia="宋体" w:hAnsi="宋体" w:cs="宋体" w:hint="eastAsia"/>
          <w:color w:val="000000" w:themeColor="text1"/>
          <w:highlight w:val="none"/>
          <w14:textFill>
            <w14:solidFill>
              <w14:schemeClr w14:val="tx1"/>
            </w14:solidFill>
          </w14:textFill>
        </w:rPr>
        <w:t>我单位清楚，若以</w:t>
      </w:r>
      <w:r>
        <w:rPr>
          <w:rFonts w:ascii="宋体" w:eastAsia="宋体" w:hAnsi="宋体"/>
          <w:color w:val="000000" w:themeColor="text1"/>
          <w:highlight w:val="none"/>
          <w14:textFill>
            <w14:solidFill>
              <w14:schemeClr w14:val="tx1"/>
            </w14:solidFill>
          </w14:textFill>
        </w:rPr>
        <w:t>“</w:t>
      </w:r>
      <w:r>
        <w:rPr>
          <w:rFonts w:ascii="宋体" w:eastAsia="宋体" w:hAnsi="宋体" w:cs="宋体" w:hint="eastAsia"/>
          <w:color w:val="000000" w:themeColor="text1"/>
          <w:highlight w:val="none"/>
          <w14:textFill>
            <w14:solidFill>
              <w14:schemeClr w14:val="tx1"/>
            </w14:solidFill>
          </w14:textFill>
        </w:rPr>
        <w:t>报价太低而无法履约</w:t>
      </w:r>
      <w:r>
        <w:rPr>
          <w:rFonts w:ascii="宋体" w:eastAsia="宋体" w:hAnsi="宋体"/>
          <w:color w:val="000000" w:themeColor="text1"/>
          <w:highlight w:val="none"/>
          <w14:textFill>
            <w14:solidFill>
              <w14:schemeClr w14:val="tx1"/>
            </w14:solidFill>
          </w14:textFill>
        </w:rPr>
        <w:t>”</w:t>
      </w:r>
      <w:r>
        <w:rPr>
          <w:rFonts w:ascii="宋体" w:eastAsia="宋体" w:hAnsi="宋体" w:cs="宋体" w:hint="eastAsia"/>
          <w:color w:val="000000" w:themeColor="text1"/>
          <w:highlight w:val="none"/>
          <w14:textFill>
            <w14:solidFill>
              <w14:schemeClr w14:val="tx1"/>
            </w14:solidFill>
          </w14:textFill>
        </w:rPr>
        <w:t>为理由放弃本项目中标资格时，愿意接受主管部门的处理处罚。若我单位中标本项目，我单位的报价明显低于其他通过符合性审查投标人的报价时，我单位清楚，本项目将成为重点监管、重点验收项目，我单位将按时保质保量完成，并全力配合有关监管、验收工作；若我单位未按上述要求履约，我单位愿意接受主管部门的处理处罚。</w:t>
      </w:r>
    </w:p>
    <w:p>
      <w:pPr>
        <w:ind w:firstLine="480" w:firstLineChars="200"/>
        <w:rPr>
          <w:rFonts w:ascii="宋体" w:eastAsia="宋体" w:hAnsi="宋体"/>
          <w:color w:val="000000" w:themeColor="text1"/>
          <w:highlight w:val="none"/>
          <w14:textFill>
            <w14:solidFill>
              <w14:schemeClr w14:val="tx1"/>
            </w14:solidFill>
          </w14:textFill>
        </w:rPr>
      </w:pPr>
      <w:r>
        <w:rPr>
          <w:rFonts w:ascii="宋体" w:eastAsia="宋体" w:hAnsi="宋体"/>
          <w:color w:val="000000" w:themeColor="text1"/>
          <w:highlight w:val="none"/>
          <w14:textFill>
            <w14:solidFill>
              <w14:schemeClr w14:val="tx1"/>
            </w14:solidFill>
          </w14:textFill>
        </w:rPr>
        <w:t>10.</w:t>
      </w:r>
      <w:r>
        <w:rPr>
          <w:rFonts w:ascii="宋体" w:eastAsia="宋体" w:hAnsi="宋体" w:hint="eastAsia"/>
          <w:color w:val="000000" w:themeColor="text1"/>
          <w:highlight w:val="none"/>
          <w14:textFill>
            <w14:solidFill>
              <w14:schemeClr w14:val="tx1"/>
            </w14:solidFill>
          </w14:textFill>
        </w:rPr>
        <w:t>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pPr>
        <w:ind w:firstLine="480" w:firstLineChars="200"/>
        <w:rPr>
          <w:rFonts w:ascii="宋体" w:eastAsia="宋体" w:hAnsi="宋体"/>
          <w:color w:val="000000" w:themeColor="text1"/>
          <w:highlight w:val="none"/>
          <w14:textFill>
            <w14:solidFill>
              <w14:schemeClr w14:val="tx1"/>
            </w14:solidFill>
          </w14:textFill>
        </w:rPr>
      </w:pPr>
      <w:r>
        <w:rPr>
          <w:rFonts w:ascii="宋体" w:eastAsia="宋体" w:hAnsi="宋体" w:hint="eastAsia"/>
          <w:color w:val="000000" w:themeColor="text1"/>
          <w:highlight w:val="none"/>
          <w14:textFill>
            <w14:solidFill>
              <w14:schemeClr w14:val="tx1"/>
            </w14:solidFill>
          </w14:textFill>
        </w:rPr>
        <w:t>1</w:t>
      </w:r>
      <w:r>
        <w:rPr>
          <w:rFonts w:ascii="宋体" w:eastAsia="宋体" w:hAnsi="宋体"/>
          <w:color w:val="000000" w:themeColor="text1"/>
          <w:highlight w:val="none"/>
          <w14:textFill>
            <w14:solidFill>
              <w14:schemeClr w14:val="tx1"/>
            </w14:solidFill>
          </w14:textFill>
        </w:rPr>
        <w:t>1</w:t>
      </w:r>
      <w:r>
        <w:rPr>
          <w:rFonts w:ascii="宋体" w:eastAsia="宋体" w:hAnsi="宋体" w:hint="eastAsia"/>
          <w:color w:val="000000" w:themeColor="text1"/>
          <w:highlight w:val="none"/>
          <w14:textFill>
            <w14:solidFill>
              <w14:schemeClr w14:val="tx1"/>
            </w14:solidFill>
          </w14:textFill>
        </w:rPr>
        <w:t>.我</w:t>
      </w:r>
      <w:r>
        <w:rPr>
          <w:rFonts w:ascii="宋体" w:eastAsia="宋体" w:hAnsi="宋体" w:hint="eastAsia"/>
          <w:color w:val="000000" w:themeColor="text1"/>
          <w:highlight w:val="none"/>
          <w:lang w:val="en-US" w:eastAsia="zh-CN"/>
          <w14:textFill>
            <w14:solidFill>
              <w14:schemeClr w14:val="tx1"/>
            </w14:solidFill>
          </w14:textFill>
        </w:rPr>
        <w:t>单位</w:t>
      </w:r>
      <w:r>
        <w:rPr>
          <w:rFonts w:ascii="宋体" w:eastAsia="宋体" w:hAnsi="宋体" w:hint="eastAsia"/>
          <w:color w:val="000000" w:themeColor="text1"/>
          <w:highlight w:val="none"/>
          <w14:textFill>
            <w14:solidFill>
              <w14:schemeClr w14:val="tx1"/>
            </w14:solidFill>
          </w14:textFill>
        </w:rPr>
        <w:t>承诺中标后项目不转包，未经采购人同意不进行分包。</w:t>
      </w:r>
    </w:p>
    <w:p>
      <w:pPr>
        <w:ind w:firstLine="480" w:firstLineChars="200"/>
        <w:rPr>
          <w:rFonts w:ascii="宋体" w:eastAsia="宋体" w:hAnsi="宋体"/>
          <w:color w:val="000000" w:themeColor="text1"/>
          <w:highlight w:val="none"/>
          <w14:textFill>
            <w14:solidFill>
              <w14:schemeClr w14:val="tx1"/>
            </w14:solidFill>
          </w14:textFill>
        </w:rPr>
      </w:pPr>
      <w:r>
        <w:rPr>
          <w:rFonts w:ascii="宋体" w:eastAsia="宋体" w:hAnsi="宋体" w:hint="eastAsia"/>
          <w:color w:val="000000" w:themeColor="text1"/>
          <w:highlight w:val="none"/>
          <w14:textFill>
            <w14:solidFill>
              <w14:schemeClr w14:val="tx1"/>
            </w14:solidFill>
          </w14:textFill>
        </w:rPr>
        <w:t>1</w:t>
      </w:r>
      <w:r>
        <w:rPr>
          <w:rFonts w:ascii="宋体" w:eastAsia="宋体" w:hAnsi="宋体"/>
          <w:color w:val="000000" w:themeColor="text1"/>
          <w:highlight w:val="none"/>
          <w14:textFill>
            <w14:solidFill>
              <w14:schemeClr w14:val="tx1"/>
            </w14:solidFill>
          </w14:textFill>
        </w:rPr>
        <w:t>2.</w:t>
      </w:r>
      <w:r>
        <w:rPr>
          <w:rFonts w:ascii="宋体" w:eastAsia="宋体" w:hAnsi="宋体" w:hint="eastAsia"/>
          <w:color w:val="000000" w:themeColor="text1"/>
          <w:highlight w:val="none"/>
          <w14:textFill>
            <w14:solidFill>
              <w14:schemeClr w14:val="tx1"/>
            </w14:solidFill>
          </w14:textFill>
        </w:rPr>
        <w:t>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pPr>
        <w:ind w:firstLine="480" w:firstLineChars="200"/>
        <w:rPr>
          <w:rFonts w:ascii="宋体" w:eastAsia="宋体" w:hAnsi="宋体"/>
          <w:color w:val="000000" w:themeColor="text1"/>
          <w:highlight w:val="none"/>
          <w14:textFill>
            <w14:solidFill>
              <w14:schemeClr w14:val="tx1"/>
            </w14:solidFill>
          </w14:textFill>
        </w:rPr>
      </w:pPr>
      <w:r>
        <w:rPr>
          <w:rFonts w:ascii="宋体" w:eastAsia="宋体" w:hAnsi="宋体"/>
          <w:color w:val="000000" w:themeColor="text1"/>
          <w:highlight w:val="none"/>
          <w14:textFill>
            <w14:solidFill>
              <w14:schemeClr w14:val="tx1"/>
            </w14:solidFill>
          </w14:textFill>
        </w:rPr>
        <w:t>13.</w:t>
      </w:r>
      <w:r>
        <w:rPr>
          <w:rFonts w:ascii="宋体" w:eastAsia="宋体" w:hAnsi="宋体" w:hint="eastAsia"/>
          <w:color w:val="000000" w:themeColor="text1"/>
          <w:highlight w:val="none"/>
          <w14:textFill>
            <w14:solidFill>
              <w14:schemeClr w14:val="tx1"/>
            </w14:solidFill>
          </w14:textFill>
        </w:rPr>
        <w:t>我单位保证，若所投货物涉及</w:t>
      </w:r>
      <w:r>
        <w:rPr>
          <w:rFonts w:ascii="宋体" w:eastAsia="宋体" w:hAnsi="宋体"/>
          <w:color w:val="000000" w:themeColor="text1"/>
          <w:highlight w:val="none"/>
          <w14:textFill>
            <w14:solidFill>
              <w14:schemeClr w14:val="tx1"/>
            </w14:solidFill>
          </w14:textFill>
        </w:rPr>
        <w:t>《</w:t>
      </w:r>
      <w:r>
        <w:rPr>
          <w:rFonts w:ascii="宋体" w:eastAsia="宋体" w:hAnsi="宋体" w:hint="eastAsia"/>
          <w:color w:val="000000" w:themeColor="text1"/>
          <w:highlight w:val="none"/>
          <w14:textFill>
            <w14:solidFill>
              <w14:schemeClr w14:val="tx1"/>
            </w14:solidFill>
          </w14:textFill>
        </w:rPr>
        <w:t>财政部生态环境部关于印发节能产品政府采购品目清单的通知》（财库〔20</w:t>
      </w:r>
      <w:r>
        <w:rPr>
          <w:rFonts w:ascii="宋体" w:eastAsia="宋体" w:hAnsi="宋体"/>
          <w:color w:val="000000" w:themeColor="text1"/>
          <w:highlight w:val="none"/>
          <w14:textFill>
            <w14:solidFill>
              <w14:schemeClr w14:val="tx1"/>
            </w14:solidFill>
          </w14:textFill>
        </w:rPr>
        <w:t>19</w:t>
      </w:r>
      <w:r>
        <w:rPr>
          <w:rFonts w:ascii="宋体" w:eastAsia="宋体" w:hAnsi="宋体" w:hint="eastAsia"/>
          <w:color w:val="000000" w:themeColor="text1"/>
          <w:highlight w:val="none"/>
          <w14:textFill>
            <w14:solidFill>
              <w14:schemeClr w14:val="tx1"/>
            </w14:solidFill>
          </w14:textFill>
        </w:rPr>
        <w:t>〕</w:t>
      </w:r>
      <w:r>
        <w:rPr>
          <w:rFonts w:ascii="宋体" w:eastAsia="宋体" w:hAnsi="宋体"/>
          <w:color w:val="000000" w:themeColor="text1"/>
          <w:highlight w:val="none"/>
          <w14:textFill>
            <w14:solidFill>
              <w14:schemeClr w14:val="tx1"/>
            </w14:solidFill>
          </w14:textFill>
        </w:rPr>
        <w:t>19</w:t>
      </w:r>
      <w:r>
        <w:rPr>
          <w:rFonts w:ascii="宋体" w:eastAsia="宋体" w:hAnsi="宋体" w:hint="eastAsia"/>
          <w:color w:val="000000" w:themeColor="text1"/>
          <w:highlight w:val="none"/>
          <w14:textFill>
            <w14:solidFill>
              <w14:schemeClr w14:val="tx1"/>
            </w14:solidFill>
          </w14:textFill>
        </w:rPr>
        <w:t>号）列明的政府采购强制产品，则所投该产品符合节能产品的认证要求。</w:t>
      </w:r>
    </w:p>
    <w:p>
      <w:pPr>
        <w:pStyle w:val="NormalIndent"/>
        <w:rPr>
          <w:rFonts w:ascii="宋体" w:eastAsia="宋体" w:hAnsi="宋体" w:cs="宋体"/>
          <w:color w:val="000000" w:themeColor="text1"/>
          <w:szCs w:val="24"/>
          <w:highlight w:val="none"/>
          <w14:textFill>
            <w14:solidFill>
              <w14:schemeClr w14:val="tx1"/>
            </w14:solidFill>
          </w14:textFill>
        </w:rPr>
      </w:pPr>
      <w:r>
        <w:rPr>
          <w:rFonts w:ascii="宋体" w:eastAsia="宋体" w:hAnsi="宋体" w:hint="eastAsia"/>
          <w:szCs w:val="24"/>
          <w:highlight w:val="none"/>
        </w:rPr>
        <w:t>1</w:t>
      </w:r>
      <w:r>
        <w:rPr>
          <w:rFonts w:ascii="宋体" w:eastAsia="宋体" w:hAnsi="宋体"/>
          <w:szCs w:val="24"/>
          <w:highlight w:val="none"/>
        </w:rPr>
        <w:t>4.</w:t>
      </w:r>
      <w:r>
        <w:rPr>
          <w:rFonts w:ascii="宋体" w:eastAsia="宋体" w:hAnsi="宋体" w:cs="宋体" w:hint="eastAsia"/>
          <w:color w:val="000000" w:themeColor="text1"/>
          <w:szCs w:val="24"/>
          <w:highlight w:val="none"/>
          <w14:textFill>
            <w14:solidFill>
              <w14:schemeClr w14:val="tx1"/>
            </w14:solidFill>
          </w14:textFill>
        </w:rPr>
        <w:t xml:space="preserve"> 我单位承诺未为本项目提供整体设计、规范编制或者管理、监理、检测等服务。</w:t>
      </w:r>
    </w:p>
    <w:p>
      <w:pPr>
        <w:pStyle w:val="NormalIndent"/>
        <w:rPr>
          <w:rFonts w:ascii="宋体" w:eastAsia="宋体" w:hAnsi="宋体" w:cs="宋体"/>
          <w:color w:val="000000" w:themeColor="text1"/>
          <w:szCs w:val="24"/>
          <w:highlight w:val="none"/>
          <w14:textFill>
            <w14:solidFill>
              <w14:schemeClr w14:val="tx1"/>
            </w14:solidFill>
          </w14:textFill>
        </w:rPr>
      </w:pPr>
      <w:r>
        <w:rPr>
          <w:rFonts w:ascii="宋体" w:eastAsia="宋体" w:hAnsi="宋体" w:cs="宋体" w:hint="eastAsia"/>
          <w:color w:val="000000" w:themeColor="text1"/>
          <w:szCs w:val="24"/>
          <w:highlight w:val="none"/>
          <w14:textFill>
            <w14:solidFill>
              <w14:schemeClr w14:val="tx1"/>
            </w14:solidFill>
          </w14:textFill>
        </w:rPr>
        <w:t>1</w:t>
      </w:r>
      <w:r>
        <w:rPr>
          <w:rFonts w:ascii="宋体" w:eastAsia="宋体" w:hAnsi="宋体" w:cs="宋体"/>
          <w:color w:val="000000" w:themeColor="text1"/>
          <w:szCs w:val="24"/>
          <w:highlight w:val="none"/>
          <w14:textFill>
            <w14:solidFill>
              <w14:schemeClr w14:val="tx1"/>
            </w14:solidFill>
          </w14:textFill>
        </w:rPr>
        <w:t>5.</w:t>
      </w:r>
      <w:r>
        <w:rPr>
          <w:rFonts w:ascii="宋体" w:eastAsia="宋体" w:hAnsi="宋体" w:cs="宋体" w:hint="eastAsia"/>
          <w:color w:val="000000" w:themeColor="text1"/>
          <w:szCs w:val="24"/>
          <w:highlight w:val="none"/>
          <w14:textFill>
            <w14:solidFill>
              <w14:schemeClr w14:val="tx1"/>
            </w14:solidFill>
          </w14:textFill>
        </w:rPr>
        <w:t>我单位承诺，参与本项目投标前三年内，未受过环境监测行政主管部门行政处罚或未有被政府相关部门（如质检部门等）、媒体通报弄虚作假等情形。</w:t>
      </w:r>
      <w:r>
        <w:rPr>
          <w:rFonts w:ascii="宋体" w:eastAsia="宋体" w:hAnsi="宋体" w:cs="宋体"/>
          <w:color w:val="000000" w:themeColor="text1"/>
          <w:szCs w:val="24"/>
          <w:highlight w:val="none"/>
          <w14:textFill>
            <w14:solidFill>
              <w14:schemeClr w14:val="tx1"/>
            </w14:solidFill>
          </w14:textFill>
        </w:rPr>
        <w:t xml:space="preserve"> </w:t>
      </w:r>
    </w:p>
    <w:p>
      <w:pPr>
        <w:pStyle w:val="NormalIndent"/>
        <w:rPr>
          <w:rFonts w:ascii="宋体" w:eastAsia="宋体" w:hAnsi="宋体" w:cs="宋体"/>
          <w:color w:val="000000" w:themeColor="text1"/>
          <w:szCs w:val="24"/>
          <w:highlight w:val="none"/>
          <w14:textFill>
            <w14:solidFill>
              <w14:schemeClr w14:val="tx1"/>
            </w14:solidFill>
          </w14:textFill>
        </w:rPr>
      </w:pPr>
      <w:r>
        <w:rPr>
          <w:rFonts w:ascii="宋体" w:eastAsia="宋体" w:hAnsi="宋体" w:cs="宋体" w:hint="eastAsia"/>
          <w:color w:val="000000" w:themeColor="text1"/>
          <w:szCs w:val="24"/>
          <w:highlight w:val="none"/>
          <w:lang w:val="en-US" w:eastAsia="zh-CN"/>
          <w14:textFill>
            <w14:solidFill>
              <w14:schemeClr w14:val="tx1"/>
            </w14:solidFill>
          </w14:textFill>
        </w:rPr>
        <w:t>16.我单位保证，若所投产品列入强制性产品认证目录的，则所投该产品须获得强制性产品认证证书（即CCC认证）；其中适用自我声明评价方式的产品，则所投该产品须具有“强制性认证产品符合性自我声明”；若所投产品列入工业产品生产许可证管理的产品目录的，则所投该产品生产者（制造商）须获得《全国工业产品生产许可证》。</w:t>
      </w:r>
      <w:r>
        <w:rPr>
          <w:rFonts w:ascii="宋体" w:eastAsia="宋体" w:hAnsi="宋体" w:cs="宋体"/>
          <w:color w:val="000000" w:themeColor="text1"/>
          <w:szCs w:val="24"/>
          <w:highlight w:val="none"/>
          <w14:textFill>
            <w14:solidFill>
              <w14:schemeClr w14:val="tx1"/>
            </w14:solidFill>
          </w14:textFill>
        </w:rPr>
        <w:t xml:space="preserve"> </w:t>
      </w:r>
    </w:p>
    <w:p>
      <w:pPr>
        <w:ind w:firstLine="480" w:firstLineChars="200"/>
        <w:rPr>
          <w:rFonts w:ascii="宋体" w:eastAsia="宋体" w:hAnsi="宋体" w:hint="eastAsia"/>
          <w:color w:val="000000" w:themeColor="text1"/>
          <w:highlight w:val="none"/>
          <w14:textFill>
            <w14:solidFill>
              <w14:schemeClr w14:val="tx1"/>
            </w14:solidFill>
          </w14:textFill>
        </w:rPr>
      </w:pPr>
      <w:r>
        <w:rPr>
          <w:rFonts w:ascii="宋体" w:eastAsia="宋体" w:hAnsi="宋体" w:hint="eastAsia"/>
          <w:color w:val="000000" w:themeColor="text1"/>
          <w:highlight w:val="none"/>
          <w14:textFill>
            <w14:solidFill>
              <w14:schemeClr w14:val="tx1"/>
            </w14:solidFill>
          </w14:textFill>
        </w:rPr>
        <w:t>17.我单位承诺，不同投标供应商不存在直接控股、管理关系的情形。</w:t>
      </w:r>
    </w:p>
    <w:p>
      <w:pPr>
        <w:ind w:firstLine="480" w:firstLineChars="200"/>
        <w:rPr>
          <w:rFonts w:ascii="宋体" w:eastAsia="宋体" w:hAnsi="宋体" w:hint="default"/>
          <w:color w:val="000000" w:themeColor="text1"/>
          <w:highlight w:val="none"/>
          <w:lang w:val="en-US" w:eastAsia="zh-CN"/>
          <w14:textFill>
            <w14:solidFill>
              <w14:schemeClr w14:val="tx1"/>
            </w14:solidFill>
          </w14:textFill>
        </w:rPr>
      </w:pPr>
      <w:r>
        <w:rPr>
          <w:rFonts w:ascii="宋体" w:eastAsia="宋体" w:hAnsi="宋体" w:hint="eastAsia"/>
          <w:color w:val="000000" w:themeColor="text1"/>
          <w:highlight w:val="none"/>
          <w:lang w:val="en-US" w:eastAsia="zh-CN"/>
          <w14:textFill>
            <w14:solidFill>
              <w14:schemeClr w14:val="tx1"/>
            </w14:solidFill>
          </w14:textFill>
        </w:rPr>
        <w:t>18.</w:t>
      </w:r>
      <w:r>
        <w:rPr>
          <w:rFonts w:ascii="宋体" w:eastAsia="宋体" w:hAnsi="宋体" w:hint="eastAsia"/>
          <w:color w:val="000000" w:themeColor="text1"/>
          <w:highlight w:val="none"/>
          <w14:textFill>
            <w14:solidFill>
              <w14:schemeClr w14:val="tx1"/>
            </w14:solidFill>
          </w14:textFill>
        </w:rPr>
        <w:t>我单位承诺，</w:t>
      </w:r>
      <w:r>
        <w:rPr>
          <w:rFonts w:ascii="宋体" w:eastAsia="宋体" w:hAnsi="宋体" w:hint="eastAsia"/>
          <w:color w:val="000000" w:themeColor="text1"/>
          <w:highlight w:val="none"/>
          <w:lang w:val="en-US" w:eastAsia="zh-CN"/>
          <w14:textFill>
            <w14:solidFill>
              <w14:schemeClr w14:val="tx1"/>
            </w14:solidFill>
          </w14:textFill>
        </w:rPr>
        <w:t>参与本项目投标前三年内，在经营活动中没有重大违法记录</w:t>
      </w:r>
    </w:p>
    <w:p>
      <w:pPr>
        <w:ind w:firstLine="480" w:firstLineChars="200"/>
        <w:rPr>
          <w:rFonts w:ascii="宋体" w:eastAsia="宋体" w:hAnsi="宋体"/>
          <w:color w:val="000000" w:themeColor="text1"/>
          <w:highlight w:val="none"/>
          <w14:textFill>
            <w14:solidFill>
              <w14:schemeClr w14:val="tx1"/>
            </w14:solidFill>
          </w14:textFill>
        </w:rPr>
      </w:pPr>
      <w:r>
        <w:rPr>
          <w:rFonts w:ascii="宋体" w:eastAsia="宋体" w:hAnsi="宋体" w:hint="eastAsia"/>
          <w:color w:val="000000" w:themeColor="text1"/>
          <w:highlight w:val="none"/>
          <w14:textFill>
            <w14:solidFill>
              <w14:schemeClr w14:val="tx1"/>
            </w14:solidFill>
          </w14:textFill>
        </w:rPr>
        <w:t>以上承诺，如有违反，愿依照国家相关法律法规处理，并承担由此给采购人带来的损失。</w:t>
      </w:r>
    </w:p>
    <w:p>
      <w:pPr>
        <w:spacing w:before="60" w:beforeLines="25" w:after="60" w:afterLines="25"/>
        <w:ind w:firstLine="6240" w:firstLineChars="2600"/>
        <w:rPr>
          <w:rFonts w:ascii="宋体" w:eastAsia="宋体" w:hAnsi="宋体"/>
          <w:color w:val="000000" w:themeColor="text1"/>
          <w:highlight w:val="none"/>
          <w14:textFill>
            <w14:solidFill>
              <w14:schemeClr w14:val="tx1"/>
            </w14:solidFill>
          </w14:textFill>
        </w:rPr>
      </w:pPr>
      <w:r>
        <w:rPr>
          <w:rFonts w:ascii="宋体" w:eastAsia="宋体" w:hAnsi="宋体" w:hint="eastAsia"/>
          <w:color w:val="000000" w:themeColor="text1"/>
          <w:highlight w:val="none"/>
          <w14:textFill>
            <w14:solidFill>
              <w14:schemeClr w14:val="tx1"/>
            </w14:solidFill>
          </w14:textFill>
        </w:rPr>
        <w:t xml:space="preserve">                                    </w:t>
      </w:r>
    </w:p>
    <w:p>
      <w:pPr>
        <w:spacing w:before="60" w:beforeLines="25" w:after="60" w:afterLines="25"/>
        <w:ind w:firstLine="6240" w:firstLineChars="2600"/>
        <w:rPr>
          <w:rFonts w:ascii="宋体" w:eastAsia="宋体" w:hAnsi="宋体"/>
          <w:color w:val="000000" w:themeColor="text1"/>
          <w:highlight w:val="none"/>
          <w14:textFill>
            <w14:solidFill>
              <w14:schemeClr w14:val="tx1"/>
            </w14:solidFill>
          </w14:textFill>
        </w:rPr>
      </w:pPr>
      <w:r>
        <w:rPr>
          <w:rFonts w:ascii="宋体" w:eastAsia="宋体" w:hAnsi="宋体" w:hint="eastAsia"/>
          <w:color w:val="000000" w:themeColor="text1"/>
          <w:highlight w:val="none"/>
          <w14:textFill>
            <w14:solidFill>
              <w14:schemeClr w14:val="tx1"/>
            </w14:solidFill>
          </w14:textFill>
        </w:rPr>
        <w:t>投标人：</w:t>
      </w:r>
      <w:r>
        <w:rPr>
          <w:rFonts w:ascii="宋体" w:eastAsia="宋体" w:hAnsi="宋体" w:hint="eastAsia"/>
          <w:color w:val="000000" w:themeColor="text1"/>
          <w:highlight w:val="none"/>
          <w:u w:val="single"/>
          <w14:textFill>
            <w14:solidFill>
              <w14:schemeClr w14:val="tx1"/>
            </w14:solidFill>
          </w14:textFill>
        </w:rPr>
        <w:t xml:space="preserve">              </w:t>
      </w:r>
    </w:p>
    <w:p>
      <w:pPr>
        <w:ind w:firstLine="645"/>
        <w:rPr>
          <w:rFonts w:ascii="宋体" w:eastAsia="宋体" w:hAnsi="宋体"/>
          <w:color w:val="000000" w:themeColor="text1"/>
          <w:highlight w:val="none"/>
          <w14:textFill>
            <w14:solidFill>
              <w14:schemeClr w14:val="tx1"/>
            </w14:solidFill>
          </w14:textFill>
        </w:rPr>
      </w:pPr>
      <w:r>
        <w:rPr>
          <w:rFonts w:ascii="宋体" w:eastAsia="宋体" w:hAnsi="宋体" w:hint="eastAsia"/>
          <w:color w:val="000000" w:themeColor="text1"/>
          <w:highlight w:val="none"/>
          <w14:textFill>
            <w14:solidFill>
              <w14:schemeClr w14:val="tx1"/>
            </w14:solidFill>
          </w14:textFill>
        </w:rPr>
        <w:t xml:space="preserve">                                        日期：</w:t>
      </w:r>
      <w:r>
        <w:rPr>
          <w:rFonts w:ascii="宋体" w:eastAsia="宋体" w:hAnsi="宋体" w:hint="eastAsia"/>
          <w:color w:val="000000" w:themeColor="text1"/>
          <w:highlight w:val="none"/>
          <w:u w:val="single"/>
          <w14:textFill>
            <w14:solidFill>
              <w14:schemeClr w14:val="tx1"/>
            </w14:solidFill>
          </w14:textFill>
        </w:rPr>
        <w:t xml:space="preserve">    </w:t>
      </w:r>
      <w:r>
        <w:rPr>
          <w:rFonts w:ascii="宋体" w:eastAsia="宋体" w:hAnsi="宋体" w:hint="eastAsia"/>
          <w:color w:val="000000" w:themeColor="text1"/>
          <w:highlight w:val="none"/>
          <w14:textFill>
            <w14:solidFill>
              <w14:schemeClr w14:val="tx1"/>
            </w14:solidFill>
          </w14:textFill>
        </w:rPr>
        <w:t>年</w:t>
      </w:r>
      <w:r>
        <w:rPr>
          <w:rFonts w:ascii="宋体" w:eastAsia="宋体" w:hAnsi="宋体" w:hint="eastAsia"/>
          <w:color w:val="000000" w:themeColor="text1"/>
          <w:highlight w:val="none"/>
          <w:u w:val="single"/>
          <w14:textFill>
            <w14:solidFill>
              <w14:schemeClr w14:val="tx1"/>
            </w14:solidFill>
          </w14:textFill>
        </w:rPr>
        <w:t xml:space="preserve">   </w:t>
      </w:r>
      <w:r>
        <w:rPr>
          <w:rFonts w:ascii="宋体" w:eastAsia="宋体" w:hAnsi="宋体" w:hint="eastAsia"/>
          <w:color w:val="000000" w:themeColor="text1"/>
          <w:highlight w:val="none"/>
          <w14:textFill>
            <w14:solidFill>
              <w14:schemeClr w14:val="tx1"/>
            </w14:solidFill>
          </w14:textFill>
        </w:rPr>
        <w:t>月</w:t>
      </w:r>
      <w:r>
        <w:rPr>
          <w:rFonts w:ascii="宋体" w:eastAsia="宋体" w:hAnsi="宋体" w:hint="eastAsia"/>
          <w:color w:val="000000" w:themeColor="text1"/>
          <w:highlight w:val="none"/>
          <w:u w:val="single"/>
          <w14:textFill>
            <w14:solidFill>
              <w14:schemeClr w14:val="tx1"/>
            </w14:solidFill>
          </w14:textFill>
        </w:rPr>
        <w:t xml:space="preserve">   </w:t>
      </w:r>
      <w:r>
        <w:rPr>
          <w:rFonts w:ascii="宋体" w:eastAsia="宋体" w:hAnsi="宋体" w:hint="eastAsia"/>
          <w:color w:val="000000" w:themeColor="text1"/>
          <w:highlight w:val="none"/>
          <w14:textFill>
            <w14:solidFill>
              <w14:schemeClr w14:val="tx1"/>
            </w14:solidFill>
          </w14:textFill>
        </w:rPr>
        <w:t>日</w:t>
      </w:r>
    </w:p>
    <w:p>
      <w:pPr>
        <w:rPr>
          <w:rFonts w:ascii="宋体" w:eastAsia="宋体" w:hAnsi="宋体"/>
          <w:color w:val="000000" w:themeColor="text1"/>
          <w:highlight w:val="none"/>
          <w14:textFill>
            <w14:solidFill>
              <w14:schemeClr w14:val="tx1"/>
            </w14:solidFill>
          </w14:textFill>
        </w:rPr>
      </w:pPr>
    </w:p>
    <w:p>
      <w:pPr>
        <w:rPr>
          <w:rFonts w:ascii="宋体" w:eastAsia="宋体" w:hAnsi="宋体" w:cs="宋体"/>
          <w:color w:val="000000" w:themeColor="text1"/>
          <w:szCs w:val="21"/>
          <w:highlight w:val="none"/>
          <w14:textFill>
            <w14:solidFill>
              <w14:schemeClr w14:val="tx1"/>
            </w14:solidFill>
          </w14:textFill>
        </w:rPr>
      </w:pPr>
    </w:p>
    <w:p>
      <w:pPr>
        <w:pStyle w:val="NormalIndent"/>
        <w:rPr>
          <w:highlight w:val="none"/>
        </w:rPr>
      </w:pPr>
    </w:p>
    <w:p>
      <w:pPr>
        <w:rPr>
          <w:highlight w:val="none"/>
        </w:rPr>
      </w:pPr>
    </w:p>
    <w:p>
      <w:pP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pPr>
        <w:pStyle w:val="Heading3"/>
        <w:jc w:val="center"/>
        <w:rPr>
          <w:highlight w:val="none"/>
        </w:rPr>
      </w:pPr>
      <w:r>
        <w:rPr>
          <w:rFonts w:ascii="黑体" w:eastAsia="黑体" w:hint="eastAsia"/>
          <w:b w:val="0"/>
          <w:color w:val="000000" w:themeColor="text1"/>
          <w:sz w:val="24"/>
          <w:highlight w:val="none"/>
          <w14:textFill>
            <w14:solidFill>
              <w14:schemeClr w14:val="tx1"/>
            </w14:solidFill>
          </w14:textFill>
        </w:rPr>
        <w:t>三、投标人情况及资格证明文件</w:t>
      </w:r>
    </w:p>
    <w:p>
      <w:pPr>
        <w:ind w:firstLine="480" w:firstLineChars="200"/>
        <w:outlineLvl w:val="3"/>
        <w:rPr>
          <w:rFonts w:ascii="宋体" w:eastAsia="宋体" w:hAnsi="宋体" w:hint="eastAsia"/>
          <w:bCs/>
          <w:szCs w:val="32"/>
          <w:highlight w:val="none"/>
          <w:lang w:val="en-US" w:eastAsia="zh-CN" w:bidi="ar-SA"/>
        </w:rPr>
      </w:pPr>
      <w:r>
        <w:rPr>
          <w:rFonts w:ascii="宋体" w:eastAsia="宋体" w:hAnsi="宋体" w:hint="eastAsia"/>
          <w:bCs/>
          <w:szCs w:val="32"/>
          <w:highlight w:val="none"/>
          <w:lang w:val="en-US" w:eastAsia="zh-CN" w:bidi="ar-SA"/>
        </w:rPr>
        <w:t>（一）投标人资格证明文件</w:t>
      </w:r>
    </w:p>
    <w:p>
      <w:pPr>
        <w:spacing w:before="120" w:beforeLines="50"/>
        <w:ind w:firstLine="480" w:firstLineChars="200"/>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（特别提示：投标人须按本招标文件第一册第一章招标公告 “申请人的资格要求”（即投标人资格要求）提供相关的资格证明资料，未提供或提供不完整、不符合要求的，将作投标无效处理。）</w:t>
      </w:r>
    </w:p>
    <w:p>
      <w:pPr>
        <w:spacing w:line="360" w:lineRule="auto"/>
        <w:ind w:firstLine="480" w:firstLineChars="200"/>
        <w:rPr>
          <w:b/>
          <w:color w:val="000000" w:themeColor="text1"/>
          <w:highlight w:val="none"/>
          <w14:textFill>
            <w14:solidFill>
              <w14:schemeClr w14:val="tx1"/>
            </w14:solidFill>
          </w14:textFill>
        </w:rPr>
      </w:pPr>
    </w:p>
    <w:p>
      <w:pPr>
        <w:spacing w:line="360" w:lineRule="auto"/>
        <w:rPr>
          <w:rFonts w:eastAsia="黑体"/>
          <w:highlight w:val="none"/>
        </w:rPr>
      </w:pPr>
    </w:p>
    <w:p>
      <w:pPr>
        <w:ind w:firstLine="480" w:firstLineChars="200"/>
        <w:outlineLvl w:val="3"/>
        <w:rPr>
          <w:rFonts w:ascii="宋体" w:eastAsia="宋体" w:hAnsi="宋体" w:hint="eastAsia"/>
          <w:bCs/>
          <w:szCs w:val="32"/>
          <w:highlight w:val="none"/>
          <w:lang w:val="en-US" w:eastAsia="zh-CN" w:bidi="ar-SA"/>
        </w:rPr>
      </w:pPr>
      <w:r>
        <w:rPr>
          <w:rFonts w:ascii="宋体" w:eastAsia="宋体" w:hAnsi="宋体" w:hint="eastAsia"/>
          <w:bCs/>
          <w:szCs w:val="32"/>
          <w:highlight w:val="none"/>
          <w:lang w:val="en-US" w:eastAsia="zh-CN" w:bidi="ar-SA"/>
        </w:rPr>
        <w:t>（二）中小企业声明函、残疾人福利性单位声明函及监狱企业声明函</w:t>
      </w:r>
    </w:p>
    <w:p>
      <w:pPr>
        <w:spacing w:before="120" w:beforeLines="50"/>
        <w:ind w:firstLine="480" w:firstLineChars="200"/>
        <w:rPr>
          <w:rFonts w:ascii="宋体" w:eastAsia="宋体" w:hAnsi="宋体" w:hint="eastAsia"/>
          <w:b/>
          <w:bCs/>
          <w:color w:val="FF0000"/>
          <w:highlight w:val="none"/>
          <w:lang w:val="en-US" w:eastAsia="zh-CN"/>
        </w:rPr>
      </w:pPr>
      <w:r>
        <w:rPr>
          <w:rFonts w:ascii="宋体" w:eastAsia="宋体" w:hAnsi="宋体" w:hint="eastAsia"/>
          <w:b/>
          <w:bCs/>
          <w:color w:val="FF0000"/>
          <w:highlight w:val="none"/>
          <w:lang w:val="en-US" w:eastAsia="zh-CN"/>
        </w:rPr>
        <w:t>注：采购人、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参照《广东省政府采购促进中小企业发展实施细则》第十八条精神）</w:t>
      </w:r>
    </w:p>
    <w:p>
      <w:pPr>
        <w:keepNext w:val="0"/>
        <w:keepLines w:val="0"/>
        <w:pageBreakBefore w:val="0"/>
        <w:widowControl/>
        <w:kinsoku/>
        <w:wordWrap/>
        <w:overflowPunct/>
        <w:topLinePunct w:val="0"/>
        <w:autoSpaceDE/>
        <w:autoSpaceDN/>
        <w:bidi w:val="0"/>
        <w:adjustRightInd/>
        <w:snapToGrid/>
        <w:jc w:val="center"/>
        <w:textAlignment w:val="auto"/>
        <w:outlineLvl w:val="9"/>
        <w:rPr>
          <w:rFonts w:hint="eastAsia"/>
          <w:b/>
          <w:color w:val="000000" w:themeColor="text1"/>
          <w:highlight w:val="none"/>
          <w14:textFill>
            <w14:solidFill>
              <w14:schemeClr w14:val="tx1"/>
            </w14:solidFill>
          </w14:textFill>
        </w:rPr>
      </w:pPr>
    </w:p>
    <w:p>
      <w:pPr>
        <w:jc w:val="center"/>
        <w:outlineLvl w:val="3"/>
        <w:rPr>
          <w:b/>
          <w:color w:val="000000" w:themeColor="text1"/>
          <w:highlight w:val="none"/>
          <w14:textFill>
            <w14:solidFill>
              <w14:schemeClr w14:val="tx1"/>
            </w14:solidFill>
          </w14:textFill>
        </w:rPr>
      </w:pPr>
      <w:r>
        <w:rPr>
          <w:rFonts w:hint="eastAsia"/>
          <w:b/>
          <w:color w:val="000000" w:themeColor="text1"/>
          <w:highlight w:val="none"/>
          <w14:textFill>
            <w14:solidFill>
              <w14:schemeClr w14:val="tx1"/>
            </w14:solidFill>
          </w14:textFill>
        </w:rPr>
        <w:t>1、</w:t>
      </w:r>
      <w:r>
        <w:rPr>
          <w:b/>
          <w:color w:val="000000" w:themeColor="text1"/>
          <w:highlight w:val="none"/>
          <w14:textFill>
            <w14:solidFill>
              <w14:schemeClr w14:val="tx1"/>
            </w14:solidFill>
          </w14:textFill>
        </w:rPr>
        <w:t>中小企业声明函（</w:t>
      </w:r>
      <w:r>
        <w:rPr>
          <w:rFonts w:hint="eastAsia"/>
          <w:b/>
          <w:color w:val="000000" w:themeColor="text1"/>
          <w:highlight w:val="none"/>
          <w14:textFill>
            <w14:solidFill>
              <w14:schemeClr w14:val="tx1"/>
            </w14:solidFill>
          </w14:textFill>
        </w:rPr>
        <w:t>服务</w:t>
      </w:r>
      <w:r>
        <w:rPr>
          <w:b/>
          <w:color w:val="000000" w:themeColor="text1"/>
          <w:highlight w:val="none"/>
          <w14:textFill>
            <w14:solidFill>
              <w14:schemeClr w14:val="tx1"/>
            </w14:solidFill>
          </w14:textFill>
        </w:rPr>
        <w:t xml:space="preserve">） </w:t>
      </w:r>
    </w:p>
    <w:p>
      <w:pPr>
        <w:spacing w:after="60" w:afterLines="25" w:line="300" w:lineRule="auto"/>
        <w:ind w:firstLine="480" w:firstLineChars="200"/>
        <w:rPr>
          <w:rFonts w:ascii="宋体" w:eastAsia="宋体" w:hAnsi="宋体"/>
          <w:szCs w:val="21"/>
          <w:highlight w:val="none"/>
        </w:rPr>
      </w:pPr>
      <w:r>
        <w:rPr>
          <w:rFonts w:ascii="宋体" w:eastAsia="宋体" w:hAnsi="宋体" w:hint="eastAsia"/>
          <w:szCs w:val="21"/>
          <w:highlight w:val="none"/>
        </w:rPr>
        <w:t>本投标人郑重声明，根据《政府采购促进中小企业发展管理办法》（财库﹝2020﹞46 号）的规定，本投标人参加</w:t>
      </w:r>
      <w:r>
        <w:rPr>
          <w:rFonts w:ascii="宋体" w:eastAsia="宋体" w:hAnsi="宋体" w:hint="eastAsia"/>
          <w:b/>
          <w:bCs/>
          <w:szCs w:val="21"/>
          <w:highlight w:val="none"/>
          <w:u w:val="single"/>
        </w:rPr>
        <w:t>深圳市交通运输局</w:t>
      </w:r>
      <w:r>
        <w:rPr>
          <w:rFonts w:ascii="宋体" w:eastAsia="宋体" w:hAnsi="宋体" w:hint="eastAsia"/>
          <w:szCs w:val="21"/>
          <w:highlight w:val="none"/>
        </w:rPr>
        <w:t>的</w:t>
      </w:r>
      <w:r>
        <w:rPr>
          <w:rFonts w:ascii="宋体" w:eastAsia="宋体" w:hAnsi="宋体" w:hint="eastAsia"/>
          <w:b/>
          <w:bCs/>
          <w:szCs w:val="21"/>
          <w:highlight w:val="none"/>
          <w:u w:val="single"/>
          <w:lang w:eastAsia="zh-CN"/>
        </w:rPr>
        <w:t>盐坝高速公路坝光收费站物业运营维护管理</w:t>
      </w:r>
      <w:r>
        <w:rPr>
          <w:rFonts w:ascii="宋体" w:eastAsia="宋体" w:hAnsi="宋体" w:hint="eastAsia"/>
          <w:szCs w:val="21"/>
          <w:highlight w:val="none"/>
        </w:rPr>
        <w:t>采购活动，服务全部由符合政策要求的中小企业承接。相关企业的具体情况如下：</w:t>
      </w:r>
    </w:p>
    <w:p>
      <w:pPr>
        <w:spacing w:after="60" w:afterLines="25" w:line="300" w:lineRule="auto"/>
        <w:ind w:firstLine="480" w:firstLineChars="200"/>
        <w:rPr>
          <w:rFonts w:ascii="宋体" w:eastAsia="宋体" w:hAnsi="宋体"/>
          <w:szCs w:val="21"/>
          <w:highlight w:val="none"/>
        </w:rPr>
      </w:pPr>
      <w:r>
        <w:rPr>
          <w:rFonts w:ascii="宋体" w:eastAsia="宋体" w:hAnsi="宋体" w:hint="eastAsia"/>
          <w:szCs w:val="21"/>
          <w:highlight w:val="none"/>
        </w:rPr>
        <w:t>1.</w:t>
      </w:r>
      <w:r>
        <w:rPr>
          <w:rFonts w:ascii="宋体" w:eastAsia="宋体" w:hAnsi="宋体" w:hint="eastAsia"/>
          <w:b/>
          <w:bCs/>
          <w:szCs w:val="21"/>
          <w:highlight w:val="none"/>
          <w:u w:val="single"/>
          <w:lang w:eastAsia="zh-CN"/>
        </w:rPr>
        <w:t>盐坝高速公路坝光收费站物业运营维护管理</w:t>
      </w:r>
      <w:r>
        <w:rPr>
          <w:rFonts w:ascii="宋体" w:eastAsia="宋体" w:hAnsi="宋体" w:hint="eastAsia"/>
          <w:szCs w:val="21"/>
          <w:highlight w:val="none"/>
        </w:rPr>
        <w:t xml:space="preserve"> ，属于</w:t>
      </w:r>
      <w:r>
        <w:rPr>
          <w:rFonts w:ascii="宋体" w:eastAsia="宋体" w:hAnsi="宋体" w:hint="eastAsia"/>
          <w:b/>
          <w:bCs/>
          <w:szCs w:val="21"/>
          <w:highlight w:val="none"/>
          <w:u w:val="single"/>
          <w:lang w:val="en-US" w:eastAsia="zh-CN"/>
        </w:rPr>
        <w:t>其他未列明</w:t>
      </w:r>
      <w:r>
        <w:rPr>
          <w:rFonts w:ascii="宋体" w:eastAsia="宋体" w:hAnsi="宋体" w:hint="eastAsia"/>
          <w:szCs w:val="21"/>
          <w:highlight w:val="none"/>
        </w:rPr>
        <w:t>行业；承接企业为</w:t>
      </w:r>
      <w:r>
        <w:rPr>
          <w:rFonts w:ascii="宋体" w:eastAsia="宋体" w:hAnsi="宋体" w:hint="eastAsia"/>
          <w:b/>
          <w:bCs/>
          <w:szCs w:val="21"/>
          <w:highlight w:val="none"/>
          <w:u w:val="single"/>
        </w:rPr>
        <w:t>（企业名称）</w:t>
      </w:r>
      <w:r>
        <w:rPr>
          <w:rFonts w:ascii="宋体" w:eastAsia="宋体" w:hAnsi="宋体" w:hint="eastAsia"/>
          <w:szCs w:val="21"/>
          <w:highlight w:val="none"/>
        </w:rPr>
        <w:t>，从业人员</w:t>
      </w:r>
      <w:r>
        <w:rPr>
          <w:rFonts w:ascii="宋体" w:eastAsia="宋体" w:hAnsi="宋体" w:hint="eastAsia"/>
          <w:szCs w:val="21"/>
          <w:highlight w:val="none"/>
          <w:u w:val="single"/>
          <w:lang w:val="en-US" w:eastAsia="zh-CN"/>
        </w:rPr>
        <w:t xml:space="preserve">   </w:t>
      </w:r>
      <w:r>
        <w:rPr>
          <w:rFonts w:ascii="宋体" w:eastAsia="宋体" w:hAnsi="宋体" w:hint="eastAsia"/>
          <w:szCs w:val="21"/>
          <w:highlight w:val="none"/>
        </w:rPr>
        <w:t>人，营业收入为</w:t>
      </w:r>
      <w:r>
        <w:rPr>
          <w:rFonts w:ascii="宋体" w:eastAsia="宋体" w:hAnsi="宋体" w:hint="eastAsia"/>
          <w:szCs w:val="21"/>
          <w:highlight w:val="none"/>
          <w:u w:val="single"/>
          <w:lang w:val="en-US" w:eastAsia="zh-CN"/>
        </w:rPr>
        <w:t xml:space="preserve">   </w:t>
      </w:r>
      <w:r>
        <w:rPr>
          <w:rFonts w:ascii="宋体" w:eastAsia="宋体" w:hAnsi="宋体" w:hint="eastAsia"/>
          <w:szCs w:val="21"/>
          <w:highlight w:val="none"/>
        </w:rPr>
        <w:t>万元，资产总额为</w:t>
      </w:r>
      <w:r>
        <w:rPr>
          <w:rFonts w:ascii="宋体" w:eastAsia="宋体" w:hAnsi="宋体" w:hint="eastAsia"/>
          <w:szCs w:val="21"/>
          <w:highlight w:val="none"/>
          <w:u w:val="single"/>
          <w:lang w:val="en-US" w:eastAsia="zh-CN"/>
        </w:rPr>
        <w:t xml:space="preserve">   </w:t>
      </w:r>
      <w:r>
        <w:rPr>
          <w:rFonts w:ascii="宋体" w:eastAsia="宋体" w:hAnsi="宋体" w:hint="eastAsia"/>
          <w:szCs w:val="21"/>
          <w:highlight w:val="none"/>
        </w:rPr>
        <w:t>万元 ，属于</w:t>
      </w:r>
      <w:r>
        <w:rPr>
          <w:rFonts w:ascii="宋体" w:eastAsia="宋体" w:hAnsi="宋体" w:hint="eastAsia"/>
          <w:b/>
          <w:bCs/>
          <w:szCs w:val="21"/>
          <w:highlight w:val="none"/>
          <w:u w:val="single"/>
        </w:rPr>
        <w:t>（中型企业、小型企业、微型企业）</w:t>
      </w:r>
      <w:r>
        <w:rPr>
          <w:rFonts w:ascii="宋体" w:eastAsia="宋体" w:hAnsi="宋体" w:hint="eastAsia"/>
          <w:szCs w:val="21"/>
          <w:highlight w:val="none"/>
        </w:rPr>
        <w:t xml:space="preserve">； </w:t>
      </w:r>
    </w:p>
    <w:p>
      <w:pPr>
        <w:spacing w:after="60" w:afterLines="25" w:line="300" w:lineRule="auto"/>
        <w:ind w:firstLine="480" w:firstLineChars="200"/>
        <w:rPr>
          <w:rFonts w:ascii="宋体" w:eastAsia="宋体" w:hAnsi="宋体"/>
          <w:szCs w:val="21"/>
          <w:highlight w:val="none"/>
          <w:u w:val="single"/>
        </w:rPr>
      </w:pPr>
      <w:r>
        <w:rPr>
          <w:rFonts w:ascii="宋体" w:eastAsia="宋体" w:hAnsi="宋体" w:hint="eastAsia"/>
          <w:szCs w:val="21"/>
          <w:highlight w:val="none"/>
        </w:rPr>
        <w:t>2.</w:t>
      </w:r>
      <w:r>
        <w:rPr>
          <w:rFonts w:ascii="宋体" w:eastAsia="宋体" w:hAnsi="宋体" w:hint="eastAsia"/>
          <w:b/>
          <w:bCs/>
          <w:szCs w:val="21"/>
          <w:highlight w:val="none"/>
          <w:u w:val="single"/>
        </w:rPr>
        <w:t xml:space="preserve"> （标的名称）</w:t>
      </w:r>
      <w:r>
        <w:rPr>
          <w:rFonts w:ascii="宋体" w:eastAsia="宋体" w:hAnsi="宋体" w:hint="eastAsia"/>
          <w:szCs w:val="21"/>
          <w:highlight w:val="none"/>
        </w:rPr>
        <w:t xml:space="preserve"> ，属于</w:t>
      </w:r>
      <w:r>
        <w:rPr>
          <w:rFonts w:ascii="宋体" w:eastAsia="宋体" w:hAnsi="宋体" w:hint="eastAsia"/>
          <w:b/>
          <w:bCs/>
          <w:szCs w:val="21"/>
          <w:highlight w:val="none"/>
          <w:u w:val="single"/>
        </w:rPr>
        <w:t xml:space="preserve">（招标文件中明确的所属行业） </w:t>
      </w:r>
      <w:r>
        <w:rPr>
          <w:rFonts w:ascii="宋体" w:eastAsia="宋体" w:hAnsi="宋体" w:hint="eastAsia"/>
          <w:szCs w:val="21"/>
          <w:highlight w:val="none"/>
        </w:rPr>
        <w:t>行业；承接企业为</w:t>
      </w:r>
      <w:r>
        <w:rPr>
          <w:rFonts w:ascii="宋体" w:eastAsia="宋体" w:hAnsi="宋体" w:hint="eastAsia"/>
          <w:b/>
          <w:bCs/>
          <w:szCs w:val="21"/>
          <w:highlight w:val="none"/>
          <w:u w:val="single"/>
        </w:rPr>
        <w:t>（企业名称）</w:t>
      </w:r>
      <w:r>
        <w:rPr>
          <w:rFonts w:ascii="宋体" w:eastAsia="宋体" w:hAnsi="宋体" w:hint="eastAsia"/>
          <w:szCs w:val="21"/>
          <w:highlight w:val="none"/>
        </w:rPr>
        <w:t>，从业人员人，营业收入为</w:t>
      </w:r>
      <w:r>
        <w:rPr>
          <w:rFonts w:ascii="宋体" w:eastAsia="宋体" w:hAnsi="宋体" w:hint="eastAsia"/>
          <w:szCs w:val="21"/>
          <w:highlight w:val="none"/>
          <w:u w:val="single"/>
          <w:lang w:val="en-US" w:eastAsia="zh-CN"/>
        </w:rPr>
        <w:t xml:space="preserve">   </w:t>
      </w:r>
      <w:r>
        <w:rPr>
          <w:rFonts w:ascii="宋体" w:eastAsia="宋体" w:hAnsi="宋体" w:hint="eastAsia"/>
          <w:szCs w:val="21"/>
          <w:highlight w:val="none"/>
        </w:rPr>
        <w:t>万元，资产总额为</w:t>
      </w:r>
      <w:r>
        <w:rPr>
          <w:rFonts w:ascii="宋体" w:eastAsia="宋体" w:hAnsi="宋体" w:hint="eastAsia"/>
          <w:szCs w:val="21"/>
          <w:highlight w:val="none"/>
          <w:u w:val="single"/>
          <w:lang w:val="en-US" w:eastAsia="zh-CN"/>
        </w:rPr>
        <w:t xml:space="preserve">   </w:t>
      </w:r>
      <w:r>
        <w:rPr>
          <w:rFonts w:ascii="宋体" w:eastAsia="宋体" w:hAnsi="宋体" w:hint="eastAsia"/>
          <w:szCs w:val="21"/>
          <w:highlight w:val="none"/>
        </w:rPr>
        <w:t>万元 ，属于</w:t>
      </w:r>
      <w:r>
        <w:rPr>
          <w:rFonts w:ascii="宋体" w:eastAsia="宋体" w:hAnsi="宋体" w:hint="eastAsia"/>
          <w:b/>
          <w:bCs/>
          <w:szCs w:val="21"/>
          <w:highlight w:val="none"/>
          <w:u w:val="single"/>
        </w:rPr>
        <w:t>（中型企业、小型企业、微型企业）</w:t>
      </w:r>
      <w:r>
        <w:rPr>
          <w:rFonts w:ascii="宋体" w:eastAsia="宋体" w:hAnsi="宋体" w:hint="eastAsia"/>
          <w:szCs w:val="21"/>
          <w:highlight w:val="none"/>
        </w:rPr>
        <w:t>；</w:t>
      </w:r>
    </w:p>
    <w:p>
      <w:pPr>
        <w:spacing w:after="60" w:afterLines="25" w:line="300" w:lineRule="auto"/>
        <w:ind w:firstLine="480" w:firstLineChars="200"/>
        <w:rPr>
          <w:rFonts w:ascii="宋体" w:eastAsia="宋体" w:hAnsi="宋体"/>
          <w:szCs w:val="21"/>
          <w:highlight w:val="none"/>
        </w:rPr>
      </w:pPr>
      <w:r>
        <w:rPr>
          <w:rFonts w:ascii="宋体" w:eastAsia="宋体" w:hAnsi="宋体" w:hint="eastAsia"/>
          <w:szCs w:val="21"/>
          <w:highlight w:val="none"/>
        </w:rPr>
        <w:t xml:space="preserve">…… </w:t>
      </w:r>
    </w:p>
    <w:p>
      <w:pPr>
        <w:spacing w:after="60" w:afterLines="25" w:line="300" w:lineRule="auto"/>
        <w:ind w:firstLine="480" w:firstLineChars="200"/>
        <w:rPr>
          <w:rFonts w:ascii="宋体" w:eastAsia="宋体" w:hAnsi="宋体"/>
          <w:szCs w:val="21"/>
          <w:highlight w:val="none"/>
        </w:rPr>
      </w:pPr>
      <w:r>
        <w:rPr>
          <w:rFonts w:ascii="宋体" w:eastAsia="宋体" w:hAnsi="宋体" w:hint="eastAsia"/>
          <w:szCs w:val="21"/>
          <w:highlight w:val="none"/>
        </w:rPr>
        <w:t>以上企业，不属于大企业的分支机构，不存在控股股东为大企业的情形，也不存在与大企业的负责人为同一人的情形。</w:t>
      </w:r>
    </w:p>
    <w:p>
      <w:pPr>
        <w:spacing w:after="60" w:afterLines="25" w:line="300" w:lineRule="auto"/>
        <w:ind w:firstLine="480" w:firstLineChars="200"/>
        <w:rPr>
          <w:rFonts w:ascii="宋体" w:eastAsia="宋体" w:hAnsi="宋体"/>
          <w:szCs w:val="21"/>
          <w:highlight w:val="none"/>
        </w:rPr>
      </w:pPr>
      <w:bookmarkStart w:id="42" w:name="_Hlk73562275"/>
      <w:r>
        <w:rPr>
          <w:rFonts w:ascii="宋体" w:eastAsia="宋体" w:hAnsi="宋体" w:hint="eastAsia"/>
          <w:szCs w:val="21"/>
          <w:highlight w:val="none"/>
        </w:rPr>
        <w:t>本投标人已知悉《政府采购促进中小企业发展管理办法》（财库〔2020〕46 号）、《中小企业划型标准规定》（工信部联企〔2011〕 300 号）、《统计上大中小微型企业划分办法（2017）》等规定，承诺提供的声明函内容是真实的，并知悉根据《政府采购促进中小企业发展管理办法》（财库〔2020〕46 号）第二十条规定，投标人按照本办法规定提供声明函内容不实的，属于提供虚假材料谋取中标，依照《政府采购法》等政府采购有关法律法规规定追究相应责任。</w:t>
      </w:r>
      <w:bookmarkEnd w:id="42"/>
    </w:p>
    <w:p>
      <w:pPr>
        <w:wordWrap w:val="0"/>
        <w:spacing w:after="60" w:afterLines="25" w:line="300" w:lineRule="auto"/>
        <w:ind w:firstLine="480" w:firstLineChars="200"/>
        <w:jc w:val="right"/>
        <w:rPr>
          <w:rFonts w:ascii="宋体" w:eastAsia="宋体" w:hAnsi="宋体"/>
          <w:szCs w:val="21"/>
          <w:highlight w:val="none"/>
        </w:rPr>
      </w:pPr>
      <w:r>
        <w:rPr>
          <w:rFonts w:ascii="宋体" w:eastAsia="宋体" w:hAnsi="宋体" w:hint="eastAsia"/>
          <w:szCs w:val="21"/>
          <w:highlight w:val="none"/>
        </w:rPr>
        <w:t xml:space="preserve">     投标人（投标单位）：       </w:t>
      </w:r>
    </w:p>
    <w:p>
      <w:pPr>
        <w:ind w:firstLine="6720" w:firstLineChars="2800"/>
        <w:rPr>
          <w:rFonts w:ascii="宋体" w:hAnsi="宋体"/>
          <w:color w:val="000000" w:themeColor="text1"/>
          <w:szCs w:val="21"/>
          <w:highlight w:val="none"/>
          <w14:textFill>
            <w14:solidFill>
              <w14:schemeClr w14:val="tx1"/>
            </w14:solidFill>
          </w14:textFill>
        </w:rPr>
      </w:pPr>
      <w:r>
        <w:rPr>
          <w:rFonts w:ascii="宋体" w:eastAsia="宋体" w:hAnsi="宋体" w:hint="eastAsia"/>
          <w:szCs w:val="21"/>
          <w:highlight w:val="none"/>
        </w:rPr>
        <w:t>日期：</w:t>
      </w:r>
    </w:p>
    <w:p>
      <w:pPr>
        <w:spacing w:after="60" w:afterLines="25" w:line="300" w:lineRule="auto"/>
        <w:ind w:firstLine="480" w:firstLineChars="200"/>
        <w:rPr>
          <w:rFonts w:ascii="Arial" w:eastAsia="宋体" w:hAnsi="Arial"/>
          <w:b/>
          <w:color w:val="FF0000"/>
          <w:highlight w:val="none"/>
        </w:rPr>
      </w:pPr>
    </w:p>
    <w:p>
      <w:pPr>
        <w:pStyle w:val="NormalIndent"/>
        <w:rPr>
          <w:highlight w:val="none"/>
        </w:rPr>
      </w:pPr>
    </w:p>
    <w:p>
      <w:pPr>
        <w:rPr>
          <w:highlight w:val="none"/>
        </w:rPr>
      </w:pPr>
    </w:p>
    <w:p>
      <w:pPr>
        <w:keepNext w:val="0"/>
        <w:keepLines w:val="0"/>
        <w:pageBreakBefore w:val="0"/>
        <w:widowControl/>
        <w:kinsoku/>
        <w:wordWrap/>
        <w:overflowPunct/>
        <w:topLinePunct w:val="0"/>
        <w:autoSpaceDE/>
        <w:autoSpaceDN/>
        <w:bidi w:val="0"/>
        <w:adjustRightInd/>
        <w:snapToGrid/>
        <w:jc w:val="center"/>
        <w:textAlignment w:val="auto"/>
        <w:outlineLvl w:val="9"/>
        <w:rPr>
          <w:rFonts w:hint="eastAsia"/>
          <w:b/>
          <w:color w:val="000000" w:themeColor="text1"/>
          <w:highlight w:val="none"/>
          <w14:textFill>
            <w14:solidFill>
              <w14:schemeClr w14:val="tx1"/>
            </w14:solidFill>
          </w14:textFill>
        </w:rPr>
      </w:pPr>
    </w:p>
    <w:p>
      <w:pPr>
        <w:jc w:val="center"/>
        <w:outlineLvl w:val="3"/>
        <w:rPr>
          <w:b/>
          <w:color w:val="000000" w:themeColor="text1"/>
          <w:highlight w:val="none"/>
          <w14:textFill>
            <w14:solidFill>
              <w14:schemeClr w14:val="tx1"/>
            </w14:solidFill>
          </w14:textFill>
        </w:rPr>
      </w:pPr>
      <w:r>
        <w:rPr>
          <w:rFonts w:hint="eastAsia"/>
          <w:b/>
          <w:color w:val="000000" w:themeColor="text1"/>
          <w:highlight w:val="none"/>
          <w14:textFill>
            <w14:solidFill>
              <w14:schemeClr w14:val="tx1"/>
            </w14:solidFill>
          </w14:textFill>
        </w:rPr>
        <w:t>2、残疾人福利性单位声明函（服务类）</w:t>
      </w:r>
    </w:p>
    <w:p>
      <w:pPr>
        <w:rPr>
          <w:b/>
          <w:bCs/>
          <w:color w:val="000000" w:themeColor="text1"/>
          <w:highlight w:val="none"/>
          <w14:textFill>
            <w14:solidFill>
              <w14:schemeClr w14:val="tx1"/>
            </w14:solidFill>
          </w14:textFill>
        </w:rPr>
      </w:pPr>
    </w:p>
    <w:p>
      <w:pPr>
        <w:spacing w:after="60" w:afterLines="25" w:line="300" w:lineRule="auto"/>
        <w:ind w:firstLine="480" w:firstLineChars="200"/>
        <w:rPr>
          <w:rFonts w:asciiTheme="minorEastAsia" w:hAnsiTheme="minorEastAsia"/>
          <w:szCs w:val="21"/>
          <w:highlight w:val="none"/>
        </w:rPr>
      </w:pPr>
      <w:r>
        <w:rPr>
          <w:rFonts w:asciiTheme="minorEastAsia" w:hAnsiTheme="minorEastAsia" w:hint="eastAsia"/>
          <w:szCs w:val="21"/>
          <w:highlight w:val="none"/>
        </w:rPr>
        <w:t>本投标人郑重声明，根据《财政部民政部中国残疾人联合会关于促进残疾人就业政府采购政策的通知》（财库〔2017〕141 号）的规定，本投标人参加</w:t>
      </w:r>
      <w:r>
        <w:rPr>
          <w:rFonts w:asciiTheme="minorEastAsia" w:hAnsiTheme="minorEastAsia" w:hint="eastAsia"/>
          <w:b/>
          <w:bCs/>
          <w:szCs w:val="21"/>
          <w:highlight w:val="none"/>
          <w:u w:val="single"/>
        </w:rPr>
        <w:t>（采购人名称）</w:t>
      </w:r>
      <w:r>
        <w:rPr>
          <w:rFonts w:asciiTheme="minorEastAsia" w:hAnsiTheme="minorEastAsia" w:hint="eastAsia"/>
          <w:szCs w:val="21"/>
          <w:highlight w:val="none"/>
        </w:rPr>
        <w:t>的</w:t>
      </w:r>
      <w:r>
        <w:rPr>
          <w:rFonts w:asciiTheme="minorEastAsia" w:hAnsiTheme="minorEastAsia" w:hint="eastAsia"/>
          <w:b/>
          <w:bCs/>
          <w:szCs w:val="21"/>
          <w:highlight w:val="none"/>
          <w:u w:val="single"/>
        </w:rPr>
        <w:t>（项目名称）</w:t>
      </w:r>
      <w:r>
        <w:rPr>
          <w:rFonts w:asciiTheme="minorEastAsia" w:hAnsiTheme="minorEastAsia" w:hint="eastAsia"/>
          <w:szCs w:val="21"/>
          <w:highlight w:val="none"/>
        </w:rPr>
        <w:t>采购活动，服务全部由符合政策要求的残疾人福利性单位承接。相关残疾人福利性单位的具体情况如下：</w:t>
      </w:r>
    </w:p>
    <w:p>
      <w:pPr>
        <w:spacing w:after="60" w:afterLines="25" w:line="300" w:lineRule="auto"/>
        <w:ind w:firstLine="480" w:firstLineChars="200"/>
        <w:rPr>
          <w:rFonts w:asciiTheme="minorEastAsia" w:hAnsiTheme="minorEastAsia"/>
          <w:szCs w:val="21"/>
          <w:highlight w:val="none"/>
        </w:rPr>
      </w:pPr>
      <w:r>
        <w:rPr>
          <w:rFonts w:asciiTheme="minorEastAsia" w:hAnsiTheme="minorEastAsia" w:hint="eastAsia"/>
          <w:szCs w:val="21"/>
          <w:highlight w:val="none"/>
        </w:rPr>
        <w:t>1.</w:t>
      </w:r>
      <w:r>
        <w:rPr>
          <w:rFonts w:asciiTheme="minorEastAsia" w:hAnsiTheme="minorEastAsia" w:hint="eastAsia"/>
          <w:b/>
          <w:bCs/>
          <w:szCs w:val="21"/>
          <w:highlight w:val="none"/>
          <w:u w:val="single"/>
        </w:rPr>
        <w:t xml:space="preserve"> （标的名称）</w:t>
      </w:r>
      <w:r>
        <w:rPr>
          <w:rFonts w:asciiTheme="minorEastAsia" w:hAnsiTheme="minorEastAsia" w:hint="eastAsia"/>
          <w:szCs w:val="21"/>
          <w:highlight w:val="none"/>
        </w:rPr>
        <w:t>，承接企业为</w:t>
      </w:r>
      <w:r>
        <w:rPr>
          <w:rFonts w:asciiTheme="minorEastAsia" w:hAnsiTheme="minorEastAsia" w:hint="eastAsia"/>
          <w:b/>
          <w:bCs/>
          <w:szCs w:val="21"/>
          <w:highlight w:val="none"/>
          <w:u w:val="single"/>
        </w:rPr>
        <w:t>（单位名称）</w:t>
      </w:r>
      <w:r>
        <w:rPr>
          <w:rFonts w:asciiTheme="minorEastAsia" w:hAnsiTheme="minorEastAsia" w:hint="eastAsia"/>
          <w:szCs w:val="21"/>
          <w:highlight w:val="none"/>
        </w:rPr>
        <w:t>，属于</w:t>
      </w:r>
      <w:r>
        <w:rPr>
          <w:rFonts w:asciiTheme="minorEastAsia" w:hAnsiTheme="minorEastAsia" w:hint="eastAsia"/>
          <w:b/>
          <w:bCs/>
          <w:szCs w:val="21"/>
          <w:highlight w:val="none"/>
          <w:u w:val="single"/>
        </w:rPr>
        <w:t>残疾人福利性单位</w:t>
      </w:r>
      <w:r>
        <w:rPr>
          <w:rFonts w:asciiTheme="minorEastAsia" w:hAnsiTheme="minorEastAsia" w:hint="eastAsia"/>
          <w:szCs w:val="21"/>
          <w:highlight w:val="none"/>
        </w:rPr>
        <w:t>；</w:t>
      </w:r>
    </w:p>
    <w:p>
      <w:pPr>
        <w:spacing w:after="60" w:afterLines="25" w:line="300" w:lineRule="auto"/>
        <w:ind w:firstLine="480" w:firstLineChars="200"/>
        <w:rPr>
          <w:rFonts w:asciiTheme="minorEastAsia" w:hAnsiTheme="minorEastAsia"/>
          <w:szCs w:val="21"/>
          <w:highlight w:val="none"/>
        </w:rPr>
      </w:pPr>
      <w:r>
        <w:rPr>
          <w:rFonts w:asciiTheme="minorEastAsia" w:hAnsiTheme="minorEastAsia" w:hint="eastAsia"/>
          <w:szCs w:val="21"/>
          <w:highlight w:val="none"/>
        </w:rPr>
        <w:t>2.</w:t>
      </w:r>
      <w:r>
        <w:rPr>
          <w:rFonts w:asciiTheme="minorEastAsia" w:hAnsiTheme="minorEastAsia" w:hint="eastAsia"/>
          <w:b/>
          <w:bCs/>
          <w:szCs w:val="21"/>
          <w:highlight w:val="none"/>
          <w:u w:val="single"/>
        </w:rPr>
        <w:t xml:space="preserve"> （标的名称）</w:t>
      </w:r>
      <w:r>
        <w:rPr>
          <w:rFonts w:asciiTheme="minorEastAsia" w:hAnsiTheme="minorEastAsia" w:hint="eastAsia"/>
          <w:szCs w:val="21"/>
          <w:highlight w:val="none"/>
        </w:rPr>
        <w:t>，承接企业为</w:t>
      </w:r>
      <w:r>
        <w:rPr>
          <w:rFonts w:asciiTheme="minorEastAsia" w:hAnsiTheme="minorEastAsia" w:hint="eastAsia"/>
          <w:b/>
          <w:bCs/>
          <w:szCs w:val="21"/>
          <w:highlight w:val="none"/>
          <w:u w:val="single"/>
        </w:rPr>
        <w:t>（单位名称）</w:t>
      </w:r>
      <w:r>
        <w:rPr>
          <w:rFonts w:asciiTheme="minorEastAsia" w:hAnsiTheme="minorEastAsia" w:hint="eastAsia"/>
          <w:szCs w:val="21"/>
          <w:highlight w:val="none"/>
        </w:rPr>
        <w:t>，属于</w:t>
      </w:r>
      <w:r>
        <w:rPr>
          <w:rFonts w:asciiTheme="minorEastAsia" w:hAnsiTheme="minorEastAsia" w:hint="eastAsia"/>
          <w:b/>
          <w:bCs/>
          <w:szCs w:val="21"/>
          <w:highlight w:val="none"/>
          <w:u w:val="single"/>
        </w:rPr>
        <w:t>残疾人福利性单位</w:t>
      </w:r>
      <w:r>
        <w:rPr>
          <w:rFonts w:asciiTheme="minorEastAsia" w:hAnsiTheme="minorEastAsia" w:hint="eastAsia"/>
          <w:szCs w:val="21"/>
          <w:highlight w:val="none"/>
        </w:rPr>
        <w:t>。</w:t>
      </w:r>
    </w:p>
    <w:p>
      <w:pPr>
        <w:spacing w:after="60" w:afterLines="25" w:line="300" w:lineRule="auto"/>
        <w:ind w:firstLine="480" w:firstLineChars="200"/>
        <w:rPr>
          <w:rFonts w:asciiTheme="minorEastAsia" w:hAnsiTheme="minorEastAsia"/>
          <w:szCs w:val="21"/>
          <w:highlight w:val="none"/>
        </w:rPr>
      </w:pPr>
      <w:r>
        <w:rPr>
          <w:rFonts w:asciiTheme="minorEastAsia" w:hAnsiTheme="minorEastAsia" w:hint="eastAsia"/>
          <w:szCs w:val="21"/>
          <w:highlight w:val="none"/>
        </w:rPr>
        <w:t xml:space="preserve">…… </w:t>
      </w:r>
    </w:p>
    <w:p>
      <w:pPr>
        <w:spacing w:after="60" w:afterLines="25" w:line="300" w:lineRule="auto"/>
        <w:ind w:firstLine="480" w:firstLineChars="200"/>
        <w:rPr>
          <w:rFonts w:asciiTheme="minorEastAsia" w:hAnsiTheme="minorEastAsia"/>
          <w:szCs w:val="21"/>
          <w:highlight w:val="none"/>
        </w:rPr>
      </w:pPr>
      <w:r>
        <w:rPr>
          <w:rFonts w:asciiTheme="minorEastAsia" w:hAnsiTheme="minorEastAsia" w:hint="eastAsia"/>
          <w:szCs w:val="21"/>
          <w:highlight w:val="none"/>
        </w:rPr>
        <w:t>本投标人已知悉《财政部民政部中国残疾人联合会关于促进残疾人就业政府采购政策的通知》（财库〔2017〕141 号）的规定，承诺提供的声明函内容是真实的，如提供声明函内容不实，则依法追究相关法律责任。</w:t>
      </w:r>
    </w:p>
    <w:p>
      <w:pPr>
        <w:spacing w:after="60" w:afterLines="25" w:line="560" w:lineRule="exact"/>
        <w:ind w:firstLine="480" w:firstLineChars="200"/>
        <w:jc w:val="center"/>
        <w:rPr>
          <w:rFonts w:asciiTheme="minorEastAsia" w:hAnsiTheme="minorEastAsia"/>
          <w:highlight w:val="none"/>
        </w:rPr>
      </w:pPr>
    </w:p>
    <w:p>
      <w:pPr>
        <w:wordWrap w:val="0"/>
        <w:spacing w:after="60" w:afterLines="25" w:line="300" w:lineRule="auto"/>
        <w:ind w:firstLine="480" w:firstLineChars="200"/>
        <w:jc w:val="right"/>
        <w:rPr>
          <w:rFonts w:asciiTheme="minorEastAsia" w:hAnsiTheme="minorEastAsia"/>
          <w:szCs w:val="21"/>
          <w:highlight w:val="none"/>
        </w:rPr>
      </w:pPr>
      <w:r>
        <w:rPr>
          <w:rFonts w:asciiTheme="minorEastAsia" w:hAnsiTheme="minorEastAsia" w:hint="eastAsia"/>
          <w:szCs w:val="21"/>
          <w:highlight w:val="none"/>
        </w:rPr>
        <w:t xml:space="preserve">投标人（投标单位）：       </w:t>
      </w:r>
    </w:p>
    <w:p>
      <w:pPr>
        <w:ind w:firstLine="6720" w:firstLineChars="2800"/>
        <w:rPr>
          <w:rFonts w:ascii="宋体" w:hAnsi="宋体"/>
          <w:color w:val="000000" w:themeColor="text1"/>
          <w:szCs w:val="21"/>
          <w:highlight w:val="none"/>
          <w14:textFill>
            <w14:solidFill>
              <w14:schemeClr w14:val="tx1"/>
            </w14:solidFill>
          </w14:textFill>
        </w:rPr>
      </w:pPr>
      <w:r>
        <w:rPr>
          <w:rFonts w:asciiTheme="minorEastAsia" w:hAnsiTheme="minorEastAsia" w:hint="eastAsia"/>
          <w:szCs w:val="21"/>
          <w:highlight w:val="none"/>
        </w:rPr>
        <w:t>日期：</w:t>
      </w:r>
    </w:p>
    <w:p>
      <w:pPr>
        <w:ind w:firstLine="480" w:firstLineChars="200"/>
        <w:rPr>
          <w:rFonts w:ascii="宋体" w:hAnsi="宋体"/>
          <w:color w:val="000000" w:themeColor="text1"/>
          <w:szCs w:val="21"/>
          <w:highlight w:val="none"/>
          <w14:textFill>
            <w14:solidFill>
              <w14:schemeClr w14:val="tx1"/>
            </w14:solidFill>
          </w14:textFill>
        </w:rPr>
      </w:pPr>
    </w:p>
    <w:p>
      <w:pPr>
        <w:ind w:firstLine="480" w:firstLineChars="200"/>
        <w:rPr>
          <w:rFonts w:ascii="宋体" w:hAnsi="宋体"/>
          <w:color w:val="000000" w:themeColor="text1"/>
          <w:szCs w:val="21"/>
          <w:highlight w:val="none"/>
          <w14:textFill>
            <w14:solidFill>
              <w14:schemeClr w14:val="tx1"/>
            </w14:solidFill>
          </w14:textFill>
        </w:rPr>
      </w:pPr>
    </w:p>
    <w:p>
      <w:pPr>
        <w:jc w:val="center"/>
        <w:outlineLvl w:val="3"/>
        <w:rPr>
          <w:b/>
          <w:color w:val="000000" w:themeColor="text1"/>
          <w:highlight w:val="none"/>
          <w14:textFill>
            <w14:solidFill>
              <w14:schemeClr w14:val="tx1"/>
            </w14:solidFill>
          </w14:textFill>
        </w:rPr>
      </w:pPr>
      <w:r>
        <w:rPr>
          <w:rFonts w:hint="eastAsia"/>
          <w:b/>
          <w:color w:val="000000" w:themeColor="text1"/>
          <w:highlight w:val="none"/>
          <w14:textFill>
            <w14:solidFill>
              <w14:schemeClr w14:val="tx1"/>
            </w14:solidFill>
          </w14:textFill>
        </w:rPr>
        <w:t>3、监狱企业声明函【服务类，监狱企业如需享受优惠政策，还须另行提供省级以上监狱管理局、戒毒管理局（含新疆生产建设兵团）出具的监狱企业证明文件】</w:t>
      </w:r>
    </w:p>
    <w:p>
      <w:pPr>
        <w:ind w:firstLine="480" w:firstLineChars="200"/>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本投标人郑重声明，根据《财政部司法部关于政府采购支持监狱企业发展有关问题的通知》（财库〔</w:t>
      </w:r>
      <w:r>
        <w:rPr>
          <w:rFonts w:ascii="宋体" w:hAnsi="宋体"/>
          <w:color w:val="000000" w:themeColor="text1"/>
          <w:szCs w:val="21"/>
          <w:highlight w:val="none"/>
          <w14:textFill>
            <w14:solidFill>
              <w14:schemeClr w14:val="tx1"/>
            </w14:solidFill>
          </w14:textFill>
        </w:rPr>
        <w:t>2014</w:t>
      </w:r>
      <w:r>
        <w:rPr>
          <w:rFonts w:ascii="宋体" w:hAnsi="宋体" w:hint="eastAsia"/>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68</w:t>
      </w:r>
      <w:r>
        <w:rPr>
          <w:rFonts w:ascii="宋体" w:hAnsi="宋体" w:hint="eastAsia"/>
          <w:color w:val="000000" w:themeColor="text1"/>
          <w:szCs w:val="21"/>
          <w:highlight w:val="none"/>
          <w14:textFill>
            <w14:solidFill>
              <w14:schemeClr w14:val="tx1"/>
            </w14:solidFill>
          </w14:textFill>
        </w:rPr>
        <w:t>号）的规定，本投标人</w:t>
      </w:r>
      <w:r>
        <w:rPr>
          <w:rFonts w:ascii="宋体" w:hAnsi="宋体" w:cstheme="minorBidi"/>
          <w:color w:val="000000" w:themeColor="text1"/>
          <w:szCs w:val="21"/>
          <w:highlight w:val="none"/>
          <w14:textFill>
            <w14:solidFill>
              <w14:schemeClr w14:val="tx1"/>
            </w14:solidFill>
          </w14:textFill>
        </w:rPr>
        <w:t>参加</w:t>
      </w:r>
      <w:r>
        <w:rPr>
          <w:rFonts w:ascii="宋体" w:hAnsi="宋体"/>
          <w:b/>
          <w:bCs/>
          <w:color w:val="000000" w:themeColor="text1"/>
          <w:szCs w:val="21"/>
          <w:highlight w:val="none"/>
          <w:u w:val="single"/>
          <w14:textFill>
            <w14:solidFill>
              <w14:schemeClr w14:val="tx1"/>
            </w14:solidFill>
          </w14:textFill>
        </w:rPr>
        <w:t>（</w:t>
      </w:r>
      <w:r>
        <w:rPr>
          <w:rFonts w:ascii="宋体" w:hAnsi="宋体" w:hint="eastAsia"/>
          <w:b/>
          <w:bCs/>
          <w:color w:val="000000" w:themeColor="text1"/>
          <w:szCs w:val="21"/>
          <w:highlight w:val="none"/>
          <w:u w:val="single"/>
          <w14:textFill>
            <w14:solidFill>
              <w14:schemeClr w14:val="tx1"/>
            </w14:solidFill>
          </w14:textFill>
        </w:rPr>
        <w:t>采购人</w:t>
      </w:r>
      <w:r>
        <w:rPr>
          <w:rFonts w:ascii="宋体" w:hAnsi="宋体"/>
          <w:b/>
          <w:bCs/>
          <w:color w:val="000000" w:themeColor="text1"/>
          <w:szCs w:val="21"/>
          <w:highlight w:val="none"/>
          <w:u w:val="single"/>
          <w14:textFill>
            <w14:solidFill>
              <w14:schemeClr w14:val="tx1"/>
            </w14:solidFill>
          </w14:textFill>
        </w:rPr>
        <w:t>名称）</w:t>
      </w:r>
      <w:r>
        <w:rPr>
          <w:rFonts w:ascii="宋体" w:hAnsi="宋体"/>
          <w:color w:val="000000" w:themeColor="text1"/>
          <w:szCs w:val="21"/>
          <w:highlight w:val="none"/>
          <w14:textFill>
            <w14:solidFill>
              <w14:schemeClr w14:val="tx1"/>
            </w14:solidFill>
          </w14:textFill>
        </w:rPr>
        <w:t>的</w:t>
      </w:r>
      <w:r>
        <w:rPr>
          <w:rFonts w:ascii="宋体" w:hAnsi="宋体"/>
          <w:b/>
          <w:bCs/>
          <w:color w:val="000000" w:themeColor="text1"/>
          <w:szCs w:val="21"/>
          <w:highlight w:val="none"/>
          <w:u w:val="single"/>
          <w14:textFill>
            <w14:solidFill>
              <w14:schemeClr w14:val="tx1"/>
            </w14:solidFill>
          </w14:textFill>
        </w:rPr>
        <w:t>（项目名称）</w:t>
      </w:r>
      <w:r>
        <w:rPr>
          <w:rFonts w:ascii="宋体" w:hAnsi="宋体"/>
          <w:color w:val="000000" w:themeColor="text1"/>
          <w:szCs w:val="21"/>
          <w:highlight w:val="none"/>
          <w14:textFill>
            <w14:solidFill>
              <w14:schemeClr w14:val="tx1"/>
            </w14:solidFill>
          </w14:textFill>
        </w:rPr>
        <w:t>采购活动，</w:t>
      </w:r>
      <w:r>
        <w:rPr>
          <w:rFonts w:ascii="宋体" w:hAnsi="宋体" w:hint="eastAsia"/>
          <w:color w:val="000000" w:themeColor="text1"/>
          <w:szCs w:val="21"/>
          <w:highlight w:val="none"/>
          <w14:textFill>
            <w14:solidFill>
              <w14:schemeClr w14:val="tx1"/>
            </w14:solidFill>
          </w14:textFill>
        </w:rPr>
        <w:t>服务</w:t>
      </w:r>
      <w:r>
        <w:rPr>
          <w:rFonts w:ascii="宋体" w:hAnsi="宋体"/>
          <w:color w:val="000000" w:themeColor="text1"/>
          <w:szCs w:val="21"/>
          <w:highlight w:val="none"/>
          <w14:textFill>
            <w14:solidFill>
              <w14:schemeClr w14:val="tx1"/>
            </w14:solidFill>
          </w14:textFill>
        </w:rPr>
        <w:t>全部由符合政策要求的</w:t>
      </w:r>
      <w:r>
        <w:rPr>
          <w:rFonts w:ascii="宋体" w:hAnsi="宋体" w:hint="eastAsia"/>
          <w:color w:val="000000" w:themeColor="text1"/>
          <w:szCs w:val="21"/>
          <w:highlight w:val="none"/>
          <w14:textFill>
            <w14:solidFill>
              <w14:schemeClr w14:val="tx1"/>
            </w14:solidFill>
          </w14:textFill>
        </w:rPr>
        <w:t>监狱企业承接</w:t>
      </w:r>
      <w:r>
        <w:rPr>
          <w:rFonts w:ascii="宋体" w:hAnsi="宋体"/>
          <w:color w:val="000000" w:themeColor="text1"/>
          <w:szCs w:val="21"/>
          <w:highlight w:val="none"/>
          <w14:textFill>
            <w14:solidFill>
              <w14:schemeClr w14:val="tx1"/>
            </w14:solidFill>
          </w14:textFill>
        </w:rPr>
        <w:t>。相关</w:t>
      </w:r>
      <w:r>
        <w:rPr>
          <w:rFonts w:ascii="宋体" w:hAnsi="宋体" w:hint="eastAsia"/>
          <w:color w:val="000000" w:themeColor="text1"/>
          <w:szCs w:val="21"/>
          <w:highlight w:val="none"/>
          <w14:textFill>
            <w14:solidFill>
              <w14:schemeClr w14:val="tx1"/>
            </w14:solidFill>
          </w14:textFill>
        </w:rPr>
        <w:t>监狱企业</w:t>
      </w:r>
      <w:r>
        <w:rPr>
          <w:rFonts w:ascii="宋体" w:hAnsi="宋体"/>
          <w:color w:val="000000" w:themeColor="text1"/>
          <w:szCs w:val="21"/>
          <w:highlight w:val="none"/>
          <w14:textFill>
            <w14:solidFill>
              <w14:schemeClr w14:val="tx1"/>
            </w14:solidFill>
          </w14:textFill>
        </w:rPr>
        <w:t>的具体情况如下：</w:t>
      </w:r>
    </w:p>
    <w:p>
      <w:pPr>
        <w:ind w:firstLine="48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r>
        <w:rPr>
          <w:rFonts w:ascii="宋体" w:hAnsi="宋体"/>
          <w:b/>
          <w:bCs/>
          <w:color w:val="000000" w:themeColor="text1"/>
          <w:szCs w:val="21"/>
          <w:highlight w:val="none"/>
          <w:u w:val="single"/>
          <w14:textFill>
            <w14:solidFill>
              <w14:schemeClr w14:val="tx1"/>
            </w14:solidFill>
          </w14:textFill>
        </w:rPr>
        <w:t xml:space="preserve"> （标的名称）</w:t>
      </w:r>
      <w:r>
        <w:rPr>
          <w:rFonts w:ascii="宋体" w:hAnsi="宋体"/>
          <w:color w:val="000000" w:themeColor="text1"/>
          <w:szCs w:val="21"/>
          <w:highlight w:val="none"/>
          <w14:textFill>
            <w14:solidFill>
              <w14:schemeClr w14:val="tx1"/>
            </w14:solidFill>
          </w14:textFill>
        </w:rPr>
        <w:t xml:space="preserve"> </w:t>
      </w:r>
      <w:r>
        <w:rPr>
          <w:rFonts w:ascii="宋体" w:hAnsi="宋体" w:hint="eastAsia"/>
          <w:color w:val="000000" w:themeColor="text1"/>
          <w:szCs w:val="21"/>
          <w:highlight w:val="none"/>
          <w14:textFill>
            <w14:solidFill>
              <w14:schemeClr w14:val="tx1"/>
            </w14:solidFill>
          </w14:textFill>
        </w:rPr>
        <w:t>，承接单位</w:t>
      </w:r>
      <w:r>
        <w:rPr>
          <w:rFonts w:ascii="宋体" w:hAnsi="宋体"/>
          <w:color w:val="000000" w:themeColor="text1"/>
          <w:szCs w:val="21"/>
          <w:highlight w:val="none"/>
          <w14:textFill>
            <w14:solidFill>
              <w14:schemeClr w14:val="tx1"/>
            </w14:solidFill>
          </w14:textFill>
        </w:rPr>
        <w:t>为</w:t>
      </w:r>
      <w:r>
        <w:rPr>
          <w:rFonts w:ascii="宋体" w:hAnsi="宋体"/>
          <w:b/>
          <w:bCs/>
          <w:color w:val="000000" w:themeColor="text1"/>
          <w:szCs w:val="21"/>
          <w:highlight w:val="none"/>
          <w:u w:val="single"/>
          <w14:textFill>
            <w14:solidFill>
              <w14:schemeClr w14:val="tx1"/>
            </w14:solidFill>
          </w14:textFill>
        </w:rPr>
        <w:t>（</w:t>
      </w:r>
      <w:r>
        <w:rPr>
          <w:rFonts w:ascii="宋体" w:hAnsi="宋体" w:hint="eastAsia"/>
          <w:b/>
          <w:bCs/>
          <w:color w:val="000000" w:themeColor="text1"/>
          <w:szCs w:val="21"/>
          <w:highlight w:val="none"/>
          <w:u w:val="single"/>
          <w14:textFill>
            <w14:solidFill>
              <w14:schemeClr w14:val="tx1"/>
            </w14:solidFill>
          </w14:textFill>
        </w:rPr>
        <w:t>企业</w:t>
      </w:r>
      <w:r>
        <w:rPr>
          <w:rFonts w:ascii="宋体" w:hAnsi="宋体"/>
          <w:b/>
          <w:bCs/>
          <w:color w:val="000000" w:themeColor="text1"/>
          <w:szCs w:val="21"/>
          <w:highlight w:val="none"/>
          <w:u w:val="single"/>
          <w14:textFill>
            <w14:solidFill>
              <w14:schemeClr w14:val="tx1"/>
            </w14:solidFill>
          </w14:textFill>
        </w:rPr>
        <w:t>名称）</w:t>
      </w:r>
      <w:r>
        <w:rPr>
          <w:rFonts w:ascii="宋体" w:hAnsi="宋体"/>
          <w:color w:val="000000" w:themeColor="text1"/>
          <w:szCs w:val="21"/>
          <w:highlight w:val="none"/>
          <w14:textFill>
            <w14:solidFill>
              <w14:schemeClr w14:val="tx1"/>
            </w14:solidFill>
          </w14:textFill>
        </w:rPr>
        <w:t>，属于</w:t>
      </w:r>
      <w:r>
        <w:rPr>
          <w:rFonts w:ascii="宋体" w:hAnsi="宋体" w:hint="eastAsia"/>
          <w:b/>
          <w:bCs/>
          <w:color w:val="000000" w:themeColor="text1"/>
          <w:szCs w:val="21"/>
          <w:highlight w:val="none"/>
          <w:u w:val="single"/>
          <w14:textFill>
            <w14:solidFill>
              <w14:schemeClr w14:val="tx1"/>
            </w14:solidFill>
          </w14:textFill>
        </w:rPr>
        <w:t>监狱企业</w:t>
      </w:r>
      <w:r>
        <w:rPr>
          <w:rFonts w:ascii="宋体" w:hAnsi="宋体"/>
          <w:color w:val="000000" w:themeColor="text1"/>
          <w:szCs w:val="21"/>
          <w:highlight w:val="none"/>
          <w14:textFill>
            <w14:solidFill>
              <w14:schemeClr w14:val="tx1"/>
            </w14:solidFill>
          </w14:textFill>
        </w:rPr>
        <w:t>；</w:t>
      </w:r>
    </w:p>
    <w:p>
      <w:pPr>
        <w:ind w:firstLine="48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ascii="宋体" w:hAnsi="宋体"/>
          <w:b/>
          <w:bCs/>
          <w:color w:val="000000" w:themeColor="text1"/>
          <w:szCs w:val="21"/>
          <w:highlight w:val="none"/>
          <w:u w:val="single"/>
          <w14:textFill>
            <w14:solidFill>
              <w14:schemeClr w14:val="tx1"/>
            </w14:solidFill>
          </w14:textFill>
        </w:rPr>
        <w:t xml:space="preserve"> （标的名称）</w:t>
      </w:r>
      <w:r>
        <w:rPr>
          <w:rFonts w:ascii="宋体" w:hAnsi="宋体"/>
          <w:color w:val="000000" w:themeColor="text1"/>
          <w:szCs w:val="21"/>
          <w:highlight w:val="none"/>
          <w14:textFill>
            <w14:solidFill>
              <w14:schemeClr w14:val="tx1"/>
            </w14:solidFill>
          </w14:textFill>
        </w:rPr>
        <w:t xml:space="preserve"> </w:t>
      </w:r>
      <w:r>
        <w:rPr>
          <w:rFonts w:ascii="宋体" w:hAnsi="宋体" w:hint="eastAsia"/>
          <w:color w:val="000000" w:themeColor="text1"/>
          <w:szCs w:val="21"/>
          <w:highlight w:val="none"/>
          <w14:textFill>
            <w14:solidFill>
              <w14:schemeClr w14:val="tx1"/>
            </w14:solidFill>
          </w14:textFill>
        </w:rPr>
        <w:t>，承接单位</w:t>
      </w:r>
      <w:r>
        <w:rPr>
          <w:rFonts w:ascii="宋体" w:hAnsi="宋体"/>
          <w:color w:val="000000" w:themeColor="text1"/>
          <w:szCs w:val="21"/>
          <w:highlight w:val="none"/>
          <w14:textFill>
            <w14:solidFill>
              <w14:schemeClr w14:val="tx1"/>
            </w14:solidFill>
          </w14:textFill>
        </w:rPr>
        <w:t>为</w:t>
      </w:r>
      <w:r>
        <w:rPr>
          <w:rFonts w:ascii="宋体" w:hAnsi="宋体"/>
          <w:b/>
          <w:bCs/>
          <w:color w:val="000000" w:themeColor="text1"/>
          <w:szCs w:val="21"/>
          <w:highlight w:val="none"/>
          <w:u w:val="single"/>
          <w14:textFill>
            <w14:solidFill>
              <w14:schemeClr w14:val="tx1"/>
            </w14:solidFill>
          </w14:textFill>
        </w:rPr>
        <w:t>（</w:t>
      </w:r>
      <w:r>
        <w:rPr>
          <w:rFonts w:ascii="宋体" w:hAnsi="宋体" w:hint="eastAsia"/>
          <w:b/>
          <w:bCs/>
          <w:color w:val="000000" w:themeColor="text1"/>
          <w:szCs w:val="21"/>
          <w:highlight w:val="none"/>
          <w:u w:val="single"/>
          <w14:textFill>
            <w14:solidFill>
              <w14:schemeClr w14:val="tx1"/>
            </w14:solidFill>
          </w14:textFill>
        </w:rPr>
        <w:t>企业</w:t>
      </w:r>
      <w:r>
        <w:rPr>
          <w:rFonts w:ascii="宋体" w:hAnsi="宋体"/>
          <w:b/>
          <w:bCs/>
          <w:color w:val="000000" w:themeColor="text1"/>
          <w:szCs w:val="21"/>
          <w:highlight w:val="none"/>
          <w:u w:val="single"/>
          <w14:textFill>
            <w14:solidFill>
              <w14:schemeClr w14:val="tx1"/>
            </w14:solidFill>
          </w14:textFill>
        </w:rPr>
        <w:t>名称）</w:t>
      </w:r>
      <w:r>
        <w:rPr>
          <w:rFonts w:ascii="宋体" w:hAnsi="宋体"/>
          <w:color w:val="000000" w:themeColor="text1"/>
          <w:szCs w:val="21"/>
          <w:highlight w:val="none"/>
          <w14:textFill>
            <w14:solidFill>
              <w14:schemeClr w14:val="tx1"/>
            </w14:solidFill>
          </w14:textFill>
        </w:rPr>
        <w:t>，属于</w:t>
      </w:r>
      <w:r>
        <w:rPr>
          <w:rFonts w:ascii="宋体" w:hAnsi="宋体" w:hint="eastAsia"/>
          <w:b/>
          <w:bCs/>
          <w:color w:val="000000" w:themeColor="text1"/>
          <w:szCs w:val="21"/>
          <w:highlight w:val="none"/>
          <w:u w:val="single"/>
          <w14:textFill>
            <w14:solidFill>
              <w14:schemeClr w14:val="tx1"/>
            </w14:solidFill>
          </w14:textFill>
        </w:rPr>
        <w:t>监狱企业</w:t>
      </w:r>
      <w:r>
        <w:rPr>
          <w:rFonts w:ascii="宋体" w:hAnsi="宋体" w:hint="eastAsia"/>
          <w:color w:val="000000" w:themeColor="text1"/>
          <w:szCs w:val="21"/>
          <w:highlight w:val="none"/>
          <w14:textFill>
            <w14:solidFill>
              <w14:schemeClr w14:val="tx1"/>
            </w14:solidFill>
          </w14:textFill>
        </w:rPr>
        <w:t>。</w:t>
      </w:r>
    </w:p>
    <w:p>
      <w:pPr>
        <w:ind w:firstLine="48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 xml:space="preserve">…… </w:t>
      </w:r>
    </w:p>
    <w:p>
      <w:pPr>
        <w:ind w:firstLine="480" w:firstLineChars="200"/>
        <w:rPr>
          <w:rFonts w:ascii="宋体" w:hAnsi="宋体"/>
          <w:color w:val="000000" w:themeColor="text1"/>
          <w:szCs w:val="21"/>
          <w:highlight w:val="none"/>
          <w14:textFill>
            <w14:solidFill>
              <w14:schemeClr w14:val="tx1"/>
            </w14:solidFill>
          </w14:textFill>
        </w:rPr>
      </w:pPr>
      <w:r>
        <w:rPr>
          <w:rFonts w:ascii="宋体" w:hAnsi="宋体" w:cstheme="minorBidi"/>
          <w:color w:val="000000" w:themeColor="text1"/>
          <w:szCs w:val="21"/>
          <w:highlight w:val="none"/>
          <w14:textFill>
            <w14:solidFill>
              <w14:schemeClr w14:val="tx1"/>
            </w14:solidFill>
          </w14:textFill>
        </w:rPr>
        <w:t>本</w:t>
      </w:r>
      <w:r>
        <w:rPr>
          <w:rFonts w:ascii="宋体" w:hAnsi="宋体" w:cstheme="minorBidi" w:hint="eastAsia"/>
          <w:color w:val="000000" w:themeColor="text1"/>
          <w:szCs w:val="21"/>
          <w:highlight w:val="none"/>
          <w14:textFill>
            <w14:solidFill>
              <w14:schemeClr w14:val="tx1"/>
            </w14:solidFill>
          </w14:textFill>
        </w:rPr>
        <w:t>投标人</w:t>
      </w:r>
      <w:r>
        <w:rPr>
          <w:rFonts w:ascii="宋体" w:hAnsi="宋体"/>
          <w:color w:val="000000" w:themeColor="text1"/>
          <w:szCs w:val="21"/>
          <w:highlight w:val="none"/>
          <w14:textFill>
            <w14:solidFill>
              <w14:schemeClr w14:val="tx1"/>
            </w14:solidFill>
          </w14:textFill>
        </w:rPr>
        <w:t>对上述声明内容的真实性负责。如有虚假，将依法承担相应责任。</w:t>
      </w:r>
    </w:p>
    <w:p>
      <w:pPr>
        <w:ind w:firstLine="480" w:firstLineChars="200"/>
        <w:rPr>
          <w:rFonts w:ascii="宋体" w:hAnsi="宋体"/>
          <w:color w:val="FF0000"/>
          <w:szCs w:val="21"/>
          <w:highlight w:val="none"/>
        </w:rPr>
      </w:pPr>
      <w:r>
        <w:rPr>
          <w:rFonts w:ascii="宋体" w:hAnsi="宋体" w:hint="eastAsia"/>
          <w:color w:val="FF0000"/>
          <w:szCs w:val="21"/>
          <w:highlight w:val="none"/>
        </w:rPr>
        <w:t>附：省级以上监狱管理局、戒毒管理局（含新疆生产建设兵团）出具的监狱企业证明文件。</w:t>
      </w:r>
    </w:p>
    <w:p>
      <w:pPr>
        <w:ind w:left="723" w:hanging="720" w:hangingChars="300"/>
        <w:rPr>
          <w:b/>
          <w:color w:val="000000" w:themeColor="text1"/>
          <w:highlight w:val="none"/>
          <w14:textFill>
            <w14:solidFill>
              <w14:schemeClr w14:val="tx1"/>
            </w14:solidFill>
          </w14:textFill>
        </w:rPr>
      </w:pPr>
    </w:p>
    <w:p>
      <w:pPr>
        <w:wordWrap w:val="0"/>
        <w:spacing w:after="60" w:afterLines="25" w:line="300" w:lineRule="auto"/>
        <w:ind w:firstLine="480" w:firstLineChars="200"/>
        <w:jc w:val="right"/>
        <w:rPr>
          <w:rFonts w:asciiTheme="minorEastAsia" w:hAnsiTheme="minorEastAsia"/>
          <w:szCs w:val="21"/>
          <w:highlight w:val="none"/>
        </w:rPr>
      </w:pPr>
      <w:r>
        <w:rPr>
          <w:rFonts w:asciiTheme="minorEastAsia" w:hAnsiTheme="minorEastAsia" w:hint="eastAsia"/>
          <w:szCs w:val="21"/>
          <w:highlight w:val="none"/>
        </w:rPr>
        <w:t xml:space="preserve">投标人（投标单位）：       </w:t>
      </w:r>
    </w:p>
    <w:p>
      <w:pPr>
        <w:ind w:firstLine="6720" w:firstLineChars="2800"/>
        <w:rPr>
          <w:rFonts w:ascii="宋体" w:hAnsi="宋体"/>
          <w:color w:val="000000" w:themeColor="text1"/>
          <w:szCs w:val="21"/>
          <w:highlight w:val="none"/>
          <w14:textFill>
            <w14:solidFill>
              <w14:schemeClr w14:val="tx1"/>
            </w14:solidFill>
          </w14:textFill>
        </w:rPr>
      </w:pPr>
      <w:r>
        <w:rPr>
          <w:rFonts w:asciiTheme="minorEastAsia" w:hAnsiTheme="minorEastAsia" w:hint="eastAsia"/>
          <w:szCs w:val="21"/>
          <w:highlight w:val="none"/>
        </w:rPr>
        <w:t>日期：</w:t>
      </w:r>
    </w:p>
    <w:p>
      <w:pPr>
        <w:ind w:left="723" w:hanging="720" w:hangingChars="300"/>
        <w:rPr>
          <w:b/>
          <w:color w:val="000000" w:themeColor="text1"/>
          <w:highlight w:val="none"/>
          <w14:textFill>
            <w14:solidFill>
              <w14:schemeClr w14:val="tx1"/>
            </w14:solidFill>
          </w14:textFill>
        </w:rPr>
      </w:pPr>
    </w:p>
    <w:p>
      <w:pPr>
        <w:rPr>
          <w:rFonts w:ascii="黑体" w:eastAsia="黑体" w:hint="eastAsia"/>
          <w:b w:val="0"/>
          <w:sz w:val="24"/>
          <w:szCs w:val="24"/>
          <w:highlight w:val="none"/>
        </w:rPr>
      </w:pPr>
      <w:r>
        <w:rPr>
          <w:rFonts w:ascii="黑体" w:eastAsia="黑体" w:hint="eastAsia"/>
          <w:b w:val="0"/>
          <w:sz w:val="24"/>
          <w:szCs w:val="24"/>
          <w:highlight w:val="none"/>
        </w:rPr>
        <w:br w:type="page"/>
      </w:r>
    </w:p>
    <w:p>
      <w:pPr>
        <w:pStyle w:val="Heading3"/>
        <w:jc w:val="center"/>
        <w:rPr>
          <w:rFonts w:ascii="黑体" w:eastAsia="黑体"/>
          <w:b w:val="0"/>
          <w:sz w:val="24"/>
          <w:szCs w:val="24"/>
          <w:highlight w:val="none"/>
        </w:rPr>
      </w:pPr>
      <w:r>
        <w:rPr>
          <w:rFonts w:ascii="黑体" w:eastAsia="黑体" w:hint="eastAsia"/>
          <w:b w:val="0"/>
          <w:sz w:val="24"/>
          <w:szCs w:val="24"/>
          <w:highlight w:val="none"/>
        </w:rPr>
        <w:t>四、项目详细报价</w:t>
      </w:r>
    </w:p>
    <w:p>
      <w:pPr>
        <w:keepNext w:val="0"/>
        <w:keepLines w:val="0"/>
        <w:pageBreakBefore w:val="0"/>
        <w:widowControl/>
        <w:kinsoku/>
        <w:wordWrap/>
        <w:overflowPunct/>
        <w:topLinePunct w:val="0"/>
        <w:autoSpaceDE/>
        <w:autoSpaceDN/>
        <w:bidi w:val="0"/>
        <w:adjustRightInd/>
        <w:snapToGrid/>
        <w:spacing w:line="240" w:lineRule="auto"/>
        <w:textAlignment w:val="auto"/>
        <w:rPr>
          <w:rFonts w:ascii="宋体" w:eastAsia="宋体" w:hAnsi="宋体" w:cs="宋体" w:hint="eastAsia"/>
          <w:color w:val="000000"/>
          <w:sz w:val="21"/>
          <w:szCs w:val="21"/>
          <w:highlight w:val="none"/>
        </w:rPr>
      </w:pPr>
      <w:r>
        <w:rPr>
          <w:rFonts w:ascii="宋体" w:eastAsia="宋体" w:hAnsi="宋体" w:cs="宋体" w:hint="eastAsia"/>
          <w:color w:val="000000"/>
          <w:sz w:val="21"/>
          <w:szCs w:val="21"/>
          <w:highlight w:val="none"/>
        </w:rPr>
        <w:t xml:space="preserve">项目名称： </w:t>
      </w:r>
    </w:p>
    <w:p>
      <w:pPr>
        <w:keepNext w:val="0"/>
        <w:keepLines w:val="0"/>
        <w:pageBreakBefore w:val="0"/>
        <w:widowControl/>
        <w:kinsoku/>
        <w:wordWrap/>
        <w:overflowPunct/>
        <w:topLinePunct w:val="0"/>
        <w:autoSpaceDE/>
        <w:autoSpaceDN/>
        <w:bidi w:val="0"/>
        <w:adjustRightInd/>
        <w:snapToGrid/>
        <w:spacing w:line="240" w:lineRule="auto"/>
        <w:textAlignment w:val="auto"/>
        <w:rPr>
          <w:rFonts w:ascii="宋体" w:eastAsia="宋体" w:hAnsi="宋体" w:cs="宋体" w:hint="eastAsia"/>
          <w:color w:val="000000"/>
          <w:sz w:val="21"/>
          <w:szCs w:val="21"/>
          <w:highlight w:val="none"/>
        </w:rPr>
      </w:pPr>
      <w:r>
        <w:rPr>
          <w:rFonts w:ascii="宋体" w:eastAsia="宋体" w:hAnsi="宋体" w:cs="宋体" w:hint="eastAsia"/>
          <w:color w:val="000000"/>
          <w:sz w:val="21"/>
          <w:szCs w:val="21"/>
          <w:highlight w:val="none"/>
        </w:rPr>
        <w:t>项目编号：</w:t>
      </w:r>
    </w:p>
    <w:tbl>
      <w:tblPr>
        <w:tblStyle w:val="TableNormal"/>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045"/>
        <w:gridCol w:w="3568"/>
        <w:gridCol w:w="1936"/>
        <w:gridCol w:w="1968"/>
      </w:tblGrid>
      <w:tr>
        <w:tblPrEx>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80"/>
          <w:jc w:val="center"/>
        </w:trPr>
        <w:tc>
          <w:tcPr>
            <w:tcW w:w="614"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b/>
                <w:bCs/>
                <w:color w:val="000000"/>
                <w:sz w:val="21"/>
                <w:szCs w:val="21"/>
                <w:highlight w:val="none"/>
              </w:rPr>
            </w:pPr>
            <w:r>
              <w:rPr>
                <w:rFonts w:ascii="宋体" w:eastAsia="宋体" w:hAnsi="宋体" w:cs="宋体" w:hint="eastAsia"/>
                <w:b/>
                <w:bCs/>
                <w:color w:val="000000"/>
                <w:sz w:val="21"/>
                <w:szCs w:val="21"/>
                <w:highlight w:val="none"/>
              </w:rPr>
              <w:t>序号</w:t>
            </w:r>
          </w:p>
        </w:tc>
        <w:tc>
          <w:tcPr>
            <w:tcW w:w="2094"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b/>
                <w:bCs/>
                <w:color w:val="000000"/>
                <w:sz w:val="21"/>
                <w:szCs w:val="21"/>
                <w:highlight w:val="none"/>
              </w:rPr>
            </w:pPr>
            <w:r>
              <w:rPr>
                <w:rFonts w:ascii="宋体" w:eastAsia="宋体" w:hAnsi="宋体" w:cs="宋体" w:hint="eastAsia"/>
                <w:b/>
                <w:bCs/>
                <w:color w:val="000000"/>
                <w:sz w:val="21"/>
                <w:szCs w:val="21"/>
                <w:highlight w:val="none"/>
              </w:rPr>
              <w:t>项目内容</w:t>
            </w:r>
          </w:p>
        </w:tc>
        <w:tc>
          <w:tcPr>
            <w:tcW w:w="1135"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b/>
                <w:bCs/>
                <w:color w:val="000000"/>
                <w:sz w:val="21"/>
                <w:szCs w:val="21"/>
                <w:highlight w:val="none"/>
                <w:lang w:val="en-US" w:eastAsia="zh-CN"/>
              </w:rPr>
            </w:pPr>
            <w:r>
              <w:rPr>
                <w:rFonts w:ascii="宋体" w:eastAsia="宋体" w:hAnsi="宋体" w:cs="宋体" w:hint="eastAsia"/>
                <w:b/>
                <w:bCs/>
                <w:color w:val="000000"/>
                <w:sz w:val="21"/>
                <w:szCs w:val="21"/>
                <w:highlight w:val="none"/>
                <w:lang w:val="en-US" w:eastAsia="zh-CN"/>
              </w:rPr>
              <w:t>金额（元）</w:t>
            </w:r>
          </w:p>
        </w:tc>
        <w:tc>
          <w:tcPr>
            <w:tcW w:w="1155"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b/>
                <w:bCs/>
                <w:color w:val="000000"/>
                <w:sz w:val="21"/>
                <w:szCs w:val="21"/>
                <w:highlight w:val="none"/>
              </w:rPr>
            </w:pPr>
            <w:r>
              <w:rPr>
                <w:rFonts w:ascii="宋体" w:eastAsia="宋体" w:hAnsi="宋体" w:cs="宋体" w:hint="eastAsia"/>
                <w:b/>
                <w:bCs/>
                <w:color w:val="000000"/>
                <w:sz w:val="21"/>
                <w:szCs w:val="21"/>
                <w:highlight w:val="none"/>
              </w:rPr>
              <w:t>备注</w:t>
            </w:r>
          </w:p>
        </w:tc>
      </w:tr>
      <w:tr>
        <w:tblPrEx>
          <w:tblW w:w="4997" w:type="pct"/>
          <w:jc w:val="center"/>
          <w:tblCellMar>
            <w:top w:w="0" w:type="dxa"/>
            <w:left w:w="108" w:type="dxa"/>
            <w:bottom w:w="0" w:type="dxa"/>
            <w:right w:w="108" w:type="dxa"/>
          </w:tblCellMar>
        </w:tblPrEx>
        <w:trPr>
          <w:trHeight w:val="480"/>
          <w:jc w:val="center"/>
        </w:trPr>
        <w:tc>
          <w:tcPr>
            <w:tcW w:w="614"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highlight w:val="none"/>
              </w:rPr>
            </w:pPr>
            <w:r>
              <w:rPr>
                <w:rFonts w:ascii="宋体" w:eastAsia="宋体" w:hAnsi="宋体" w:cs="宋体" w:hint="eastAsia"/>
                <w:color w:val="000000"/>
                <w:sz w:val="21"/>
                <w:szCs w:val="21"/>
                <w:highlight w:val="none"/>
              </w:rPr>
              <w:t>1</w:t>
            </w:r>
          </w:p>
        </w:tc>
        <w:tc>
          <w:tcPr>
            <w:tcW w:w="2094" w:type="pct"/>
            <w:noWrap w:val="0"/>
            <w:vAlign w:val="top"/>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highlight w:val="none"/>
              </w:rPr>
            </w:pPr>
          </w:p>
        </w:tc>
        <w:tc>
          <w:tcPr>
            <w:tcW w:w="1135"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highlight w:val="none"/>
              </w:rPr>
            </w:pPr>
          </w:p>
        </w:tc>
        <w:tc>
          <w:tcPr>
            <w:tcW w:w="1155"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highlight w:val="none"/>
              </w:rPr>
            </w:pPr>
          </w:p>
        </w:tc>
      </w:tr>
      <w:tr>
        <w:tblPrEx>
          <w:tblW w:w="4997" w:type="pct"/>
          <w:jc w:val="center"/>
          <w:tblCellMar>
            <w:top w:w="0" w:type="dxa"/>
            <w:left w:w="108" w:type="dxa"/>
            <w:bottom w:w="0" w:type="dxa"/>
            <w:right w:w="108" w:type="dxa"/>
          </w:tblCellMar>
        </w:tblPrEx>
        <w:trPr>
          <w:trHeight w:val="480"/>
          <w:jc w:val="center"/>
        </w:trPr>
        <w:tc>
          <w:tcPr>
            <w:tcW w:w="614"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highlight w:val="none"/>
              </w:rPr>
            </w:pPr>
            <w:r>
              <w:rPr>
                <w:rFonts w:ascii="宋体" w:eastAsia="宋体" w:hAnsi="宋体" w:cs="宋体" w:hint="eastAsia"/>
                <w:color w:val="000000"/>
                <w:sz w:val="21"/>
                <w:szCs w:val="21"/>
                <w:highlight w:val="none"/>
              </w:rPr>
              <w:t>2</w:t>
            </w:r>
          </w:p>
        </w:tc>
        <w:tc>
          <w:tcPr>
            <w:tcW w:w="2094" w:type="pct"/>
            <w:noWrap w:val="0"/>
            <w:vAlign w:val="top"/>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highlight w:val="none"/>
              </w:rPr>
            </w:pPr>
          </w:p>
        </w:tc>
        <w:tc>
          <w:tcPr>
            <w:tcW w:w="1135"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highlight w:val="none"/>
              </w:rPr>
            </w:pPr>
          </w:p>
        </w:tc>
        <w:tc>
          <w:tcPr>
            <w:tcW w:w="1155"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highlight w:val="none"/>
              </w:rPr>
            </w:pPr>
          </w:p>
        </w:tc>
      </w:tr>
      <w:tr>
        <w:tblPrEx>
          <w:tblW w:w="4997" w:type="pct"/>
          <w:jc w:val="center"/>
          <w:tblCellMar>
            <w:top w:w="0" w:type="dxa"/>
            <w:left w:w="108" w:type="dxa"/>
            <w:bottom w:w="0" w:type="dxa"/>
            <w:right w:w="108" w:type="dxa"/>
          </w:tblCellMar>
        </w:tblPrEx>
        <w:trPr>
          <w:trHeight w:val="480"/>
          <w:jc w:val="center"/>
        </w:trPr>
        <w:tc>
          <w:tcPr>
            <w:tcW w:w="614"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highlight w:val="none"/>
              </w:rPr>
            </w:pPr>
            <w:r>
              <w:rPr>
                <w:rFonts w:ascii="宋体" w:eastAsia="宋体" w:hAnsi="宋体" w:cs="宋体" w:hint="eastAsia"/>
                <w:color w:val="000000"/>
                <w:sz w:val="21"/>
                <w:szCs w:val="21"/>
                <w:highlight w:val="none"/>
              </w:rPr>
              <w:t>3</w:t>
            </w:r>
          </w:p>
        </w:tc>
        <w:tc>
          <w:tcPr>
            <w:tcW w:w="2094" w:type="pct"/>
            <w:noWrap w:val="0"/>
            <w:vAlign w:val="top"/>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highlight w:val="none"/>
              </w:rPr>
            </w:pPr>
          </w:p>
        </w:tc>
        <w:tc>
          <w:tcPr>
            <w:tcW w:w="1135"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highlight w:val="none"/>
              </w:rPr>
            </w:pPr>
          </w:p>
        </w:tc>
        <w:tc>
          <w:tcPr>
            <w:tcW w:w="1155"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highlight w:val="none"/>
              </w:rPr>
            </w:pPr>
          </w:p>
        </w:tc>
      </w:tr>
      <w:tr>
        <w:tblPrEx>
          <w:tblW w:w="4997" w:type="pct"/>
          <w:jc w:val="center"/>
          <w:tblCellMar>
            <w:top w:w="0" w:type="dxa"/>
            <w:left w:w="108" w:type="dxa"/>
            <w:bottom w:w="0" w:type="dxa"/>
            <w:right w:w="108" w:type="dxa"/>
          </w:tblCellMar>
        </w:tblPrEx>
        <w:trPr>
          <w:trHeight w:val="480"/>
          <w:jc w:val="center"/>
        </w:trPr>
        <w:tc>
          <w:tcPr>
            <w:tcW w:w="614"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highlight w:val="none"/>
              </w:rPr>
            </w:pPr>
            <w:r>
              <w:rPr>
                <w:rFonts w:ascii="宋体" w:eastAsia="宋体" w:hAnsi="宋体" w:cs="宋体" w:hint="eastAsia"/>
                <w:color w:val="000000"/>
                <w:sz w:val="21"/>
                <w:szCs w:val="21"/>
                <w:highlight w:val="none"/>
              </w:rPr>
              <w:t>...</w:t>
            </w:r>
          </w:p>
        </w:tc>
        <w:tc>
          <w:tcPr>
            <w:tcW w:w="2094" w:type="pct"/>
            <w:noWrap w:val="0"/>
            <w:vAlign w:val="top"/>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highlight w:val="none"/>
              </w:rPr>
            </w:pPr>
          </w:p>
        </w:tc>
        <w:tc>
          <w:tcPr>
            <w:tcW w:w="1135"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highlight w:val="none"/>
              </w:rPr>
            </w:pPr>
          </w:p>
        </w:tc>
        <w:tc>
          <w:tcPr>
            <w:tcW w:w="1155"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highlight w:val="none"/>
              </w:rPr>
            </w:pPr>
          </w:p>
        </w:tc>
      </w:tr>
      <w:tr>
        <w:tblPrEx>
          <w:tblW w:w="4997" w:type="pct"/>
          <w:jc w:val="center"/>
          <w:tblCellMar>
            <w:top w:w="0" w:type="dxa"/>
            <w:left w:w="108" w:type="dxa"/>
            <w:bottom w:w="0" w:type="dxa"/>
            <w:right w:w="108" w:type="dxa"/>
          </w:tblCellMar>
        </w:tblPrEx>
        <w:trPr>
          <w:trHeight w:val="480"/>
          <w:jc w:val="center"/>
        </w:trPr>
        <w:tc>
          <w:tcPr>
            <w:tcW w:w="3844" w:type="pct"/>
            <w:gridSpan w:val="3"/>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both"/>
              <w:textAlignment w:val="auto"/>
              <w:rPr>
                <w:rFonts w:ascii="宋体" w:eastAsia="宋体" w:hAnsi="宋体" w:cs="宋体" w:hint="eastAsia"/>
                <w:color w:val="000000"/>
                <w:sz w:val="21"/>
                <w:szCs w:val="21"/>
                <w:highlight w:val="none"/>
              </w:rPr>
            </w:pPr>
            <w:r>
              <w:rPr>
                <w:rFonts w:ascii="宋体" w:eastAsia="宋体" w:hAnsi="宋体" w:cs="宋体" w:hint="eastAsia"/>
                <w:bCs/>
                <w:color w:val="000000"/>
                <w:sz w:val="21"/>
                <w:szCs w:val="21"/>
                <w:highlight w:val="none"/>
              </w:rPr>
              <w:t>投标总价（元）</w:t>
            </w:r>
            <w:r>
              <w:rPr>
                <w:rFonts w:ascii="宋体" w:eastAsia="宋体" w:hAnsi="宋体" w:cs="宋体" w:hint="eastAsia"/>
                <w:bCs/>
                <w:color w:val="000000"/>
                <w:sz w:val="21"/>
                <w:szCs w:val="21"/>
                <w:highlight w:val="none"/>
                <w:lang w:eastAsia="zh-CN"/>
              </w:rPr>
              <w:t>：</w:t>
            </w:r>
            <w:r>
              <w:rPr>
                <w:rFonts w:ascii="宋体" w:eastAsia="宋体" w:hAnsi="宋体" w:cs="宋体" w:hint="eastAsia"/>
                <w:bCs/>
                <w:color w:val="000000"/>
                <w:sz w:val="21"/>
                <w:szCs w:val="21"/>
                <w:highlight w:val="none"/>
              </w:rPr>
              <w:tab/>
            </w:r>
          </w:p>
        </w:tc>
        <w:tc>
          <w:tcPr>
            <w:tcW w:w="1155"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both"/>
              <w:textAlignment w:val="auto"/>
              <w:rPr>
                <w:rFonts w:ascii="宋体" w:eastAsia="宋体" w:hAnsi="宋体" w:cs="宋体" w:hint="eastAsia"/>
                <w:color w:val="000000"/>
                <w:sz w:val="21"/>
                <w:szCs w:val="21"/>
                <w:highlight w:val="none"/>
              </w:rPr>
            </w:pPr>
          </w:p>
        </w:tc>
      </w:tr>
    </w:tbl>
    <w:p>
      <w:pPr>
        <w:keepNext w:val="0"/>
        <w:keepLines w:val="0"/>
        <w:pageBreakBefore w:val="0"/>
        <w:widowControl/>
        <w:kinsoku/>
        <w:wordWrap/>
        <w:overflowPunct/>
        <w:topLinePunct w:val="0"/>
        <w:autoSpaceDE/>
        <w:autoSpaceDN/>
        <w:bidi w:val="0"/>
        <w:adjustRightInd/>
        <w:snapToGrid/>
        <w:spacing w:line="240" w:lineRule="auto"/>
        <w:textAlignment w:val="auto"/>
        <w:rPr>
          <w:rFonts w:ascii="宋体" w:eastAsia="宋体" w:hAnsi="宋体" w:cs="宋体" w:hint="eastAsia"/>
          <w:b/>
          <w:bCs/>
          <w:color w:val="000000"/>
          <w:sz w:val="21"/>
          <w:szCs w:val="21"/>
          <w:highlight w:val="none"/>
        </w:rPr>
      </w:pPr>
      <w:r>
        <w:rPr>
          <w:rFonts w:ascii="宋体" w:eastAsia="宋体" w:hAnsi="宋体" w:cs="宋体" w:hint="eastAsia"/>
          <w:b/>
          <w:bCs/>
          <w:color w:val="000000"/>
          <w:sz w:val="21"/>
          <w:szCs w:val="21"/>
          <w:highlight w:val="none"/>
        </w:rPr>
        <w:t>注：</w:t>
      </w:r>
    </w:p>
    <w:p>
      <w:pPr>
        <w:keepNext w:val="0"/>
        <w:keepLines w:val="0"/>
        <w:pageBreakBefore w:val="0"/>
        <w:widowControl/>
        <w:tabs>
          <w:tab w:val="left" w:pos="424"/>
        </w:tabs>
        <w:kinsoku/>
        <w:wordWrap/>
        <w:overflowPunct/>
        <w:topLinePunct w:val="0"/>
        <w:autoSpaceDE/>
        <w:autoSpaceDN/>
        <w:bidi w:val="0"/>
        <w:adjustRightInd/>
        <w:snapToGrid/>
        <w:spacing w:line="240" w:lineRule="auto"/>
        <w:jc w:val="left"/>
        <w:textAlignment w:val="auto"/>
        <w:rPr>
          <w:rFonts w:ascii="宋体" w:eastAsia="宋体" w:hAnsi="宋体" w:cs="宋体" w:hint="eastAsia"/>
          <w:b/>
          <w:color w:val="000000"/>
          <w:sz w:val="21"/>
          <w:szCs w:val="21"/>
          <w:highlight w:val="none"/>
        </w:rPr>
      </w:pPr>
      <w:r>
        <w:rPr>
          <w:rFonts w:ascii="宋体" w:eastAsia="宋体" w:hAnsi="宋体" w:cs="宋体" w:hint="eastAsia"/>
          <w:b/>
          <w:color w:val="000000"/>
          <w:sz w:val="21"/>
          <w:szCs w:val="21"/>
          <w:highlight w:val="none"/>
        </w:rPr>
        <w:t>1.本表格仅为指导性范本，供应商应根据项目具体情况对各分项内容进行调整提供详细分项报价。</w:t>
      </w:r>
    </w:p>
    <w:p>
      <w:pPr>
        <w:keepNext w:val="0"/>
        <w:keepLines w:val="0"/>
        <w:pageBreakBefore w:val="0"/>
        <w:widowControl/>
        <w:tabs>
          <w:tab w:val="left" w:pos="424"/>
        </w:tabs>
        <w:kinsoku/>
        <w:wordWrap/>
        <w:overflowPunct/>
        <w:topLinePunct w:val="0"/>
        <w:autoSpaceDE/>
        <w:autoSpaceDN/>
        <w:bidi w:val="0"/>
        <w:adjustRightInd/>
        <w:snapToGrid/>
        <w:spacing w:line="240" w:lineRule="auto"/>
        <w:jc w:val="left"/>
        <w:textAlignment w:val="auto"/>
        <w:rPr>
          <w:rFonts w:ascii="宋体" w:eastAsia="宋体" w:hAnsi="宋体" w:cs="宋体" w:hint="eastAsia"/>
          <w:b/>
          <w:color w:val="auto"/>
          <w:sz w:val="21"/>
          <w:szCs w:val="21"/>
          <w:highlight w:val="none"/>
        </w:rPr>
      </w:pPr>
      <w:r>
        <w:rPr>
          <w:rFonts w:ascii="宋体" w:eastAsia="宋体" w:hAnsi="宋体" w:cs="宋体" w:hint="eastAsia"/>
          <w:b/>
          <w:color w:val="000000"/>
          <w:sz w:val="21"/>
          <w:szCs w:val="21"/>
          <w:highlight w:val="none"/>
        </w:rPr>
        <w:t>2.分项报价的汇总价等于“开标一览表”中的</w:t>
      </w:r>
      <w:r>
        <w:rPr>
          <w:rFonts w:ascii="宋体" w:eastAsia="宋体" w:hAnsi="宋体" w:cs="宋体" w:hint="eastAsia"/>
          <w:b/>
          <w:color w:val="auto"/>
          <w:sz w:val="21"/>
          <w:szCs w:val="21"/>
          <w:highlight w:val="none"/>
        </w:rPr>
        <w:t>报价总价。</w:t>
      </w:r>
    </w:p>
    <w:p>
      <w:pPr>
        <w:keepNext w:val="0"/>
        <w:keepLines w:val="0"/>
        <w:pageBreakBefore w:val="0"/>
        <w:widowControl/>
        <w:kinsoku/>
        <w:wordWrap/>
        <w:overflowPunct/>
        <w:topLinePunct w:val="0"/>
        <w:autoSpaceDE/>
        <w:autoSpaceDN/>
        <w:bidi w:val="0"/>
        <w:adjustRightInd/>
        <w:snapToGrid/>
        <w:spacing w:line="240" w:lineRule="auto"/>
        <w:textAlignment w:val="auto"/>
        <w:rPr>
          <w:rFonts w:ascii="宋体" w:eastAsia="宋体" w:hAnsi="宋体" w:cs="宋体" w:hint="eastAsia"/>
          <w:b/>
          <w:color w:val="auto"/>
          <w:sz w:val="21"/>
          <w:szCs w:val="21"/>
          <w:highlight w:val="none"/>
        </w:rPr>
      </w:pPr>
      <w:r>
        <w:rPr>
          <w:rFonts w:ascii="宋体" w:eastAsia="宋体" w:hAnsi="宋体" w:cs="宋体" w:hint="eastAsia"/>
          <w:b/>
          <w:bCs/>
          <w:color w:val="auto"/>
          <w:sz w:val="21"/>
          <w:szCs w:val="21"/>
          <w:highlight w:val="none"/>
        </w:rPr>
        <w:t>3.</w:t>
      </w:r>
      <w:r>
        <w:rPr>
          <w:rFonts w:ascii="宋体" w:eastAsia="宋体" w:hAnsi="宋体" w:cs="宋体" w:hint="eastAsia"/>
          <w:b/>
          <w:color w:val="auto"/>
          <w:sz w:val="21"/>
          <w:szCs w:val="21"/>
          <w:highlight w:val="none"/>
        </w:rPr>
        <w:t>如果以上内容无法满足投标人对报价描述，可自行添加包含在价格因素内的一切内容，但不提供详细分项报价将视为没有实质性响应招标文件</w:t>
      </w:r>
      <w:r>
        <w:rPr>
          <w:rFonts w:ascii="宋体" w:eastAsia="宋体" w:hAnsi="宋体" w:cs="宋体" w:hint="eastAsia"/>
          <w:b w:val="0"/>
          <w:color w:val="auto"/>
          <w:sz w:val="21"/>
          <w:szCs w:val="21"/>
          <w:highlight w:val="none"/>
        </w:rPr>
        <w:t>。</w:t>
      </w:r>
    </w:p>
    <w:p>
      <w:pPr>
        <w:rPr>
          <w:highlight w:val="none"/>
        </w:rPr>
      </w:pPr>
    </w:p>
    <w:p>
      <w:pPr>
        <w:pStyle w:val="Heading3"/>
        <w:jc w:val="center"/>
        <w:rPr>
          <w:rFonts w:cs="Times New Roman" w:hint="eastAsia"/>
          <w:bCs w:val="0"/>
          <w:sz w:val="24"/>
          <w:szCs w:val="24"/>
          <w:highlight w:val="none"/>
          <w:lang w:val="en-US" w:eastAsia="zh-CN"/>
        </w:rPr>
      </w:pPr>
      <w:r>
        <w:rPr>
          <w:rFonts w:cs="Times New Roman" w:hint="eastAsia"/>
          <w:bCs w:val="0"/>
          <w:sz w:val="24"/>
          <w:szCs w:val="24"/>
          <w:highlight w:val="none"/>
          <w:lang w:val="en-US" w:eastAsia="zh-CN"/>
        </w:rPr>
        <w:t>五、供应商同类业绩情况</w:t>
      </w:r>
    </w:p>
    <w:p>
      <w:pPr>
        <w:pStyle w:val="Heading3"/>
        <w:jc w:val="center"/>
        <w:rPr>
          <w:rFonts w:cs="Times New Roman" w:hint="eastAsia"/>
          <w:bCs w:val="0"/>
          <w:sz w:val="24"/>
          <w:szCs w:val="24"/>
          <w:highlight w:val="none"/>
          <w:lang w:val="en-US" w:eastAsia="zh-CN"/>
        </w:rPr>
      </w:pPr>
      <w:r>
        <w:rPr>
          <w:rFonts w:cs="Times New Roman" w:hint="eastAsia"/>
          <w:bCs w:val="0"/>
          <w:sz w:val="24"/>
          <w:szCs w:val="24"/>
          <w:highlight w:val="none"/>
          <w:lang w:val="en-US" w:eastAsia="zh-CN"/>
        </w:rPr>
        <w:t>六、投标人自主知识产权产品（创新、设计）情况</w:t>
      </w:r>
    </w:p>
    <w:p>
      <w:pPr>
        <w:pStyle w:val="Heading3"/>
        <w:jc w:val="center"/>
        <w:rPr>
          <w:bCs w:val="0"/>
          <w:color w:val="000000" w:themeColor="text1"/>
          <w:sz w:val="24"/>
          <w:szCs w:val="24"/>
          <w:highlight w:val="none"/>
          <w14:textFill>
            <w14:solidFill>
              <w14:schemeClr w14:val="tx1"/>
            </w14:solidFill>
          </w14:textFill>
        </w:rPr>
      </w:pPr>
      <w:r>
        <w:rPr>
          <w:rFonts w:hint="eastAsia"/>
          <w:bCs w:val="0"/>
          <w:color w:val="000000" w:themeColor="text1"/>
          <w:sz w:val="24"/>
          <w:szCs w:val="24"/>
          <w:highlight w:val="none"/>
          <w:lang w:val="en-US" w:eastAsia="zh-CN"/>
          <w14:textFill>
            <w14:solidFill>
              <w14:schemeClr w14:val="tx1"/>
            </w14:solidFill>
          </w14:textFill>
        </w:rPr>
        <w:t>七、</w:t>
      </w:r>
      <w:r>
        <w:rPr>
          <w:rFonts w:hint="eastAsia"/>
          <w:bCs w:val="0"/>
          <w:color w:val="000000" w:themeColor="text1"/>
          <w:sz w:val="24"/>
          <w:szCs w:val="24"/>
          <w:highlight w:val="none"/>
          <w14:textFill>
            <w14:solidFill>
              <w14:schemeClr w14:val="tx1"/>
            </w14:solidFill>
          </w14:textFill>
        </w:rPr>
        <w:t>投标人认为需要加以说明的其他内容（格式自定）</w:t>
      </w:r>
    </w:p>
    <w:p>
      <w:pPr>
        <w:rPr>
          <w:rFonts w:eastAsia="黑体"/>
          <w:bCs/>
          <w:highlight w:val="none"/>
        </w:rPr>
      </w:pP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ind w:firstLine="1440" w:firstLineChars="600"/>
        <w:rPr>
          <w:b/>
          <w:color w:val="FF0000"/>
          <w:highlight w:val="none"/>
        </w:rPr>
      </w:pPr>
      <w:r>
        <w:rPr>
          <w:rFonts w:hint="eastAsia"/>
          <w:b/>
          <w:color w:val="FF0000"/>
          <w:highlight w:val="none"/>
        </w:rPr>
        <w:t>（信息公开部分的内容到此为止！以下为信息不公开部分。）</w:t>
      </w:r>
    </w:p>
    <w:p>
      <w:pPr>
        <w:ind w:firstLine="1440" w:firstLineChars="600"/>
        <w:rPr>
          <w:b/>
          <w:color w:val="FF0000"/>
          <w:highlight w:val="none"/>
        </w:rPr>
      </w:pPr>
    </w:p>
    <w:p>
      <w:pPr>
        <w:ind w:firstLine="1440" w:firstLineChars="600"/>
        <w:rPr>
          <w:b/>
          <w:color w:val="FF0000"/>
          <w:highlight w:val="none"/>
        </w:rPr>
      </w:pPr>
    </w:p>
    <w:p>
      <w:pPr>
        <w:rPr>
          <w:b/>
          <w:color w:val="FF0000"/>
          <w:highlight w:val="none"/>
        </w:rPr>
      </w:pPr>
      <w:r>
        <w:rPr>
          <w:b/>
          <w:color w:val="FF0000"/>
          <w:highlight w:val="none"/>
        </w:rPr>
        <w:br w:type="page"/>
      </w:r>
    </w:p>
    <w:p>
      <w:pPr>
        <w:outlineLvl w:val="1"/>
        <w:rPr>
          <w:rFonts w:ascii="宋体" w:hAnsi="宋体"/>
          <w:b/>
          <w:color w:val="FF0000"/>
          <w:sz w:val="28"/>
          <w:szCs w:val="28"/>
          <w:highlight w:val="none"/>
        </w:rPr>
      </w:pPr>
      <w:r>
        <w:rPr>
          <w:rFonts w:ascii="宋体" w:hAnsi="宋体" w:hint="eastAsia"/>
          <w:b/>
          <w:color w:val="FF0000"/>
          <w:sz w:val="28"/>
          <w:szCs w:val="28"/>
          <w:highlight w:val="none"/>
        </w:rPr>
        <w:t>投标文件附件（信息不公开部分）</w:t>
      </w:r>
    </w:p>
    <w:p>
      <w:pPr>
        <w:pStyle w:val="Heading3"/>
        <w:jc w:val="center"/>
        <w:rPr>
          <w:rFonts w:ascii="黑体" w:eastAsia="黑体"/>
          <w:b w:val="0"/>
          <w:sz w:val="24"/>
          <w:highlight w:val="none"/>
        </w:rPr>
      </w:pPr>
      <w:r>
        <w:rPr>
          <w:rFonts w:ascii="黑体" w:eastAsia="黑体" w:hint="eastAsia"/>
          <w:bCs w:val="0"/>
          <w:color w:val="000000" w:themeColor="text1"/>
          <w:sz w:val="24"/>
          <w:highlight w:val="none"/>
          <w14:textFill>
            <w14:solidFill>
              <w14:schemeClr w14:val="tx1"/>
            </w14:solidFill>
          </w14:textFill>
        </w:rPr>
        <w:t>一、</w:t>
      </w:r>
      <w:bookmarkStart w:id="43" w:name="_Hlk72092499"/>
      <w:r>
        <w:rPr>
          <w:rFonts w:ascii="黑体" w:eastAsia="黑体" w:hint="eastAsia"/>
          <w:b w:val="0"/>
          <w:sz w:val="24"/>
          <w:highlight w:val="none"/>
        </w:rPr>
        <w:t>法定代表人（负责人或</w:t>
      </w:r>
      <w:r>
        <w:rPr>
          <w:rFonts w:ascii="黑体" w:eastAsia="黑体" w:hint="eastAsia"/>
          <w:b w:val="0"/>
          <w:color w:val="4F81BD" w:themeColor="accent1"/>
          <w:sz w:val="24"/>
          <w:highlight w:val="none"/>
          <w14:textFill>
            <w14:solidFill>
              <w14:schemeClr w14:val="accent1"/>
            </w14:solidFill>
          </w14:textFill>
        </w:rPr>
        <w:t>执行事务合伙人</w:t>
      </w:r>
      <w:r>
        <w:rPr>
          <w:rFonts w:ascii="黑体" w:eastAsia="黑体" w:hint="eastAsia"/>
          <w:b w:val="0"/>
          <w:sz w:val="24"/>
          <w:highlight w:val="none"/>
        </w:rPr>
        <w:t>）资格证明书</w:t>
      </w:r>
      <w:bookmarkEnd w:id="43"/>
    </w:p>
    <w:p>
      <w:pPr>
        <w:keepNext w:val="0"/>
        <w:keepLines w:val="0"/>
        <w:pageBreakBefore w:val="0"/>
        <w:widowControl w:val="0"/>
        <w:kinsoku/>
        <w:wordWrap/>
        <w:overflowPunct/>
        <w:topLinePunct w:val="0"/>
        <w:autoSpaceDE/>
        <w:autoSpaceDN/>
        <w:bidi w:val="0"/>
        <w:adjustRightInd/>
        <w:snapToGrid/>
        <w:spacing w:line="340" w:lineRule="exact"/>
        <w:jc w:val="left"/>
        <w:textAlignment w:val="auto"/>
        <w:rPr>
          <w:rFonts w:asciiTheme="minorEastAsia" w:eastAsiaTheme="minorEastAsia" w:hAnsiTheme="minorEastAsia" w:cstheme="minorEastAsia" w:hint="eastAsia"/>
          <w:color w:val="000000"/>
          <w:sz w:val="24"/>
          <w:highlight w:val="none"/>
        </w:rPr>
      </w:pPr>
      <w:r>
        <w:rPr>
          <w:rFonts w:asciiTheme="minorEastAsia" w:eastAsiaTheme="minorEastAsia" w:hAnsiTheme="minorEastAsia" w:cstheme="minorEastAsia" w:hint="eastAsia"/>
          <w:color w:val="000000"/>
          <w:sz w:val="24"/>
          <w:highlight w:val="none"/>
        </w:rPr>
        <w:t>致友和保险经纪有限公司：</w:t>
      </w:r>
    </w:p>
    <w:p>
      <w:pPr>
        <w:keepNext w:val="0"/>
        <w:keepLines w:val="0"/>
        <w:pageBreakBefore w:val="0"/>
        <w:kinsoku/>
        <w:wordWrap/>
        <w:overflowPunct/>
        <w:topLinePunct w:val="0"/>
        <w:autoSpaceDE/>
        <w:autoSpaceDN/>
        <w:bidi w:val="0"/>
        <w:adjustRightInd/>
        <w:spacing w:line="340" w:lineRule="exact"/>
        <w:textAlignment w:val="auto"/>
        <w:rPr>
          <w:rFonts w:asciiTheme="minorEastAsia" w:eastAsiaTheme="minorEastAsia" w:hAnsiTheme="minorEastAsia" w:cstheme="minorEastAsia" w:hint="eastAsia"/>
          <w:sz w:val="24"/>
          <w:highlight w:val="none"/>
        </w:rPr>
      </w:pPr>
    </w:p>
    <w:p>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asciiTheme="minorEastAsia" w:eastAsiaTheme="minorEastAsia" w:hAnsiTheme="minorEastAsia" w:cstheme="minorEastAsia" w:hint="eastAsia"/>
          <w:color w:val="000000"/>
          <w:sz w:val="24"/>
          <w:highlight w:val="none"/>
          <w:u w:val="single"/>
        </w:rPr>
      </w:pPr>
      <w:r>
        <w:rPr>
          <w:rFonts w:asciiTheme="minorEastAsia" w:eastAsiaTheme="minorEastAsia" w:hAnsiTheme="minorEastAsia" w:cstheme="minorEastAsia" w:hint="eastAsia"/>
          <w:color w:val="000000"/>
          <w:sz w:val="24"/>
          <w:highlight w:val="none"/>
        </w:rPr>
        <w:t>单位名称：</w:t>
      </w:r>
      <w:r>
        <w:rPr>
          <w:rFonts w:asciiTheme="minorEastAsia" w:eastAsiaTheme="minorEastAsia" w:hAnsiTheme="minorEastAsia" w:cstheme="minorEastAsia" w:hint="eastAsia"/>
          <w:color w:val="000000"/>
          <w:sz w:val="24"/>
          <w:highlight w:val="none"/>
          <w:u w:val="single"/>
          <w:lang w:val="en-US" w:eastAsia="zh-CN"/>
        </w:rPr>
        <w:t xml:space="preserve">                   </w:t>
      </w:r>
      <w:r>
        <w:rPr>
          <w:rFonts w:asciiTheme="minorEastAsia" w:eastAsiaTheme="minorEastAsia" w:hAnsiTheme="minorEastAsia" w:cstheme="minorEastAsia" w:hint="eastAsia"/>
          <w:color w:val="000000"/>
          <w:sz w:val="24"/>
          <w:highlight w:val="none"/>
          <w:u w:val="single"/>
        </w:rPr>
        <w:softHyphen/>
      </w:r>
      <w:r>
        <w:rPr>
          <w:rFonts w:asciiTheme="minorEastAsia" w:eastAsiaTheme="minorEastAsia" w:hAnsiTheme="minorEastAsia" w:cstheme="minorEastAsia" w:hint="eastAsia"/>
          <w:color w:val="000000"/>
          <w:sz w:val="24"/>
          <w:highlight w:val="none"/>
          <w:u w:val="single"/>
        </w:rPr>
        <w:softHyphen/>
      </w:r>
      <w:r>
        <w:rPr>
          <w:rFonts w:asciiTheme="minorEastAsia" w:eastAsiaTheme="minorEastAsia" w:hAnsiTheme="minorEastAsia" w:cstheme="minorEastAsia" w:hint="eastAsia"/>
          <w:color w:val="000000"/>
          <w:sz w:val="24"/>
          <w:highlight w:val="none"/>
          <w:u w:val="single"/>
        </w:rPr>
        <w:softHyphen/>
      </w:r>
      <w:r>
        <w:rPr>
          <w:rFonts w:asciiTheme="minorEastAsia" w:eastAsiaTheme="minorEastAsia" w:hAnsiTheme="minorEastAsia" w:cstheme="minorEastAsia" w:hint="eastAsia"/>
          <w:color w:val="000000"/>
          <w:sz w:val="24"/>
          <w:highlight w:val="none"/>
          <w:u w:val="single"/>
        </w:rPr>
        <w:softHyphen/>
      </w:r>
      <w:r>
        <w:rPr>
          <w:rFonts w:asciiTheme="minorEastAsia" w:eastAsiaTheme="minorEastAsia" w:hAnsiTheme="minorEastAsia" w:cstheme="minorEastAsia" w:hint="eastAsia"/>
          <w:color w:val="000000"/>
          <w:sz w:val="24"/>
          <w:highlight w:val="none"/>
          <w:u w:val="single"/>
        </w:rPr>
        <w:softHyphen/>
      </w:r>
    </w:p>
    <w:p>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asciiTheme="minorEastAsia" w:eastAsiaTheme="minorEastAsia" w:hAnsiTheme="minorEastAsia" w:cstheme="minorEastAsia" w:hint="eastAsia"/>
          <w:color w:val="000000"/>
          <w:sz w:val="24"/>
          <w:highlight w:val="none"/>
        </w:rPr>
      </w:pPr>
      <w:r>
        <w:rPr>
          <w:rFonts w:asciiTheme="minorEastAsia" w:eastAsiaTheme="minorEastAsia" w:hAnsiTheme="minorEastAsia" w:cstheme="minorEastAsia" w:hint="eastAsia"/>
          <w:color w:val="000000"/>
          <w:sz w:val="24"/>
          <w:highlight w:val="none"/>
        </w:rPr>
        <w:t>地    址：</w:t>
      </w:r>
      <w:r>
        <w:rPr>
          <w:rFonts w:asciiTheme="minorEastAsia" w:eastAsiaTheme="minorEastAsia" w:hAnsiTheme="minorEastAsia" w:cstheme="minorEastAsia" w:hint="eastAsia"/>
          <w:color w:val="000000"/>
          <w:sz w:val="24"/>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asciiTheme="minorEastAsia" w:eastAsiaTheme="minorEastAsia" w:hAnsiTheme="minorEastAsia" w:cstheme="minorEastAsia" w:hint="eastAsia"/>
          <w:color w:val="000000"/>
          <w:sz w:val="24"/>
          <w:highlight w:val="none"/>
        </w:rPr>
      </w:pPr>
      <w:r>
        <w:rPr>
          <w:rFonts w:asciiTheme="minorEastAsia" w:eastAsiaTheme="minorEastAsia" w:hAnsiTheme="minorEastAsia" w:cstheme="minorEastAsia" w:hint="eastAsia"/>
          <w:color w:val="000000"/>
          <w:sz w:val="24"/>
          <w:highlight w:val="none"/>
        </w:rPr>
        <w:t>姓    名：</w:t>
      </w:r>
      <w:r>
        <w:rPr>
          <w:rFonts w:asciiTheme="minorEastAsia" w:eastAsiaTheme="minorEastAsia" w:hAnsiTheme="minorEastAsia" w:cstheme="minorEastAsia" w:hint="eastAsia"/>
          <w:color w:val="000000"/>
          <w:sz w:val="24"/>
          <w:highlight w:val="none"/>
          <w:u w:val="single"/>
          <w:lang w:val="en-US" w:eastAsia="zh-CN"/>
        </w:rPr>
        <w:t xml:space="preserve">              </w:t>
      </w:r>
      <w:r>
        <w:rPr>
          <w:rFonts w:asciiTheme="minorEastAsia" w:eastAsiaTheme="minorEastAsia" w:hAnsiTheme="minorEastAsia" w:cstheme="minorEastAsia" w:hint="eastAsia"/>
          <w:color w:val="000000"/>
          <w:sz w:val="24"/>
          <w:highlight w:val="none"/>
          <w:lang w:val="en-US" w:eastAsia="zh-CN"/>
        </w:rPr>
        <w:t xml:space="preserve"> </w:t>
      </w:r>
      <w:r>
        <w:rPr>
          <w:rFonts w:asciiTheme="minorEastAsia" w:eastAsiaTheme="minorEastAsia" w:hAnsiTheme="minorEastAsia" w:cstheme="minorEastAsia" w:hint="eastAsia"/>
          <w:color w:val="000000"/>
          <w:sz w:val="24"/>
          <w:highlight w:val="none"/>
        </w:rPr>
        <w:t>性别：</w:t>
      </w:r>
      <w:r>
        <w:rPr>
          <w:rFonts w:asciiTheme="minorEastAsia" w:eastAsiaTheme="minorEastAsia" w:hAnsiTheme="minorEastAsia" w:cstheme="minorEastAsia" w:hint="eastAsia"/>
          <w:color w:val="000000"/>
          <w:sz w:val="24"/>
          <w:highlight w:val="none"/>
          <w:u w:val="single"/>
          <w:lang w:val="en-US" w:eastAsia="zh-CN"/>
        </w:rPr>
        <w:t xml:space="preserve">          </w:t>
      </w:r>
      <w:r>
        <w:rPr>
          <w:rFonts w:asciiTheme="minorEastAsia" w:eastAsiaTheme="minorEastAsia" w:hAnsiTheme="minorEastAsia" w:cstheme="minorEastAsia" w:hint="eastAsia"/>
          <w:color w:val="000000"/>
          <w:sz w:val="24"/>
          <w:highlight w:val="none"/>
          <w:lang w:val="en-US" w:eastAsia="zh-CN"/>
        </w:rPr>
        <w:t xml:space="preserve"> </w:t>
      </w:r>
      <w:r>
        <w:rPr>
          <w:rFonts w:asciiTheme="minorEastAsia" w:eastAsiaTheme="minorEastAsia" w:hAnsiTheme="minorEastAsia" w:cstheme="minorEastAsia" w:hint="eastAsia"/>
          <w:color w:val="000000"/>
          <w:sz w:val="24"/>
          <w:highlight w:val="none"/>
        </w:rPr>
        <w:t>年龄：</w:t>
      </w:r>
      <w:r>
        <w:rPr>
          <w:rFonts w:asciiTheme="minorEastAsia" w:eastAsiaTheme="minorEastAsia" w:hAnsiTheme="minorEastAsia" w:cstheme="minorEastAsia" w:hint="eastAsia"/>
          <w:color w:val="000000"/>
          <w:sz w:val="24"/>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asciiTheme="minorEastAsia" w:eastAsiaTheme="minorEastAsia" w:hAnsiTheme="minorEastAsia" w:cstheme="minorEastAsia" w:hint="eastAsia"/>
          <w:color w:val="000000"/>
          <w:sz w:val="24"/>
          <w:highlight w:val="none"/>
        </w:rPr>
      </w:pPr>
      <w:r>
        <w:rPr>
          <w:rFonts w:asciiTheme="minorEastAsia" w:eastAsiaTheme="minorEastAsia" w:hAnsiTheme="minorEastAsia" w:cstheme="minorEastAsia" w:hint="eastAsia"/>
          <w:color w:val="000000"/>
          <w:sz w:val="24"/>
          <w:highlight w:val="none"/>
        </w:rPr>
        <w:t>身份证号码：</w:t>
      </w:r>
      <w:r>
        <w:rPr>
          <w:rFonts w:asciiTheme="minorEastAsia" w:eastAsiaTheme="minorEastAsia" w:hAnsiTheme="minorEastAsia" w:cstheme="minorEastAsia" w:hint="eastAsia"/>
          <w:color w:val="000000"/>
          <w:sz w:val="24"/>
          <w:highlight w:val="none"/>
          <w:u w:val="single"/>
          <w:lang w:val="en-US" w:eastAsia="zh-CN"/>
        </w:rPr>
        <w:t xml:space="preserve">                     </w:t>
      </w:r>
      <w:r>
        <w:rPr>
          <w:rFonts w:asciiTheme="minorEastAsia" w:eastAsiaTheme="minorEastAsia" w:hAnsiTheme="minorEastAsia" w:cstheme="minorEastAsia" w:hint="eastAsia"/>
          <w:color w:val="000000"/>
          <w:sz w:val="24"/>
          <w:highlight w:val="none"/>
        </w:rPr>
        <w:t>职务：</w:t>
      </w:r>
      <w:r>
        <w:rPr>
          <w:rFonts w:asciiTheme="minorEastAsia" w:eastAsiaTheme="minorEastAsia" w:hAnsiTheme="minorEastAsia" w:cstheme="minorEastAsia" w:hint="eastAsia"/>
          <w:color w:val="000000"/>
          <w:sz w:val="24"/>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asciiTheme="minorEastAsia" w:eastAsiaTheme="minorEastAsia" w:hAnsiTheme="minorEastAsia" w:cstheme="minorEastAsia" w:hint="eastAsia"/>
          <w:color w:val="000000"/>
          <w:sz w:val="24"/>
          <w:highlight w:val="none"/>
        </w:rPr>
      </w:pPr>
      <w:r>
        <w:rPr>
          <w:rFonts w:asciiTheme="minorEastAsia" w:eastAsiaTheme="minorEastAsia" w:hAnsiTheme="minorEastAsia" w:cstheme="minorEastAsia" w:hint="eastAsia"/>
          <w:color w:val="000000"/>
          <w:sz w:val="24"/>
          <w:highlight w:val="none"/>
          <w:lang w:val="en-US" w:eastAsia="zh-CN"/>
        </w:rPr>
        <w:t>联系电话或手机号码</w:t>
      </w:r>
      <w:r>
        <w:rPr>
          <w:rFonts w:asciiTheme="minorEastAsia" w:eastAsiaTheme="minorEastAsia" w:hAnsiTheme="minorEastAsia" w:cstheme="minorEastAsia" w:hint="eastAsia"/>
          <w:color w:val="000000"/>
          <w:sz w:val="24"/>
          <w:highlight w:val="none"/>
          <w:u w:val="single"/>
          <w:lang w:val="en-US" w:eastAsia="zh-CN"/>
        </w:rPr>
        <w:t>：（如法定代表人为投标人代表，则必须需填写此项）</w:t>
      </w:r>
      <w:r>
        <w:rPr>
          <w:rFonts w:asciiTheme="minorEastAsia" w:eastAsiaTheme="minorEastAsia" w:hAnsiTheme="minorEastAsia" w:cstheme="minorEastAsia" w:hint="eastAsia"/>
          <w:color w:val="000000"/>
          <w:sz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asciiTheme="minorEastAsia" w:eastAsiaTheme="minorEastAsia" w:hAnsiTheme="minorEastAsia" w:cstheme="minorEastAsia" w:hint="eastAsia"/>
          <w:color w:val="000000"/>
          <w:sz w:val="24"/>
          <w:highlight w:val="none"/>
        </w:rPr>
      </w:pPr>
      <w:r>
        <w:rPr>
          <w:rFonts w:asciiTheme="minorEastAsia" w:eastAsiaTheme="minorEastAsia" w:hAnsiTheme="minorEastAsia" w:cstheme="minorEastAsia" w:hint="eastAsia"/>
          <w:color w:val="000000"/>
          <w:sz w:val="24"/>
          <w:highlight w:val="none"/>
        </w:rPr>
        <w:t>我系</w:t>
      </w:r>
      <w:r>
        <w:rPr>
          <w:rFonts w:asciiTheme="minorEastAsia" w:eastAsiaTheme="minorEastAsia" w:hAnsiTheme="minorEastAsia" w:cstheme="minorEastAsia" w:hint="eastAsia"/>
          <w:color w:val="000000"/>
          <w:sz w:val="24"/>
          <w:highlight w:val="none"/>
          <w:u w:val="single"/>
          <w:lang w:val="en-US" w:eastAsia="zh-CN"/>
        </w:rPr>
        <w:t xml:space="preserve">  </w:t>
      </w:r>
      <w:r>
        <w:rPr>
          <w:rFonts w:asciiTheme="minorEastAsia" w:eastAsiaTheme="minorEastAsia" w:hAnsiTheme="minorEastAsia" w:cstheme="minorEastAsia" w:hint="eastAsia"/>
          <w:color w:val="000000"/>
          <w:sz w:val="24"/>
          <w:highlight w:val="none"/>
          <w:u w:val="single"/>
        </w:rPr>
        <w:t>投标人名称</w:t>
      </w:r>
      <w:r>
        <w:rPr>
          <w:rFonts w:asciiTheme="minorEastAsia" w:eastAsiaTheme="minorEastAsia" w:hAnsiTheme="minorEastAsia" w:cstheme="minorEastAsia" w:hint="eastAsia"/>
          <w:color w:val="000000"/>
          <w:sz w:val="24"/>
          <w:highlight w:val="none"/>
          <w:u w:val="single"/>
          <w:lang w:val="en-US" w:eastAsia="zh-CN"/>
        </w:rPr>
        <w:t xml:space="preserve"> </w:t>
      </w:r>
      <w:r>
        <w:rPr>
          <w:rFonts w:asciiTheme="minorEastAsia" w:eastAsiaTheme="minorEastAsia" w:hAnsiTheme="minorEastAsia" w:cstheme="minorEastAsia" w:hint="eastAsia"/>
          <w:color w:val="000000"/>
          <w:sz w:val="24"/>
          <w:highlight w:val="none"/>
        </w:rPr>
        <w:t>的法定代表人（</w:t>
      </w:r>
      <w:r>
        <w:rPr>
          <w:rFonts w:asciiTheme="minorEastAsia" w:eastAsiaTheme="minorEastAsia" w:hAnsiTheme="minorEastAsia" w:cstheme="minorEastAsia" w:hint="eastAsia"/>
          <w:color w:val="000000"/>
          <w:sz w:val="24"/>
          <w:highlight w:val="none"/>
          <w:lang w:eastAsia="zh-CN"/>
        </w:rPr>
        <w:t>负责人或执行事务合伙人</w:t>
      </w:r>
      <w:r>
        <w:rPr>
          <w:rFonts w:asciiTheme="minorEastAsia" w:eastAsiaTheme="minorEastAsia" w:hAnsiTheme="minorEastAsia" w:cstheme="minorEastAsia" w:hint="eastAsia"/>
          <w:color w:val="000000"/>
          <w:sz w:val="24"/>
          <w:highlight w:val="none"/>
        </w:rPr>
        <w:t>）。本证明书用于</w:t>
      </w:r>
      <w:r>
        <w:rPr>
          <w:rFonts w:asciiTheme="minorEastAsia" w:eastAsiaTheme="minorEastAsia" w:hAnsiTheme="minorEastAsia" w:cstheme="minorEastAsia" w:hint="eastAsia"/>
          <w:color w:val="000000"/>
          <w:sz w:val="24"/>
          <w:highlight w:val="none"/>
          <w:u w:val="single"/>
          <w:lang w:val="en-US" w:eastAsia="zh-CN"/>
        </w:rPr>
        <w:t xml:space="preserve"> </w:t>
      </w:r>
      <w:r>
        <w:rPr>
          <w:rFonts w:asciiTheme="minorEastAsia" w:eastAsiaTheme="minorEastAsia" w:hAnsiTheme="minorEastAsia" w:cstheme="minorEastAsia" w:hint="eastAsia"/>
          <w:color w:val="000000"/>
          <w:sz w:val="24"/>
          <w:highlight w:val="none"/>
          <w:u w:val="single"/>
          <w:lang w:eastAsia="zh-CN"/>
        </w:rPr>
        <w:t>投标人</w:t>
      </w:r>
      <w:r>
        <w:rPr>
          <w:rFonts w:asciiTheme="minorEastAsia" w:eastAsiaTheme="minorEastAsia" w:hAnsiTheme="minorEastAsia" w:cstheme="minorEastAsia" w:hint="eastAsia"/>
          <w:color w:val="000000"/>
          <w:sz w:val="24"/>
          <w:highlight w:val="none"/>
          <w:u w:val="single"/>
        </w:rPr>
        <w:t>名称</w:t>
      </w:r>
      <w:r>
        <w:rPr>
          <w:rFonts w:asciiTheme="minorEastAsia" w:eastAsiaTheme="minorEastAsia" w:hAnsiTheme="minorEastAsia" w:cstheme="minorEastAsia" w:hint="eastAsia"/>
          <w:color w:val="000000"/>
          <w:sz w:val="24"/>
          <w:highlight w:val="none"/>
          <w:u w:val="single"/>
          <w:lang w:val="en-US" w:eastAsia="zh-CN"/>
        </w:rPr>
        <w:t xml:space="preserve"> </w:t>
      </w:r>
      <w:r>
        <w:rPr>
          <w:rFonts w:asciiTheme="minorEastAsia" w:eastAsiaTheme="minorEastAsia" w:hAnsiTheme="minorEastAsia" w:cstheme="minorEastAsia" w:hint="eastAsia"/>
          <w:color w:val="000000"/>
          <w:sz w:val="24"/>
          <w:highlight w:val="none"/>
        </w:rPr>
        <w:t>签署</w:t>
      </w:r>
      <w:r>
        <w:rPr>
          <w:rFonts w:asciiTheme="minorEastAsia" w:eastAsiaTheme="minorEastAsia" w:hAnsiTheme="minorEastAsia" w:cstheme="minorEastAsia" w:hint="eastAsia"/>
          <w:color w:val="000000"/>
          <w:sz w:val="24"/>
          <w:highlight w:val="none"/>
          <w:u w:val="single"/>
          <w:lang w:val="en-US" w:eastAsia="zh-CN"/>
        </w:rPr>
        <w:t xml:space="preserve"> </w:t>
      </w:r>
      <w:r>
        <w:rPr>
          <w:rFonts w:asciiTheme="minorEastAsia" w:eastAsiaTheme="minorEastAsia" w:hAnsiTheme="minorEastAsia" w:cstheme="minorEastAsia" w:hint="eastAsia"/>
          <w:color w:val="000000"/>
          <w:sz w:val="24"/>
          <w:highlight w:val="none"/>
          <w:u w:val="single"/>
          <w:lang w:eastAsia="zh-CN"/>
        </w:rPr>
        <w:t>项目名称</w:t>
      </w:r>
      <w:r>
        <w:rPr>
          <w:rFonts w:asciiTheme="minorEastAsia" w:eastAsiaTheme="minorEastAsia" w:hAnsiTheme="minorEastAsia" w:cstheme="minorEastAsia" w:hint="eastAsia"/>
          <w:color w:val="000000"/>
          <w:sz w:val="24"/>
          <w:highlight w:val="none"/>
          <w:u w:val="single"/>
        </w:rPr>
        <w:t>（项目编号）</w:t>
      </w:r>
      <w:r>
        <w:rPr>
          <w:rFonts w:asciiTheme="minorEastAsia" w:eastAsiaTheme="minorEastAsia" w:hAnsiTheme="minorEastAsia" w:cstheme="minorEastAsia" w:hint="eastAsia"/>
          <w:color w:val="000000"/>
          <w:sz w:val="24"/>
          <w:highlight w:val="none"/>
        </w:rPr>
        <w:t>项目的投标文件、进行合同投标、签署合同和处理与之有关的一切事务。</w:t>
      </w:r>
    </w:p>
    <w:p>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asciiTheme="minorEastAsia" w:eastAsiaTheme="minorEastAsia" w:hAnsiTheme="minorEastAsia" w:cstheme="minorEastAsia" w:hint="eastAsia"/>
          <w:color w:val="000000"/>
          <w:sz w:val="24"/>
          <w:highlight w:val="none"/>
        </w:rPr>
      </w:pPr>
      <w:r>
        <w:rPr>
          <w:rFonts w:asciiTheme="minorEastAsia" w:eastAsiaTheme="minorEastAsia" w:hAnsiTheme="minorEastAsia" w:cstheme="minorEastAsia" w:hint="eastAsia"/>
          <w:color w:val="000000"/>
          <w:sz w:val="24"/>
          <w:highlight w:val="none"/>
        </w:rPr>
        <w:t>特此证明。</w:t>
      </w:r>
    </w:p>
    <w:p>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asciiTheme="minorEastAsia" w:eastAsiaTheme="minorEastAsia" w:hAnsiTheme="minorEastAsia" w:cstheme="minorEastAsia" w:hint="eastAsia"/>
          <w:color w:val="000000"/>
          <w:sz w:val="24"/>
          <w:highlight w:val="none"/>
        </w:rPr>
      </w:pPr>
      <w:r>
        <w:rPr>
          <w:rFonts w:asciiTheme="minorEastAsia" w:eastAsiaTheme="minorEastAsia" w:hAnsiTheme="minorEastAsia" w:cstheme="minorEastAsia" w:hint="eastAsia"/>
          <w:color w:val="000000"/>
          <w:sz w:val="24"/>
          <w:highlight w:val="none"/>
        </w:rPr>
        <w:t>日  期：</w:t>
      </w:r>
      <w:r>
        <w:rPr>
          <w:rFonts w:hint="eastAsia"/>
          <w:szCs w:val="21"/>
          <w:highlight w:val="none"/>
          <w:u w:val="single"/>
        </w:rPr>
        <w:t xml:space="preserve">      </w:t>
      </w:r>
      <w:r>
        <w:rPr>
          <w:rFonts w:asciiTheme="minorEastAsia" w:eastAsiaTheme="minorEastAsia" w:hAnsiTheme="minorEastAsia" w:cstheme="minorEastAsia" w:hint="eastAsia"/>
          <w:color w:val="000000"/>
          <w:sz w:val="24"/>
          <w:highlight w:val="none"/>
        </w:rPr>
        <w:t>年</w:t>
      </w:r>
      <w:r>
        <w:rPr>
          <w:rFonts w:hint="eastAsia"/>
          <w:szCs w:val="21"/>
          <w:highlight w:val="none"/>
          <w:u w:val="single"/>
        </w:rPr>
        <w:t xml:space="preserve">      </w:t>
      </w:r>
      <w:r>
        <w:rPr>
          <w:rFonts w:asciiTheme="minorEastAsia" w:eastAsiaTheme="minorEastAsia" w:hAnsiTheme="minorEastAsia" w:cstheme="minorEastAsia" w:hint="eastAsia"/>
          <w:color w:val="000000"/>
          <w:sz w:val="24"/>
          <w:highlight w:val="none"/>
        </w:rPr>
        <w:t>月</w:t>
      </w:r>
      <w:r>
        <w:rPr>
          <w:rFonts w:hint="eastAsia"/>
          <w:szCs w:val="21"/>
          <w:highlight w:val="none"/>
          <w:u w:val="single"/>
        </w:rPr>
        <w:t xml:space="preserve">      </w:t>
      </w:r>
      <w:r>
        <w:rPr>
          <w:rFonts w:asciiTheme="minorEastAsia" w:eastAsiaTheme="minorEastAsia" w:hAnsiTheme="minorEastAsia" w:cstheme="minorEastAsia" w:hint="eastAsia"/>
          <w:color w:val="000000"/>
          <w:sz w:val="24"/>
          <w:highlight w:val="none"/>
        </w:rPr>
        <w:t>日</w:t>
      </w:r>
    </w:p>
    <w:p>
      <w:pPr>
        <w:keepNext w:val="0"/>
        <w:keepLines w:val="0"/>
        <w:pageBreakBefore w:val="0"/>
        <w:kinsoku/>
        <w:wordWrap/>
        <w:overflowPunct/>
        <w:topLinePunct w:val="0"/>
        <w:autoSpaceDE/>
        <w:autoSpaceDN/>
        <w:bidi w:val="0"/>
        <w:adjustRightInd/>
        <w:spacing w:line="340" w:lineRule="exact"/>
        <w:textAlignment w:val="auto"/>
        <w:rPr>
          <w:rFonts w:asciiTheme="minorEastAsia" w:eastAsiaTheme="minorEastAsia" w:hAnsiTheme="minorEastAsia" w:cstheme="minorEastAsia" w:hint="eastAsia"/>
          <w:bCs/>
          <w:color w:val="000000"/>
          <w:sz w:val="24"/>
          <w:highlight w:val="none"/>
        </w:rPr>
      </w:pPr>
      <w:r>
        <w:rPr>
          <w:rFonts w:asciiTheme="minorEastAsia" w:eastAsiaTheme="minorEastAsia" w:hAnsiTheme="minorEastAsia" w:cstheme="minorEastAsia" w:hint="eastAsia"/>
          <w:color w:val="000000"/>
          <w:highlight w:val="none"/>
        </w:rPr>
        <w:pict>
          <v:shapetype id="_x0000_t202" coordsize="21600,21600" o:spt="202" path="m,l,21600r21600,l21600,xe">
            <v:stroke joinstyle="miter"/>
            <v:path gradientshapeok="t" o:connecttype="rect"/>
          </v:shapetype>
          <v:shape id="_x0000_s1026" o:spid="_x0000_s1025" type="#_x0000_t202" style="height:151.25pt;margin-left:236.2pt;margin-top:8.9pt;mso-height-relative:page;mso-width-relative:page;position:absolute;width:219.1pt;z-index:251659264" coordsize="21600,21600" filled="t" fillcolor="white" stroked="t">
            <v:stroke joinstyle="miter"/>
            <o:lock v:ext="edit" aspectratio="f"/>
            <v:textbox>
              <w:txbxContent>
                <w:p>
                  <w:pPr>
                    <w:widowControl/>
                    <w:jc w:val="left"/>
                    <w:rPr>
                      <w:rFonts w:ascii="宋体" w:hAnsi="宋体" w:cs="宋体"/>
                      <w:kern w:val="0"/>
                      <w:sz w:val="24"/>
                    </w:rPr>
                  </w:pPr>
                </w:p>
                <w:p>
                  <w:pPr>
                    <w:widowControl/>
                    <w:jc w:val="left"/>
                  </w:pPr>
                </w:p>
                <w:p>
                  <w:pPr>
                    <w:jc w:val="center"/>
                    <w:rPr>
                      <w:rFonts w:ascii="仿宋" w:eastAsia="仿宋" w:hAnsi="仿宋" w:cs="仿宋" w:hint="eastAsia"/>
                      <w:bCs/>
                      <w:sz w:val="22"/>
                      <w:szCs w:val="22"/>
                    </w:rPr>
                  </w:pPr>
                  <w:r>
                    <w:rPr>
                      <w:rFonts w:ascii="仿宋" w:eastAsia="仿宋" w:hAnsi="仿宋" w:cs="仿宋" w:hint="eastAsia"/>
                      <w:bCs/>
                      <w:sz w:val="22"/>
                      <w:szCs w:val="22"/>
                    </w:rPr>
                    <w:t>法定代表人（</w:t>
                  </w:r>
                  <w:r>
                    <w:rPr>
                      <w:rFonts w:ascii="仿宋" w:eastAsia="仿宋" w:hAnsi="仿宋" w:cs="仿宋" w:hint="eastAsia"/>
                      <w:bCs/>
                      <w:sz w:val="22"/>
                      <w:szCs w:val="22"/>
                      <w:lang w:eastAsia="zh-CN"/>
                    </w:rPr>
                    <w:t>负责人或执行事务合伙人</w:t>
                  </w:r>
                  <w:r>
                    <w:rPr>
                      <w:rFonts w:ascii="仿宋" w:eastAsia="仿宋" w:hAnsi="仿宋" w:cs="仿宋" w:hint="eastAsia"/>
                      <w:bCs/>
                      <w:sz w:val="22"/>
                      <w:szCs w:val="22"/>
                    </w:rPr>
                    <w:t>）</w:t>
                  </w:r>
                </w:p>
                <w:p>
                  <w:pPr>
                    <w:jc w:val="center"/>
                    <w:rPr>
                      <w:rFonts w:ascii="仿宋" w:eastAsia="仿宋" w:hAnsi="仿宋" w:cs="仿宋" w:hint="eastAsia"/>
                      <w:bCs/>
                      <w:sz w:val="28"/>
                      <w:szCs w:val="28"/>
                    </w:rPr>
                  </w:pPr>
                  <w:r>
                    <w:rPr>
                      <w:rFonts w:ascii="仿宋" w:eastAsia="仿宋" w:hAnsi="仿宋" w:cs="仿宋" w:hint="eastAsia"/>
                      <w:bCs/>
                      <w:sz w:val="28"/>
                      <w:szCs w:val="28"/>
                    </w:rPr>
                    <w:t>身份证反面</w:t>
                  </w:r>
                </w:p>
              </w:txbxContent>
            </v:textbox>
          </v:shape>
        </w:pict>
      </w:r>
      <w:r>
        <w:rPr>
          <w:rFonts w:asciiTheme="minorEastAsia" w:eastAsiaTheme="minorEastAsia" w:hAnsiTheme="minorEastAsia" w:cstheme="minorEastAsia" w:hint="eastAsia"/>
          <w:color w:val="000000"/>
          <w:highlight w:val="none"/>
        </w:rPr>
        <w:pict>
          <v:shape id="_x0000_s1026" o:spid="_x0000_s1026" type="#_x0000_t202" style="height:151.25pt;margin-left:0.15pt;margin-top:8.65pt;mso-height-relative:page;mso-width-relative:page;position:absolute;width:222.9pt;z-index:251658240" coordsize="21600,21600" filled="t" fillcolor="white" stroked="t">
            <v:stroke joinstyle="miter"/>
            <o:lock v:ext="edit" aspectratio="f"/>
            <v:textbox>
              <w:txbxContent>
                <w:p>
                  <w:pPr>
                    <w:widowControl/>
                    <w:jc w:val="left"/>
                    <w:rPr>
                      <w:rFonts w:ascii="宋体" w:hAnsi="宋体" w:cs="宋体"/>
                      <w:kern w:val="0"/>
                      <w:sz w:val="24"/>
                    </w:rPr>
                  </w:pPr>
                </w:p>
                <w:p>
                  <w:pPr>
                    <w:widowControl/>
                    <w:jc w:val="left"/>
                  </w:pPr>
                </w:p>
                <w:p>
                  <w:pPr>
                    <w:jc w:val="center"/>
                    <w:rPr>
                      <w:rFonts w:ascii="仿宋" w:eastAsia="仿宋" w:hAnsi="仿宋" w:cs="仿宋" w:hint="eastAsia"/>
                      <w:bCs/>
                      <w:sz w:val="22"/>
                      <w:szCs w:val="22"/>
                    </w:rPr>
                  </w:pPr>
                  <w:r>
                    <w:rPr>
                      <w:rFonts w:ascii="仿宋" w:eastAsia="仿宋" w:hAnsi="仿宋" w:cs="仿宋" w:hint="eastAsia"/>
                      <w:bCs/>
                      <w:sz w:val="22"/>
                      <w:szCs w:val="22"/>
                    </w:rPr>
                    <w:t>法定代表人（</w:t>
                  </w:r>
                  <w:r>
                    <w:rPr>
                      <w:rFonts w:ascii="仿宋" w:eastAsia="仿宋" w:hAnsi="仿宋" w:cs="仿宋" w:hint="eastAsia"/>
                      <w:bCs/>
                      <w:sz w:val="22"/>
                      <w:szCs w:val="22"/>
                      <w:lang w:eastAsia="zh-CN"/>
                    </w:rPr>
                    <w:t>负责人或执行事务合伙人</w:t>
                  </w:r>
                  <w:r>
                    <w:rPr>
                      <w:rFonts w:ascii="仿宋" w:eastAsia="仿宋" w:hAnsi="仿宋" w:cs="仿宋" w:hint="eastAsia"/>
                      <w:bCs/>
                      <w:sz w:val="22"/>
                      <w:szCs w:val="22"/>
                    </w:rPr>
                    <w:t>）</w:t>
                  </w:r>
                </w:p>
                <w:p>
                  <w:pPr>
                    <w:jc w:val="center"/>
                    <w:rPr>
                      <w:rFonts w:ascii="仿宋" w:eastAsia="仿宋" w:hAnsi="仿宋" w:cs="仿宋" w:hint="eastAsia"/>
                      <w:sz w:val="22"/>
                      <w:szCs w:val="28"/>
                    </w:rPr>
                  </w:pPr>
                  <w:r>
                    <w:rPr>
                      <w:rFonts w:ascii="仿宋" w:eastAsia="仿宋" w:hAnsi="仿宋" w:cs="仿宋" w:hint="eastAsia"/>
                      <w:bCs/>
                      <w:sz w:val="28"/>
                      <w:szCs w:val="28"/>
                    </w:rPr>
                    <w:t>身份证</w:t>
                  </w:r>
                  <w:r>
                    <w:rPr>
                      <w:rFonts w:ascii="仿宋" w:eastAsia="仿宋" w:hAnsi="仿宋" w:cs="仿宋" w:hint="eastAsia"/>
                      <w:sz w:val="28"/>
                      <w:szCs w:val="36"/>
                    </w:rPr>
                    <w:t>正面</w:t>
                  </w:r>
                </w:p>
              </w:txbxContent>
            </v:textbox>
          </v:shape>
        </w:pict>
      </w:r>
    </w:p>
    <w:p>
      <w:pPr>
        <w:keepNext w:val="0"/>
        <w:keepLines w:val="0"/>
        <w:pageBreakBefore w:val="0"/>
        <w:kinsoku/>
        <w:wordWrap/>
        <w:overflowPunct/>
        <w:topLinePunct w:val="0"/>
        <w:autoSpaceDE/>
        <w:autoSpaceDN/>
        <w:bidi w:val="0"/>
        <w:adjustRightInd/>
        <w:spacing w:line="340" w:lineRule="exact"/>
        <w:textAlignment w:val="auto"/>
        <w:rPr>
          <w:rFonts w:asciiTheme="minorEastAsia" w:eastAsiaTheme="minorEastAsia" w:hAnsiTheme="minorEastAsia" w:cstheme="minorEastAsia" w:hint="eastAsia"/>
          <w:bCs/>
          <w:color w:val="000000"/>
          <w:sz w:val="24"/>
          <w:highlight w:val="none"/>
        </w:rPr>
      </w:pPr>
    </w:p>
    <w:p>
      <w:pPr>
        <w:keepNext w:val="0"/>
        <w:keepLines w:val="0"/>
        <w:pageBreakBefore w:val="0"/>
        <w:kinsoku/>
        <w:wordWrap/>
        <w:overflowPunct/>
        <w:topLinePunct w:val="0"/>
        <w:autoSpaceDE/>
        <w:autoSpaceDN/>
        <w:bidi w:val="0"/>
        <w:adjustRightInd/>
        <w:spacing w:line="340" w:lineRule="exact"/>
        <w:textAlignment w:val="auto"/>
        <w:rPr>
          <w:rFonts w:asciiTheme="minorEastAsia" w:eastAsiaTheme="minorEastAsia" w:hAnsiTheme="minorEastAsia" w:cstheme="minorEastAsia" w:hint="eastAsia"/>
          <w:bCs/>
          <w:color w:val="000000"/>
          <w:sz w:val="24"/>
          <w:highlight w:val="none"/>
        </w:rPr>
      </w:pPr>
    </w:p>
    <w:p>
      <w:pPr>
        <w:keepNext w:val="0"/>
        <w:keepLines w:val="0"/>
        <w:pageBreakBefore w:val="0"/>
        <w:kinsoku/>
        <w:wordWrap/>
        <w:overflowPunct/>
        <w:topLinePunct w:val="0"/>
        <w:autoSpaceDE/>
        <w:autoSpaceDN/>
        <w:bidi w:val="0"/>
        <w:adjustRightInd/>
        <w:spacing w:line="340" w:lineRule="exact"/>
        <w:textAlignment w:val="auto"/>
        <w:rPr>
          <w:rFonts w:asciiTheme="minorEastAsia" w:eastAsiaTheme="minorEastAsia" w:hAnsiTheme="minorEastAsia" w:cstheme="minorEastAsia" w:hint="eastAsia"/>
          <w:bCs/>
          <w:color w:val="000000"/>
          <w:sz w:val="24"/>
          <w:highlight w:val="none"/>
        </w:rPr>
      </w:pPr>
    </w:p>
    <w:p>
      <w:pPr>
        <w:keepNext w:val="0"/>
        <w:keepLines w:val="0"/>
        <w:pageBreakBefore w:val="0"/>
        <w:kinsoku/>
        <w:wordWrap/>
        <w:overflowPunct/>
        <w:topLinePunct w:val="0"/>
        <w:autoSpaceDE/>
        <w:autoSpaceDN/>
        <w:bidi w:val="0"/>
        <w:adjustRightInd/>
        <w:spacing w:line="340" w:lineRule="exact"/>
        <w:textAlignment w:val="auto"/>
        <w:rPr>
          <w:rFonts w:asciiTheme="minorEastAsia" w:eastAsiaTheme="minorEastAsia" w:hAnsiTheme="minorEastAsia" w:cstheme="minorEastAsia" w:hint="eastAsia"/>
          <w:color w:val="000000"/>
          <w:sz w:val="24"/>
          <w:highlight w:val="none"/>
        </w:rPr>
      </w:pPr>
    </w:p>
    <w:p>
      <w:pPr>
        <w:keepNext w:val="0"/>
        <w:keepLines w:val="0"/>
        <w:pageBreakBefore w:val="0"/>
        <w:kinsoku/>
        <w:wordWrap/>
        <w:overflowPunct/>
        <w:topLinePunct w:val="0"/>
        <w:autoSpaceDE/>
        <w:autoSpaceDN/>
        <w:bidi w:val="0"/>
        <w:adjustRightInd/>
        <w:spacing w:line="340" w:lineRule="exact"/>
        <w:textAlignment w:val="auto"/>
        <w:rPr>
          <w:rFonts w:asciiTheme="minorEastAsia" w:eastAsiaTheme="minorEastAsia" w:hAnsiTheme="minorEastAsia" w:cstheme="minorEastAsia" w:hint="eastAsia"/>
          <w:color w:val="000000"/>
          <w:sz w:val="24"/>
          <w:highlight w:val="none"/>
        </w:rPr>
      </w:pPr>
    </w:p>
    <w:p>
      <w:pPr>
        <w:keepNext w:val="0"/>
        <w:keepLines w:val="0"/>
        <w:pageBreakBefore w:val="0"/>
        <w:kinsoku/>
        <w:wordWrap/>
        <w:overflowPunct/>
        <w:topLinePunct w:val="0"/>
        <w:autoSpaceDE/>
        <w:autoSpaceDN/>
        <w:bidi w:val="0"/>
        <w:adjustRightInd/>
        <w:spacing w:after="60" w:line="340" w:lineRule="exact"/>
        <w:textAlignment w:val="auto"/>
        <w:rPr>
          <w:rFonts w:asciiTheme="minorEastAsia" w:eastAsiaTheme="minorEastAsia" w:hAnsiTheme="minorEastAsia" w:cstheme="minorEastAsia" w:hint="eastAsia"/>
          <w:color w:val="000000"/>
          <w:sz w:val="24"/>
          <w:highlight w:val="none"/>
        </w:rPr>
      </w:pPr>
    </w:p>
    <w:p>
      <w:pPr>
        <w:keepNext w:val="0"/>
        <w:keepLines w:val="0"/>
        <w:pageBreakBefore w:val="0"/>
        <w:kinsoku/>
        <w:wordWrap/>
        <w:overflowPunct/>
        <w:topLinePunct w:val="0"/>
        <w:autoSpaceDE/>
        <w:autoSpaceDN/>
        <w:bidi w:val="0"/>
        <w:adjustRightInd/>
        <w:spacing w:line="340" w:lineRule="exact"/>
        <w:textAlignment w:val="auto"/>
        <w:rPr>
          <w:rFonts w:asciiTheme="minorEastAsia" w:eastAsiaTheme="minorEastAsia" w:hAnsiTheme="minorEastAsia" w:cstheme="minorEastAsia" w:hint="eastAsia"/>
          <w:color w:val="000000"/>
          <w:sz w:val="24"/>
          <w:highlight w:val="none"/>
        </w:rPr>
      </w:pPr>
    </w:p>
    <w:p>
      <w:pPr>
        <w:keepNext w:val="0"/>
        <w:keepLines w:val="0"/>
        <w:pageBreakBefore w:val="0"/>
        <w:kinsoku/>
        <w:wordWrap/>
        <w:overflowPunct/>
        <w:topLinePunct w:val="0"/>
        <w:autoSpaceDE/>
        <w:autoSpaceDN/>
        <w:bidi w:val="0"/>
        <w:adjustRightInd/>
        <w:spacing w:line="340" w:lineRule="exact"/>
        <w:jc w:val="center"/>
        <w:textAlignment w:val="auto"/>
        <w:rPr>
          <w:rFonts w:asciiTheme="minorEastAsia" w:eastAsiaTheme="minorEastAsia" w:hAnsiTheme="minorEastAsia" w:cstheme="minorEastAsia" w:hint="eastAsia"/>
          <w:b/>
          <w:bCs/>
          <w:color w:val="000000"/>
          <w:sz w:val="24"/>
          <w:highlight w:val="none"/>
        </w:rPr>
      </w:pPr>
    </w:p>
    <w:p>
      <w:pPr>
        <w:keepNext w:val="0"/>
        <w:keepLines w:val="0"/>
        <w:pageBreakBefore w:val="0"/>
        <w:kinsoku/>
        <w:wordWrap/>
        <w:overflowPunct/>
        <w:topLinePunct w:val="0"/>
        <w:autoSpaceDE/>
        <w:autoSpaceDN/>
        <w:bidi w:val="0"/>
        <w:adjustRightInd/>
        <w:snapToGrid w:val="0"/>
        <w:spacing w:line="340" w:lineRule="exact"/>
        <w:ind w:left="840" w:hanging="840" w:hangingChars="350"/>
        <w:textAlignment w:val="auto"/>
        <w:rPr>
          <w:rFonts w:asciiTheme="minorEastAsia" w:eastAsiaTheme="minorEastAsia" w:hAnsiTheme="minorEastAsia" w:cstheme="minorEastAsia" w:hint="eastAsia"/>
          <w:bCs/>
          <w:color w:val="000000"/>
          <w:sz w:val="24"/>
          <w:highlight w:val="none"/>
        </w:rPr>
      </w:pPr>
      <w:r>
        <w:rPr>
          <w:rFonts w:asciiTheme="minorEastAsia" w:eastAsiaTheme="minorEastAsia" w:hAnsiTheme="minorEastAsia" w:cstheme="minorEastAsia" w:hint="eastAsia"/>
          <w:bCs/>
          <w:color w:val="000000"/>
          <w:sz w:val="24"/>
          <w:highlight w:val="none"/>
        </w:rPr>
        <w:t>说明：</w:t>
      </w:r>
    </w:p>
    <w:p>
      <w:pPr>
        <w:keepNext w:val="0"/>
        <w:keepLines w:val="0"/>
        <w:pageBreakBefore w:val="0"/>
        <w:kinsoku/>
        <w:wordWrap/>
        <w:overflowPunct/>
        <w:topLinePunct w:val="0"/>
        <w:autoSpaceDE/>
        <w:autoSpaceDN/>
        <w:bidi w:val="0"/>
        <w:adjustRightInd/>
        <w:snapToGrid w:val="0"/>
        <w:spacing w:line="340" w:lineRule="exact"/>
        <w:ind w:firstLine="480" w:firstLineChars="200"/>
        <w:textAlignment w:val="auto"/>
        <w:rPr>
          <w:rFonts w:asciiTheme="minorEastAsia" w:eastAsiaTheme="minorEastAsia" w:hAnsiTheme="minorEastAsia" w:cstheme="minorEastAsia" w:hint="eastAsia"/>
          <w:bCs/>
          <w:color w:val="000000"/>
          <w:sz w:val="24"/>
          <w:highlight w:val="none"/>
          <w:lang w:eastAsia="zh-CN"/>
        </w:rPr>
      </w:pPr>
      <w:r>
        <w:rPr>
          <w:rFonts w:asciiTheme="minorEastAsia" w:eastAsiaTheme="minorEastAsia" w:hAnsiTheme="minorEastAsia" w:cstheme="minorEastAsia" w:hint="eastAsia"/>
          <w:bCs/>
          <w:color w:val="000000"/>
          <w:sz w:val="24"/>
          <w:highlight w:val="none"/>
        </w:rPr>
        <w:t>1.</w:t>
      </w:r>
      <w:r>
        <w:rPr>
          <w:rFonts w:hint="eastAsia"/>
          <w:szCs w:val="21"/>
          <w:highlight w:val="none"/>
        </w:rPr>
        <w:t>法定代表人（负责人或</w:t>
      </w:r>
      <w:r>
        <w:rPr>
          <w:rFonts w:hint="eastAsia"/>
          <w:color w:val="4F81BD" w:themeColor="accent1"/>
          <w:szCs w:val="21"/>
          <w:highlight w:val="none"/>
          <w14:textFill>
            <w14:solidFill>
              <w14:schemeClr w14:val="accent1"/>
            </w14:solidFill>
          </w14:textFill>
        </w:rPr>
        <w:t>执行事务合伙人</w:t>
      </w:r>
      <w:r>
        <w:rPr>
          <w:rFonts w:hint="eastAsia"/>
          <w:szCs w:val="21"/>
          <w:highlight w:val="none"/>
        </w:rPr>
        <w:t>）为投标人（企业事业单位、国家机关、社会团体）的主要行政负责人。</w:t>
      </w:r>
      <w:r>
        <w:rPr>
          <w:rFonts w:asciiTheme="minorEastAsia" w:eastAsiaTheme="minorEastAsia" w:hAnsiTheme="minorEastAsia" w:cstheme="minorEastAsia" w:hint="eastAsia"/>
          <w:bCs/>
          <w:color w:val="000000"/>
          <w:sz w:val="24"/>
          <w:highlight w:val="none"/>
        </w:rPr>
        <w:t>须提供法定代表人（</w:t>
      </w:r>
      <w:r>
        <w:rPr>
          <w:rFonts w:asciiTheme="minorEastAsia" w:eastAsiaTheme="minorEastAsia" w:hAnsiTheme="minorEastAsia" w:cstheme="minorEastAsia" w:hint="eastAsia"/>
          <w:bCs/>
          <w:color w:val="000000"/>
          <w:sz w:val="24"/>
          <w:highlight w:val="none"/>
          <w:lang w:eastAsia="zh-CN"/>
        </w:rPr>
        <w:t>负责人或执行事务合伙人</w:t>
      </w:r>
      <w:r>
        <w:rPr>
          <w:rFonts w:asciiTheme="minorEastAsia" w:eastAsiaTheme="minorEastAsia" w:hAnsiTheme="minorEastAsia" w:cstheme="minorEastAsia" w:hint="eastAsia"/>
          <w:bCs/>
          <w:color w:val="000000"/>
          <w:sz w:val="24"/>
          <w:highlight w:val="none"/>
        </w:rPr>
        <w:t>）的身份证</w:t>
      </w:r>
      <w:r>
        <w:rPr>
          <w:rFonts w:asciiTheme="minorEastAsia" w:eastAsiaTheme="minorEastAsia" w:hAnsiTheme="minorEastAsia" w:cstheme="minorEastAsia" w:hint="eastAsia"/>
          <w:bCs/>
          <w:color w:val="000000"/>
          <w:sz w:val="24"/>
          <w:highlight w:val="none"/>
          <w:lang w:eastAsia="zh-CN"/>
        </w:rPr>
        <w:t>扫描</w:t>
      </w:r>
      <w:r>
        <w:rPr>
          <w:rFonts w:asciiTheme="minorEastAsia" w:eastAsiaTheme="minorEastAsia" w:hAnsiTheme="minorEastAsia" w:cstheme="minorEastAsia" w:hint="eastAsia"/>
          <w:bCs/>
          <w:color w:val="000000"/>
          <w:sz w:val="24"/>
          <w:highlight w:val="none"/>
        </w:rPr>
        <w:t>件</w:t>
      </w:r>
      <w:r>
        <w:rPr>
          <w:rFonts w:asciiTheme="minorEastAsia" w:eastAsiaTheme="minorEastAsia" w:hAnsiTheme="minorEastAsia" w:cstheme="minorEastAsia" w:hint="eastAsia"/>
          <w:bCs/>
          <w:color w:val="000000"/>
          <w:sz w:val="24"/>
          <w:highlight w:val="none"/>
          <w:lang w:eastAsia="zh-CN"/>
        </w:rPr>
        <w:t>；港澳台居民可提供来往通行证扫描</w:t>
      </w:r>
      <w:r>
        <w:rPr>
          <w:rFonts w:asciiTheme="minorEastAsia" w:eastAsiaTheme="minorEastAsia" w:hAnsiTheme="minorEastAsia" w:cstheme="minorEastAsia" w:hint="eastAsia"/>
          <w:bCs/>
          <w:color w:val="000000"/>
          <w:sz w:val="24"/>
          <w:highlight w:val="none"/>
        </w:rPr>
        <w:t>件</w:t>
      </w:r>
      <w:r>
        <w:rPr>
          <w:rFonts w:asciiTheme="minorEastAsia" w:eastAsiaTheme="minorEastAsia" w:hAnsiTheme="minorEastAsia" w:cstheme="minorEastAsia" w:hint="eastAsia"/>
          <w:bCs/>
          <w:color w:val="000000"/>
          <w:sz w:val="24"/>
          <w:highlight w:val="none"/>
          <w:lang w:eastAsia="zh-CN"/>
        </w:rPr>
        <w:t>；非中国国籍管辖范围人员，可提供公安部门认可的身份证明材料扫描</w:t>
      </w:r>
      <w:r>
        <w:rPr>
          <w:rFonts w:asciiTheme="minorEastAsia" w:eastAsiaTheme="minorEastAsia" w:hAnsiTheme="minorEastAsia" w:cstheme="minorEastAsia" w:hint="eastAsia"/>
          <w:bCs/>
          <w:color w:val="000000"/>
          <w:sz w:val="24"/>
          <w:highlight w:val="none"/>
        </w:rPr>
        <w:t>件</w:t>
      </w:r>
      <w:r>
        <w:rPr>
          <w:rFonts w:asciiTheme="minorEastAsia" w:eastAsiaTheme="minorEastAsia" w:hAnsiTheme="minorEastAsia" w:cstheme="minorEastAsia" w:hint="eastAsia"/>
          <w:bCs/>
          <w:color w:val="000000"/>
          <w:sz w:val="24"/>
          <w:highlight w:val="none"/>
          <w:lang w:eastAsia="zh-CN"/>
        </w:rPr>
        <w:t>；</w:t>
      </w:r>
    </w:p>
    <w:p>
      <w:pPr>
        <w:keepNext w:val="0"/>
        <w:keepLines w:val="0"/>
        <w:pageBreakBefore w:val="0"/>
        <w:kinsoku/>
        <w:wordWrap/>
        <w:overflowPunct/>
        <w:topLinePunct w:val="0"/>
        <w:autoSpaceDE/>
        <w:autoSpaceDN/>
        <w:bidi w:val="0"/>
        <w:adjustRightInd/>
        <w:snapToGrid w:val="0"/>
        <w:spacing w:line="340" w:lineRule="exact"/>
        <w:ind w:firstLine="480" w:firstLineChars="200"/>
        <w:textAlignment w:val="auto"/>
        <w:rPr>
          <w:rFonts w:asciiTheme="minorEastAsia" w:eastAsiaTheme="minorEastAsia" w:hAnsiTheme="minorEastAsia" w:cstheme="minorEastAsia" w:hint="eastAsia"/>
          <w:bCs/>
          <w:color w:val="000000"/>
          <w:sz w:val="24"/>
          <w:highlight w:val="none"/>
          <w:lang w:val="en-US" w:eastAsia="zh-CN"/>
        </w:rPr>
      </w:pPr>
      <w:r>
        <w:rPr>
          <w:rFonts w:asciiTheme="minorEastAsia" w:eastAsiaTheme="minorEastAsia" w:hAnsiTheme="minorEastAsia" w:cstheme="minorEastAsia" w:hint="eastAsia"/>
          <w:bCs/>
          <w:color w:val="000000"/>
          <w:sz w:val="24"/>
          <w:highlight w:val="none"/>
          <w:lang w:val="en-US" w:eastAsia="zh-CN"/>
        </w:rPr>
        <w:t>2.招投标文件中涉及需法定代表人之处，非法人组织可由负责人或执行事务合伙人执行。</w:t>
      </w:r>
    </w:p>
    <w:p>
      <w:pPr>
        <w:keepNext w:val="0"/>
        <w:keepLines w:val="0"/>
        <w:pageBreakBefore w:val="0"/>
        <w:kinsoku/>
        <w:wordWrap/>
        <w:overflowPunct/>
        <w:topLinePunct w:val="0"/>
        <w:autoSpaceDE/>
        <w:autoSpaceDN/>
        <w:bidi w:val="0"/>
        <w:adjustRightInd/>
        <w:snapToGrid w:val="0"/>
        <w:spacing w:line="340" w:lineRule="exact"/>
        <w:ind w:firstLine="480" w:firstLineChars="200"/>
        <w:textAlignment w:val="auto"/>
        <w:rPr>
          <w:rFonts w:asciiTheme="minorEastAsia" w:eastAsiaTheme="minorEastAsia" w:hAnsiTheme="minorEastAsia" w:cstheme="minorEastAsia" w:hint="eastAsia"/>
          <w:bCs/>
          <w:color w:val="000000"/>
          <w:sz w:val="24"/>
          <w:highlight w:val="none"/>
          <w:lang w:val="en-US" w:eastAsia="zh-CN"/>
        </w:rPr>
      </w:pPr>
      <w:r>
        <w:rPr>
          <w:rFonts w:asciiTheme="minorEastAsia" w:eastAsiaTheme="minorEastAsia" w:hAnsiTheme="minorEastAsia" w:cstheme="minorEastAsia" w:hint="eastAsia"/>
          <w:bCs/>
          <w:color w:val="000000"/>
          <w:sz w:val="24"/>
          <w:highlight w:val="none"/>
          <w:lang w:val="en-US" w:eastAsia="zh-CN"/>
        </w:rPr>
        <w:t>3.如是法定代表人（负责人或执行事务合伙人）直接参与投标，必须填写《法定代表人（负责人或执行事务合伙人）资格证明书》，可不用填写《法定代表人（负责人或执行事务合伙人）授权书》。</w:t>
      </w:r>
    </w:p>
    <w:p>
      <w:pPr>
        <w:pStyle w:val="NormalIndent"/>
        <w:keepNext w:val="0"/>
        <w:keepLines w:val="0"/>
        <w:pageBreakBefore w:val="0"/>
        <w:kinsoku/>
        <w:wordWrap/>
        <w:overflowPunct/>
        <w:topLinePunct w:val="0"/>
        <w:autoSpaceDE/>
        <w:autoSpaceDN/>
        <w:bidi w:val="0"/>
        <w:adjustRightInd/>
        <w:spacing w:line="340" w:lineRule="exact"/>
        <w:textAlignment w:val="auto"/>
        <w:rPr>
          <w:rFonts w:hint="eastAsia"/>
          <w:highlight w:val="none"/>
          <w:lang w:val="en-US" w:eastAsia="zh-CN"/>
        </w:rPr>
      </w:pPr>
      <w:r>
        <w:rPr>
          <w:rFonts w:eastAsia="宋体" w:hint="eastAsia"/>
          <w:szCs w:val="21"/>
          <w:highlight w:val="none"/>
          <w:lang w:val="en-US" w:eastAsia="zh-CN"/>
        </w:rPr>
        <w:t>4.</w:t>
      </w:r>
      <w:r>
        <w:rPr>
          <w:rFonts w:hint="eastAsia"/>
          <w:szCs w:val="21"/>
          <w:highlight w:val="none"/>
        </w:rPr>
        <w:t>内容必须填写真实、清</w:t>
      </w:r>
      <w:r>
        <w:rPr>
          <w:rFonts w:hint="eastAsia"/>
          <w:szCs w:val="21"/>
          <w:highlight w:val="none"/>
          <w:lang w:val="en-US" w:eastAsia="zh-CN"/>
        </w:rPr>
        <w:t>楚，涂改无效，不得转让、买卖。</w:t>
      </w:r>
    </w:p>
    <w:p>
      <w:pPr>
        <w:keepNext w:val="0"/>
        <w:keepLines w:val="0"/>
        <w:pageBreakBefore w:val="0"/>
        <w:kinsoku/>
        <w:wordWrap/>
        <w:overflowPunct/>
        <w:topLinePunct w:val="0"/>
        <w:autoSpaceDE/>
        <w:autoSpaceDN/>
        <w:bidi w:val="0"/>
        <w:adjustRightInd/>
        <w:snapToGrid w:val="0"/>
        <w:spacing w:line="340" w:lineRule="exact"/>
        <w:ind w:firstLine="480" w:firstLineChars="200"/>
        <w:textAlignment w:val="auto"/>
        <w:rPr>
          <w:rFonts w:hint="eastAsia"/>
          <w:color w:val="FF0000"/>
          <w:szCs w:val="21"/>
          <w:highlight w:val="none"/>
          <w:lang w:val="en-US" w:eastAsia="zh-CN"/>
        </w:rPr>
      </w:pPr>
      <w:r>
        <w:rPr>
          <w:rFonts w:hint="eastAsia"/>
          <w:b/>
          <w:bCs/>
          <w:color w:val="FF0000"/>
          <w:szCs w:val="21"/>
          <w:highlight w:val="none"/>
          <w:lang w:val="en-US" w:eastAsia="zh-CN"/>
        </w:rPr>
        <w:t>温馨提示:</w:t>
      </w:r>
      <w:r>
        <w:rPr>
          <w:rFonts w:hint="eastAsia"/>
          <w:color w:val="FF0000"/>
          <w:szCs w:val="21"/>
          <w:highlight w:val="none"/>
          <w:lang w:val="en-US" w:eastAsia="zh-CN"/>
        </w:rPr>
        <w:t>为避免出现《深圳经济特区政府采购条例实施细则》第七十五条第二项所列情形，请投标供应商核实你单位法定代表人、本项目投标授权代表人、项目负责人(如有)、主要技术人员(如有)等是否在你公司缴纳社会保险。”</w:t>
      </w:r>
    </w:p>
    <w:p>
      <w:pPr>
        <w:pStyle w:val="NormalIndent"/>
        <w:rPr>
          <w:highlight w:val="none"/>
        </w:rPr>
      </w:pPr>
    </w:p>
    <w:p>
      <w:pPr>
        <w:rPr>
          <w:highlight w:val="none"/>
        </w:rPr>
      </w:pPr>
    </w:p>
    <w:p>
      <w:pPr>
        <w:pStyle w:val="Heading3"/>
        <w:spacing w:before="120" w:after="120"/>
        <w:jc w:val="center"/>
        <w:rPr>
          <w:rFonts w:ascii="黑体" w:eastAsia="黑体"/>
          <w:b w:val="0"/>
          <w:sz w:val="24"/>
          <w:highlight w:val="none"/>
        </w:rPr>
      </w:pPr>
      <w:r>
        <w:rPr>
          <w:rFonts w:ascii="黑体" w:eastAsia="黑体" w:hint="eastAsia"/>
          <w:b w:val="0"/>
          <w:sz w:val="24"/>
          <w:highlight w:val="none"/>
        </w:rPr>
        <w:t>二、投标文件签署授权委托书</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Theme="minorEastAsia" w:eastAsiaTheme="minorEastAsia" w:hAnsiTheme="minorEastAsia" w:cstheme="minorEastAsia" w:hint="eastAsia"/>
          <w:color w:val="000000"/>
          <w:sz w:val="24"/>
          <w:highlight w:val="none"/>
        </w:rPr>
      </w:pPr>
      <w:r>
        <w:rPr>
          <w:rFonts w:asciiTheme="minorEastAsia" w:eastAsiaTheme="minorEastAsia" w:hAnsiTheme="minorEastAsia" w:cstheme="minorEastAsia" w:hint="eastAsia"/>
          <w:color w:val="000000"/>
          <w:sz w:val="24"/>
          <w:highlight w:val="none"/>
        </w:rPr>
        <w:t>致友和保险经纪有限公司：</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sz w:val="24"/>
          <w:highlight w:val="none"/>
        </w:rPr>
      </w:pPr>
      <w:r>
        <w:rPr>
          <w:rFonts w:asciiTheme="minorEastAsia" w:eastAsiaTheme="minorEastAsia" w:hAnsiTheme="minorEastAsia" w:cstheme="minorEastAsia" w:hint="eastAsia"/>
          <w:color w:val="000000"/>
          <w:sz w:val="24"/>
          <w:highlight w:val="none"/>
        </w:rPr>
        <w:t>本授权委托书声明：我</w:t>
      </w:r>
      <w:r>
        <w:rPr>
          <w:rFonts w:asciiTheme="minorEastAsia" w:eastAsiaTheme="minorEastAsia" w:hAnsiTheme="minorEastAsia" w:cstheme="minorEastAsia" w:hint="eastAsia"/>
          <w:color w:val="000000"/>
          <w:sz w:val="24"/>
          <w:highlight w:val="none"/>
          <w:u w:val="single"/>
        </w:rPr>
        <w:t xml:space="preserve"> </w:t>
      </w:r>
      <w:r>
        <w:rPr>
          <w:rFonts w:asciiTheme="minorEastAsia" w:eastAsiaTheme="minorEastAsia" w:hAnsiTheme="minorEastAsia" w:cstheme="minorEastAsia" w:hint="eastAsia"/>
          <w:color w:val="000000"/>
          <w:sz w:val="24"/>
          <w:highlight w:val="none"/>
          <w:u w:val="single"/>
          <w:lang w:val="en-US" w:eastAsia="zh-CN"/>
        </w:rPr>
        <w:t xml:space="preserve"> </w:t>
      </w:r>
      <w:r>
        <w:rPr>
          <w:rFonts w:asciiTheme="minorEastAsia" w:eastAsiaTheme="minorEastAsia" w:hAnsiTheme="minorEastAsia" w:cstheme="minorEastAsia" w:hint="eastAsia"/>
          <w:color w:val="000000"/>
          <w:sz w:val="24"/>
          <w:highlight w:val="none"/>
          <w:u w:val="single"/>
        </w:rPr>
        <w:t>姓名</w:t>
      </w:r>
      <w:r>
        <w:rPr>
          <w:rFonts w:asciiTheme="minorEastAsia" w:eastAsiaTheme="minorEastAsia" w:hAnsiTheme="minorEastAsia" w:cstheme="minorEastAsia" w:hint="eastAsia"/>
          <w:color w:val="000000"/>
          <w:sz w:val="24"/>
          <w:highlight w:val="none"/>
          <w:u w:val="single"/>
          <w:lang w:val="en-US" w:eastAsia="zh-CN"/>
        </w:rPr>
        <w:t xml:space="preserve">  </w:t>
      </w:r>
      <w:r>
        <w:rPr>
          <w:rFonts w:asciiTheme="minorEastAsia" w:eastAsiaTheme="minorEastAsia" w:hAnsiTheme="minorEastAsia" w:cstheme="minorEastAsia" w:hint="eastAsia"/>
          <w:color w:val="000000"/>
          <w:sz w:val="24"/>
          <w:highlight w:val="none"/>
        </w:rPr>
        <w:t>系</w:t>
      </w:r>
      <w:r>
        <w:rPr>
          <w:rFonts w:asciiTheme="minorEastAsia" w:eastAsiaTheme="minorEastAsia" w:hAnsiTheme="minorEastAsia" w:cstheme="minorEastAsia" w:hint="eastAsia"/>
          <w:color w:val="000000"/>
          <w:sz w:val="24"/>
          <w:highlight w:val="none"/>
          <w:u w:val="single"/>
          <w:lang w:val="en-US" w:eastAsia="zh-CN"/>
        </w:rPr>
        <w:t xml:space="preserve">  </w:t>
      </w:r>
      <w:r>
        <w:rPr>
          <w:rFonts w:asciiTheme="minorEastAsia" w:eastAsiaTheme="minorEastAsia" w:hAnsiTheme="minorEastAsia" w:cstheme="minorEastAsia" w:hint="eastAsia"/>
          <w:color w:val="000000"/>
          <w:sz w:val="24"/>
          <w:highlight w:val="none"/>
          <w:u w:val="single"/>
        </w:rPr>
        <w:t>投标人名称</w:t>
      </w:r>
      <w:r>
        <w:rPr>
          <w:rFonts w:asciiTheme="minorEastAsia" w:eastAsiaTheme="minorEastAsia" w:hAnsiTheme="minorEastAsia" w:cstheme="minorEastAsia" w:hint="eastAsia"/>
          <w:color w:val="000000"/>
          <w:sz w:val="24"/>
          <w:highlight w:val="none"/>
          <w:u w:val="single"/>
          <w:lang w:val="en-US" w:eastAsia="zh-CN"/>
        </w:rPr>
        <w:t xml:space="preserve">  </w:t>
      </w:r>
      <w:r>
        <w:rPr>
          <w:rFonts w:asciiTheme="minorEastAsia" w:eastAsiaTheme="minorEastAsia" w:hAnsiTheme="minorEastAsia" w:cstheme="minorEastAsia" w:hint="eastAsia"/>
          <w:color w:val="000000"/>
          <w:sz w:val="24"/>
          <w:highlight w:val="none"/>
        </w:rPr>
        <w:t>的法定代表人（</w:t>
      </w:r>
      <w:r>
        <w:rPr>
          <w:rFonts w:asciiTheme="minorEastAsia" w:eastAsiaTheme="minorEastAsia" w:hAnsiTheme="minorEastAsia" w:cstheme="minorEastAsia" w:hint="eastAsia"/>
          <w:color w:val="000000"/>
          <w:sz w:val="24"/>
          <w:highlight w:val="none"/>
          <w:lang w:eastAsia="zh-CN"/>
        </w:rPr>
        <w:t>负责人或执行事务合伙人</w:t>
      </w:r>
      <w:r>
        <w:rPr>
          <w:rFonts w:asciiTheme="minorEastAsia" w:eastAsiaTheme="minorEastAsia" w:hAnsiTheme="minorEastAsia" w:cstheme="minorEastAsia" w:hint="eastAsia"/>
          <w:color w:val="000000"/>
          <w:sz w:val="24"/>
          <w:highlight w:val="none"/>
        </w:rPr>
        <w:t>），现授权委托</w:t>
      </w:r>
      <w:r>
        <w:rPr>
          <w:rFonts w:asciiTheme="minorEastAsia" w:eastAsiaTheme="minorEastAsia" w:hAnsiTheme="minorEastAsia" w:cstheme="minorEastAsia" w:hint="eastAsia"/>
          <w:color w:val="000000"/>
          <w:sz w:val="24"/>
          <w:highlight w:val="none"/>
          <w:u w:val="single"/>
        </w:rPr>
        <w:t xml:space="preserve"> </w:t>
      </w:r>
      <w:r>
        <w:rPr>
          <w:rFonts w:asciiTheme="minorEastAsia" w:eastAsiaTheme="minorEastAsia" w:hAnsiTheme="minorEastAsia" w:cstheme="minorEastAsia" w:hint="eastAsia"/>
          <w:color w:val="000000"/>
          <w:sz w:val="24"/>
          <w:highlight w:val="none"/>
          <w:u w:val="single"/>
          <w:lang w:val="en-US" w:eastAsia="zh-CN"/>
        </w:rPr>
        <w:t xml:space="preserve"> </w:t>
      </w:r>
      <w:r>
        <w:rPr>
          <w:rFonts w:asciiTheme="minorEastAsia" w:eastAsiaTheme="minorEastAsia" w:hAnsiTheme="minorEastAsia" w:cstheme="minorEastAsia" w:hint="eastAsia"/>
          <w:color w:val="000000"/>
          <w:sz w:val="24"/>
          <w:highlight w:val="none"/>
          <w:u w:val="single"/>
        </w:rPr>
        <w:t>姓名</w:t>
      </w:r>
      <w:r>
        <w:rPr>
          <w:rFonts w:asciiTheme="minorEastAsia" w:eastAsiaTheme="minorEastAsia" w:hAnsiTheme="minorEastAsia" w:cstheme="minorEastAsia" w:hint="eastAsia"/>
          <w:color w:val="000000"/>
          <w:sz w:val="24"/>
          <w:highlight w:val="none"/>
          <w:u w:val="single"/>
          <w:lang w:val="en-US" w:eastAsia="zh-CN"/>
        </w:rPr>
        <w:t xml:space="preserve">  </w:t>
      </w:r>
      <w:r>
        <w:rPr>
          <w:rFonts w:asciiTheme="minorEastAsia" w:eastAsiaTheme="minorEastAsia" w:hAnsiTheme="minorEastAsia" w:cstheme="minorEastAsia" w:hint="eastAsia"/>
          <w:color w:val="000000"/>
          <w:sz w:val="24"/>
          <w:highlight w:val="none"/>
        </w:rPr>
        <w:t>为我公司签署本项目已递交的投标文件的法定代表人的授权委托代理人，代理人全权代表我所签署的本项目已递交的投标文件内容我均承认。</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sz w:val="24"/>
          <w:highlight w:val="none"/>
        </w:rPr>
      </w:pPr>
      <w:r>
        <w:rPr>
          <w:rFonts w:asciiTheme="minorEastAsia" w:eastAsiaTheme="minorEastAsia" w:hAnsiTheme="minorEastAsia" w:cstheme="minorEastAsia" w:hint="eastAsia"/>
          <w:color w:val="000000"/>
          <w:sz w:val="24"/>
          <w:highlight w:val="none"/>
        </w:rPr>
        <w:t>代理人无转委托权，特此委托。</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sz w:val="24"/>
          <w:highlight w:val="none"/>
        </w:rPr>
      </w:pP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sz w:val="24"/>
          <w:highlight w:val="none"/>
        </w:rPr>
      </w:pPr>
      <w:r>
        <w:rPr>
          <w:rFonts w:asciiTheme="minorEastAsia" w:eastAsiaTheme="minorEastAsia" w:hAnsiTheme="minorEastAsia" w:cstheme="minorEastAsia" w:hint="eastAsia"/>
          <w:color w:val="000000"/>
          <w:sz w:val="24"/>
          <w:highlight w:val="none"/>
        </w:rPr>
        <w:t>代理人：</w:t>
      </w:r>
      <w:r>
        <w:rPr>
          <w:rFonts w:hint="eastAsia"/>
          <w:szCs w:val="21"/>
          <w:highlight w:val="none"/>
          <w:u w:val="single"/>
        </w:rPr>
        <w:t xml:space="preserve">                  </w:t>
      </w:r>
      <w:r>
        <w:rPr>
          <w:rFonts w:asciiTheme="minorEastAsia" w:eastAsiaTheme="minorEastAsia" w:hAnsiTheme="minorEastAsia" w:cstheme="minorEastAsia" w:hint="eastAsia"/>
          <w:color w:val="000000"/>
          <w:sz w:val="24"/>
          <w:highlight w:val="none"/>
        </w:rPr>
        <w:t>性别：</w:t>
      </w:r>
      <w:r>
        <w:rPr>
          <w:rFonts w:hint="eastAsia"/>
          <w:szCs w:val="21"/>
          <w:highlight w:val="none"/>
          <w:u w:val="single"/>
        </w:rPr>
        <w:t xml:space="preserve">                  </w:t>
      </w:r>
      <w:r>
        <w:rPr>
          <w:rFonts w:asciiTheme="minorEastAsia" w:eastAsiaTheme="minorEastAsia" w:hAnsiTheme="minorEastAsia" w:cstheme="minorEastAsia" w:hint="eastAsia"/>
          <w:color w:val="000000"/>
          <w:sz w:val="24"/>
          <w:highlight w:val="none"/>
        </w:rPr>
        <w:t>年龄：</w:t>
      </w:r>
      <w:r>
        <w:rPr>
          <w:rFonts w:hint="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sz w:val="24"/>
          <w:highlight w:val="none"/>
        </w:rPr>
      </w:pPr>
      <w:r>
        <w:rPr>
          <w:rFonts w:asciiTheme="minorEastAsia" w:eastAsiaTheme="minorEastAsia" w:hAnsiTheme="minorEastAsia" w:cstheme="minorEastAsia" w:hint="eastAsia"/>
          <w:color w:val="000000"/>
          <w:sz w:val="24"/>
          <w:highlight w:val="none"/>
        </w:rPr>
        <w:t>联系电话：</w:t>
      </w:r>
      <w:r>
        <w:rPr>
          <w:rFonts w:hint="eastAsia"/>
          <w:szCs w:val="21"/>
          <w:highlight w:val="none"/>
          <w:u w:val="single"/>
        </w:rPr>
        <w:t xml:space="preserve">                  </w:t>
      </w:r>
      <w:r>
        <w:rPr>
          <w:rFonts w:asciiTheme="minorEastAsia" w:eastAsiaTheme="minorEastAsia" w:hAnsiTheme="minorEastAsia" w:cstheme="minorEastAsia" w:hint="eastAsia"/>
          <w:color w:val="000000"/>
          <w:sz w:val="24"/>
          <w:highlight w:val="none"/>
        </w:rPr>
        <w:t>手机：</w:t>
      </w:r>
      <w:r>
        <w:rPr>
          <w:rFonts w:hint="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sz w:val="24"/>
          <w:highlight w:val="none"/>
          <w:u w:val="single"/>
        </w:rPr>
      </w:pPr>
      <w:r>
        <w:rPr>
          <w:rFonts w:asciiTheme="minorEastAsia" w:eastAsiaTheme="minorEastAsia" w:hAnsiTheme="minorEastAsia" w:cstheme="minorEastAsia" w:hint="eastAsia"/>
          <w:color w:val="000000"/>
          <w:sz w:val="24"/>
          <w:highlight w:val="none"/>
        </w:rPr>
        <w:t>身份证号码：</w:t>
      </w:r>
      <w:r>
        <w:rPr>
          <w:rFonts w:hint="eastAsia"/>
          <w:szCs w:val="21"/>
          <w:highlight w:val="none"/>
          <w:u w:val="single"/>
        </w:rPr>
        <w:t xml:space="preserve">                  </w:t>
      </w:r>
      <w:r>
        <w:rPr>
          <w:rFonts w:asciiTheme="minorEastAsia" w:eastAsiaTheme="minorEastAsia" w:hAnsiTheme="minorEastAsia" w:cstheme="minorEastAsia" w:hint="eastAsia"/>
          <w:color w:val="000000"/>
          <w:sz w:val="24"/>
          <w:highlight w:val="none"/>
        </w:rPr>
        <w:t>职务：</w:t>
      </w:r>
      <w:r>
        <w:rPr>
          <w:rFonts w:hint="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sz w:val="24"/>
          <w:highlight w:val="none"/>
        </w:rPr>
      </w:pP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kern w:val="0"/>
          <w:sz w:val="24"/>
          <w:highlight w:val="none"/>
          <w:lang w:eastAsia="zh-CN"/>
        </w:rPr>
      </w:pPr>
      <w:r>
        <w:rPr>
          <w:rFonts w:asciiTheme="minorEastAsia" w:eastAsiaTheme="minorEastAsia" w:hAnsiTheme="minorEastAsia" w:cstheme="minorEastAsia" w:hint="eastAsia"/>
          <w:color w:val="000000"/>
          <w:sz w:val="24"/>
          <w:highlight w:val="none"/>
        </w:rPr>
        <w:t>授权委托日期：</w:t>
      </w:r>
      <w:r>
        <w:rPr>
          <w:rFonts w:hint="eastAsia"/>
          <w:szCs w:val="21"/>
          <w:highlight w:val="none"/>
          <w:u w:val="single"/>
        </w:rPr>
        <w:t xml:space="preserve">       </w:t>
      </w:r>
      <w:r>
        <w:rPr>
          <w:rFonts w:asciiTheme="minorEastAsia" w:eastAsiaTheme="minorEastAsia" w:hAnsiTheme="minorEastAsia" w:cstheme="minorEastAsia" w:hint="eastAsia"/>
          <w:color w:val="000000"/>
          <w:sz w:val="24"/>
          <w:highlight w:val="none"/>
        </w:rPr>
        <w:t>年</w:t>
      </w:r>
      <w:r>
        <w:rPr>
          <w:rFonts w:hint="eastAsia"/>
          <w:szCs w:val="21"/>
          <w:highlight w:val="none"/>
          <w:u w:val="single"/>
        </w:rPr>
        <w:t xml:space="preserve">      </w:t>
      </w:r>
      <w:r>
        <w:rPr>
          <w:rFonts w:asciiTheme="minorEastAsia" w:eastAsiaTheme="minorEastAsia" w:hAnsiTheme="minorEastAsia" w:cstheme="minorEastAsia" w:hint="eastAsia"/>
          <w:color w:val="000000"/>
          <w:sz w:val="24"/>
          <w:highlight w:val="none"/>
        </w:rPr>
        <w:t>月</w:t>
      </w:r>
      <w:r>
        <w:rPr>
          <w:rFonts w:hint="eastAsia"/>
          <w:szCs w:val="21"/>
          <w:highlight w:val="none"/>
          <w:u w:val="single"/>
        </w:rPr>
        <w:t xml:space="preserve">      </w:t>
      </w:r>
      <w:r>
        <w:rPr>
          <w:rFonts w:asciiTheme="minorEastAsia" w:eastAsiaTheme="minorEastAsia" w:hAnsiTheme="minorEastAsia" w:cstheme="minorEastAsia" w:hint="eastAsia"/>
          <w:color w:val="000000"/>
          <w:sz w:val="24"/>
          <w:highlight w:val="none"/>
        </w:rPr>
        <w:t>日</w:t>
      </w:r>
      <w:r>
        <w:rPr>
          <w:rFonts w:asciiTheme="minorEastAsia" w:eastAsiaTheme="minorEastAsia" w:hAnsiTheme="minorEastAsia" w:cstheme="minorEastAsia" w:hint="eastAsia"/>
          <w:color w:val="000000"/>
          <w:sz w:val="24"/>
          <w:highlight w:val="none"/>
          <w:lang w:eastAsia="zh-CN"/>
        </w:rPr>
        <w:t>，有效期至</w:t>
      </w:r>
      <w:r>
        <w:rPr>
          <w:rFonts w:hint="eastAsia"/>
          <w:szCs w:val="21"/>
          <w:highlight w:val="none"/>
          <w:u w:val="single"/>
        </w:rPr>
        <w:t xml:space="preserve">       </w:t>
      </w:r>
      <w:r>
        <w:rPr>
          <w:rFonts w:asciiTheme="minorEastAsia" w:eastAsiaTheme="minorEastAsia" w:hAnsiTheme="minorEastAsia" w:cstheme="minorEastAsia" w:hint="eastAsia"/>
          <w:color w:val="000000"/>
          <w:sz w:val="24"/>
          <w:highlight w:val="none"/>
        </w:rPr>
        <w:t>年</w:t>
      </w:r>
      <w:r>
        <w:rPr>
          <w:rFonts w:hint="eastAsia"/>
          <w:szCs w:val="21"/>
          <w:highlight w:val="none"/>
          <w:u w:val="single"/>
        </w:rPr>
        <w:t xml:space="preserve">      </w:t>
      </w:r>
      <w:r>
        <w:rPr>
          <w:rFonts w:asciiTheme="minorEastAsia" w:eastAsiaTheme="minorEastAsia" w:hAnsiTheme="minorEastAsia" w:cstheme="minorEastAsia" w:hint="eastAsia"/>
          <w:color w:val="000000"/>
          <w:sz w:val="24"/>
          <w:highlight w:val="none"/>
        </w:rPr>
        <w:t>月</w:t>
      </w:r>
      <w:r>
        <w:rPr>
          <w:rFonts w:hint="eastAsia"/>
          <w:szCs w:val="21"/>
          <w:highlight w:val="none"/>
          <w:u w:val="single"/>
        </w:rPr>
        <w:t xml:space="preserve">      </w:t>
      </w:r>
      <w:r>
        <w:rPr>
          <w:rFonts w:asciiTheme="minorEastAsia" w:eastAsiaTheme="minorEastAsia" w:hAnsiTheme="minorEastAsia" w:cstheme="minorEastAsia" w:hint="eastAsia"/>
          <w:color w:val="000000"/>
          <w:sz w:val="24"/>
          <w:highlight w:val="none"/>
        </w:rPr>
        <w:t>日</w:t>
      </w:r>
      <w:r>
        <w:rPr>
          <w:rFonts w:asciiTheme="minorEastAsia" w:eastAsiaTheme="minorEastAsia" w:hAnsiTheme="minorEastAsia" w:cstheme="minorEastAsia" w:hint="eastAsia"/>
          <w:color w:val="000000"/>
          <w:sz w:val="24"/>
          <w:highlight w:val="none"/>
          <w:lang w:eastAsia="zh-CN"/>
        </w:rPr>
        <w:t>。</w:t>
      </w:r>
    </w:p>
    <w:p>
      <w:pPr>
        <w:spacing w:line="360" w:lineRule="auto"/>
        <w:rPr>
          <w:rFonts w:ascii="仿宋" w:eastAsia="仿宋" w:hAnsi="仿宋" w:cs="仿宋"/>
          <w:bCs/>
          <w:color w:val="000000"/>
          <w:sz w:val="24"/>
          <w:highlight w:val="none"/>
        </w:rPr>
      </w:pPr>
      <w:r>
        <w:rPr>
          <w:color w:val="000000"/>
          <w:highlight w:val="none"/>
        </w:rPr>
        <w:pict>
          <v:shape id="_x0000_s1026" o:spid="_x0000_s1027" type="#_x0000_t202" style="height:151.25pt;margin-left:236.2pt;margin-top:1.65pt;mso-height-relative:page;mso-width-relative:page;position:absolute;width:219.1pt;z-index:251661312" coordsize="21600,21600" filled="t" fillcolor="white" stroked="t">
            <v:stroke joinstyle="miter"/>
            <o:lock v:ext="edit" aspectratio="f"/>
            <v:textbox>
              <w:txbxContent>
                <w:p>
                  <w:pPr>
                    <w:widowControl/>
                    <w:jc w:val="left"/>
                    <w:rPr>
                      <w:rFonts w:ascii="宋体" w:hAnsi="宋体" w:cs="宋体"/>
                      <w:kern w:val="0"/>
                      <w:sz w:val="24"/>
                    </w:rPr>
                  </w:pPr>
                </w:p>
                <w:p>
                  <w:pPr>
                    <w:widowControl/>
                    <w:jc w:val="left"/>
                  </w:pPr>
                </w:p>
                <w:p>
                  <w:pPr>
                    <w:jc w:val="center"/>
                    <w:rPr>
                      <w:rFonts w:ascii="仿宋" w:eastAsia="仿宋" w:hAnsi="仿宋" w:cs="仿宋" w:hint="eastAsia"/>
                      <w:bCs/>
                      <w:sz w:val="24"/>
                      <w:szCs w:val="24"/>
                    </w:rPr>
                  </w:pPr>
                  <w:r>
                    <w:rPr>
                      <w:rFonts w:ascii="仿宋" w:eastAsia="仿宋" w:hAnsi="仿宋" w:cs="仿宋" w:hint="eastAsia"/>
                      <w:bCs/>
                      <w:sz w:val="24"/>
                      <w:szCs w:val="24"/>
                    </w:rPr>
                    <w:t>被授权人身份证反面</w:t>
                  </w:r>
                </w:p>
              </w:txbxContent>
            </v:textbox>
          </v:shape>
        </w:pict>
      </w:r>
      <w:r>
        <w:rPr>
          <w:color w:val="000000"/>
          <w:highlight w:val="none"/>
        </w:rPr>
        <w:pict>
          <v:shape id="_x0000_s1026" o:spid="_x0000_s1028" type="#_x0000_t202" style="height:151.25pt;margin-left:0.15pt;margin-top:1.65pt;mso-height-relative:page;mso-width-relative:page;position:absolute;width:222.9pt;z-index:251660288" coordsize="21600,21600" filled="t" fillcolor="white" stroked="t">
            <v:stroke joinstyle="miter"/>
            <o:lock v:ext="edit" aspectratio="f"/>
            <v:textbox>
              <w:txbxContent>
                <w:p>
                  <w:pPr>
                    <w:widowControl/>
                    <w:jc w:val="left"/>
                    <w:rPr>
                      <w:rFonts w:ascii="宋体" w:hAnsi="宋体" w:cs="宋体"/>
                      <w:kern w:val="0"/>
                      <w:sz w:val="24"/>
                    </w:rPr>
                  </w:pPr>
                </w:p>
                <w:p>
                  <w:pPr>
                    <w:widowControl/>
                    <w:jc w:val="left"/>
                  </w:pPr>
                </w:p>
                <w:p>
                  <w:pPr>
                    <w:jc w:val="center"/>
                    <w:rPr>
                      <w:rFonts w:ascii="仿宋" w:eastAsia="仿宋" w:hAnsi="仿宋" w:cs="仿宋" w:hint="eastAsia"/>
                      <w:bCs/>
                      <w:sz w:val="22"/>
                      <w:szCs w:val="22"/>
                    </w:rPr>
                  </w:pPr>
                  <w:r>
                    <w:rPr>
                      <w:rFonts w:ascii="仿宋" w:eastAsia="仿宋" w:hAnsi="仿宋" w:cs="仿宋" w:hint="eastAsia"/>
                      <w:bCs/>
                      <w:sz w:val="24"/>
                      <w:szCs w:val="24"/>
                    </w:rPr>
                    <w:t>被授权人身份证正面</w:t>
                  </w:r>
                </w:p>
              </w:txbxContent>
            </v:textbox>
          </v:shape>
        </w:pict>
      </w:r>
    </w:p>
    <w:p>
      <w:pPr>
        <w:spacing w:line="360" w:lineRule="auto"/>
        <w:rPr>
          <w:rFonts w:ascii="仿宋" w:eastAsia="仿宋" w:hAnsi="仿宋" w:cs="仿宋"/>
          <w:bCs/>
          <w:color w:val="000000"/>
          <w:sz w:val="24"/>
          <w:highlight w:val="none"/>
        </w:rPr>
      </w:pPr>
    </w:p>
    <w:p>
      <w:pPr>
        <w:spacing w:line="360" w:lineRule="auto"/>
        <w:rPr>
          <w:rFonts w:ascii="仿宋" w:eastAsia="仿宋" w:hAnsi="仿宋" w:cs="仿宋"/>
          <w:bCs/>
          <w:color w:val="000000"/>
          <w:sz w:val="24"/>
          <w:highlight w:val="none"/>
        </w:rPr>
      </w:pPr>
    </w:p>
    <w:p>
      <w:pPr>
        <w:spacing w:line="360" w:lineRule="auto"/>
        <w:rPr>
          <w:rFonts w:ascii="仿宋" w:eastAsia="仿宋" w:hAnsi="仿宋" w:cs="仿宋"/>
          <w:bCs/>
          <w:color w:val="000000"/>
          <w:sz w:val="24"/>
          <w:highlight w:val="none"/>
        </w:rPr>
      </w:pPr>
    </w:p>
    <w:p>
      <w:pPr>
        <w:rPr>
          <w:rFonts w:ascii="仿宋" w:eastAsia="仿宋" w:hAnsi="仿宋" w:cs="仿宋"/>
          <w:color w:val="000000"/>
          <w:sz w:val="24"/>
          <w:highlight w:val="none"/>
        </w:rPr>
      </w:pPr>
    </w:p>
    <w:p>
      <w:pPr>
        <w:rPr>
          <w:rFonts w:ascii="仿宋" w:eastAsia="仿宋" w:hAnsi="仿宋" w:cs="仿宋"/>
          <w:color w:val="000000"/>
          <w:sz w:val="24"/>
          <w:highlight w:val="none"/>
        </w:rPr>
      </w:pPr>
    </w:p>
    <w:p>
      <w:pPr>
        <w:spacing w:after="60"/>
        <w:rPr>
          <w:rFonts w:ascii="仿宋" w:eastAsia="仿宋" w:hAnsi="仿宋" w:cs="仿宋"/>
          <w:color w:val="000000"/>
          <w:sz w:val="24"/>
          <w:highlight w:val="none"/>
        </w:rPr>
      </w:pPr>
    </w:p>
    <w:p>
      <w:pPr>
        <w:rPr>
          <w:rFonts w:ascii="仿宋" w:eastAsia="仿宋" w:hAnsi="仿宋" w:cs="仿宋"/>
          <w:color w:val="000000"/>
          <w:sz w:val="24"/>
          <w:highlight w:val="none"/>
        </w:rPr>
      </w:pPr>
    </w:p>
    <w:p>
      <w:pPr>
        <w:spacing w:line="360" w:lineRule="auto"/>
        <w:jc w:val="both"/>
        <w:rPr>
          <w:rFonts w:hint="eastAsia"/>
          <w:szCs w:val="21"/>
          <w:highlight w:val="none"/>
          <w:lang w:val="en-US" w:eastAsia="zh-CN"/>
        </w:rPr>
      </w:pPr>
      <w:r>
        <w:rPr>
          <w:rFonts w:hint="eastAsia"/>
          <w:szCs w:val="21"/>
          <w:highlight w:val="none"/>
          <w:lang w:val="en-US" w:eastAsia="zh-CN"/>
        </w:rPr>
        <w:t>说明：</w:t>
      </w:r>
    </w:p>
    <w:p>
      <w:pPr>
        <w:keepNext w:val="0"/>
        <w:keepLines w:val="0"/>
        <w:pageBreakBefore w:val="0"/>
        <w:kinsoku/>
        <w:wordWrap/>
        <w:overflowPunct/>
        <w:topLinePunct w:val="0"/>
        <w:autoSpaceDE/>
        <w:autoSpaceDN/>
        <w:bidi w:val="0"/>
        <w:adjustRightInd/>
        <w:snapToGrid w:val="0"/>
        <w:spacing w:line="340" w:lineRule="exact"/>
        <w:ind w:firstLine="480" w:firstLineChars="200"/>
        <w:textAlignment w:val="auto"/>
        <w:rPr>
          <w:rFonts w:hint="default"/>
          <w:szCs w:val="21"/>
          <w:highlight w:val="none"/>
          <w:lang w:val="en-US" w:eastAsia="zh-CN" w:bidi="ar-SA"/>
        </w:rPr>
      </w:pPr>
      <w:r>
        <w:rPr>
          <w:rFonts w:hint="eastAsia"/>
          <w:szCs w:val="21"/>
          <w:highlight w:val="none"/>
          <w:lang w:val="en-US" w:eastAsia="zh-CN" w:bidi="ar-SA"/>
        </w:rPr>
        <w:t>1.如是代理人（受托人）参与投标，则必须提供《法定代表人（负责人或执行事务合伙人）证明书》和《投标文件签署授权委托书》，且《投标函》的委托代理人与《投标文件签署授权委托书》的代理人（受托人）必须一致。</w:t>
      </w:r>
    </w:p>
    <w:p>
      <w:pPr>
        <w:keepNext w:val="0"/>
        <w:keepLines w:val="0"/>
        <w:pageBreakBefore w:val="0"/>
        <w:kinsoku/>
        <w:wordWrap/>
        <w:overflowPunct/>
        <w:topLinePunct w:val="0"/>
        <w:autoSpaceDE/>
        <w:autoSpaceDN/>
        <w:bidi w:val="0"/>
        <w:adjustRightInd/>
        <w:snapToGrid w:val="0"/>
        <w:spacing w:line="340" w:lineRule="exact"/>
        <w:ind w:firstLine="480" w:firstLineChars="200"/>
        <w:textAlignment w:val="auto"/>
        <w:rPr>
          <w:rFonts w:hint="eastAsia"/>
          <w:szCs w:val="21"/>
          <w:highlight w:val="none"/>
          <w:lang w:val="en-US" w:eastAsia="zh-CN" w:bidi="ar-SA"/>
        </w:rPr>
      </w:pPr>
      <w:r>
        <w:rPr>
          <w:rFonts w:hint="eastAsia"/>
          <w:szCs w:val="21"/>
          <w:highlight w:val="none"/>
          <w:lang w:val="en-US" w:eastAsia="zh-CN" w:bidi="ar-SA"/>
        </w:rPr>
        <w:t>2.请提供代理人身份证扫描件（正反两面）；港澳台居民可提供来往通行证扫描件；非中国国籍管辖范围人员，可提供公安部门认可的身份证明材料扫描件。</w:t>
      </w:r>
    </w:p>
    <w:p>
      <w:pPr>
        <w:keepNext w:val="0"/>
        <w:keepLines w:val="0"/>
        <w:pageBreakBefore w:val="0"/>
        <w:kinsoku/>
        <w:wordWrap/>
        <w:overflowPunct/>
        <w:topLinePunct w:val="0"/>
        <w:autoSpaceDE/>
        <w:autoSpaceDN/>
        <w:bidi w:val="0"/>
        <w:adjustRightInd/>
        <w:snapToGrid w:val="0"/>
        <w:spacing w:line="340" w:lineRule="exact"/>
        <w:ind w:firstLine="480" w:firstLineChars="200"/>
        <w:textAlignment w:val="auto"/>
        <w:rPr>
          <w:rFonts w:hint="eastAsia"/>
          <w:color w:val="FF0000"/>
          <w:szCs w:val="21"/>
          <w:highlight w:val="none"/>
          <w:lang w:val="en-US" w:eastAsia="zh-CN"/>
        </w:rPr>
      </w:pPr>
      <w:r>
        <w:rPr>
          <w:rFonts w:hint="eastAsia"/>
          <w:b/>
          <w:bCs/>
          <w:color w:val="FF0000"/>
          <w:szCs w:val="21"/>
          <w:highlight w:val="none"/>
          <w:lang w:val="en-US" w:eastAsia="zh-CN"/>
        </w:rPr>
        <w:t>温馨提示:</w:t>
      </w:r>
      <w:r>
        <w:rPr>
          <w:rFonts w:hint="eastAsia"/>
          <w:color w:val="FF0000"/>
          <w:szCs w:val="21"/>
          <w:highlight w:val="none"/>
          <w:lang w:val="en-US" w:eastAsia="zh-CN"/>
        </w:rPr>
        <w:t>为避免出现《深圳经济特区政府采购条例实施细则》第七十五条第二项所列情形，请投标供应商核实你单位法定代表人、本项目投标授权代表人、项目负责人(如有)、主要技术人员(如有)等是否在你公司缴纳社会保险。”</w:t>
      </w:r>
    </w:p>
    <w:p>
      <w:pPr>
        <w:pStyle w:val="NormalIndent"/>
        <w:rPr>
          <w:highlight w:val="none"/>
        </w:rPr>
      </w:pPr>
    </w:p>
    <w:p>
      <w:pPr>
        <w:rPr>
          <w:rFonts w:ascii="黑体" w:eastAsia="黑体" w:hAnsi="宋体"/>
          <w:color w:val="000000" w:themeColor="text1"/>
          <w:szCs w:val="20"/>
          <w:highlight w:val="none"/>
          <w14:textFill>
            <w14:solidFill>
              <w14:schemeClr w14:val="tx1"/>
            </w14:solidFill>
          </w14:textFill>
        </w:rPr>
      </w:pPr>
    </w:p>
    <w:p>
      <w:pPr>
        <w:rPr>
          <w:rFonts w:ascii="黑体" w:eastAsia="黑体" w:hAnsi="宋体"/>
          <w:color w:val="000000" w:themeColor="text1"/>
          <w:szCs w:val="20"/>
          <w:highlight w:val="none"/>
          <w14:textFill>
            <w14:solidFill>
              <w14:schemeClr w14:val="tx1"/>
            </w14:solidFill>
          </w14:textFill>
        </w:rPr>
      </w:pPr>
    </w:p>
    <w:p>
      <w:pPr>
        <w:rPr>
          <w:rFonts w:ascii="黑体" w:eastAsia="黑体" w:hAnsi="宋体"/>
          <w:color w:val="000000" w:themeColor="text1"/>
          <w:szCs w:val="20"/>
          <w:highlight w:val="none"/>
          <w14:textFill>
            <w14:solidFill>
              <w14:schemeClr w14:val="tx1"/>
            </w14:solidFill>
          </w14:textFill>
        </w:rPr>
      </w:pPr>
    </w:p>
    <w:p>
      <w:pPr>
        <w:rPr>
          <w:rFonts w:ascii="黑体" w:eastAsia="黑体" w:hAnsi="宋体"/>
          <w:color w:val="000000" w:themeColor="text1"/>
          <w:szCs w:val="20"/>
          <w:highlight w:val="none"/>
          <w14:textFill>
            <w14:solidFill>
              <w14:schemeClr w14:val="tx1"/>
            </w14:solidFill>
          </w14:textFill>
        </w:rPr>
      </w:pPr>
    </w:p>
    <w:p>
      <w:pPr>
        <w:rPr>
          <w:rFonts w:ascii="黑体" w:eastAsia="黑体" w:hAnsi="宋体"/>
          <w:color w:val="000000" w:themeColor="text1"/>
          <w:szCs w:val="20"/>
          <w:highlight w:val="none"/>
          <w14:textFill>
            <w14:solidFill>
              <w14:schemeClr w14:val="tx1"/>
            </w14:solidFill>
          </w14:textFill>
        </w:rPr>
      </w:pPr>
    </w:p>
    <w:p>
      <w:pPr>
        <w:pStyle w:val="Heading3"/>
        <w:spacing w:before="120" w:after="120"/>
        <w:jc w:val="center"/>
        <w:rPr>
          <w:rFonts w:ascii="黑体" w:eastAsia="黑体" w:hAnsi="宋体" w:cs="Times New Roman" w:hint="eastAsia"/>
          <w:b w:val="0"/>
          <w:sz w:val="24"/>
          <w:highlight w:val="none"/>
          <w:lang w:eastAsia="zh-CN"/>
        </w:rPr>
      </w:pPr>
      <w:r>
        <w:rPr>
          <w:rFonts w:ascii="黑体" w:eastAsia="黑体" w:hAnsi="宋体" w:cs="Times New Roman" w:hint="eastAsia"/>
          <w:b w:val="0"/>
          <w:sz w:val="24"/>
          <w:highlight w:val="none"/>
          <w:lang w:eastAsia="zh-CN"/>
        </w:rPr>
        <w:t>三、供应商</w:t>
      </w:r>
      <w:r>
        <w:rPr>
          <w:rFonts w:ascii="黑体" w:eastAsia="黑体" w:cs="Times New Roman" w:hint="eastAsia"/>
          <w:b w:val="0"/>
          <w:sz w:val="24"/>
          <w:highlight w:val="none"/>
          <w:lang w:val="en-US" w:eastAsia="zh-CN"/>
        </w:rPr>
        <w:t>基本</w:t>
      </w:r>
      <w:r>
        <w:rPr>
          <w:rFonts w:ascii="黑体" w:eastAsia="黑体" w:hAnsi="宋体" w:cs="Times New Roman" w:hint="eastAsia"/>
          <w:b w:val="0"/>
          <w:sz w:val="24"/>
          <w:highlight w:val="none"/>
          <w:lang w:eastAsia="zh-CN"/>
        </w:rPr>
        <w:t>情况表</w:t>
      </w:r>
    </w:p>
    <w:p>
      <w:pPr>
        <w:keepNext w:val="0"/>
        <w:keepLines w:val="0"/>
        <w:pageBreakBefore w:val="0"/>
        <w:widowControl/>
        <w:numPr>
          <w:ilvl w:val="0"/>
          <w:numId w:val="0"/>
        </w:numPr>
        <w:kinsoku/>
        <w:wordWrap/>
        <w:overflowPunct/>
        <w:topLinePunct w:val="0"/>
        <w:autoSpaceDE/>
        <w:autoSpaceDN/>
        <w:bidi w:val="0"/>
        <w:adjustRightInd/>
        <w:snapToGrid w:val="0"/>
        <w:ind w:firstLine="480" w:firstLineChars="200"/>
        <w:textAlignment w:val="auto"/>
        <w:outlineLvl w:val="9"/>
        <w:rPr>
          <w:rFonts w:ascii="宋体" w:eastAsia="宋体" w:hAnsi="宋体" w:cs="宋体" w:hint="eastAsia"/>
          <w:b/>
          <w:bCs w:val="0"/>
          <w:color w:val="auto"/>
          <w:sz w:val="24"/>
          <w:szCs w:val="24"/>
          <w:highlight w:val="none"/>
          <w:lang w:eastAsia="zh-CN"/>
        </w:rPr>
      </w:pPr>
      <w:r>
        <w:rPr>
          <w:rFonts w:ascii="宋体" w:eastAsia="宋体" w:hAnsi="宋体" w:cs="宋体" w:hint="eastAsia"/>
          <w:b/>
          <w:bCs w:val="0"/>
          <w:color w:val="auto"/>
          <w:sz w:val="24"/>
          <w:szCs w:val="24"/>
          <w:highlight w:val="none"/>
          <w:lang w:eastAsia="zh-CN"/>
        </w:rPr>
        <w:t>根据《深圳经济特区政府采购条例实施细则》第七十五条第一款（二）规定，存在“不同投标供应商的法定代表人、主要经营负责人、项目投标授权代表人、项目负责人、主要技术人员为同一人、属同一单位或者在同一单位缴纳社会保险”情形的，属于串通投标行为。</w:t>
      </w:r>
    </w:p>
    <w:p>
      <w:pPr>
        <w:keepNext w:val="0"/>
        <w:keepLines w:val="0"/>
        <w:pageBreakBefore w:val="0"/>
        <w:widowControl/>
        <w:numPr>
          <w:ilvl w:val="0"/>
          <w:numId w:val="0"/>
        </w:numPr>
        <w:kinsoku/>
        <w:wordWrap/>
        <w:overflowPunct/>
        <w:topLinePunct w:val="0"/>
        <w:autoSpaceDE/>
        <w:autoSpaceDN/>
        <w:bidi w:val="0"/>
        <w:adjustRightInd/>
        <w:snapToGrid w:val="0"/>
        <w:ind w:firstLine="480" w:firstLineChars="200"/>
        <w:textAlignment w:val="auto"/>
        <w:outlineLvl w:val="9"/>
        <w:rPr>
          <w:rFonts w:ascii="宋体" w:eastAsia="宋体" w:hAnsi="宋体" w:cs="宋体" w:hint="eastAsia"/>
          <w:b/>
          <w:bCs w:val="0"/>
          <w:color w:val="auto"/>
          <w:sz w:val="24"/>
          <w:szCs w:val="24"/>
          <w:highlight w:val="none"/>
          <w:lang w:eastAsia="zh-CN"/>
        </w:rPr>
      </w:pPr>
      <w:r>
        <w:rPr>
          <w:rFonts w:ascii="宋体" w:eastAsia="宋体" w:hAnsi="宋体" w:cs="宋体" w:hint="eastAsia"/>
          <w:b/>
          <w:bCs w:val="0"/>
          <w:color w:val="auto"/>
          <w:sz w:val="24"/>
          <w:szCs w:val="24"/>
          <w:highlight w:val="none"/>
          <w:lang w:eastAsia="zh-CN"/>
        </w:rPr>
        <w:t>请供应商按以下格式提供上述法规涉及人员情况。（注：以下内容将作为评审委员会和主管部门判定本项目不同投标供应商是否涉嫌、属于串通投标的重要依据，请供应商认真填报，并保证所填信息的真实、准确和完整。）</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 w:val="24"/>
          <w:szCs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 w:val="24"/>
          <w:szCs w:val="24"/>
          <w:highlight w:val="none"/>
          <w:lang w:val="en-US" w:eastAsia="zh-CN"/>
        </w:rPr>
      </w:pPr>
      <w:r>
        <w:rPr>
          <w:rFonts w:ascii="宋体" w:eastAsia="宋体" w:hAnsi="宋体" w:cs="宋体" w:hint="eastAsia"/>
          <w:b/>
          <w:color w:val="auto"/>
          <w:sz w:val="24"/>
          <w:szCs w:val="24"/>
          <w:highlight w:val="none"/>
          <w:lang w:val="en-US" w:eastAsia="zh-CN"/>
        </w:rPr>
        <w:t>1.情况一览表</w:t>
      </w:r>
    </w:p>
    <w:tbl>
      <w:tblPr>
        <w:tblStyle w:val="TableGrid"/>
        <w:tblW w:w="4998"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05"/>
        <w:gridCol w:w="1223"/>
        <w:gridCol w:w="830"/>
        <w:gridCol w:w="900"/>
        <w:gridCol w:w="956"/>
        <w:gridCol w:w="937"/>
        <w:gridCol w:w="1428"/>
        <w:gridCol w:w="1440"/>
      </w:tblGrid>
      <w:tr>
        <w:tblPrEx>
          <w:tblW w:w="4998"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1191" w:type="pct"/>
            <w:gridSpan w:val="2"/>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bCs/>
                <w:color w:val="FF0000"/>
                <w:spacing w:val="-4"/>
                <w:sz w:val="24"/>
                <w:szCs w:val="24"/>
                <w:highlight w:val="none"/>
                <w:lang w:val="en-US" w:eastAsia="zh-CN"/>
              </w:rPr>
              <w:t>投标（响应）供应商</w:t>
            </w:r>
            <w:r>
              <w:rPr>
                <w:rFonts w:ascii="宋体" w:eastAsia="宋体" w:hAnsi="宋体" w:cs="宋体" w:hint="eastAsia"/>
                <w:b/>
                <w:bCs/>
                <w:color w:val="FF0000"/>
                <w:spacing w:val="-4"/>
                <w:sz w:val="24"/>
                <w:szCs w:val="24"/>
                <w:highlight w:val="none"/>
              </w:rPr>
              <w:t>（必填项）</w:t>
            </w:r>
          </w:p>
        </w:tc>
        <w:tc>
          <w:tcPr>
            <w:tcW w:w="1015" w:type="pct"/>
            <w:gridSpan w:val="2"/>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p>
        </w:tc>
        <w:tc>
          <w:tcPr>
            <w:tcW w:w="1111" w:type="pct"/>
            <w:gridSpan w:val="2"/>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bCs/>
                <w:color w:val="FF0000"/>
                <w:spacing w:val="-4"/>
                <w:sz w:val="24"/>
                <w:szCs w:val="24"/>
                <w:highlight w:val="none"/>
                <w:lang w:val="en-US" w:eastAsia="zh-CN"/>
              </w:rPr>
              <w:t>供应商统一社会信用代码</w:t>
            </w:r>
            <w:r>
              <w:rPr>
                <w:rFonts w:ascii="宋体" w:eastAsia="宋体" w:hAnsi="宋体" w:cs="宋体" w:hint="eastAsia"/>
                <w:b/>
                <w:bCs/>
                <w:color w:val="FF0000"/>
                <w:spacing w:val="-4"/>
                <w:sz w:val="24"/>
                <w:szCs w:val="24"/>
                <w:highlight w:val="none"/>
              </w:rPr>
              <w:t>（必填项）</w:t>
            </w:r>
          </w:p>
        </w:tc>
        <w:tc>
          <w:tcPr>
            <w:tcW w:w="1682" w:type="pct"/>
            <w:gridSpan w:val="2"/>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p>
        </w:tc>
      </w:tr>
      <w:tr>
        <w:tblPrEx>
          <w:tblW w:w="4998" w:type="pct"/>
          <w:tblInd w:w="0" w:type="dxa"/>
          <w:tblCellMar>
            <w:top w:w="0" w:type="dxa"/>
            <w:left w:w="108" w:type="dxa"/>
            <w:bottom w:w="0" w:type="dxa"/>
            <w:right w:w="108" w:type="dxa"/>
          </w:tblCellMar>
        </w:tblPrEx>
        <w:tc>
          <w:tcPr>
            <w:tcW w:w="5000" w:type="pct"/>
            <w:gridSpan w:val="8"/>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投标（响应）供应商相关人员情况</w:t>
            </w:r>
          </w:p>
        </w:tc>
      </w:tr>
      <w:tr>
        <w:tblPrEx>
          <w:tblW w:w="4998" w:type="pct"/>
          <w:tblInd w:w="0" w:type="dxa"/>
          <w:tblCellMar>
            <w:top w:w="0" w:type="dxa"/>
            <w:left w:w="108" w:type="dxa"/>
            <w:bottom w:w="0" w:type="dxa"/>
            <w:right w:w="108" w:type="dxa"/>
          </w:tblCellMar>
        </w:tblPrEx>
        <w:tc>
          <w:tcPr>
            <w:tcW w:w="473" w:type="pct"/>
            <w:tcBorders>
              <w:bottom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序号</w:t>
            </w:r>
          </w:p>
        </w:tc>
        <w:tc>
          <w:tcPr>
            <w:tcW w:w="1205" w:type="pct"/>
            <w:gridSpan w:val="2"/>
            <w:tcBorders>
              <w:bottom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职务</w:t>
            </w:r>
          </w:p>
        </w:tc>
        <w:tc>
          <w:tcPr>
            <w:tcW w:w="528" w:type="pct"/>
            <w:tcBorders>
              <w:bottom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姓名</w:t>
            </w:r>
          </w:p>
        </w:tc>
        <w:tc>
          <w:tcPr>
            <w:tcW w:w="1111" w:type="pct"/>
            <w:gridSpan w:val="2"/>
            <w:tcBorders>
              <w:bottom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身份证号码</w:t>
            </w:r>
          </w:p>
        </w:tc>
        <w:tc>
          <w:tcPr>
            <w:tcW w:w="838" w:type="pct"/>
            <w:tcBorders>
              <w:bottom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劳动合同</w:t>
            </w:r>
          </w:p>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关系单位</w:t>
            </w:r>
          </w:p>
        </w:tc>
        <w:tc>
          <w:tcPr>
            <w:tcW w:w="843" w:type="pct"/>
            <w:tcBorders>
              <w:bottom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缴纳社会</w:t>
            </w:r>
          </w:p>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保险单位</w:t>
            </w:r>
          </w:p>
        </w:tc>
      </w:tr>
      <w:tr>
        <w:tblPrEx>
          <w:tblW w:w="4998" w:type="pct"/>
          <w:tblInd w:w="0" w:type="dxa"/>
          <w:tblCellMar>
            <w:top w:w="0" w:type="dxa"/>
            <w:left w:w="108" w:type="dxa"/>
            <w:bottom w:w="0" w:type="dxa"/>
            <w:right w:w="108" w:type="dxa"/>
          </w:tblCellMar>
        </w:tblPrEx>
        <w:tc>
          <w:tcPr>
            <w:tcW w:w="473"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1</w:t>
            </w:r>
          </w:p>
        </w:tc>
        <w:tc>
          <w:tcPr>
            <w:tcW w:w="1205" w:type="pct"/>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bCs/>
                <w:color w:val="FF0000"/>
                <w:spacing w:val="-4"/>
                <w:sz w:val="24"/>
                <w:szCs w:val="24"/>
                <w:highlight w:val="none"/>
                <w:lang w:val="en-US" w:eastAsia="zh-CN"/>
              </w:rPr>
              <w:t>法定代表人/单位负责人/主要经营负责人</w:t>
            </w:r>
            <w:r>
              <w:rPr>
                <w:rFonts w:ascii="宋体" w:eastAsia="宋体" w:hAnsi="宋体" w:cs="宋体" w:hint="eastAsia"/>
                <w:b/>
                <w:bCs/>
                <w:color w:val="FF0000"/>
                <w:spacing w:val="-4"/>
                <w:sz w:val="24"/>
                <w:szCs w:val="24"/>
                <w:highlight w:val="none"/>
              </w:rPr>
              <w:t>（必填项）</w:t>
            </w:r>
          </w:p>
        </w:tc>
        <w:tc>
          <w:tcPr>
            <w:tcW w:w="528"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p>
        </w:tc>
        <w:tc>
          <w:tcPr>
            <w:tcW w:w="1111" w:type="pct"/>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p>
        </w:tc>
        <w:tc>
          <w:tcPr>
            <w:tcW w:w="838"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p>
        </w:tc>
        <w:tc>
          <w:tcPr>
            <w:tcW w:w="843"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p>
        </w:tc>
      </w:tr>
      <w:tr>
        <w:tblPrEx>
          <w:tblW w:w="4998" w:type="pct"/>
          <w:tblInd w:w="0" w:type="dxa"/>
          <w:tblCellMar>
            <w:top w:w="0" w:type="dxa"/>
            <w:left w:w="108" w:type="dxa"/>
            <w:bottom w:w="0" w:type="dxa"/>
            <w:right w:w="108" w:type="dxa"/>
          </w:tblCellMar>
        </w:tblPrEx>
        <w:tc>
          <w:tcPr>
            <w:tcW w:w="473"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2</w:t>
            </w:r>
          </w:p>
        </w:tc>
        <w:tc>
          <w:tcPr>
            <w:tcW w:w="1205" w:type="pct"/>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bCs/>
                <w:color w:val="FF0000"/>
                <w:spacing w:val="-4"/>
                <w:sz w:val="24"/>
                <w:szCs w:val="24"/>
                <w:highlight w:val="none"/>
                <w:lang w:val="en-US" w:eastAsia="zh-CN"/>
              </w:rPr>
              <w:t>项目投标授权代表人</w:t>
            </w:r>
            <w:r>
              <w:rPr>
                <w:rFonts w:ascii="宋体" w:eastAsia="宋体" w:hAnsi="宋体" w:cs="宋体" w:hint="eastAsia"/>
                <w:b/>
                <w:bCs/>
                <w:color w:val="FF0000"/>
                <w:spacing w:val="-4"/>
                <w:sz w:val="24"/>
                <w:szCs w:val="24"/>
                <w:highlight w:val="none"/>
              </w:rPr>
              <w:t>（必填项）</w:t>
            </w:r>
          </w:p>
        </w:tc>
        <w:tc>
          <w:tcPr>
            <w:tcW w:w="528"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p>
        </w:tc>
        <w:tc>
          <w:tcPr>
            <w:tcW w:w="1111" w:type="pct"/>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p>
        </w:tc>
        <w:tc>
          <w:tcPr>
            <w:tcW w:w="838"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p>
        </w:tc>
        <w:tc>
          <w:tcPr>
            <w:tcW w:w="843"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p>
        </w:tc>
      </w:tr>
      <w:tr>
        <w:tblPrEx>
          <w:tblW w:w="4998" w:type="pct"/>
          <w:tblInd w:w="0" w:type="dxa"/>
          <w:tblCellMar>
            <w:top w:w="0" w:type="dxa"/>
            <w:left w:w="108" w:type="dxa"/>
            <w:bottom w:w="0" w:type="dxa"/>
            <w:right w:w="108" w:type="dxa"/>
          </w:tblCellMar>
        </w:tblPrEx>
        <w:tc>
          <w:tcPr>
            <w:tcW w:w="473" w:type="pct"/>
            <w:tcBorders>
              <w:top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3</w:t>
            </w:r>
          </w:p>
        </w:tc>
        <w:tc>
          <w:tcPr>
            <w:tcW w:w="1205" w:type="pct"/>
            <w:gridSpan w:val="2"/>
            <w:tcBorders>
              <w:top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项目负责人（如有）</w:t>
            </w:r>
          </w:p>
        </w:tc>
        <w:tc>
          <w:tcPr>
            <w:tcW w:w="528" w:type="pct"/>
            <w:tcBorders>
              <w:top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p>
        </w:tc>
        <w:tc>
          <w:tcPr>
            <w:tcW w:w="1111" w:type="pct"/>
            <w:gridSpan w:val="2"/>
            <w:tcBorders>
              <w:top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p>
        </w:tc>
        <w:tc>
          <w:tcPr>
            <w:tcW w:w="838" w:type="pct"/>
            <w:tcBorders>
              <w:top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p>
        </w:tc>
        <w:tc>
          <w:tcPr>
            <w:tcW w:w="843" w:type="pct"/>
            <w:tcBorders>
              <w:top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p>
        </w:tc>
      </w:tr>
      <w:tr>
        <w:tblPrEx>
          <w:tblW w:w="4998" w:type="pct"/>
          <w:tblInd w:w="0" w:type="dxa"/>
          <w:tblCellMar>
            <w:top w:w="0" w:type="dxa"/>
            <w:left w:w="108" w:type="dxa"/>
            <w:bottom w:w="0" w:type="dxa"/>
            <w:right w:w="108" w:type="dxa"/>
          </w:tblCellMar>
        </w:tblPrEx>
        <w:tc>
          <w:tcPr>
            <w:tcW w:w="473" w:type="pct"/>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4</w:t>
            </w:r>
          </w:p>
        </w:tc>
        <w:tc>
          <w:tcPr>
            <w:tcW w:w="1205" w:type="pct"/>
            <w:gridSpan w:val="2"/>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主要技术人员（如有）</w:t>
            </w:r>
          </w:p>
        </w:tc>
        <w:tc>
          <w:tcPr>
            <w:tcW w:w="528" w:type="pct"/>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p>
        </w:tc>
        <w:tc>
          <w:tcPr>
            <w:tcW w:w="1111" w:type="pct"/>
            <w:gridSpan w:val="2"/>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p>
        </w:tc>
        <w:tc>
          <w:tcPr>
            <w:tcW w:w="838" w:type="pct"/>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p>
        </w:tc>
        <w:tc>
          <w:tcPr>
            <w:tcW w:w="843" w:type="pct"/>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p>
        </w:tc>
      </w:tr>
      <w:tr>
        <w:tblPrEx>
          <w:tblW w:w="4998" w:type="pct"/>
          <w:tblInd w:w="0" w:type="dxa"/>
          <w:tblCellMar>
            <w:top w:w="0" w:type="dxa"/>
            <w:left w:w="108" w:type="dxa"/>
            <w:bottom w:w="0" w:type="dxa"/>
            <w:right w:w="108" w:type="dxa"/>
          </w:tblCellMar>
        </w:tblPrEx>
        <w:tc>
          <w:tcPr>
            <w:tcW w:w="473" w:type="pct"/>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5</w:t>
            </w:r>
          </w:p>
        </w:tc>
        <w:tc>
          <w:tcPr>
            <w:tcW w:w="1205" w:type="pct"/>
            <w:gridSpan w:val="2"/>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bCs/>
                <w:color w:val="FF0000"/>
                <w:spacing w:val="-4"/>
                <w:sz w:val="24"/>
                <w:szCs w:val="24"/>
                <w:highlight w:val="none"/>
                <w:lang w:val="en-US" w:eastAsia="zh-CN"/>
              </w:rPr>
              <w:t>投标文件编制人员</w:t>
            </w:r>
            <w:r>
              <w:rPr>
                <w:rFonts w:ascii="宋体" w:eastAsia="宋体" w:hAnsi="宋体" w:cs="宋体" w:hint="eastAsia"/>
                <w:b/>
                <w:bCs/>
                <w:color w:val="FF0000"/>
                <w:spacing w:val="-4"/>
                <w:sz w:val="24"/>
                <w:szCs w:val="24"/>
                <w:highlight w:val="none"/>
              </w:rPr>
              <w:t>（必填项）</w:t>
            </w:r>
          </w:p>
        </w:tc>
        <w:tc>
          <w:tcPr>
            <w:tcW w:w="528" w:type="pct"/>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p>
        </w:tc>
        <w:tc>
          <w:tcPr>
            <w:tcW w:w="1111" w:type="pct"/>
            <w:gridSpan w:val="2"/>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p>
        </w:tc>
        <w:tc>
          <w:tcPr>
            <w:tcW w:w="838" w:type="pct"/>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p>
        </w:tc>
        <w:tc>
          <w:tcPr>
            <w:tcW w:w="843" w:type="pct"/>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p>
        </w:tc>
      </w:tr>
      <w:tr>
        <w:tblPrEx>
          <w:tblW w:w="4998" w:type="pct"/>
          <w:tblInd w:w="0" w:type="dxa"/>
          <w:tblCellMar>
            <w:top w:w="0" w:type="dxa"/>
            <w:left w:w="108" w:type="dxa"/>
            <w:bottom w:w="0" w:type="dxa"/>
            <w:right w:w="108" w:type="dxa"/>
          </w:tblCellMar>
        </w:tblPrEx>
        <w:tc>
          <w:tcPr>
            <w:tcW w:w="5000" w:type="pct"/>
            <w:gridSpan w:val="8"/>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说明：</w:t>
            </w:r>
          </w:p>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bidi="ar-SA"/>
              </w:rPr>
              <w:t>1.</w:t>
            </w:r>
            <w:r>
              <w:rPr>
                <w:rFonts w:ascii="宋体" w:eastAsia="宋体" w:hAnsi="宋体" w:cs="宋体" w:hint="eastAsia"/>
                <w:b w:val="0"/>
                <w:bCs/>
                <w:color w:val="auto"/>
                <w:sz w:val="24"/>
                <w:szCs w:val="24"/>
                <w:highlight w:val="none"/>
                <w:lang w:val="en-US" w:eastAsia="zh-CN"/>
              </w:rPr>
              <w:t>同一职务有多人担任（如主要技术人员），应分行填写。</w:t>
            </w:r>
          </w:p>
          <w:p>
            <w:pPr>
              <w:pStyle w:val="BodyText"/>
              <w:widowControl w:val="0"/>
              <w:numPr>
                <w:ilvl w:val="0"/>
                <w:numId w:val="0"/>
              </w:numPr>
              <w:jc w:val="both"/>
              <w:rPr>
                <w:rFonts w:hint="eastAsia"/>
                <w:highlight w:val="none"/>
                <w:lang w:val="en-US" w:eastAsia="zh-CN"/>
              </w:rPr>
            </w:pPr>
            <w:r>
              <w:rPr>
                <w:rFonts w:ascii="Times New Roman" w:eastAsia="Times New Roman" w:hAnsi="Times New Roman" w:cs="Times New Roman" w:hint="eastAsia"/>
                <w:sz w:val="24"/>
                <w:szCs w:val="24"/>
                <w:highlight w:val="none"/>
                <w:lang w:val="en-US" w:eastAsia="zh-CN" w:bidi="ar-SA"/>
              </w:rPr>
              <w:t>2.</w:t>
            </w:r>
            <w:r>
              <w:rPr>
                <w:rFonts w:hint="eastAsia"/>
                <w:highlight w:val="none"/>
              </w:rPr>
              <w:t>上述项目负责人、主要技术人员必须为供应商本单位人员</w:t>
            </w:r>
            <w:r>
              <w:rPr>
                <w:rFonts w:eastAsia="宋体" w:hint="eastAsia"/>
                <w:highlight w:val="none"/>
                <w:lang w:eastAsia="zh-CN"/>
              </w:rPr>
              <w:t>。</w:t>
            </w:r>
          </w:p>
        </w:tc>
      </w:tr>
      <w:tr>
        <w:tblPrEx>
          <w:tblW w:w="4998" w:type="pct"/>
          <w:tblInd w:w="0" w:type="dxa"/>
          <w:tblCellMar>
            <w:top w:w="0" w:type="dxa"/>
            <w:left w:w="108" w:type="dxa"/>
            <w:bottom w:w="0" w:type="dxa"/>
            <w:right w:w="108" w:type="dxa"/>
          </w:tblCellMar>
        </w:tblPrEx>
        <w:trPr>
          <w:trHeight w:val="539"/>
        </w:trPr>
        <w:tc>
          <w:tcPr>
            <w:tcW w:w="5000" w:type="pct"/>
            <w:gridSpan w:val="8"/>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投标（响应）供应商关联关系情况</w:t>
            </w:r>
          </w:p>
        </w:tc>
      </w:tr>
      <w:tr>
        <w:tblPrEx>
          <w:tblW w:w="4998" w:type="pct"/>
          <w:tblInd w:w="0" w:type="dxa"/>
          <w:tblCellMar>
            <w:top w:w="0" w:type="dxa"/>
            <w:left w:w="108" w:type="dxa"/>
            <w:bottom w:w="0" w:type="dxa"/>
            <w:right w:w="108" w:type="dxa"/>
          </w:tblCellMar>
        </w:tblPrEx>
        <w:tc>
          <w:tcPr>
            <w:tcW w:w="473" w:type="pct"/>
            <w:tcBorders>
              <w:bottom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序号</w:t>
            </w:r>
          </w:p>
        </w:tc>
        <w:tc>
          <w:tcPr>
            <w:tcW w:w="1205" w:type="pct"/>
            <w:gridSpan w:val="2"/>
            <w:tcBorders>
              <w:bottom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center"/>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关联关系类型</w:t>
            </w:r>
          </w:p>
        </w:tc>
        <w:tc>
          <w:tcPr>
            <w:tcW w:w="1089" w:type="pct"/>
            <w:gridSpan w:val="2"/>
            <w:tcBorders>
              <w:bottom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center"/>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关联主体名称</w:t>
            </w:r>
          </w:p>
        </w:tc>
        <w:tc>
          <w:tcPr>
            <w:tcW w:w="2232" w:type="pct"/>
            <w:gridSpan w:val="3"/>
            <w:tcBorders>
              <w:bottom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center"/>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备注</w:t>
            </w:r>
          </w:p>
        </w:tc>
      </w:tr>
      <w:tr>
        <w:tblPrEx>
          <w:tblW w:w="4998" w:type="pct"/>
          <w:tblInd w:w="0" w:type="dxa"/>
          <w:tblCellMar>
            <w:top w:w="0" w:type="dxa"/>
            <w:left w:w="108" w:type="dxa"/>
            <w:bottom w:w="0" w:type="dxa"/>
            <w:right w:w="108" w:type="dxa"/>
          </w:tblCellMar>
        </w:tblPrEx>
        <w:tc>
          <w:tcPr>
            <w:tcW w:w="473"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1</w:t>
            </w:r>
          </w:p>
        </w:tc>
        <w:tc>
          <w:tcPr>
            <w:tcW w:w="1205" w:type="pct"/>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bCs/>
                <w:color w:val="FF0000"/>
                <w:spacing w:val="-4"/>
                <w:sz w:val="24"/>
                <w:szCs w:val="24"/>
                <w:highlight w:val="none"/>
                <w:lang w:val="en-US" w:eastAsia="zh-CN"/>
              </w:rPr>
              <w:t>控股股东</w:t>
            </w:r>
            <w:r>
              <w:rPr>
                <w:rFonts w:ascii="宋体" w:eastAsia="宋体" w:hAnsi="宋体" w:cs="宋体" w:hint="eastAsia"/>
                <w:b/>
                <w:bCs/>
                <w:color w:val="FF0000"/>
                <w:spacing w:val="-4"/>
                <w:sz w:val="24"/>
                <w:szCs w:val="24"/>
                <w:highlight w:val="none"/>
              </w:rPr>
              <w:t>（必填项）</w:t>
            </w:r>
          </w:p>
        </w:tc>
        <w:tc>
          <w:tcPr>
            <w:tcW w:w="1089" w:type="pct"/>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p>
        </w:tc>
        <w:tc>
          <w:tcPr>
            <w:tcW w:w="2232" w:type="pct"/>
            <w:gridSpan w:val="3"/>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指出资额（或持有股份）占投标（响应）供应商资本总额（或股本总额）50%以上的股东，以及出资额（或持有股份）的比例虽然不足50%，但依其出资额（或持有股份）所享有的表决权已足以对投标（响应）供应商股东会（或股东大会）的决议产生重要影响的股东。</w:t>
            </w:r>
          </w:p>
        </w:tc>
      </w:tr>
      <w:tr>
        <w:tblPrEx>
          <w:tblW w:w="4998" w:type="pct"/>
          <w:tblInd w:w="0" w:type="dxa"/>
          <w:tblCellMar>
            <w:top w:w="0" w:type="dxa"/>
            <w:left w:w="108" w:type="dxa"/>
            <w:bottom w:w="0" w:type="dxa"/>
            <w:right w:w="108" w:type="dxa"/>
          </w:tblCellMar>
        </w:tblPrEx>
        <w:tc>
          <w:tcPr>
            <w:tcW w:w="473"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2</w:t>
            </w:r>
          </w:p>
        </w:tc>
        <w:tc>
          <w:tcPr>
            <w:tcW w:w="1205" w:type="pct"/>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管理关系</w:t>
            </w:r>
          </w:p>
        </w:tc>
        <w:tc>
          <w:tcPr>
            <w:tcW w:w="1089" w:type="pct"/>
            <w:gridSpan w:val="2"/>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p>
        </w:tc>
        <w:tc>
          <w:tcPr>
            <w:tcW w:w="2232" w:type="pct"/>
            <w:gridSpan w:val="3"/>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指对投标（响应）供应商不具有出资持股关系，但对其存在管理关系的主体。</w:t>
            </w:r>
          </w:p>
        </w:tc>
      </w:tr>
      <w:tr>
        <w:tblPrEx>
          <w:tblW w:w="4998" w:type="pct"/>
          <w:tblInd w:w="0" w:type="dxa"/>
          <w:tblCellMar>
            <w:top w:w="0" w:type="dxa"/>
            <w:left w:w="108" w:type="dxa"/>
            <w:bottom w:w="0" w:type="dxa"/>
            <w:right w:w="108" w:type="dxa"/>
          </w:tblCellMar>
        </w:tblPrEx>
        <w:tc>
          <w:tcPr>
            <w:tcW w:w="5000" w:type="pct"/>
            <w:gridSpan w:val="8"/>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color w:val="auto"/>
                <w:sz w:val="24"/>
                <w:szCs w:val="24"/>
                <w:highlight w:val="none"/>
                <w:lang w:val="en-US" w:eastAsia="zh-CN"/>
              </w:rPr>
            </w:pPr>
            <w:r>
              <w:rPr>
                <w:rFonts w:ascii="宋体" w:eastAsia="宋体" w:hAnsi="宋体" w:cs="宋体" w:hint="eastAsia"/>
                <w:b/>
                <w:color w:val="auto"/>
                <w:sz w:val="24"/>
                <w:szCs w:val="24"/>
                <w:highlight w:val="none"/>
                <w:lang w:val="en-US" w:eastAsia="zh-CN"/>
              </w:rPr>
              <w:t>说明：</w:t>
            </w:r>
          </w:p>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color w:val="auto"/>
                <w:sz w:val="24"/>
                <w:szCs w:val="24"/>
                <w:highlight w:val="none"/>
                <w:lang w:val="en-US" w:eastAsia="zh-CN"/>
              </w:rPr>
            </w:pPr>
            <w:r>
              <w:rPr>
                <w:rFonts w:ascii="宋体" w:eastAsia="宋体" w:hAnsi="宋体" w:cs="宋体" w:hint="eastAsia"/>
                <w:b/>
                <w:color w:val="auto"/>
                <w:sz w:val="24"/>
                <w:szCs w:val="24"/>
                <w:highlight w:val="none"/>
                <w:lang w:val="en-US" w:eastAsia="zh-CN"/>
              </w:rPr>
              <w:t>1.同一关联关系类型有多个主体的，应分行填写。</w:t>
            </w:r>
          </w:p>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hint="eastAsia"/>
                <w:highlight w:val="none"/>
                <w:lang w:val="en-US" w:eastAsia="zh-CN"/>
              </w:rPr>
            </w:pPr>
            <w:r>
              <w:rPr>
                <w:rFonts w:ascii="宋体" w:eastAsia="宋体" w:hAnsi="宋体" w:cs="宋体" w:hint="eastAsia"/>
                <w:b/>
                <w:color w:val="auto"/>
                <w:sz w:val="24"/>
                <w:szCs w:val="24"/>
                <w:highlight w:val="none"/>
                <w:lang w:val="en-US" w:eastAsia="zh-CN"/>
              </w:rPr>
              <w:t>2.上述规定的控股、管理关系仅限于直接控股、直接管理关系，不包括间接的控股或管理关系。</w:t>
            </w:r>
          </w:p>
        </w:tc>
      </w:tr>
    </w:tbl>
    <w:p>
      <w:pPr>
        <w:keepNext w:val="0"/>
        <w:keepLines w:val="0"/>
        <w:pageBreakBefore w:val="0"/>
        <w:widowControl/>
        <w:numPr>
          <w:ilvl w:val="0"/>
          <w:numId w:val="0"/>
        </w:numPr>
        <w:kinsoku/>
        <w:wordWrap/>
        <w:overflowPunct/>
        <w:topLinePunct w:val="0"/>
        <w:autoSpaceDE/>
        <w:autoSpaceDN/>
        <w:bidi w:val="0"/>
        <w:adjustRightInd/>
        <w:snapToGrid w:val="0"/>
        <w:jc w:val="both"/>
        <w:textAlignment w:val="auto"/>
        <w:outlineLvl w:val="9"/>
        <w:rPr>
          <w:rFonts w:ascii="宋体" w:eastAsia="宋体" w:hAnsi="宋体" w:cs="宋体" w:hint="eastAsia"/>
          <w:b/>
          <w:bCs/>
          <w:color w:val="FF0000"/>
          <w:spacing w:val="-4"/>
          <w:sz w:val="24"/>
          <w:szCs w:val="24"/>
          <w:highlight w:val="none"/>
          <w:lang w:val="en-US" w:eastAsia="zh-CN"/>
        </w:rPr>
      </w:pPr>
      <w:r>
        <w:rPr>
          <w:rFonts w:ascii="宋体" w:eastAsia="宋体" w:hAnsi="宋体" w:cs="宋体" w:hint="eastAsia"/>
          <w:b/>
          <w:bCs/>
          <w:color w:val="FF0000"/>
          <w:spacing w:val="-4"/>
          <w:sz w:val="24"/>
          <w:szCs w:val="24"/>
          <w:highlight w:val="none"/>
          <w:lang w:val="en-US" w:eastAsia="zh-CN"/>
        </w:rPr>
        <w:t>备注：注明“必填项”的必须填写；未注明“必填项”的，如供应商未填写则视为未安排（或无）。</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 w:val="24"/>
          <w:szCs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 w:val="24"/>
          <w:szCs w:val="24"/>
          <w:highlight w:val="none"/>
          <w:lang w:val="en-US" w:eastAsia="zh-CN"/>
        </w:rPr>
      </w:pPr>
      <w:r>
        <w:rPr>
          <w:rFonts w:ascii="宋体" w:eastAsia="宋体" w:hAnsi="宋体" w:cs="宋体" w:hint="eastAsia"/>
          <w:b/>
          <w:color w:val="auto"/>
          <w:sz w:val="24"/>
          <w:szCs w:val="24"/>
          <w:highlight w:val="none"/>
          <w:lang w:val="en-US" w:eastAsia="zh-CN"/>
        </w:rPr>
        <w:t>2.社保证明材料：</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highlight w:val="none"/>
          <w:lang w:eastAsia="zh-CN"/>
        </w:rPr>
      </w:pPr>
      <w:r>
        <w:rPr>
          <w:rFonts w:ascii="宋体" w:eastAsia="宋体" w:hAnsi="宋体" w:cs="宋体" w:hint="eastAsia"/>
          <w:b w:val="0"/>
          <w:bCs/>
          <w:color w:val="auto"/>
          <w:sz w:val="24"/>
          <w:szCs w:val="24"/>
          <w:highlight w:val="none"/>
          <w:lang w:val="en-US" w:eastAsia="zh-CN"/>
        </w:rPr>
        <w:t>（1）法定代表人/单位负责人/主要经营负责人</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开标前一个月的社保缴纳凭证：</w:t>
      </w:r>
    </w:p>
    <w:p>
      <w:pPr>
        <w:pStyle w:val="NormalIndent"/>
        <w:keepNext w:val="0"/>
        <w:keepLines w:val="0"/>
        <w:pageBreakBefore w:val="0"/>
        <w:widowControl/>
        <w:kinsoku/>
        <w:wordWrap/>
        <w:overflowPunct/>
        <w:topLinePunct w:val="0"/>
        <w:autoSpaceDE/>
        <w:autoSpaceDN/>
        <w:bidi w:val="0"/>
        <w:adjustRightInd/>
        <w:textAlignment w:val="auto"/>
        <w:outlineLvl w:val="9"/>
        <w:rPr>
          <w:rFonts w:ascii="宋体" w:eastAsia="宋体" w:hAnsi="宋体" w:cs="宋体" w:hint="eastAsia"/>
          <w:b w:val="0"/>
          <w:bCs/>
          <w:color w:val="auto"/>
          <w:sz w:val="24"/>
          <w:szCs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highlight w:val="none"/>
          <w:lang w:eastAsia="zh-CN"/>
        </w:rPr>
      </w:pPr>
      <w:r>
        <w:rPr>
          <w:rFonts w:ascii="宋体" w:eastAsia="宋体" w:hAnsi="宋体" w:cs="宋体" w:hint="eastAsia"/>
          <w:b w:val="0"/>
          <w:bCs/>
          <w:color w:val="auto"/>
          <w:sz w:val="24"/>
          <w:szCs w:val="24"/>
          <w:highlight w:val="none"/>
          <w:lang w:val="en-US" w:eastAsia="zh-CN"/>
        </w:rPr>
        <w:t>（2）投标授权代表人</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身份证复印件（正反面）：</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开标前一个月的社保缴纳凭证：</w:t>
      </w:r>
    </w:p>
    <w:p>
      <w:pPr>
        <w:pStyle w:val="NormalIndent"/>
        <w:keepNext w:val="0"/>
        <w:keepLines w:val="0"/>
        <w:pageBreakBefore w:val="0"/>
        <w:widowControl/>
        <w:kinsoku/>
        <w:wordWrap/>
        <w:overflowPunct/>
        <w:topLinePunct w:val="0"/>
        <w:autoSpaceDE/>
        <w:autoSpaceDN/>
        <w:bidi w:val="0"/>
        <w:adjustRightInd/>
        <w:textAlignment w:val="auto"/>
        <w:outlineLvl w:val="9"/>
        <w:rPr>
          <w:rFonts w:ascii="宋体" w:eastAsia="宋体" w:hAnsi="宋体" w:cs="宋体" w:hint="eastAsia"/>
          <w:b w:val="0"/>
          <w:bCs/>
          <w:color w:val="auto"/>
          <w:sz w:val="24"/>
          <w:szCs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highlight w:val="none"/>
          <w:lang w:eastAsia="zh-CN"/>
        </w:rPr>
      </w:pPr>
      <w:r>
        <w:rPr>
          <w:rFonts w:ascii="宋体" w:eastAsia="宋体" w:hAnsi="宋体" w:cs="宋体" w:hint="eastAsia"/>
          <w:b w:val="0"/>
          <w:bCs/>
          <w:color w:val="auto"/>
          <w:sz w:val="24"/>
          <w:szCs w:val="24"/>
          <w:highlight w:val="none"/>
          <w:lang w:val="en-US" w:eastAsia="zh-CN"/>
        </w:rPr>
        <w:t>（3）项目负责人（如本项目未安排，可不提供）</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开标前一个月的社保缴纳凭证：</w:t>
      </w:r>
    </w:p>
    <w:p>
      <w:pPr>
        <w:pStyle w:val="NormalIndent"/>
        <w:keepNext w:val="0"/>
        <w:keepLines w:val="0"/>
        <w:pageBreakBefore w:val="0"/>
        <w:widowControl/>
        <w:kinsoku/>
        <w:wordWrap/>
        <w:overflowPunct/>
        <w:topLinePunct w:val="0"/>
        <w:autoSpaceDE/>
        <w:autoSpaceDN/>
        <w:bidi w:val="0"/>
        <w:adjustRightInd/>
        <w:textAlignment w:val="auto"/>
        <w:outlineLvl w:val="9"/>
        <w:rPr>
          <w:rFonts w:ascii="宋体" w:eastAsia="宋体" w:hAnsi="宋体" w:cs="宋体" w:hint="eastAsia"/>
          <w:b w:val="0"/>
          <w:bCs/>
          <w:color w:val="auto"/>
          <w:sz w:val="24"/>
          <w:szCs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highlight w:val="none"/>
          <w:lang w:eastAsia="zh-CN"/>
        </w:rPr>
      </w:pPr>
      <w:r>
        <w:rPr>
          <w:rFonts w:ascii="宋体" w:eastAsia="宋体" w:hAnsi="宋体" w:cs="宋体" w:hint="eastAsia"/>
          <w:b w:val="0"/>
          <w:bCs/>
          <w:color w:val="auto"/>
          <w:sz w:val="24"/>
          <w:szCs w:val="24"/>
          <w:highlight w:val="none"/>
          <w:lang w:val="en-US" w:eastAsia="zh-CN"/>
        </w:rPr>
        <w:t>（4）主要技术人员（如本项目未安排，可不提供）</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身份证复印件（正反面）：</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开标前一个月的社保缴纳凭证：</w:t>
      </w:r>
    </w:p>
    <w:p>
      <w:pPr>
        <w:pStyle w:val="NormalIndent"/>
        <w:keepNext w:val="0"/>
        <w:keepLines w:val="0"/>
        <w:pageBreakBefore w:val="0"/>
        <w:widowControl/>
        <w:kinsoku/>
        <w:wordWrap/>
        <w:overflowPunct/>
        <w:topLinePunct w:val="0"/>
        <w:autoSpaceDE/>
        <w:autoSpaceDN/>
        <w:bidi w:val="0"/>
        <w:adjustRightInd/>
        <w:textAlignment w:val="auto"/>
        <w:outlineLvl w:val="9"/>
        <w:rPr>
          <w:rFonts w:ascii="宋体" w:eastAsia="宋体" w:hAnsi="宋体" w:cs="宋体" w:hint="eastAsia"/>
          <w:b w:val="0"/>
          <w:bCs/>
          <w:color w:val="auto"/>
          <w:sz w:val="24"/>
          <w:szCs w:val="24"/>
          <w:highlight w:val="none"/>
          <w:lang w:val="en-US" w:eastAsia="zh-CN"/>
        </w:rPr>
      </w:pPr>
    </w:p>
    <w:p>
      <w:pPr>
        <w:keepNext w:val="0"/>
        <w:keepLines w:val="0"/>
        <w:pageBreakBefore w:val="0"/>
        <w:widowControl/>
        <w:numPr>
          <w:ilvl w:val="0"/>
          <w:numId w:val="1"/>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投标文件编制人员</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身份证复印件（正反面）：</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开标前一个月的社保缴纳凭证：</w:t>
      </w:r>
    </w:p>
    <w:p>
      <w:pPr>
        <w:pStyle w:val="NormalIndent"/>
        <w:keepNext w:val="0"/>
        <w:keepLines w:val="0"/>
        <w:pageBreakBefore w:val="0"/>
        <w:widowControl/>
        <w:kinsoku/>
        <w:wordWrap/>
        <w:overflowPunct/>
        <w:topLinePunct w:val="0"/>
        <w:autoSpaceDE/>
        <w:autoSpaceDN/>
        <w:bidi w:val="0"/>
        <w:adjustRightInd/>
        <w:textAlignment w:val="auto"/>
        <w:outlineLvl w:val="9"/>
        <w:rPr>
          <w:rFonts w:ascii="宋体" w:eastAsia="宋体" w:hAnsi="宋体" w:cs="宋体" w:hint="eastAsia"/>
          <w:color w:val="auto"/>
          <w:sz w:val="24"/>
          <w:szCs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注：</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1）如开标前近一个月的社保材料因社保部门原因暂时无法取得，则可以往前顺延一个月。其中项目负责人及主要技术人员社保证明须由供应商缴纳。</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2）供应商的项目投标授权代表人与法定代表人为同一人的，则须提供法定代表人的社保证明；本项目未安排项目负责人的，则无须提供项目负责人的社保证明。</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3）如无法按上述要求提供人员社会保险证明材料的，提交以下材料亦视为符合：</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若供应商为新成立企业且成立时间不足一个月，提供加盖投标人公章的情况说明或者证明材料。若为退休人员，提供退休证明。如依法不需要缴纳社会保险的，应提供相应文件证明。若因为社保部门原因无法提供的，需提供劳动合同及社保部门官方通知证明(或官网公告截图)。</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color w:val="auto"/>
          <w:sz w:val="24"/>
          <w:szCs w:val="24"/>
          <w:highlight w:val="none"/>
          <w:lang w:val="en-US" w:eastAsia="zh-CN"/>
        </w:rPr>
      </w:pPr>
      <w:r>
        <w:rPr>
          <w:rFonts w:ascii="宋体" w:eastAsia="宋体" w:hAnsi="宋体" w:cs="宋体" w:hint="eastAsia"/>
          <w:b/>
          <w:color w:val="auto"/>
          <w:sz w:val="24"/>
          <w:szCs w:val="24"/>
          <w:highlight w:val="none"/>
          <w:lang w:val="en-US" w:eastAsia="zh-CN"/>
        </w:rPr>
        <w:t>3.股权关系证明材料：</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bCs w:val="0"/>
          <w:color w:val="auto"/>
          <w:sz w:val="24"/>
          <w:szCs w:val="24"/>
          <w:highlight w:val="none"/>
          <w:lang w:val="en-US" w:eastAsia="zh-CN"/>
        </w:rPr>
      </w:pPr>
      <w:r>
        <w:rPr>
          <w:rFonts w:ascii="宋体" w:eastAsia="宋体" w:hAnsi="宋体" w:cs="宋体" w:hint="eastAsia"/>
          <w:b/>
          <w:bCs w:val="0"/>
          <w:color w:val="auto"/>
          <w:sz w:val="24"/>
          <w:szCs w:val="24"/>
          <w:highlight w:val="none"/>
          <w:lang w:val="en-US" w:eastAsia="zh-CN"/>
        </w:rPr>
        <w:t>（1）股权（或管理）关系证明材料：</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通过国家企业信用信息公示系统(https://www.gsxt.gov.cn/index.html）、或机关赋码和事业单位登记管理网（http://gjsy.gov.cn/sydwfrxxcx/)、或全国社会组织信用信息公示平台（https://xxgs.chinanpo.mca.gov.cn/gsxt/newList)等网站查询的最新股权（或管理）关系截图）</w:t>
      </w:r>
    </w:p>
    <w:p>
      <w:pPr>
        <w:jc w:val="left"/>
        <w:rPr>
          <w:rFonts w:ascii="宋体" w:eastAsia="宋体" w:hAnsi="宋体" w:cs="宋体" w:hint="eastAsia"/>
          <w:color w:val="auto"/>
          <w:sz w:val="24"/>
          <w:szCs w:val="24"/>
          <w:highlight w:val="none"/>
          <w:lang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bCs w:val="0"/>
          <w:color w:val="auto"/>
          <w:sz w:val="24"/>
          <w:szCs w:val="24"/>
          <w:highlight w:val="none"/>
          <w:lang w:val="en-US" w:eastAsia="zh-CN"/>
        </w:rPr>
      </w:pPr>
      <w:r>
        <w:rPr>
          <w:rFonts w:ascii="宋体" w:eastAsia="宋体" w:hAnsi="宋体" w:cs="宋体" w:hint="eastAsia"/>
          <w:b/>
          <w:bCs w:val="0"/>
          <w:color w:val="auto"/>
          <w:sz w:val="24"/>
          <w:szCs w:val="24"/>
          <w:highlight w:val="none"/>
          <w:lang w:val="en-US" w:eastAsia="zh-CN"/>
        </w:rPr>
        <w:t>（2）《股权关系情况承诺函》</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致：</w:t>
      </w:r>
      <w:r>
        <w:rPr>
          <w:rFonts w:ascii="宋体" w:hAnsi="宋体" w:eastAsiaTheme="minorEastAsia" w:hint="eastAsia"/>
          <w:color w:val="000000" w:themeColor="text1"/>
          <w:highlight w:val="none"/>
          <w:lang w:eastAsia="zh-CN"/>
          <w14:textFill>
            <w14:solidFill>
              <w14:schemeClr w14:val="tx1"/>
            </w14:solidFill>
          </w14:textFill>
        </w:rPr>
        <w:t>深圳市交通运输局</w:t>
      </w:r>
      <w:r>
        <w:rPr>
          <w:rFonts w:ascii="宋体" w:eastAsia="宋体" w:hAnsi="宋体" w:cs="宋体" w:hint="eastAsia"/>
          <w:b w:val="0"/>
          <w:bCs/>
          <w:color w:val="auto"/>
          <w:sz w:val="24"/>
          <w:szCs w:val="24"/>
          <w:highlight w:val="none"/>
          <w:lang w:val="en-US" w:eastAsia="zh-CN"/>
        </w:rPr>
        <w:t>、友和保险经纪有限公司</w:t>
      </w:r>
    </w:p>
    <w:p>
      <w:pPr>
        <w:keepNext w:val="0"/>
        <w:keepLines w:val="0"/>
        <w:pageBreakBefore w:val="0"/>
        <w:widowControl/>
        <w:numPr>
          <w:ilvl w:val="0"/>
          <w:numId w:val="0"/>
        </w:numPr>
        <w:kinsoku/>
        <w:wordWrap/>
        <w:overflowPunct/>
        <w:topLinePunct w:val="0"/>
        <w:autoSpaceDE/>
        <w:autoSpaceDN/>
        <w:bidi w:val="0"/>
        <w:adjustRightInd/>
        <w:snapToGrid w:val="0"/>
        <w:ind w:firstLine="480" w:firstLineChars="200"/>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我公司申请参加</w:t>
      </w:r>
      <w:r>
        <w:rPr>
          <w:rFonts w:ascii="宋体" w:eastAsia="宋体" w:hAnsi="宋体" w:cs="宋体" w:hint="eastAsia"/>
          <w:b/>
          <w:bCs w:val="0"/>
          <w:color w:val="auto"/>
          <w:sz w:val="24"/>
          <w:szCs w:val="24"/>
          <w:highlight w:val="none"/>
          <w:u w:val="single"/>
          <w:lang w:val="en-US" w:eastAsia="zh-CN"/>
        </w:rPr>
        <w:t>盐坝高速公路坝光收费站物业运营维护管理</w:t>
      </w:r>
      <w:r>
        <w:rPr>
          <w:rFonts w:ascii="宋体" w:eastAsia="宋体" w:hAnsi="宋体" w:cs="宋体" w:hint="eastAsia"/>
          <w:b w:val="0"/>
          <w:bCs/>
          <w:color w:val="auto"/>
          <w:sz w:val="24"/>
          <w:szCs w:val="24"/>
          <w:highlight w:val="none"/>
          <w:lang w:val="en-US" w:eastAsia="zh-CN"/>
        </w:rPr>
        <w:t>项目编号为</w:t>
      </w:r>
      <w:r>
        <w:rPr>
          <w:rFonts w:ascii="宋体" w:eastAsia="宋体" w:hAnsi="宋体" w:cs="宋体" w:hint="eastAsia"/>
          <w:b/>
          <w:bCs w:val="0"/>
          <w:color w:val="auto"/>
          <w:sz w:val="24"/>
          <w:szCs w:val="24"/>
          <w:highlight w:val="none"/>
          <w:u w:val="single"/>
          <w:lang w:val="en-US" w:eastAsia="zh-CN"/>
        </w:rPr>
        <w:t>SZDL2025000472</w:t>
      </w:r>
      <w:r>
        <w:rPr>
          <w:rFonts w:ascii="宋体" w:eastAsia="宋体" w:hAnsi="宋体" w:cs="宋体" w:hint="eastAsia"/>
          <w:b w:val="0"/>
          <w:bCs/>
          <w:color w:val="auto"/>
          <w:sz w:val="24"/>
          <w:szCs w:val="24"/>
          <w:highlight w:val="none"/>
          <w:lang w:val="en-US" w:eastAsia="zh-CN"/>
        </w:rPr>
        <w:t>的项目投标，并作出如下承诺：</w:t>
      </w:r>
    </w:p>
    <w:p>
      <w:pPr>
        <w:keepNext w:val="0"/>
        <w:keepLines w:val="0"/>
        <w:pageBreakBefore w:val="0"/>
        <w:widowControl/>
        <w:numPr>
          <w:ilvl w:val="0"/>
          <w:numId w:val="0"/>
        </w:numPr>
        <w:kinsoku/>
        <w:wordWrap/>
        <w:overflowPunct/>
        <w:topLinePunct w:val="0"/>
        <w:autoSpaceDE/>
        <w:autoSpaceDN/>
        <w:bidi w:val="0"/>
        <w:adjustRightInd/>
        <w:snapToGrid w:val="0"/>
        <w:ind w:firstLine="480" w:firstLineChars="200"/>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我公司承诺所填的股权关系情况真实、准确、完整。</w:t>
      </w:r>
    </w:p>
    <w:p>
      <w:pPr>
        <w:keepNext w:val="0"/>
        <w:keepLines w:val="0"/>
        <w:pageBreakBefore w:val="0"/>
        <w:widowControl/>
        <w:numPr>
          <w:ilvl w:val="0"/>
          <w:numId w:val="0"/>
        </w:numPr>
        <w:kinsoku/>
        <w:wordWrap/>
        <w:overflowPunct/>
        <w:topLinePunct w:val="0"/>
        <w:autoSpaceDE/>
        <w:autoSpaceDN/>
        <w:bidi w:val="0"/>
        <w:adjustRightInd/>
        <w:snapToGrid w:val="0"/>
        <w:ind w:firstLine="480" w:firstLineChars="200"/>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我公司承诺自股权关系证明材料查询之日起至本项目投标截止日止，股权关系如发生变更，将在投标文件中另行申明并附证明材料，保证不出现违背《中华人民共和国政府采购法实施条例》第十八条规定的情形。否则，自愿承担因此产生的不利后果而无异议。</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特此承诺！</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 xml:space="preserve">                                供应商名称： </w:t>
      </w:r>
    </w:p>
    <w:p>
      <w:pPr>
        <w:keepNext w:val="0"/>
        <w:keepLines w:val="0"/>
        <w:pageBreakBefore w:val="0"/>
        <w:widowControl/>
        <w:numPr>
          <w:ilvl w:val="0"/>
          <w:numId w:val="0"/>
        </w:numPr>
        <w:kinsoku/>
        <w:wordWrap/>
        <w:overflowPunct/>
        <w:topLinePunct w:val="0"/>
        <w:autoSpaceDE/>
        <w:autoSpaceDN/>
        <w:bidi w:val="0"/>
        <w:adjustRightInd/>
        <w:snapToGrid w:val="0"/>
        <w:ind w:firstLine="3840" w:firstLineChars="1600"/>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日  期：       年    月   日</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宋体" w:eastAsia="宋体" w:hAnsi="宋体" w:cs="宋体" w:hint="eastAsia"/>
          <w:b w:val="0"/>
          <w:bCs/>
          <w:color w:val="auto"/>
          <w:sz w:val="24"/>
          <w:szCs w:val="24"/>
          <w:highlight w:val="none"/>
          <w:lang w:val="en-US" w:eastAsia="zh-CN"/>
        </w:rPr>
      </w:pPr>
      <w:r>
        <w:rPr>
          <w:rFonts w:ascii="宋体" w:eastAsia="宋体" w:hAnsi="宋体" w:cs="宋体" w:hint="eastAsia"/>
          <w:b w:val="0"/>
          <w:bCs/>
          <w:color w:val="auto"/>
          <w:sz w:val="24"/>
          <w:szCs w:val="24"/>
          <w:highlight w:val="none"/>
          <w:lang w:val="en-US" w:eastAsia="zh-CN"/>
        </w:rPr>
        <w:t>注：代理机构将于截标当日同步通过上述网站进行查询，查询结果与供应商填报信息不一致的，以代理机构于截标当日的查询结果为准。</w:t>
      </w:r>
    </w:p>
    <w:p>
      <w:pPr>
        <w:rPr>
          <w:rFonts w:hint="default"/>
          <w:highlight w:val="none"/>
          <w:lang w:val="en-US" w:eastAsia="zh-CN"/>
        </w:rPr>
      </w:pPr>
    </w:p>
    <w:p>
      <w:pPr>
        <w:pStyle w:val="Heading3"/>
        <w:jc w:val="center"/>
        <w:rPr>
          <w:b w:val="0"/>
          <w:sz w:val="24"/>
          <w:szCs w:val="24"/>
          <w:highlight w:val="none"/>
        </w:rPr>
      </w:pPr>
      <w:r>
        <w:rPr>
          <w:rFonts w:hint="eastAsia"/>
          <w:b w:val="0"/>
          <w:sz w:val="24"/>
          <w:szCs w:val="24"/>
          <w:highlight w:val="none"/>
          <w:lang w:eastAsia="zh-CN"/>
        </w:rPr>
        <w:t>四</w:t>
      </w:r>
      <w:r>
        <w:rPr>
          <w:rFonts w:hint="eastAsia"/>
          <w:b w:val="0"/>
          <w:sz w:val="24"/>
          <w:szCs w:val="24"/>
          <w:highlight w:val="none"/>
        </w:rPr>
        <w:t>、</w:t>
      </w:r>
      <w:bookmarkStart w:id="44" w:name="_Hlk72092634"/>
      <w:r>
        <w:rPr>
          <w:rFonts w:hint="eastAsia"/>
          <w:b w:val="0"/>
          <w:sz w:val="24"/>
          <w:szCs w:val="24"/>
          <w:highlight w:val="none"/>
        </w:rPr>
        <w:t>实质性条款响应情况表</w:t>
      </w:r>
      <w:bookmarkEnd w:id="44"/>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306"/>
        <w:gridCol w:w="3088"/>
        <w:gridCol w:w="2113"/>
        <w:gridCol w:w="1187"/>
        <w:gridCol w:w="828"/>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631"/>
        </w:trPr>
        <w:tc>
          <w:tcPr>
            <w:tcW w:w="766" w:type="pct"/>
            <w:vAlign w:val="center"/>
          </w:tcPr>
          <w:p>
            <w:pPr>
              <w:adjustRightInd w:val="0"/>
              <w:snapToGrid w:val="0"/>
              <w:spacing w:line="360" w:lineRule="auto"/>
              <w:jc w:val="center"/>
              <w:rPr>
                <w:rFonts w:ascii="宋体" w:eastAsia="宋体" w:hAnsi="宋体"/>
                <w:szCs w:val="21"/>
                <w:highlight w:val="none"/>
              </w:rPr>
            </w:pPr>
            <w:bookmarkStart w:id="45" w:name="_Hlk72092651"/>
            <w:r>
              <w:rPr>
                <w:rFonts w:ascii="宋体" w:eastAsia="宋体" w:hAnsi="宋体" w:hint="eastAsia"/>
                <w:szCs w:val="21"/>
                <w:highlight w:val="none"/>
              </w:rPr>
              <w:t>序号</w:t>
            </w:r>
          </w:p>
        </w:tc>
        <w:tc>
          <w:tcPr>
            <w:tcW w:w="1811" w:type="pct"/>
            <w:vAlign w:val="center"/>
          </w:tcPr>
          <w:p>
            <w:pPr>
              <w:adjustRightInd w:val="0"/>
              <w:snapToGrid w:val="0"/>
              <w:spacing w:line="360" w:lineRule="auto"/>
              <w:jc w:val="center"/>
              <w:rPr>
                <w:rFonts w:ascii="宋体" w:eastAsia="宋体" w:hAnsi="宋体"/>
                <w:szCs w:val="21"/>
                <w:highlight w:val="none"/>
              </w:rPr>
            </w:pPr>
            <w:r>
              <w:rPr>
                <w:rFonts w:ascii="宋体" w:eastAsia="宋体" w:hAnsi="宋体" w:hint="eastAsia"/>
                <w:szCs w:val="21"/>
                <w:highlight w:val="none"/>
              </w:rPr>
              <w:t>实质性条款具体内容</w:t>
            </w:r>
          </w:p>
        </w:tc>
        <w:tc>
          <w:tcPr>
            <w:tcW w:w="1239" w:type="pct"/>
            <w:vAlign w:val="center"/>
          </w:tcPr>
          <w:p>
            <w:pPr>
              <w:adjustRightInd w:val="0"/>
              <w:snapToGrid w:val="0"/>
              <w:spacing w:line="360" w:lineRule="auto"/>
              <w:jc w:val="center"/>
              <w:rPr>
                <w:rFonts w:ascii="宋体" w:eastAsia="宋体" w:hAnsi="宋体"/>
                <w:szCs w:val="21"/>
                <w:highlight w:val="none"/>
              </w:rPr>
            </w:pPr>
            <w:r>
              <w:rPr>
                <w:rFonts w:ascii="宋体" w:eastAsia="宋体" w:hAnsi="宋体" w:hint="eastAsia"/>
                <w:highlight w:val="none"/>
              </w:rPr>
              <w:t>投标响应</w:t>
            </w:r>
          </w:p>
        </w:tc>
        <w:tc>
          <w:tcPr>
            <w:tcW w:w="696" w:type="pct"/>
            <w:vAlign w:val="center"/>
          </w:tcPr>
          <w:p>
            <w:pPr>
              <w:adjustRightInd w:val="0"/>
              <w:snapToGrid w:val="0"/>
              <w:spacing w:line="360" w:lineRule="auto"/>
              <w:jc w:val="center"/>
              <w:rPr>
                <w:rFonts w:ascii="宋体" w:eastAsia="宋体" w:hAnsi="宋体"/>
                <w:szCs w:val="21"/>
                <w:highlight w:val="none"/>
              </w:rPr>
            </w:pPr>
            <w:r>
              <w:rPr>
                <w:rFonts w:ascii="宋体" w:eastAsia="宋体" w:hAnsi="宋体" w:hint="eastAsia"/>
                <w:highlight w:val="none"/>
              </w:rPr>
              <w:t>偏离情况</w:t>
            </w:r>
          </w:p>
        </w:tc>
        <w:tc>
          <w:tcPr>
            <w:tcW w:w="485" w:type="pct"/>
            <w:vAlign w:val="center"/>
          </w:tcPr>
          <w:p>
            <w:pPr>
              <w:adjustRightInd w:val="0"/>
              <w:snapToGrid w:val="0"/>
              <w:spacing w:line="360" w:lineRule="auto"/>
              <w:jc w:val="center"/>
              <w:rPr>
                <w:rFonts w:ascii="宋体" w:eastAsia="宋体" w:hAnsi="宋体"/>
                <w:szCs w:val="21"/>
                <w:highlight w:val="none"/>
              </w:rPr>
            </w:pPr>
            <w:r>
              <w:rPr>
                <w:rFonts w:ascii="宋体" w:eastAsia="宋体" w:hAnsi="宋体" w:hint="eastAsia"/>
                <w:highlight w:val="none"/>
              </w:rPr>
              <w:t>说明</w:t>
            </w:r>
          </w:p>
        </w:tc>
      </w:tr>
      <w:tr>
        <w:tblPrEx>
          <w:tblW w:w="5000" w:type="pct"/>
          <w:tblInd w:w="0" w:type="dxa"/>
          <w:tblCellMar>
            <w:top w:w="0" w:type="dxa"/>
            <w:left w:w="108" w:type="dxa"/>
            <w:bottom w:w="0" w:type="dxa"/>
            <w:right w:w="108" w:type="dxa"/>
          </w:tblCellMar>
        </w:tblPrEx>
        <w:tc>
          <w:tcPr>
            <w:tcW w:w="766" w:type="pct"/>
            <w:vAlign w:val="center"/>
          </w:tcPr>
          <w:p>
            <w:pPr>
              <w:adjustRightInd w:val="0"/>
              <w:snapToGrid w:val="0"/>
              <w:spacing w:line="360" w:lineRule="auto"/>
              <w:jc w:val="center"/>
              <w:rPr>
                <w:rFonts w:ascii="宋体" w:eastAsia="宋体" w:hAnsi="宋体" w:hint="eastAsia"/>
                <w:color w:val="auto"/>
                <w:szCs w:val="21"/>
                <w:highlight w:val="none"/>
                <w:lang w:val="en-US" w:eastAsia="zh-CN"/>
              </w:rPr>
            </w:pPr>
            <w:bookmarkEnd w:id="45"/>
            <w:r>
              <w:rPr>
                <w:rFonts w:ascii="宋体" w:eastAsia="宋体" w:hAnsi="宋体" w:hint="eastAsia"/>
                <w:color w:val="auto"/>
                <w:szCs w:val="21"/>
                <w:highlight w:val="none"/>
                <w:lang w:val="en-US" w:eastAsia="zh-CN"/>
              </w:rPr>
              <w:t>1</w:t>
            </w:r>
          </w:p>
        </w:tc>
        <w:tc>
          <w:tcPr>
            <w:tcW w:w="1811" w:type="pct"/>
            <w:vAlign w:val="center"/>
          </w:tcPr>
          <w:p>
            <w:pPr>
              <w:adjustRightInd w:val="0"/>
              <w:snapToGrid w:val="0"/>
              <w:spacing w:line="360" w:lineRule="auto"/>
              <w:jc w:val="both"/>
              <w:rPr>
                <w:rFonts w:ascii="宋体" w:eastAsia="宋体" w:hAnsi="宋体" w:hint="default"/>
                <w:color w:val="auto"/>
                <w:szCs w:val="21"/>
                <w:highlight w:val="none"/>
                <w:lang w:val="en-US" w:eastAsia="zh-CN"/>
              </w:rPr>
            </w:pPr>
            <w:r>
              <w:rPr>
                <w:rFonts w:ascii="宋体" w:eastAsia="宋体" w:hAnsi="宋体" w:hint="eastAsia"/>
                <w:color w:val="auto"/>
                <w:szCs w:val="21"/>
                <w:highlight w:val="none"/>
                <w:lang w:val="en-US" w:eastAsia="zh-CN"/>
              </w:rPr>
              <w:t>满足项目服务地点及期限</w:t>
            </w:r>
          </w:p>
        </w:tc>
        <w:tc>
          <w:tcPr>
            <w:tcW w:w="1239" w:type="pct"/>
            <w:vAlign w:val="center"/>
          </w:tcPr>
          <w:p>
            <w:pPr>
              <w:adjustRightInd w:val="0"/>
              <w:snapToGrid w:val="0"/>
              <w:spacing w:line="360" w:lineRule="auto"/>
              <w:jc w:val="center"/>
              <w:rPr>
                <w:rFonts w:ascii="宋体" w:eastAsia="宋体" w:hAnsi="宋体"/>
                <w:szCs w:val="21"/>
                <w:highlight w:val="none"/>
              </w:rPr>
            </w:pPr>
          </w:p>
        </w:tc>
        <w:tc>
          <w:tcPr>
            <w:tcW w:w="696" w:type="pct"/>
            <w:vAlign w:val="center"/>
          </w:tcPr>
          <w:p>
            <w:pPr>
              <w:adjustRightInd w:val="0"/>
              <w:snapToGrid w:val="0"/>
              <w:spacing w:line="360" w:lineRule="auto"/>
              <w:jc w:val="center"/>
              <w:rPr>
                <w:rFonts w:ascii="宋体" w:eastAsia="宋体" w:hAnsi="宋体"/>
                <w:szCs w:val="21"/>
                <w:highlight w:val="none"/>
              </w:rPr>
            </w:pPr>
          </w:p>
        </w:tc>
        <w:tc>
          <w:tcPr>
            <w:tcW w:w="485" w:type="pct"/>
            <w:vAlign w:val="center"/>
          </w:tcPr>
          <w:p>
            <w:pPr>
              <w:adjustRightInd w:val="0"/>
              <w:snapToGrid w:val="0"/>
              <w:spacing w:line="360" w:lineRule="auto"/>
              <w:jc w:val="center"/>
              <w:rPr>
                <w:rFonts w:ascii="宋体" w:eastAsia="宋体" w:hAnsi="宋体"/>
                <w:szCs w:val="21"/>
                <w:highlight w:val="none"/>
              </w:rPr>
            </w:pPr>
          </w:p>
        </w:tc>
      </w:tr>
    </w:tbl>
    <w:p>
      <w:pPr>
        <w:ind w:firstLine="480" w:firstLineChars="200"/>
        <w:rPr>
          <w:rFonts w:ascii="宋体" w:eastAsia="宋体" w:hAnsi="宋体"/>
          <w:b/>
          <w:szCs w:val="22"/>
          <w:highlight w:val="none"/>
        </w:rPr>
      </w:pPr>
    </w:p>
    <w:p>
      <w:pPr>
        <w:ind w:firstLine="480" w:firstLineChars="200"/>
        <w:rPr>
          <w:rFonts w:ascii="宋体" w:eastAsia="宋体" w:hAnsi="宋体"/>
          <w:b/>
          <w:szCs w:val="22"/>
          <w:highlight w:val="none"/>
        </w:rPr>
      </w:pPr>
      <w:r>
        <w:rPr>
          <w:rFonts w:ascii="宋体" w:eastAsia="宋体" w:hAnsi="宋体" w:hint="eastAsia"/>
          <w:b/>
          <w:szCs w:val="22"/>
          <w:highlight w:val="none"/>
        </w:rPr>
        <w:t>注：1. 上表所列各项均为不可负偏离条款。</w:t>
      </w:r>
    </w:p>
    <w:p>
      <w:pPr>
        <w:ind w:firstLine="480" w:firstLineChars="200"/>
        <w:rPr>
          <w:rFonts w:ascii="宋体" w:eastAsia="宋体" w:hAnsi="宋体"/>
          <w:b/>
          <w:szCs w:val="22"/>
          <w:highlight w:val="none"/>
        </w:rPr>
      </w:pPr>
      <w:r>
        <w:rPr>
          <w:rFonts w:ascii="宋体" w:eastAsia="宋体" w:hAnsi="宋体" w:hint="eastAsia"/>
          <w:b/>
          <w:szCs w:val="22"/>
          <w:highlight w:val="none"/>
        </w:rPr>
        <w:t>2.“投标响应”一栏应当详细填写投标人自身响应情况。</w:t>
      </w:r>
    </w:p>
    <w:p>
      <w:pPr>
        <w:ind w:firstLine="480" w:firstLineChars="200"/>
        <w:rPr>
          <w:rFonts w:ascii="宋体" w:eastAsia="宋体" w:hAnsi="宋体"/>
          <w:b/>
          <w:szCs w:val="22"/>
          <w:highlight w:val="none"/>
        </w:rPr>
      </w:pPr>
      <w:r>
        <w:rPr>
          <w:rFonts w:ascii="宋体" w:eastAsia="宋体" w:hAnsi="宋体" w:hint="eastAsia"/>
          <w:b/>
          <w:szCs w:val="22"/>
          <w:highlight w:val="none"/>
        </w:rPr>
        <w:t>3</w:t>
      </w:r>
      <w:r>
        <w:rPr>
          <w:rFonts w:ascii="宋体" w:eastAsia="宋体" w:hAnsi="宋体"/>
          <w:b/>
          <w:szCs w:val="22"/>
          <w:highlight w:val="none"/>
        </w:rPr>
        <w:t>.</w:t>
      </w:r>
      <w:r>
        <w:rPr>
          <w:rFonts w:ascii="宋体" w:eastAsia="宋体" w:hAnsi="宋体" w:hint="eastAsia"/>
          <w:b/>
          <w:szCs w:val="22"/>
          <w:highlight w:val="none"/>
        </w:rPr>
        <w:t>“偏离情况”一栏应填写“正偏离”、“负偏离”或“无偏离”，</w:t>
      </w:r>
      <w:r>
        <w:rPr>
          <w:rFonts w:ascii="宋体" w:eastAsia="宋体" w:hAnsi="宋体" w:hint="eastAsia"/>
          <w:b/>
          <w:highlight w:val="none"/>
        </w:rPr>
        <w:t>“正偏离”表示“投标响应优于实质性条款具体内容要求”，“负偏离”表示“投标响应不满足实质性条款具体内容要求”，“无偏离”表示“投标响应与实质性条款具体内容要求一致”。</w:t>
      </w:r>
    </w:p>
    <w:p>
      <w:pPr>
        <w:ind w:firstLine="480" w:firstLineChars="200"/>
        <w:rPr>
          <w:rFonts w:ascii="宋体" w:eastAsia="宋体" w:hAnsi="宋体"/>
          <w:b/>
          <w:highlight w:val="none"/>
        </w:rPr>
      </w:pPr>
      <w:r>
        <w:rPr>
          <w:rFonts w:ascii="宋体" w:eastAsia="宋体" w:hAnsi="宋体"/>
          <w:b/>
          <w:highlight w:val="none"/>
        </w:rPr>
        <w:t>4.</w:t>
      </w:r>
      <w:r>
        <w:rPr>
          <w:rFonts w:ascii="宋体" w:eastAsia="宋体" w:hAnsi="宋体" w:hint="eastAsia"/>
          <w:b/>
          <w:highlight w:val="none"/>
        </w:rPr>
        <w:t>评审委员会有权对投标响应情况作出判断（作出评审结论）。</w:t>
      </w:r>
    </w:p>
    <w:p>
      <w:pPr>
        <w:ind w:firstLine="480" w:firstLineChars="200"/>
        <w:rPr>
          <w:color w:val="000000" w:themeColor="text1"/>
          <w:highlight w:val="none"/>
          <w14:textFill>
            <w14:solidFill>
              <w14:schemeClr w14:val="tx1"/>
            </w14:solidFill>
          </w14:textFill>
        </w:rPr>
      </w:pPr>
      <w:r>
        <w:rPr>
          <w:rFonts w:ascii="宋体" w:eastAsia="宋体" w:hAnsi="宋体"/>
          <w:b/>
          <w:szCs w:val="22"/>
          <w:highlight w:val="none"/>
        </w:rPr>
        <w:t>5</w:t>
      </w:r>
      <w:r>
        <w:rPr>
          <w:rFonts w:ascii="宋体" w:eastAsia="宋体" w:hAnsi="宋体" w:hint="eastAsia"/>
          <w:b/>
          <w:szCs w:val="22"/>
          <w:highlight w:val="none"/>
        </w:rPr>
        <w:t>.实质性响应条款“投标响应情况”与投标文件其它内容冲突的，以实质性响应条款“投标响应情况”为准。</w:t>
      </w:r>
    </w:p>
    <w:p>
      <w:pPr>
        <w:rPr>
          <w:rFonts w:eastAsia="黑体"/>
          <w:highlight w:val="none"/>
        </w:rPr>
      </w:pPr>
    </w:p>
    <w:p>
      <w:pPr>
        <w:pStyle w:val="Heading3"/>
        <w:jc w:val="center"/>
        <w:rPr>
          <w:rFonts w:ascii="黑体" w:eastAsia="黑体"/>
          <w:bCs w:val="0"/>
          <w:color w:val="000000" w:themeColor="text1"/>
          <w:sz w:val="24"/>
          <w:highlight w:val="none"/>
          <w14:textFill>
            <w14:solidFill>
              <w14:schemeClr w14:val="tx1"/>
            </w14:solidFill>
          </w14:textFill>
        </w:rPr>
      </w:pPr>
      <w:r>
        <w:rPr>
          <w:rFonts w:ascii="黑体" w:eastAsia="黑体" w:hint="eastAsia"/>
          <w:bCs w:val="0"/>
          <w:color w:val="000000" w:themeColor="text1"/>
          <w:sz w:val="24"/>
          <w:highlight w:val="none"/>
          <w:lang w:eastAsia="zh-CN"/>
          <w14:textFill>
            <w14:solidFill>
              <w14:schemeClr w14:val="tx1"/>
            </w14:solidFill>
          </w14:textFill>
        </w:rPr>
        <w:t>五</w:t>
      </w:r>
      <w:r>
        <w:rPr>
          <w:rFonts w:ascii="黑体" w:eastAsia="黑体" w:hint="eastAsia"/>
          <w:bCs w:val="0"/>
          <w:color w:val="000000" w:themeColor="text1"/>
          <w:sz w:val="24"/>
          <w:highlight w:val="none"/>
          <w14:textFill>
            <w14:solidFill>
              <w14:schemeClr w14:val="tx1"/>
            </w14:solidFill>
          </w14:textFill>
        </w:rPr>
        <w:t>、商务、</w:t>
      </w:r>
      <w:r>
        <w:rPr>
          <w:rFonts w:ascii="黑体" w:eastAsia="黑体" w:hint="eastAsia"/>
          <w:bCs w:val="0"/>
          <w:color w:val="000000" w:themeColor="text1"/>
          <w:sz w:val="24"/>
          <w:highlight w:val="none"/>
          <w:lang w:eastAsia="zh-CN"/>
          <w14:textFill>
            <w14:solidFill>
              <w14:schemeClr w14:val="tx1"/>
            </w14:solidFill>
          </w14:textFill>
        </w:rPr>
        <w:t>服务</w:t>
      </w:r>
      <w:r>
        <w:rPr>
          <w:rFonts w:ascii="黑体" w:eastAsia="黑体" w:hint="eastAsia"/>
          <w:bCs w:val="0"/>
          <w:color w:val="000000" w:themeColor="text1"/>
          <w:sz w:val="24"/>
          <w:highlight w:val="none"/>
          <w14:textFill>
            <w14:solidFill>
              <w14:schemeClr w14:val="tx1"/>
            </w14:solidFill>
          </w14:textFill>
        </w:rPr>
        <w:t>条款偏离表</w:t>
      </w:r>
    </w:p>
    <w:p>
      <w:pPr>
        <w:snapToGrid w:val="0"/>
        <w:spacing w:line="360" w:lineRule="auto"/>
        <w:rPr>
          <w:rFonts w:ascii="Arial" w:eastAsia="宋体" w:hAnsi="Arial" w:cs="Arial"/>
          <w:color w:val="000000"/>
          <w:highlight w:val="none"/>
          <w:u w:val="single"/>
        </w:rPr>
      </w:pPr>
      <w:r>
        <w:rPr>
          <w:rFonts w:ascii="Arial" w:eastAsia="宋体" w:hAnsi="Arial" w:cs="Arial" w:hint="eastAsia"/>
          <w:color w:val="000000"/>
          <w:highlight w:val="none"/>
        </w:rPr>
        <w:t>投标单位（投标人）名称：</w:t>
      </w:r>
    </w:p>
    <w:tbl>
      <w:tblPr>
        <w:tblStyle w:val="TableNormal"/>
        <w:tblW w:w="1094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top w:w="0" w:type="dxa"/>
          <w:left w:w="108" w:type="dxa"/>
          <w:bottom w:w="0" w:type="dxa"/>
          <w:right w:w="108" w:type="dxa"/>
        </w:tblCellMar>
      </w:tblPr>
      <w:tblGrid>
        <w:gridCol w:w="640"/>
        <w:gridCol w:w="4732"/>
        <w:gridCol w:w="3053"/>
        <w:gridCol w:w="1262"/>
        <w:gridCol w:w="1262"/>
      </w:tblGrid>
      <w:tr>
        <w:tblPrEx>
          <w:tblW w:w="1094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top w:w="0" w:type="dxa"/>
            <w:left w:w="108" w:type="dxa"/>
            <w:bottom w:w="0" w:type="dxa"/>
            <w:right w:w="108" w:type="dxa"/>
          </w:tblCellMar>
        </w:tblPrEx>
        <w:trPr>
          <w:trHeight w:val="361"/>
          <w:jc w:val="center"/>
        </w:trPr>
        <w:tc>
          <w:tcPr>
            <w:tcW w:w="640" w:type="dxa"/>
            <w:vAlign w:val="center"/>
          </w:tcPr>
          <w:p>
            <w:pPr>
              <w:spacing w:line="360" w:lineRule="auto"/>
              <w:jc w:val="center"/>
              <w:rPr>
                <w:rFonts w:asciiTheme="minorEastAsia" w:hAnsiTheme="minorEastAsia" w:cs="Arial"/>
                <w:b/>
                <w:sz w:val="21"/>
                <w:szCs w:val="21"/>
                <w:highlight w:val="none"/>
              </w:rPr>
            </w:pPr>
            <w:r>
              <w:rPr>
                <w:rFonts w:asciiTheme="minorEastAsia" w:hAnsiTheme="minorEastAsia" w:cs="Arial" w:hint="eastAsia"/>
                <w:b/>
                <w:sz w:val="21"/>
                <w:szCs w:val="21"/>
                <w:highlight w:val="none"/>
              </w:rPr>
              <w:t>序号</w:t>
            </w:r>
          </w:p>
        </w:tc>
        <w:tc>
          <w:tcPr>
            <w:tcW w:w="4732" w:type="dxa"/>
            <w:vAlign w:val="center"/>
          </w:tcPr>
          <w:p>
            <w:pPr>
              <w:spacing w:line="360" w:lineRule="auto"/>
              <w:jc w:val="center"/>
              <w:rPr>
                <w:rFonts w:asciiTheme="minorEastAsia" w:hAnsiTheme="minorEastAsia" w:cs="Arial"/>
                <w:b/>
                <w:sz w:val="21"/>
                <w:szCs w:val="21"/>
                <w:highlight w:val="none"/>
              </w:rPr>
            </w:pPr>
            <w:r>
              <w:rPr>
                <w:rFonts w:asciiTheme="minorEastAsia" w:hAnsiTheme="minorEastAsia" w:cs="Arial" w:hint="eastAsia"/>
                <w:b/>
                <w:sz w:val="21"/>
                <w:szCs w:val="21"/>
                <w:highlight w:val="none"/>
              </w:rPr>
              <w:t>招标文件要求</w:t>
            </w:r>
          </w:p>
        </w:tc>
        <w:tc>
          <w:tcPr>
            <w:tcW w:w="3053" w:type="dxa"/>
            <w:vAlign w:val="center"/>
          </w:tcPr>
          <w:p>
            <w:pPr>
              <w:spacing w:line="360" w:lineRule="auto"/>
              <w:jc w:val="center"/>
              <w:rPr>
                <w:rFonts w:asciiTheme="minorEastAsia" w:hAnsiTheme="minorEastAsia" w:cs="Arial"/>
                <w:b/>
                <w:sz w:val="21"/>
                <w:szCs w:val="21"/>
                <w:highlight w:val="none"/>
              </w:rPr>
            </w:pPr>
            <w:r>
              <w:rPr>
                <w:rFonts w:asciiTheme="minorEastAsia" w:hAnsiTheme="minorEastAsia" w:cs="Arial" w:hint="eastAsia"/>
                <w:b/>
                <w:sz w:val="21"/>
                <w:szCs w:val="21"/>
                <w:highlight w:val="none"/>
              </w:rPr>
              <w:t>投标文件响应</w:t>
            </w:r>
          </w:p>
        </w:tc>
        <w:tc>
          <w:tcPr>
            <w:tcW w:w="1262" w:type="dxa"/>
            <w:vAlign w:val="center"/>
          </w:tcPr>
          <w:p>
            <w:pPr>
              <w:spacing w:line="360" w:lineRule="auto"/>
              <w:jc w:val="center"/>
              <w:rPr>
                <w:rFonts w:eastAsia="宋体" w:asciiTheme="minorEastAsia" w:hAnsiTheme="minorEastAsia" w:cs="Arial" w:hint="eastAsia"/>
                <w:b/>
                <w:sz w:val="21"/>
                <w:szCs w:val="21"/>
                <w:highlight w:val="none"/>
                <w:lang w:eastAsia="zh-CN"/>
              </w:rPr>
            </w:pPr>
            <w:r>
              <w:rPr>
                <w:rFonts w:eastAsia="宋体" w:asciiTheme="minorEastAsia" w:hAnsiTheme="minorEastAsia" w:cs="Arial" w:hint="eastAsia"/>
                <w:b/>
                <w:sz w:val="21"/>
                <w:szCs w:val="21"/>
                <w:highlight w:val="none"/>
                <w:lang w:eastAsia="zh-CN"/>
              </w:rPr>
              <w:t>偏离情况</w:t>
            </w:r>
          </w:p>
        </w:tc>
        <w:tc>
          <w:tcPr>
            <w:tcW w:w="1262" w:type="dxa"/>
            <w:vAlign w:val="center"/>
          </w:tcPr>
          <w:p>
            <w:pPr>
              <w:spacing w:line="360" w:lineRule="auto"/>
              <w:jc w:val="center"/>
              <w:rPr>
                <w:rFonts w:asciiTheme="minorEastAsia" w:hAnsiTheme="minorEastAsia" w:cs="Arial"/>
                <w:b/>
                <w:sz w:val="21"/>
                <w:szCs w:val="21"/>
                <w:highlight w:val="none"/>
              </w:rPr>
            </w:pPr>
            <w:r>
              <w:rPr>
                <w:rFonts w:asciiTheme="minorEastAsia" w:hAnsiTheme="minorEastAsia" w:cs="Arial" w:hint="eastAsia"/>
                <w:b/>
                <w:sz w:val="21"/>
                <w:szCs w:val="21"/>
                <w:highlight w:val="none"/>
              </w:rPr>
              <w:t>说明</w:t>
            </w:r>
          </w:p>
        </w:tc>
      </w:tr>
      <w:tr>
        <w:tblPrEx>
          <w:tblW w:w="10949" w:type="dxa"/>
          <w:jc w:val="center"/>
          <w:tblLayout w:type="fixed"/>
          <w:tblCellMar>
            <w:top w:w="0" w:type="dxa"/>
            <w:left w:w="108" w:type="dxa"/>
            <w:bottom w:w="0" w:type="dxa"/>
            <w:right w:w="108" w:type="dxa"/>
          </w:tblCellMar>
        </w:tblPrEx>
        <w:trPr>
          <w:trHeight w:val="1341"/>
          <w:jc w:val="center"/>
        </w:trPr>
        <w:tc>
          <w:tcPr>
            <w:tcW w:w="640" w:type="dxa"/>
            <w:vAlign w:val="center"/>
          </w:tcPr>
          <w:p>
            <w:pPr>
              <w:spacing w:line="360" w:lineRule="auto"/>
              <w:jc w:val="center"/>
              <w:rPr>
                <w:rFonts w:asciiTheme="minorEastAsia" w:hAnsiTheme="minorEastAsia"/>
                <w:sz w:val="21"/>
                <w:szCs w:val="21"/>
                <w:highlight w:val="none"/>
              </w:rPr>
            </w:pPr>
            <w:r>
              <w:rPr>
                <w:rFonts w:asciiTheme="minorEastAsia" w:hAnsiTheme="minorEastAsia" w:hint="eastAsia"/>
                <w:sz w:val="21"/>
                <w:szCs w:val="21"/>
                <w:highlight w:val="none"/>
              </w:rPr>
              <w:t>1</w:t>
            </w:r>
          </w:p>
        </w:tc>
        <w:tc>
          <w:tcPr>
            <w:tcW w:w="4732" w:type="dxa"/>
            <w:vAlign w:val="center"/>
          </w:tcPr>
          <w:p>
            <w:pPr>
              <w:spacing w:line="360" w:lineRule="auto"/>
              <w:rPr>
                <w:rFonts w:asciiTheme="minorEastAsia" w:hAnsiTheme="minorEastAsia"/>
                <w:b/>
                <w:color w:val="FF0000"/>
                <w:sz w:val="21"/>
                <w:szCs w:val="21"/>
                <w:highlight w:val="none"/>
              </w:rPr>
            </w:pPr>
            <w:r>
              <w:rPr>
                <w:rFonts w:asciiTheme="minorEastAsia" w:hAnsiTheme="minorEastAsia" w:hint="eastAsia"/>
                <w:b/>
                <w:color w:val="FF0000"/>
                <w:sz w:val="21"/>
                <w:szCs w:val="21"/>
                <w:highlight w:val="none"/>
              </w:rPr>
              <w:t>《第三章 用户需求书：四、项目服务要求》中所有条款要求。</w:t>
            </w:r>
          </w:p>
        </w:tc>
        <w:tc>
          <w:tcPr>
            <w:tcW w:w="3053" w:type="dxa"/>
            <w:vAlign w:val="center"/>
          </w:tcPr>
          <w:p>
            <w:pPr>
              <w:spacing w:line="360" w:lineRule="auto"/>
              <w:rPr>
                <w:rFonts w:asciiTheme="minorEastAsia" w:hAnsiTheme="minorEastAsia" w:cs="Arial"/>
                <w:sz w:val="21"/>
                <w:szCs w:val="21"/>
                <w:highlight w:val="none"/>
              </w:rPr>
            </w:pPr>
            <w:r>
              <w:rPr>
                <w:rFonts w:asciiTheme="minorEastAsia" w:hAnsiTheme="minorEastAsia" w:cs="Arial" w:hint="eastAsia"/>
                <w:sz w:val="21"/>
                <w:szCs w:val="21"/>
                <w:highlight w:val="none"/>
              </w:rPr>
              <w:t>我公司完全响应满足招标文件中此项要求。</w:t>
            </w:r>
          </w:p>
        </w:tc>
        <w:tc>
          <w:tcPr>
            <w:tcW w:w="1262" w:type="dxa"/>
            <w:shd w:val="clear" w:color="auto" w:fill="auto"/>
            <w:vAlign w:val="center"/>
          </w:tcPr>
          <w:p>
            <w:pPr>
              <w:spacing w:line="360" w:lineRule="auto"/>
              <w:jc w:val="center"/>
              <w:rPr>
                <w:rFonts w:eastAsia="Times New Roman" w:asciiTheme="minorEastAsia" w:hAnsiTheme="minorEastAsia" w:cs="Arial" w:hint="eastAsia"/>
                <w:sz w:val="21"/>
                <w:szCs w:val="21"/>
                <w:highlight w:val="none"/>
              </w:rPr>
            </w:pPr>
          </w:p>
        </w:tc>
        <w:tc>
          <w:tcPr>
            <w:tcW w:w="1262" w:type="dxa"/>
            <w:vAlign w:val="center"/>
          </w:tcPr>
          <w:p>
            <w:pPr>
              <w:spacing w:line="360" w:lineRule="auto"/>
              <w:jc w:val="center"/>
              <w:rPr>
                <w:rFonts w:asciiTheme="minorEastAsia" w:hAnsiTheme="minorEastAsia" w:cs="Arial"/>
                <w:sz w:val="21"/>
                <w:szCs w:val="21"/>
                <w:highlight w:val="none"/>
              </w:rPr>
            </w:pPr>
          </w:p>
        </w:tc>
      </w:tr>
      <w:tr>
        <w:tblPrEx>
          <w:tblW w:w="10949" w:type="dxa"/>
          <w:jc w:val="center"/>
          <w:tblLayout w:type="fixed"/>
          <w:tblCellMar>
            <w:top w:w="0" w:type="dxa"/>
            <w:left w:w="108" w:type="dxa"/>
            <w:bottom w:w="0" w:type="dxa"/>
            <w:right w:w="108" w:type="dxa"/>
          </w:tblCellMar>
        </w:tblPrEx>
        <w:trPr>
          <w:trHeight w:val="904"/>
          <w:jc w:val="center"/>
        </w:trPr>
        <w:tc>
          <w:tcPr>
            <w:tcW w:w="640" w:type="dxa"/>
            <w:vAlign w:val="center"/>
          </w:tcPr>
          <w:p>
            <w:pPr>
              <w:spacing w:line="360" w:lineRule="auto"/>
              <w:jc w:val="center"/>
              <w:rPr>
                <w:rFonts w:asciiTheme="minorEastAsia" w:hAnsiTheme="minorEastAsia"/>
                <w:sz w:val="21"/>
                <w:szCs w:val="21"/>
                <w:highlight w:val="none"/>
              </w:rPr>
            </w:pPr>
            <w:r>
              <w:rPr>
                <w:rFonts w:asciiTheme="minorEastAsia" w:hAnsiTheme="minorEastAsia" w:hint="eastAsia"/>
                <w:sz w:val="21"/>
                <w:szCs w:val="21"/>
                <w:highlight w:val="none"/>
              </w:rPr>
              <w:t>2</w:t>
            </w:r>
          </w:p>
        </w:tc>
        <w:tc>
          <w:tcPr>
            <w:tcW w:w="4732" w:type="dxa"/>
          </w:tcPr>
          <w:p>
            <w:pPr>
              <w:spacing w:line="360" w:lineRule="auto"/>
              <w:rPr>
                <w:rFonts w:asciiTheme="minorEastAsia" w:hAnsiTheme="minorEastAsia"/>
                <w:b/>
                <w:color w:val="FF0000"/>
                <w:sz w:val="21"/>
                <w:szCs w:val="21"/>
                <w:highlight w:val="none"/>
              </w:rPr>
            </w:pPr>
            <w:r>
              <w:rPr>
                <w:rFonts w:asciiTheme="minorEastAsia" w:hAnsiTheme="minorEastAsia" w:hint="eastAsia"/>
                <w:b/>
                <w:color w:val="FF0000"/>
                <w:sz w:val="21"/>
                <w:szCs w:val="21"/>
                <w:highlight w:val="none"/>
              </w:rPr>
              <w:t>《第三章 用户需求书：五、项目商务要求》中所有条款要求。</w:t>
            </w:r>
          </w:p>
        </w:tc>
        <w:tc>
          <w:tcPr>
            <w:tcW w:w="3053" w:type="dxa"/>
            <w:vAlign w:val="center"/>
          </w:tcPr>
          <w:p>
            <w:pPr>
              <w:spacing w:line="360" w:lineRule="auto"/>
              <w:rPr>
                <w:rFonts w:asciiTheme="minorEastAsia" w:hAnsiTheme="minorEastAsia" w:cs="Arial"/>
                <w:sz w:val="21"/>
                <w:szCs w:val="21"/>
                <w:highlight w:val="none"/>
              </w:rPr>
            </w:pPr>
            <w:r>
              <w:rPr>
                <w:rFonts w:asciiTheme="minorEastAsia" w:hAnsiTheme="minorEastAsia" w:cs="Arial" w:hint="eastAsia"/>
                <w:sz w:val="21"/>
                <w:szCs w:val="21"/>
                <w:highlight w:val="none"/>
              </w:rPr>
              <w:t>我公司完全响应满足招标文件中此项要求。</w:t>
            </w:r>
          </w:p>
        </w:tc>
        <w:tc>
          <w:tcPr>
            <w:tcW w:w="1262" w:type="dxa"/>
            <w:shd w:val="clear" w:color="auto" w:fill="auto"/>
            <w:vAlign w:val="center"/>
          </w:tcPr>
          <w:p>
            <w:pPr>
              <w:spacing w:line="360" w:lineRule="auto"/>
              <w:jc w:val="center"/>
              <w:rPr>
                <w:rFonts w:eastAsia="Times New Roman" w:asciiTheme="minorEastAsia" w:hAnsiTheme="minorEastAsia" w:cs="Arial" w:hint="eastAsia"/>
                <w:sz w:val="21"/>
                <w:szCs w:val="21"/>
                <w:highlight w:val="none"/>
              </w:rPr>
            </w:pPr>
          </w:p>
        </w:tc>
        <w:tc>
          <w:tcPr>
            <w:tcW w:w="1262" w:type="dxa"/>
            <w:vAlign w:val="center"/>
          </w:tcPr>
          <w:p>
            <w:pPr>
              <w:spacing w:line="360" w:lineRule="auto"/>
              <w:jc w:val="center"/>
              <w:rPr>
                <w:rFonts w:asciiTheme="minorEastAsia" w:hAnsiTheme="minorEastAsia" w:cs="Arial"/>
                <w:sz w:val="21"/>
                <w:szCs w:val="21"/>
                <w:highlight w:val="none"/>
              </w:rPr>
            </w:pPr>
          </w:p>
        </w:tc>
      </w:tr>
    </w:tbl>
    <w:p>
      <w:pPr>
        <w:snapToGrid w:val="0"/>
        <w:spacing w:line="360" w:lineRule="auto"/>
        <w:rPr>
          <w:rFonts w:asciiTheme="minorEastAsia" w:hAnsiTheme="minorEastAsia"/>
          <w:b/>
          <w:highlight w:val="none"/>
        </w:rPr>
      </w:pPr>
    </w:p>
    <w:p>
      <w:pPr>
        <w:numPr>
          <w:ilvl w:val="0"/>
          <w:numId w:val="0"/>
        </w:numPr>
        <w:snapToGrid w:val="0"/>
        <w:spacing w:after="60" w:afterLines="25" w:line="360" w:lineRule="auto"/>
        <w:ind w:leftChars="0"/>
        <w:rPr>
          <w:rFonts w:ascii="宋体" w:eastAsia="宋体" w:hAnsi="宋体" w:hint="eastAsia"/>
          <w:b/>
          <w:szCs w:val="22"/>
          <w:highlight w:val="none"/>
        </w:rPr>
      </w:pPr>
      <w:r>
        <w:rPr>
          <w:rFonts w:ascii="宋体" w:eastAsia="宋体" w:hAnsi="宋体" w:hint="eastAsia"/>
          <w:b/>
          <w:szCs w:val="22"/>
          <w:highlight w:val="none"/>
        </w:rPr>
        <w:t>注：</w:t>
      </w:r>
    </w:p>
    <w:p>
      <w:pPr>
        <w:numPr>
          <w:ilvl w:val="0"/>
          <w:numId w:val="0"/>
        </w:numPr>
        <w:snapToGrid w:val="0"/>
        <w:spacing w:after="60" w:afterLines="25" w:line="360" w:lineRule="auto"/>
        <w:rPr>
          <w:rFonts w:asciiTheme="majorEastAsia" w:eastAsiaTheme="majorEastAsia" w:hAnsiTheme="majorEastAsia" w:hint="eastAsia"/>
          <w:highlight w:val="none"/>
          <w:lang w:eastAsia="zh-CN"/>
        </w:rPr>
      </w:pPr>
      <w:r>
        <w:rPr>
          <w:rFonts w:asciiTheme="majorEastAsia" w:eastAsiaTheme="majorEastAsia" w:hAnsiTheme="majorEastAsia" w:hint="eastAsia"/>
          <w:highlight w:val="none"/>
          <w:lang w:eastAsia="zh-CN"/>
        </w:rPr>
        <w:t>1.</w:t>
      </w:r>
      <w:r>
        <w:rPr>
          <w:rFonts w:asciiTheme="majorEastAsia" w:eastAsiaTheme="majorEastAsia" w:hAnsiTheme="majorEastAsia" w:hint="eastAsia"/>
          <w:b/>
          <w:bCs/>
          <w:color w:val="FF0000"/>
          <w:highlight w:val="none"/>
          <w:lang w:eastAsia="zh-CN"/>
        </w:rPr>
        <w:t>“偏离情况”一栏应填写“正偏离”“负偏离”或“无偏离”。</w:t>
      </w:r>
      <w:r>
        <w:rPr>
          <w:rFonts w:asciiTheme="majorEastAsia" w:eastAsiaTheme="majorEastAsia" w:hAnsiTheme="majorEastAsia" w:hint="eastAsia"/>
          <w:highlight w:val="none"/>
          <w:lang w:eastAsia="zh-CN"/>
        </w:rPr>
        <w:t>其中，“正偏离”表示投标响应优于招标文件要求，“负偏离”表示投标响应不满足招标文件要求，“无偏离”表示投标响应与招标文件要求一致。</w:t>
      </w:r>
    </w:p>
    <w:p>
      <w:pPr>
        <w:numPr>
          <w:ilvl w:val="0"/>
          <w:numId w:val="0"/>
        </w:numPr>
        <w:snapToGrid w:val="0"/>
        <w:spacing w:after="60" w:afterLines="25" w:line="360" w:lineRule="auto"/>
        <w:ind w:leftChars="0"/>
        <w:rPr>
          <w:rFonts w:ascii="宋体" w:eastAsia="宋体" w:hAnsi="宋体" w:hint="eastAsia"/>
          <w:b/>
          <w:szCs w:val="22"/>
          <w:highlight w:val="none"/>
          <w:lang w:val="en-US" w:eastAsia="zh-CN"/>
        </w:rPr>
      </w:pPr>
      <w:r>
        <w:rPr>
          <w:rFonts w:ascii="宋体" w:eastAsia="宋体" w:hAnsi="宋体" w:hint="eastAsia"/>
          <w:b/>
          <w:szCs w:val="22"/>
          <w:highlight w:val="none"/>
          <w:lang w:val="en-US" w:eastAsia="zh-CN"/>
        </w:rPr>
        <w:t>2.如投标人能完全响应并满足本表【招标文件要求】栏中的内容，可在对应的【投标文件响应】栏中填写“我公司完全响应并满足招标文件中此项要求”。除招标文件另有注明外，不强制要求逐条列出投标文件响应情况。</w:t>
      </w:r>
    </w:p>
    <w:p>
      <w:pPr>
        <w:numPr>
          <w:ilvl w:val="0"/>
          <w:numId w:val="0"/>
        </w:numPr>
        <w:snapToGrid w:val="0"/>
        <w:spacing w:after="60" w:afterLines="25" w:line="360" w:lineRule="auto"/>
        <w:ind w:leftChars="0"/>
        <w:rPr>
          <w:rFonts w:asciiTheme="majorEastAsia" w:eastAsiaTheme="majorEastAsia" w:hAnsiTheme="majorEastAsia" w:hint="eastAsia"/>
          <w:highlight w:val="none"/>
        </w:rPr>
      </w:pPr>
      <w:r>
        <w:rPr>
          <w:rFonts w:asciiTheme="majorEastAsia" w:eastAsiaTheme="majorEastAsia" w:hAnsiTheme="majorEastAsia" w:hint="eastAsia"/>
          <w:highlight w:val="none"/>
          <w:lang w:val="en-US" w:eastAsia="zh-CN"/>
        </w:rPr>
        <w:t>3.</w:t>
      </w:r>
      <w:r>
        <w:rPr>
          <w:rFonts w:asciiTheme="majorEastAsia" w:eastAsiaTheme="majorEastAsia" w:hAnsiTheme="majorEastAsia" w:hint="eastAsia"/>
          <w:highlight w:val="none"/>
        </w:rPr>
        <w:t>如投标人响应情况出现“正偏离”或“负偏离”，请在【投标文件响应】栏中对存在“正偏离”或“负偏离”的条款逐条做出说明。</w:t>
      </w:r>
    </w:p>
    <w:p>
      <w:pPr>
        <w:numPr>
          <w:ilvl w:val="0"/>
          <w:numId w:val="0"/>
        </w:numPr>
        <w:snapToGrid w:val="0"/>
        <w:spacing w:after="60" w:afterLines="25" w:line="360" w:lineRule="auto"/>
        <w:ind w:leftChars="0"/>
        <w:rPr>
          <w:rFonts w:asciiTheme="majorEastAsia" w:eastAsiaTheme="majorEastAsia" w:hAnsiTheme="majorEastAsia" w:hint="eastAsia"/>
          <w:highlight w:val="none"/>
        </w:rPr>
      </w:pPr>
      <w:r>
        <w:rPr>
          <w:rFonts w:asciiTheme="majorEastAsia" w:eastAsiaTheme="majorEastAsia" w:hAnsiTheme="majorEastAsia" w:hint="eastAsia"/>
          <w:highlight w:val="none"/>
          <w:lang w:val="en-US" w:eastAsia="zh-CN"/>
        </w:rPr>
        <w:t>4.</w:t>
      </w:r>
      <w:r>
        <w:rPr>
          <w:rFonts w:asciiTheme="majorEastAsia" w:eastAsiaTheme="majorEastAsia" w:hAnsiTheme="majorEastAsia" w:hint="eastAsia"/>
          <w:highlight w:val="none"/>
        </w:rPr>
        <w:t>如果偏离情况与投标文件响应情况不一致，或要求提供相关证明材料但投标人未提供的，或提供的相关证明材料与偏离情况、投标文件响应情况不一致的，均视为负偏离。</w:t>
      </w:r>
    </w:p>
    <w:p>
      <w:pPr>
        <w:ind w:firstLine="480" w:firstLineChars="200"/>
        <w:jc w:val="center"/>
        <w:rPr>
          <w:rFonts w:ascii="黑体" w:eastAsia="黑体" w:hAnsi="宋体" w:cs="Times New Roman" w:hint="eastAsia"/>
          <w:b/>
          <w:bCs w:val="0"/>
          <w:color w:val="000000" w:themeColor="text1"/>
          <w:sz w:val="24"/>
          <w:szCs w:val="32"/>
          <w:highlight w:val="none"/>
          <w14:textFill>
            <w14:solidFill>
              <w14:schemeClr w14:val="tx1"/>
            </w14:solidFill>
          </w14:textFill>
        </w:rPr>
      </w:pPr>
      <w:r>
        <w:rPr>
          <w:rFonts w:ascii="黑体" w:eastAsia="黑体" w:hAnsi="宋体" w:cs="Times New Roman" w:hint="eastAsia"/>
          <w:b/>
          <w:bCs w:val="0"/>
          <w:color w:val="000000" w:themeColor="text1"/>
          <w:sz w:val="24"/>
          <w:szCs w:val="32"/>
          <w:highlight w:val="none"/>
          <w:lang w:val="en-US" w:eastAsia="zh-CN"/>
          <w14:textFill>
            <w14:solidFill>
              <w14:schemeClr w14:val="tx1"/>
            </w14:solidFill>
          </w14:textFill>
        </w:rPr>
        <w:t>六、</w:t>
      </w:r>
      <w:r>
        <w:rPr>
          <w:rFonts w:ascii="黑体" w:eastAsia="黑体" w:hAnsi="宋体" w:cs="Times New Roman" w:hint="eastAsia"/>
          <w:b/>
          <w:bCs w:val="0"/>
          <w:color w:val="000000" w:themeColor="text1"/>
          <w:sz w:val="24"/>
          <w:szCs w:val="32"/>
          <w:highlight w:val="none"/>
          <w14:textFill>
            <w14:solidFill>
              <w14:schemeClr w14:val="tx1"/>
            </w14:solidFill>
          </w14:textFill>
        </w:rPr>
        <w:t>拟安排的项目负责人情况（仅限一人）</w:t>
      </w:r>
    </w:p>
    <w:p>
      <w:pPr>
        <w:ind w:firstLine="480" w:firstLineChars="200"/>
        <w:jc w:val="center"/>
        <w:rPr>
          <w:rFonts w:ascii="黑体" w:eastAsia="黑体" w:hAnsi="宋体" w:cs="Times New Roman" w:hint="eastAsia"/>
          <w:b/>
          <w:bCs w:val="0"/>
          <w:color w:val="000000" w:themeColor="text1"/>
          <w:sz w:val="24"/>
          <w:szCs w:val="32"/>
          <w:highlight w:val="none"/>
          <w14:textFill>
            <w14:solidFill>
              <w14:schemeClr w14:val="tx1"/>
            </w14:solidFill>
          </w14:textFill>
        </w:rPr>
      </w:pPr>
      <w:r>
        <w:rPr>
          <w:rFonts w:ascii="黑体" w:eastAsia="黑体" w:hAnsi="宋体" w:cs="Times New Roman" w:hint="eastAsia"/>
          <w:b/>
          <w:bCs w:val="0"/>
          <w:color w:val="000000" w:themeColor="text1"/>
          <w:sz w:val="24"/>
          <w:szCs w:val="32"/>
          <w:highlight w:val="none"/>
          <w:lang w:val="en-US" w:eastAsia="zh-CN"/>
          <w14:textFill>
            <w14:solidFill>
              <w14:schemeClr w14:val="tx1"/>
            </w14:solidFill>
          </w14:textFill>
        </w:rPr>
        <w:t>七、</w:t>
      </w:r>
      <w:r>
        <w:rPr>
          <w:rFonts w:ascii="黑体" w:eastAsia="黑体" w:hAnsi="宋体" w:cs="Times New Roman" w:hint="eastAsia"/>
          <w:b/>
          <w:bCs w:val="0"/>
          <w:color w:val="000000" w:themeColor="text1"/>
          <w:sz w:val="24"/>
          <w:szCs w:val="32"/>
          <w:highlight w:val="none"/>
          <w14:textFill>
            <w14:solidFill>
              <w14:schemeClr w14:val="tx1"/>
            </w14:solidFill>
          </w14:textFill>
        </w:rPr>
        <w:t>拟安排的项目主要团队成员（主要技术人员）情况（项目负责人除外）</w:t>
      </w:r>
    </w:p>
    <w:p>
      <w:pPr>
        <w:ind w:firstLine="480" w:firstLineChars="200"/>
        <w:jc w:val="center"/>
        <w:rPr>
          <w:rFonts w:ascii="黑体" w:eastAsia="黑体" w:hAnsi="宋体" w:cs="Times New Roman" w:hint="eastAsia"/>
          <w:b/>
          <w:bCs w:val="0"/>
          <w:color w:val="000000" w:themeColor="text1"/>
          <w:sz w:val="24"/>
          <w:szCs w:val="32"/>
          <w:highlight w:val="none"/>
          <w14:textFill>
            <w14:solidFill>
              <w14:schemeClr w14:val="tx1"/>
            </w14:solidFill>
          </w14:textFill>
        </w:rPr>
      </w:pPr>
      <w:r>
        <w:rPr>
          <w:rFonts w:ascii="黑体" w:eastAsia="黑体" w:hAnsi="宋体" w:cs="Times New Roman" w:hint="eastAsia"/>
          <w:b/>
          <w:bCs w:val="0"/>
          <w:color w:val="000000" w:themeColor="text1"/>
          <w:sz w:val="24"/>
          <w:szCs w:val="32"/>
          <w:highlight w:val="none"/>
          <w:lang w:val="en-US" w:eastAsia="zh-CN"/>
          <w14:textFill>
            <w14:solidFill>
              <w14:schemeClr w14:val="tx1"/>
            </w14:solidFill>
          </w14:textFill>
        </w:rPr>
        <w:t xml:space="preserve">八、实施方案 </w:t>
      </w:r>
      <w:r>
        <w:rPr>
          <w:rFonts w:ascii="黑体" w:eastAsia="黑体" w:hAnsi="宋体" w:cs="Times New Roman" w:hint="eastAsia"/>
          <w:b/>
          <w:bCs w:val="0"/>
          <w:color w:val="000000" w:themeColor="text1"/>
          <w:sz w:val="24"/>
          <w:szCs w:val="32"/>
          <w:highlight w:val="none"/>
          <w14:textFill>
            <w14:solidFill>
              <w14:schemeClr w14:val="tx1"/>
            </w14:solidFill>
          </w14:textFill>
        </w:rPr>
        <w:t>（格式自定）</w:t>
      </w:r>
    </w:p>
    <w:p>
      <w:pPr>
        <w:ind w:firstLine="480" w:firstLineChars="200"/>
        <w:jc w:val="center"/>
        <w:rPr>
          <w:rFonts w:ascii="黑体" w:eastAsia="黑体" w:hAnsi="宋体" w:cs="Times New Roman" w:hint="eastAsia"/>
          <w:b/>
          <w:bCs w:val="0"/>
          <w:color w:val="000000" w:themeColor="text1"/>
          <w:sz w:val="24"/>
          <w:szCs w:val="32"/>
          <w:highlight w:val="none"/>
          <w14:textFill>
            <w14:solidFill>
              <w14:schemeClr w14:val="tx1"/>
            </w14:solidFill>
          </w14:textFill>
        </w:rPr>
      </w:pPr>
      <w:r>
        <w:rPr>
          <w:rFonts w:ascii="黑体" w:eastAsia="黑体" w:hAnsi="宋体" w:cs="Times New Roman" w:hint="eastAsia"/>
          <w:b/>
          <w:bCs w:val="0"/>
          <w:color w:val="000000" w:themeColor="text1"/>
          <w:sz w:val="24"/>
          <w:szCs w:val="32"/>
          <w:highlight w:val="none"/>
          <w:lang w:val="en-US" w:eastAsia="zh-CN"/>
          <w14:textFill>
            <w14:solidFill>
              <w14:schemeClr w14:val="tx1"/>
            </w14:solidFill>
          </w14:textFill>
        </w:rPr>
        <w:t>九、</w:t>
      </w:r>
      <w:r>
        <w:rPr>
          <w:rFonts w:ascii="黑体" w:eastAsia="黑体" w:hAnsi="宋体" w:cs="Times New Roman" w:hint="eastAsia"/>
          <w:b/>
          <w:bCs w:val="0"/>
          <w:color w:val="000000" w:themeColor="text1"/>
          <w:sz w:val="24"/>
          <w:szCs w:val="32"/>
          <w:highlight w:val="none"/>
          <w:lang w:eastAsia="zh-CN"/>
          <w14:textFill>
            <w14:solidFill>
              <w14:schemeClr w14:val="tx1"/>
            </w14:solidFill>
          </w14:textFill>
        </w:rPr>
        <w:t>项目重点难点分析、应对措施及相关合理化建议</w:t>
      </w:r>
      <w:r>
        <w:rPr>
          <w:rFonts w:ascii="黑体" w:eastAsia="黑体" w:hAnsi="宋体" w:cs="Times New Roman" w:hint="eastAsia"/>
          <w:b/>
          <w:bCs w:val="0"/>
          <w:color w:val="000000" w:themeColor="text1"/>
          <w:sz w:val="24"/>
          <w:szCs w:val="32"/>
          <w:highlight w:val="none"/>
          <w14:textFill>
            <w14:solidFill>
              <w14:schemeClr w14:val="tx1"/>
            </w14:solidFill>
          </w14:textFill>
        </w:rPr>
        <w:t>（格式自定）</w:t>
      </w:r>
    </w:p>
    <w:p>
      <w:pPr>
        <w:ind w:firstLine="480" w:firstLineChars="200"/>
        <w:jc w:val="center"/>
        <w:rPr>
          <w:rFonts w:ascii="黑体" w:eastAsia="黑体" w:hAnsi="宋体" w:cs="Times New Roman" w:hint="eastAsia"/>
          <w:b/>
          <w:bCs w:val="0"/>
          <w:color w:val="000000" w:themeColor="text1"/>
          <w:sz w:val="24"/>
          <w:szCs w:val="32"/>
          <w:highlight w:val="none"/>
          <w14:textFill>
            <w14:solidFill>
              <w14:schemeClr w14:val="tx1"/>
            </w14:solidFill>
          </w14:textFill>
        </w:rPr>
      </w:pPr>
      <w:r>
        <w:rPr>
          <w:rFonts w:ascii="黑体" w:eastAsia="黑体" w:hAnsi="宋体" w:cs="Times New Roman" w:hint="eastAsia"/>
          <w:b/>
          <w:bCs w:val="0"/>
          <w:color w:val="000000" w:themeColor="text1"/>
          <w:sz w:val="24"/>
          <w:szCs w:val="32"/>
          <w:highlight w:val="none"/>
          <w:lang w:val="en-US" w:eastAsia="zh-CN"/>
          <w14:textFill>
            <w14:solidFill>
              <w14:schemeClr w14:val="tx1"/>
            </w14:solidFill>
          </w14:textFill>
        </w:rPr>
        <w:t>十、</w:t>
      </w:r>
      <w:r>
        <w:rPr>
          <w:rFonts w:ascii="黑体" w:eastAsia="黑体" w:hAnsi="宋体" w:cs="Times New Roman" w:hint="eastAsia"/>
          <w:b/>
          <w:bCs w:val="0"/>
          <w:color w:val="000000" w:themeColor="text1"/>
          <w:sz w:val="24"/>
          <w:szCs w:val="32"/>
          <w:highlight w:val="none"/>
          <w:lang w:eastAsia="zh-CN"/>
          <w14:textFill>
            <w14:solidFill>
              <w14:schemeClr w14:val="tx1"/>
            </w14:solidFill>
          </w14:textFill>
        </w:rPr>
        <w:t>质量保障措施及方案</w:t>
      </w:r>
      <w:r>
        <w:rPr>
          <w:rFonts w:ascii="黑体" w:eastAsia="黑体" w:hAnsi="宋体" w:cs="Times New Roman" w:hint="eastAsia"/>
          <w:b/>
          <w:bCs w:val="0"/>
          <w:color w:val="000000" w:themeColor="text1"/>
          <w:sz w:val="24"/>
          <w:szCs w:val="32"/>
          <w:highlight w:val="none"/>
          <w14:textFill>
            <w14:solidFill>
              <w14:schemeClr w14:val="tx1"/>
            </w14:solidFill>
          </w14:textFill>
        </w:rPr>
        <w:t>（格式自定）</w:t>
      </w:r>
    </w:p>
    <w:p>
      <w:pPr>
        <w:ind w:firstLine="480" w:firstLineChars="200"/>
        <w:jc w:val="center"/>
        <w:rPr>
          <w:rFonts w:ascii="黑体" w:eastAsia="黑体" w:hAnsi="宋体" w:cs="Times New Roman" w:hint="eastAsia"/>
          <w:b/>
          <w:bCs w:val="0"/>
          <w:color w:val="000000" w:themeColor="text1"/>
          <w:sz w:val="24"/>
          <w:szCs w:val="32"/>
          <w:highlight w:val="none"/>
          <w14:textFill>
            <w14:solidFill>
              <w14:schemeClr w14:val="tx1"/>
            </w14:solidFill>
          </w14:textFill>
        </w:rPr>
      </w:pPr>
      <w:r>
        <w:rPr>
          <w:rFonts w:ascii="黑体" w:eastAsia="黑体" w:hAnsi="宋体" w:cs="Times New Roman" w:hint="eastAsia"/>
          <w:b/>
          <w:bCs w:val="0"/>
          <w:color w:val="000000" w:themeColor="text1"/>
          <w:sz w:val="24"/>
          <w:szCs w:val="32"/>
          <w:highlight w:val="none"/>
          <w:lang w:val="en-US" w:eastAsia="zh-CN"/>
          <w14:textFill>
            <w14:solidFill>
              <w14:schemeClr w14:val="tx1"/>
            </w14:solidFill>
          </w14:textFill>
        </w:rPr>
        <w:t>十一、</w:t>
      </w:r>
      <w:r>
        <w:rPr>
          <w:rFonts w:ascii="黑体" w:eastAsia="黑体" w:hAnsi="宋体" w:cs="Times New Roman" w:hint="eastAsia"/>
          <w:b/>
          <w:bCs w:val="0"/>
          <w:color w:val="000000" w:themeColor="text1"/>
          <w:sz w:val="24"/>
          <w:szCs w:val="32"/>
          <w:highlight w:val="none"/>
          <w14:textFill>
            <w14:solidFill>
              <w14:schemeClr w14:val="tx1"/>
            </w14:solidFill>
          </w14:textFill>
        </w:rPr>
        <w:t>项目完成（服务期满）后的服务承诺（格式自定）</w:t>
      </w:r>
    </w:p>
    <w:p>
      <w:pPr>
        <w:ind w:firstLine="480" w:firstLineChars="200"/>
        <w:jc w:val="center"/>
        <w:rPr>
          <w:rFonts w:ascii="黑体" w:eastAsia="黑体" w:hAnsi="宋体" w:cs="Times New Roman" w:hint="eastAsia"/>
          <w:b/>
          <w:bCs w:val="0"/>
          <w:color w:val="000000" w:themeColor="text1"/>
          <w:sz w:val="24"/>
          <w:szCs w:val="32"/>
          <w:highlight w:val="none"/>
          <w14:textFill>
            <w14:solidFill>
              <w14:schemeClr w14:val="tx1"/>
            </w14:solidFill>
          </w14:textFill>
        </w:rPr>
      </w:pPr>
      <w:r>
        <w:rPr>
          <w:rFonts w:ascii="黑体" w:eastAsia="黑体" w:hAnsi="宋体" w:cs="Times New Roman" w:hint="eastAsia"/>
          <w:b/>
          <w:bCs w:val="0"/>
          <w:color w:val="000000" w:themeColor="text1"/>
          <w:sz w:val="24"/>
          <w:szCs w:val="32"/>
          <w:highlight w:val="none"/>
          <w:lang w:val="en-US" w:eastAsia="zh-CN"/>
          <w14:textFill>
            <w14:solidFill>
              <w14:schemeClr w14:val="tx1"/>
            </w14:solidFill>
          </w14:textFill>
        </w:rPr>
        <w:t>十二、</w:t>
      </w:r>
      <w:r>
        <w:rPr>
          <w:rFonts w:ascii="黑体" w:eastAsia="黑体" w:hAnsi="宋体" w:cs="Times New Roman" w:hint="eastAsia"/>
          <w:b/>
          <w:bCs w:val="0"/>
          <w:color w:val="000000" w:themeColor="text1"/>
          <w:sz w:val="24"/>
          <w:szCs w:val="32"/>
          <w:highlight w:val="none"/>
          <w14:textFill>
            <w14:solidFill>
              <w14:schemeClr w14:val="tx1"/>
            </w14:solidFill>
          </w14:textFill>
        </w:rPr>
        <w:t>违约承诺（格式自定）</w:t>
      </w:r>
    </w:p>
    <w:p>
      <w:pPr>
        <w:ind w:firstLine="480" w:firstLineChars="200"/>
        <w:jc w:val="center"/>
        <w:rPr>
          <w:rFonts w:ascii="黑体" w:eastAsia="黑体" w:hAnsi="宋体" w:cs="Times New Roman" w:hint="eastAsia"/>
          <w:b/>
          <w:bCs w:val="0"/>
          <w:color w:val="000000" w:themeColor="text1"/>
          <w:sz w:val="24"/>
          <w:szCs w:val="32"/>
          <w:highlight w:val="none"/>
          <w14:textFill>
            <w14:solidFill>
              <w14:schemeClr w14:val="tx1"/>
            </w14:solidFill>
          </w14:textFill>
        </w:rPr>
      </w:pPr>
      <w:r>
        <w:rPr>
          <w:rFonts w:ascii="黑体" w:eastAsia="黑体" w:hAnsi="宋体" w:cs="Times New Roman" w:hint="eastAsia"/>
          <w:b/>
          <w:bCs w:val="0"/>
          <w:color w:val="000000" w:themeColor="text1"/>
          <w:sz w:val="24"/>
          <w:szCs w:val="32"/>
          <w:highlight w:val="none"/>
          <w:lang w:val="en-US" w:eastAsia="zh-CN"/>
          <w14:textFill>
            <w14:solidFill>
              <w14:schemeClr w14:val="tx1"/>
            </w14:solidFill>
          </w14:textFill>
        </w:rPr>
        <w:t>十三、</w:t>
      </w:r>
      <w:r>
        <w:rPr>
          <w:rFonts w:ascii="黑体" w:eastAsia="黑体" w:hAnsi="宋体" w:cs="Times New Roman" w:hint="eastAsia"/>
          <w:b/>
          <w:bCs w:val="0"/>
          <w:color w:val="000000" w:themeColor="text1"/>
          <w:sz w:val="24"/>
          <w:szCs w:val="32"/>
          <w:highlight w:val="none"/>
          <w14:textFill>
            <w14:solidFill>
              <w14:schemeClr w14:val="tx1"/>
            </w14:solidFill>
          </w14:textFill>
        </w:rPr>
        <w:t>投标人认为需要加以说明的其他内容（格式自定）</w:t>
      </w:r>
    </w:p>
    <w:p>
      <w:pPr>
        <w:keepNext/>
        <w:keepLines/>
        <w:pageBreakBefore w:val="0"/>
        <w:widowControl/>
        <w:kinsoku/>
        <w:wordWrap/>
        <w:overflowPunct/>
        <w:topLinePunct w:val="0"/>
        <w:autoSpaceDE/>
        <w:autoSpaceDN/>
        <w:bidi w:val="0"/>
        <w:adjustRightInd/>
        <w:snapToGrid/>
        <w:jc w:val="center"/>
        <w:textAlignment w:val="auto"/>
        <w:outlineLvl w:val="9"/>
        <w:rPr>
          <w:rFonts w:ascii="黑体" w:eastAsia="黑体" w:hint="eastAsia"/>
          <w:bCs w:val="0"/>
          <w:color w:val="000000" w:themeColor="text1"/>
          <w:sz w:val="24"/>
          <w:highlight w:val="none"/>
          <w:lang w:val="en-US" w:eastAsia="zh-CN"/>
          <w14:textFill>
            <w14:solidFill>
              <w14:schemeClr w14:val="tx1"/>
            </w14:solidFill>
          </w14:textFill>
        </w:rPr>
      </w:pPr>
    </w:p>
    <w:p>
      <w:pPr>
        <w:rPr>
          <w:rFonts w:asciiTheme="majorEastAsia" w:eastAsiaTheme="majorEastAsia" w:hAnsiTheme="majorEastAsia" w:cstheme="majorEastAsia" w:hint="eastAsia"/>
          <w:b/>
          <w:bCs/>
          <w:sz w:val="24"/>
          <w:szCs w:val="20"/>
          <w:highlight w:val="none"/>
          <w:lang w:eastAsia="zh-CN"/>
        </w:rPr>
      </w:pPr>
      <w:r>
        <w:rPr>
          <w:rFonts w:asciiTheme="majorEastAsia" w:eastAsiaTheme="majorEastAsia" w:hAnsiTheme="majorEastAsia" w:cstheme="majorEastAsia" w:hint="eastAsia"/>
          <w:b/>
          <w:bCs/>
          <w:sz w:val="24"/>
          <w:szCs w:val="20"/>
          <w:highlight w:val="none"/>
          <w:lang w:eastAsia="zh-CN"/>
        </w:rPr>
        <w:t>（</w:t>
      </w:r>
      <w:r>
        <w:rPr>
          <w:rFonts w:asciiTheme="majorEastAsia" w:eastAsiaTheme="majorEastAsia" w:hAnsiTheme="majorEastAsia" w:cstheme="majorEastAsia" w:hint="eastAsia"/>
          <w:b/>
          <w:bCs/>
          <w:sz w:val="24"/>
          <w:szCs w:val="20"/>
          <w:highlight w:val="none"/>
          <w:lang w:val="en-US" w:eastAsia="zh-CN"/>
        </w:rPr>
        <w:t>1</w:t>
      </w:r>
      <w:r>
        <w:rPr>
          <w:rFonts w:asciiTheme="majorEastAsia" w:eastAsiaTheme="majorEastAsia" w:hAnsiTheme="majorEastAsia" w:cstheme="majorEastAsia" w:hint="eastAsia"/>
          <w:b/>
          <w:bCs/>
          <w:sz w:val="24"/>
          <w:szCs w:val="20"/>
          <w:highlight w:val="none"/>
          <w:lang w:eastAsia="zh-CN"/>
        </w:rPr>
        <w:t>）政府采购违法行为风险知悉确认书</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我单位在投标前已充分知悉以下情形为参与政府采购活动时的重大风险事项，并承诺已对下述风险提示事项重点排查，若存在下述情况，我单位愿意依法承担被记入供应商诚信档案、罚款、取消参与政府采购资格、吊销营业执照等处罚；构成犯罪的，依法承担刑事责任。</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11"/>
        <w:gridCol w:w="7811"/>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151"/>
        </w:trPr>
        <w:tc>
          <w:tcPr>
            <w:tcW w:w="711" w:type="dxa"/>
          </w:tcPr>
          <w:p>
            <w:pPr>
              <w:widowControl w:val="0"/>
              <w:spacing w:line="400" w:lineRule="exact"/>
              <w:jc w:val="center"/>
              <w:rPr>
                <w:rFonts w:ascii="宋体" w:eastAsia="宋体" w:hAnsi="宋体" w:cs="宋体" w:hint="eastAsia"/>
                <w:sz w:val="21"/>
                <w:szCs w:val="18"/>
                <w:highlight w:val="none"/>
              </w:rPr>
            </w:pPr>
            <w:r>
              <w:rPr>
                <w:rFonts w:ascii="宋体" w:eastAsia="宋体" w:hAnsi="宋体" w:cs="宋体" w:hint="eastAsia"/>
                <w:sz w:val="21"/>
                <w:szCs w:val="18"/>
                <w:highlight w:val="none"/>
              </w:rPr>
              <w:t>序号</w:t>
            </w:r>
          </w:p>
        </w:tc>
        <w:tc>
          <w:tcPr>
            <w:tcW w:w="7811" w:type="dxa"/>
          </w:tcPr>
          <w:p>
            <w:pPr>
              <w:widowControl w:val="0"/>
              <w:spacing w:line="400" w:lineRule="exact"/>
              <w:jc w:val="center"/>
              <w:rPr>
                <w:rFonts w:ascii="宋体" w:eastAsia="宋体" w:hAnsi="宋体" w:cs="宋体" w:hint="eastAsia"/>
                <w:sz w:val="21"/>
                <w:szCs w:val="18"/>
                <w:highlight w:val="none"/>
              </w:rPr>
            </w:pPr>
            <w:r>
              <w:rPr>
                <w:rFonts w:ascii="宋体" w:eastAsia="宋体" w:hAnsi="宋体" w:cs="宋体" w:hint="eastAsia"/>
                <w:b/>
                <w:bCs/>
                <w:sz w:val="21"/>
                <w:szCs w:val="18"/>
                <w:highlight w:val="none"/>
              </w:rPr>
              <w:t>供应商参与投标禁止情形</w:t>
            </w:r>
          </w:p>
        </w:tc>
      </w:tr>
      <w:tr>
        <w:tblPrEx>
          <w:tblW w:w="0" w:type="auto"/>
          <w:tblInd w:w="0" w:type="dxa"/>
          <w:tblCellMar>
            <w:top w:w="0" w:type="dxa"/>
            <w:left w:w="108" w:type="dxa"/>
            <w:bottom w:w="0" w:type="dxa"/>
            <w:right w:w="108" w:type="dxa"/>
          </w:tblCellMar>
        </w:tblPrEx>
        <w:tc>
          <w:tcPr>
            <w:tcW w:w="711" w:type="dxa"/>
          </w:tcPr>
          <w:p>
            <w:pPr>
              <w:widowControl w:val="0"/>
              <w:spacing w:line="400" w:lineRule="exact"/>
              <w:jc w:val="center"/>
              <w:rPr>
                <w:rFonts w:ascii="宋体" w:eastAsia="宋体" w:hAnsi="宋体" w:cs="宋体" w:hint="eastAsia"/>
                <w:sz w:val="21"/>
                <w:szCs w:val="18"/>
                <w:highlight w:val="none"/>
              </w:rPr>
            </w:pPr>
            <w:r>
              <w:rPr>
                <w:rFonts w:ascii="宋体" w:eastAsia="宋体" w:hAnsi="宋体" w:cs="宋体" w:hint="eastAsia"/>
                <w:sz w:val="21"/>
                <w:szCs w:val="18"/>
                <w:highlight w:val="none"/>
              </w:rPr>
              <w:t>1</w:t>
            </w:r>
          </w:p>
        </w:tc>
        <w:tc>
          <w:tcPr>
            <w:tcW w:w="7811" w:type="dxa"/>
            <w:vAlign w:val="center"/>
          </w:tcPr>
          <w:p>
            <w:pPr>
              <w:widowControl w:val="0"/>
              <w:spacing w:line="400" w:lineRule="exact"/>
              <w:jc w:val="left"/>
              <w:rPr>
                <w:rFonts w:ascii="宋体" w:eastAsia="宋体" w:hAnsi="宋体" w:cs="宋体" w:hint="eastAsia"/>
                <w:sz w:val="21"/>
                <w:szCs w:val="18"/>
                <w:highlight w:val="none"/>
              </w:rPr>
            </w:pPr>
            <w:r>
              <w:rPr>
                <w:rFonts w:ascii="宋体" w:eastAsia="宋体" w:hAnsi="宋体" w:cs="宋体" w:hint="eastAsia"/>
                <w:sz w:val="21"/>
                <w:szCs w:val="18"/>
                <w:highlight w:val="none"/>
              </w:rPr>
              <w:t>与其他投标供应商的法定代表人、主要经营负责人、投标授权代表人、项目负责人、主要技术人员为</w:t>
            </w:r>
            <w:r>
              <w:rPr>
                <w:rFonts w:ascii="宋体" w:eastAsia="宋体" w:hAnsi="宋体" w:cs="宋体" w:hint="eastAsia"/>
                <w:b/>
                <w:bCs/>
                <w:sz w:val="21"/>
                <w:szCs w:val="18"/>
                <w:highlight w:val="none"/>
              </w:rPr>
              <w:t>同一人、属同一单位或者在同一单位缴纳社会保险</w:t>
            </w:r>
            <w:r>
              <w:rPr>
                <w:rFonts w:ascii="宋体" w:eastAsia="宋体" w:hAnsi="宋体" w:cs="宋体" w:hint="eastAsia"/>
                <w:sz w:val="21"/>
                <w:szCs w:val="18"/>
                <w:highlight w:val="none"/>
              </w:rPr>
              <w:t>。</w:t>
            </w:r>
          </w:p>
        </w:tc>
      </w:tr>
      <w:tr>
        <w:tblPrEx>
          <w:tblW w:w="0" w:type="auto"/>
          <w:tblInd w:w="0" w:type="dxa"/>
          <w:tblCellMar>
            <w:top w:w="0" w:type="dxa"/>
            <w:left w:w="108" w:type="dxa"/>
            <w:bottom w:w="0" w:type="dxa"/>
            <w:right w:w="108" w:type="dxa"/>
          </w:tblCellMar>
        </w:tblPrEx>
        <w:trPr>
          <w:trHeight w:val="90"/>
        </w:trPr>
        <w:tc>
          <w:tcPr>
            <w:tcW w:w="711" w:type="dxa"/>
          </w:tcPr>
          <w:p>
            <w:pPr>
              <w:widowControl w:val="0"/>
              <w:spacing w:line="400" w:lineRule="exact"/>
              <w:jc w:val="center"/>
              <w:rPr>
                <w:rFonts w:ascii="宋体" w:eastAsia="宋体" w:hAnsi="宋体" w:cs="宋体" w:hint="eastAsia"/>
                <w:sz w:val="21"/>
                <w:szCs w:val="18"/>
                <w:highlight w:val="none"/>
              </w:rPr>
            </w:pPr>
            <w:r>
              <w:rPr>
                <w:rFonts w:ascii="宋体" w:eastAsia="宋体" w:hAnsi="宋体" w:cs="宋体" w:hint="eastAsia"/>
                <w:sz w:val="21"/>
                <w:szCs w:val="18"/>
                <w:highlight w:val="none"/>
              </w:rPr>
              <w:t>2</w:t>
            </w:r>
          </w:p>
        </w:tc>
        <w:tc>
          <w:tcPr>
            <w:tcW w:w="7811" w:type="dxa"/>
            <w:vAlign w:val="center"/>
          </w:tcPr>
          <w:p>
            <w:pPr>
              <w:widowControl w:val="0"/>
              <w:spacing w:line="400" w:lineRule="exact"/>
              <w:jc w:val="left"/>
              <w:rPr>
                <w:rFonts w:ascii="宋体" w:eastAsia="宋体" w:hAnsi="宋体" w:cs="宋体" w:hint="eastAsia"/>
                <w:sz w:val="21"/>
                <w:szCs w:val="18"/>
                <w:highlight w:val="none"/>
              </w:rPr>
            </w:pPr>
            <w:r>
              <w:rPr>
                <w:rFonts w:ascii="宋体" w:eastAsia="宋体" w:hAnsi="宋体" w:cs="宋体" w:hint="eastAsia"/>
                <w:sz w:val="21"/>
                <w:szCs w:val="18"/>
                <w:highlight w:val="none"/>
              </w:rPr>
              <w:t>参与本项目政府采购活动时，与其他投标供应商存在单位负责人为</w:t>
            </w:r>
            <w:r>
              <w:rPr>
                <w:rFonts w:ascii="宋体" w:eastAsia="宋体" w:hAnsi="宋体" w:cs="宋体" w:hint="eastAsia"/>
                <w:b/>
                <w:bCs/>
                <w:sz w:val="21"/>
                <w:szCs w:val="18"/>
                <w:highlight w:val="none"/>
              </w:rPr>
              <w:t>同一人或直接控股、管理关系</w:t>
            </w:r>
            <w:r>
              <w:rPr>
                <w:rFonts w:ascii="宋体" w:eastAsia="宋体" w:hAnsi="宋体" w:cs="宋体" w:hint="eastAsia"/>
                <w:sz w:val="21"/>
                <w:szCs w:val="18"/>
                <w:highlight w:val="none"/>
              </w:rPr>
              <w:t>。</w:t>
            </w:r>
          </w:p>
        </w:tc>
      </w:tr>
      <w:tr>
        <w:tblPrEx>
          <w:tblW w:w="0" w:type="auto"/>
          <w:tblInd w:w="0" w:type="dxa"/>
          <w:tblCellMar>
            <w:top w:w="0" w:type="dxa"/>
            <w:left w:w="108" w:type="dxa"/>
            <w:bottom w:w="0" w:type="dxa"/>
            <w:right w:w="108" w:type="dxa"/>
          </w:tblCellMar>
        </w:tblPrEx>
        <w:tc>
          <w:tcPr>
            <w:tcW w:w="711" w:type="dxa"/>
          </w:tcPr>
          <w:p>
            <w:pPr>
              <w:widowControl w:val="0"/>
              <w:spacing w:line="400" w:lineRule="exact"/>
              <w:jc w:val="center"/>
              <w:rPr>
                <w:rFonts w:ascii="宋体" w:eastAsia="宋体" w:hAnsi="宋体" w:cs="宋体" w:hint="eastAsia"/>
                <w:sz w:val="21"/>
                <w:szCs w:val="18"/>
                <w:highlight w:val="none"/>
              </w:rPr>
            </w:pPr>
            <w:r>
              <w:rPr>
                <w:rFonts w:ascii="宋体" w:eastAsia="宋体" w:hAnsi="宋体" w:cs="宋体" w:hint="eastAsia"/>
                <w:sz w:val="21"/>
                <w:szCs w:val="18"/>
                <w:highlight w:val="none"/>
              </w:rPr>
              <w:t>3</w:t>
            </w:r>
          </w:p>
        </w:tc>
        <w:tc>
          <w:tcPr>
            <w:tcW w:w="7811" w:type="dxa"/>
            <w:vAlign w:val="center"/>
          </w:tcPr>
          <w:p>
            <w:pPr>
              <w:widowControl w:val="0"/>
              <w:spacing w:line="400" w:lineRule="exact"/>
              <w:jc w:val="left"/>
              <w:rPr>
                <w:rFonts w:ascii="宋体" w:eastAsia="宋体" w:hAnsi="宋体" w:cs="宋体" w:hint="eastAsia"/>
                <w:sz w:val="21"/>
                <w:szCs w:val="18"/>
                <w:highlight w:val="none"/>
              </w:rPr>
            </w:pPr>
            <w:r>
              <w:rPr>
                <w:rFonts w:ascii="宋体" w:eastAsia="宋体" w:hAnsi="宋体" w:cs="宋体" w:hint="eastAsia"/>
                <w:sz w:val="21"/>
                <w:szCs w:val="18"/>
                <w:highlight w:val="none"/>
              </w:rPr>
              <w:t>与其他投标供应商的投标文件或部分投标文件</w:t>
            </w:r>
            <w:r>
              <w:rPr>
                <w:rFonts w:ascii="宋体" w:eastAsia="宋体" w:hAnsi="宋体" w:cs="宋体" w:hint="eastAsia"/>
                <w:b/>
                <w:bCs/>
                <w:sz w:val="21"/>
                <w:szCs w:val="18"/>
                <w:highlight w:val="none"/>
              </w:rPr>
              <w:t>相互混装或存在非正常一致</w:t>
            </w:r>
            <w:r>
              <w:rPr>
                <w:rFonts w:ascii="宋体" w:eastAsia="宋体" w:hAnsi="宋体" w:cs="宋体" w:hint="eastAsia"/>
                <w:sz w:val="21"/>
                <w:szCs w:val="18"/>
                <w:highlight w:val="none"/>
              </w:rPr>
              <w:t>。</w:t>
            </w:r>
          </w:p>
        </w:tc>
      </w:tr>
      <w:tr>
        <w:tblPrEx>
          <w:tblW w:w="0" w:type="auto"/>
          <w:tblInd w:w="0" w:type="dxa"/>
          <w:tblCellMar>
            <w:top w:w="0" w:type="dxa"/>
            <w:left w:w="108" w:type="dxa"/>
            <w:bottom w:w="0" w:type="dxa"/>
            <w:right w:w="108" w:type="dxa"/>
          </w:tblCellMar>
        </w:tblPrEx>
        <w:tc>
          <w:tcPr>
            <w:tcW w:w="711" w:type="dxa"/>
          </w:tcPr>
          <w:p>
            <w:pPr>
              <w:widowControl w:val="0"/>
              <w:spacing w:line="400" w:lineRule="exact"/>
              <w:jc w:val="center"/>
              <w:rPr>
                <w:rFonts w:ascii="宋体" w:eastAsia="宋体" w:hAnsi="宋体" w:cs="宋体" w:hint="eastAsia"/>
                <w:sz w:val="21"/>
                <w:szCs w:val="18"/>
                <w:highlight w:val="none"/>
              </w:rPr>
            </w:pPr>
            <w:r>
              <w:rPr>
                <w:rFonts w:ascii="宋体" w:eastAsia="宋体" w:hAnsi="宋体" w:cs="宋体" w:hint="eastAsia"/>
                <w:sz w:val="21"/>
                <w:szCs w:val="18"/>
                <w:highlight w:val="none"/>
              </w:rPr>
              <w:t>4</w:t>
            </w:r>
          </w:p>
        </w:tc>
        <w:tc>
          <w:tcPr>
            <w:tcW w:w="7811" w:type="dxa"/>
            <w:vAlign w:val="center"/>
          </w:tcPr>
          <w:p>
            <w:pPr>
              <w:widowControl w:val="0"/>
              <w:spacing w:line="400" w:lineRule="exact"/>
              <w:jc w:val="left"/>
              <w:rPr>
                <w:rFonts w:ascii="宋体" w:eastAsia="宋体" w:hAnsi="宋体" w:cs="宋体" w:hint="eastAsia"/>
                <w:sz w:val="21"/>
                <w:szCs w:val="18"/>
                <w:highlight w:val="none"/>
              </w:rPr>
            </w:pPr>
            <w:r>
              <w:rPr>
                <w:rFonts w:ascii="宋体" w:eastAsia="宋体" w:hAnsi="宋体" w:cs="宋体" w:hint="eastAsia"/>
                <w:sz w:val="21"/>
                <w:szCs w:val="18"/>
                <w:highlight w:val="none"/>
              </w:rPr>
              <w:t>与其他投标供应商的投标文件由</w:t>
            </w:r>
            <w:r>
              <w:rPr>
                <w:rFonts w:ascii="宋体" w:eastAsia="宋体" w:hAnsi="宋体" w:cs="宋体" w:hint="eastAsia"/>
                <w:b/>
                <w:bCs/>
                <w:sz w:val="21"/>
                <w:szCs w:val="18"/>
                <w:highlight w:val="none"/>
              </w:rPr>
              <w:t>同一单位或者同一人编制</w:t>
            </w:r>
            <w:r>
              <w:rPr>
                <w:rFonts w:ascii="宋体" w:eastAsia="宋体" w:hAnsi="宋体" w:cs="宋体" w:hint="eastAsia"/>
                <w:sz w:val="21"/>
                <w:szCs w:val="18"/>
                <w:highlight w:val="none"/>
              </w:rPr>
              <w:t>，或者使用</w:t>
            </w:r>
            <w:r>
              <w:rPr>
                <w:rFonts w:ascii="宋体" w:eastAsia="宋体" w:hAnsi="宋体" w:cs="宋体" w:hint="eastAsia"/>
                <w:b/>
                <w:bCs/>
                <w:sz w:val="21"/>
                <w:szCs w:val="18"/>
                <w:highlight w:val="none"/>
              </w:rPr>
              <w:t>同一设备编制</w:t>
            </w:r>
            <w:r>
              <w:rPr>
                <w:rFonts w:ascii="宋体" w:eastAsia="宋体" w:hAnsi="宋体" w:cs="宋体" w:hint="eastAsia"/>
                <w:sz w:val="21"/>
                <w:szCs w:val="18"/>
                <w:highlight w:val="none"/>
              </w:rPr>
              <w:t>（“文件制作机器码”“文件创建标识码”一致）。</w:t>
            </w:r>
          </w:p>
        </w:tc>
      </w:tr>
      <w:tr>
        <w:tblPrEx>
          <w:tblW w:w="0" w:type="auto"/>
          <w:tblInd w:w="0" w:type="dxa"/>
          <w:tblCellMar>
            <w:top w:w="0" w:type="dxa"/>
            <w:left w:w="108" w:type="dxa"/>
            <w:bottom w:w="0" w:type="dxa"/>
            <w:right w:w="108" w:type="dxa"/>
          </w:tblCellMar>
        </w:tblPrEx>
        <w:trPr>
          <w:trHeight w:val="90"/>
        </w:trPr>
        <w:tc>
          <w:tcPr>
            <w:tcW w:w="711" w:type="dxa"/>
          </w:tcPr>
          <w:p>
            <w:pPr>
              <w:widowControl w:val="0"/>
              <w:spacing w:line="400" w:lineRule="exact"/>
              <w:jc w:val="center"/>
              <w:rPr>
                <w:rFonts w:ascii="宋体" w:eastAsia="宋体" w:hAnsi="宋体" w:cs="宋体" w:hint="eastAsia"/>
                <w:sz w:val="21"/>
                <w:szCs w:val="18"/>
                <w:highlight w:val="none"/>
              </w:rPr>
            </w:pPr>
            <w:r>
              <w:rPr>
                <w:rFonts w:ascii="宋体" w:eastAsia="宋体" w:hAnsi="宋体" w:cs="宋体" w:hint="eastAsia"/>
                <w:sz w:val="21"/>
                <w:szCs w:val="18"/>
                <w:highlight w:val="none"/>
              </w:rPr>
              <w:t>5</w:t>
            </w:r>
          </w:p>
        </w:tc>
        <w:tc>
          <w:tcPr>
            <w:tcW w:w="7811" w:type="dxa"/>
            <w:vAlign w:val="center"/>
          </w:tcPr>
          <w:p>
            <w:pPr>
              <w:widowControl w:val="0"/>
              <w:spacing w:line="400" w:lineRule="exact"/>
              <w:jc w:val="left"/>
              <w:rPr>
                <w:rFonts w:ascii="宋体" w:eastAsia="宋体" w:hAnsi="宋体" w:cs="宋体" w:hint="eastAsia"/>
                <w:sz w:val="21"/>
                <w:szCs w:val="18"/>
                <w:highlight w:val="none"/>
              </w:rPr>
            </w:pPr>
            <w:r>
              <w:rPr>
                <w:rFonts w:ascii="宋体" w:eastAsia="宋体" w:hAnsi="宋体" w:cs="宋体" w:hint="eastAsia"/>
                <w:sz w:val="21"/>
                <w:szCs w:val="18"/>
                <w:highlight w:val="none"/>
              </w:rPr>
              <w:t>提供</w:t>
            </w:r>
            <w:r>
              <w:rPr>
                <w:rFonts w:ascii="宋体" w:eastAsia="宋体" w:hAnsi="宋体" w:cs="宋体" w:hint="eastAsia"/>
                <w:b/>
                <w:bCs/>
                <w:sz w:val="21"/>
                <w:szCs w:val="18"/>
                <w:highlight w:val="none"/>
              </w:rPr>
              <w:t>未经出具机构核实</w:t>
            </w:r>
            <w:r>
              <w:rPr>
                <w:rFonts w:ascii="宋体" w:eastAsia="宋体" w:hAnsi="宋体" w:cs="宋体" w:hint="eastAsia"/>
                <w:sz w:val="21"/>
                <w:szCs w:val="18"/>
                <w:highlight w:val="none"/>
              </w:rPr>
              <w:t>的虚假的检验检测报告、业绩材料、社保缴纳证明、学历学位证书、职称认证证书等材料。</w:t>
            </w:r>
          </w:p>
        </w:tc>
      </w:tr>
      <w:tr>
        <w:tblPrEx>
          <w:tblW w:w="0" w:type="auto"/>
          <w:tblInd w:w="0" w:type="dxa"/>
          <w:tblCellMar>
            <w:top w:w="0" w:type="dxa"/>
            <w:left w:w="108" w:type="dxa"/>
            <w:bottom w:w="0" w:type="dxa"/>
            <w:right w:w="108" w:type="dxa"/>
          </w:tblCellMar>
        </w:tblPrEx>
        <w:tc>
          <w:tcPr>
            <w:tcW w:w="711" w:type="dxa"/>
          </w:tcPr>
          <w:p>
            <w:pPr>
              <w:widowControl w:val="0"/>
              <w:spacing w:line="400" w:lineRule="exact"/>
              <w:jc w:val="center"/>
              <w:rPr>
                <w:rFonts w:ascii="宋体" w:eastAsia="宋体" w:hAnsi="宋体" w:cs="宋体" w:hint="eastAsia"/>
                <w:sz w:val="21"/>
                <w:szCs w:val="18"/>
                <w:highlight w:val="none"/>
              </w:rPr>
            </w:pPr>
            <w:r>
              <w:rPr>
                <w:rFonts w:ascii="宋体" w:eastAsia="宋体" w:hAnsi="宋体" w:cs="宋体" w:hint="eastAsia"/>
                <w:sz w:val="21"/>
                <w:szCs w:val="18"/>
                <w:highlight w:val="none"/>
              </w:rPr>
              <w:t>6</w:t>
            </w:r>
          </w:p>
        </w:tc>
        <w:tc>
          <w:tcPr>
            <w:tcW w:w="7811" w:type="dxa"/>
            <w:vAlign w:val="center"/>
          </w:tcPr>
          <w:p>
            <w:pPr>
              <w:widowControl w:val="0"/>
              <w:spacing w:line="400" w:lineRule="exact"/>
              <w:jc w:val="left"/>
              <w:rPr>
                <w:rFonts w:ascii="宋体" w:eastAsia="宋体" w:hAnsi="宋体" w:cs="宋体" w:hint="eastAsia"/>
                <w:sz w:val="21"/>
                <w:szCs w:val="18"/>
                <w:highlight w:val="none"/>
              </w:rPr>
            </w:pPr>
            <w:r>
              <w:rPr>
                <w:rFonts w:ascii="宋体" w:eastAsia="宋体" w:hAnsi="宋体" w:cs="宋体" w:hint="eastAsia"/>
                <w:sz w:val="21"/>
                <w:szCs w:val="18"/>
                <w:highlight w:val="none"/>
              </w:rPr>
              <w:t>擅自将投标密钥或电子营业执照出借他人使用或未妥善保管。</w:t>
            </w:r>
          </w:p>
        </w:tc>
      </w:tr>
    </w:tbl>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本公司在投标前已充分知悉以下情形为参与政府采购活动时的重大风险事项，并承诺已对下述风险提示事项重点排查，做到严谨、诚信、依法依规参与政府采购活动。</w:t>
      </w:r>
    </w:p>
    <w:p>
      <w:pPr>
        <w:keepNext w:val="0"/>
        <w:keepLines w:val="0"/>
        <w:pageBreakBefore w:val="0"/>
        <w:kinsoku/>
        <w:wordWrap/>
        <w:overflowPunct/>
        <w:topLinePunct w:val="0"/>
        <w:bidi w:val="0"/>
        <w:adjustRightInd/>
        <w:snapToGrid/>
        <w:spacing w:beforeAutospacing="0" w:afterAutospacing="0" w:line="240" w:lineRule="auto"/>
        <w:ind w:right="0" w:firstLine="480" w:rightChars="0" w:firstLineChars="200"/>
        <w:textAlignment w:val="auto"/>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一、本公司已充分知悉“隐瞒真实情况，提供虚假资料”的法定情形，相关情形包括但不限于：</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（一）通过转让或者租借等方式从其他单位获取资格或者资质证书投标的。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（二）由其他单位或者其他单位负责人在投标供应商编制的投标文件上加盖印章或者签字的。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（三）项目负责人或者主要技术人员不是本单位人员的。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（四）投标保证金不是从投标供应商基本账户转出的。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（五）其他隐瞒真实情况、提供虚假资料的行为。</w:t>
      </w:r>
    </w:p>
    <w:p>
      <w:pPr>
        <w:keepNext w:val="0"/>
        <w:keepLines w:val="0"/>
        <w:pageBreakBefore w:val="0"/>
        <w:kinsoku/>
        <w:wordWrap/>
        <w:overflowPunct/>
        <w:topLinePunct w:val="0"/>
        <w:bidi w:val="0"/>
        <w:adjustRightInd/>
        <w:snapToGrid/>
        <w:spacing w:beforeAutospacing="0" w:afterAutospacing="0" w:line="240" w:lineRule="auto"/>
        <w:ind w:right="0" w:firstLine="480" w:rightChars="0" w:firstLineChars="200"/>
        <w:textAlignment w:val="auto"/>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二、本公司已充分知悉“与其他采购参加人串通投标”的法定情形，相关情形包括但不限于：</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（一）投标供应商之间相互约定给予未中标的供应商利益补偿。</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（二）不同投标供应商的法定代表人、主要经营负责人、项目投标授权代表人、项目负责人、主要技术人员为同一人、属同一单位或者在同一单位缴纳社会保险。</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（三）不同投标供应商的投标文件由同一单位或者同一人编制，或者由同一人分阶段参与编制的。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（四）不同投标供应商的投标文件或部分投标文件相互混装。</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（五）不同投标供应商的投标文件内容存在非正常一致。</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（六）由同一单位工作人员为两家以上（含两家）供应商进行同一项投标活动的。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（七）不同投标人的投标报价呈规律性差异。</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（八）不同投标人的投标保证金从同一单位或者个人的账户转出。</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（九）主管部门依照法律、法规认定的其他情形。</w:t>
      </w:r>
    </w:p>
    <w:p>
      <w:pPr>
        <w:keepNext w:val="0"/>
        <w:keepLines w:val="0"/>
        <w:pageBreakBefore w:val="0"/>
        <w:kinsoku/>
        <w:wordWrap/>
        <w:overflowPunct/>
        <w:topLinePunct w:val="0"/>
        <w:bidi w:val="0"/>
        <w:adjustRightInd/>
        <w:snapToGrid/>
        <w:spacing w:beforeAutospacing="0" w:afterAutospacing="0" w:line="240" w:lineRule="auto"/>
        <w:ind w:right="0" w:firstLine="480" w:rightChars="0" w:firstLineChars="200"/>
        <w:textAlignment w:val="auto"/>
        <w:rPr>
          <w:rFonts w:ascii="宋体" w:eastAsia="宋体" w:hAnsi="宋体" w:cs="宋体" w:hint="eastAsia"/>
          <w:b/>
          <w:bCs/>
          <w:sz w:val="21"/>
          <w:szCs w:val="21"/>
          <w:highlight w:val="none"/>
        </w:rPr>
      </w:pPr>
      <w:r>
        <w:rPr>
          <w:rFonts w:ascii="宋体" w:eastAsia="宋体" w:hAnsi="宋体" w:cs="宋体" w:hint="eastAsia"/>
          <w:b/>
          <w:bCs/>
          <w:sz w:val="21"/>
          <w:szCs w:val="21"/>
          <w:highlight w:val="none"/>
        </w:rPr>
        <w:t>三、本公司已充分知悉下列情形所对应的法律风险，并在投标前已对相关风险事项进行排查。</w:t>
      </w:r>
    </w:p>
    <w:p>
      <w:pPr>
        <w:keepNext w:val="0"/>
        <w:keepLines w:val="0"/>
        <w:pageBreakBefore w:val="0"/>
        <w:kinsoku/>
        <w:wordWrap/>
        <w:overflowPunct/>
        <w:topLinePunct w:val="0"/>
        <w:autoSpaceDE w:val="0"/>
        <w:autoSpaceDN w:val="0"/>
        <w:bidi w:val="0"/>
        <w:adjustRightInd/>
        <w:snapToGrid/>
        <w:spacing w:beforeAutospacing="0" w:afterAutospacing="0" w:line="240" w:lineRule="auto"/>
        <w:ind w:right="0" w:firstLine="480" w:rightChars="0" w:firstLineChars="200"/>
        <w:textAlignment w:val="auto"/>
        <w:rPr>
          <w:rFonts w:ascii="宋体" w:eastAsia="宋体" w:hAnsi="宋体" w:cs="宋体" w:hint="eastAsia"/>
          <w:b/>
          <w:bCs/>
          <w:spacing w:val="-4"/>
          <w:kern w:val="0"/>
          <w:sz w:val="21"/>
          <w:szCs w:val="21"/>
          <w:highlight w:val="none"/>
        </w:rPr>
      </w:pPr>
      <w:r>
        <w:rPr>
          <w:rFonts w:ascii="宋体" w:eastAsia="宋体" w:hAnsi="宋体" w:cs="宋体" w:hint="eastAsia"/>
          <w:spacing w:val="-4"/>
          <w:kern w:val="0"/>
          <w:sz w:val="21"/>
          <w:szCs w:val="21"/>
          <w:highlight w:val="none"/>
        </w:rPr>
        <w:t>（一）对于从其他主体获取的投标资料，供应商应审慎核查，确保投标资料的真实性。</w:t>
      </w:r>
      <w:r>
        <w:rPr>
          <w:rFonts w:ascii="宋体" w:eastAsia="宋体" w:hAnsi="宋体" w:cs="宋体" w:hint="eastAsia"/>
          <w:b/>
          <w:bCs/>
          <w:spacing w:val="-4"/>
          <w:kern w:val="0"/>
          <w:sz w:val="21"/>
          <w:szCs w:val="21"/>
          <w:highlight w:val="none"/>
        </w:rPr>
        <w:t>如主管部门查实投标文件中存在虚假资料的，无论相关资料是否由第三方或本公司员工提供，均不影响主管部门对供应商存在“隐瞒真实情况，提供虚假资料”违法行为的认定。</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（二）对于涉及国家机关出具的公文、证件、证明材料等文件，一旦涉嫌虚假，经查实，主管部门将依法从严处理，并移送有关部门追究法律责任；涉嫌犯罪的，主管部门将一并移送司法机关追究法律责任。</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（三）对于涉及安全生产、特种作业、抢险救灾、防疫等政府采购项目，供应商实施提供虚假资料、串通投标等违法行为的，主管部门将依法从严处理。</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四）供应商应严格规范项目授权代表、员工参与招标投标的行为，加强对投标文件的审核。项目授权代表、员工编制、上传投标文件等行为违反政府采购法律法规或招标文件要求的，投标供应商应当依法承担相应法律责任。</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五）供应商对投标电子密钥负有妥善保管、及时变更和续期等主体责任。供应商使用电子密钥在深圳政府采购网站进行的活动，均具有法律效力，须承担相应的法律后果。供应商擅自将投标密钥出借他人使用所造成的法律后果，由供应商自行承担。</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（六）单位负责人为同一人或者存在直接控股、管理关系的不同供应商，不得参加同一合同项下的政府采购活动。相关情形如查实，依法作投标无效处理；涉嫌串通投标等违法行为的，主管部门将依法调查处理。</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b/>
          <w:bCs/>
          <w:kern w:val="0"/>
          <w:sz w:val="21"/>
          <w:szCs w:val="21"/>
          <w:highlight w:val="none"/>
          <w:lang w:val="en-US" w:eastAsia="zh-CN" w:bidi="ar-SA"/>
        </w:rPr>
      </w:pPr>
      <w:r>
        <w:rPr>
          <w:rFonts w:ascii="宋体" w:eastAsia="宋体" w:hAnsi="宋体" w:cs="宋体" w:hint="eastAsia"/>
          <w:b/>
          <w:bCs/>
          <w:kern w:val="0"/>
          <w:sz w:val="21"/>
          <w:szCs w:val="21"/>
          <w:highlight w:val="none"/>
          <w:lang w:val="en-US" w:eastAsia="zh-CN" w:bidi="ar-SA"/>
        </w:rPr>
        <w:t>四、本公司已充分知悉政府采购违法、违规行为的法律后果。</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b/>
          <w:bCs/>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经查实，若投标供应商存在政府采购违法、违规行为，主管部门将依据《深圳经济特区政府采购条例》第五十七条的规定，处以一至三年内禁止参与本市政府采购，并由主管部门记入供应商诚信档案，处采购金额千分之十以上千分之二十以下罚款；情节严重的，取消参与本市政府采购资格，处采购金额千分之二十以上千分之三十以下罚款，并由市场监管部门依法吊销营业执照。</w:t>
      </w:r>
      <w:r>
        <w:rPr>
          <w:rFonts w:ascii="宋体" w:eastAsia="宋体" w:hAnsi="宋体" w:cs="宋体" w:hint="eastAsia"/>
          <w:b/>
          <w:bCs/>
          <w:spacing w:val="-4"/>
          <w:kern w:val="0"/>
          <w:sz w:val="21"/>
          <w:szCs w:val="21"/>
          <w:highlight w:val="none"/>
          <w:lang w:val="en-US" w:eastAsia="zh-CN" w:bidi="ar-SA"/>
        </w:rPr>
        <w:t>以下文字请投标供应商抄写并确认：“本公司已仔细阅读《政府采购违法行为风险知悉确认书》，充分知悉违法行为的法律后果，并承诺将严谨、诚信、依法依规参与政府采购活动”。</w:t>
      </w:r>
    </w:p>
    <w:tbl>
      <w:tblPr>
        <w:tblStyle w:val="TableGrid"/>
        <w:tblW w:w="0" w:type="auto"/>
        <w:tblInd w:w="0" w:type="dxa"/>
        <w:tblBorders>
          <w:top w:val="nil"/>
          <w:left w:val="nil"/>
          <w:bottom w:val="single" w:sz="4" w:space="0" w:color="auto"/>
          <w:right w:val="nil"/>
          <w:insideH w:val="nil"/>
          <w:insideV w:val="nil"/>
        </w:tblBorders>
        <w:tblCellMar>
          <w:top w:w="0" w:type="dxa"/>
          <w:left w:w="108" w:type="dxa"/>
          <w:bottom w:w="0" w:type="dxa"/>
          <w:right w:w="108" w:type="dxa"/>
        </w:tblCellMar>
      </w:tblPr>
      <w:tblGrid>
        <w:gridCol w:w="8522"/>
      </w:tblGrid>
      <w:tr>
        <w:tblPrEx>
          <w:tblW w:w="0" w:type="auto"/>
          <w:tblInd w:w="0" w:type="dxa"/>
          <w:tblBorders>
            <w:top w:val="nil"/>
            <w:left w:val="nil"/>
            <w:bottom w:val="single" w:sz="4" w:space="0" w:color="auto"/>
            <w:right w:val="nil"/>
            <w:insideH w:val="nil"/>
            <w:insideV w:val="nil"/>
          </w:tblBorders>
          <w:tblCellMar>
            <w:top w:w="0" w:type="dxa"/>
            <w:left w:w="108" w:type="dxa"/>
            <w:bottom w:w="0" w:type="dxa"/>
            <w:right w:w="108" w:type="dxa"/>
          </w:tblCellMar>
        </w:tblPrEx>
        <w:trPr>
          <w:trHeight w:val="304"/>
        </w:trPr>
        <w:tc>
          <w:tcPr>
            <w:tcW w:w="8529" w:type="dxa"/>
            <w:tcBorders>
              <w:top w:val="nil"/>
              <w:left w:val="nil"/>
              <w:bottom w:val="single" w:sz="8" w:space="0" w:color="000000"/>
              <w:right w:val="nil"/>
            </w:tcBorders>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left"/>
              <w:textAlignment w:val="auto"/>
              <w:rPr>
                <w:rFonts w:ascii="宋体" w:eastAsia="宋体" w:hAnsi="宋体" w:cs="宋体" w:hint="eastAsia"/>
                <w:spacing w:val="-4"/>
                <w:kern w:val="0"/>
                <w:sz w:val="21"/>
                <w:szCs w:val="21"/>
                <w:highlight w:val="none"/>
                <w:vertAlign w:val="baseline"/>
                <w:lang w:val="en-US" w:eastAsia="zh-CN" w:bidi="ar-SA"/>
              </w:rPr>
            </w:pPr>
          </w:p>
        </w:tc>
      </w:tr>
      <w:tr>
        <w:tblPrEx>
          <w:tblW w:w="0" w:type="auto"/>
          <w:tblInd w:w="0" w:type="dxa"/>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left"/>
              <w:textAlignment w:val="auto"/>
              <w:rPr>
                <w:rFonts w:ascii="宋体" w:eastAsia="宋体" w:hAnsi="宋体" w:cs="宋体" w:hint="eastAsia"/>
                <w:spacing w:val="-4"/>
                <w:kern w:val="0"/>
                <w:sz w:val="21"/>
                <w:szCs w:val="21"/>
                <w:highlight w:val="none"/>
                <w:vertAlign w:val="baseline"/>
                <w:lang w:val="en-US" w:eastAsia="zh-CN" w:bidi="ar-SA"/>
              </w:rPr>
            </w:pPr>
          </w:p>
        </w:tc>
      </w:tr>
      <w:tr>
        <w:tblPrEx>
          <w:tblW w:w="0" w:type="auto"/>
          <w:tblInd w:w="0" w:type="dxa"/>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left"/>
              <w:textAlignment w:val="auto"/>
              <w:rPr>
                <w:rFonts w:ascii="宋体" w:eastAsia="宋体" w:hAnsi="宋体" w:cs="宋体" w:hint="eastAsia"/>
                <w:spacing w:val="-4"/>
                <w:kern w:val="0"/>
                <w:sz w:val="21"/>
                <w:szCs w:val="21"/>
                <w:highlight w:val="none"/>
                <w:vertAlign w:val="baseline"/>
                <w:lang w:val="en-US" w:eastAsia="zh-CN" w:bidi="ar-SA"/>
              </w:rPr>
            </w:pPr>
          </w:p>
        </w:tc>
      </w:tr>
      <w:tr>
        <w:tblPrEx>
          <w:tblW w:w="0" w:type="auto"/>
          <w:tblInd w:w="0" w:type="dxa"/>
          <w:tblCellMar>
            <w:top w:w="0" w:type="dxa"/>
            <w:left w:w="108" w:type="dxa"/>
            <w:bottom w:w="0" w:type="dxa"/>
            <w:right w:w="108" w:type="dxa"/>
          </w:tblCellMar>
        </w:tblPrEx>
        <w:tc>
          <w:tcPr>
            <w:tcW w:w="8529" w:type="dxa"/>
            <w:tcBorders>
              <w:top w:val="single" w:sz="8" w:space="0" w:color="000000"/>
              <w:left w:val="nil"/>
              <w:bottom w:val="single" w:sz="8" w:space="0" w:color="auto"/>
              <w:right w:val="nil"/>
            </w:tcBorders>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left"/>
              <w:textAlignment w:val="auto"/>
              <w:rPr>
                <w:rFonts w:ascii="宋体" w:eastAsia="宋体" w:hAnsi="宋体" w:cs="宋体" w:hint="eastAsia"/>
                <w:spacing w:val="-4"/>
                <w:kern w:val="0"/>
                <w:sz w:val="21"/>
                <w:szCs w:val="21"/>
                <w:highlight w:val="none"/>
                <w:vertAlign w:val="baseline"/>
                <w:lang w:val="en-US" w:eastAsia="zh-CN" w:bidi="ar-SA"/>
              </w:rPr>
            </w:pPr>
          </w:p>
        </w:tc>
      </w:tr>
    </w:tbl>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b/>
          <w:bCs/>
          <w:color w:val="FF0000"/>
          <w:spacing w:val="-4"/>
          <w:kern w:val="0"/>
          <w:sz w:val="21"/>
          <w:szCs w:val="21"/>
          <w:highlight w:val="none"/>
          <w:lang w:val="en-US" w:eastAsia="zh-CN" w:bidi="ar-SA"/>
        </w:rPr>
      </w:pPr>
      <w:r>
        <w:rPr>
          <w:rFonts w:ascii="宋体" w:eastAsia="宋体" w:hAnsi="宋体" w:cs="宋体" w:hint="eastAsia"/>
          <w:b/>
          <w:bCs/>
          <w:color w:val="FF0000"/>
          <w:spacing w:val="-4"/>
          <w:kern w:val="0"/>
          <w:sz w:val="21"/>
          <w:szCs w:val="21"/>
          <w:highlight w:val="none"/>
          <w:lang w:val="en-US" w:eastAsia="zh-CN" w:bidi="ar-SA"/>
        </w:rPr>
        <w:t>注：1.政府采购违法行为风险知悉确认书不作为资格性审查及符合性审查条件。</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color w:val="FF0000"/>
          <w:spacing w:val="-4"/>
          <w:kern w:val="0"/>
          <w:sz w:val="21"/>
          <w:szCs w:val="21"/>
          <w:highlight w:val="none"/>
          <w:lang w:val="en-US" w:eastAsia="zh-CN" w:bidi="ar-SA"/>
        </w:rPr>
      </w:pPr>
      <w:r>
        <w:rPr>
          <w:rFonts w:ascii="宋体" w:eastAsia="宋体" w:hAnsi="宋体" w:cs="宋体" w:hint="eastAsia"/>
          <w:b/>
          <w:bCs/>
          <w:color w:val="FF0000"/>
          <w:spacing w:val="-4"/>
          <w:kern w:val="0"/>
          <w:sz w:val="21"/>
          <w:szCs w:val="21"/>
          <w:highlight w:val="none"/>
          <w:lang w:val="en-US" w:eastAsia="zh-CN" w:bidi="ar-SA"/>
        </w:rPr>
        <w:t>2.投标供应商负责人或投标授权代表签字并加盖单位公章后，扫描上传至投标文件一并提交。</w:t>
      </w:r>
    </w:p>
    <w:p>
      <w:pPr>
        <w:keepNext w:val="0"/>
        <w:keepLines w:val="0"/>
        <w:pageBreakBefore w:val="0"/>
        <w:widowControl w:val="0"/>
        <w:kinsoku/>
        <w:wordWrap w:val="0"/>
        <w:overflowPunct/>
        <w:topLinePunct w:val="0"/>
        <w:autoSpaceDE w:val="0"/>
        <w:autoSpaceDN w:val="0"/>
        <w:bidi w:val="0"/>
        <w:adjustRightInd/>
        <w:snapToGrid/>
        <w:spacing w:beforeAutospacing="0" w:afterAutospacing="0" w:line="240" w:lineRule="auto"/>
        <w:ind w:right="0" w:firstLine="480" w:rightChars="0" w:firstLineChars="200"/>
        <w:jc w:val="righ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 xml:space="preserve">负责人/投标授权代表签名：     </w:t>
      </w:r>
    </w:p>
    <w:p>
      <w:pPr>
        <w:keepNext w:val="0"/>
        <w:keepLines w:val="0"/>
        <w:pageBreakBefore w:val="0"/>
        <w:widowControl w:val="0"/>
        <w:kinsoku/>
        <w:wordWrap w:val="0"/>
        <w:overflowPunct/>
        <w:topLinePunct w:val="0"/>
        <w:autoSpaceDE w:val="0"/>
        <w:autoSpaceDN w:val="0"/>
        <w:bidi w:val="0"/>
        <w:adjustRightInd/>
        <w:snapToGrid/>
        <w:spacing w:beforeAutospacing="0" w:afterAutospacing="0" w:line="240" w:lineRule="auto"/>
        <w:ind w:right="0" w:firstLine="480" w:rightChars="0" w:firstLineChars="200"/>
        <w:jc w:val="right"/>
        <w:textAlignment w:val="auto"/>
        <w:rPr>
          <w:rFonts w:ascii="宋体" w:eastAsia="宋体" w:hAnsi="宋体" w:cs="宋体" w:hint="eastAsia"/>
          <w:spacing w:val="-4"/>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 xml:space="preserve">知悉人（公章）：     </w:t>
      </w:r>
    </w:p>
    <w:p>
      <w:pPr>
        <w:keepNext w:val="0"/>
        <w:keepLines w:val="0"/>
        <w:pageBreakBefore w:val="0"/>
        <w:widowControl w:val="0"/>
        <w:kinsoku/>
        <w:wordWrap w:val="0"/>
        <w:overflowPunct/>
        <w:topLinePunct w:val="0"/>
        <w:autoSpaceDE w:val="0"/>
        <w:autoSpaceDN w:val="0"/>
        <w:bidi w:val="0"/>
        <w:adjustRightInd/>
        <w:snapToGrid/>
        <w:spacing w:beforeAutospacing="0" w:afterAutospacing="0" w:line="240" w:lineRule="auto"/>
        <w:ind w:right="0" w:firstLine="480" w:rightChars="0" w:firstLineChars="200"/>
        <w:jc w:val="right"/>
        <w:textAlignment w:val="auto"/>
        <w:rPr>
          <w:rFonts w:ascii="宋体" w:eastAsia="宋体" w:hAnsi="宋体" w:cs="宋体" w:hint="eastAsia"/>
          <w:kern w:val="0"/>
          <w:sz w:val="21"/>
          <w:szCs w:val="21"/>
          <w:highlight w:val="none"/>
          <w:lang w:val="en-US" w:eastAsia="zh-CN" w:bidi="ar-SA"/>
        </w:rPr>
      </w:pPr>
      <w:r>
        <w:rPr>
          <w:rFonts w:ascii="宋体" w:eastAsia="宋体" w:hAnsi="宋体" w:cs="宋体" w:hint="eastAsia"/>
          <w:spacing w:val="-4"/>
          <w:kern w:val="0"/>
          <w:sz w:val="21"/>
          <w:szCs w:val="21"/>
          <w:highlight w:val="none"/>
          <w:lang w:val="en-US" w:eastAsia="zh-CN" w:bidi="ar-SA"/>
        </w:rPr>
        <w:t xml:space="preserve">日期：     </w:t>
      </w:r>
    </w:p>
    <w:p>
      <w:pPr>
        <w:widowControl w:val="0"/>
        <w:spacing w:line="360" w:lineRule="auto"/>
        <w:jc w:val="both"/>
        <w:rPr>
          <w:rFonts w:ascii="Times New Roman" w:eastAsia="宋体" w:hAnsi="Times New Roman" w:cs="Times New Roman" w:hint="eastAsia"/>
          <w:b/>
          <w:bCs/>
          <w:kern w:val="2"/>
          <w:sz w:val="24"/>
          <w:szCs w:val="24"/>
          <w:highlight w:val="none"/>
          <w:lang w:val="en-US" w:eastAsia="zh-CN" w:bidi="ar-SA"/>
        </w:rPr>
      </w:pPr>
    </w:p>
    <w:p>
      <w:pPr>
        <w:rPr>
          <w:rFonts w:ascii="黑体" w:eastAsia="黑体" w:hAnsi="宋体" w:cs="Times New Roman" w:hint="eastAsia"/>
          <w:sz w:val="24"/>
          <w:szCs w:val="20"/>
          <w:highlight w:val="none"/>
          <w:lang w:eastAsia="zh-CN"/>
        </w:rPr>
      </w:pPr>
    </w:p>
    <w:p>
      <w:pPr>
        <w:rPr>
          <w:rFonts w:asciiTheme="majorEastAsia" w:eastAsiaTheme="majorEastAsia" w:hAnsiTheme="majorEastAsia" w:cstheme="majorEastAsia" w:hint="eastAsia"/>
          <w:b/>
          <w:bCs/>
          <w:highlight w:val="none"/>
        </w:rPr>
      </w:pPr>
      <w:r>
        <w:rPr>
          <w:rFonts w:asciiTheme="majorEastAsia" w:eastAsiaTheme="majorEastAsia" w:hAnsiTheme="majorEastAsia" w:cstheme="majorEastAsia" w:hint="eastAsia"/>
          <w:b/>
          <w:bCs/>
          <w:sz w:val="24"/>
          <w:szCs w:val="20"/>
          <w:highlight w:val="none"/>
          <w:lang w:eastAsia="zh-CN"/>
        </w:rPr>
        <w:t>（</w:t>
      </w:r>
      <w:r>
        <w:rPr>
          <w:rFonts w:asciiTheme="majorEastAsia" w:eastAsiaTheme="majorEastAsia" w:hAnsiTheme="majorEastAsia" w:cstheme="majorEastAsia" w:hint="eastAsia"/>
          <w:b/>
          <w:bCs/>
          <w:sz w:val="24"/>
          <w:szCs w:val="20"/>
          <w:highlight w:val="none"/>
          <w:lang w:val="en-US" w:eastAsia="zh-CN"/>
        </w:rPr>
        <w:t>2</w:t>
      </w:r>
      <w:r>
        <w:rPr>
          <w:rFonts w:asciiTheme="majorEastAsia" w:eastAsiaTheme="majorEastAsia" w:hAnsiTheme="majorEastAsia" w:cstheme="majorEastAsia" w:hint="eastAsia"/>
          <w:b/>
          <w:bCs/>
          <w:sz w:val="24"/>
          <w:szCs w:val="20"/>
          <w:highlight w:val="none"/>
          <w:lang w:eastAsia="zh-CN"/>
        </w:rPr>
        <w:t>）</w:t>
      </w:r>
      <w:r>
        <w:rPr>
          <w:rFonts w:asciiTheme="majorEastAsia" w:eastAsiaTheme="majorEastAsia" w:hAnsiTheme="majorEastAsia" w:cstheme="majorEastAsia" w:hint="eastAsia"/>
          <w:b/>
          <w:bCs/>
          <w:sz w:val="24"/>
          <w:szCs w:val="20"/>
          <w:highlight w:val="none"/>
        </w:rPr>
        <w:t>投标人认为需要加以说明的其他内容</w:t>
      </w:r>
    </w:p>
    <w:p>
      <w:pPr>
        <w:pStyle w:val="NormalIndent"/>
        <w:rPr>
          <w:highlight w:val="none"/>
        </w:rPr>
      </w:pPr>
    </w:p>
    <w:p>
      <w:pPr>
        <w:rPr>
          <w:highlight w:val="none"/>
        </w:rPr>
      </w:pPr>
    </w:p>
    <w:p>
      <w:pPr>
        <w:pStyle w:val="NormalIndent"/>
        <w:rPr>
          <w:highlight w:val="none"/>
        </w:rPr>
      </w:pPr>
    </w:p>
    <w:p>
      <w:pPr>
        <w:rPr>
          <w:highlight w:val="none"/>
        </w:rPr>
      </w:pPr>
    </w:p>
    <w:p>
      <w:pPr>
        <w:pStyle w:val="NormalIndent"/>
        <w:rPr>
          <w:highlight w:val="none"/>
        </w:rPr>
      </w:pPr>
    </w:p>
    <w:p>
      <w:pPr>
        <w:pStyle w:val="Heading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br w:type="page"/>
      </w:r>
      <w:r>
        <w:rPr>
          <w:rFonts w:hint="eastAsia"/>
          <w:color w:val="000000" w:themeColor="text1"/>
          <w:highlight w:val="none"/>
          <w14:textFill>
            <w14:solidFill>
              <w14:schemeClr w14:val="tx1"/>
            </w14:solidFill>
          </w14:textFill>
        </w:rPr>
        <w:t>第五章  合同条款及格式</w:t>
      </w:r>
    </w:p>
    <w:p>
      <w:pPr>
        <w:spacing w:line="360" w:lineRule="auto"/>
        <w:jc w:val="center"/>
        <w:rPr>
          <w:rFonts w:ascii="宋体" w:eastAsia="黑体" w:hAnsi="宋体"/>
          <w:bCs/>
          <w:kern w:val="44"/>
          <w:sz w:val="28"/>
          <w:szCs w:val="44"/>
          <w:highlight w:val="none"/>
        </w:rPr>
      </w:pPr>
      <w:bookmarkStart w:id="46" w:name="_Hlk72574405"/>
      <w:r>
        <w:rPr>
          <w:rFonts w:ascii="宋体" w:eastAsia="宋体" w:hAnsi="宋体" w:cs="宋体" w:hint="eastAsia"/>
          <w:b/>
          <w:highlight w:val="none"/>
        </w:rPr>
        <w:t>（仅供参考，具体以项目需求及采购结果为准）</w:t>
      </w:r>
      <w:bookmarkEnd w:id="46"/>
    </w:p>
    <w:p>
      <w:pPr>
        <w:snapToGrid w:val="0"/>
        <w:spacing w:line="300" w:lineRule="auto"/>
        <w:rPr>
          <w:rFonts w:ascii="宋体" w:eastAsia="宋体" w:hAnsi="宋体"/>
          <w:highlight w:val="none"/>
          <w:u w:val="single"/>
        </w:rPr>
      </w:pPr>
      <w:r>
        <w:rPr>
          <w:rFonts w:ascii="宋体" w:eastAsia="宋体" w:hAnsi="宋体" w:hint="eastAsia"/>
          <w:highlight w:val="none"/>
        </w:rPr>
        <w:t>甲方：</w:t>
      </w:r>
      <w:r>
        <w:rPr>
          <w:rFonts w:ascii="宋体" w:eastAsia="宋体" w:hAnsi="宋体" w:hint="eastAsia"/>
          <w:highlight w:val="none"/>
          <w:u w:val="single"/>
        </w:rPr>
        <w:t xml:space="preserve">                </w:t>
      </w:r>
      <w:r>
        <w:rPr>
          <w:rFonts w:ascii="宋体" w:eastAsia="宋体" w:hAnsi="宋体" w:hint="eastAsia"/>
          <w:highlight w:val="none"/>
          <w:u w:val="single"/>
        </w:rPr>
        <w:tab/>
      </w:r>
      <w:r>
        <w:rPr>
          <w:rFonts w:ascii="宋体" w:eastAsia="宋体" w:hAnsi="宋体" w:hint="eastAsia"/>
          <w:highlight w:val="none"/>
          <w:u w:val="single"/>
        </w:rPr>
        <w:tab/>
      </w:r>
      <w:r>
        <w:rPr>
          <w:rFonts w:ascii="宋体" w:eastAsia="宋体" w:hAnsi="宋体" w:hint="eastAsia"/>
          <w:highlight w:val="none"/>
          <w:u w:val="single"/>
        </w:rPr>
        <w:t xml:space="preserve"> </w:t>
      </w:r>
      <w:r>
        <w:rPr>
          <w:rFonts w:ascii="宋体" w:eastAsia="宋体" w:hAnsi="宋体" w:hint="eastAsia"/>
          <w:highlight w:val="none"/>
        </w:rPr>
        <w:t xml:space="preserve">   乙方: </w:t>
      </w:r>
      <w:r>
        <w:rPr>
          <w:rFonts w:ascii="宋体" w:eastAsia="宋体" w:hAnsi="宋体" w:hint="eastAsia"/>
          <w:highlight w:val="none"/>
          <w:u w:val="single"/>
        </w:rPr>
        <w:t xml:space="preserve">   </w:t>
      </w:r>
      <w:r>
        <w:rPr>
          <w:rFonts w:ascii="宋体" w:eastAsia="宋体" w:hAnsi="宋体" w:hint="eastAsia"/>
          <w:highlight w:val="none"/>
          <w:u w:val="single"/>
        </w:rPr>
        <w:tab/>
      </w:r>
      <w:r>
        <w:rPr>
          <w:rFonts w:ascii="宋体" w:eastAsia="宋体" w:hAnsi="宋体" w:hint="eastAsia"/>
          <w:highlight w:val="none"/>
          <w:u w:val="single"/>
        </w:rPr>
        <w:tab/>
      </w:r>
      <w:r>
        <w:rPr>
          <w:rFonts w:ascii="宋体" w:eastAsia="宋体" w:hAnsi="宋体" w:hint="eastAsia"/>
          <w:highlight w:val="none"/>
          <w:u w:val="single"/>
        </w:rPr>
        <w:t xml:space="preserve">   </w:t>
      </w:r>
      <w:r>
        <w:rPr>
          <w:rFonts w:ascii="宋体" w:eastAsia="宋体" w:hAnsi="宋体" w:hint="eastAsia"/>
          <w:highlight w:val="none"/>
          <w:u w:val="single"/>
        </w:rPr>
        <w:tab/>
      </w:r>
      <w:r>
        <w:rPr>
          <w:rFonts w:ascii="宋体" w:eastAsia="宋体" w:hAnsi="宋体" w:hint="eastAsia"/>
          <w:highlight w:val="none"/>
          <w:u w:val="single"/>
        </w:rPr>
        <w:t xml:space="preserve">   </w:t>
      </w:r>
      <w:r>
        <w:rPr>
          <w:rFonts w:ascii="宋体" w:eastAsia="宋体" w:hAnsi="宋体" w:hint="eastAsia"/>
          <w:highlight w:val="none"/>
          <w:u w:val="single"/>
        </w:rPr>
        <w:tab/>
      </w:r>
      <w:r>
        <w:rPr>
          <w:rFonts w:ascii="宋体" w:eastAsia="宋体" w:hAnsi="宋体" w:hint="eastAsia"/>
          <w:highlight w:val="none"/>
          <w:u w:val="single"/>
        </w:rPr>
        <w:t xml:space="preserve">  </w:t>
      </w:r>
    </w:p>
    <w:p>
      <w:pPr>
        <w:snapToGrid w:val="0"/>
        <w:spacing w:line="300" w:lineRule="auto"/>
        <w:rPr>
          <w:rFonts w:ascii="宋体" w:eastAsia="宋体" w:hAnsi="宋体"/>
          <w:highlight w:val="none"/>
        </w:rPr>
      </w:pPr>
      <w:r>
        <w:rPr>
          <w:rFonts w:ascii="宋体" w:eastAsia="宋体" w:hAnsi="宋体" w:hint="eastAsia"/>
          <w:highlight w:val="none"/>
        </w:rPr>
        <w:t>住所地：</w:t>
      </w:r>
      <w:r>
        <w:rPr>
          <w:rFonts w:ascii="宋体" w:eastAsia="宋体" w:hAnsi="宋体" w:hint="eastAsia"/>
          <w:highlight w:val="none"/>
          <w:u w:val="single"/>
        </w:rPr>
        <w:t xml:space="preserve">                    </w:t>
      </w:r>
      <w:r>
        <w:rPr>
          <w:rFonts w:ascii="宋体" w:eastAsia="宋体" w:hAnsi="宋体" w:hint="eastAsia"/>
          <w:highlight w:val="none"/>
        </w:rPr>
        <w:t xml:space="preserve">   住所地：</w:t>
      </w:r>
      <w:r>
        <w:rPr>
          <w:rFonts w:ascii="宋体" w:eastAsia="宋体" w:hAnsi="宋体" w:hint="eastAsia"/>
          <w:highlight w:val="none"/>
          <w:u w:val="single"/>
        </w:rPr>
        <w:t xml:space="preserve">                    </w:t>
      </w:r>
    </w:p>
    <w:p>
      <w:pPr>
        <w:snapToGrid w:val="0"/>
        <w:spacing w:line="300" w:lineRule="auto"/>
        <w:rPr>
          <w:rFonts w:ascii="宋体" w:eastAsia="宋体" w:hAnsi="宋体"/>
          <w:highlight w:val="none"/>
        </w:rPr>
      </w:pPr>
      <w:r>
        <w:rPr>
          <w:rFonts w:ascii="宋体" w:eastAsia="宋体" w:hAnsi="宋体" w:hint="eastAsia"/>
          <w:highlight w:val="none"/>
        </w:rPr>
        <w:t>法定代表人：</w:t>
      </w:r>
      <w:r>
        <w:rPr>
          <w:rFonts w:ascii="宋体" w:eastAsia="宋体" w:hAnsi="宋体" w:hint="eastAsia"/>
          <w:highlight w:val="none"/>
          <w:u w:val="single"/>
        </w:rPr>
        <w:t xml:space="preserve">                </w:t>
      </w:r>
      <w:r>
        <w:rPr>
          <w:rFonts w:ascii="宋体" w:eastAsia="宋体" w:hAnsi="宋体" w:hint="eastAsia"/>
          <w:highlight w:val="none"/>
        </w:rPr>
        <w:t xml:space="preserve">   法定代表人：</w:t>
      </w:r>
      <w:r>
        <w:rPr>
          <w:rFonts w:ascii="宋体" w:eastAsia="宋体" w:hAnsi="宋体" w:hint="eastAsia"/>
          <w:highlight w:val="none"/>
          <w:u w:val="single"/>
        </w:rPr>
        <w:t xml:space="preserve">                </w:t>
      </w:r>
    </w:p>
    <w:p>
      <w:pPr>
        <w:snapToGrid w:val="0"/>
        <w:spacing w:line="300" w:lineRule="auto"/>
        <w:rPr>
          <w:rFonts w:ascii="宋体" w:eastAsia="宋体" w:hAnsi="宋体"/>
          <w:highlight w:val="none"/>
        </w:rPr>
      </w:pPr>
      <w:r>
        <w:rPr>
          <w:rFonts w:ascii="宋体" w:eastAsia="宋体" w:hAnsi="宋体" w:hint="eastAsia"/>
          <w:highlight w:val="none"/>
        </w:rPr>
        <w:t>联系人：</w:t>
      </w:r>
      <w:r>
        <w:rPr>
          <w:rFonts w:ascii="宋体" w:eastAsia="宋体" w:hAnsi="宋体" w:hint="eastAsia"/>
          <w:highlight w:val="none"/>
          <w:u w:val="single"/>
        </w:rPr>
        <w:tab/>
      </w:r>
      <w:r>
        <w:rPr>
          <w:rFonts w:ascii="宋体" w:eastAsia="宋体" w:hAnsi="宋体" w:hint="eastAsia"/>
          <w:highlight w:val="none"/>
          <w:u w:val="single"/>
        </w:rPr>
        <w:tab/>
      </w:r>
      <w:r>
        <w:rPr>
          <w:rFonts w:ascii="宋体" w:eastAsia="宋体" w:hAnsi="宋体" w:hint="eastAsia"/>
          <w:highlight w:val="none"/>
          <w:u w:val="single"/>
        </w:rPr>
        <w:t xml:space="preserve">                </w:t>
      </w:r>
      <w:r>
        <w:rPr>
          <w:rFonts w:ascii="宋体" w:eastAsia="宋体" w:hAnsi="宋体" w:hint="eastAsia"/>
          <w:highlight w:val="none"/>
        </w:rPr>
        <w:t xml:space="preserve">   联系人：</w:t>
      </w:r>
      <w:r>
        <w:rPr>
          <w:rFonts w:ascii="宋体" w:eastAsia="宋体" w:hAnsi="宋体" w:hint="eastAsia"/>
          <w:highlight w:val="none"/>
          <w:u w:val="single"/>
        </w:rPr>
        <w:t xml:space="preserve">                    </w:t>
      </w:r>
    </w:p>
    <w:p>
      <w:pPr>
        <w:snapToGrid w:val="0"/>
        <w:spacing w:line="300" w:lineRule="auto"/>
        <w:rPr>
          <w:rFonts w:ascii="宋体" w:eastAsia="宋体" w:hAnsi="宋体"/>
          <w:highlight w:val="none"/>
        </w:rPr>
      </w:pPr>
      <w:r>
        <w:rPr>
          <w:rFonts w:ascii="宋体" w:eastAsia="宋体" w:hAnsi="宋体" w:hint="eastAsia"/>
          <w:highlight w:val="none"/>
        </w:rPr>
        <w:t>电话：</w:t>
      </w:r>
      <w:r>
        <w:rPr>
          <w:rFonts w:ascii="宋体" w:eastAsia="宋体" w:hAnsi="宋体" w:hint="eastAsia"/>
          <w:highlight w:val="none"/>
          <w:u w:val="single"/>
        </w:rPr>
        <w:tab/>
      </w:r>
      <w:r>
        <w:rPr>
          <w:rFonts w:ascii="宋体" w:eastAsia="宋体" w:hAnsi="宋体" w:hint="eastAsia"/>
          <w:highlight w:val="none"/>
          <w:u w:val="single"/>
        </w:rPr>
        <w:tab/>
      </w:r>
      <w:r>
        <w:rPr>
          <w:rFonts w:ascii="宋体" w:eastAsia="宋体" w:hAnsi="宋体" w:hint="eastAsia"/>
          <w:highlight w:val="none"/>
          <w:u w:val="single"/>
        </w:rPr>
        <w:t xml:space="preserve">                </w:t>
      </w:r>
      <w:r>
        <w:rPr>
          <w:rFonts w:ascii="宋体" w:eastAsia="宋体" w:hAnsi="宋体" w:hint="eastAsia"/>
          <w:highlight w:val="none"/>
        </w:rPr>
        <w:t xml:space="preserve">   电话：</w:t>
      </w:r>
      <w:r>
        <w:rPr>
          <w:rFonts w:ascii="宋体" w:eastAsia="宋体" w:hAnsi="宋体" w:hint="eastAsia"/>
          <w:highlight w:val="none"/>
          <w:u w:val="single"/>
        </w:rPr>
        <w:t xml:space="preserve">                      </w:t>
      </w:r>
    </w:p>
    <w:p>
      <w:pPr>
        <w:snapToGrid w:val="0"/>
        <w:spacing w:line="300" w:lineRule="auto"/>
        <w:rPr>
          <w:rFonts w:ascii="宋体" w:eastAsia="宋体" w:hAnsi="宋体"/>
          <w:highlight w:val="none"/>
        </w:rPr>
      </w:pPr>
      <w:r>
        <w:rPr>
          <w:rFonts w:ascii="宋体" w:eastAsia="宋体" w:hAnsi="宋体" w:hint="eastAsia"/>
          <w:highlight w:val="none"/>
        </w:rPr>
        <w:t>传真：</w:t>
      </w:r>
      <w:r>
        <w:rPr>
          <w:rFonts w:ascii="宋体" w:eastAsia="宋体" w:hAnsi="宋体" w:hint="eastAsia"/>
          <w:highlight w:val="none"/>
          <w:u w:val="single"/>
        </w:rPr>
        <w:t xml:space="preserve">                      </w:t>
      </w:r>
      <w:r>
        <w:rPr>
          <w:rFonts w:ascii="宋体" w:eastAsia="宋体" w:hAnsi="宋体" w:hint="eastAsia"/>
          <w:highlight w:val="none"/>
        </w:rPr>
        <w:t xml:space="preserve">   传真：</w:t>
      </w:r>
      <w:r>
        <w:rPr>
          <w:rFonts w:ascii="宋体" w:eastAsia="宋体" w:hAnsi="宋体" w:hint="eastAsia"/>
          <w:highlight w:val="none"/>
          <w:u w:val="single"/>
        </w:rPr>
        <w:t xml:space="preserve">                      </w:t>
      </w:r>
    </w:p>
    <w:p>
      <w:pPr>
        <w:snapToGrid w:val="0"/>
        <w:spacing w:line="360" w:lineRule="auto"/>
        <w:rPr>
          <w:rFonts w:ascii="宋体" w:eastAsia="宋体" w:hAnsi="宋体"/>
          <w:highlight w:val="none"/>
        </w:rPr>
      </w:pPr>
    </w:p>
    <w:p>
      <w:pPr>
        <w:tabs>
          <w:tab w:val="left" w:pos="0"/>
        </w:tabs>
        <w:snapToGrid w:val="0"/>
        <w:spacing w:line="360" w:lineRule="auto"/>
        <w:rPr>
          <w:rFonts w:ascii="宋体" w:eastAsia="宋体" w:hAnsi="宋体"/>
          <w:b/>
          <w:highlight w:val="none"/>
        </w:rPr>
      </w:pPr>
      <w:r>
        <w:rPr>
          <w:rFonts w:ascii="宋体" w:eastAsia="宋体" w:hAnsi="宋体" w:hint="eastAsia"/>
          <w:b/>
          <w:highlight w:val="none"/>
        </w:rPr>
        <w:t>第一条 项目基本情况</w:t>
      </w:r>
    </w:p>
    <w:p>
      <w:pPr>
        <w:tabs>
          <w:tab w:val="left" w:pos="0"/>
        </w:tabs>
        <w:snapToGrid w:val="0"/>
        <w:spacing w:line="300" w:lineRule="auto"/>
        <w:ind w:firstLine="555"/>
        <w:rPr>
          <w:rFonts w:ascii="宋体" w:eastAsia="宋体" w:hAnsi="宋体"/>
          <w:highlight w:val="none"/>
        </w:rPr>
      </w:pPr>
      <w:r>
        <w:rPr>
          <w:rFonts w:ascii="宋体" w:eastAsia="宋体" w:hAnsi="宋体" w:hint="eastAsia"/>
          <w:highlight w:val="none"/>
        </w:rPr>
        <w:t>根据友和保险经纪有限公司</w:t>
      </w:r>
      <w:r>
        <w:rPr>
          <w:rFonts w:ascii="宋体" w:eastAsia="宋体" w:hAnsi="宋体" w:hint="eastAsia"/>
          <w:highlight w:val="none"/>
          <w:u w:val="single"/>
        </w:rPr>
        <w:t xml:space="preserve">      </w:t>
      </w:r>
      <w:r>
        <w:rPr>
          <w:rFonts w:ascii="宋体" w:eastAsia="宋体" w:hAnsi="宋体"/>
          <w:highlight w:val="none"/>
          <w:u w:val="single"/>
        </w:rPr>
        <w:t xml:space="preserve">    </w:t>
      </w:r>
      <w:r>
        <w:rPr>
          <w:rFonts w:ascii="宋体" w:eastAsia="宋体" w:hAnsi="宋体" w:hint="eastAsia"/>
          <w:highlight w:val="none"/>
          <w:u w:val="single"/>
        </w:rPr>
        <w:t xml:space="preserve">  </w:t>
      </w:r>
      <w:r>
        <w:rPr>
          <w:rFonts w:ascii="宋体" w:eastAsia="宋体" w:hAnsi="宋体" w:hint="eastAsia"/>
          <w:highlight w:val="none"/>
        </w:rPr>
        <w:t>项目（招标编号：</w:t>
      </w:r>
      <w:r>
        <w:rPr>
          <w:rFonts w:ascii="宋体" w:eastAsia="宋体" w:hAnsi="宋体"/>
          <w:highlight w:val="none"/>
          <w:u w:val="single"/>
        </w:rPr>
        <w:t xml:space="preserve">   </w:t>
      </w:r>
      <w:r>
        <w:rPr>
          <w:rFonts w:ascii="宋体" w:eastAsia="宋体" w:hAnsi="宋体" w:hint="eastAsia"/>
          <w:highlight w:val="none"/>
          <w:u w:val="single"/>
        </w:rPr>
        <w:t xml:space="preserve">  </w:t>
      </w:r>
      <w:r>
        <w:rPr>
          <w:rFonts w:ascii="宋体" w:eastAsia="宋体" w:hAnsi="宋体"/>
          <w:highlight w:val="none"/>
          <w:u w:val="single"/>
        </w:rPr>
        <w:t xml:space="preserve"> </w:t>
      </w:r>
      <w:r>
        <w:rPr>
          <w:rFonts w:ascii="宋体" w:eastAsia="宋体" w:hAnsi="宋体" w:hint="eastAsia"/>
          <w:highlight w:val="none"/>
          <w:u w:val="single"/>
        </w:rPr>
        <w:t xml:space="preserve"> </w:t>
      </w:r>
      <w:r>
        <w:rPr>
          <w:rFonts w:ascii="宋体" w:eastAsia="宋体" w:hAnsi="宋体" w:hint="eastAsia"/>
          <w:highlight w:val="none"/>
        </w:rPr>
        <w:t>）结果，</w:t>
      </w:r>
      <w:r>
        <w:rPr>
          <w:rFonts w:ascii="宋体" w:eastAsia="宋体" w:hAnsi="宋体" w:hint="eastAsia"/>
          <w:highlight w:val="none"/>
          <w:u w:val="single"/>
        </w:rPr>
        <w:t xml:space="preserve">        </w:t>
      </w:r>
      <w:r>
        <w:rPr>
          <w:rFonts w:ascii="宋体" w:eastAsia="宋体" w:hAnsi="宋体" w:hint="eastAsia"/>
          <w:highlight w:val="none"/>
        </w:rPr>
        <w:t>为中标人。按照《中华人民共和国民法典》（第三编 合同）》和《深圳经济特区政府采购条例》，经</w:t>
      </w:r>
      <w:r>
        <w:rPr>
          <w:rFonts w:ascii="宋体" w:eastAsia="宋体" w:hAnsi="宋体" w:hint="eastAsia"/>
          <w:highlight w:val="none"/>
          <w:u w:val="single"/>
        </w:rPr>
        <w:t xml:space="preserve">        </w:t>
      </w:r>
      <w:r>
        <w:rPr>
          <w:rFonts w:ascii="宋体" w:eastAsia="宋体" w:hAnsi="宋体" w:hint="eastAsia"/>
          <w:highlight w:val="none"/>
        </w:rPr>
        <w:t>（以下简称甲方）和</w:t>
      </w:r>
      <w:r>
        <w:rPr>
          <w:rFonts w:ascii="宋体" w:eastAsia="宋体" w:hAnsi="宋体" w:hint="eastAsia"/>
          <w:highlight w:val="none"/>
          <w:u w:val="single"/>
        </w:rPr>
        <w:t xml:space="preserve">        </w:t>
      </w:r>
      <w:r>
        <w:rPr>
          <w:rFonts w:ascii="宋体" w:eastAsia="宋体" w:hAnsi="宋体" w:hint="eastAsia"/>
          <w:highlight w:val="none"/>
        </w:rPr>
        <w:t>（以下简称乙方）协商，达成本合同条款。</w:t>
      </w:r>
    </w:p>
    <w:p>
      <w:pPr>
        <w:tabs>
          <w:tab w:val="left" w:pos="0"/>
        </w:tabs>
        <w:snapToGrid w:val="0"/>
        <w:spacing w:line="360" w:lineRule="auto"/>
        <w:rPr>
          <w:rFonts w:ascii="宋体" w:eastAsia="宋体" w:hAnsi="宋体"/>
          <w:highlight w:val="none"/>
        </w:rPr>
      </w:pPr>
      <w:r>
        <w:rPr>
          <w:rFonts w:ascii="宋体" w:eastAsia="宋体" w:hAnsi="宋体" w:hint="eastAsia"/>
          <w:b/>
          <w:highlight w:val="none"/>
        </w:rPr>
        <w:t>第二条 合同标的内容（标的数量或质量等）</w:t>
      </w:r>
    </w:p>
    <w:p>
      <w:pPr>
        <w:tabs>
          <w:tab w:val="left" w:pos="0"/>
        </w:tabs>
        <w:snapToGrid w:val="0"/>
        <w:spacing w:line="360" w:lineRule="auto"/>
        <w:rPr>
          <w:rFonts w:ascii="宋体" w:eastAsia="宋体" w:hAnsi="宋体"/>
          <w:b/>
          <w:highlight w:val="none"/>
        </w:rPr>
      </w:pPr>
      <w:r>
        <w:rPr>
          <w:rFonts w:ascii="宋体" w:eastAsia="宋体" w:hAnsi="宋体" w:hint="eastAsia"/>
          <w:b/>
          <w:highlight w:val="none"/>
        </w:rPr>
        <w:t>第三条 合同价款（金额）</w:t>
      </w:r>
    </w:p>
    <w:p>
      <w:pPr>
        <w:tabs>
          <w:tab w:val="left" w:pos="0"/>
        </w:tabs>
        <w:snapToGrid w:val="0"/>
        <w:spacing w:line="360" w:lineRule="auto"/>
        <w:rPr>
          <w:rFonts w:ascii="宋体" w:eastAsia="宋体" w:hAnsi="宋体"/>
          <w:b/>
          <w:highlight w:val="none"/>
        </w:rPr>
      </w:pPr>
      <w:r>
        <w:rPr>
          <w:rFonts w:ascii="宋体" w:eastAsia="宋体" w:hAnsi="宋体" w:hint="eastAsia"/>
          <w:b/>
          <w:highlight w:val="none"/>
        </w:rPr>
        <w:t>第四条 项目履约（交付、交货）地点</w:t>
      </w:r>
    </w:p>
    <w:p>
      <w:pPr>
        <w:tabs>
          <w:tab w:val="left" w:pos="0"/>
        </w:tabs>
        <w:snapToGrid w:val="0"/>
        <w:spacing w:line="360" w:lineRule="auto"/>
        <w:ind w:left="-1" w:firstLine="480" w:firstLineChars="200"/>
        <w:rPr>
          <w:rFonts w:ascii="宋体" w:eastAsia="宋体" w:hAnsi="宋体"/>
          <w:highlight w:val="none"/>
        </w:rPr>
      </w:pPr>
      <w:r>
        <w:rPr>
          <w:rFonts w:ascii="宋体" w:eastAsia="宋体" w:hAnsi="宋体" w:hint="eastAsia"/>
          <w:highlight w:val="none"/>
        </w:rPr>
        <w:t>深圳市</w:t>
      </w:r>
      <w:r>
        <w:rPr>
          <w:rFonts w:ascii="宋体" w:eastAsia="宋体" w:hAnsi="宋体" w:hint="eastAsia"/>
          <w:highlight w:val="none"/>
          <w:u w:val="single"/>
        </w:rPr>
        <w:t xml:space="preserve">      </w:t>
      </w:r>
      <w:r>
        <w:rPr>
          <w:rFonts w:ascii="宋体" w:eastAsia="宋体" w:hAnsi="宋体" w:hint="eastAsia"/>
          <w:highlight w:val="none"/>
        </w:rPr>
        <w:t>区。</w:t>
      </w:r>
    </w:p>
    <w:p>
      <w:pPr>
        <w:tabs>
          <w:tab w:val="left" w:pos="0"/>
        </w:tabs>
        <w:snapToGrid w:val="0"/>
        <w:spacing w:line="360" w:lineRule="auto"/>
        <w:rPr>
          <w:rFonts w:ascii="宋体" w:eastAsia="宋体" w:hAnsi="宋体"/>
          <w:b/>
          <w:highlight w:val="none"/>
        </w:rPr>
      </w:pPr>
      <w:r>
        <w:rPr>
          <w:rFonts w:ascii="宋体" w:eastAsia="宋体" w:hAnsi="宋体" w:hint="eastAsia"/>
          <w:b/>
          <w:highlight w:val="none"/>
        </w:rPr>
        <w:t>第五条 项目服务期（完工期、履约时间、交货时间）</w:t>
      </w:r>
    </w:p>
    <w:p>
      <w:pPr>
        <w:tabs>
          <w:tab w:val="left" w:pos="0"/>
        </w:tabs>
        <w:snapToGrid w:val="0"/>
        <w:spacing w:line="360" w:lineRule="auto"/>
        <w:ind w:left="-1" w:firstLine="480" w:firstLineChars="200"/>
        <w:rPr>
          <w:rFonts w:ascii="宋体" w:eastAsia="宋体" w:hAnsi="宋体"/>
          <w:highlight w:val="none"/>
        </w:rPr>
      </w:pPr>
      <w:r>
        <w:rPr>
          <w:rFonts w:ascii="宋体" w:eastAsia="宋体" w:hAnsi="宋体" w:hint="eastAsia"/>
          <w:highlight w:val="none"/>
        </w:rPr>
        <w:t>（具体按本项目需求与投标人承诺内容拟定）</w:t>
      </w:r>
    </w:p>
    <w:p>
      <w:pPr>
        <w:tabs>
          <w:tab w:val="left" w:pos="0"/>
        </w:tabs>
        <w:snapToGrid w:val="0"/>
        <w:spacing w:line="360" w:lineRule="auto"/>
        <w:rPr>
          <w:rFonts w:ascii="宋体" w:eastAsia="宋体" w:hAnsi="宋体"/>
          <w:b/>
          <w:highlight w:val="none"/>
        </w:rPr>
      </w:pPr>
      <w:r>
        <w:rPr>
          <w:rFonts w:ascii="宋体" w:eastAsia="宋体" w:hAnsi="宋体" w:hint="eastAsia"/>
          <w:b/>
          <w:highlight w:val="none"/>
        </w:rPr>
        <w:t>第六条 付款期限及方式</w:t>
      </w:r>
    </w:p>
    <w:p>
      <w:pPr>
        <w:tabs>
          <w:tab w:val="left" w:pos="0"/>
        </w:tabs>
        <w:snapToGrid w:val="0"/>
        <w:spacing w:line="360" w:lineRule="auto"/>
        <w:ind w:left="-1" w:firstLine="480" w:firstLineChars="200"/>
        <w:rPr>
          <w:rFonts w:ascii="宋体" w:eastAsia="宋体" w:hAnsi="宋体"/>
          <w:highlight w:val="none"/>
        </w:rPr>
      </w:pPr>
      <w:r>
        <w:rPr>
          <w:rFonts w:ascii="宋体" w:eastAsia="宋体" w:hAnsi="宋体" w:hint="eastAsia"/>
          <w:highlight w:val="none"/>
        </w:rPr>
        <w:t>（具体按本项目需求与投标人承诺内容拟定）</w:t>
      </w:r>
    </w:p>
    <w:p>
      <w:pPr>
        <w:tabs>
          <w:tab w:val="left" w:pos="0"/>
        </w:tabs>
        <w:snapToGrid w:val="0"/>
        <w:spacing w:line="360" w:lineRule="auto"/>
        <w:rPr>
          <w:rFonts w:ascii="宋体" w:eastAsia="宋体" w:hAnsi="宋体"/>
          <w:b/>
          <w:highlight w:val="none"/>
        </w:rPr>
      </w:pPr>
      <w:r>
        <w:rPr>
          <w:rFonts w:ascii="宋体" w:eastAsia="宋体" w:hAnsi="宋体" w:hint="eastAsia"/>
          <w:b/>
          <w:highlight w:val="none"/>
        </w:rPr>
        <w:t>第七条 项目验收标准及方式</w:t>
      </w:r>
    </w:p>
    <w:p>
      <w:pPr>
        <w:tabs>
          <w:tab w:val="left" w:pos="0"/>
        </w:tabs>
        <w:snapToGrid w:val="0"/>
        <w:spacing w:line="360" w:lineRule="auto"/>
        <w:ind w:left="-1" w:firstLine="480" w:firstLineChars="200"/>
        <w:rPr>
          <w:rFonts w:ascii="宋体" w:eastAsia="宋体" w:hAnsi="宋体"/>
          <w:highlight w:val="none"/>
        </w:rPr>
      </w:pPr>
      <w:r>
        <w:rPr>
          <w:rFonts w:ascii="宋体" w:eastAsia="宋体" w:hAnsi="宋体" w:hint="eastAsia"/>
          <w:highlight w:val="none"/>
        </w:rPr>
        <w:t>（具体按本项目需求与投标人承诺内容拟定）</w:t>
      </w:r>
    </w:p>
    <w:p>
      <w:pPr>
        <w:tabs>
          <w:tab w:val="left" w:pos="0"/>
        </w:tabs>
        <w:snapToGrid w:val="0"/>
        <w:spacing w:line="360" w:lineRule="auto"/>
        <w:rPr>
          <w:rFonts w:ascii="宋体" w:eastAsia="宋体" w:hAnsi="宋体"/>
          <w:b/>
          <w:highlight w:val="none"/>
        </w:rPr>
      </w:pPr>
      <w:r>
        <w:rPr>
          <w:rFonts w:ascii="宋体" w:eastAsia="宋体" w:hAnsi="宋体" w:hint="eastAsia"/>
          <w:b/>
          <w:highlight w:val="none"/>
        </w:rPr>
        <w:t>第八条 甲方的权利和义务</w:t>
      </w:r>
    </w:p>
    <w:p>
      <w:pPr>
        <w:tabs>
          <w:tab w:val="left" w:pos="0"/>
        </w:tabs>
        <w:snapToGrid w:val="0"/>
        <w:spacing w:line="360" w:lineRule="auto"/>
        <w:rPr>
          <w:rFonts w:ascii="宋体" w:eastAsia="宋体" w:hAnsi="宋体"/>
          <w:b/>
          <w:highlight w:val="none"/>
        </w:rPr>
      </w:pPr>
      <w:r>
        <w:rPr>
          <w:rFonts w:ascii="宋体" w:eastAsia="宋体" w:hAnsi="宋体" w:hint="eastAsia"/>
          <w:b/>
          <w:highlight w:val="none"/>
        </w:rPr>
        <w:t>第九条 乙方的权利和义务</w:t>
      </w:r>
    </w:p>
    <w:p>
      <w:pPr>
        <w:tabs>
          <w:tab w:val="left" w:pos="0"/>
        </w:tabs>
        <w:snapToGrid w:val="0"/>
        <w:spacing w:line="360" w:lineRule="auto"/>
        <w:rPr>
          <w:rFonts w:ascii="宋体" w:eastAsia="宋体" w:hAnsi="宋体"/>
          <w:b/>
          <w:highlight w:val="none"/>
        </w:rPr>
      </w:pPr>
      <w:r>
        <w:rPr>
          <w:rFonts w:ascii="宋体" w:eastAsia="宋体" w:hAnsi="宋体" w:hint="eastAsia"/>
          <w:b/>
          <w:highlight w:val="none"/>
        </w:rPr>
        <w:t>第十条 违约责任与争议解决办法</w:t>
      </w:r>
    </w:p>
    <w:p>
      <w:pPr>
        <w:tabs>
          <w:tab w:val="left" w:pos="0"/>
        </w:tabs>
        <w:snapToGrid w:val="0"/>
        <w:spacing w:line="360" w:lineRule="auto"/>
        <w:ind w:firstLine="480" w:firstLineChars="200"/>
        <w:rPr>
          <w:rFonts w:ascii="宋体" w:eastAsia="宋体" w:hAnsi="宋体"/>
          <w:highlight w:val="none"/>
        </w:rPr>
      </w:pPr>
      <w:r>
        <w:rPr>
          <w:rFonts w:ascii="宋体" w:eastAsia="宋体" w:hAnsi="宋体" w:hint="eastAsia"/>
          <w:highlight w:val="none"/>
        </w:rPr>
        <w:t>1、合同双方之任何一方不能全面履行合同条款，均属违约。违约所造成的经济损失概由违约方承担赔偿。违约造成工期延误责任分担：甲方违约，工期相应顺延；乙方违约，工期不得顺延。</w:t>
      </w:r>
    </w:p>
    <w:p>
      <w:pPr>
        <w:tabs>
          <w:tab w:val="left" w:pos="0"/>
        </w:tabs>
        <w:snapToGrid w:val="0"/>
        <w:spacing w:line="360" w:lineRule="auto"/>
        <w:ind w:firstLine="480" w:firstLineChars="200"/>
        <w:rPr>
          <w:rFonts w:ascii="宋体" w:eastAsia="宋体" w:hAnsi="宋体"/>
          <w:highlight w:val="none"/>
        </w:rPr>
      </w:pPr>
      <w:r>
        <w:rPr>
          <w:rFonts w:ascii="宋体" w:eastAsia="宋体" w:hAnsi="宋体" w:hint="eastAsia"/>
          <w:highlight w:val="none"/>
        </w:rPr>
        <w:t>2、协商或仲裁：如果发生与本合同的解释或执行中的有关争议，双方首先应通过友好协商解决，否则任何一方可将该争议提交仲裁。仲裁事项应提交深圳仲裁委员会进行裁决。</w:t>
      </w:r>
    </w:p>
    <w:p>
      <w:pPr>
        <w:tabs>
          <w:tab w:val="left" w:pos="0"/>
        </w:tabs>
        <w:snapToGrid w:val="0"/>
        <w:spacing w:line="360" w:lineRule="auto"/>
        <w:rPr>
          <w:rFonts w:ascii="宋体" w:eastAsia="宋体" w:hAnsi="宋体"/>
          <w:highlight w:val="none"/>
        </w:rPr>
      </w:pPr>
      <w:r>
        <w:rPr>
          <w:rFonts w:ascii="宋体" w:eastAsia="宋体" w:hAnsi="宋体" w:hint="eastAsia"/>
          <w:highlight w:val="none"/>
        </w:rPr>
        <w:t>……。</w:t>
      </w:r>
    </w:p>
    <w:p>
      <w:pPr>
        <w:tabs>
          <w:tab w:val="left" w:pos="0"/>
        </w:tabs>
        <w:snapToGrid w:val="0"/>
        <w:spacing w:line="360" w:lineRule="auto"/>
        <w:rPr>
          <w:rFonts w:ascii="宋体" w:eastAsia="宋体" w:hAnsi="宋体"/>
          <w:b/>
          <w:highlight w:val="none"/>
        </w:rPr>
      </w:pPr>
      <w:r>
        <w:rPr>
          <w:rFonts w:ascii="宋体" w:eastAsia="宋体" w:hAnsi="宋体" w:hint="eastAsia"/>
          <w:b/>
          <w:highlight w:val="none"/>
        </w:rPr>
        <w:t>第十一条 知识产权、保密或其他事项要求</w:t>
      </w:r>
    </w:p>
    <w:p>
      <w:pPr>
        <w:tabs>
          <w:tab w:val="left" w:pos="0"/>
        </w:tabs>
        <w:snapToGrid w:val="0"/>
        <w:spacing w:line="360" w:lineRule="auto"/>
        <w:ind w:firstLine="480" w:firstLineChars="200"/>
        <w:rPr>
          <w:rFonts w:ascii="宋体" w:eastAsia="宋体" w:hAnsi="宋体"/>
          <w:highlight w:val="none"/>
        </w:rPr>
      </w:pPr>
      <w:r>
        <w:rPr>
          <w:rFonts w:ascii="宋体" w:eastAsia="宋体" w:hAnsi="宋体" w:hint="eastAsia"/>
          <w:highlight w:val="none"/>
        </w:rPr>
        <w:t>1、除政府采购合同继续履行将损害国家利益和社会公共利益外，双方不得擅自变更、中止或者终止合同。</w:t>
      </w:r>
    </w:p>
    <w:p>
      <w:pPr>
        <w:tabs>
          <w:tab w:val="left" w:pos="0"/>
        </w:tabs>
        <w:snapToGrid w:val="0"/>
        <w:spacing w:line="360" w:lineRule="auto"/>
        <w:ind w:firstLine="480" w:firstLineChars="200"/>
        <w:rPr>
          <w:rFonts w:ascii="宋体" w:eastAsia="宋体" w:hAnsi="宋体"/>
          <w:highlight w:val="none"/>
        </w:rPr>
      </w:pPr>
      <w:r>
        <w:rPr>
          <w:rFonts w:ascii="宋体" w:eastAsia="宋体" w:hAnsi="宋体" w:hint="eastAsia"/>
          <w:highlight w:val="none"/>
        </w:rPr>
        <w:t>2、乙方所提供的货物或服务未侵犯知识产权，不会产生因第三方提出的包括但不限于侵犯其专利权、商标权、工业设计权等知识产权和侵犯其所有权、抵押权等物权及其他权利而引发的纠纷。如有纠纷，乙方应承担全部责任。</w:t>
      </w:r>
    </w:p>
    <w:p>
      <w:pPr>
        <w:tabs>
          <w:tab w:val="left" w:pos="0"/>
        </w:tabs>
        <w:snapToGrid w:val="0"/>
        <w:spacing w:line="360" w:lineRule="auto"/>
        <w:rPr>
          <w:rFonts w:ascii="宋体" w:eastAsia="宋体" w:hAnsi="宋体"/>
          <w:highlight w:val="none"/>
        </w:rPr>
      </w:pPr>
      <w:r>
        <w:rPr>
          <w:rFonts w:ascii="宋体" w:eastAsia="宋体" w:hAnsi="宋体" w:hint="eastAsia"/>
          <w:highlight w:val="none"/>
        </w:rPr>
        <w:t>……。</w:t>
      </w:r>
    </w:p>
    <w:p>
      <w:pPr>
        <w:tabs>
          <w:tab w:val="left" w:pos="0"/>
        </w:tabs>
        <w:snapToGrid w:val="0"/>
        <w:spacing w:line="360" w:lineRule="auto"/>
        <w:rPr>
          <w:rFonts w:ascii="宋体" w:eastAsia="宋体" w:hAnsi="宋体"/>
          <w:b/>
          <w:highlight w:val="none"/>
        </w:rPr>
      </w:pPr>
      <w:r>
        <w:rPr>
          <w:rFonts w:ascii="宋体" w:eastAsia="宋体" w:hAnsi="宋体" w:hint="eastAsia"/>
          <w:b/>
          <w:highlight w:val="none"/>
        </w:rPr>
        <w:t>第十二条 附件（附录）</w:t>
      </w:r>
      <w:r>
        <w:rPr>
          <w:rFonts w:ascii="宋体" w:eastAsia="宋体" w:hAnsi="宋体" w:hint="eastAsia"/>
          <w:highlight w:val="none"/>
        </w:rPr>
        <w:t>（如有，可填写，并附相关内容）</w:t>
      </w:r>
    </w:p>
    <w:p>
      <w:pPr>
        <w:tabs>
          <w:tab w:val="left" w:pos="0"/>
        </w:tabs>
        <w:snapToGrid w:val="0"/>
        <w:spacing w:line="360" w:lineRule="auto"/>
        <w:rPr>
          <w:rFonts w:ascii="宋体" w:eastAsia="宋体" w:hAnsi="宋体"/>
          <w:highlight w:val="none"/>
        </w:rPr>
      </w:pPr>
      <w:r>
        <w:rPr>
          <w:rFonts w:ascii="宋体" w:eastAsia="宋体" w:hAnsi="宋体" w:hint="eastAsia"/>
          <w:highlight w:val="none"/>
        </w:rPr>
        <w:t>……。</w:t>
      </w:r>
    </w:p>
    <w:p>
      <w:pPr>
        <w:snapToGrid w:val="0"/>
        <w:spacing w:line="360" w:lineRule="auto"/>
        <w:ind w:firstLine="200"/>
        <w:rPr>
          <w:rFonts w:ascii="宋体" w:eastAsia="宋体" w:hAnsi="宋体"/>
          <w:highlight w:val="none"/>
        </w:rPr>
      </w:pPr>
    </w:p>
    <w:p>
      <w:pPr>
        <w:snapToGrid w:val="0"/>
        <w:spacing w:line="360" w:lineRule="auto"/>
        <w:rPr>
          <w:rFonts w:ascii="宋体" w:eastAsia="宋体" w:hAnsi="宋体"/>
          <w:highlight w:val="none"/>
        </w:rPr>
      </w:pPr>
      <w:r>
        <w:rPr>
          <w:rFonts w:ascii="宋体" w:eastAsia="宋体" w:hAnsi="宋体"/>
          <w:highlight w:val="none"/>
        </w:rPr>
        <w:t>甲方（公章）</w:t>
      </w:r>
      <w:r>
        <w:rPr>
          <w:rFonts w:ascii="宋体" w:eastAsia="宋体" w:hAnsi="宋体" w:hint="eastAsia"/>
          <w:highlight w:val="none"/>
        </w:rPr>
        <w:t xml:space="preserve">： </w:t>
      </w:r>
      <w:r>
        <w:rPr>
          <w:rFonts w:ascii="宋体" w:eastAsia="宋体" w:hAnsi="宋体"/>
          <w:highlight w:val="none"/>
        </w:rPr>
        <w:t xml:space="preserve">                           乙方（公章）</w:t>
      </w:r>
      <w:r>
        <w:rPr>
          <w:rFonts w:ascii="宋体" w:eastAsia="宋体" w:hAnsi="宋体" w:hint="eastAsia"/>
          <w:highlight w:val="none"/>
        </w:rPr>
        <w:t>：</w:t>
      </w:r>
    </w:p>
    <w:p>
      <w:pPr>
        <w:snapToGrid w:val="0"/>
        <w:spacing w:line="360" w:lineRule="auto"/>
        <w:rPr>
          <w:rFonts w:ascii="宋体" w:eastAsia="宋体" w:hAnsi="宋体"/>
          <w:highlight w:val="none"/>
        </w:rPr>
      </w:pPr>
      <w:r>
        <w:rPr>
          <w:rFonts w:ascii="宋体" w:eastAsia="宋体" w:hAnsi="宋体"/>
          <w:highlight w:val="none"/>
        </w:rPr>
        <w:t>法定代表人（签章）</w:t>
      </w:r>
      <w:r>
        <w:rPr>
          <w:rFonts w:ascii="宋体" w:eastAsia="宋体" w:hAnsi="宋体"/>
          <w:highlight w:val="none"/>
        </w:rPr>
        <w:tab/>
      </w:r>
      <w:r>
        <w:rPr>
          <w:rFonts w:ascii="宋体" w:eastAsia="宋体" w:hAnsi="宋体"/>
          <w:highlight w:val="none"/>
        </w:rPr>
        <w:tab/>
      </w:r>
      <w:r>
        <w:rPr>
          <w:rFonts w:ascii="宋体" w:eastAsia="宋体" w:hAnsi="宋体"/>
          <w:highlight w:val="none"/>
        </w:rPr>
        <w:tab/>
      </w:r>
      <w:r>
        <w:rPr>
          <w:rFonts w:ascii="宋体" w:eastAsia="宋体" w:hAnsi="宋体"/>
          <w:highlight w:val="none"/>
        </w:rPr>
        <w:tab/>
      </w:r>
      <w:r>
        <w:rPr>
          <w:rFonts w:ascii="宋体" w:eastAsia="宋体" w:hAnsi="宋体"/>
          <w:highlight w:val="none"/>
        </w:rPr>
        <w:t>法定代表人（签章）</w:t>
      </w:r>
    </w:p>
    <w:p>
      <w:pPr>
        <w:snapToGrid w:val="0"/>
        <w:spacing w:line="360" w:lineRule="auto"/>
        <w:rPr>
          <w:rFonts w:ascii="宋体" w:eastAsia="宋体" w:hAnsi="宋体"/>
          <w:highlight w:val="none"/>
        </w:rPr>
      </w:pPr>
      <w:r>
        <w:rPr>
          <w:rFonts w:ascii="宋体" w:eastAsia="宋体" w:hAnsi="宋体"/>
          <w:highlight w:val="none"/>
        </w:rPr>
        <w:t>或授权代表：</w:t>
      </w:r>
      <w:r>
        <w:rPr>
          <w:rFonts w:ascii="宋体" w:eastAsia="宋体" w:hAnsi="宋体"/>
          <w:highlight w:val="none"/>
        </w:rPr>
        <w:tab/>
      </w:r>
      <w:r>
        <w:rPr>
          <w:rFonts w:ascii="宋体" w:eastAsia="宋体" w:hAnsi="宋体"/>
          <w:highlight w:val="none"/>
        </w:rPr>
        <w:tab/>
      </w:r>
      <w:r>
        <w:rPr>
          <w:rFonts w:ascii="宋体" w:eastAsia="宋体" w:hAnsi="宋体"/>
          <w:highlight w:val="none"/>
        </w:rPr>
        <w:tab/>
      </w:r>
      <w:r>
        <w:rPr>
          <w:rFonts w:ascii="宋体" w:eastAsia="宋体" w:hAnsi="宋体"/>
          <w:highlight w:val="none"/>
        </w:rPr>
        <w:tab/>
      </w:r>
      <w:r>
        <w:rPr>
          <w:rFonts w:ascii="宋体" w:eastAsia="宋体" w:hAnsi="宋体"/>
          <w:highlight w:val="none"/>
        </w:rPr>
        <w:tab/>
      </w:r>
      <w:r>
        <w:rPr>
          <w:rFonts w:ascii="宋体" w:eastAsia="宋体" w:hAnsi="宋体"/>
          <w:highlight w:val="none"/>
        </w:rPr>
        <w:t>或授权代表：</w:t>
      </w:r>
    </w:p>
    <w:p>
      <w:pPr>
        <w:snapToGrid w:val="0"/>
        <w:spacing w:line="360" w:lineRule="auto"/>
        <w:rPr>
          <w:rFonts w:ascii="宋体" w:eastAsia="宋体" w:hAnsi="宋体"/>
          <w:highlight w:val="none"/>
        </w:rPr>
      </w:pPr>
      <w:r>
        <w:rPr>
          <w:rFonts w:ascii="宋体" w:eastAsia="宋体" w:hAnsi="宋体" w:hint="eastAsia"/>
          <w:highlight w:val="none"/>
        </w:rPr>
        <w:t xml:space="preserve">日期： </w:t>
      </w:r>
      <w:r>
        <w:rPr>
          <w:rFonts w:ascii="宋体" w:eastAsia="宋体" w:hAnsi="宋体"/>
          <w:highlight w:val="none"/>
        </w:rPr>
        <w:t xml:space="preserve">   年   月   日     </w:t>
      </w:r>
      <w:r>
        <w:rPr>
          <w:rFonts w:ascii="宋体" w:eastAsia="宋体" w:hAnsi="宋体"/>
          <w:highlight w:val="none"/>
        </w:rPr>
        <w:tab/>
      </w:r>
      <w:r>
        <w:rPr>
          <w:rFonts w:ascii="宋体" w:eastAsia="宋体" w:hAnsi="宋体"/>
          <w:highlight w:val="none"/>
        </w:rPr>
        <w:tab/>
      </w:r>
      <w:r>
        <w:rPr>
          <w:rFonts w:ascii="宋体" w:eastAsia="宋体" w:hAnsi="宋体"/>
          <w:highlight w:val="none"/>
        </w:rPr>
        <w:tab/>
      </w:r>
      <w:r>
        <w:rPr>
          <w:rFonts w:ascii="宋体" w:eastAsia="宋体" w:hAnsi="宋体" w:hint="eastAsia"/>
          <w:highlight w:val="none"/>
        </w:rPr>
        <w:t xml:space="preserve">日期： </w:t>
      </w:r>
      <w:r>
        <w:rPr>
          <w:rFonts w:ascii="宋体" w:eastAsia="宋体" w:hAnsi="宋体"/>
          <w:highlight w:val="none"/>
        </w:rPr>
        <w:t xml:space="preserve">   年   月   日</w:t>
      </w:r>
    </w:p>
    <w:p>
      <w:pPr>
        <w:rPr>
          <w:rFonts w:ascii="宋体" w:hAnsi="宋体"/>
          <w:color w:val="000000" w:themeColor="text1"/>
          <w:szCs w:val="21"/>
          <w:highlight w:val="none"/>
          <w14:textFill>
            <w14:solidFill>
              <w14:schemeClr w14:val="tx1"/>
            </w14:solidFill>
          </w14:textFill>
        </w:rPr>
      </w:pPr>
    </w:p>
    <w:p>
      <w:pPr>
        <w:pStyle w:val="NormalIndent"/>
        <w:rPr>
          <w:highlight w:val="none"/>
        </w:rPr>
      </w:pPr>
    </w:p>
    <w:p>
      <w:pPr>
        <w:rPr>
          <w:highlight w:val="none"/>
        </w:rPr>
      </w:pPr>
    </w:p>
    <w:p>
      <w:pPr>
        <w:pStyle w:val="NormalIndent"/>
        <w:rPr>
          <w:highlight w:val="none"/>
        </w:rPr>
      </w:pPr>
    </w:p>
    <w:p>
      <w:pPr>
        <w:rPr>
          <w:highlight w:val="none"/>
        </w:rPr>
      </w:pPr>
    </w:p>
    <w:p>
      <w:pPr>
        <w:pStyle w:val="NormalIndent"/>
        <w:rPr>
          <w:highlight w:val="none"/>
        </w:rPr>
      </w:pPr>
    </w:p>
    <w:p>
      <w:pPr>
        <w:rPr>
          <w:highlight w:val="none"/>
        </w:rPr>
      </w:pPr>
    </w:p>
    <w:p>
      <w:pPr>
        <w:pStyle w:val="NormalIndent"/>
        <w:rPr>
          <w:highlight w:val="none"/>
        </w:rPr>
      </w:pPr>
    </w:p>
    <w:p>
      <w:pPr>
        <w:rPr>
          <w:highlight w:val="none"/>
        </w:rPr>
      </w:pPr>
    </w:p>
    <w:p>
      <w:pPr>
        <w:pStyle w:val="NormalIndent"/>
        <w:rPr>
          <w:highlight w:val="none"/>
        </w:rPr>
      </w:pPr>
    </w:p>
    <w:p>
      <w:pPr>
        <w:rPr>
          <w:highlight w:val="none"/>
        </w:rPr>
      </w:pPr>
    </w:p>
    <w:p>
      <w:pPr>
        <w:pStyle w:val="NormalIndent"/>
        <w:rPr>
          <w:highlight w:val="none"/>
        </w:rPr>
      </w:pPr>
    </w:p>
    <w:p>
      <w:pPr>
        <w:rPr>
          <w:highlight w:val="none"/>
        </w:rPr>
      </w:pPr>
    </w:p>
    <w:p>
      <w:pPr>
        <w:pStyle w:val="NormalIndent"/>
        <w:rPr>
          <w:highlight w:val="none"/>
        </w:rPr>
      </w:pPr>
    </w:p>
    <w:p>
      <w:pPr>
        <w:rPr>
          <w:highlight w:val="none"/>
        </w:rPr>
      </w:pPr>
    </w:p>
    <w:p>
      <w:pPr>
        <w:rPr>
          <w:highlight w:val="none"/>
        </w:rPr>
      </w:pPr>
    </w:p>
    <w:p>
      <w:pPr>
        <w:pStyle w:val="NormalIndent"/>
        <w:rPr>
          <w:highlight w:val="none"/>
        </w:rPr>
      </w:pPr>
    </w:p>
    <w:p>
      <w:pPr>
        <w:pStyle w:val="Heading2"/>
        <w:spacing w:before="120" w:beforeLines="50" w:after="120" w:afterLines="50"/>
        <w:ind w:left="562"/>
        <w:rPr>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第二册  通用条款（公开招标）</w:t>
      </w:r>
    </w:p>
    <w:p>
      <w:pPr>
        <w:pStyle w:val="Heading2"/>
        <w:numPr>
          <w:ilvl w:val="0"/>
          <w:numId w:val="2"/>
        </w:numPr>
        <w:spacing w:before="120" w:beforeLines="50" w:after="120" w:afterLines="50"/>
        <w:ind w:left="562" w:hanging="562"/>
        <w:rPr>
          <w:color w:val="000000" w:themeColor="text1"/>
          <w:sz w:val="28"/>
          <w:szCs w:val="28"/>
          <w:highlight w:val="none"/>
          <w14:textFill>
            <w14:solidFill>
              <w14:schemeClr w14:val="tx1"/>
            </w14:solidFill>
          </w14:textFill>
        </w:rPr>
      </w:pPr>
      <w:bookmarkStart w:id="47" w:name="_Hlk72399513"/>
      <w:r>
        <w:rPr>
          <w:rFonts w:hint="eastAsia"/>
          <w:color w:val="000000" w:themeColor="text1"/>
          <w:sz w:val="28"/>
          <w:szCs w:val="28"/>
          <w:highlight w:val="none"/>
          <w14:textFill>
            <w14:solidFill>
              <w14:schemeClr w14:val="tx1"/>
            </w14:solidFill>
          </w14:textFill>
        </w:rPr>
        <w:t>总则</w:t>
      </w:r>
    </w:p>
    <w:p>
      <w:pPr>
        <w:rPr>
          <w:rFonts w:ascii="黑体" w:eastAsia="黑体" w:hAnsi="宋体"/>
          <w:color w:val="000000" w:themeColor="text1"/>
          <w:highlight w:val="none"/>
          <w14:textFill>
            <w14:solidFill>
              <w14:schemeClr w14:val="tx1"/>
            </w14:solidFill>
          </w14:textFill>
        </w:rPr>
      </w:pPr>
      <w:bookmarkEnd w:id="47"/>
      <w:r>
        <w:rPr>
          <w:rFonts w:ascii="黑体" w:eastAsia="黑体" w:hAnsi="宋体" w:hint="eastAsia"/>
          <w:color w:val="000000" w:themeColor="text1"/>
          <w:highlight w:val="none"/>
          <w14:textFill>
            <w14:solidFill>
              <w14:schemeClr w14:val="tx1"/>
            </w14:solidFill>
          </w14:textFill>
        </w:rPr>
        <w:t>1. 通用条款说明</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1.1</w:t>
      </w:r>
      <w:bookmarkStart w:id="48" w:name="_Hlk72399729"/>
      <w:r>
        <w:rPr>
          <w:rFonts w:ascii="宋体" w:hAnsi="宋体" w:hint="eastAsia"/>
          <w:color w:val="000000" w:themeColor="text1"/>
          <w:szCs w:val="21"/>
          <w:highlight w:val="none"/>
          <w14:textFill>
            <w14:solidFill>
              <w14:schemeClr w14:val="tx1"/>
            </w14:solidFill>
          </w14:textFill>
        </w:rPr>
        <w:t>采购机构可以对通用条款的内容进行补充。</w:t>
      </w:r>
      <w:bookmarkEnd w:id="48"/>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1.2招标文件分为第一册“专用条款”和第二册“通用条款”。</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1.3“专用条款”是对本次采购项目的具体要求，包含招标公告、对通用条款的补充内容及其他关键信息、用户需求书、投标文件格式及附件、合同条款及格式等内容。</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1.4“通用条款”是适用于政府采购公开招标项目的基础性条款，具有普遍性和通用性。</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1.5 “专用条款”和“通用条款”表述不一致或有冲突时，以“专用条款”为准。</w:t>
      </w:r>
    </w:p>
    <w:p>
      <w:pPr>
        <w:rPr>
          <w:rFonts w:ascii="黑体" w:eastAsia="黑体" w:hAnsi="宋体"/>
          <w:color w:val="000000" w:themeColor="text1"/>
          <w:highlight w:val="none"/>
          <w14:textFill>
            <w14:solidFill>
              <w14:schemeClr w14:val="tx1"/>
            </w14:solidFill>
          </w14:textFill>
        </w:rPr>
      </w:pPr>
      <w:r>
        <w:rPr>
          <w:rFonts w:ascii="黑体" w:eastAsia="黑体" w:hAnsi="宋体" w:hint="eastAsia"/>
          <w:color w:val="000000" w:themeColor="text1"/>
          <w:highlight w:val="none"/>
          <w14:textFill>
            <w14:solidFill>
              <w14:schemeClr w14:val="tx1"/>
            </w14:solidFill>
          </w14:textFill>
        </w:rPr>
        <w:t>2</w:t>
      </w:r>
      <w:r>
        <w:rPr>
          <w:rFonts w:ascii="黑体" w:eastAsia="黑体" w:hAnsi="宋体"/>
          <w:color w:val="000000" w:themeColor="text1"/>
          <w:highlight w:val="none"/>
          <w14:textFill>
            <w14:solidFill>
              <w14:schemeClr w14:val="tx1"/>
            </w14:solidFill>
          </w14:textFill>
        </w:rPr>
        <w:t>．</w:t>
      </w:r>
      <w:r>
        <w:rPr>
          <w:rFonts w:ascii="黑体" w:eastAsia="黑体" w:hAnsi="宋体" w:hint="eastAsia"/>
          <w:color w:val="000000" w:themeColor="text1"/>
          <w:highlight w:val="none"/>
          <w14:textFill>
            <w14:solidFill>
              <w14:schemeClr w14:val="tx1"/>
            </w14:solidFill>
          </w14:textFill>
        </w:rPr>
        <w:t>招标说明</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本项目按照《深圳经济特区政府采购条例》、《深圳经济特区政府采购条例实施细则》及政府采购其他法律法规，通过公开招标方式确定中标供应商。</w:t>
      </w:r>
    </w:p>
    <w:p>
      <w:pPr>
        <w:rPr>
          <w:rFonts w:ascii="黑体" w:eastAsia="黑体" w:hAnsi="宋体"/>
          <w:color w:val="000000" w:themeColor="text1"/>
          <w:highlight w:val="none"/>
          <w14:textFill>
            <w14:solidFill>
              <w14:schemeClr w14:val="tx1"/>
            </w14:solidFill>
          </w14:textFill>
        </w:rPr>
      </w:pPr>
      <w:r>
        <w:rPr>
          <w:rFonts w:ascii="黑体" w:eastAsia="黑体" w:hAnsi="宋体" w:hint="eastAsia"/>
          <w:color w:val="000000" w:themeColor="text1"/>
          <w:highlight w:val="none"/>
          <w14:textFill>
            <w14:solidFill>
              <w14:schemeClr w14:val="tx1"/>
            </w14:solidFill>
          </w14:textFill>
        </w:rPr>
        <w:t>3．定义</w:t>
      </w:r>
    </w:p>
    <w:p>
      <w:pPr>
        <w:ind w:firstLine="48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招标文件中下列术语应解释为：</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3.</w:t>
      </w:r>
      <w:r>
        <w:rPr>
          <w:rFonts w:ascii="宋体" w:hAnsi="宋体"/>
          <w:color w:val="000000" w:themeColor="text1"/>
          <w:szCs w:val="21"/>
          <w:highlight w:val="none"/>
          <w14:textFill>
            <w14:solidFill>
              <w14:schemeClr w14:val="tx1"/>
            </w14:solidFill>
          </w14:textFill>
        </w:rPr>
        <w:t>1</w:t>
      </w:r>
      <w:r>
        <w:rPr>
          <w:rFonts w:ascii="宋体" w:hAnsi="宋体" w:hint="eastAsia"/>
          <w:color w:val="000000" w:themeColor="text1"/>
          <w:szCs w:val="21"/>
          <w:highlight w:val="none"/>
          <w14:textFill>
            <w14:solidFill>
              <w14:schemeClr w14:val="tx1"/>
            </w14:solidFill>
          </w14:textFill>
        </w:rPr>
        <w:t>“采购人”：指利用财政性资金依法进行政府采购的国家机关、事业单位、团体组织；</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3.2 “</w:t>
      </w:r>
      <w:r>
        <w:rPr>
          <w:rFonts w:ascii="宋体" w:eastAsia="宋体" w:hAnsi="宋体" w:hint="eastAsia"/>
          <w:color w:val="000000" w:themeColor="text1"/>
          <w:szCs w:val="21"/>
          <w:highlight w:val="none"/>
          <w14:textFill>
            <w14:solidFill>
              <w14:schemeClr w14:val="tx1"/>
            </w14:solidFill>
          </w14:textFill>
        </w:rPr>
        <w:t>招标机构</w:t>
      </w:r>
      <w:r>
        <w:rPr>
          <w:rFonts w:ascii="宋体" w:hAnsi="宋体" w:hint="eastAsia"/>
          <w:color w:val="000000" w:themeColor="text1"/>
          <w:szCs w:val="21"/>
          <w:highlight w:val="none"/>
          <w14:textFill>
            <w14:solidFill>
              <w14:schemeClr w14:val="tx1"/>
            </w14:solidFill>
          </w14:textFill>
        </w:rPr>
        <w:t>”系指根据采购人的委托，代理政府采购事宜的机构，在此特指拥有采购代理资格的</w:t>
      </w:r>
      <w:r>
        <w:rPr>
          <w:rFonts w:ascii="宋体" w:hAnsi="宋体" w:hint="eastAsia"/>
          <w:b/>
          <w:bCs/>
          <w:color w:val="000000" w:themeColor="text1"/>
          <w:szCs w:val="21"/>
          <w:highlight w:val="none"/>
          <w14:textFill>
            <w14:solidFill>
              <w14:schemeClr w14:val="tx1"/>
            </w14:solidFill>
          </w14:textFill>
        </w:rPr>
        <w:t>友和保险经纪有限公司</w:t>
      </w:r>
      <w:r>
        <w:rPr>
          <w:rFonts w:ascii="宋体" w:hAnsi="宋体" w:hint="eastAsia"/>
          <w:color w:val="000000" w:themeColor="text1"/>
          <w:szCs w:val="21"/>
          <w:highlight w:val="none"/>
          <w14:textFill>
            <w14:solidFill>
              <w14:schemeClr w14:val="tx1"/>
            </w14:solidFill>
          </w14:textFill>
        </w:rPr>
        <w:t>；</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3.3“投标人”，即供应商，指参加投标竞争并愿意按照招标文件要求向采购人提供货物、工程或者服务的依法成立的法人、其他组织或者自然人；</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3.4“评审委员会”是依据《深圳经济特区政府采购条例》、《深圳经济特区政府采购条例实施细则》等有关规定组建的专门负责本次招标其评审工作的临时性机构；</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3.5“日期”</w:t>
      </w:r>
      <w:r>
        <w:rPr>
          <w:rFonts w:ascii="宋体" w:hAnsi="宋体"/>
          <w:color w:val="000000" w:themeColor="text1"/>
          <w:szCs w:val="21"/>
          <w:highlight w:val="none"/>
          <w14:textFill>
            <w14:solidFill>
              <w14:schemeClr w14:val="tx1"/>
            </w14:solidFill>
          </w14:textFill>
        </w:rPr>
        <w:t>指</w:t>
      </w:r>
      <w:r>
        <w:rPr>
          <w:rFonts w:ascii="宋体" w:hAnsi="宋体" w:hint="eastAsia"/>
          <w:color w:val="000000" w:themeColor="text1"/>
          <w:szCs w:val="21"/>
          <w:highlight w:val="none"/>
          <w14:textFill>
            <w14:solidFill>
              <w14:schemeClr w14:val="tx1"/>
            </w14:solidFill>
          </w14:textFill>
        </w:rPr>
        <w:t>公历日；</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3.6“合同”指由本次招标所产生的合同或合约文件；</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3.7“电子投标文件”指利用</w:t>
      </w:r>
      <w:r>
        <w:rPr>
          <w:rFonts w:ascii="宋体" w:hAnsi="宋体" w:hint="eastAsia"/>
          <w:b/>
          <w:bCs/>
          <w:color w:val="000000" w:themeColor="text1"/>
          <w:szCs w:val="21"/>
          <w:highlight w:val="none"/>
          <w14:textFill>
            <w14:solidFill>
              <w14:schemeClr w14:val="tx1"/>
            </w14:solidFill>
          </w14:textFill>
        </w:rPr>
        <w:t>深圳公共资源交易中心（深圳交易集团有限公司政府采购业务分公司）</w:t>
      </w:r>
      <w:r>
        <w:rPr>
          <w:rFonts w:ascii="宋体" w:hAnsi="宋体" w:hint="eastAsia"/>
          <w:color w:val="000000" w:themeColor="text1"/>
          <w:szCs w:val="21"/>
          <w:highlight w:val="none"/>
          <w14:textFill>
            <w14:solidFill>
              <w14:schemeClr w14:val="tx1"/>
            </w14:solidFill>
          </w14:textFill>
        </w:rPr>
        <w:t>网站提供的</w:t>
      </w:r>
      <w:r>
        <w:rPr>
          <w:rFonts w:ascii="宋体" w:hAnsi="宋体" w:hint="eastAsia"/>
          <w:color w:val="000000" w:themeColor="text1"/>
          <w:highlight w:val="none"/>
          <w14:textFill>
            <w14:solidFill>
              <w14:schemeClr w14:val="tx1"/>
            </w14:solidFill>
          </w14:textFill>
        </w:rPr>
        <w:t>深圳智慧采购平台投标文件制作专用软件（以下简称：投标文件制作软件）制作并</w:t>
      </w:r>
      <w:r>
        <w:rPr>
          <w:rFonts w:ascii="宋体" w:hAnsi="宋体" w:hint="eastAsia"/>
          <w:color w:val="000000" w:themeColor="text1"/>
          <w:szCs w:val="21"/>
          <w:highlight w:val="none"/>
          <w14:textFill>
            <w14:solidFill>
              <w14:schemeClr w14:val="tx1"/>
            </w14:solidFill>
          </w14:textFill>
        </w:rPr>
        <w:t>加密的投标文件,适用于网上投标；（投标文件制作软件可从</w:t>
      </w:r>
      <w:r>
        <w:rPr>
          <w:rFonts w:hint="eastAsia"/>
          <w:color w:val="000000" w:themeColor="text1"/>
          <w:highlight w:val="none"/>
          <w14:textFill>
            <w14:solidFill>
              <w14:schemeClr w14:val="tx1"/>
            </w14:solidFill>
          </w14:textFill>
        </w:rPr>
        <w:t>“</w:t>
      </w:r>
      <w:r>
        <w:rPr>
          <w:rFonts w:ascii="宋体" w:hAnsi="宋体" w:hint="eastAsia"/>
          <w:color w:val="000000" w:themeColor="text1"/>
          <w:highlight w:val="none"/>
          <w14:textFill>
            <w14:solidFill>
              <w14:schemeClr w14:val="tx1"/>
            </w14:solidFill>
          </w14:textFill>
        </w:rPr>
        <w:t>下载地址：http://zfcg.szggzy.com:8081/cgxy/013002/20210923/173e0b2c-7a4c-4246-a0c7-e0ea75d84dd6.html</w:t>
      </w:r>
      <w:r>
        <w:rPr>
          <w:rFonts w:hint="eastAsia"/>
          <w:color w:val="000000" w:themeColor="text1"/>
          <w:highlight w:val="none"/>
          <w14:textFill>
            <w14:solidFill>
              <w14:schemeClr w14:val="tx1"/>
            </w14:solidFill>
          </w14:textFill>
        </w:rPr>
        <w:t>”</w:t>
      </w:r>
      <w:r>
        <w:rPr>
          <w:rFonts w:ascii="宋体" w:hAnsi="宋体" w:hint="eastAsia"/>
          <w:color w:val="000000" w:themeColor="text1"/>
          <w:szCs w:val="21"/>
          <w:highlight w:val="none"/>
          <w14:textFill>
            <w14:solidFill>
              <w14:schemeClr w14:val="tx1"/>
            </w14:solidFill>
          </w14:textFill>
        </w:rPr>
        <w:t>下载）；</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3.8“网上投标”指通过</w:t>
      </w:r>
      <w:r>
        <w:rPr>
          <w:rFonts w:ascii="宋体" w:hAnsi="宋体" w:hint="eastAsia"/>
          <w:b/>
          <w:bCs/>
          <w:color w:val="000000" w:themeColor="text1"/>
          <w:szCs w:val="21"/>
          <w:highlight w:val="none"/>
          <w14:textFill>
            <w14:solidFill>
              <w14:schemeClr w14:val="tx1"/>
            </w14:solidFill>
          </w14:textFill>
        </w:rPr>
        <w:t>深圳公共资源交易中心（深圳交易集团有限公司政府采购业务分公司）</w:t>
      </w:r>
      <w:r>
        <w:rPr>
          <w:rFonts w:ascii="宋体" w:hAnsi="宋体" w:hint="eastAsia"/>
          <w:color w:val="000000" w:themeColor="text1"/>
          <w:szCs w:val="21"/>
          <w:highlight w:val="none"/>
          <w14:textFill>
            <w14:solidFill>
              <w14:schemeClr w14:val="tx1"/>
            </w14:solidFill>
          </w14:textFill>
        </w:rPr>
        <w:t>网站上传电子投标文件；</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3.9招标文件中的标题或题名仅起引导作用，而不应视为对招标文件内容的理解和解释。</w:t>
      </w:r>
    </w:p>
    <w:p>
      <w:pPr>
        <w:rPr>
          <w:rFonts w:ascii="黑体" w:eastAsia="黑体" w:hAnsi="宋体"/>
          <w:color w:val="000000" w:themeColor="text1"/>
          <w:highlight w:val="none"/>
          <w14:textFill>
            <w14:solidFill>
              <w14:schemeClr w14:val="tx1"/>
            </w14:solidFill>
          </w14:textFill>
        </w:rPr>
      </w:pPr>
      <w:r>
        <w:rPr>
          <w:rFonts w:ascii="黑体" w:eastAsia="黑体" w:hAnsi="宋体" w:hint="eastAsia"/>
          <w:color w:val="000000" w:themeColor="text1"/>
          <w:highlight w:val="none"/>
          <w14:textFill>
            <w14:solidFill>
              <w14:schemeClr w14:val="tx1"/>
            </w14:solidFill>
          </w14:textFill>
        </w:rPr>
        <w:t xml:space="preserve">4. </w:t>
      </w:r>
      <w:bookmarkStart w:id="49" w:name="_Hlk72398643"/>
      <w:r>
        <w:rPr>
          <w:rFonts w:ascii="黑体" w:eastAsia="黑体" w:hAnsi="宋体" w:hint="eastAsia"/>
          <w:color w:val="000000" w:themeColor="text1"/>
          <w:highlight w:val="none"/>
          <w14:textFill>
            <w14:solidFill>
              <w14:schemeClr w14:val="tx1"/>
            </w14:solidFill>
          </w14:textFill>
        </w:rPr>
        <w:t>政府采购供应商责任</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4.1欢迎诚信、有实力和有社会责任心的供应商参与政府采购事业。</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4.2投标人应当遵循公平竞争的原则，不得恶意串通，不得妨碍其他投标人的竞争行为，不得损害采购人或者其他投标人的合法权益。如违反上述要求，经核实后，供应商的投标无效。</w:t>
      </w:r>
    </w:p>
    <w:p>
      <w:pPr>
        <w:rPr>
          <w:rFonts w:ascii="黑体" w:eastAsia="黑体" w:hAnsi="宋体"/>
          <w:color w:val="000000" w:themeColor="text1"/>
          <w:highlight w:val="none"/>
          <w14:textFill>
            <w14:solidFill>
              <w14:schemeClr w14:val="tx1"/>
            </w14:solidFill>
          </w14:textFill>
        </w:rPr>
      </w:pPr>
      <w:r>
        <w:rPr>
          <w:rFonts w:ascii="黑体" w:eastAsia="黑体" w:hAnsi="宋体" w:hint="eastAsia"/>
          <w:color w:val="000000" w:themeColor="text1"/>
          <w:highlight w:val="none"/>
          <w14:textFill>
            <w14:solidFill>
              <w14:schemeClr w14:val="tx1"/>
            </w14:solidFill>
          </w14:textFill>
        </w:rPr>
        <w:t>5．投标人参加政府采购的条件</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5.1投标人应在投标前到</w:t>
      </w:r>
      <w:r>
        <w:rPr>
          <w:rFonts w:ascii="宋体" w:hAnsi="宋体" w:hint="eastAsia"/>
          <w:b/>
          <w:bCs/>
          <w:color w:val="000000" w:themeColor="text1"/>
          <w:szCs w:val="21"/>
          <w:highlight w:val="none"/>
          <w14:textFill>
            <w14:solidFill>
              <w14:schemeClr w14:val="tx1"/>
            </w14:solidFill>
          </w14:textFill>
        </w:rPr>
        <w:t>深圳公共资源交易中心（具体在深圳交易集团有限公司政府采购业务分公司进行办理）</w:t>
      </w:r>
      <w:r>
        <w:rPr>
          <w:rFonts w:ascii="宋体" w:hAnsi="宋体" w:hint="eastAsia"/>
          <w:color w:val="000000" w:themeColor="text1"/>
          <w:szCs w:val="21"/>
          <w:highlight w:val="none"/>
          <w14:textFill>
            <w14:solidFill>
              <w14:schemeClr w14:val="tx1"/>
            </w14:solidFill>
          </w14:textFill>
        </w:rPr>
        <w:t>进行注册并办理电子密钥。《</w:t>
      </w:r>
      <w:r>
        <w:rPr>
          <w:highlight w:val="none"/>
        </w:rPr>
        <w:fldChar w:fldCharType="begin"/>
      </w:r>
      <w:r>
        <w:rPr>
          <w:highlight w:val="none"/>
        </w:rPr>
        <w:instrText xml:space="preserve"> HYPERLINK "http://www.szzfcg.cn/viewer.do?id=2455258" \t "documentViewer2455258" </w:instrText>
      </w:r>
      <w:r>
        <w:rPr>
          <w:highlight w:val="none"/>
        </w:rPr>
        <w:fldChar w:fldCharType="separate"/>
      </w:r>
      <w:r>
        <w:rPr>
          <w:rFonts w:ascii="宋体" w:hAnsi="宋体"/>
          <w:color w:val="000000" w:themeColor="text1"/>
          <w:szCs w:val="21"/>
          <w:highlight w:val="none"/>
          <w14:textFill>
            <w14:solidFill>
              <w14:schemeClr w14:val="tx1"/>
            </w14:solidFill>
          </w14:textFill>
        </w:rPr>
        <w:t>供应商注册及电子密钥新申请指引</w:t>
      </w:r>
      <w:r>
        <w:rPr>
          <w:rFonts w:ascii="宋体" w:hAnsi="宋体"/>
          <w:color w:val="000000" w:themeColor="text1"/>
          <w:szCs w:val="21"/>
          <w:highlight w:val="none"/>
          <w14:textFill>
            <w14:solidFill>
              <w14:schemeClr w14:val="tx1"/>
            </w14:solidFill>
          </w14:textFill>
        </w:rPr>
        <w:fldChar w:fldCharType="end"/>
      </w:r>
      <w:r>
        <w:rPr>
          <w:rFonts w:ascii="宋体" w:hAnsi="宋体" w:hint="eastAsia"/>
          <w:color w:val="000000" w:themeColor="text1"/>
          <w:szCs w:val="21"/>
          <w:highlight w:val="none"/>
          <w14:textFill>
            <w14:solidFill>
              <w14:schemeClr w14:val="tx1"/>
            </w14:solidFill>
          </w14:textFill>
        </w:rPr>
        <w:t>》详见http://zfcg.szggzy.com:8081/。</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5.2投标人资格要求</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参加本项目的投标人应具备的资格条件详见本项目招标公告中 “投标人资格要求”（即申请人的资格要求）的内容。</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5.3联合体投标</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5.3.1以下有关联合体投标的条款仅适用于允许投标人组成联合体投标的项目。</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5.3.2由两个或两个以上的自然人、法人或者其他组织可以组成一个联合体，以一个供应商的身份共同投标时，应符合以下原则：</w:t>
      </w:r>
    </w:p>
    <w:p>
      <w:pPr>
        <w:ind w:firstLine="480" w:firstLineChars="200"/>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（1）投标联合体各方参加政府采购活动应当具备下列条件：</w:t>
      </w:r>
    </w:p>
    <w:p>
      <w:pPr>
        <w:ind w:left="480" w:firstLine="470" w:leftChars="20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1、具有独立承担民事责任的能力；</w:t>
      </w:r>
    </w:p>
    <w:p>
      <w:pPr>
        <w:ind w:left="480" w:firstLine="470" w:leftChars="20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2、有良好的商业信誉和健全的财务会计制度；</w:t>
      </w:r>
    </w:p>
    <w:p>
      <w:pPr>
        <w:ind w:left="480" w:firstLine="470" w:leftChars="20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3、具有履行合同所必需的设备和专业技术能力；</w:t>
      </w:r>
    </w:p>
    <w:p>
      <w:pPr>
        <w:ind w:left="480" w:firstLine="470" w:leftChars="20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4、有依法缴纳税收和社会保障资金的良好记录；</w:t>
      </w:r>
    </w:p>
    <w:p>
      <w:pPr>
        <w:ind w:left="480" w:firstLine="470" w:leftChars="20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5、参加政府采购活动前三年内，在经营活动中没有重大违法记录；</w:t>
      </w:r>
    </w:p>
    <w:p>
      <w:pPr>
        <w:ind w:left="480" w:firstLine="470" w:leftChars="20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6、法律、行政法规规定的其他条件。</w:t>
      </w:r>
    </w:p>
    <w:p>
      <w:pPr>
        <w:ind w:firstLine="480" w:firstLineChars="200"/>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（2）在投标截止前，投标联合体各方均应注册成</w:t>
      </w:r>
      <w:r>
        <w:rPr>
          <w:rFonts w:ascii="宋体" w:eastAsia="宋体" w:hAnsi="宋体" w:hint="eastAsia"/>
          <w:color w:val="000000" w:themeColor="text1"/>
          <w:highlight w:val="none"/>
          <w:lang w:eastAsia="zh-CN"/>
          <w14:textFill>
            <w14:solidFill>
              <w14:schemeClr w14:val="tx1"/>
            </w14:solidFill>
          </w14:textFill>
        </w:rPr>
        <w:t>政府采购</w:t>
      </w:r>
      <w:r>
        <w:rPr>
          <w:rFonts w:ascii="宋体" w:hAnsi="宋体" w:hint="eastAsia"/>
          <w:color w:val="000000" w:themeColor="text1"/>
          <w:highlight w:val="none"/>
          <w14:textFill>
            <w14:solidFill>
              <w14:schemeClr w14:val="tx1"/>
            </w14:solidFill>
          </w14:textFill>
        </w:rPr>
        <w:t>供应商；</w:t>
      </w:r>
    </w:p>
    <w:p>
      <w:pPr>
        <w:ind w:firstLine="470" w:firstLineChars="196"/>
        <w:rPr>
          <w:rFonts w:ascii="宋体" w:eastAsia="宋体" w:hAnsi="宋体"/>
          <w:color w:val="000000" w:themeColor="text1"/>
          <w:highlight w:val="none"/>
          <w14:textFill>
            <w14:solidFill>
              <w14:schemeClr w14:val="tx1"/>
            </w14:solidFill>
          </w14:textFill>
        </w:rPr>
      </w:pPr>
      <w:r>
        <w:rPr>
          <w:rFonts w:ascii="宋体" w:eastAsia="宋体" w:hAnsi="宋体" w:hint="eastAsia"/>
          <w:color w:val="000000" w:themeColor="text1"/>
          <w:highlight w:val="none"/>
          <w14:textFill>
            <w14:solidFill>
              <w14:schemeClr w14:val="tx1"/>
            </w14:solidFill>
          </w14:textFill>
        </w:rPr>
        <w:t>（3）联合体中有同类资质的供应商按照联合体分工承担相同工作的，应当按照资质等级较低的供应商确定资质等级；</w:t>
      </w:r>
    </w:p>
    <w:p>
      <w:pPr>
        <w:ind w:firstLine="470" w:firstLineChars="196"/>
        <w:rPr>
          <w:rFonts w:ascii="宋体" w:eastAsia="宋体" w:hAnsi="宋体"/>
          <w:color w:val="000000" w:themeColor="text1"/>
          <w:highlight w:val="none"/>
          <w14:textFill>
            <w14:solidFill>
              <w14:schemeClr w14:val="tx1"/>
            </w14:solidFill>
          </w14:textFill>
        </w:rPr>
      </w:pPr>
      <w:r>
        <w:rPr>
          <w:rFonts w:ascii="宋体" w:eastAsia="宋体" w:hAnsi="宋体" w:hint="eastAsia"/>
          <w:color w:val="000000" w:themeColor="text1"/>
          <w:highlight w:val="none"/>
          <w14:textFill>
            <w14:solidFill>
              <w14:schemeClr w14:val="tx1"/>
            </w14:solidFill>
          </w14:textFill>
        </w:rPr>
        <w:t>（4）是否允许联合体参加投标，应当由采购人和采购代理机构根据项目的实际情况和潜在供应商的数量自主决定，如果决定接受联合体投标则应当在招标公告中明示；</w:t>
      </w:r>
    </w:p>
    <w:p>
      <w:pPr>
        <w:ind w:firstLine="470" w:firstLineChars="196"/>
        <w:rPr>
          <w:rFonts w:ascii="宋体" w:eastAsia="宋体" w:hAnsi="宋体"/>
          <w:color w:val="000000" w:themeColor="text1"/>
          <w:highlight w:val="none"/>
          <w14:textFill>
            <w14:solidFill>
              <w14:schemeClr w14:val="tx1"/>
            </w14:solidFill>
          </w14:textFill>
        </w:rPr>
      </w:pPr>
      <w:r>
        <w:rPr>
          <w:rFonts w:ascii="宋体" w:eastAsia="宋体" w:hAnsi="宋体" w:hint="eastAsia"/>
          <w:color w:val="000000" w:themeColor="text1"/>
          <w:highlight w:val="none"/>
          <w14:textFill>
            <w14:solidFill>
              <w14:schemeClr w14:val="tx1"/>
            </w14:solidFill>
          </w14:textFill>
        </w:rPr>
        <w:t>（5）投标人的投标文件及中标后签署的合同协议对联合体各方均具法律约束力；</w:t>
      </w:r>
    </w:p>
    <w:p>
      <w:pPr>
        <w:ind w:firstLine="47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（6）联合体各方应当签订联合体投标协议，明确约定各方拟承担的工作和责任，并将该协议随投标文件一并递交给</w:t>
      </w:r>
      <w:r>
        <w:rPr>
          <w:rFonts w:ascii="宋体" w:eastAsia="宋体" w:hAnsi="宋体" w:hint="eastAsia"/>
          <w:color w:val="000000" w:themeColor="text1"/>
          <w:highlight w:val="none"/>
          <w14:textFill>
            <w14:solidFill>
              <w14:schemeClr w14:val="tx1"/>
            </w14:solidFill>
          </w14:textFill>
        </w:rPr>
        <w:t>招标机构</w:t>
      </w:r>
      <w:r>
        <w:rPr>
          <w:rFonts w:ascii="宋体" w:hAnsi="宋体" w:hint="eastAsia"/>
          <w:color w:val="000000" w:themeColor="text1"/>
          <w:highlight w:val="none"/>
          <w14:textFill>
            <w14:solidFill>
              <w14:schemeClr w14:val="tx1"/>
            </w14:solidFill>
          </w14:textFill>
        </w:rPr>
        <w:t>；</w:t>
      </w:r>
    </w:p>
    <w:p>
      <w:pPr>
        <w:ind w:firstLine="47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（7）联合体中标后，联合体各方应当共同与采购人签订合同，就中标项目向采购人承担连带责任；</w:t>
      </w:r>
    </w:p>
    <w:p>
      <w:pPr>
        <w:ind w:firstLine="47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8）以联合体形式参加政府采购活动的，联合体各方不得再单独参加或者与其他供应商另外组成联合体参加同一合同项下的政府采购活动，出现上述情况者，其投标和与此有关联合体、总包单位的投标将被拒绝；</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（9）本通用条款中“投标人”一词亦指联合体各方，专用条款另有规定或说明的除外。</w:t>
      </w:r>
    </w:p>
    <w:p>
      <w:pPr>
        <w:rPr>
          <w:rFonts w:ascii="黑体" w:eastAsia="黑体" w:hAnsi="宋体"/>
          <w:color w:val="000000" w:themeColor="text1"/>
          <w:highlight w:val="none"/>
          <w14:textFill>
            <w14:solidFill>
              <w14:schemeClr w14:val="tx1"/>
            </w14:solidFill>
          </w14:textFill>
        </w:rPr>
      </w:pPr>
      <w:r>
        <w:rPr>
          <w:rFonts w:ascii="黑体" w:eastAsia="黑体" w:hAnsi="宋体" w:hint="eastAsia"/>
          <w:color w:val="000000" w:themeColor="text1"/>
          <w:highlight w:val="none"/>
          <w14:textFill>
            <w14:solidFill>
              <w14:schemeClr w14:val="tx1"/>
            </w14:solidFill>
          </w14:textFill>
        </w:rPr>
        <w:t>6．政策导向</w:t>
      </w:r>
    </w:p>
    <w:p>
      <w:pPr>
        <w:ind w:firstLine="47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6.1政府采购扶持贫困地区、中小企业、监狱企业和残疾人福利性单位发展，支持节能减排、环境保护。</w:t>
      </w:r>
    </w:p>
    <w:p>
      <w:pPr>
        <w:ind w:firstLine="405"/>
        <w:rPr>
          <w:color w:val="000000" w:themeColor="text1"/>
          <w:highlight w:val="none"/>
          <w:shd w:val="clear" w:color="auto" w:fill="FFFFFF"/>
          <w14:textFill>
            <w14:solidFill>
              <w14:schemeClr w14:val="tx1"/>
            </w14:solidFill>
          </w14:textFill>
        </w:rPr>
      </w:pPr>
      <w:r>
        <w:rPr>
          <w:rFonts w:ascii="宋体" w:hAnsi="宋体" w:hint="eastAsia"/>
          <w:color w:val="000000" w:themeColor="text1"/>
          <w:highlight w:val="none"/>
          <w14:textFill>
            <w14:solidFill>
              <w14:schemeClr w14:val="tx1"/>
            </w14:solidFill>
          </w14:textFill>
        </w:rPr>
        <w:t>6.2本项目落实深圳市政府采购供应商诚信管理政策要求。</w:t>
      </w:r>
    </w:p>
    <w:p>
      <w:pPr>
        <w:rPr>
          <w:rFonts w:ascii="黑体" w:eastAsia="黑体" w:hAnsi="宋体"/>
          <w:color w:val="000000" w:themeColor="text1"/>
          <w:highlight w:val="none"/>
          <w14:textFill>
            <w14:solidFill>
              <w14:schemeClr w14:val="tx1"/>
            </w14:solidFill>
          </w14:textFill>
        </w:rPr>
      </w:pPr>
      <w:r>
        <w:rPr>
          <w:rFonts w:ascii="黑体" w:eastAsia="黑体" w:hAnsi="宋体" w:hint="eastAsia"/>
          <w:color w:val="000000" w:themeColor="text1"/>
          <w:highlight w:val="none"/>
          <w14:textFill>
            <w14:solidFill>
              <w14:schemeClr w14:val="tx1"/>
            </w14:solidFill>
          </w14:textFill>
        </w:rPr>
        <w:t>7. 本项目若涉及采购货物，则合格的货物及相应服务应满足以下要求：</w:t>
      </w:r>
    </w:p>
    <w:p>
      <w:pPr>
        <w:ind w:firstLine="47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7</w:t>
      </w:r>
      <w:r>
        <w:rPr>
          <w:rFonts w:ascii="宋体" w:hAnsi="宋体"/>
          <w:color w:val="000000" w:themeColor="text1"/>
          <w:highlight w:val="none"/>
          <w14:textFill>
            <w14:solidFill>
              <w14:schemeClr w14:val="tx1"/>
            </w14:solidFill>
          </w14:textFill>
        </w:rPr>
        <w:t>.1</w:t>
      </w:r>
      <w:r>
        <w:rPr>
          <w:rFonts w:ascii="宋体" w:hAnsi="宋体" w:hint="eastAsia"/>
          <w:color w:val="000000" w:themeColor="text1"/>
          <w:highlight w:val="none"/>
          <w14:textFill>
            <w14:solidFill>
              <w14:schemeClr w14:val="tx1"/>
            </w14:solidFill>
          </w14:textFill>
        </w:rPr>
        <w:t>必须是全新、未使用过的原装合格正品（包括零部件），如安装或配置了软件的，须为正版软件。</w:t>
      </w:r>
    </w:p>
    <w:p>
      <w:pPr>
        <w:ind w:firstLine="47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7.2国产的货物及其有关服务必须符合中华人民共和国的设计、制造生产标准及行业标准。招标公告有其他要求的，亦应符合其要求。</w:t>
      </w:r>
    </w:p>
    <w:p>
      <w:pPr>
        <w:ind w:firstLine="47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7</w:t>
      </w:r>
      <w:r>
        <w:rPr>
          <w:rFonts w:ascii="宋体" w:hAnsi="宋体"/>
          <w:color w:val="000000" w:themeColor="text1"/>
          <w:highlight w:val="none"/>
          <w14:textFill>
            <w14:solidFill>
              <w14:schemeClr w14:val="tx1"/>
            </w14:solidFill>
          </w14:textFill>
        </w:rPr>
        <w:t>.</w:t>
      </w:r>
      <w:r>
        <w:rPr>
          <w:rFonts w:ascii="宋体" w:hAnsi="宋体" w:hint="eastAsia"/>
          <w:color w:val="000000" w:themeColor="text1"/>
          <w:highlight w:val="none"/>
          <w14:textFill>
            <w14:solidFill>
              <w14:schemeClr w14:val="tx1"/>
            </w14:solidFill>
          </w14:textFill>
        </w:rPr>
        <w:t>3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pPr>
        <w:ind w:firstLine="47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7</w:t>
      </w:r>
      <w:r>
        <w:rPr>
          <w:rFonts w:ascii="宋体" w:hAnsi="宋体"/>
          <w:color w:val="000000" w:themeColor="text1"/>
          <w:highlight w:val="none"/>
          <w14:textFill>
            <w14:solidFill>
              <w14:schemeClr w14:val="tx1"/>
            </w14:solidFill>
          </w14:textFill>
        </w:rPr>
        <w:t>.</w:t>
      </w:r>
      <w:r>
        <w:rPr>
          <w:rFonts w:ascii="宋体" w:hAnsi="宋体" w:hint="eastAsia"/>
          <w:color w:val="000000" w:themeColor="text1"/>
          <w:highlight w:val="none"/>
          <w14:textFill>
            <w14:solidFill>
              <w14:schemeClr w14:val="tx1"/>
            </w14:solidFill>
          </w14:textFill>
        </w:rPr>
        <w:t>4投标人</w:t>
      </w:r>
      <w:bookmarkStart w:id="50" w:name="_Hlk72152753"/>
      <w:r>
        <w:rPr>
          <w:rFonts w:ascii="宋体" w:hAnsi="宋体" w:hint="eastAsia"/>
          <w:color w:val="000000" w:themeColor="text1"/>
          <w:highlight w:val="none"/>
          <w14:textFill>
            <w14:solidFill>
              <w14:schemeClr w14:val="tx1"/>
            </w14:solidFill>
          </w14:textFill>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50"/>
    </w:p>
    <w:p>
      <w:pPr>
        <w:ind w:firstLine="47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7.5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除非另有约定，投标人必须按合同规定完成设备的安装，并达到验收标准。</w:t>
      </w:r>
    </w:p>
    <w:p>
      <w:pPr>
        <w:ind w:firstLine="47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7.6工期要求：投标人在投标时对其所投项目应提交交货进度、交货计划等，在合同规定的时间内完成项目实施工作。</w:t>
      </w:r>
    </w:p>
    <w:p>
      <w:pPr>
        <w:ind w:firstLine="47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7.7投标人必须承担的设备运输、安装调试、验收检测和提供设备操作说明书、图纸等其他相关及类似的义务。</w:t>
      </w:r>
    </w:p>
    <w:p>
      <w:pPr>
        <w:rPr>
          <w:rFonts w:ascii="黑体" w:eastAsia="黑体" w:hAnsi="宋体"/>
          <w:color w:val="000000" w:themeColor="text1"/>
          <w:highlight w:val="none"/>
          <w14:textFill>
            <w14:solidFill>
              <w14:schemeClr w14:val="tx1"/>
            </w14:solidFill>
          </w14:textFill>
        </w:rPr>
      </w:pPr>
      <w:r>
        <w:rPr>
          <w:rFonts w:ascii="黑体" w:eastAsia="黑体" w:hAnsi="宋体" w:hint="eastAsia"/>
          <w:color w:val="000000" w:themeColor="text1"/>
          <w:highlight w:val="none"/>
          <w14:textFill>
            <w14:solidFill>
              <w14:schemeClr w14:val="tx1"/>
            </w14:solidFill>
          </w14:textFill>
        </w:rPr>
        <w:t>8．投标费用</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不论投标结果如何，投标人应承担其编制投标文件与递交投标文件所涉及的一切费用。</w:t>
      </w:r>
    </w:p>
    <w:p>
      <w:pPr>
        <w:rPr>
          <w:rFonts w:ascii="黑体" w:eastAsia="黑体" w:hAnsi="宋体"/>
          <w:color w:val="000000" w:themeColor="text1"/>
          <w:highlight w:val="none"/>
          <w14:textFill>
            <w14:solidFill>
              <w14:schemeClr w14:val="tx1"/>
            </w14:solidFill>
          </w14:textFill>
        </w:rPr>
      </w:pPr>
      <w:r>
        <w:rPr>
          <w:rFonts w:ascii="黑体" w:eastAsia="黑体" w:hAnsi="宋体" w:hint="eastAsia"/>
          <w:color w:val="000000" w:themeColor="text1"/>
          <w:highlight w:val="none"/>
          <w14:textFill>
            <w14:solidFill>
              <w14:schemeClr w14:val="tx1"/>
            </w14:solidFill>
          </w14:textFill>
        </w:rPr>
        <w:t>9．踏勘现场</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9.1如有需要（详见专用条款），采购人或</w:t>
      </w:r>
      <w:r>
        <w:rPr>
          <w:rFonts w:ascii="宋体" w:eastAsia="宋体" w:hAnsi="宋体" w:hint="eastAsia"/>
          <w:color w:val="000000" w:themeColor="text1"/>
          <w:szCs w:val="21"/>
          <w:highlight w:val="none"/>
          <w14:textFill>
            <w14:solidFill>
              <w14:schemeClr w14:val="tx1"/>
            </w14:solidFill>
          </w14:textFill>
        </w:rPr>
        <w:t>招标机构</w:t>
      </w:r>
      <w:r>
        <w:rPr>
          <w:rFonts w:ascii="宋体" w:hAnsi="宋体" w:hint="eastAsia"/>
          <w:color w:val="000000" w:themeColor="text1"/>
          <w:szCs w:val="21"/>
          <w:highlight w:val="none"/>
          <w14:textFill>
            <w14:solidFill>
              <w14:schemeClr w14:val="tx1"/>
            </w14:solidFill>
          </w14:textFill>
        </w:rPr>
        <w:t>将组织投标人对项目现场及周围环境进行踏勘，以便投标人获取有关编制投标文件和签署合同所需的资料。踏勘现场所发生的费用由投标人自行承担。投标人应按招标文件所约定的时间、地点踏勘现场。</w:t>
      </w:r>
    </w:p>
    <w:p>
      <w:pPr>
        <w:ind w:firstLine="47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9.2投标人及其人员经过采购人的允许，可以进入采购人的项目现场踏勘。若招标文件要求投标人于统一时间地点踏勘现场的，投标人应当按时前往。</w:t>
      </w:r>
    </w:p>
    <w:p>
      <w:pPr>
        <w:ind w:firstLine="47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9.3采购人应当通过</w:t>
      </w:r>
      <w:r>
        <w:rPr>
          <w:rFonts w:ascii="宋体" w:eastAsia="宋体" w:hAnsi="宋体" w:hint="eastAsia"/>
          <w:color w:val="000000" w:themeColor="text1"/>
          <w:highlight w:val="none"/>
          <w14:textFill>
            <w14:solidFill>
              <w14:schemeClr w14:val="tx1"/>
            </w14:solidFill>
          </w14:textFill>
        </w:rPr>
        <w:t>招标机构</w:t>
      </w:r>
      <w:r>
        <w:rPr>
          <w:rFonts w:ascii="宋体" w:hAnsi="宋体" w:hint="eastAsia"/>
          <w:color w:val="000000" w:themeColor="text1"/>
          <w:highlight w:val="none"/>
          <w14:textFill>
            <w14:solidFill>
              <w14:schemeClr w14:val="tx1"/>
            </w14:solidFill>
          </w14:textFill>
        </w:rPr>
        <w:t>向投标人提供有关现场的书面资料和数据。</w:t>
      </w:r>
    </w:p>
    <w:p>
      <w:pPr>
        <w:ind w:firstLine="47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9.4任何人或任何组织在踏勘现场时向投标人提供的任何书面资料或口头承诺，未经</w:t>
      </w:r>
      <w:r>
        <w:rPr>
          <w:rFonts w:ascii="宋体" w:eastAsia="宋体" w:hAnsi="宋体" w:hint="eastAsia"/>
          <w:color w:val="000000" w:themeColor="text1"/>
          <w:highlight w:val="none"/>
          <w14:textFill>
            <w14:solidFill>
              <w14:schemeClr w14:val="tx1"/>
            </w14:solidFill>
          </w14:textFill>
        </w:rPr>
        <w:t>招标机构</w:t>
      </w:r>
      <w:r>
        <w:rPr>
          <w:rFonts w:ascii="宋体" w:hAnsi="宋体" w:hint="eastAsia"/>
          <w:color w:val="000000" w:themeColor="text1"/>
          <w:highlight w:val="none"/>
          <w14:textFill>
            <w14:solidFill>
              <w14:schemeClr w14:val="tx1"/>
            </w14:solidFill>
          </w14:textFill>
        </w:rPr>
        <w:t>在网上发布或书面通知，均作无效处理。</w:t>
      </w:r>
    </w:p>
    <w:p>
      <w:pPr>
        <w:ind w:firstLine="470" w:firstLineChars="196"/>
        <w:rPr>
          <w:rFonts w:ascii="宋体" w:hAnsi="宋体"/>
          <w:color w:val="000000" w:themeColor="text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9</w:t>
      </w:r>
      <w:r>
        <w:rPr>
          <w:rFonts w:ascii="宋体" w:hAnsi="宋体" w:hint="eastAsia"/>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5</w:t>
      </w:r>
      <w:r>
        <w:rPr>
          <w:rFonts w:ascii="宋体" w:hAnsi="宋体" w:hint="eastAsia"/>
          <w:color w:val="000000" w:themeColor="text1"/>
          <w:szCs w:val="21"/>
          <w:highlight w:val="none"/>
          <w14:textFill>
            <w14:solidFill>
              <w14:schemeClr w14:val="tx1"/>
            </w14:solidFill>
          </w14:textFill>
        </w:rPr>
        <w:t>未参与踏勘现场不作为否定投标人资格的理由。</w:t>
      </w:r>
    </w:p>
    <w:p>
      <w:pPr>
        <w:rPr>
          <w:rFonts w:ascii="宋体" w:hAnsi="宋体"/>
          <w:color w:val="000000" w:themeColor="text1"/>
          <w:szCs w:val="21"/>
          <w:highlight w:val="none"/>
          <w14:textFill>
            <w14:solidFill>
              <w14:schemeClr w14:val="tx1"/>
            </w14:solidFill>
          </w14:textFill>
        </w:rPr>
      </w:pPr>
      <w:r>
        <w:rPr>
          <w:rFonts w:ascii="黑体" w:eastAsia="黑体" w:hAnsi="宋体" w:hint="eastAsia"/>
          <w:color w:val="000000" w:themeColor="text1"/>
          <w:highlight w:val="none"/>
          <w14:textFill>
            <w14:solidFill>
              <w14:schemeClr w14:val="tx1"/>
            </w14:solidFill>
          </w14:textFill>
        </w:rPr>
        <w:t>1</w:t>
      </w:r>
      <w:r>
        <w:rPr>
          <w:rFonts w:ascii="黑体" w:eastAsia="黑体" w:hAnsi="宋体"/>
          <w:color w:val="000000" w:themeColor="text1"/>
          <w:highlight w:val="none"/>
          <w14:textFill>
            <w14:solidFill>
              <w14:schemeClr w14:val="tx1"/>
            </w14:solidFill>
          </w14:textFill>
        </w:rPr>
        <w:t>0</w:t>
      </w:r>
      <w:r>
        <w:rPr>
          <w:rFonts w:ascii="黑体" w:eastAsia="黑体" w:hAnsi="宋体" w:hint="eastAsia"/>
          <w:color w:val="000000" w:themeColor="text1"/>
          <w:highlight w:val="none"/>
          <w14:textFill>
            <w14:solidFill>
              <w14:schemeClr w14:val="tx1"/>
            </w14:solidFill>
          </w14:textFill>
        </w:rPr>
        <w:t>．标前会议</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0</w:t>
      </w:r>
      <w:r>
        <w:rPr>
          <w:rFonts w:ascii="宋体" w:hAnsi="宋体" w:hint="eastAsia"/>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1</w:t>
      </w:r>
      <w:r>
        <w:rPr>
          <w:rFonts w:ascii="宋体" w:hAnsi="宋体" w:hint="eastAsia"/>
          <w:color w:val="000000" w:themeColor="text1"/>
          <w:szCs w:val="21"/>
          <w:highlight w:val="none"/>
          <w14:textFill>
            <w14:solidFill>
              <w14:schemeClr w14:val="tx1"/>
            </w14:solidFill>
          </w14:textFill>
        </w:rPr>
        <w:t>如采购人或</w:t>
      </w:r>
      <w:r>
        <w:rPr>
          <w:rFonts w:ascii="宋体" w:eastAsia="宋体" w:hAnsi="宋体" w:hint="eastAsia"/>
          <w:color w:val="000000" w:themeColor="text1"/>
          <w:szCs w:val="21"/>
          <w:highlight w:val="none"/>
          <w14:textFill>
            <w14:solidFill>
              <w14:schemeClr w14:val="tx1"/>
            </w14:solidFill>
          </w14:textFill>
        </w:rPr>
        <w:t>招标机构</w:t>
      </w:r>
      <w:r>
        <w:rPr>
          <w:rFonts w:ascii="宋体" w:hAnsi="宋体" w:hint="eastAsia"/>
          <w:color w:val="000000" w:themeColor="text1"/>
          <w:szCs w:val="21"/>
          <w:highlight w:val="none"/>
          <w14:textFill>
            <w14:solidFill>
              <w14:schemeClr w14:val="tx1"/>
            </w14:solidFill>
          </w14:textFill>
        </w:rPr>
        <w:t>认为有必要组织标前会议，投标人应按照招标文件规定的时间或</w:t>
      </w:r>
      <w:r>
        <w:rPr>
          <w:rFonts w:ascii="宋体" w:eastAsia="宋体" w:hAnsi="宋体" w:hint="eastAsia"/>
          <w:color w:val="000000" w:themeColor="text1"/>
          <w:szCs w:val="21"/>
          <w:highlight w:val="none"/>
          <w14:textFill>
            <w14:solidFill>
              <w14:schemeClr w14:val="tx1"/>
            </w14:solidFill>
          </w14:textFill>
        </w:rPr>
        <w:t>招标机构</w:t>
      </w:r>
      <w:r>
        <w:rPr>
          <w:rFonts w:ascii="宋体" w:hAnsi="宋体" w:hint="eastAsia"/>
          <w:color w:val="000000" w:themeColor="text1"/>
          <w:szCs w:val="21"/>
          <w:highlight w:val="none"/>
          <w14:textFill>
            <w14:solidFill>
              <w14:schemeClr w14:val="tx1"/>
            </w14:solidFill>
          </w14:textFill>
        </w:rPr>
        <w:t>另行书面通知（包括</w:t>
      </w:r>
      <w:r>
        <w:rPr>
          <w:rFonts w:ascii="宋体" w:eastAsia="宋体" w:hAnsi="宋体" w:hint="eastAsia"/>
          <w:color w:val="000000" w:themeColor="text1"/>
          <w:szCs w:val="21"/>
          <w:highlight w:val="none"/>
          <w14:textFill>
            <w14:solidFill>
              <w14:schemeClr w14:val="tx1"/>
            </w14:solidFill>
          </w14:textFill>
        </w:rPr>
        <w:t>招标机构</w:t>
      </w:r>
      <w:r>
        <w:rPr>
          <w:rFonts w:ascii="宋体" w:hAnsi="宋体" w:hint="eastAsia"/>
          <w:color w:val="000000" w:themeColor="text1"/>
          <w:szCs w:val="21"/>
          <w:highlight w:val="none"/>
          <w14:textFill>
            <w14:solidFill>
              <w14:schemeClr w14:val="tx1"/>
            </w14:solidFill>
          </w14:textFill>
        </w:rPr>
        <w:t>网站发布方式，如更正公告等）的时间和地点，参与标前会议。</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10</w:t>
      </w:r>
      <w:r>
        <w:rPr>
          <w:rFonts w:ascii="宋体" w:hAnsi="宋体" w:hint="eastAsia"/>
          <w:color w:val="000000" w:themeColor="text1"/>
          <w:highlight w:val="none"/>
          <w14:textFill>
            <w14:solidFill>
              <w14:schemeClr w14:val="tx1"/>
            </w14:solidFill>
          </w14:textFill>
        </w:rPr>
        <w:t>.</w:t>
      </w:r>
      <w:r>
        <w:rPr>
          <w:rFonts w:ascii="宋体" w:hAnsi="宋体"/>
          <w:color w:val="000000" w:themeColor="text1"/>
          <w:highlight w:val="none"/>
          <w14:textFill>
            <w14:solidFill>
              <w14:schemeClr w14:val="tx1"/>
            </w14:solidFill>
          </w14:textFill>
        </w:rPr>
        <w:t>2</w:t>
      </w:r>
      <w:r>
        <w:rPr>
          <w:rFonts w:ascii="宋体" w:hAnsi="宋体" w:hint="eastAsia"/>
          <w:color w:val="000000" w:themeColor="text1"/>
          <w:highlight w:val="none"/>
          <w14:textFill>
            <w14:solidFill>
              <w14:schemeClr w14:val="tx1"/>
            </w14:solidFill>
          </w14:textFill>
        </w:rPr>
        <w:t>任何人或任何组织在标前会议时向投标人提供的任何书面资料或口头承诺，未经</w:t>
      </w:r>
      <w:r>
        <w:rPr>
          <w:rFonts w:ascii="宋体" w:eastAsia="宋体" w:hAnsi="宋体" w:hint="eastAsia"/>
          <w:color w:val="000000" w:themeColor="text1"/>
          <w:highlight w:val="none"/>
          <w14:textFill>
            <w14:solidFill>
              <w14:schemeClr w14:val="tx1"/>
            </w14:solidFill>
          </w14:textFill>
        </w:rPr>
        <w:t>招标机构</w:t>
      </w:r>
      <w:r>
        <w:rPr>
          <w:rFonts w:ascii="宋体" w:hAnsi="宋体" w:hint="eastAsia"/>
          <w:color w:val="000000" w:themeColor="text1"/>
          <w:highlight w:val="none"/>
          <w14:textFill>
            <w14:solidFill>
              <w14:schemeClr w14:val="tx1"/>
            </w14:solidFill>
          </w14:textFill>
        </w:rPr>
        <w:t>在网上发布或书面通知，均作无效处理。</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0</w:t>
      </w:r>
      <w:r>
        <w:rPr>
          <w:rFonts w:ascii="宋体" w:hAnsi="宋体" w:hint="eastAsia"/>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ascii="宋体" w:hAnsi="宋体" w:hint="eastAsia"/>
          <w:color w:val="000000" w:themeColor="text1"/>
          <w:szCs w:val="21"/>
          <w:highlight w:val="none"/>
          <w14:textFill>
            <w14:solidFill>
              <w14:schemeClr w14:val="tx1"/>
            </w14:solidFill>
          </w14:textFill>
        </w:rPr>
        <w:t>未参与标前会议不作为否定投标人资格的理由。</w:t>
      </w:r>
    </w:p>
    <w:p>
      <w:pPr>
        <w:pStyle w:val="NormalIndent"/>
        <w:rPr>
          <w:highlight w:val="none"/>
        </w:rPr>
      </w:pPr>
    </w:p>
    <w:p>
      <w:pPr>
        <w:rPr>
          <w:highlight w:val="none"/>
        </w:rPr>
      </w:pPr>
    </w:p>
    <w:p>
      <w:pPr>
        <w:pStyle w:val="Heading2"/>
        <w:numPr>
          <w:ilvl w:val="0"/>
          <w:numId w:val="2"/>
        </w:numPr>
        <w:tabs>
          <w:tab w:val="left" w:pos="360"/>
          <w:tab w:val="clear" w:pos="720"/>
        </w:tabs>
        <w:spacing w:before="120" w:beforeLines="50" w:after="120" w:afterLines="50"/>
        <w:ind w:left="562" w:hanging="562"/>
        <w:rPr>
          <w:color w:val="000000" w:themeColor="text1"/>
          <w:sz w:val="28"/>
          <w:szCs w:val="28"/>
          <w:highlight w:val="none"/>
          <w14:textFill>
            <w14:solidFill>
              <w14:schemeClr w14:val="tx1"/>
            </w14:solidFill>
          </w14:textFill>
        </w:rPr>
      </w:pPr>
      <w:bookmarkEnd w:id="49"/>
      <w:r>
        <w:rPr>
          <w:rFonts w:hint="eastAsia"/>
          <w:color w:val="000000" w:themeColor="text1"/>
          <w:sz w:val="28"/>
          <w:szCs w:val="28"/>
          <w:highlight w:val="none"/>
          <w14:textFill>
            <w14:solidFill>
              <w14:schemeClr w14:val="tx1"/>
            </w14:solidFill>
          </w14:textFill>
        </w:rPr>
        <w:t>招标文件</w:t>
      </w:r>
    </w:p>
    <w:p>
      <w:pPr>
        <w:rPr>
          <w:rFonts w:ascii="黑体" w:eastAsia="黑体" w:hAnsi="宋体"/>
          <w:color w:val="000000" w:themeColor="text1"/>
          <w:highlight w:val="none"/>
          <w14:textFill>
            <w14:solidFill>
              <w14:schemeClr w14:val="tx1"/>
            </w14:solidFill>
          </w14:textFill>
        </w:rPr>
      </w:pPr>
      <w:r>
        <w:rPr>
          <w:rFonts w:ascii="黑体" w:eastAsia="黑体" w:hAnsi="宋体" w:hint="eastAsia"/>
          <w:color w:val="000000" w:themeColor="text1"/>
          <w:highlight w:val="none"/>
          <w14:textFill>
            <w14:solidFill>
              <w14:schemeClr w14:val="tx1"/>
            </w14:solidFill>
          </w14:textFill>
        </w:rPr>
        <w:t>1</w:t>
      </w:r>
      <w:r>
        <w:rPr>
          <w:rFonts w:ascii="黑体" w:eastAsia="黑体" w:hAnsi="宋体"/>
          <w:color w:val="000000" w:themeColor="text1"/>
          <w:highlight w:val="none"/>
          <w14:textFill>
            <w14:solidFill>
              <w14:schemeClr w14:val="tx1"/>
            </w14:solidFill>
          </w14:textFill>
        </w:rPr>
        <w:t>1</w:t>
      </w:r>
      <w:r>
        <w:rPr>
          <w:rFonts w:ascii="黑体" w:eastAsia="黑体" w:hAnsi="宋体" w:hint="eastAsia"/>
          <w:color w:val="000000" w:themeColor="text1"/>
          <w:highlight w:val="none"/>
          <w14:textFill>
            <w14:solidFill>
              <w14:schemeClr w14:val="tx1"/>
            </w14:solidFill>
          </w14:textFill>
        </w:rPr>
        <w:t>．</w:t>
      </w:r>
      <w:bookmarkStart w:id="51" w:name="_Hlk72399819"/>
      <w:r>
        <w:rPr>
          <w:rFonts w:ascii="黑体" w:eastAsia="黑体" w:hAnsi="宋体" w:hint="eastAsia"/>
          <w:color w:val="000000" w:themeColor="text1"/>
          <w:highlight w:val="none"/>
          <w14:textFill>
            <w14:solidFill>
              <w14:schemeClr w14:val="tx1"/>
            </w14:solidFill>
          </w14:textFill>
        </w:rPr>
        <w:t>招标文件的编制与组成</w:t>
      </w:r>
    </w:p>
    <w:p>
      <w:pPr>
        <w:snapToGrid w:val="0"/>
        <w:ind w:firstLine="480" w:firstLineChars="200"/>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1</w:t>
      </w:r>
      <w:r>
        <w:rPr>
          <w:rFonts w:ascii="宋体" w:hAnsi="宋体" w:hint="eastAsia"/>
          <w:color w:val="000000" w:themeColor="text1"/>
          <w:szCs w:val="21"/>
          <w:highlight w:val="none"/>
          <w14:textFill>
            <w14:solidFill>
              <w14:schemeClr w14:val="tx1"/>
            </w14:solidFill>
          </w14:textFill>
        </w:rPr>
        <w:t>.1招标文件除以下内容外，</w:t>
      </w:r>
      <w:r>
        <w:rPr>
          <w:rFonts w:ascii="宋体" w:eastAsia="宋体" w:hAnsi="宋体" w:hint="eastAsia"/>
          <w:color w:val="000000" w:themeColor="text1"/>
          <w:szCs w:val="21"/>
          <w:highlight w:val="none"/>
          <w14:textFill>
            <w14:solidFill>
              <w14:schemeClr w14:val="tx1"/>
            </w14:solidFill>
          </w14:textFill>
        </w:rPr>
        <w:t>招标机构</w:t>
      </w:r>
      <w:r>
        <w:rPr>
          <w:rFonts w:ascii="宋体" w:hAnsi="宋体" w:hint="eastAsia"/>
          <w:color w:val="000000" w:themeColor="text1"/>
          <w:szCs w:val="21"/>
          <w:highlight w:val="none"/>
          <w14:textFill>
            <w14:solidFill>
              <w14:schemeClr w14:val="tx1"/>
            </w14:solidFill>
          </w14:textFill>
        </w:rPr>
        <w:t>在招标期间发出的澄清或修改等相关公告或通知内容，均是招标文件的组成部分，对投标人起约束作用；</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招标文件包括下列内容：</w:t>
      </w:r>
    </w:p>
    <w:p>
      <w:pPr>
        <w:ind w:left="480" w:firstLine="470" w:leftChars="200" w:firstLineChars="196"/>
        <w:rPr>
          <w:rFonts w:ascii="宋体" w:hAnsi="宋体"/>
          <w:b/>
          <w:color w:val="000000" w:themeColor="text1"/>
          <w:szCs w:val="21"/>
          <w:highlight w:val="none"/>
          <w14:textFill>
            <w14:solidFill>
              <w14:schemeClr w14:val="tx1"/>
            </w14:solidFill>
          </w14:textFill>
        </w:rPr>
      </w:pPr>
      <w:r>
        <w:rPr>
          <w:rFonts w:ascii="宋体" w:hAnsi="宋体" w:hint="eastAsia"/>
          <w:b/>
          <w:color w:val="000000" w:themeColor="text1"/>
          <w:szCs w:val="21"/>
          <w:highlight w:val="none"/>
          <w14:textFill>
            <w14:solidFill>
              <w14:schemeClr w14:val="tx1"/>
            </w14:solidFill>
          </w14:textFill>
        </w:rPr>
        <w:t>第一册  专用条款</w:t>
      </w:r>
    </w:p>
    <w:p>
      <w:pPr>
        <w:ind w:left="1234" w:leftChars="514"/>
        <w:rPr>
          <w:rFonts w:ascii="宋体" w:hAnsi="宋体"/>
          <w:b/>
          <w:color w:val="000000" w:themeColor="text1"/>
          <w:szCs w:val="21"/>
          <w:highlight w:val="none"/>
          <w14:textFill>
            <w14:solidFill>
              <w14:schemeClr w14:val="tx1"/>
            </w14:solidFill>
          </w14:textFill>
        </w:rPr>
      </w:pPr>
      <w:r>
        <w:rPr>
          <w:rFonts w:ascii="宋体" w:hAnsi="宋体" w:hint="eastAsia"/>
          <w:b/>
          <w:color w:val="000000" w:themeColor="text1"/>
          <w:szCs w:val="21"/>
          <w:highlight w:val="none"/>
          <w14:textFill>
            <w14:solidFill>
              <w14:schemeClr w14:val="tx1"/>
            </w14:solidFill>
          </w14:textFill>
        </w:rPr>
        <w:t>关键信息</w:t>
      </w:r>
    </w:p>
    <w:p>
      <w:pPr>
        <w:ind w:left="720" w:firstLine="470" w:leftChars="30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第一章  招标公告</w:t>
      </w:r>
    </w:p>
    <w:p>
      <w:pPr>
        <w:ind w:left="720" w:firstLine="470" w:leftChars="30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第二章  对通用条款的补充内容及其他关键信息</w:t>
      </w:r>
    </w:p>
    <w:p>
      <w:pPr>
        <w:ind w:left="720" w:firstLine="470" w:leftChars="30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第三章  用户需求书</w:t>
      </w:r>
    </w:p>
    <w:p>
      <w:pPr>
        <w:ind w:left="720" w:firstLine="470" w:leftChars="300" w:firstLineChars="196"/>
        <w:rPr>
          <w:rFonts w:ascii="宋体" w:hAnsi="宋体"/>
          <w:color w:val="000000" w:themeColor="text1"/>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第四章 投标文件格式及附件</w:t>
      </w:r>
    </w:p>
    <w:p>
      <w:pPr>
        <w:ind w:left="720" w:firstLine="470" w:leftChars="30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第五章  合同条款及格式</w:t>
      </w:r>
    </w:p>
    <w:p>
      <w:pPr>
        <w:ind w:left="480" w:firstLine="470" w:leftChars="200" w:firstLineChars="196"/>
        <w:rPr>
          <w:rFonts w:ascii="宋体" w:hAnsi="宋体"/>
          <w:b/>
          <w:color w:val="000000" w:themeColor="text1"/>
          <w:szCs w:val="21"/>
          <w:highlight w:val="none"/>
          <w14:textFill>
            <w14:solidFill>
              <w14:schemeClr w14:val="tx1"/>
            </w14:solidFill>
          </w14:textFill>
        </w:rPr>
      </w:pPr>
      <w:r>
        <w:rPr>
          <w:rFonts w:ascii="宋体" w:hAnsi="宋体" w:hint="eastAsia"/>
          <w:b/>
          <w:color w:val="000000" w:themeColor="text1"/>
          <w:szCs w:val="21"/>
          <w:highlight w:val="none"/>
          <w14:textFill>
            <w14:solidFill>
              <w14:schemeClr w14:val="tx1"/>
            </w14:solidFill>
          </w14:textFill>
        </w:rPr>
        <w:t>第二册  通用条款</w:t>
      </w:r>
    </w:p>
    <w:p>
      <w:pPr>
        <w:ind w:left="720" w:firstLine="470" w:leftChars="30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第一章  总则</w:t>
      </w:r>
    </w:p>
    <w:p>
      <w:pPr>
        <w:ind w:left="720" w:firstLine="470" w:leftChars="30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第二章  招标文件</w:t>
      </w:r>
    </w:p>
    <w:p>
      <w:pPr>
        <w:ind w:left="720" w:firstLine="470" w:leftChars="30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第三章  投标文件的编制</w:t>
      </w:r>
    </w:p>
    <w:p>
      <w:pPr>
        <w:ind w:left="720" w:firstLine="470" w:leftChars="30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第四章  投标文件的递交</w:t>
      </w:r>
    </w:p>
    <w:p>
      <w:pPr>
        <w:ind w:left="720" w:firstLine="470" w:leftChars="30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第五章  开标</w:t>
      </w:r>
    </w:p>
    <w:p>
      <w:pPr>
        <w:ind w:left="720" w:firstLine="470" w:leftChars="30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第六章  评审要求</w:t>
      </w:r>
    </w:p>
    <w:p>
      <w:pPr>
        <w:ind w:left="720" w:firstLine="470" w:leftChars="30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第七章  评审程序及评审方法</w:t>
      </w:r>
    </w:p>
    <w:p>
      <w:pPr>
        <w:ind w:left="720" w:firstLine="470" w:leftChars="30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第八章  定标及公示</w:t>
      </w:r>
    </w:p>
    <w:p>
      <w:pPr>
        <w:ind w:left="720" w:firstLine="470" w:leftChars="30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第九章  公开招标失败的后续处理</w:t>
      </w:r>
    </w:p>
    <w:p>
      <w:pPr>
        <w:ind w:left="720" w:firstLine="470" w:leftChars="30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第十章  合同的授予与备案</w:t>
      </w:r>
    </w:p>
    <w:p>
      <w:pPr>
        <w:ind w:left="720" w:firstLine="470" w:leftChars="30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第十一章  质疑处理</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1</w:t>
      </w:r>
      <w:r>
        <w:rPr>
          <w:rFonts w:ascii="宋体" w:hAnsi="宋体" w:hint="eastAsia"/>
          <w:color w:val="000000" w:themeColor="text1"/>
          <w:szCs w:val="21"/>
          <w:highlight w:val="none"/>
          <w14:textFill>
            <w14:solidFill>
              <w14:schemeClr w14:val="tx1"/>
            </w14:solidFill>
          </w14:textFill>
        </w:rPr>
        <w:t>.2投标人下载招标文件后，应仔细检查招标文件的所有内容，如有疑问应在答疑截止时间之前向</w:t>
      </w:r>
      <w:r>
        <w:rPr>
          <w:rFonts w:ascii="宋体" w:eastAsia="宋体" w:hAnsi="宋体" w:hint="eastAsia"/>
          <w:color w:val="000000" w:themeColor="text1"/>
          <w:szCs w:val="21"/>
          <w:highlight w:val="none"/>
          <w14:textFill>
            <w14:solidFill>
              <w14:schemeClr w14:val="tx1"/>
            </w14:solidFill>
          </w14:textFill>
        </w:rPr>
        <w:t>招标机构</w:t>
      </w:r>
      <w:r>
        <w:rPr>
          <w:rFonts w:ascii="宋体" w:hAnsi="宋体" w:hint="eastAsia"/>
          <w:color w:val="000000" w:themeColor="text1"/>
          <w:szCs w:val="21"/>
          <w:highlight w:val="none"/>
          <w14:textFill>
            <w14:solidFill>
              <w14:schemeClr w14:val="tx1"/>
            </w14:solidFill>
          </w14:textFill>
        </w:rPr>
        <w:t>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1</w:t>
      </w:r>
      <w:r>
        <w:rPr>
          <w:rFonts w:ascii="宋体" w:hAnsi="宋体" w:hint="eastAsia"/>
          <w:color w:val="000000" w:themeColor="text1"/>
          <w:szCs w:val="21"/>
          <w:highlight w:val="none"/>
          <w14:textFill>
            <w14:solidFill>
              <w14:schemeClr w14:val="tx1"/>
            </w14:solidFill>
          </w14:textFill>
        </w:rPr>
        <w:t>.3</w:t>
      </w:r>
      <w:r>
        <w:rPr>
          <w:rFonts w:ascii="宋体" w:hAnsi="宋体" w:hint="eastAsia"/>
          <w:color w:val="000000" w:themeColor="text1"/>
          <w:highlight w:val="none"/>
          <w14:textFill>
            <w14:solidFill>
              <w14:schemeClr w14:val="tx1"/>
            </w14:solidFill>
          </w14:textFill>
        </w:rPr>
        <w:t>任何人或任何组织向投标人提交的任何书面或口头资料，未经</w:t>
      </w:r>
      <w:r>
        <w:rPr>
          <w:rFonts w:ascii="宋体" w:eastAsia="宋体" w:hAnsi="宋体" w:hint="eastAsia"/>
          <w:color w:val="000000" w:themeColor="text1"/>
          <w:highlight w:val="none"/>
          <w14:textFill>
            <w14:solidFill>
              <w14:schemeClr w14:val="tx1"/>
            </w14:solidFill>
          </w14:textFill>
        </w:rPr>
        <w:t>招标机构</w:t>
      </w:r>
      <w:r>
        <w:rPr>
          <w:rFonts w:ascii="宋体" w:hAnsi="宋体" w:hint="eastAsia"/>
          <w:color w:val="000000" w:themeColor="text1"/>
          <w:highlight w:val="none"/>
          <w14:textFill>
            <w14:solidFill>
              <w14:schemeClr w14:val="tx1"/>
            </w14:solidFill>
          </w14:textFill>
        </w:rPr>
        <w:t>在网上发布或书面通知，均作无效处理，不得作为招标文件的组成部分。</w:t>
      </w:r>
      <w:r>
        <w:rPr>
          <w:rFonts w:ascii="宋体" w:eastAsia="宋体" w:hAnsi="宋体" w:hint="eastAsia"/>
          <w:color w:val="000000" w:themeColor="text1"/>
          <w:highlight w:val="none"/>
          <w14:textFill>
            <w14:solidFill>
              <w14:schemeClr w14:val="tx1"/>
            </w14:solidFill>
          </w14:textFill>
        </w:rPr>
        <w:t>招标机构</w:t>
      </w:r>
      <w:r>
        <w:rPr>
          <w:rFonts w:ascii="宋体" w:hAnsi="宋体" w:hint="eastAsia"/>
          <w:color w:val="000000" w:themeColor="text1"/>
          <w:highlight w:val="none"/>
          <w14:textFill>
            <w14:solidFill>
              <w14:schemeClr w14:val="tx1"/>
            </w14:solidFill>
          </w14:textFill>
        </w:rPr>
        <w:t>对投标人由此而做出的推论、理解和结论概不负责。</w:t>
      </w:r>
    </w:p>
    <w:p>
      <w:pPr>
        <w:rPr>
          <w:rFonts w:ascii="黑体" w:eastAsia="黑体" w:hAnsi="宋体"/>
          <w:color w:val="000000" w:themeColor="text1"/>
          <w:highlight w:val="none"/>
          <w14:textFill>
            <w14:solidFill>
              <w14:schemeClr w14:val="tx1"/>
            </w14:solidFill>
          </w14:textFill>
        </w:rPr>
      </w:pPr>
      <w:r>
        <w:rPr>
          <w:rFonts w:ascii="黑体" w:eastAsia="黑体" w:hAnsi="宋体" w:hint="eastAsia"/>
          <w:color w:val="000000" w:themeColor="text1"/>
          <w:highlight w:val="none"/>
          <w14:textFill>
            <w14:solidFill>
              <w14:schemeClr w14:val="tx1"/>
            </w14:solidFill>
          </w14:textFill>
        </w:rPr>
        <w:t>1</w:t>
      </w:r>
      <w:r>
        <w:rPr>
          <w:rFonts w:ascii="黑体" w:eastAsia="黑体" w:hAnsi="宋体"/>
          <w:color w:val="000000" w:themeColor="text1"/>
          <w:highlight w:val="none"/>
          <w14:textFill>
            <w14:solidFill>
              <w14:schemeClr w14:val="tx1"/>
            </w14:solidFill>
          </w14:textFill>
        </w:rPr>
        <w:t>2</w:t>
      </w:r>
      <w:r>
        <w:rPr>
          <w:rFonts w:ascii="黑体" w:eastAsia="黑体" w:hAnsi="宋体" w:hint="eastAsia"/>
          <w:color w:val="000000" w:themeColor="text1"/>
          <w:highlight w:val="none"/>
          <w14:textFill>
            <w14:solidFill>
              <w14:schemeClr w14:val="tx1"/>
            </w14:solidFill>
          </w14:textFill>
        </w:rPr>
        <w:t>．招标文件的澄清</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2</w:t>
      </w:r>
      <w:r>
        <w:rPr>
          <w:rFonts w:ascii="宋体" w:hAnsi="宋体" w:hint="eastAsia"/>
          <w:color w:val="000000" w:themeColor="text1"/>
          <w:szCs w:val="21"/>
          <w:highlight w:val="none"/>
          <w14:textFill>
            <w14:solidFill>
              <w14:schemeClr w14:val="tx1"/>
            </w14:solidFill>
          </w14:textFill>
        </w:rPr>
        <w:t>.1招标文件澄清的目的是澄清、解答投标人在查阅招标文件后或现场踏勘中可能提出的与投标有关的疑问或询问。</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2</w:t>
      </w:r>
      <w:r>
        <w:rPr>
          <w:rFonts w:ascii="宋体" w:hAnsi="宋体" w:hint="eastAsia"/>
          <w:color w:val="000000" w:themeColor="text1"/>
          <w:szCs w:val="21"/>
          <w:highlight w:val="none"/>
          <w14:textFill>
            <w14:solidFill>
              <w14:schemeClr w14:val="tx1"/>
            </w14:solidFill>
          </w14:textFill>
        </w:rPr>
        <w:t>.2投标人如对招标文件内容有疑问，应当在招标公告规定的澄清（提问）截止时间前以网上提问的形式通过网上政府采购系统提交</w:t>
      </w:r>
      <w:r>
        <w:rPr>
          <w:rFonts w:ascii="宋体" w:eastAsia="宋体" w:hAnsi="宋体" w:hint="eastAsia"/>
          <w:color w:val="000000" w:themeColor="text1"/>
          <w:szCs w:val="21"/>
          <w:highlight w:val="none"/>
          <w14:textFill>
            <w14:solidFill>
              <w14:schemeClr w14:val="tx1"/>
            </w14:solidFill>
          </w14:textFill>
        </w:rPr>
        <w:t>招标机构</w:t>
      </w:r>
      <w:r>
        <w:rPr>
          <w:rFonts w:ascii="宋体" w:hAnsi="宋体" w:hint="eastAsia"/>
          <w:color w:val="000000" w:themeColor="text1"/>
          <w:szCs w:val="21"/>
          <w:highlight w:val="none"/>
          <w14:textFill>
            <w14:solidFill>
              <w14:schemeClr w14:val="tx1"/>
            </w14:solidFill>
          </w14:textFill>
        </w:rPr>
        <w:t>。</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2</w:t>
      </w:r>
      <w:r>
        <w:rPr>
          <w:rFonts w:ascii="宋体" w:hAnsi="宋体" w:hint="eastAsia"/>
          <w:color w:val="000000" w:themeColor="text1"/>
          <w:szCs w:val="21"/>
          <w:highlight w:val="none"/>
          <w14:textFill>
            <w14:solidFill>
              <w14:schemeClr w14:val="tx1"/>
            </w14:solidFill>
          </w14:textFill>
        </w:rPr>
        <w:t>.3不论是招标机构根据需要主动对招标文件进行必要的澄清或是根据投标人的要求对招标文件做出澄清，招标机构都将在投标截止日期前以书面形式（包括招标机构网站发布方式）答复或发送给所有投标人。答复内容是招标文件的组成部分，对投标人起约束作用，其有效性按照本通用条款第1</w:t>
      </w:r>
      <w:r>
        <w:rPr>
          <w:rFonts w:ascii="宋体" w:hAnsi="宋体"/>
          <w:color w:val="000000" w:themeColor="text1"/>
          <w:szCs w:val="21"/>
          <w:highlight w:val="none"/>
          <w14:textFill>
            <w14:solidFill>
              <w14:schemeClr w14:val="tx1"/>
            </w14:solidFill>
          </w14:textFill>
        </w:rPr>
        <w:t>3.3</w:t>
      </w:r>
      <w:r>
        <w:rPr>
          <w:rFonts w:ascii="宋体" w:hAnsi="宋体" w:hint="eastAsia"/>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3.4</w:t>
      </w:r>
      <w:r>
        <w:rPr>
          <w:rFonts w:ascii="宋体" w:hAnsi="宋体" w:hint="eastAsia"/>
          <w:color w:val="000000" w:themeColor="text1"/>
          <w:szCs w:val="21"/>
          <w:highlight w:val="none"/>
          <w14:textFill>
            <w14:solidFill>
              <w14:schemeClr w14:val="tx1"/>
            </w14:solidFill>
          </w14:textFill>
        </w:rPr>
        <w:t>款规定执行。</w:t>
      </w:r>
    </w:p>
    <w:p>
      <w:pPr>
        <w:rPr>
          <w:rFonts w:ascii="黑体" w:eastAsia="黑体" w:hAnsi="宋体"/>
          <w:color w:val="000000" w:themeColor="text1"/>
          <w:highlight w:val="none"/>
          <w14:textFill>
            <w14:solidFill>
              <w14:schemeClr w14:val="tx1"/>
            </w14:solidFill>
          </w14:textFill>
        </w:rPr>
      </w:pPr>
      <w:r>
        <w:rPr>
          <w:rFonts w:ascii="黑体" w:eastAsia="黑体" w:hAnsi="宋体"/>
          <w:color w:val="000000" w:themeColor="text1"/>
          <w:highlight w:val="none"/>
          <w14:textFill>
            <w14:solidFill>
              <w14:schemeClr w14:val="tx1"/>
            </w14:solidFill>
          </w14:textFill>
        </w:rPr>
        <w:t>1</w:t>
      </w:r>
      <w:r>
        <w:rPr>
          <w:rFonts w:ascii="黑体" w:eastAsia="黑体" w:hAnsi="宋体" w:hint="eastAsia"/>
          <w:color w:val="000000" w:themeColor="text1"/>
          <w:highlight w:val="none"/>
          <w14:textFill>
            <w14:solidFill>
              <w14:schemeClr w14:val="tx1"/>
            </w14:solidFill>
          </w14:textFill>
        </w:rPr>
        <w:t>3．招标文件的修改</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r>
        <w:rPr>
          <w:rFonts w:ascii="宋体" w:hAnsi="宋体" w:hint="eastAsia"/>
          <w:color w:val="000000" w:themeColor="text1"/>
          <w:szCs w:val="21"/>
          <w:highlight w:val="none"/>
          <w14:textFill>
            <w14:solidFill>
              <w14:schemeClr w14:val="tx1"/>
            </w14:solidFill>
          </w14:textFill>
        </w:rPr>
        <w:t>3.1招标文件发出后，在投标截止日期前任何时候，确需要变更招标文件内容的，招标机构可主动或在解答投标人提出的澄清问题时对招标文件进行修改。</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r>
        <w:rPr>
          <w:rFonts w:ascii="宋体" w:hAnsi="宋体" w:hint="eastAsia"/>
          <w:color w:val="000000" w:themeColor="text1"/>
          <w:szCs w:val="21"/>
          <w:highlight w:val="none"/>
          <w14:textFill>
            <w14:solidFill>
              <w14:schemeClr w14:val="tx1"/>
            </w14:solidFill>
          </w14:textFill>
        </w:rPr>
        <w:t>3.2招标文件的修改以书面形式（包括招标机构网站发布方式，如更正公告等）发送给所有投标人，招标文件的修改内容作为招标文件的组成部分，并具有约束力。</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r>
        <w:rPr>
          <w:rFonts w:ascii="宋体" w:hAnsi="宋体" w:hint="eastAsia"/>
          <w:color w:val="000000" w:themeColor="text1"/>
          <w:szCs w:val="21"/>
          <w:highlight w:val="none"/>
          <w14:textFill>
            <w14:solidFill>
              <w14:schemeClr w14:val="tx1"/>
            </w14:solidFill>
          </w14:textFill>
        </w:rPr>
        <w:t>3.3招标文件、招标文件澄清答复内容、招标文件修改补充内容均以书面形式（包括招标机构网站公开发布方式，如更正公告等）明确的内容为准。当招标文件、修改补充通知、招标文件澄清答复内容相互矛盾时，以最后发出的内容为准。</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r>
        <w:rPr>
          <w:rFonts w:ascii="宋体" w:hAnsi="宋体" w:hint="eastAsia"/>
          <w:color w:val="000000" w:themeColor="text1"/>
          <w:szCs w:val="21"/>
          <w:highlight w:val="none"/>
          <w14:textFill>
            <w14:solidFill>
              <w14:schemeClr w14:val="tx1"/>
            </w14:solidFill>
          </w14:textFill>
        </w:rPr>
        <w:t>3.4招标机构保证招标文件澄清答复内容和招标文件修改补充内容在投标截止时间前以书面形式（包括招标机构网站发布方式，如更正公告等）发送给所有投标人。为使投标人在编制投标文件时有充分时间对招标文件的修改部分进行研究，招标机构可以酌情延长递交投标文件的截止日期。</w:t>
      </w:r>
      <w:bookmarkEnd w:id="51"/>
    </w:p>
    <w:p>
      <w:pPr>
        <w:pStyle w:val="NormalIndent"/>
        <w:rPr>
          <w:highlight w:val="none"/>
        </w:rPr>
      </w:pPr>
    </w:p>
    <w:p>
      <w:pPr>
        <w:pStyle w:val="Heading2"/>
        <w:numPr>
          <w:ilvl w:val="0"/>
          <w:numId w:val="2"/>
        </w:numPr>
        <w:tabs>
          <w:tab w:val="left" w:pos="360"/>
          <w:tab w:val="clear" w:pos="720"/>
        </w:tabs>
        <w:spacing w:before="120" w:beforeLines="50" w:after="120" w:afterLines="50"/>
        <w:ind w:left="562" w:hanging="562"/>
        <w:rPr>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投标文件的编制</w:t>
      </w:r>
    </w:p>
    <w:p>
      <w:pPr>
        <w:rPr>
          <w:rFonts w:ascii="黑体" w:eastAsia="黑体" w:hAnsi="宋体"/>
          <w:color w:val="000000" w:themeColor="text1"/>
          <w:highlight w:val="none"/>
          <w14:textFill>
            <w14:solidFill>
              <w14:schemeClr w14:val="tx1"/>
            </w14:solidFill>
          </w14:textFill>
        </w:rPr>
      </w:pPr>
      <w:r>
        <w:rPr>
          <w:rFonts w:ascii="黑体" w:eastAsia="黑体" w:hAnsi="宋体" w:hint="eastAsia"/>
          <w:color w:val="000000" w:themeColor="text1"/>
          <w:highlight w:val="none"/>
          <w14:textFill>
            <w14:solidFill>
              <w14:schemeClr w14:val="tx1"/>
            </w14:solidFill>
          </w14:textFill>
        </w:rPr>
        <w:t>14．</w:t>
      </w:r>
      <w:bookmarkStart w:id="52" w:name="_Hlk72400236"/>
      <w:r>
        <w:rPr>
          <w:rFonts w:ascii="黑体" w:eastAsia="黑体" w:hAnsi="宋体" w:hint="eastAsia"/>
          <w:color w:val="000000" w:themeColor="text1"/>
          <w:highlight w:val="none"/>
          <w14:textFill>
            <w14:solidFill>
              <w14:schemeClr w14:val="tx1"/>
            </w14:solidFill>
          </w14:textFill>
        </w:rPr>
        <w:t>投标文件的语言及度量单位</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14.1投标人与招标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14.2除技术规范另有规定外，投标文件使用的度量单位，均采用中华人民共和国法定计量单位。</w:t>
      </w:r>
    </w:p>
    <w:p>
      <w:pPr>
        <w:rPr>
          <w:rFonts w:ascii="黑体" w:eastAsia="黑体" w:hAnsi="宋体"/>
          <w:color w:val="000000" w:themeColor="text1"/>
          <w:highlight w:val="none"/>
          <w14:textFill>
            <w14:solidFill>
              <w14:schemeClr w14:val="tx1"/>
            </w14:solidFill>
          </w14:textFill>
        </w:rPr>
      </w:pPr>
      <w:bookmarkEnd w:id="52"/>
      <w:r>
        <w:rPr>
          <w:rFonts w:ascii="黑体" w:eastAsia="黑体" w:hAnsi="宋体" w:hint="eastAsia"/>
          <w:color w:val="000000" w:themeColor="text1"/>
          <w:highlight w:val="none"/>
          <w14:textFill>
            <w14:solidFill>
              <w14:schemeClr w14:val="tx1"/>
            </w14:solidFill>
          </w14:textFill>
        </w:rPr>
        <w:t>15．</w:t>
      </w:r>
      <w:bookmarkStart w:id="53" w:name="_Hlk72401567"/>
      <w:r>
        <w:rPr>
          <w:rFonts w:ascii="黑体" w:eastAsia="黑体" w:hAnsi="宋体" w:hint="eastAsia"/>
          <w:color w:val="000000" w:themeColor="text1"/>
          <w:highlight w:val="none"/>
          <w14:textFill>
            <w14:solidFill>
              <w14:schemeClr w14:val="tx1"/>
            </w14:solidFill>
          </w14:textFill>
        </w:rPr>
        <w:t>投标文件的组成</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具体内容在招标文件专用条款中进行规定。</w:t>
      </w:r>
    </w:p>
    <w:p>
      <w:pPr>
        <w:rPr>
          <w:rFonts w:ascii="黑体" w:eastAsia="黑体" w:hAnsi="宋体"/>
          <w:color w:val="000000" w:themeColor="text1"/>
          <w:highlight w:val="none"/>
          <w14:textFill>
            <w14:solidFill>
              <w14:schemeClr w14:val="tx1"/>
            </w14:solidFill>
          </w14:textFill>
        </w:rPr>
      </w:pPr>
      <w:r>
        <w:rPr>
          <w:rFonts w:ascii="黑体" w:eastAsia="黑体" w:hAnsi="宋体"/>
          <w:color w:val="000000" w:themeColor="text1"/>
          <w:highlight w:val="none"/>
          <w14:textFill>
            <w14:solidFill>
              <w14:schemeClr w14:val="tx1"/>
            </w14:solidFill>
          </w14:textFill>
        </w:rPr>
        <w:t>16．投标文件格式</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投标文件包括本通用条款第</w:t>
      </w:r>
      <w:r>
        <w:rPr>
          <w:rFonts w:ascii="宋体" w:hAnsi="宋体"/>
          <w:color w:val="000000" w:themeColor="text1"/>
          <w:szCs w:val="21"/>
          <w:highlight w:val="none"/>
          <w14:textFill>
            <w14:solidFill>
              <w14:schemeClr w14:val="tx1"/>
            </w14:solidFill>
          </w14:textFill>
        </w:rPr>
        <w:t>15条中规定的内容。如招标文件提供了投标文件格式，则</w:t>
      </w:r>
      <w:r>
        <w:rPr>
          <w:rFonts w:ascii="宋体" w:hAnsi="宋体" w:hint="eastAsia"/>
          <w:b/>
          <w:bCs/>
          <w:color w:val="000000" w:themeColor="text1"/>
          <w:szCs w:val="21"/>
          <w:highlight w:val="none"/>
          <w14:textFill>
            <w14:solidFill>
              <w14:schemeClr w14:val="tx1"/>
            </w14:solidFill>
          </w14:textFill>
        </w:rPr>
        <w:t>投标人提交的投标文件应毫无例外地使用招标文件所提供的相应格式</w:t>
      </w:r>
      <w:r>
        <w:rPr>
          <w:rFonts w:ascii="宋体" w:hAnsi="宋体" w:hint="eastAsia"/>
          <w:color w:val="000000" w:themeColor="text1"/>
          <w:szCs w:val="21"/>
          <w:highlight w:val="none"/>
          <w14:textFill>
            <w14:solidFill>
              <w14:schemeClr w14:val="tx1"/>
            </w14:solidFill>
          </w14:textFill>
        </w:rPr>
        <w:t>（表格均可按同样格式扩展）。</w:t>
      </w:r>
    </w:p>
    <w:p>
      <w:pPr>
        <w:rPr>
          <w:rFonts w:ascii="黑体" w:eastAsia="黑体" w:hAnsi="宋体"/>
          <w:color w:val="000000" w:themeColor="text1"/>
          <w:highlight w:val="none"/>
          <w14:textFill>
            <w14:solidFill>
              <w14:schemeClr w14:val="tx1"/>
            </w14:solidFill>
          </w14:textFill>
        </w:rPr>
      </w:pPr>
      <w:r>
        <w:rPr>
          <w:rFonts w:ascii="黑体" w:eastAsia="黑体" w:hAnsi="宋体" w:hint="eastAsia"/>
          <w:color w:val="000000" w:themeColor="text1"/>
          <w:highlight w:val="none"/>
          <w14:textFill>
            <w14:solidFill>
              <w14:schemeClr w14:val="tx1"/>
            </w14:solidFill>
          </w14:textFill>
        </w:rPr>
        <w:t>17．投标货币</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本项目的投标报价应以人民币计。</w:t>
      </w:r>
    </w:p>
    <w:p>
      <w:pPr>
        <w:rPr>
          <w:rFonts w:ascii="黑体" w:eastAsia="黑体" w:hAnsi="宋体"/>
          <w:color w:val="000000" w:themeColor="text1"/>
          <w:highlight w:val="none"/>
          <w14:textFill>
            <w14:solidFill>
              <w14:schemeClr w14:val="tx1"/>
            </w14:solidFill>
          </w14:textFill>
        </w:rPr>
      </w:pPr>
      <w:bookmarkEnd w:id="53"/>
      <w:r>
        <w:rPr>
          <w:rFonts w:ascii="黑体" w:eastAsia="黑体" w:hAnsi="宋体" w:hint="eastAsia"/>
          <w:color w:val="000000" w:themeColor="text1"/>
          <w:highlight w:val="none"/>
          <w14:textFill>
            <w14:solidFill>
              <w14:schemeClr w14:val="tx1"/>
            </w14:solidFill>
          </w14:textFill>
        </w:rPr>
        <w:t>18．</w:t>
      </w:r>
      <w:bookmarkStart w:id="54" w:name="_Hlk72401735"/>
      <w:r>
        <w:rPr>
          <w:rFonts w:ascii="黑体" w:eastAsia="黑体" w:hAnsi="宋体" w:hint="eastAsia"/>
          <w:color w:val="000000" w:themeColor="text1"/>
          <w:highlight w:val="none"/>
          <w14:textFill>
            <w14:solidFill>
              <w14:schemeClr w14:val="tx1"/>
            </w14:solidFill>
          </w14:textFill>
        </w:rPr>
        <w:t>证明投标文件投标技术方案的合格性和符合招标文件规定的文件要求</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18</w:t>
      </w:r>
      <w:r>
        <w:rPr>
          <w:rFonts w:ascii="宋体" w:hAnsi="宋体"/>
          <w:color w:val="000000" w:themeColor="text1"/>
          <w:szCs w:val="21"/>
          <w:highlight w:val="none"/>
          <w14:textFill>
            <w14:solidFill>
              <w14:schemeClr w14:val="tx1"/>
            </w14:solidFill>
          </w14:textFill>
        </w:rPr>
        <w:t>.1</w:t>
      </w:r>
      <w:r>
        <w:rPr>
          <w:rFonts w:ascii="宋体" w:hAnsi="宋体" w:hint="eastAsia"/>
          <w:color w:val="000000" w:themeColor="text1"/>
          <w:szCs w:val="21"/>
          <w:highlight w:val="none"/>
          <w14:textFill>
            <w14:solidFill>
              <w14:schemeClr w14:val="tx1"/>
            </w14:solidFill>
          </w14:textFill>
        </w:rPr>
        <w:t>投标人应提交证明文件，证明其投标技术方案项下的货物和服务的合格性符合招标文件规定。该投标技术方案及其证明文件均作为投标文件组成部分。</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r>
        <w:rPr>
          <w:rFonts w:ascii="宋体" w:hAnsi="宋体" w:hint="eastAsia"/>
          <w:color w:val="000000" w:themeColor="text1"/>
          <w:szCs w:val="21"/>
          <w:highlight w:val="none"/>
          <w14:textFill>
            <w14:solidFill>
              <w14:schemeClr w14:val="tx1"/>
            </w14:solidFill>
          </w14:textFill>
        </w:rPr>
        <w:t>8</w:t>
      </w:r>
      <w:r>
        <w:rPr>
          <w:rFonts w:ascii="宋体" w:hAnsi="宋体"/>
          <w:color w:val="000000" w:themeColor="text1"/>
          <w:szCs w:val="21"/>
          <w:highlight w:val="none"/>
          <w14:textFill>
            <w14:solidFill>
              <w14:schemeClr w14:val="tx1"/>
            </w14:solidFill>
          </w14:textFill>
        </w:rPr>
        <w:t>.2</w:t>
      </w:r>
      <w:r>
        <w:rPr>
          <w:rFonts w:ascii="宋体" w:hAnsi="宋体" w:hint="eastAsia"/>
          <w:color w:val="000000" w:themeColor="text1"/>
          <w:szCs w:val="21"/>
          <w:highlight w:val="none"/>
          <w14:textFill>
            <w14:solidFill>
              <w14:schemeClr w14:val="tx1"/>
            </w14:solidFill>
          </w14:textFill>
        </w:rPr>
        <w:t>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18.2.1主要技术指标和性能的详细说明。</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18.2.</w:t>
      </w:r>
      <w:r>
        <w:rPr>
          <w:rFonts w:ascii="宋体" w:hAnsi="宋体"/>
          <w:color w:val="000000" w:themeColor="text1"/>
          <w:szCs w:val="21"/>
          <w:highlight w:val="none"/>
          <w14:textFill>
            <w14:solidFill>
              <w14:schemeClr w14:val="tx1"/>
            </w14:solidFill>
          </w14:textFill>
        </w:rPr>
        <w:t>2</w:t>
      </w:r>
      <w:r>
        <w:rPr>
          <w:rFonts w:ascii="宋体" w:hAnsi="宋体" w:hint="eastAsia"/>
          <w:color w:val="000000" w:themeColor="text1"/>
          <w:szCs w:val="21"/>
          <w:highlight w:val="none"/>
          <w14:textFill>
            <w14:solidFill>
              <w14:schemeClr w14:val="tx1"/>
            </w14:solidFill>
          </w14:textFill>
        </w:rPr>
        <w:t>投标产品从采购人开始使用至招标文件中规定的周期内正常、连续地使用所必须的备件和专用工具清单，包括备件和专用工具的货源及现行价格。</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18.2.</w:t>
      </w:r>
      <w:r>
        <w:rPr>
          <w:rFonts w:ascii="宋体" w:hAnsi="宋体"/>
          <w:color w:val="000000" w:themeColor="text1"/>
          <w:szCs w:val="21"/>
          <w:highlight w:val="none"/>
          <w14:textFill>
            <w14:solidFill>
              <w14:schemeClr w14:val="tx1"/>
            </w14:solidFill>
          </w14:textFill>
        </w:rPr>
        <w:t>3</w:t>
      </w:r>
      <w:r>
        <w:rPr>
          <w:rFonts w:ascii="宋体" w:hAnsi="宋体" w:hint="eastAsia"/>
          <w:color w:val="000000" w:themeColor="text1"/>
          <w:szCs w:val="21"/>
          <w:highlight w:val="none"/>
          <w14:textFill>
            <w14:solidFill>
              <w14:schemeClr w14:val="tx1"/>
            </w14:solidFill>
          </w14:textFill>
        </w:rPr>
        <w:t>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Pr>
          <w:rFonts w:hint="eastAsia"/>
          <w:color w:val="000000" w:themeColor="text1"/>
          <w:highlight w:val="none"/>
          <w14:textFill>
            <w14:solidFill>
              <w14:schemeClr w14:val="tx1"/>
            </w14:solidFill>
          </w14:textFill>
        </w:rPr>
        <w:t>清晰度要求能够使用电脑阅读、识别和判断</w:t>
      </w:r>
      <w:r>
        <w:rPr>
          <w:rFonts w:ascii="宋体" w:hAnsi="宋体" w:hint="eastAsia"/>
          <w:color w:val="000000" w:themeColor="text1"/>
          <w:szCs w:val="21"/>
          <w:highlight w:val="none"/>
          <w14:textFill>
            <w14:solidFill>
              <w14:schemeClr w14:val="tx1"/>
            </w14:solidFill>
          </w14:textFill>
        </w:rPr>
        <w:t>；</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18.2.5我国政府机构出具的产品检验和核准证件应为证件正面、背面和附件标注的全部具体内容；产品检验和核准证件的尺寸和清晰度应该能够在电脑上被阅读、识别和判断，提供原件扫描件。</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18.3相关资料不符合18.2款要求的，评审委员会有权认定为投标技术方案不合格响应，其相关分数予以扣减或作投标无效处理。</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r>
        <w:rPr>
          <w:rFonts w:ascii="宋体" w:hAnsi="宋体" w:hint="eastAsia"/>
          <w:color w:val="000000" w:themeColor="text1"/>
          <w:szCs w:val="21"/>
          <w:highlight w:val="none"/>
          <w14:textFill>
            <w14:solidFill>
              <w14:schemeClr w14:val="tx1"/>
            </w14:solidFill>
          </w14:textFill>
        </w:rPr>
        <w:t>8</w:t>
      </w:r>
      <w:r>
        <w:rPr>
          <w:rFonts w:ascii="宋体" w:hAnsi="宋体"/>
          <w:color w:val="000000" w:themeColor="text1"/>
          <w:szCs w:val="21"/>
          <w:highlight w:val="none"/>
          <w14:textFill>
            <w14:solidFill>
              <w14:schemeClr w14:val="tx1"/>
            </w14:solidFill>
          </w14:textFill>
        </w:rPr>
        <w:t>.</w:t>
      </w:r>
      <w:r>
        <w:rPr>
          <w:rFonts w:ascii="宋体" w:hAnsi="宋体" w:hint="eastAsia"/>
          <w:color w:val="000000" w:themeColor="text1"/>
          <w:szCs w:val="21"/>
          <w:highlight w:val="none"/>
          <w14:textFill>
            <w14:solidFill>
              <w14:schemeClr w14:val="tx1"/>
            </w14:solidFill>
          </w14:textFill>
        </w:rPr>
        <w:t>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hint="eastAsia"/>
          <w:color w:val="000000" w:themeColor="text1"/>
          <w:highlight w:val="none"/>
          <w14:textFill>
            <w14:solidFill>
              <w14:schemeClr w14:val="tx1"/>
            </w14:solidFill>
          </w14:textFill>
        </w:rPr>
        <w:t>满足要求</w:t>
      </w:r>
      <w:r>
        <w:rPr>
          <w:rFonts w:ascii="宋体" w:hAnsi="宋体" w:hint="eastAsia"/>
          <w:color w:val="000000" w:themeColor="text1"/>
          <w:szCs w:val="21"/>
          <w:highlight w:val="none"/>
          <w14:textFill>
            <w14:solidFill>
              <w14:schemeClr w14:val="tx1"/>
            </w14:solidFill>
          </w14:textFill>
        </w:rPr>
        <w:t>，由评审委员会来评判。</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18.5除非另有规定或说明，投标人对同一项目投标时，不得同时提供两套或两套以上的投标方案。</w:t>
      </w:r>
    </w:p>
    <w:p>
      <w:pPr>
        <w:rPr>
          <w:rFonts w:ascii="黑体" w:eastAsia="黑体" w:hAnsi="宋体"/>
          <w:color w:val="000000" w:themeColor="text1"/>
          <w:highlight w:val="none"/>
          <w14:textFill>
            <w14:solidFill>
              <w14:schemeClr w14:val="tx1"/>
            </w14:solidFill>
          </w14:textFill>
        </w:rPr>
      </w:pPr>
      <w:bookmarkEnd w:id="54"/>
      <w:r>
        <w:rPr>
          <w:rFonts w:ascii="黑体" w:eastAsia="黑体" w:hAnsi="宋体" w:hint="eastAsia"/>
          <w:color w:val="000000" w:themeColor="text1"/>
          <w:highlight w:val="none"/>
          <w14:textFill>
            <w14:solidFill>
              <w14:schemeClr w14:val="tx1"/>
            </w14:solidFill>
          </w14:textFill>
        </w:rPr>
        <w:t>19．</w:t>
      </w:r>
      <w:bookmarkStart w:id="55" w:name="_Hlk72402034"/>
      <w:r>
        <w:rPr>
          <w:rFonts w:ascii="黑体" w:eastAsia="黑体" w:hAnsi="宋体" w:hint="eastAsia"/>
          <w:color w:val="000000" w:themeColor="text1"/>
          <w:highlight w:val="none"/>
          <w14:textFill>
            <w14:solidFill>
              <w14:schemeClr w14:val="tx1"/>
            </w14:solidFill>
          </w14:textFill>
        </w:rPr>
        <w:t>投标文件其他证明文件的要求</w:t>
      </w:r>
    </w:p>
    <w:p>
      <w:pPr>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19.1采用综合评分法的项目，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性审查或符合性审查条款的，则应作投标无效处理；若涉及评分的，则作不得分处理。</w:t>
      </w:r>
      <w:bookmarkStart w:id="56" w:name="_Hlk71407299"/>
    </w:p>
    <w:p>
      <w:pPr>
        <w:ind w:firstLine="470" w:firstLineChars="196"/>
        <w:rPr>
          <w:rFonts w:ascii="宋体" w:hAnsi="宋体"/>
          <w:color w:val="000000" w:themeColor="text1"/>
          <w:szCs w:val="21"/>
          <w:highlight w:val="none"/>
          <w14:textFill>
            <w14:solidFill>
              <w14:schemeClr w14:val="tx1"/>
            </w14:solidFill>
          </w14:textFill>
        </w:rPr>
      </w:pPr>
      <w:bookmarkEnd w:id="56"/>
      <w:r>
        <w:rPr>
          <w:rFonts w:ascii="宋体" w:hAnsi="宋体" w:hint="eastAsia"/>
          <w:color w:val="000000" w:themeColor="text1"/>
          <w:szCs w:val="21"/>
          <w:highlight w:val="none"/>
          <w14:textFill>
            <w14:solidFill>
              <w14:schemeClr w14:val="tx1"/>
            </w14:solidFill>
          </w14:textFill>
        </w:rPr>
        <w:t>19.2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pPr>
        <w:rPr>
          <w:rFonts w:ascii="黑体" w:eastAsia="黑体" w:hAnsi="宋体"/>
          <w:color w:val="000000" w:themeColor="text1"/>
          <w:highlight w:val="none"/>
          <w14:textFill>
            <w14:solidFill>
              <w14:schemeClr w14:val="tx1"/>
            </w14:solidFill>
          </w14:textFill>
        </w:rPr>
      </w:pPr>
      <w:r>
        <w:rPr>
          <w:rFonts w:ascii="黑体" w:eastAsia="黑体" w:hAnsi="宋体" w:hint="eastAsia"/>
          <w:color w:val="000000" w:themeColor="text1"/>
          <w:highlight w:val="none"/>
          <w14:textFill>
            <w14:solidFill>
              <w14:schemeClr w14:val="tx1"/>
            </w14:solidFill>
          </w14:textFill>
        </w:rPr>
        <w:t>20．投标有效期</w:t>
      </w:r>
    </w:p>
    <w:p>
      <w:pPr>
        <w:ind w:firstLine="470" w:firstLineChars="196"/>
        <w:rPr>
          <w:rFonts w:ascii="宋体" w:hAnsi="宋体"/>
          <w:color w:val="000000" w:themeColor="text1"/>
          <w:szCs w:val="21"/>
          <w:highlight w:val="none"/>
          <w14:textFill>
            <w14:solidFill>
              <w14:schemeClr w14:val="tx1"/>
            </w14:solidFill>
          </w14:textFill>
        </w:rPr>
      </w:pPr>
      <w:bookmarkEnd w:id="55"/>
      <w:bookmarkStart w:id="57" w:name="_Hlk72402214"/>
      <w:r>
        <w:rPr>
          <w:rFonts w:ascii="宋体" w:hAnsi="宋体" w:hint="eastAsia"/>
          <w:color w:val="000000" w:themeColor="text1"/>
          <w:szCs w:val="21"/>
          <w:highlight w:val="none"/>
          <w14:textFill>
            <w14:solidFill>
              <w14:schemeClr w14:val="tx1"/>
            </w14:solidFill>
          </w14:textFill>
        </w:rPr>
        <w:t>20.1投标有效期为从投标截止之日算起的日历天数。在此期限内，所有投标文件均保持有效。</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20.2 在特殊情况下，</w:t>
      </w:r>
      <w:r>
        <w:rPr>
          <w:rFonts w:ascii="宋体" w:eastAsia="宋体" w:hAnsi="宋体" w:hint="eastAsia"/>
          <w:color w:val="000000" w:themeColor="text1"/>
          <w:szCs w:val="21"/>
          <w:highlight w:val="none"/>
          <w14:textFill>
            <w14:solidFill>
              <w14:schemeClr w14:val="tx1"/>
            </w14:solidFill>
          </w14:textFill>
        </w:rPr>
        <w:t>招标机构</w:t>
      </w:r>
      <w:r>
        <w:rPr>
          <w:rFonts w:ascii="宋体" w:hAnsi="宋体" w:hint="eastAsia"/>
          <w:color w:val="000000" w:themeColor="text1"/>
          <w:szCs w:val="21"/>
          <w:highlight w:val="none"/>
          <w14:textFill>
            <w14:solidFill>
              <w14:schemeClr w14:val="tx1"/>
            </w14:solidFill>
          </w14:textFill>
        </w:rPr>
        <w:t>在原定的投标有效期满之前，</w:t>
      </w:r>
      <w:r>
        <w:rPr>
          <w:rFonts w:ascii="宋体" w:eastAsia="宋体" w:hAnsi="宋体" w:hint="eastAsia"/>
          <w:color w:val="000000" w:themeColor="text1"/>
          <w:szCs w:val="21"/>
          <w:highlight w:val="none"/>
          <w14:textFill>
            <w14:solidFill>
              <w14:schemeClr w14:val="tx1"/>
            </w14:solidFill>
          </w14:textFill>
        </w:rPr>
        <w:t>招标机构</w:t>
      </w:r>
      <w:r>
        <w:rPr>
          <w:rFonts w:ascii="宋体" w:hAnsi="宋体" w:hint="eastAsia"/>
          <w:color w:val="000000" w:themeColor="text1"/>
          <w:szCs w:val="21"/>
          <w:highlight w:val="none"/>
          <w14:textFill>
            <w14:solidFill>
              <w14:schemeClr w14:val="tx1"/>
            </w14:solidFill>
          </w14:textFill>
        </w:rPr>
        <w:t>可以根据需要以书面形式（包括</w:t>
      </w:r>
      <w:r>
        <w:rPr>
          <w:rFonts w:ascii="宋体" w:eastAsia="宋体" w:hAnsi="宋体" w:hint="eastAsia"/>
          <w:color w:val="000000" w:themeColor="text1"/>
          <w:szCs w:val="21"/>
          <w:highlight w:val="none"/>
          <w14:textFill>
            <w14:solidFill>
              <w14:schemeClr w14:val="tx1"/>
            </w14:solidFill>
          </w14:textFill>
        </w:rPr>
        <w:t>招标机构</w:t>
      </w:r>
      <w:r>
        <w:rPr>
          <w:rFonts w:ascii="宋体" w:hAnsi="宋体" w:hint="eastAsia"/>
          <w:color w:val="000000" w:themeColor="text1"/>
          <w:szCs w:val="21"/>
          <w:highlight w:val="none"/>
          <w14:textFill>
            <w14:solidFill>
              <w14:schemeClr w14:val="tx1"/>
            </w14:solidFill>
          </w14:textFill>
        </w:rPr>
        <w:t>网站公开发布方式）向投标人提出延长投标有效期的要求，对此要求投标人须以书面形式予以答复，投标人可以拒绝</w:t>
      </w:r>
      <w:r>
        <w:rPr>
          <w:rFonts w:ascii="宋体" w:eastAsia="宋体" w:hAnsi="宋体" w:hint="eastAsia"/>
          <w:color w:val="000000" w:themeColor="text1"/>
          <w:szCs w:val="21"/>
          <w:highlight w:val="none"/>
          <w14:textFill>
            <w14:solidFill>
              <w14:schemeClr w14:val="tx1"/>
            </w14:solidFill>
          </w14:textFill>
        </w:rPr>
        <w:t>招标机构</w:t>
      </w:r>
      <w:r>
        <w:rPr>
          <w:rFonts w:ascii="宋体" w:hAnsi="宋体" w:hint="eastAsia"/>
          <w:color w:val="000000" w:themeColor="text1"/>
          <w:szCs w:val="21"/>
          <w:highlight w:val="none"/>
          <w14:textFill>
            <w14:solidFill>
              <w14:schemeClr w14:val="tx1"/>
            </w14:solidFill>
          </w14:textFill>
        </w:rPr>
        <w:t>此项要求，其投标在原投标有效期满后不再有效。同意延长投标有效期的投标人不能要求也不允许修改其投标文件。</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20</w:t>
      </w:r>
      <w:r>
        <w:rPr>
          <w:rFonts w:ascii="宋体" w:hAnsi="宋体"/>
          <w:color w:val="000000" w:themeColor="text1"/>
          <w:szCs w:val="21"/>
          <w:highlight w:val="none"/>
          <w14:textFill>
            <w14:solidFill>
              <w14:schemeClr w14:val="tx1"/>
            </w14:solidFill>
          </w14:textFill>
        </w:rPr>
        <w:t>.3</w:t>
      </w:r>
      <w:r>
        <w:rPr>
          <w:rFonts w:ascii="宋体" w:hAnsi="宋体" w:hint="eastAsia"/>
          <w:color w:val="000000" w:themeColor="text1"/>
          <w:szCs w:val="21"/>
          <w:highlight w:val="none"/>
          <w14:textFill>
            <w14:solidFill>
              <w14:schemeClr w14:val="tx1"/>
            </w14:solidFill>
          </w14:textFill>
        </w:rPr>
        <w:t>中标供应商的投标文件有效期，截止于完成本招标文件规定的全部项目内容，并通过竣工验收及保修期结束。</w:t>
      </w:r>
    </w:p>
    <w:p>
      <w:pPr>
        <w:rPr>
          <w:rFonts w:ascii="黑体" w:eastAsia="黑体" w:hAnsi="宋体"/>
          <w:color w:val="000000" w:themeColor="text1"/>
          <w:highlight w:val="none"/>
          <w14:textFill>
            <w14:solidFill>
              <w14:schemeClr w14:val="tx1"/>
            </w14:solidFill>
          </w14:textFill>
        </w:rPr>
      </w:pPr>
      <w:bookmarkEnd w:id="57"/>
      <w:r>
        <w:rPr>
          <w:rFonts w:ascii="黑体" w:eastAsia="黑体" w:hAnsi="宋体" w:hint="eastAsia"/>
          <w:color w:val="000000" w:themeColor="text1"/>
          <w:highlight w:val="none"/>
          <w14:textFill>
            <w14:solidFill>
              <w14:schemeClr w14:val="tx1"/>
            </w14:solidFill>
          </w14:textFill>
        </w:rPr>
        <w:t>21．</w:t>
      </w:r>
      <w:bookmarkStart w:id="58" w:name="_Hlk72402325"/>
      <w:r>
        <w:rPr>
          <w:rFonts w:ascii="黑体" w:eastAsia="黑体" w:hAnsi="宋体" w:hint="eastAsia"/>
          <w:color w:val="000000" w:themeColor="text1"/>
          <w:highlight w:val="none"/>
          <w14:textFill>
            <w14:solidFill>
              <w14:schemeClr w14:val="tx1"/>
            </w14:solidFill>
          </w14:textFill>
        </w:rPr>
        <w:t xml:space="preserve">关于投标保证金 </w:t>
      </w:r>
    </w:p>
    <w:p>
      <w:pPr>
        <w:rPr>
          <w:rFonts w:ascii="宋体" w:eastAsia="宋体" w:hAnsi="宋体"/>
          <w:szCs w:val="21"/>
          <w:highlight w:val="none"/>
        </w:rPr>
      </w:pPr>
      <w:r>
        <w:rPr>
          <w:rFonts w:ascii="宋体" w:hAnsi="宋体" w:hint="eastAsia"/>
          <w:color w:val="000000" w:themeColor="text1"/>
          <w:szCs w:val="21"/>
          <w:highlight w:val="none"/>
          <w14:textFill>
            <w14:solidFill>
              <w14:schemeClr w14:val="tx1"/>
            </w14:solidFill>
          </w14:textFill>
        </w:rPr>
        <w:t xml:space="preserve">  </w:t>
      </w:r>
      <w:r>
        <w:rPr>
          <w:rFonts w:ascii="宋体" w:eastAsia="宋体" w:hAnsi="宋体" w:hint="eastAsia"/>
          <w:color w:val="000000" w:themeColor="text1"/>
          <w:szCs w:val="21"/>
          <w:highlight w:val="none"/>
          <w14:textFill>
            <w14:solidFill>
              <w14:schemeClr w14:val="tx1"/>
            </w14:solidFill>
          </w14:textFill>
        </w:rPr>
        <w:t xml:space="preserve"> </w:t>
      </w:r>
      <w:r>
        <w:rPr>
          <w:rFonts w:ascii="宋体" w:eastAsia="宋体" w:hAnsi="宋体" w:hint="eastAsia"/>
          <w:szCs w:val="21"/>
          <w:highlight w:val="none"/>
        </w:rPr>
        <w:t xml:space="preserve">21.1 </w:t>
      </w:r>
      <w:r>
        <w:rPr>
          <w:rFonts w:ascii="宋体" w:eastAsia="宋体" w:hAnsi="宋体" w:hint="eastAsia"/>
          <w:highlight w:val="none"/>
        </w:rPr>
        <w:t>根据《深圳市财政局关于明确政府采购保证金管理工作的通知》（深财购</w:t>
      </w:r>
      <w:r>
        <w:rPr>
          <w:rFonts w:ascii="宋体" w:eastAsia="宋体" w:hAnsi="宋体"/>
          <w:highlight w:val="none"/>
        </w:rPr>
        <w:t>[2019]42</w:t>
      </w:r>
      <w:r>
        <w:rPr>
          <w:rFonts w:ascii="宋体" w:eastAsia="宋体" w:hAnsi="宋体" w:hint="eastAsia"/>
          <w:highlight w:val="none"/>
        </w:rPr>
        <w:t>号）文的规定，本项目不收取投标保证金。</w:t>
      </w:r>
    </w:p>
    <w:p>
      <w:pPr>
        <w:rPr>
          <w:rFonts w:ascii="黑体" w:eastAsia="黑体" w:hAnsi="宋体"/>
          <w:color w:val="000000" w:themeColor="text1"/>
          <w:highlight w:val="none"/>
          <w14:textFill>
            <w14:solidFill>
              <w14:schemeClr w14:val="tx1"/>
            </w14:solidFill>
          </w14:textFill>
        </w:rPr>
      </w:pPr>
      <w:r>
        <w:rPr>
          <w:rFonts w:ascii="黑体" w:eastAsia="黑体" w:hAnsi="宋体" w:hint="eastAsia"/>
          <w:color w:val="000000" w:themeColor="text1"/>
          <w:highlight w:val="none"/>
          <w14:textFill>
            <w14:solidFill>
              <w14:schemeClr w14:val="tx1"/>
            </w14:solidFill>
          </w14:textFill>
        </w:rPr>
        <w:t>22．投标人的替代方案</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22.1投标人所提交的投标文件应完全满足招标文件（包括图纸和技术规范所示的基本技术设计）的要求。除非项目明确允许投标人提交替代方案，否则投标人有关替代方案的条款将初审不通过，作投标无效处理。</w:t>
      </w:r>
    </w:p>
    <w:p>
      <w:pPr>
        <w:ind w:firstLine="480" w:firstLineChars="200"/>
        <w:rPr>
          <w:rFonts w:ascii="宋体" w:eastAsia="宋体" w:hAnsi="宋体"/>
          <w:color w:val="000000" w:themeColor="text1"/>
          <w:szCs w:val="21"/>
          <w:highlight w:val="none"/>
          <w14:textFill>
            <w14:solidFill>
              <w14:schemeClr w14:val="tx1"/>
            </w14:solidFill>
          </w14:textFill>
        </w:rPr>
      </w:pPr>
      <w:r>
        <w:rPr>
          <w:rFonts w:ascii="宋体" w:eastAsia="宋体" w:hAnsi="宋体" w:hint="eastAsia"/>
          <w:color w:val="000000" w:themeColor="text1"/>
          <w:szCs w:val="21"/>
          <w:highlight w:val="none"/>
          <w14:textFill>
            <w14:solidFill>
              <w14:schemeClr w14:val="tx1"/>
            </w14:solidFill>
          </w14:textFill>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p>
      <w:pPr>
        <w:rPr>
          <w:rFonts w:ascii="黑体" w:eastAsia="黑体" w:hAnsi="宋体"/>
          <w:color w:val="000000" w:themeColor="text1"/>
          <w:highlight w:val="none"/>
          <w14:textFill>
            <w14:solidFill>
              <w14:schemeClr w14:val="tx1"/>
            </w14:solidFill>
          </w14:textFill>
        </w:rPr>
      </w:pPr>
      <w:bookmarkEnd w:id="58"/>
      <w:r>
        <w:rPr>
          <w:rFonts w:ascii="黑体" w:eastAsia="黑体" w:hAnsi="宋体" w:hint="eastAsia"/>
          <w:color w:val="000000" w:themeColor="text1"/>
          <w:highlight w:val="none"/>
          <w14:textFill>
            <w14:solidFill>
              <w14:schemeClr w14:val="tx1"/>
            </w14:solidFill>
          </w14:textFill>
        </w:rPr>
        <w:t>23．</w:t>
      </w:r>
      <w:bookmarkStart w:id="59" w:name="_Hlk72402860"/>
      <w:r>
        <w:rPr>
          <w:rFonts w:ascii="黑体" w:eastAsia="黑体" w:hAnsi="宋体"/>
          <w:color w:val="000000" w:themeColor="text1"/>
          <w:highlight w:val="none"/>
          <w14:textFill>
            <w14:solidFill>
              <w14:schemeClr w14:val="tx1"/>
            </w14:solidFill>
          </w14:textFill>
        </w:rPr>
        <w:t>投标文件的</w:t>
      </w:r>
      <w:r>
        <w:rPr>
          <w:rFonts w:ascii="黑体" w:eastAsia="黑体" w:hAnsi="宋体" w:hint="eastAsia"/>
          <w:color w:val="000000" w:themeColor="text1"/>
          <w:highlight w:val="none"/>
          <w14:textFill>
            <w14:solidFill>
              <w14:schemeClr w14:val="tx1"/>
            </w14:solidFill>
          </w14:textFill>
        </w:rPr>
        <w:t>制作</w:t>
      </w:r>
      <w:r>
        <w:rPr>
          <w:rFonts w:ascii="黑体" w:eastAsia="黑体" w:hAnsi="宋体"/>
          <w:color w:val="000000" w:themeColor="text1"/>
          <w:highlight w:val="none"/>
          <w14:textFill>
            <w14:solidFill>
              <w14:schemeClr w14:val="tx1"/>
            </w14:solidFill>
          </w14:textFill>
        </w:rPr>
        <w:t>要求</w:t>
      </w:r>
    </w:p>
    <w:p>
      <w:pPr>
        <w:ind w:firstLine="47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23.1投标人应准备所投项目的电子投标文件一份。此电子投标文件须由投标人根据</w:t>
      </w:r>
      <w:r>
        <w:rPr>
          <w:rFonts w:ascii="宋体" w:eastAsia="宋体" w:hAnsi="宋体" w:hint="eastAsia"/>
          <w:color w:val="000000" w:themeColor="text1"/>
          <w:highlight w:val="none"/>
          <w14:textFill>
            <w14:solidFill>
              <w14:schemeClr w14:val="tx1"/>
            </w14:solidFill>
          </w14:textFill>
        </w:rPr>
        <w:t>招标机构</w:t>
      </w:r>
      <w:r>
        <w:rPr>
          <w:rFonts w:ascii="宋体" w:hAnsi="宋体" w:hint="eastAsia"/>
          <w:color w:val="000000" w:themeColor="text1"/>
          <w:highlight w:val="none"/>
          <w14:textFill>
            <w14:solidFill>
              <w14:schemeClr w14:val="tx1"/>
            </w14:solidFill>
          </w14:textFill>
        </w:rPr>
        <w:t>提供的后缀名为.szczf的电子招标文件，下载并使用相应的深圳智慧采购平台投标文件制作专用软件打开招标文件（.szczf格式）【下载地址：http://zfcg.szggzy.com:8081/cgxy/013002/20210923/173e0b2c-7a4c-4246-a0c7-e0ea75d84dd6.html】。</w:t>
      </w:r>
    </w:p>
    <w:p>
      <w:pPr>
        <w:ind w:firstLine="47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23.2投标人在使用《投标文件制作软件》编制投标书时须注意：</w:t>
      </w:r>
    </w:p>
    <w:p>
      <w:pPr>
        <w:ind w:firstLine="47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23.2.1导入《投标文件制作软件》的招标文件项目编号、包号应与以此制作的投标文件项目编号、包号一致。例如，不能将甲项目A包的招标书导入《投标文件制作软件》，制作乙项目B包的投标书。</w:t>
      </w:r>
    </w:p>
    <w:p>
      <w:pPr>
        <w:ind w:firstLine="47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23.2.2不能用非本公司的电子密钥加密本公司的投标文件，或者用其它公司的登录用户上传本公司的投标文件。</w:t>
      </w:r>
    </w:p>
    <w:p>
      <w:pPr>
        <w:ind w:firstLine="47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23.2.3要求用《投标文件制作软件》编制投标书的包，不能用其它方式编制投标书。编制投标文件时，电脑须连通互联网。</w:t>
      </w:r>
    </w:p>
    <w:p>
      <w:pPr>
        <w:ind w:firstLine="47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23.2.4投标文件不能带病毒。招标机构将用专业杀毒软件对投标文件进行病毒检测，如果这两种软件均报告发现病毒，则招标机构认为该投标文件带病毒。</w:t>
      </w:r>
    </w:p>
    <w:p>
      <w:pPr>
        <w:ind w:firstLine="47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23.2.5完整填写“投标关键信息”，如下图所示：</w:t>
      </w:r>
    </w:p>
    <w:p>
      <w:pPr>
        <w:ind w:firstLine="470" w:firstLineChars="196"/>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drawing>
          <wp:inline distT="0" distB="0" distL="0" distR="0">
            <wp:extent cx="5278755" cy="2721610"/>
            <wp:effectExtent l="0" t="0" r="0" b="2540"/>
            <wp:docPr id="9" name="图片 9"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图形用户界面, 应用程序&#10;&#10;描述已自动生成"/>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21610"/>
                    </a:xfrm>
                    <a:prstGeom prst="rect">
                      <a:avLst/>
                    </a:prstGeom>
                    <a:noFill/>
                    <a:ln>
                      <a:noFill/>
                    </a:ln>
                  </pic:spPr>
                </pic:pic>
              </a:graphicData>
            </a:graphic>
          </wp:inline>
        </w:drawing>
      </w:r>
    </w:p>
    <w:p>
      <w:pPr>
        <w:ind w:firstLine="470" w:firstLineChars="196"/>
        <w:rPr>
          <w:rFonts w:ascii="宋体" w:hAnsi="宋体"/>
          <w:b/>
          <w:color w:val="000000" w:themeColor="text1"/>
          <w:highlight w:val="none"/>
          <w14:textFill>
            <w14:solidFill>
              <w14:schemeClr w14:val="tx1"/>
            </w14:solidFill>
          </w14:textFill>
        </w:rPr>
      </w:pPr>
      <w:r>
        <w:rPr>
          <w:rFonts w:ascii="宋体" w:hAnsi="宋体" w:hint="eastAsia"/>
          <w:b/>
          <w:color w:val="000000" w:themeColor="text1"/>
          <w:highlight w:val="none"/>
          <w14:textFill>
            <w14:solidFill>
              <w14:schemeClr w14:val="tx1"/>
            </w14:solidFill>
          </w14:textFill>
        </w:rPr>
        <w:t>备注：上述“开标一览表”中的“投标总价”将作为价格分计算依据；其它信息仅是对投标文件相关内容的概括性表述，不作为评审依据。</w:t>
      </w:r>
    </w:p>
    <w:p>
      <w:pPr>
        <w:ind w:firstLine="47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23.2.6投标人在编辑投标文件时，</w:t>
      </w:r>
      <w:r>
        <w:rPr>
          <w:rFonts w:ascii="宋体" w:hAnsi="宋体" w:hint="eastAsia"/>
          <w:b/>
          <w:color w:val="000000" w:themeColor="text1"/>
          <w:highlight w:val="none"/>
          <w14:textFill>
            <w14:solidFill>
              <w14:schemeClr w14:val="tx1"/>
            </w14:solidFill>
          </w14:textFill>
        </w:rPr>
        <w:t>在投标文件目录中属于本节点内容的必须在本节点中填写，填写到其他节点或附件，</w:t>
      </w:r>
      <w:r>
        <w:rPr>
          <w:rFonts w:ascii="宋体" w:hAnsi="宋体" w:hint="eastAsia"/>
          <w:color w:val="000000" w:themeColor="text1"/>
          <w:highlight w:val="none"/>
          <w14:textFill>
            <w14:solidFill>
              <w14:schemeClr w14:val="tx1"/>
            </w14:solidFill>
          </w14:textFill>
        </w:rPr>
        <w:t>一切后果由供应商自行承担。</w:t>
      </w:r>
    </w:p>
    <w:p>
      <w:pPr>
        <w:ind w:firstLine="47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23.2.7投标文件编写完成后，</w:t>
      </w:r>
      <w:r>
        <w:rPr>
          <w:rFonts w:ascii="宋体" w:hAnsi="宋体" w:hint="eastAsia"/>
          <w:b/>
          <w:color w:val="000000" w:themeColor="text1"/>
          <w:highlight w:val="none"/>
          <w14:textFill>
            <w14:solidFill>
              <w14:schemeClr w14:val="tx1"/>
            </w14:solidFill>
          </w14:textFill>
        </w:rPr>
        <w:t>必须用属于投标人的电子密钥进行加密，否则视同未盖公章，将导致投标文件无效。</w:t>
      </w:r>
    </w:p>
    <w:p>
      <w:pPr>
        <w:ind w:firstLine="47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23.2.8招标机构不接受投标截止时间后递交的纸质、电子、传真等所有形式的投标文件。由于对网上政府采购系统操作不熟悉或自身电脑、网络等原因导致不能在投标截止时间之前上传投标文件，招标机构概不负责。建议于开标前一个工作日完成投标文件的制作与上传，如上传确有困难，请及时咨询。</w:t>
      </w:r>
    </w:p>
    <w:p>
      <w:pPr>
        <w:ind w:firstLine="47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23.2.9如果开标时出现网络故障、技术故障，影响了政府采购活动，招标机构有权采取措施如延期、接受无法从网上上传的投标书等，以保障政府采购活动的公开、公平和公正。</w:t>
      </w:r>
    </w:p>
    <w:p>
      <w:pPr>
        <w:ind w:firstLine="47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23.3电报、电话、传真形式的投标概不接受。</w:t>
      </w:r>
    </w:p>
    <w:p>
      <w:pPr>
        <w:ind w:firstLine="470" w:firstLineChars="196"/>
        <w:rPr>
          <w:rFonts w:ascii="宋体" w:hAnsi="宋体"/>
          <w:b/>
          <w:color w:val="000000" w:themeColor="text1"/>
          <w:highlight w:val="none"/>
          <w14:textFill>
            <w14:solidFill>
              <w14:schemeClr w14:val="tx1"/>
            </w14:solidFill>
          </w14:textFill>
        </w:rPr>
      </w:pPr>
      <w:r>
        <w:rPr>
          <w:rFonts w:ascii="宋体" w:hAnsi="宋体" w:hint="eastAsia"/>
          <w:b/>
          <w:color w:val="000000" w:themeColor="text1"/>
          <w:highlight w:val="none"/>
          <w14:textFill>
            <w14:solidFill>
              <w14:schemeClr w14:val="tx1"/>
            </w14:solidFill>
          </w14:textFill>
        </w:rPr>
        <w:t>23.4经投标人电子密钥加密的投标文件无须盖章或签字，</w:t>
      </w:r>
      <w:r>
        <w:rPr>
          <w:rFonts w:ascii="宋体" w:hAnsi="宋体" w:hint="eastAsia"/>
          <w:color w:val="000000" w:themeColor="text1"/>
          <w:highlight w:val="none"/>
          <w14:textFill>
            <w14:solidFill>
              <w14:schemeClr w14:val="tx1"/>
            </w14:solidFill>
          </w14:textFill>
        </w:rPr>
        <w:t>专用条款另有要求的除外。</w:t>
      </w:r>
    </w:p>
    <w:p>
      <w:pPr>
        <w:ind w:firstLine="470" w:firstLineChars="196"/>
        <w:rPr>
          <w:rFonts w:ascii="宋体" w:hAnsi="宋体"/>
          <w:color w:val="000000" w:themeColor="text1"/>
          <w:highlight w:val="none"/>
          <w14:textFill>
            <w14:solidFill>
              <w14:schemeClr w14:val="tx1"/>
            </w14:solidFill>
          </w14:textFill>
        </w:rPr>
      </w:pPr>
      <w:r>
        <w:rPr>
          <w:rFonts w:ascii="宋体" w:hAnsi="宋体" w:hint="eastAsia"/>
          <w:b/>
          <w:color w:val="000000" w:themeColor="text1"/>
          <w:highlight w:val="none"/>
          <w14:textFill>
            <w14:solidFill>
              <w14:schemeClr w14:val="tx1"/>
            </w14:solidFill>
          </w14:textFill>
        </w:rPr>
        <w:t>23.5</w:t>
      </w:r>
      <w:r>
        <w:rPr>
          <w:rFonts w:ascii="宋体" w:hAnsi="宋体" w:hint="eastAsia"/>
          <w:color w:val="000000" w:themeColor="text1"/>
          <w:highlight w:val="none"/>
          <w14:textFill>
            <w14:solidFill>
              <w14:schemeClr w14:val="tx1"/>
            </w14:solidFill>
          </w14:textFill>
        </w:rPr>
        <w:t xml:space="preserve"> 各类资格（资质）文件提供扫描件，专用条款另有要求的除外。</w:t>
      </w:r>
      <w:bookmarkEnd w:id="59"/>
    </w:p>
    <w:p>
      <w:pPr>
        <w:pStyle w:val="NormalIndent"/>
        <w:rPr>
          <w:highlight w:val="none"/>
        </w:rPr>
      </w:pPr>
    </w:p>
    <w:p>
      <w:pPr>
        <w:rPr>
          <w:highlight w:val="none"/>
        </w:rPr>
      </w:pPr>
    </w:p>
    <w:p>
      <w:pPr>
        <w:pStyle w:val="NormalIndent"/>
        <w:rPr>
          <w:highlight w:val="none"/>
        </w:rPr>
      </w:pPr>
    </w:p>
    <w:p>
      <w:pPr>
        <w:rPr>
          <w:highlight w:val="none"/>
        </w:rPr>
      </w:pPr>
    </w:p>
    <w:p>
      <w:pPr>
        <w:pStyle w:val="NormalIndent"/>
        <w:rPr>
          <w:highlight w:val="none"/>
        </w:rPr>
      </w:pPr>
    </w:p>
    <w:p>
      <w:pPr>
        <w:rPr>
          <w:highlight w:val="none"/>
        </w:rPr>
      </w:pPr>
    </w:p>
    <w:p>
      <w:pPr>
        <w:pStyle w:val="NormalIndent"/>
        <w:rPr>
          <w:highlight w:val="none"/>
        </w:rPr>
      </w:pPr>
    </w:p>
    <w:p>
      <w:pPr>
        <w:rPr>
          <w:highlight w:val="none"/>
        </w:rPr>
      </w:pPr>
    </w:p>
    <w:p>
      <w:pPr>
        <w:pStyle w:val="NormalIndent"/>
        <w:rPr>
          <w:highlight w:val="none"/>
        </w:rPr>
      </w:pPr>
    </w:p>
    <w:p>
      <w:pPr>
        <w:rPr>
          <w:highlight w:val="none"/>
        </w:rPr>
      </w:pPr>
    </w:p>
    <w:p>
      <w:pPr>
        <w:pStyle w:val="NormalIndent"/>
        <w:rPr>
          <w:highlight w:val="none"/>
        </w:rPr>
      </w:pPr>
    </w:p>
    <w:p>
      <w:pPr>
        <w:rPr>
          <w:highlight w:val="none"/>
        </w:rPr>
      </w:pPr>
    </w:p>
    <w:p>
      <w:pPr>
        <w:pStyle w:val="NormalIndent"/>
        <w:rPr>
          <w:highlight w:val="none"/>
        </w:rPr>
      </w:pPr>
    </w:p>
    <w:p>
      <w:pPr>
        <w:pStyle w:val="NormalIndent"/>
        <w:rPr>
          <w:highlight w:val="none"/>
        </w:rPr>
      </w:pPr>
    </w:p>
    <w:p>
      <w:pPr>
        <w:pStyle w:val="Heading2"/>
        <w:numPr>
          <w:ilvl w:val="0"/>
          <w:numId w:val="2"/>
        </w:numPr>
        <w:tabs>
          <w:tab w:val="left" w:pos="360"/>
          <w:tab w:val="clear" w:pos="720"/>
        </w:tabs>
        <w:spacing w:before="120" w:beforeLines="50" w:after="120" w:afterLines="50"/>
        <w:ind w:left="562" w:hanging="562"/>
        <w:rPr>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投标文件的递交</w:t>
      </w:r>
      <w:bookmarkStart w:id="60" w:name="_Hlk72405459"/>
    </w:p>
    <w:p>
      <w:pPr>
        <w:rPr>
          <w:rFonts w:ascii="黑体" w:eastAsia="黑体" w:hAnsi="宋体"/>
          <w:color w:val="000000" w:themeColor="text1"/>
          <w:highlight w:val="none"/>
          <w14:textFill>
            <w14:solidFill>
              <w14:schemeClr w14:val="tx1"/>
            </w14:solidFill>
          </w14:textFill>
        </w:rPr>
      </w:pPr>
      <w:r>
        <w:rPr>
          <w:rFonts w:ascii="黑体" w:eastAsia="黑体" w:hAnsi="宋体" w:hint="eastAsia"/>
          <w:color w:val="000000" w:themeColor="text1"/>
          <w:highlight w:val="none"/>
          <w14:textFill>
            <w14:solidFill>
              <w14:schemeClr w14:val="tx1"/>
            </w14:solidFill>
          </w14:textFill>
        </w:rPr>
        <w:t>24．投标书的保密</w:t>
      </w:r>
    </w:p>
    <w:p>
      <w:pPr>
        <w:ind w:firstLine="47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24.1在投标文件制作完成后，在投标文件制作软件点击【生成标书】按钮进入【填写开标一览表界面】界面，在该界面填写完开标一览表信息后点击【确定】，进入投标文件生成环节。投标文件制作软件会在投标文件生成过程中，提示用户输入密码，输入密码后对标文件自动进行加密，此加密程序确保投标文件在到达开标时间后才能解密查看。在加密过程中，请按照软件提示进行操作。加密操作界面如下图所示：</w:t>
      </w:r>
    </w:p>
    <w:p>
      <w:pPr>
        <w:ind w:firstLine="470" w:firstLineChars="196"/>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drawing>
          <wp:inline distT="0" distB="0" distL="0" distR="0">
            <wp:extent cx="5278755" cy="2721610"/>
            <wp:effectExtent l="0" t="0" r="0" b="2540"/>
            <wp:docPr id="7" name="图片 7"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形用户界面, 应用程序&#10;&#10;描述已自动生成"/>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21610"/>
                    </a:xfrm>
                    <a:prstGeom prst="rect">
                      <a:avLst/>
                    </a:prstGeom>
                    <a:noFill/>
                    <a:ln>
                      <a:noFill/>
                    </a:ln>
                  </pic:spPr>
                </pic:pic>
              </a:graphicData>
            </a:graphic>
          </wp:inline>
        </w:drawing>
      </w:r>
    </w:p>
    <w:p>
      <w:pPr>
        <w:ind w:firstLine="47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在投标文件制作软件点击【生成标书】按钮进入【填写开标一览表界面】界面，在该界面填写完开标一览表信息后点击【确定】，进入投标文件生成环节。</w:t>
      </w:r>
      <w:r>
        <w:rPr>
          <w:rFonts w:ascii="宋体" w:hAnsi="宋体"/>
          <w:color w:val="000000" w:themeColor="text1"/>
          <w:highlight w:val="none"/>
          <w14:textFill>
            <w14:solidFill>
              <w14:schemeClr w14:val="tx1"/>
            </w14:solidFill>
          </w14:textFill>
        </w:rPr>
        <w:drawing>
          <wp:inline distT="0" distB="0" distL="0" distR="0">
            <wp:extent cx="5278755" cy="2732405"/>
            <wp:effectExtent l="0" t="0" r="0" b="0"/>
            <wp:docPr id="8" name="图片 8" descr="图形用户界面&#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图形用户界面&#10;&#10;描述已自动生成"/>
                    <pic:cNvPicPr>
                      <a:picLocks noChangeAspect="1" noChangeArrowheads="1"/>
                    </pic:cNvPicPr>
                  </pic:nvPicPr>
                  <pic:blipFill>
                    <a:blip xmlns:r="http://schemas.openxmlformats.org/officeDocument/2006/relationships" r:embed="rId9"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32405"/>
                    </a:xfrm>
                    <a:prstGeom prst="rect">
                      <a:avLst/>
                    </a:prstGeom>
                    <a:noFill/>
                    <a:ln>
                      <a:noFill/>
                    </a:ln>
                  </pic:spPr>
                </pic:pic>
              </a:graphicData>
            </a:graphic>
          </wp:inline>
        </w:drawing>
      </w:r>
    </w:p>
    <w:p>
      <w:pPr>
        <w:ind w:firstLine="47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投标文件制作软件会在投标文件生成过程中，提示用户输入密码，输入密码后对标文件自动进行加密。</w:t>
      </w:r>
    </w:p>
    <w:p>
      <w:pPr>
        <w:ind w:firstLine="480" w:firstLineChars="200"/>
        <w:rPr>
          <w:rFonts w:ascii="宋体" w:hAnsi="宋体"/>
          <w:b/>
          <w:color w:val="000000" w:themeColor="text1"/>
          <w:highlight w:val="none"/>
          <w14:textFill>
            <w14:solidFill>
              <w14:schemeClr w14:val="tx1"/>
            </w14:solidFill>
          </w14:textFill>
        </w:rPr>
      </w:pPr>
      <w:r>
        <w:rPr>
          <w:rFonts w:ascii="宋体" w:hAnsi="宋体" w:hint="eastAsia"/>
          <w:b/>
          <w:color w:val="000000" w:themeColor="text1"/>
          <w:highlight w:val="none"/>
          <w14:textFill>
            <w14:solidFill>
              <w14:schemeClr w14:val="tx1"/>
            </w14:solidFill>
          </w14:textFill>
        </w:rPr>
        <w:t>24.2若采购项目出现延期情况：</w:t>
      </w:r>
    </w:p>
    <w:p>
      <w:pPr>
        <w:ind w:firstLine="480" w:firstLineChars="200"/>
        <w:rPr>
          <w:rFonts w:ascii="宋体" w:eastAsia="宋体" w:hAnsi="宋体" w:cs="宋体"/>
          <w:b/>
          <w:color w:val="000000" w:themeColor="text1"/>
          <w:highlight w:val="none"/>
          <w14:textFill>
            <w14:solidFill>
              <w14:schemeClr w14:val="tx1"/>
            </w14:solidFill>
          </w14:textFill>
        </w:rPr>
      </w:pPr>
      <w:r>
        <w:rPr>
          <w:rFonts w:ascii="宋体" w:hAnsi="宋体" w:hint="eastAsia"/>
          <w:b/>
          <w:color w:val="000000" w:themeColor="text1"/>
          <w:highlight w:val="none"/>
          <w14:textFill>
            <w14:solidFill>
              <w14:schemeClr w14:val="tx1"/>
            </w14:solidFill>
          </w14:textFill>
        </w:rPr>
        <w:t>如果供下载的招标文件（后缀名为.</w:t>
      </w:r>
      <w:r>
        <w:rPr>
          <w:rFonts w:ascii="宋体" w:hAnsi="宋体"/>
          <w:b/>
          <w:color w:val="000000" w:themeColor="text1"/>
          <w:highlight w:val="none"/>
          <w14:textFill>
            <w14:solidFill>
              <w14:schemeClr w14:val="tx1"/>
            </w14:solidFill>
          </w14:textFill>
        </w:rPr>
        <w:t>szczf</w:t>
      </w:r>
      <w:r>
        <w:rPr>
          <w:rFonts w:ascii="宋体" w:hAnsi="宋体" w:hint="eastAsia"/>
          <w:b/>
          <w:color w:val="000000" w:themeColor="text1"/>
          <w:highlight w:val="none"/>
          <w14:textFill>
            <w14:solidFill>
              <w14:schemeClr w14:val="tx1"/>
            </w14:solidFill>
          </w14:textFill>
        </w:rPr>
        <w:t>）有更新，投标人必须重新下载招标文件、重新制作投标文件、重新加密投标文件、重新上传投标文件；如果供下载的招标文件（后缀名为.</w:t>
      </w:r>
      <w:r>
        <w:rPr>
          <w:rFonts w:ascii="宋体" w:hAnsi="宋体"/>
          <w:b/>
          <w:color w:val="000000" w:themeColor="text1"/>
          <w:highlight w:val="none"/>
          <w14:textFill>
            <w14:solidFill>
              <w14:schemeClr w14:val="tx1"/>
            </w14:solidFill>
          </w14:textFill>
        </w:rPr>
        <w:t>szczf</w:t>
      </w:r>
      <w:r>
        <w:rPr>
          <w:rFonts w:ascii="宋体" w:hAnsi="宋体" w:hint="eastAsia"/>
          <w:b/>
          <w:color w:val="000000" w:themeColor="text1"/>
          <w:highlight w:val="none"/>
          <w14:textFill>
            <w14:solidFill>
              <w14:schemeClr w14:val="tx1"/>
            </w14:solidFill>
          </w14:textFill>
        </w:rPr>
        <w:t>）没有更新，投标人必须重新加密投标文件、重新上传投标文件（是否重新制作投标文件根据项目实际情况定）。否则，投标人自行承担投标文件无法解密导致投标无效的后果。</w:t>
      </w:r>
    </w:p>
    <w:p>
      <w:pPr>
        <w:rPr>
          <w:rFonts w:ascii="黑体" w:eastAsia="黑体" w:hAnsi="宋体"/>
          <w:color w:val="000000" w:themeColor="text1"/>
          <w:highlight w:val="none"/>
          <w14:textFill>
            <w14:solidFill>
              <w14:schemeClr w14:val="tx1"/>
            </w14:solidFill>
          </w14:textFill>
        </w:rPr>
      </w:pPr>
      <w:r>
        <w:rPr>
          <w:rFonts w:ascii="黑体" w:eastAsia="黑体" w:hAnsi="宋体" w:hint="eastAsia"/>
          <w:color w:val="000000" w:themeColor="text1"/>
          <w:highlight w:val="none"/>
          <w14:textFill>
            <w14:solidFill>
              <w14:schemeClr w14:val="tx1"/>
            </w14:solidFill>
          </w14:textFill>
        </w:rPr>
        <w:t>25．上传投标文件及投标截止日期</w:t>
      </w:r>
    </w:p>
    <w:p>
      <w:pPr>
        <w:ind w:firstLine="480" w:firstLineChars="200"/>
        <w:rPr>
          <w:rFonts w:ascii="宋体" w:eastAsia="宋体" w:hAnsi="宋体" w:cs="宋体" w:hint="eastAsia"/>
          <w:bCs/>
          <w:color w:val="000000" w:themeColor="text1"/>
          <w:highlight w:val="none"/>
          <w14:textFill>
            <w14:solidFill>
              <w14:schemeClr w14:val="tx1"/>
            </w14:solidFill>
          </w14:textFill>
        </w:rPr>
      </w:pPr>
      <w:r>
        <w:rPr>
          <w:rFonts w:ascii="宋体" w:eastAsia="宋体" w:hAnsi="宋体" w:cs="宋体" w:hint="eastAsia"/>
          <w:bCs/>
          <w:color w:val="000000" w:themeColor="text1"/>
          <w:highlight w:val="none"/>
          <w14:textFill>
            <w14:solidFill>
              <w14:schemeClr w14:val="tx1"/>
            </w14:solidFill>
          </w14:textFill>
        </w:rPr>
        <w:t>25.1实行网上投标，投标人必须在招标文件规定的投标截止时间前用电子密钥登录“深圳政府采购智慧平台用户网上办事子系统（http://zfcg.szggzy.com:8081/TPBidder/memberLogin）”，用“【我的项目】→【项目流程】→【递交投标(应答)文件】”功能点上传投标文件。如上传过程中遇到问题，可拨打技术支持电话，联系方式：</w:t>
      </w:r>
      <w:r>
        <w:rPr>
          <w:rFonts w:ascii="宋体" w:hAnsi="宋体" w:hint="eastAsia"/>
          <w:highlight w:val="none"/>
          <w:lang w:eastAsia="zh-CN"/>
        </w:rPr>
        <w:t>0755-88653300</w:t>
      </w:r>
      <w:r>
        <w:rPr>
          <w:rFonts w:ascii="宋体" w:hAnsi="宋体" w:hint="eastAsia"/>
          <w:highlight w:val="none"/>
          <w:lang w:val="en-US" w:eastAsia="zh-CN"/>
        </w:rPr>
        <w:t>-</w:t>
      </w:r>
      <w:r>
        <w:rPr>
          <w:rFonts w:ascii="宋体" w:hAnsi="宋体" w:hint="eastAsia"/>
          <w:highlight w:val="none"/>
          <w:lang w:eastAsia="zh-CN"/>
        </w:rPr>
        <w:t>6</w:t>
      </w:r>
      <w:r>
        <w:rPr>
          <w:rFonts w:ascii="宋体" w:eastAsia="宋体" w:hAnsi="宋体" w:cs="宋体" w:hint="eastAsia"/>
          <w:bCs/>
          <w:color w:val="000000" w:themeColor="text1"/>
          <w:highlight w:val="none"/>
          <w14:textFill>
            <w14:solidFill>
              <w14:schemeClr w14:val="tx1"/>
            </w14:solidFill>
          </w14:textFill>
        </w:rPr>
        <w:t>。</w:t>
      </w:r>
    </w:p>
    <w:p>
      <w:pPr>
        <w:ind w:firstLine="480" w:firstLineChars="200"/>
        <w:rPr>
          <w:rFonts w:ascii="宋体" w:eastAsia="宋体" w:hAnsi="宋体" w:cs="宋体"/>
          <w:bCs/>
          <w:color w:val="000000" w:themeColor="text1"/>
          <w:highlight w:val="none"/>
          <w14:textFill>
            <w14:solidFill>
              <w14:schemeClr w14:val="tx1"/>
            </w14:solidFill>
          </w14:textFill>
        </w:rPr>
      </w:pPr>
      <w:r>
        <w:rPr>
          <w:rFonts w:ascii="宋体" w:eastAsia="宋体" w:hAnsi="宋体" w:cs="宋体" w:hint="eastAsia"/>
          <w:bCs/>
          <w:color w:val="000000" w:themeColor="text1"/>
          <w:highlight w:val="none"/>
          <w14:textFill>
            <w14:solidFill>
              <w14:schemeClr w14:val="tx1"/>
            </w14:solidFill>
          </w14:textFill>
        </w:rPr>
        <w:t>25.2招标机构可以按本通用条款第13条规定，通过修改招标文件自行决定酌情延长投标截止期。在此情况下，招标机构、采购人和投标人受投标截止期制约的所有权利和义务均应延长至新的截止期。</w:t>
      </w:r>
    </w:p>
    <w:p>
      <w:pPr>
        <w:ind w:firstLine="480" w:firstLineChars="200"/>
        <w:rPr>
          <w:rFonts w:ascii="宋体" w:eastAsia="宋体" w:hAnsi="宋体" w:cs="宋体"/>
          <w:bCs/>
          <w:color w:val="000000" w:themeColor="text1"/>
          <w:highlight w:val="none"/>
          <w14:textFill>
            <w14:solidFill>
              <w14:schemeClr w14:val="tx1"/>
            </w14:solidFill>
          </w14:textFill>
        </w:rPr>
      </w:pPr>
      <w:r>
        <w:rPr>
          <w:rFonts w:ascii="宋体" w:eastAsia="宋体" w:hAnsi="宋体" w:cs="宋体" w:hint="eastAsia"/>
          <w:bCs/>
          <w:color w:val="000000" w:themeColor="text1"/>
          <w:highlight w:val="none"/>
          <w14:textFill>
            <w14:solidFill>
              <w14:schemeClr w14:val="tx1"/>
            </w14:solidFill>
          </w14:textFill>
        </w:rPr>
        <w:t>25</w:t>
      </w:r>
      <w:r>
        <w:rPr>
          <w:rFonts w:ascii="宋体" w:eastAsia="宋体" w:hAnsi="宋体" w:cs="宋体"/>
          <w:bCs/>
          <w:color w:val="000000" w:themeColor="text1"/>
          <w:highlight w:val="none"/>
          <w14:textFill>
            <w14:solidFill>
              <w14:schemeClr w14:val="tx1"/>
            </w14:solidFill>
          </w14:textFill>
        </w:rPr>
        <w:t>.</w:t>
      </w:r>
      <w:r>
        <w:rPr>
          <w:rFonts w:ascii="宋体" w:eastAsia="宋体" w:hAnsi="宋体" w:cs="宋体" w:hint="eastAsia"/>
          <w:bCs/>
          <w:color w:val="000000" w:themeColor="text1"/>
          <w:highlight w:val="none"/>
          <w14:textFill>
            <w14:solidFill>
              <w14:schemeClr w14:val="tx1"/>
            </w14:solidFill>
          </w14:textFill>
        </w:rPr>
        <w:t>3投标截止时间以后不得上传投标文件。</w:t>
      </w:r>
    </w:p>
    <w:p>
      <w:pPr>
        <w:ind w:firstLine="480" w:firstLineChars="200"/>
        <w:rPr>
          <w:rFonts w:ascii="宋体" w:eastAsia="宋体" w:hAnsi="宋体" w:cs="宋体"/>
          <w:bCs/>
          <w:color w:val="000000" w:themeColor="text1"/>
          <w:highlight w:val="none"/>
          <w14:textFill>
            <w14:solidFill>
              <w14:schemeClr w14:val="tx1"/>
            </w14:solidFill>
          </w14:textFill>
        </w:rPr>
      </w:pPr>
      <w:r>
        <w:rPr>
          <w:rFonts w:ascii="宋体" w:eastAsia="宋体" w:hAnsi="宋体" w:cs="宋体" w:hint="eastAsia"/>
          <w:bCs/>
          <w:color w:val="000000" w:themeColor="text1"/>
          <w:highlight w:val="none"/>
          <w14:textFill>
            <w14:solidFill>
              <w14:schemeClr w14:val="tx1"/>
            </w14:solidFill>
          </w14:textFill>
        </w:rPr>
        <w:t>25.4.投标人须在开标当日的开标时间至解密截止时间内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pPr>
        <w:rPr>
          <w:rFonts w:ascii="黑体" w:eastAsia="黑体" w:hAnsi="宋体"/>
          <w:color w:val="000000" w:themeColor="text1"/>
          <w:highlight w:val="none"/>
          <w14:textFill>
            <w14:solidFill>
              <w14:schemeClr w14:val="tx1"/>
            </w14:solidFill>
          </w14:textFill>
        </w:rPr>
      </w:pPr>
      <w:bookmarkEnd w:id="60"/>
      <w:r>
        <w:rPr>
          <w:rFonts w:ascii="黑体" w:eastAsia="黑体" w:hAnsi="宋体" w:hint="eastAsia"/>
          <w:color w:val="000000" w:themeColor="text1"/>
          <w:highlight w:val="none"/>
          <w14:textFill>
            <w14:solidFill>
              <w14:schemeClr w14:val="tx1"/>
            </w14:solidFill>
          </w14:textFill>
        </w:rPr>
        <w:t>26. 样品、现场演示、方案讲解</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26.1 样品、现场演示、方案讲解等事项在招标文件专用条款中进行规定。</w:t>
      </w:r>
    </w:p>
    <w:p>
      <w:pPr>
        <w:rPr>
          <w:rFonts w:ascii="黑体" w:eastAsia="黑体" w:hAnsi="宋体"/>
          <w:color w:val="000000" w:themeColor="text1"/>
          <w:highlight w:val="none"/>
          <w14:textFill>
            <w14:solidFill>
              <w14:schemeClr w14:val="tx1"/>
            </w14:solidFill>
          </w14:textFill>
        </w:rPr>
      </w:pPr>
      <w:bookmarkStart w:id="61" w:name="_Hlk72428346"/>
      <w:r>
        <w:rPr>
          <w:rFonts w:ascii="黑体" w:eastAsia="黑体" w:hAnsi="宋体"/>
          <w:color w:val="000000" w:themeColor="text1"/>
          <w:highlight w:val="none"/>
          <w14:textFill>
            <w14:solidFill>
              <w14:schemeClr w14:val="tx1"/>
            </w14:solidFill>
          </w14:textFill>
        </w:rPr>
        <w:t>2</w:t>
      </w:r>
      <w:r>
        <w:rPr>
          <w:rFonts w:ascii="黑体" w:eastAsia="黑体" w:hAnsi="宋体" w:hint="eastAsia"/>
          <w:color w:val="000000" w:themeColor="text1"/>
          <w:highlight w:val="none"/>
          <w14:textFill>
            <w14:solidFill>
              <w14:schemeClr w14:val="tx1"/>
            </w14:solidFill>
          </w14:textFill>
        </w:rPr>
        <w:t>7．</w:t>
      </w:r>
      <w:r>
        <w:rPr>
          <w:rFonts w:ascii="黑体" w:eastAsia="黑体" w:hAnsi="宋体"/>
          <w:color w:val="000000" w:themeColor="text1"/>
          <w:highlight w:val="none"/>
          <w14:textFill>
            <w14:solidFill>
              <w14:schemeClr w14:val="tx1"/>
            </w14:solidFill>
          </w14:textFill>
        </w:rPr>
        <w:t>投标文件的修改和撤销</w:t>
      </w:r>
    </w:p>
    <w:p>
      <w:pPr>
        <w:ind w:firstLine="470" w:firstLineChars="196"/>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2</w:t>
      </w:r>
      <w:r>
        <w:rPr>
          <w:rFonts w:ascii="宋体" w:hAnsi="宋体" w:hint="eastAsia"/>
          <w:color w:val="000000" w:themeColor="text1"/>
          <w:highlight w:val="none"/>
          <w14:textFill>
            <w14:solidFill>
              <w14:schemeClr w14:val="tx1"/>
            </w14:solidFill>
          </w14:textFill>
        </w:rPr>
        <w:t>7</w:t>
      </w:r>
      <w:r>
        <w:rPr>
          <w:rFonts w:ascii="宋体" w:hAnsi="宋体"/>
          <w:color w:val="000000" w:themeColor="text1"/>
          <w:highlight w:val="none"/>
          <w14:textFill>
            <w14:solidFill>
              <w14:schemeClr w14:val="tx1"/>
            </w14:solidFill>
          </w14:textFill>
        </w:rPr>
        <w:t>.</w:t>
      </w:r>
      <w:r>
        <w:rPr>
          <w:rFonts w:ascii="宋体" w:hAnsi="宋体" w:hint="eastAsia"/>
          <w:color w:val="000000" w:themeColor="text1"/>
          <w:highlight w:val="none"/>
          <w14:textFill>
            <w14:solidFill>
              <w14:schemeClr w14:val="tx1"/>
            </w14:solidFill>
          </w14:textFill>
        </w:rPr>
        <w:t>1</w:t>
      </w:r>
      <w:r>
        <w:rPr>
          <w:rFonts w:ascii="宋体" w:hAnsi="宋体"/>
          <w:color w:val="000000" w:themeColor="text1"/>
          <w:highlight w:val="none"/>
          <w14:textFill>
            <w14:solidFill>
              <w14:schemeClr w14:val="tx1"/>
            </w14:solidFill>
          </w14:textFill>
        </w:rPr>
        <w:t>投标方在提交投标文件后可对其投标文件进行修改</w:t>
      </w:r>
      <w:r>
        <w:rPr>
          <w:rFonts w:ascii="宋体" w:hAnsi="宋体" w:hint="eastAsia"/>
          <w:color w:val="000000" w:themeColor="text1"/>
          <w:highlight w:val="none"/>
          <w14:textFill>
            <w14:solidFill>
              <w14:schemeClr w14:val="tx1"/>
            </w14:solidFill>
          </w14:textFill>
        </w:rPr>
        <w:t>并重新上传投标文件</w:t>
      </w:r>
      <w:r>
        <w:rPr>
          <w:rFonts w:ascii="宋体" w:hAnsi="宋体"/>
          <w:color w:val="000000" w:themeColor="text1"/>
          <w:highlight w:val="none"/>
          <w14:textFill>
            <w14:solidFill>
              <w14:schemeClr w14:val="tx1"/>
            </w14:solidFill>
          </w14:textFill>
        </w:rPr>
        <w:t>或</w:t>
      </w:r>
      <w:r>
        <w:rPr>
          <w:rFonts w:ascii="宋体" w:hAnsi="宋体" w:hint="eastAsia"/>
          <w:color w:val="000000" w:themeColor="text1"/>
          <w:highlight w:val="none"/>
          <w14:textFill>
            <w14:solidFill>
              <w14:schemeClr w14:val="tx1"/>
            </w14:solidFill>
          </w14:textFill>
        </w:rPr>
        <w:t>在网上进行</w:t>
      </w:r>
      <w:r>
        <w:rPr>
          <w:rFonts w:ascii="宋体" w:hAnsi="宋体"/>
          <w:color w:val="000000" w:themeColor="text1"/>
          <w:highlight w:val="none"/>
          <w14:textFill>
            <w14:solidFill>
              <w14:schemeClr w14:val="tx1"/>
            </w14:solidFill>
          </w14:textFill>
        </w:rPr>
        <w:t>撤销</w:t>
      </w:r>
      <w:r>
        <w:rPr>
          <w:rFonts w:ascii="宋体" w:hAnsi="宋体" w:hint="eastAsia"/>
          <w:color w:val="000000" w:themeColor="text1"/>
          <w:highlight w:val="none"/>
          <w14:textFill>
            <w14:solidFill>
              <w14:schemeClr w14:val="tx1"/>
            </w14:solidFill>
          </w14:textFill>
        </w:rPr>
        <w:t>投标的操作</w:t>
      </w:r>
      <w:r>
        <w:rPr>
          <w:rFonts w:ascii="宋体" w:hAnsi="宋体"/>
          <w:color w:val="000000" w:themeColor="text1"/>
          <w:highlight w:val="none"/>
          <w14:textFill>
            <w14:solidFill>
              <w14:schemeClr w14:val="tx1"/>
            </w14:solidFill>
          </w14:textFill>
        </w:rPr>
        <w:t>。</w:t>
      </w:r>
    </w:p>
    <w:p>
      <w:pPr>
        <w:ind w:firstLine="470" w:firstLineChars="196"/>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2</w:t>
      </w:r>
      <w:r>
        <w:rPr>
          <w:rFonts w:ascii="宋体" w:hAnsi="宋体" w:hint="eastAsia"/>
          <w:color w:val="000000" w:themeColor="text1"/>
          <w:highlight w:val="none"/>
          <w14:textFill>
            <w14:solidFill>
              <w14:schemeClr w14:val="tx1"/>
            </w14:solidFill>
          </w14:textFill>
        </w:rPr>
        <w:t>7</w:t>
      </w:r>
      <w:r>
        <w:rPr>
          <w:rFonts w:ascii="宋体" w:hAnsi="宋体"/>
          <w:color w:val="000000" w:themeColor="text1"/>
          <w:highlight w:val="none"/>
          <w14:textFill>
            <w14:solidFill>
              <w14:schemeClr w14:val="tx1"/>
            </w14:solidFill>
          </w14:textFill>
        </w:rPr>
        <w:t>.</w:t>
      </w:r>
      <w:r>
        <w:rPr>
          <w:rFonts w:ascii="宋体" w:hAnsi="宋体" w:hint="eastAsia"/>
          <w:color w:val="000000" w:themeColor="text1"/>
          <w:highlight w:val="none"/>
          <w14:textFill>
            <w14:solidFill>
              <w14:schemeClr w14:val="tx1"/>
            </w14:solidFill>
          </w14:textFill>
        </w:rPr>
        <w:t>2</w:t>
      </w:r>
      <w:r>
        <w:rPr>
          <w:rFonts w:ascii="宋体" w:hAnsi="宋体"/>
          <w:color w:val="000000" w:themeColor="text1"/>
          <w:highlight w:val="none"/>
          <w14:textFill>
            <w14:solidFill>
              <w14:schemeClr w14:val="tx1"/>
            </w14:solidFill>
          </w14:textFill>
        </w:rPr>
        <w:t>投标截止时间以后不得修改投标文件。</w:t>
      </w:r>
    </w:p>
    <w:p>
      <w:pPr>
        <w:ind w:firstLine="470" w:firstLineChars="196"/>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2</w:t>
      </w:r>
      <w:r>
        <w:rPr>
          <w:rFonts w:ascii="宋体" w:hAnsi="宋体" w:hint="eastAsia"/>
          <w:color w:val="000000" w:themeColor="text1"/>
          <w:highlight w:val="none"/>
          <w14:textFill>
            <w14:solidFill>
              <w14:schemeClr w14:val="tx1"/>
            </w14:solidFill>
          </w14:textFill>
        </w:rPr>
        <w:t>7</w:t>
      </w:r>
      <w:r>
        <w:rPr>
          <w:rFonts w:ascii="宋体" w:hAnsi="宋体"/>
          <w:color w:val="000000" w:themeColor="text1"/>
          <w:highlight w:val="none"/>
          <w14:textFill>
            <w14:solidFill>
              <w14:schemeClr w14:val="tx1"/>
            </w14:solidFill>
          </w14:textFill>
        </w:rPr>
        <w:t>.</w:t>
      </w:r>
      <w:r>
        <w:rPr>
          <w:rFonts w:ascii="宋体" w:hAnsi="宋体" w:hint="eastAsia"/>
          <w:color w:val="000000" w:themeColor="text1"/>
          <w:highlight w:val="none"/>
          <w14:textFill>
            <w14:solidFill>
              <w14:schemeClr w14:val="tx1"/>
            </w14:solidFill>
          </w14:textFill>
        </w:rPr>
        <w:t>3从投标截止期至投标人在投标文件中确定的投标有效期之间的这段时间内，投标人不得撤回其投标。</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27.4</w:t>
      </w:r>
      <w:r>
        <w:rPr>
          <w:rFonts w:ascii="宋体" w:eastAsia="宋体" w:hAnsi="宋体" w:hint="eastAsia"/>
          <w:color w:val="000000" w:themeColor="text1"/>
          <w:szCs w:val="21"/>
          <w:highlight w:val="none"/>
          <w14:textFill>
            <w14:solidFill>
              <w14:schemeClr w14:val="tx1"/>
            </w14:solidFill>
          </w14:textFill>
        </w:rPr>
        <w:t>招标机构</w:t>
      </w:r>
      <w:r>
        <w:rPr>
          <w:rFonts w:ascii="宋体" w:hAnsi="宋体" w:hint="eastAsia"/>
          <w:color w:val="000000" w:themeColor="text1"/>
          <w:szCs w:val="21"/>
          <w:highlight w:val="none"/>
          <w14:textFill>
            <w14:solidFill>
              <w14:schemeClr w14:val="tx1"/>
            </w14:solidFill>
          </w14:textFill>
        </w:rPr>
        <w:t>不退还投标文件，专用条款另有规定的除外。</w:t>
      </w:r>
    </w:p>
    <w:p>
      <w:pPr>
        <w:pStyle w:val="Heading2"/>
        <w:numPr>
          <w:ilvl w:val="0"/>
          <w:numId w:val="2"/>
        </w:numPr>
        <w:tabs>
          <w:tab w:val="left" w:pos="360"/>
          <w:tab w:val="clear" w:pos="720"/>
        </w:tabs>
        <w:spacing w:before="120" w:beforeLines="50" w:after="120" w:afterLines="50"/>
        <w:ind w:left="562" w:hanging="562"/>
        <w:rPr>
          <w:color w:val="000000" w:themeColor="text1"/>
          <w:sz w:val="28"/>
          <w:szCs w:val="28"/>
          <w:highlight w:val="none"/>
          <w14:textFill>
            <w14:solidFill>
              <w14:schemeClr w14:val="tx1"/>
            </w14:solidFill>
          </w14:textFill>
        </w:rPr>
      </w:pPr>
      <w:bookmarkEnd w:id="61"/>
      <w:r>
        <w:rPr>
          <w:rFonts w:hint="eastAsia"/>
          <w:color w:val="000000" w:themeColor="text1"/>
          <w:sz w:val="28"/>
          <w:szCs w:val="28"/>
          <w:highlight w:val="none"/>
          <w14:textFill>
            <w14:solidFill>
              <w14:schemeClr w14:val="tx1"/>
            </w14:solidFill>
          </w14:textFill>
        </w:rPr>
        <w:t>开标</w:t>
      </w:r>
    </w:p>
    <w:p>
      <w:pPr>
        <w:rPr>
          <w:rFonts w:ascii="黑体" w:eastAsia="黑体" w:hAnsi="宋体"/>
          <w:color w:val="000000" w:themeColor="text1"/>
          <w:highlight w:val="none"/>
          <w14:textFill>
            <w14:solidFill>
              <w14:schemeClr w14:val="tx1"/>
            </w14:solidFill>
          </w14:textFill>
        </w:rPr>
      </w:pPr>
      <w:r>
        <w:rPr>
          <w:rFonts w:ascii="黑体" w:eastAsia="黑体" w:hAnsi="宋体" w:hint="eastAsia"/>
          <w:color w:val="000000" w:themeColor="text1"/>
          <w:highlight w:val="none"/>
          <w14:textFill>
            <w14:solidFill>
              <w14:schemeClr w14:val="tx1"/>
            </w14:solidFill>
          </w14:textFill>
        </w:rPr>
        <w:t>28．开标</w:t>
      </w:r>
    </w:p>
    <w:p>
      <w:pPr>
        <w:ind w:firstLine="480" w:firstLineChars="200"/>
        <w:rPr>
          <w:rFonts w:ascii="宋体" w:hAnsi="宋体"/>
          <w:color w:val="000000" w:themeColor="text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ascii="宋体" w:hAnsi="宋体" w:hint="eastAsia"/>
          <w:color w:val="000000" w:themeColor="text1"/>
          <w:szCs w:val="21"/>
          <w:highlight w:val="none"/>
          <w14:textFill>
            <w14:solidFill>
              <w14:schemeClr w14:val="tx1"/>
            </w14:solidFill>
          </w14:textFill>
        </w:rPr>
        <w:t>8</w:t>
      </w:r>
      <w:r>
        <w:rPr>
          <w:rFonts w:ascii="宋体" w:hAnsi="宋体"/>
          <w:color w:val="000000" w:themeColor="text1"/>
          <w:szCs w:val="21"/>
          <w:highlight w:val="none"/>
          <w14:textFill>
            <w14:solidFill>
              <w14:schemeClr w14:val="tx1"/>
            </w14:solidFill>
          </w14:textFill>
        </w:rPr>
        <w:t>.</w:t>
      </w:r>
      <w:r>
        <w:rPr>
          <w:rFonts w:ascii="宋体" w:hAnsi="宋体" w:hint="eastAsia"/>
          <w:color w:val="000000" w:themeColor="text1"/>
          <w:szCs w:val="21"/>
          <w:highlight w:val="none"/>
          <w14:textFill>
            <w14:solidFill>
              <w14:schemeClr w14:val="tx1"/>
            </w14:solidFill>
          </w14:textFill>
        </w:rPr>
        <w:t>1</w:t>
      </w:r>
      <w:r>
        <w:rPr>
          <w:rFonts w:ascii="宋体" w:hAnsi="宋体" w:hint="eastAsia"/>
          <w:color w:val="000000" w:themeColor="text1"/>
          <w:highlight w:val="none"/>
          <w14:textFill>
            <w14:solidFill>
              <w14:schemeClr w14:val="tx1"/>
            </w14:solidFill>
          </w14:textFill>
        </w:rPr>
        <w:t>投标人须在开标当日的开标时间至解密截止时间内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pPr>
        <w:ind w:firstLine="410" w:firstLineChars="171"/>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2</w:t>
      </w:r>
      <w:r>
        <w:rPr>
          <w:rFonts w:ascii="宋体" w:hAnsi="宋体"/>
          <w:color w:val="000000" w:themeColor="text1"/>
          <w:szCs w:val="21"/>
          <w:highlight w:val="none"/>
          <w14:textFill>
            <w14:solidFill>
              <w14:schemeClr w14:val="tx1"/>
            </w14:solidFill>
          </w14:textFill>
        </w:rPr>
        <w:t xml:space="preserve">8.2 </w:t>
      </w:r>
      <w:r>
        <w:rPr>
          <w:rFonts w:ascii="宋体" w:eastAsia="宋体" w:hAnsi="宋体" w:hint="eastAsia"/>
          <w:color w:val="000000" w:themeColor="text1"/>
          <w:szCs w:val="21"/>
          <w:highlight w:val="none"/>
          <w14:textFill>
            <w14:solidFill>
              <w14:schemeClr w14:val="tx1"/>
            </w14:solidFill>
          </w14:textFill>
        </w:rPr>
        <w:t>招标机构</w:t>
      </w:r>
      <w:r>
        <w:rPr>
          <w:rFonts w:ascii="宋体" w:hAnsi="宋体" w:hint="eastAsia"/>
          <w:color w:val="000000" w:themeColor="text1"/>
          <w:szCs w:val="21"/>
          <w:highlight w:val="none"/>
          <w14:textFill>
            <w14:solidFill>
              <w14:schemeClr w14:val="tx1"/>
            </w14:solidFill>
          </w14:textFill>
        </w:rPr>
        <w:t>将在满足开标条件（</w:t>
      </w:r>
      <w:r>
        <w:rPr>
          <w:rFonts w:ascii="宋体" w:hAnsi="宋体" w:cs="宋体" w:hint="eastAsia"/>
          <w:color w:val="000000" w:themeColor="text1"/>
          <w:sz w:val="20"/>
          <w:szCs w:val="20"/>
          <w:highlight w:val="none"/>
          <w:shd w:val="clear" w:color="auto" w:fill="FFFFFF"/>
          <w14:textFill>
            <w14:solidFill>
              <w14:schemeClr w14:val="tx1"/>
            </w14:solidFill>
          </w14:textFill>
        </w:rPr>
        <w:t>①</w:t>
      </w:r>
      <w:r>
        <w:rPr>
          <w:rFonts w:ascii="宋体" w:hAnsi="宋体" w:hint="eastAsia"/>
          <w:color w:val="000000" w:themeColor="text1"/>
          <w:szCs w:val="21"/>
          <w:highlight w:val="none"/>
          <w14:textFill>
            <w14:solidFill>
              <w14:schemeClr w14:val="tx1"/>
            </w14:solidFill>
          </w14:textFill>
        </w:rPr>
        <w:t>解密时间结束，解密后的投标供应商数量满足开标要求或</w:t>
      </w:r>
      <w:r>
        <w:rPr>
          <w:rFonts w:ascii="宋体" w:hAnsi="宋体" w:cs="宋体" w:hint="eastAsia"/>
          <w:color w:val="000000" w:themeColor="text1"/>
          <w:sz w:val="20"/>
          <w:szCs w:val="20"/>
          <w:highlight w:val="none"/>
          <w:shd w:val="clear" w:color="auto" w:fill="FFFFFF"/>
          <w14:textFill>
            <w14:solidFill>
              <w14:schemeClr w14:val="tx1"/>
            </w14:solidFill>
          </w14:textFill>
        </w:rPr>
        <w:t>②</w:t>
      </w:r>
      <w:r>
        <w:rPr>
          <w:rFonts w:ascii="宋体" w:hAnsi="宋体" w:hint="eastAsia"/>
          <w:color w:val="000000" w:themeColor="text1"/>
          <w:szCs w:val="21"/>
          <w:highlight w:val="none"/>
          <w14:textFill>
            <w14:solidFill>
              <w14:schemeClr w14:val="tx1"/>
            </w14:solidFill>
          </w14:textFill>
        </w:rPr>
        <w:t>解密时间结束前所有投标供应商均完成投标文件解密）后，对投标文件进行开标，并在网上公布开标结果。</w:t>
      </w:r>
    </w:p>
    <w:p>
      <w:pPr>
        <w:pStyle w:val="Heading2"/>
        <w:numPr>
          <w:ilvl w:val="0"/>
          <w:numId w:val="2"/>
        </w:numPr>
        <w:tabs>
          <w:tab w:val="left" w:pos="360"/>
          <w:tab w:val="clear" w:pos="720"/>
        </w:tabs>
        <w:spacing w:before="120" w:beforeLines="50" w:after="120" w:afterLines="50"/>
        <w:ind w:left="562" w:hanging="562"/>
        <w:rPr>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评审要求</w:t>
      </w:r>
    </w:p>
    <w:p>
      <w:pPr>
        <w:rPr>
          <w:rFonts w:ascii="黑体" w:eastAsia="黑体" w:hAnsi="宋体"/>
          <w:color w:val="000000" w:themeColor="text1"/>
          <w:highlight w:val="none"/>
          <w14:textFill>
            <w14:solidFill>
              <w14:schemeClr w14:val="tx1"/>
            </w14:solidFill>
          </w14:textFill>
        </w:rPr>
      </w:pPr>
      <w:r>
        <w:rPr>
          <w:rFonts w:ascii="黑体" w:eastAsia="黑体" w:hAnsi="宋体" w:hint="eastAsia"/>
          <w:color w:val="000000" w:themeColor="text1"/>
          <w:highlight w:val="none"/>
          <w14:textFill>
            <w14:solidFill>
              <w14:schemeClr w14:val="tx1"/>
            </w14:solidFill>
          </w14:textFill>
        </w:rPr>
        <w:t>29．评审委员会组成</w:t>
      </w:r>
    </w:p>
    <w:p>
      <w:pPr>
        <w:ind w:firstLine="470" w:firstLineChars="196"/>
        <w:rPr>
          <w:rFonts w:ascii="宋体" w:eastAsia="宋体" w:hAnsi="宋体"/>
          <w:highlight w:val="none"/>
        </w:rPr>
      </w:pPr>
      <w:r>
        <w:rPr>
          <w:rFonts w:ascii="宋体" w:eastAsia="宋体" w:hAnsi="宋体" w:hint="eastAsia"/>
          <w:highlight w:val="none"/>
        </w:rPr>
        <w:t>29.1网上开标结束后召开评审会议，</w:t>
      </w:r>
      <w:r>
        <w:rPr>
          <w:rFonts w:ascii="宋体" w:eastAsia="宋体" w:hAnsi="宋体" w:hint="eastAsia"/>
          <w:szCs w:val="21"/>
          <w:highlight w:val="none"/>
        </w:rPr>
        <w:t>评审委员会</w:t>
      </w:r>
      <w:r>
        <w:rPr>
          <w:rFonts w:ascii="宋体" w:eastAsia="宋体" w:hAnsi="宋体" w:hint="eastAsia"/>
          <w:highlight w:val="none"/>
        </w:rPr>
        <w:t>由</w:t>
      </w:r>
      <w:r>
        <w:rPr>
          <w:rFonts w:ascii="宋体" w:eastAsia="宋体" w:hAnsi="宋体" w:hint="eastAsia"/>
          <w:highlight w:val="none"/>
          <w:lang w:eastAsia="zh-CN"/>
        </w:rPr>
        <w:t>政府采购代理机构</w:t>
      </w:r>
      <w:r>
        <w:rPr>
          <w:rFonts w:ascii="宋体" w:eastAsia="宋体" w:hAnsi="宋体" w:hint="eastAsia"/>
          <w:highlight w:val="none"/>
        </w:rPr>
        <w:t>依法组建，负责评审活动。</w:t>
      </w:r>
    </w:p>
    <w:p>
      <w:pPr>
        <w:ind w:firstLine="470" w:firstLineChars="196"/>
        <w:rPr>
          <w:rFonts w:ascii="宋体" w:eastAsia="宋体" w:hAnsi="宋体"/>
          <w:highlight w:val="none"/>
        </w:rPr>
      </w:pPr>
      <w:bookmarkStart w:id="62" w:name="_Hlk72436580"/>
      <w:r>
        <w:rPr>
          <w:rFonts w:ascii="宋体" w:eastAsia="宋体" w:hAnsi="宋体" w:hint="eastAsia"/>
          <w:highlight w:val="none"/>
        </w:rPr>
        <w:t>评审委员会由采购人代表和评审专家组成，成员人数应当为5人以上单数（部分条件下为7人以上单数），其中评审专家不得少于成员总数的三分之二。</w:t>
      </w:r>
      <w:bookmarkEnd w:id="62"/>
      <w:r>
        <w:rPr>
          <w:rFonts w:ascii="宋体" w:eastAsia="宋体" w:hAnsi="宋体" w:hint="eastAsia"/>
          <w:highlight w:val="none"/>
        </w:rPr>
        <w:t>评定</w:t>
      </w:r>
      <w:r>
        <w:rPr>
          <w:rFonts w:eastAsia="宋体" w:hint="eastAsia"/>
          <w:highlight w:val="none"/>
        </w:rPr>
        <w:t>分离项目评审专家均由评审专家组成。</w:t>
      </w:r>
      <w:r>
        <w:rPr>
          <w:rFonts w:ascii="宋体" w:eastAsia="宋体" w:hAnsi="宋体" w:hint="eastAsia"/>
          <w:szCs w:val="21"/>
          <w:highlight w:val="none"/>
        </w:rPr>
        <w:t>评审专家一般是</w:t>
      </w:r>
      <w:r>
        <w:rPr>
          <w:rFonts w:ascii="宋体" w:eastAsia="宋体" w:hAnsi="宋体" w:hint="eastAsia"/>
          <w:highlight w:val="none"/>
        </w:rPr>
        <w:t>从深圳市政府采购评审专家库中随机抽取。采购人代表须持本单位签发的《评审授权书》参加评审。</w:t>
      </w:r>
    </w:p>
    <w:p>
      <w:pPr>
        <w:ind w:firstLine="470" w:firstLineChars="196"/>
        <w:rPr>
          <w:rFonts w:ascii="宋体" w:eastAsia="宋体" w:hAnsi="宋体"/>
          <w:highlight w:val="none"/>
        </w:rPr>
      </w:pPr>
      <w:r>
        <w:rPr>
          <w:rFonts w:ascii="宋体" w:eastAsia="宋体" w:hAnsi="宋体" w:hint="eastAsia"/>
          <w:highlight w:val="none"/>
        </w:rPr>
        <w:t>29.2评审定标应当遵循公平、公正、科学、择优的原则。</w:t>
      </w:r>
    </w:p>
    <w:p>
      <w:pPr>
        <w:ind w:firstLine="470" w:firstLineChars="196"/>
        <w:rPr>
          <w:rFonts w:ascii="宋体" w:eastAsia="宋体" w:hAnsi="宋体"/>
          <w:highlight w:val="none"/>
        </w:rPr>
      </w:pPr>
      <w:r>
        <w:rPr>
          <w:rFonts w:ascii="宋体" w:eastAsia="宋体" w:hAnsi="宋体" w:hint="eastAsia"/>
          <w:highlight w:val="none"/>
        </w:rPr>
        <w:t>29.3评审活动依法进行，任何单位和个人不得非法干预评标过程和结果。</w:t>
      </w:r>
    </w:p>
    <w:p>
      <w:pPr>
        <w:ind w:firstLine="470" w:firstLineChars="196"/>
        <w:rPr>
          <w:rFonts w:ascii="宋体" w:eastAsia="宋体" w:hAnsi="宋体"/>
          <w:highlight w:val="none"/>
        </w:rPr>
      </w:pPr>
      <w:r>
        <w:rPr>
          <w:rFonts w:ascii="宋体" w:eastAsia="宋体" w:hAnsi="宋体" w:hint="eastAsia"/>
          <w:highlight w:val="none"/>
        </w:rPr>
        <w:t>29.4评审过程中不允许违背评标程序或采用招标文件未载明的评标方法或评标因素进行评标。</w:t>
      </w:r>
    </w:p>
    <w:p>
      <w:pPr>
        <w:ind w:firstLine="470" w:firstLineChars="196"/>
        <w:rPr>
          <w:rFonts w:ascii="宋体" w:eastAsia="宋体" w:hAnsi="宋体"/>
          <w:bCs/>
          <w:highlight w:val="none"/>
        </w:rPr>
      </w:pPr>
      <w:r>
        <w:rPr>
          <w:rFonts w:ascii="宋体" w:eastAsia="宋体" w:hAnsi="宋体" w:hint="eastAsia"/>
          <w:bCs/>
          <w:highlight w:val="none"/>
        </w:rPr>
        <w:t>29.5 开标后，直到签订合同为止，凡属于对投标文件的审查、澄清、评价和比较的有关资料以及中标候选人的推荐情况、与评审有关的其他任何情况均严格保密（</w:t>
      </w:r>
      <w:r>
        <w:rPr>
          <w:rFonts w:eastAsia="宋体" w:hint="eastAsia"/>
          <w:highlight w:val="none"/>
        </w:rPr>
        <w:t>信息公开的内容除外</w:t>
      </w:r>
      <w:r>
        <w:rPr>
          <w:rFonts w:ascii="宋体" w:eastAsia="宋体" w:hAnsi="宋体" w:hint="eastAsia"/>
          <w:bCs/>
          <w:highlight w:val="none"/>
        </w:rPr>
        <w:t>）。</w:t>
      </w:r>
    </w:p>
    <w:p>
      <w:pPr>
        <w:rPr>
          <w:rFonts w:ascii="黑体" w:eastAsia="黑体" w:hAnsi="宋体"/>
          <w:color w:val="000000" w:themeColor="text1"/>
          <w:highlight w:val="none"/>
          <w14:textFill>
            <w14:solidFill>
              <w14:schemeClr w14:val="tx1"/>
            </w14:solidFill>
          </w14:textFill>
        </w:rPr>
      </w:pPr>
      <w:r>
        <w:rPr>
          <w:rFonts w:ascii="黑体" w:eastAsia="黑体" w:hAnsi="宋体" w:hint="eastAsia"/>
          <w:color w:val="000000" w:themeColor="text1"/>
          <w:highlight w:val="none"/>
          <w14:textFill>
            <w14:solidFill>
              <w14:schemeClr w14:val="tx1"/>
            </w14:solidFill>
          </w14:textFill>
        </w:rPr>
        <w:t>30．向评审委员会提供的资料</w:t>
      </w:r>
    </w:p>
    <w:p>
      <w:pPr>
        <w:ind w:firstLine="47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30.1公开发布的招标文件，包括图纸、服务清单、答疑文件等；</w:t>
      </w:r>
    </w:p>
    <w:p>
      <w:pPr>
        <w:ind w:firstLine="47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30.2其他评标必须的资料。</w:t>
      </w:r>
    </w:p>
    <w:p>
      <w:pPr>
        <w:ind w:firstLine="47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30.3</w:t>
      </w:r>
      <w:r>
        <w:rPr>
          <w:rFonts w:ascii="宋体" w:hAnsi="宋体" w:hint="eastAsia"/>
          <w:color w:val="000000" w:themeColor="text1"/>
          <w:szCs w:val="21"/>
          <w:highlight w:val="none"/>
          <w14:textFill>
            <w14:solidFill>
              <w14:schemeClr w14:val="tx1"/>
            </w14:solidFill>
          </w14:textFill>
        </w:rPr>
        <w:t>评审委员会</w:t>
      </w:r>
      <w:r>
        <w:rPr>
          <w:rFonts w:ascii="宋体" w:hAnsi="宋体" w:hint="eastAsia"/>
          <w:color w:val="000000" w:themeColor="text1"/>
          <w:highlight w:val="none"/>
          <w14:textFill>
            <w14:solidFill>
              <w14:schemeClr w14:val="tx1"/>
            </w14:solidFill>
          </w14:textFill>
        </w:rPr>
        <w:t>应当认真研究招标文件，至少应了解熟悉以下内容：</w:t>
      </w:r>
    </w:p>
    <w:p>
      <w:pPr>
        <w:ind w:firstLine="47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（1）招标的目的；</w:t>
      </w:r>
    </w:p>
    <w:p>
      <w:pPr>
        <w:ind w:firstLine="47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（2）招标项目需求的范围和性质；</w:t>
      </w:r>
    </w:p>
    <w:p>
      <w:pPr>
        <w:ind w:firstLine="47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（3）招标文件规定的投标人的资格、财政预算限额、商务条款；</w:t>
      </w:r>
    </w:p>
    <w:p>
      <w:pPr>
        <w:ind w:firstLine="47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（4）招标文件规定的评标程序、评标方法和评标因素；</w:t>
      </w:r>
    </w:p>
    <w:p>
      <w:pPr>
        <w:ind w:firstLine="47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（5）招标文件所列示的资格性审查表及符合性审查表。</w:t>
      </w:r>
    </w:p>
    <w:p>
      <w:pPr>
        <w:rPr>
          <w:rFonts w:ascii="黑体" w:eastAsia="黑体" w:hAnsi="宋体"/>
          <w:color w:val="000000" w:themeColor="text1"/>
          <w:highlight w:val="none"/>
          <w14:textFill>
            <w14:solidFill>
              <w14:schemeClr w14:val="tx1"/>
            </w14:solidFill>
          </w14:textFill>
        </w:rPr>
      </w:pPr>
      <w:r>
        <w:rPr>
          <w:rFonts w:ascii="黑体" w:eastAsia="黑体" w:hAnsi="宋体" w:hint="eastAsia"/>
          <w:color w:val="000000" w:themeColor="text1"/>
          <w:highlight w:val="none"/>
          <w14:textFill>
            <w14:solidFill>
              <w14:schemeClr w14:val="tx1"/>
            </w14:solidFill>
          </w14:textFill>
        </w:rPr>
        <w:t>31．独立评审</w:t>
      </w:r>
    </w:p>
    <w:p>
      <w:pPr>
        <w:ind w:firstLine="470" w:firstLineChars="196"/>
        <w:rPr>
          <w:rFonts w:ascii="宋体" w:hAnsi="宋体"/>
          <w:bCs/>
          <w:color w:val="000000" w:themeColor="text1"/>
          <w:highlight w:val="none"/>
          <w14:textFill>
            <w14:solidFill>
              <w14:schemeClr w14:val="tx1"/>
            </w14:solidFill>
          </w14:textFill>
        </w:rPr>
      </w:pPr>
      <w:r>
        <w:rPr>
          <w:rFonts w:ascii="宋体" w:hAnsi="宋体" w:hint="eastAsia"/>
          <w:bCs/>
          <w:color w:val="000000" w:themeColor="text1"/>
          <w:highlight w:val="none"/>
          <w14:textFill>
            <w14:solidFill>
              <w14:schemeClr w14:val="tx1"/>
            </w14:solidFill>
          </w14:textFill>
        </w:rPr>
        <w:t>3</w:t>
      </w:r>
      <w:r>
        <w:rPr>
          <w:rFonts w:ascii="宋体" w:hAnsi="宋体"/>
          <w:bCs/>
          <w:color w:val="000000" w:themeColor="text1"/>
          <w:highlight w:val="none"/>
          <w14:textFill>
            <w14:solidFill>
              <w14:schemeClr w14:val="tx1"/>
            </w14:solidFill>
          </w14:textFill>
        </w:rPr>
        <w:t>1</w:t>
      </w:r>
      <w:r>
        <w:rPr>
          <w:rFonts w:ascii="宋体" w:hAnsi="宋体" w:hint="eastAsia"/>
          <w:bCs/>
          <w:color w:val="000000" w:themeColor="text1"/>
          <w:highlight w:val="none"/>
          <w14:textFill>
            <w14:solidFill>
              <w14:schemeClr w14:val="tx1"/>
            </w14:solidFill>
          </w14:textFill>
        </w:rPr>
        <w:t>.1</w:t>
      </w:r>
      <w:r>
        <w:rPr>
          <w:rFonts w:ascii="宋体" w:hAnsi="宋体" w:hint="eastAsia"/>
          <w:color w:val="000000" w:themeColor="text1"/>
          <w:szCs w:val="21"/>
          <w:highlight w:val="none"/>
          <w14:textFill>
            <w14:solidFill>
              <w14:schemeClr w14:val="tx1"/>
            </w14:solidFill>
          </w14:textFill>
        </w:rPr>
        <w:t>评审委员会</w:t>
      </w:r>
      <w:r>
        <w:rPr>
          <w:rFonts w:ascii="宋体" w:hAnsi="宋体" w:hint="eastAsia"/>
          <w:bCs/>
          <w:color w:val="000000" w:themeColor="text1"/>
          <w:highlight w:val="none"/>
          <w14:textFill>
            <w14:solidFill>
              <w14:schemeClr w14:val="tx1"/>
            </w14:solidFill>
          </w14:textFill>
        </w:rPr>
        <w:t>成员的评标活动应当独立进行，并应遵循投标文件初审、澄清有关问题、比较与评价、确定中标供应商、编写评审报告的工作程序。</w:t>
      </w:r>
    </w:p>
    <w:p>
      <w:pPr>
        <w:pStyle w:val="Heading2"/>
        <w:numPr>
          <w:ilvl w:val="0"/>
          <w:numId w:val="2"/>
        </w:numPr>
        <w:tabs>
          <w:tab w:val="left" w:pos="360"/>
          <w:tab w:val="clear" w:pos="720"/>
        </w:tabs>
        <w:spacing w:before="120" w:beforeLines="50" w:after="120" w:afterLines="50"/>
        <w:ind w:left="562" w:hanging="562"/>
        <w:rPr>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评审程序及评审方法</w:t>
      </w:r>
    </w:p>
    <w:p>
      <w:pPr>
        <w:rPr>
          <w:rFonts w:ascii="黑体" w:eastAsia="黑体" w:hAnsi="宋体"/>
          <w:color w:val="000000" w:themeColor="text1"/>
          <w:highlight w:val="none"/>
          <w14:textFill>
            <w14:solidFill>
              <w14:schemeClr w14:val="tx1"/>
            </w14:solidFill>
          </w14:textFill>
        </w:rPr>
      </w:pPr>
      <w:r>
        <w:rPr>
          <w:rFonts w:ascii="黑体" w:eastAsia="黑体" w:hAnsi="宋体" w:hint="eastAsia"/>
          <w:color w:val="000000" w:themeColor="text1"/>
          <w:highlight w:val="none"/>
          <w14:textFill>
            <w14:solidFill>
              <w14:schemeClr w14:val="tx1"/>
            </w14:solidFill>
          </w14:textFill>
        </w:rPr>
        <w:t>32．投标文件初审</w:t>
      </w:r>
    </w:p>
    <w:p>
      <w:pPr>
        <w:ind w:firstLine="47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32.1投标文件初审包括资格性审查和符合性审查。</w:t>
      </w:r>
    </w:p>
    <w:p>
      <w:pPr>
        <w:ind w:firstLine="47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资格性审查：依据法律法规和招标文件的规定，对投标文件中的资格证明等进行审查，以确定投标供应商是否具备投标资格。</w:t>
      </w:r>
    </w:p>
    <w:p>
      <w:pPr>
        <w:ind w:firstLine="47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符合性审查：依据招标文件的规定，对投标文件的有效性、完整性和对招标文件的响应程度进行审查，以确定是否满足符合性审查的要求。</w:t>
      </w:r>
    </w:p>
    <w:p>
      <w:pPr>
        <w:ind w:firstLine="47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32.2 投标文件初审内容请详见《资格性审查表》和《符合性审查表》部分。投标人若有一条审查不通过则按投标无效处理。</w:t>
      </w:r>
    </w:p>
    <w:p>
      <w:pPr>
        <w:ind w:firstLine="470" w:firstLineChars="196"/>
        <w:rPr>
          <w:rFonts w:ascii="宋体" w:hAnsi="宋体"/>
          <w:bCs/>
          <w:color w:val="000000" w:themeColor="text1"/>
          <w:highlight w:val="none"/>
          <w14:textFill>
            <w14:solidFill>
              <w14:schemeClr w14:val="tx1"/>
            </w14:solidFill>
          </w14:textFill>
        </w:rPr>
      </w:pPr>
      <w:r>
        <w:rPr>
          <w:rFonts w:ascii="宋体" w:hAnsi="宋体" w:hint="eastAsia"/>
          <w:bCs/>
          <w:color w:val="000000" w:themeColor="text1"/>
          <w:highlight w:val="none"/>
          <w14:textFill>
            <w14:solidFill>
              <w14:schemeClr w14:val="tx1"/>
            </w14:solidFill>
          </w14:textFill>
        </w:rPr>
        <w:t>32.3 投标文件初审中关于供应商家数的计算:</w:t>
      </w:r>
    </w:p>
    <w:p>
      <w:pPr>
        <w:ind w:firstLine="470" w:firstLineChars="196"/>
        <w:rPr>
          <w:rFonts w:ascii="宋体" w:hAnsi="宋体"/>
          <w:bCs/>
          <w:color w:val="000000" w:themeColor="text1"/>
          <w:highlight w:val="none"/>
          <w14:textFill>
            <w14:solidFill>
              <w14:schemeClr w14:val="tx1"/>
            </w14:solidFill>
          </w14:textFill>
        </w:rPr>
      </w:pPr>
      <w:r>
        <w:rPr>
          <w:rFonts w:ascii="宋体" w:hAnsi="宋体" w:hint="eastAsia"/>
          <w:bCs/>
          <w:color w:val="000000" w:themeColor="text1"/>
          <w:highlight w:val="none"/>
          <w14:textFill>
            <w14:solidFill>
              <w14:schemeClr w14:val="tx1"/>
            </w14:solidFill>
          </w14:textFill>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审的投标人，招标文件未规定的采取随机抽取方式确定，其他投标无效。</w:t>
      </w:r>
    </w:p>
    <w:p>
      <w:pPr>
        <w:ind w:firstLine="470" w:firstLineChars="196"/>
        <w:rPr>
          <w:rFonts w:ascii="宋体" w:hAnsi="宋体"/>
          <w:bCs/>
          <w:color w:val="000000" w:themeColor="text1"/>
          <w:highlight w:val="none"/>
          <w14:textFill>
            <w14:solidFill>
              <w14:schemeClr w14:val="tx1"/>
            </w14:solidFill>
          </w14:textFill>
        </w:rPr>
      </w:pPr>
      <w:r>
        <w:rPr>
          <w:rFonts w:ascii="宋体" w:hAnsi="宋体" w:hint="eastAsia"/>
          <w:bCs/>
          <w:color w:val="000000" w:themeColor="text1"/>
          <w:highlight w:val="none"/>
          <w14:textFill>
            <w14:solidFill>
              <w14:schemeClr w14:val="tx1"/>
            </w14:solidFill>
          </w14:textFill>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w:t>
      </w:r>
      <w:r>
        <w:rPr>
          <w:rFonts w:ascii="宋体" w:hAnsi="宋体" w:hint="eastAsia"/>
          <w:bCs/>
          <w:color w:val="000000" w:themeColor="text1"/>
          <w:szCs w:val="21"/>
          <w:highlight w:val="none"/>
          <w14:textFill>
            <w14:solidFill>
              <w14:schemeClr w14:val="tx1"/>
            </w14:solidFill>
          </w14:textFill>
        </w:rPr>
        <w:t>评审委员会</w:t>
      </w:r>
      <w:r>
        <w:rPr>
          <w:rFonts w:ascii="宋体" w:hAnsi="宋体" w:hint="eastAsia"/>
          <w:bCs/>
          <w:color w:val="000000" w:themeColor="text1"/>
          <w:highlight w:val="none"/>
          <w14:textFill>
            <w14:solidFill>
              <w14:schemeClr w14:val="tx1"/>
            </w14:solidFill>
          </w14:textFill>
        </w:rPr>
        <w:t>按照招标文件规定的方式确定一个投标人获得中标人推荐资格，招标文件未规定的采取随机抽取方式确定，其他同品牌投标人不作为中标候选人。</w:t>
      </w:r>
    </w:p>
    <w:p>
      <w:pPr>
        <w:ind w:firstLine="470" w:firstLineChars="196"/>
        <w:rPr>
          <w:rFonts w:ascii="宋体" w:hAnsi="宋体"/>
          <w:bCs/>
          <w:color w:val="000000" w:themeColor="text1"/>
          <w:highlight w:val="none"/>
          <w14:textFill>
            <w14:solidFill>
              <w14:schemeClr w14:val="tx1"/>
            </w14:solidFill>
          </w14:textFill>
        </w:rPr>
      </w:pPr>
      <w:r>
        <w:rPr>
          <w:rFonts w:ascii="宋体" w:hAnsi="宋体" w:hint="eastAsia"/>
          <w:bCs/>
          <w:color w:val="000000" w:themeColor="text1"/>
          <w:highlight w:val="none"/>
          <w14:textFill>
            <w14:solidFill>
              <w14:schemeClr w14:val="tx1"/>
            </w14:solidFill>
          </w14:textFill>
        </w:rPr>
        <w:t>32.3.3非单一产品采购项目，采购人应当根据采购项目技术构成、产品价格比重等合理确定核心产品，并在招标文件中载明。多家投标人提供的核心产品品牌相同的，按前两款规定处理。</w:t>
      </w:r>
    </w:p>
    <w:p>
      <w:pPr>
        <w:ind w:firstLine="470" w:firstLineChars="196"/>
        <w:rPr>
          <w:rFonts w:ascii="宋体" w:eastAsia="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3</w:t>
      </w:r>
      <w:r>
        <w:rPr>
          <w:rFonts w:ascii="宋体" w:eastAsia="宋体" w:hAnsi="宋体" w:hint="eastAsia"/>
          <w:color w:val="000000" w:themeColor="text1"/>
          <w:highlight w:val="none"/>
          <w14:textFill>
            <w14:solidFill>
              <w14:schemeClr w14:val="tx1"/>
            </w14:solidFill>
          </w14:textFill>
        </w:rPr>
        <w:t>2.4投标人投标文件作无效处理的情形，具体包括但不限于以下：</w:t>
      </w:r>
    </w:p>
    <w:p>
      <w:pPr>
        <w:ind w:firstLine="470" w:firstLineChars="196"/>
        <w:rPr>
          <w:rFonts w:ascii="宋体" w:eastAsia="宋体" w:hAnsi="宋体"/>
          <w:color w:val="000000" w:themeColor="text1"/>
          <w:highlight w:val="none"/>
          <w14:textFill>
            <w14:solidFill>
              <w14:schemeClr w14:val="tx1"/>
            </w14:solidFill>
          </w14:textFill>
        </w:rPr>
      </w:pPr>
      <w:r>
        <w:rPr>
          <w:rFonts w:ascii="宋体" w:eastAsia="宋体" w:hAnsi="宋体" w:hint="eastAsia"/>
          <w:color w:val="000000" w:themeColor="text1"/>
          <w:highlight w:val="none"/>
          <w14:textFill>
            <w14:solidFill>
              <w14:schemeClr w14:val="tx1"/>
            </w14:solidFill>
          </w14:textFill>
        </w:rPr>
        <w:t>32.4.1不同投标人的投标文件由同一单位或者同一个人编制，或者由同一个人分阶段参与编制；</w:t>
      </w:r>
    </w:p>
    <w:p>
      <w:pPr>
        <w:ind w:firstLine="470" w:firstLineChars="196"/>
        <w:rPr>
          <w:rFonts w:ascii="宋体" w:eastAsia="宋体" w:hAnsi="宋体"/>
          <w:color w:val="000000" w:themeColor="text1"/>
          <w:highlight w:val="none"/>
          <w14:textFill>
            <w14:solidFill>
              <w14:schemeClr w14:val="tx1"/>
            </w14:solidFill>
          </w14:textFill>
        </w:rPr>
      </w:pPr>
      <w:r>
        <w:rPr>
          <w:rFonts w:ascii="宋体" w:eastAsia="宋体" w:hAnsi="宋体"/>
          <w:color w:val="000000" w:themeColor="text1"/>
          <w:highlight w:val="none"/>
          <w14:textFill>
            <w14:solidFill>
              <w14:schemeClr w14:val="tx1"/>
            </w14:solidFill>
          </w14:textFill>
        </w:rPr>
        <w:t>32.4.</w:t>
      </w:r>
      <w:r>
        <w:rPr>
          <w:rFonts w:ascii="宋体" w:eastAsia="宋体" w:hAnsi="宋体" w:hint="eastAsia"/>
          <w:color w:val="000000" w:themeColor="text1"/>
          <w:highlight w:val="none"/>
          <w14:textFill>
            <w14:solidFill>
              <w14:schemeClr w14:val="tx1"/>
            </w14:solidFill>
          </w14:textFill>
        </w:rPr>
        <w:t>2不同投标人委托同一单位或者个人办理投标事宜；</w:t>
      </w:r>
    </w:p>
    <w:p>
      <w:pPr>
        <w:ind w:firstLine="470" w:firstLineChars="196"/>
        <w:rPr>
          <w:rFonts w:ascii="宋体" w:eastAsia="宋体" w:hAnsi="宋体"/>
          <w:color w:val="000000" w:themeColor="text1"/>
          <w:highlight w:val="none"/>
          <w14:textFill>
            <w14:solidFill>
              <w14:schemeClr w14:val="tx1"/>
            </w14:solidFill>
          </w14:textFill>
        </w:rPr>
      </w:pPr>
      <w:r>
        <w:rPr>
          <w:rFonts w:ascii="宋体" w:eastAsia="宋体" w:hAnsi="宋体" w:hint="eastAsia"/>
          <w:color w:val="000000" w:themeColor="text1"/>
          <w:highlight w:val="none"/>
          <w14:textFill>
            <w14:solidFill>
              <w14:schemeClr w14:val="tx1"/>
            </w14:solidFill>
          </w14:textFill>
        </w:rPr>
        <w:t>32.4.3不同投标人的投标文件载明的项目管理成员或者联系人员为同一人；</w:t>
      </w:r>
    </w:p>
    <w:p>
      <w:pPr>
        <w:ind w:firstLine="470" w:firstLineChars="196"/>
        <w:rPr>
          <w:rFonts w:ascii="宋体" w:eastAsia="宋体" w:hAnsi="宋体"/>
          <w:color w:val="000000" w:themeColor="text1"/>
          <w:highlight w:val="none"/>
          <w14:textFill>
            <w14:solidFill>
              <w14:schemeClr w14:val="tx1"/>
            </w14:solidFill>
          </w14:textFill>
        </w:rPr>
      </w:pPr>
      <w:r>
        <w:rPr>
          <w:rFonts w:ascii="宋体" w:eastAsia="宋体" w:hAnsi="宋体" w:hint="eastAsia"/>
          <w:color w:val="000000" w:themeColor="text1"/>
          <w:highlight w:val="none"/>
          <w14:textFill>
            <w14:solidFill>
              <w14:schemeClr w14:val="tx1"/>
            </w14:solidFill>
          </w14:textFill>
        </w:rPr>
        <w:t>32.4.4不同投标人的投标文件异常一致或者投标报价呈规律性差异；</w:t>
      </w:r>
    </w:p>
    <w:p>
      <w:pPr>
        <w:ind w:firstLine="470" w:firstLineChars="196"/>
        <w:rPr>
          <w:rFonts w:ascii="宋体" w:eastAsia="宋体" w:hAnsi="宋体"/>
          <w:color w:val="000000" w:themeColor="text1"/>
          <w:highlight w:val="none"/>
          <w14:textFill>
            <w14:solidFill>
              <w14:schemeClr w14:val="tx1"/>
            </w14:solidFill>
          </w14:textFill>
        </w:rPr>
      </w:pPr>
      <w:r>
        <w:rPr>
          <w:rFonts w:ascii="宋体" w:eastAsia="宋体" w:hAnsi="宋体" w:hint="eastAsia"/>
          <w:color w:val="000000" w:themeColor="text1"/>
          <w:highlight w:val="none"/>
          <w14:textFill>
            <w14:solidFill>
              <w14:schemeClr w14:val="tx1"/>
            </w14:solidFill>
          </w14:textFill>
        </w:rPr>
        <w:t>32.4.5</w:t>
      </w:r>
      <w:r>
        <w:rPr>
          <w:rFonts w:ascii="宋体" w:eastAsia="宋体" w:hAnsi="宋体"/>
          <w:color w:val="000000" w:themeColor="text1"/>
          <w:highlight w:val="none"/>
          <w14:textFill>
            <w14:solidFill>
              <w14:schemeClr w14:val="tx1"/>
            </w14:solidFill>
          </w14:textFill>
        </w:rPr>
        <w:t>不同投标供应商的投标文件或部分投标文件相互混装</w:t>
      </w:r>
      <w:r>
        <w:rPr>
          <w:rFonts w:ascii="宋体" w:eastAsia="宋体" w:hAnsi="宋体" w:hint="eastAsia"/>
          <w:color w:val="000000" w:themeColor="text1"/>
          <w:highlight w:val="none"/>
          <w14:textFill>
            <w14:solidFill>
              <w14:schemeClr w14:val="tx1"/>
            </w14:solidFill>
          </w14:textFill>
        </w:rPr>
        <w:t>；</w:t>
      </w:r>
    </w:p>
    <w:p>
      <w:pPr>
        <w:ind w:firstLine="470" w:firstLineChars="196"/>
        <w:rPr>
          <w:rFonts w:ascii="宋体" w:hAnsi="宋体"/>
          <w:color w:val="000000" w:themeColor="text1"/>
          <w:highlight w:val="none"/>
          <w14:textFill>
            <w14:solidFill>
              <w14:schemeClr w14:val="tx1"/>
            </w14:solidFill>
          </w14:textFill>
        </w:rPr>
      </w:pPr>
      <w:r>
        <w:rPr>
          <w:rFonts w:ascii="宋体" w:eastAsia="宋体" w:hAnsi="宋体" w:hint="eastAsia"/>
          <w:color w:val="000000" w:themeColor="text1"/>
          <w:highlight w:val="none"/>
          <w14:textFill>
            <w14:solidFill>
              <w14:schemeClr w14:val="tx1"/>
            </w14:solidFill>
          </w14:textFill>
        </w:rPr>
        <w:t>32.4.6投标供应商之间相互约定给予未中标的供应商利</w:t>
      </w:r>
      <w:r>
        <w:rPr>
          <w:rFonts w:ascii="宋体" w:hAnsi="宋体" w:hint="eastAsia"/>
          <w:color w:val="000000" w:themeColor="text1"/>
          <w:highlight w:val="none"/>
          <w14:textFill>
            <w14:solidFill>
              <w14:schemeClr w14:val="tx1"/>
            </w14:solidFill>
          </w14:textFill>
        </w:rPr>
        <w:t>益补偿；</w:t>
      </w:r>
    </w:p>
    <w:p>
      <w:pPr>
        <w:ind w:firstLine="47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32.4.7不同投标供应商的法定代表人、主要经营负责人、项目投标授权代表人、项目负责人、主要技术人员为同一人、属同一单位或者同一单位缴纳社会保险；</w:t>
      </w:r>
    </w:p>
    <w:p>
      <w:pPr>
        <w:ind w:firstLine="47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32.4.8不同投标供应商的投标文件内容存在非正常一致；</w:t>
      </w:r>
    </w:p>
    <w:p>
      <w:pPr>
        <w:ind w:firstLine="47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32.4.9在同一单位工作人员为两家以上（含两家）供应商进行同一项投标活动；</w:t>
      </w:r>
    </w:p>
    <w:p>
      <w:pPr>
        <w:ind w:firstLine="47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32.4.10主管部门依照法律、法规认定的其他情形。</w:t>
      </w:r>
    </w:p>
    <w:p>
      <w:pPr>
        <w:ind w:firstLine="47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32.5对不属于《资格性审查表》和《符合性审查表》所列的其他情形，除专用条款另有规定和32.4条款所列情形外，不得作为投标无效的理由。</w:t>
      </w:r>
    </w:p>
    <w:p>
      <w:pPr>
        <w:rPr>
          <w:rFonts w:ascii="黑体" w:eastAsia="黑体" w:hAnsi="宋体"/>
          <w:color w:val="000000" w:themeColor="text1"/>
          <w:highlight w:val="none"/>
          <w14:textFill>
            <w14:solidFill>
              <w14:schemeClr w14:val="tx1"/>
            </w14:solidFill>
          </w14:textFill>
        </w:rPr>
      </w:pPr>
      <w:r>
        <w:rPr>
          <w:rFonts w:ascii="黑体" w:eastAsia="黑体" w:hAnsi="宋体" w:hint="eastAsia"/>
          <w:color w:val="000000" w:themeColor="text1"/>
          <w:highlight w:val="none"/>
          <w14:textFill>
            <w14:solidFill>
              <w14:schemeClr w14:val="tx1"/>
            </w14:solidFill>
          </w14:textFill>
        </w:rPr>
        <w:t>33．澄清有关问题</w:t>
      </w:r>
    </w:p>
    <w:p>
      <w:pPr>
        <w:ind w:firstLine="470" w:firstLineChars="196"/>
        <w:rPr>
          <w:rFonts w:ascii="宋体" w:hAnsi="宋体"/>
          <w:color w:val="000000" w:themeColor="text1"/>
          <w:highlight w:val="none"/>
          <w14:textFill>
            <w14:solidFill>
              <w14:schemeClr w14:val="tx1"/>
            </w14:solidFill>
          </w14:textFill>
        </w:rPr>
      </w:pPr>
      <w:bookmarkStart w:id="63" w:name="_Hlk71407321"/>
      <w:r>
        <w:rPr>
          <w:rFonts w:ascii="宋体" w:hAnsi="宋体" w:hint="eastAsia"/>
          <w:color w:val="000000" w:themeColor="text1"/>
          <w:highlight w:val="none"/>
          <w14:textFill>
            <w14:solidFill>
              <w14:schemeClr w14:val="tx1"/>
            </w14:solidFill>
          </w14:textFill>
        </w:rPr>
        <w:t>3</w:t>
      </w:r>
      <w:r>
        <w:rPr>
          <w:rFonts w:ascii="宋体" w:hAnsi="宋体"/>
          <w:color w:val="000000" w:themeColor="text1"/>
          <w:highlight w:val="none"/>
          <w14:textFill>
            <w14:solidFill>
              <w14:schemeClr w14:val="tx1"/>
            </w14:solidFill>
          </w14:textFill>
        </w:rPr>
        <w:t>3.1</w:t>
      </w:r>
      <w:r>
        <w:rPr>
          <w:rFonts w:ascii="宋体" w:hAnsi="宋体" w:hint="eastAsia"/>
          <w:color w:val="000000" w:themeColor="text1"/>
          <w:highlight w:val="none"/>
          <w14:textFill>
            <w14:solidFill>
              <w14:schemeClr w14:val="tx1"/>
            </w14:solidFill>
          </w14:textFill>
        </w:rPr>
        <w:t>对招标文件中描述有歧义或前后不一致的地方（不含</w:t>
      </w:r>
      <w:r>
        <w:rPr>
          <w:color w:val="000000" w:themeColor="text1"/>
          <w:szCs w:val="21"/>
          <w:highlight w:val="none"/>
          <w14:textFill>
            <w14:solidFill>
              <w14:schemeClr w14:val="tx1"/>
            </w14:solidFill>
          </w14:textFill>
        </w:rPr>
        <w:t>招标文件存在歧义、重大缺陷导致评</w:t>
      </w:r>
      <w:r>
        <w:rPr>
          <w:rFonts w:hint="eastAsia"/>
          <w:color w:val="000000" w:themeColor="text1"/>
          <w:szCs w:val="21"/>
          <w:highlight w:val="none"/>
          <w14:textFill>
            <w14:solidFill>
              <w14:schemeClr w14:val="tx1"/>
            </w14:solidFill>
          </w14:textFill>
        </w:rPr>
        <w:t>审</w:t>
      </w:r>
      <w:r>
        <w:rPr>
          <w:color w:val="000000" w:themeColor="text1"/>
          <w:szCs w:val="21"/>
          <w:highlight w:val="none"/>
          <w14:textFill>
            <w14:solidFill>
              <w14:schemeClr w14:val="tx1"/>
            </w14:solidFill>
          </w14:textFill>
        </w:rPr>
        <w:t>工作无法进行</w:t>
      </w:r>
      <w:r>
        <w:rPr>
          <w:rFonts w:hint="eastAsia"/>
          <w:color w:val="000000" w:themeColor="text1"/>
          <w:szCs w:val="21"/>
          <w:highlight w:val="none"/>
          <w14:textFill>
            <w14:solidFill>
              <w14:schemeClr w14:val="tx1"/>
            </w14:solidFill>
          </w14:textFill>
        </w:rPr>
        <w:t>的情况）</w:t>
      </w:r>
      <w:r>
        <w:rPr>
          <w:rFonts w:ascii="宋体" w:hAnsi="宋体" w:hint="eastAsia"/>
          <w:color w:val="000000" w:themeColor="text1"/>
          <w:highlight w:val="none"/>
          <w14:textFill>
            <w14:solidFill>
              <w14:schemeClr w14:val="tx1"/>
            </w14:solidFill>
          </w14:textFill>
        </w:rPr>
        <w:t>，评审委员会有权进行评判，但对同一条款的评判应适用于每个投标人。</w:t>
      </w:r>
      <w:bookmarkEnd w:id="63"/>
    </w:p>
    <w:p>
      <w:pPr>
        <w:ind w:firstLine="47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3</w:t>
      </w:r>
      <w:r>
        <w:rPr>
          <w:rFonts w:ascii="宋体" w:hAnsi="宋体"/>
          <w:color w:val="000000" w:themeColor="text1"/>
          <w:highlight w:val="none"/>
          <w14:textFill>
            <w14:solidFill>
              <w14:schemeClr w14:val="tx1"/>
            </w14:solidFill>
          </w14:textFill>
        </w:rPr>
        <w:t>3.2</w:t>
      </w:r>
      <w:r>
        <w:rPr>
          <w:color w:val="000000" w:themeColor="text1"/>
          <w:szCs w:val="21"/>
          <w:highlight w:val="none"/>
          <w14:textFill>
            <w14:solidFill>
              <w14:schemeClr w14:val="tx1"/>
            </w14:solidFill>
          </w14:textFill>
        </w:rPr>
        <w:t>评</w:t>
      </w:r>
      <w:r>
        <w:rPr>
          <w:rFonts w:hint="eastAsia"/>
          <w:color w:val="000000" w:themeColor="text1"/>
          <w:szCs w:val="21"/>
          <w:highlight w:val="none"/>
          <w14:textFill>
            <w14:solidFill>
              <w14:schemeClr w14:val="tx1"/>
            </w14:solidFill>
          </w14:textFill>
        </w:rPr>
        <w:t>审</w:t>
      </w:r>
      <w:r>
        <w:rPr>
          <w:color w:val="000000" w:themeColor="text1"/>
          <w:szCs w:val="21"/>
          <w:highlight w:val="none"/>
          <w14:textFill>
            <w14:solidFill>
              <w14:schemeClr w14:val="tx1"/>
            </w14:solidFill>
          </w14:textFill>
        </w:rPr>
        <w:t>委员会发现招标文件存在歧义、重大缺陷导致评</w:t>
      </w:r>
      <w:r>
        <w:rPr>
          <w:rFonts w:hint="eastAsia"/>
          <w:color w:val="000000" w:themeColor="text1"/>
          <w:szCs w:val="21"/>
          <w:highlight w:val="none"/>
          <w14:textFill>
            <w14:solidFill>
              <w14:schemeClr w14:val="tx1"/>
            </w14:solidFill>
          </w14:textFill>
        </w:rPr>
        <w:t>审</w:t>
      </w:r>
      <w:r>
        <w:rPr>
          <w:color w:val="000000" w:themeColor="text1"/>
          <w:szCs w:val="21"/>
          <w:highlight w:val="none"/>
          <w14:textFill>
            <w14:solidFill>
              <w14:schemeClr w14:val="tx1"/>
            </w14:solidFill>
          </w14:textFill>
        </w:rPr>
        <w:t>工作无法进行，或者招标文件内容违反国家有关强制性规定的，应当停止评</w:t>
      </w:r>
      <w:r>
        <w:rPr>
          <w:rFonts w:hint="eastAsia"/>
          <w:color w:val="000000" w:themeColor="text1"/>
          <w:szCs w:val="21"/>
          <w:highlight w:val="none"/>
          <w14:textFill>
            <w14:solidFill>
              <w14:schemeClr w14:val="tx1"/>
            </w14:solidFill>
          </w14:textFill>
        </w:rPr>
        <w:t>审</w:t>
      </w:r>
      <w:r>
        <w:rPr>
          <w:color w:val="000000" w:themeColor="text1"/>
          <w:szCs w:val="21"/>
          <w:highlight w:val="none"/>
          <w14:textFill>
            <w14:solidFill>
              <w14:schemeClr w14:val="tx1"/>
            </w14:solidFill>
          </w14:textFill>
        </w:rPr>
        <w:t>工作，与</w:t>
      </w:r>
      <w:r>
        <w:rPr>
          <w:rFonts w:eastAsia="宋体" w:hint="eastAsia"/>
          <w:color w:val="000000" w:themeColor="text1"/>
          <w:szCs w:val="21"/>
          <w:highlight w:val="none"/>
          <w14:textFill>
            <w14:solidFill>
              <w14:schemeClr w14:val="tx1"/>
            </w14:solidFill>
          </w14:textFill>
        </w:rPr>
        <w:t>招标机构</w:t>
      </w:r>
      <w:r>
        <w:rPr>
          <w:color w:val="000000" w:themeColor="text1"/>
          <w:szCs w:val="21"/>
          <w:highlight w:val="none"/>
          <w14:textFill>
            <w14:solidFill>
              <w14:schemeClr w14:val="tx1"/>
            </w14:solidFill>
          </w14:textFill>
        </w:rPr>
        <w:t>沟通并作书面记录。</w:t>
      </w:r>
      <w:r>
        <w:rPr>
          <w:rFonts w:hint="eastAsia"/>
          <w:color w:val="000000" w:themeColor="text1"/>
          <w:szCs w:val="21"/>
          <w:highlight w:val="none"/>
          <w14:textFill>
            <w14:solidFill>
              <w14:schemeClr w14:val="tx1"/>
            </w14:solidFill>
          </w14:textFill>
        </w:rPr>
        <w:t>经</w:t>
      </w:r>
      <w:r>
        <w:rPr>
          <w:color w:val="000000" w:themeColor="text1"/>
          <w:szCs w:val="21"/>
          <w:highlight w:val="none"/>
          <w14:textFill>
            <w14:solidFill>
              <w14:schemeClr w14:val="tx1"/>
            </w14:solidFill>
          </w14:textFill>
        </w:rPr>
        <w:t>确认后，</w:t>
      </w:r>
      <w:r>
        <w:rPr>
          <w:rFonts w:hint="eastAsia"/>
          <w:color w:val="000000" w:themeColor="text1"/>
          <w:szCs w:val="21"/>
          <w:highlight w:val="none"/>
          <w14:textFill>
            <w14:solidFill>
              <w14:schemeClr w14:val="tx1"/>
            </w14:solidFill>
          </w14:textFill>
        </w:rPr>
        <w:t>项目</w:t>
      </w:r>
      <w:r>
        <w:rPr>
          <w:color w:val="000000" w:themeColor="text1"/>
          <w:szCs w:val="21"/>
          <w:highlight w:val="none"/>
          <w14:textFill>
            <w14:solidFill>
              <w14:schemeClr w14:val="tx1"/>
            </w14:solidFill>
          </w14:textFill>
        </w:rPr>
        <w:t>应当修改招标文件，重新组织采购活动。</w:t>
      </w:r>
    </w:p>
    <w:p>
      <w:pPr>
        <w:ind w:firstLine="470" w:firstLineChars="196"/>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33.3</w:t>
      </w:r>
      <w:r>
        <w:rPr>
          <w:rFonts w:ascii="宋体" w:hAnsi="宋体" w:hint="eastAsia"/>
          <w:color w:val="000000" w:themeColor="text1"/>
          <w:highlight w:val="none"/>
          <w14:textFill>
            <w14:solidFill>
              <w14:schemeClr w14:val="tx1"/>
            </w14:solidFill>
          </w14:textFill>
        </w:rPr>
        <w:t>对于投标文件中含义不明确、同类问题表述不一致或者有明显文字和计算错误的内容，评审委员会应当以书面形式要求投标人作出必要的澄清、说明或者补正。</w:t>
      </w:r>
    </w:p>
    <w:p>
      <w:pPr>
        <w:ind w:firstLine="47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根据本通用条款第34条，凡属于评审委员会在评审中发现的算术错误进行核实的修改不在此列。</w:t>
      </w:r>
    </w:p>
    <w:p>
      <w:pPr>
        <w:rPr>
          <w:rFonts w:ascii="黑体" w:eastAsia="黑体" w:hAnsi="宋体"/>
          <w:color w:val="000000" w:themeColor="text1"/>
          <w:highlight w:val="none"/>
          <w14:textFill>
            <w14:solidFill>
              <w14:schemeClr w14:val="tx1"/>
            </w14:solidFill>
          </w14:textFill>
        </w:rPr>
      </w:pPr>
      <w:bookmarkStart w:id="64" w:name="_Toc73518151"/>
      <w:bookmarkStart w:id="65" w:name="_Toc73517673"/>
      <w:bookmarkStart w:id="66" w:name="_Toc73521669"/>
      <w:bookmarkStart w:id="67" w:name="_Toc73521581"/>
      <w:bookmarkStart w:id="68" w:name="_Toc100052400"/>
      <w:r>
        <w:rPr>
          <w:rFonts w:ascii="黑体" w:eastAsia="黑体" w:hAnsi="宋体" w:hint="eastAsia"/>
          <w:color w:val="000000" w:themeColor="text1"/>
          <w:highlight w:val="none"/>
          <w14:textFill>
            <w14:solidFill>
              <w14:schemeClr w14:val="tx1"/>
            </w14:solidFill>
          </w14:textFill>
        </w:rPr>
        <w:t>34．错误的修正</w:t>
      </w:r>
      <w:bookmarkEnd w:id="64"/>
      <w:bookmarkEnd w:id="65"/>
      <w:bookmarkEnd w:id="66"/>
      <w:bookmarkEnd w:id="67"/>
      <w:bookmarkEnd w:id="68"/>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投标文件报价出现前后不一致的，除专用条款另有规定外，按照下列规定修正：</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34.1投标文件中开标一览表投标报价内容与投标文件中投标报价相应内容不一致的，以开标一览表为准；</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34.2大写金额和小写金额不一致的，以大写金额为准；</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34.3单价金额小数点或者百分比有明显错位，以开标一览表的总价为准，并修改单价；</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34.4总价金额与按单价汇总金额不一致的，以单价金额计算结果为准。</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34.5同时出现两种以上不一致的，按照前款规定的顺序修正。修正后的报价按照本通用条款33条的规定，经投标人确认后产生约束力，投标人不确认的，其投标无效。</w:t>
      </w:r>
    </w:p>
    <w:p>
      <w:pPr>
        <w:rPr>
          <w:rFonts w:ascii="黑体" w:eastAsia="黑体" w:hAnsi="宋体"/>
          <w:color w:val="000000" w:themeColor="text1"/>
          <w:highlight w:val="none"/>
          <w14:textFill>
            <w14:solidFill>
              <w14:schemeClr w14:val="tx1"/>
            </w14:solidFill>
          </w14:textFill>
        </w:rPr>
      </w:pPr>
      <w:r>
        <w:rPr>
          <w:rFonts w:ascii="黑体" w:eastAsia="黑体" w:hAnsi="宋体" w:hint="eastAsia"/>
          <w:color w:val="000000" w:themeColor="text1"/>
          <w:highlight w:val="none"/>
          <w14:textFill>
            <w14:solidFill>
              <w14:schemeClr w14:val="tx1"/>
            </w14:solidFill>
          </w14:textFill>
        </w:rPr>
        <w:t>35．投标文件的比较与评价</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评审委员会将按照《深圳经济特区政府采购条例》、《深圳经济特区政府采购条例实施细则》、《深圳市政府采购评标定标分离管理办法》及政府采购其他法律法规，仅对通过资格性审查和符合性审查的投标文件进行综合比较与评价。</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评审委员会成员对需要共同认定的事项存在争议的，应当按照少数服从多数的原则作出结论。持不同意见的评审委员会成员应当书面作出说明，否则视为无异议。</w:t>
      </w:r>
    </w:p>
    <w:p>
      <w:pPr>
        <w:rPr>
          <w:rFonts w:ascii="黑体" w:eastAsia="黑体" w:hAnsi="宋体"/>
          <w:color w:val="000000" w:themeColor="text1"/>
          <w:highlight w:val="none"/>
          <w14:textFill>
            <w14:solidFill>
              <w14:schemeClr w14:val="tx1"/>
            </w14:solidFill>
          </w14:textFill>
        </w:rPr>
      </w:pPr>
      <w:r>
        <w:rPr>
          <w:rFonts w:ascii="黑体" w:eastAsia="黑体" w:hAnsi="宋体" w:hint="eastAsia"/>
          <w:color w:val="000000" w:themeColor="text1"/>
          <w:highlight w:val="none"/>
          <w14:textFill>
            <w14:solidFill>
              <w14:schemeClr w14:val="tx1"/>
            </w14:solidFill>
          </w14:textFill>
        </w:rPr>
        <w:t>36. 实地考察或资料查验</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36.1在评审过程中，评审委员会有权决定是否对本项目投标人进行实地考察或资料查验（原件）。投标人应随时做好接受实地考察或资料查验的准备。</w:t>
      </w:r>
    </w:p>
    <w:p>
      <w:pPr>
        <w:rPr>
          <w:rFonts w:ascii="黑体" w:eastAsia="黑体" w:hAnsi="宋体"/>
          <w:color w:val="000000" w:themeColor="text1"/>
          <w:highlight w:val="none"/>
          <w14:textFill>
            <w14:solidFill>
              <w14:schemeClr w14:val="tx1"/>
            </w14:solidFill>
          </w14:textFill>
        </w:rPr>
      </w:pPr>
      <w:r>
        <w:rPr>
          <w:rFonts w:ascii="黑体" w:eastAsia="黑体" w:hAnsi="宋体" w:hint="eastAsia"/>
          <w:color w:val="000000" w:themeColor="text1"/>
          <w:highlight w:val="none"/>
          <w14:textFill>
            <w14:solidFill>
              <w14:schemeClr w14:val="tx1"/>
            </w14:solidFill>
          </w14:textFill>
        </w:rPr>
        <w:t>37．评审方法</w:t>
      </w:r>
    </w:p>
    <w:p>
      <w:pPr>
        <w:ind w:firstLine="470" w:firstLineChars="196"/>
        <w:rPr>
          <w:rFonts w:ascii="宋体" w:hAnsi="宋体"/>
          <w:b/>
          <w:bCs/>
          <w:color w:val="000000" w:themeColor="text1"/>
          <w:szCs w:val="21"/>
          <w:highlight w:val="none"/>
          <w14:textFill>
            <w14:solidFill>
              <w14:schemeClr w14:val="tx1"/>
            </w14:solidFill>
          </w14:textFill>
        </w:rPr>
      </w:pPr>
      <w:r>
        <w:rPr>
          <w:rFonts w:ascii="宋体" w:hAnsi="宋体" w:hint="eastAsia"/>
          <w:b/>
          <w:bCs/>
          <w:color w:val="000000" w:themeColor="text1"/>
          <w:szCs w:val="21"/>
          <w:highlight w:val="none"/>
          <w14:textFill>
            <w14:solidFill>
              <w14:schemeClr w14:val="tx1"/>
            </w14:solidFill>
          </w14:textFill>
        </w:rPr>
        <w:t>37.1.1最低价法</w:t>
      </w:r>
    </w:p>
    <w:p>
      <w:pPr>
        <w:ind w:firstLine="470" w:firstLineChars="196"/>
        <w:rPr>
          <w:rFonts w:ascii="ˎ̥" w:hAnsi="ˎ̥" w:hint="eastAsia"/>
          <w:color w:val="000000" w:themeColor="text1"/>
          <w:highlight w:val="none"/>
          <w14:textFill>
            <w14:solidFill>
              <w14:schemeClr w14:val="tx1"/>
            </w14:solidFill>
          </w14:textFill>
        </w:rPr>
      </w:pPr>
      <w:bookmarkStart w:id="69" w:name="_Hlk72438142"/>
      <w:r>
        <w:rPr>
          <w:rFonts w:ascii="ˎ̥" w:hAnsi="ˎ̥"/>
          <w:color w:val="000000" w:themeColor="text1"/>
          <w:highlight w:val="none"/>
          <w14:textFill>
            <w14:solidFill>
              <w14:schemeClr w14:val="tx1"/>
            </w14:solidFill>
          </w14:textFill>
        </w:rPr>
        <w:t>最低价法，是指</w:t>
      </w:r>
      <w:r>
        <w:rPr>
          <w:rFonts w:ascii="ˎ̥" w:hAnsi="ˎ̥" w:hint="eastAsia"/>
          <w:color w:val="000000" w:themeColor="text1"/>
          <w:highlight w:val="none"/>
          <w14:textFill>
            <w14:solidFill>
              <w14:schemeClr w14:val="tx1"/>
            </w14:solidFill>
          </w14:textFill>
        </w:rPr>
        <w:t>完全</w:t>
      </w:r>
      <w:r>
        <w:rPr>
          <w:rFonts w:ascii="ˎ̥" w:hAnsi="ˎ̥"/>
          <w:color w:val="000000" w:themeColor="text1"/>
          <w:highlight w:val="none"/>
          <w14:textFill>
            <w14:solidFill>
              <w14:schemeClr w14:val="tx1"/>
            </w14:solidFill>
          </w14:textFill>
        </w:rPr>
        <w:t>满足招标文件实质性要求，</w:t>
      </w:r>
      <w:r>
        <w:rPr>
          <w:rFonts w:ascii="ˎ̥" w:hAnsi="ˎ̥" w:hint="eastAsia"/>
          <w:color w:val="000000" w:themeColor="text1"/>
          <w:highlight w:val="none"/>
          <w14:textFill>
            <w14:solidFill>
              <w14:schemeClr w14:val="tx1"/>
            </w14:solidFill>
          </w14:textFill>
        </w:rPr>
        <w:t>按照报价由低到高的顺序，依据招标文件中规定的数量或者比例推荐候选中标供应商。</w:t>
      </w:r>
    </w:p>
    <w:p>
      <w:pPr>
        <w:ind w:firstLine="470" w:firstLineChars="196"/>
        <w:rPr>
          <w:rFonts w:ascii="宋体" w:hAnsi="宋体"/>
          <w:b/>
          <w:bCs/>
          <w:color w:val="000000" w:themeColor="text1"/>
          <w:szCs w:val="21"/>
          <w:highlight w:val="none"/>
          <w14:textFill>
            <w14:solidFill>
              <w14:schemeClr w14:val="tx1"/>
            </w14:solidFill>
          </w14:textFill>
        </w:rPr>
      </w:pPr>
      <w:r>
        <w:rPr>
          <w:rFonts w:ascii="宋体" w:hAnsi="宋体" w:hint="eastAsia"/>
          <w:b/>
          <w:bCs/>
          <w:color w:val="000000" w:themeColor="text1"/>
          <w:szCs w:val="21"/>
          <w:highlight w:val="none"/>
          <w14:textFill>
            <w14:solidFill>
              <w14:schemeClr w14:val="tx1"/>
            </w14:solidFill>
          </w14:textFill>
        </w:rPr>
        <w:t>37.1.2综合评分法</w:t>
      </w:r>
    </w:p>
    <w:p>
      <w:pPr>
        <w:ind w:firstLine="470" w:firstLineChars="196"/>
        <w:rPr>
          <w:rFonts w:ascii="ˎ̥" w:hAnsi="ˎ̥" w:hint="eastAsia"/>
          <w:color w:val="000000" w:themeColor="text1"/>
          <w:highlight w:val="none"/>
          <w14:textFill>
            <w14:solidFill>
              <w14:schemeClr w14:val="tx1"/>
            </w14:solidFill>
          </w14:textFill>
        </w:rPr>
      </w:pPr>
      <w:r>
        <w:rPr>
          <w:rFonts w:ascii="ˎ̥" w:hAnsi="ˎ̥"/>
          <w:color w:val="000000" w:themeColor="text1"/>
          <w:highlight w:val="none"/>
          <w14:textFill>
            <w14:solidFill>
              <w14:schemeClr w14:val="tx1"/>
            </w14:solidFill>
          </w14:textFill>
        </w:rPr>
        <w:t>综合评分法，是指</w:t>
      </w:r>
      <w:r>
        <w:rPr>
          <w:rFonts w:ascii="ˎ̥" w:hAnsi="ˎ̥" w:hint="eastAsia"/>
          <w:color w:val="000000" w:themeColor="text1"/>
          <w:highlight w:val="none"/>
          <w14:textFill>
            <w14:solidFill>
              <w14:schemeClr w14:val="tx1"/>
            </w14:solidFill>
          </w14:textFill>
        </w:rPr>
        <w:t>在</w:t>
      </w:r>
      <w:r>
        <w:rPr>
          <w:rFonts w:ascii="ˎ̥" w:hAnsi="ˎ̥"/>
          <w:color w:val="000000" w:themeColor="text1"/>
          <w:highlight w:val="none"/>
          <w14:textFill>
            <w14:solidFill>
              <w14:schemeClr w14:val="tx1"/>
            </w14:solidFill>
          </w14:textFill>
        </w:rPr>
        <w:t>满足招标文件全部实质性要求</w:t>
      </w:r>
      <w:r>
        <w:rPr>
          <w:rFonts w:ascii="ˎ̥" w:hAnsi="ˎ̥" w:hint="eastAsia"/>
          <w:color w:val="000000" w:themeColor="text1"/>
          <w:highlight w:val="none"/>
          <w14:textFill>
            <w14:solidFill>
              <w14:schemeClr w14:val="tx1"/>
            </w14:solidFill>
          </w14:textFill>
        </w:rPr>
        <w:t>的前提下</w:t>
      </w:r>
      <w:r>
        <w:rPr>
          <w:rFonts w:ascii="ˎ̥" w:hAnsi="ˎ̥"/>
          <w:color w:val="000000" w:themeColor="text1"/>
          <w:highlight w:val="none"/>
          <w14:textFill>
            <w14:solidFill>
              <w14:schemeClr w14:val="tx1"/>
            </w14:solidFill>
          </w14:textFill>
        </w:rPr>
        <w:t>，</w:t>
      </w:r>
      <w:r>
        <w:rPr>
          <w:rFonts w:ascii="ˎ̥" w:hAnsi="ˎ̥" w:hint="eastAsia"/>
          <w:color w:val="000000" w:themeColor="text1"/>
          <w:highlight w:val="none"/>
          <w14:textFill>
            <w14:solidFill>
              <w14:schemeClr w14:val="tx1"/>
            </w14:solidFill>
          </w14:textFill>
        </w:rPr>
        <w:t>按照招标文件中规定的各项因素进行综合评审，评审总得分排名前列的投标人，作为推荐的候选中标供应商。</w:t>
      </w:r>
      <w:bookmarkEnd w:id="69"/>
    </w:p>
    <w:p>
      <w:pPr>
        <w:ind w:firstLine="470" w:firstLineChars="196"/>
        <w:rPr>
          <w:rFonts w:ascii="宋体" w:hAnsi="宋体"/>
          <w:b/>
          <w:bCs/>
          <w:color w:val="000000" w:themeColor="text1"/>
          <w:szCs w:val="21"/>
          <w:highlight w:val="none"/>
          <w14:textFill>
            <w14:solidFill>
              <w14:schemeClr w14:val="tx1"/>
            </w14:solidFill>
          </w14:textFill>
        </w:rPr>
      </w:pPr>
      <w:r>
        <w:rPr>
          <w:rFonts w:ascii="宋体" w:hAnsi="宋体" w:hint="eastAsia"/>
          <w:b/>
          <w:bCs/>
          <w:color w:val="000000" w:themeColor="text1"/>
          <w:szCs w:val="21"/>
          <w:highlight w:val="none"/>
          <w14:textFill>
            <w14:solidFill>
              <w14:schemeClr w14:val="tx1"/>
            </w14:solidFill>
          </w14:textFill>
        </w:rPr>
        <w:t>37.2 本项目采用的评审方法见本项目招标文件第一册“专用条款”的相关内容。</w:t>
      </w:r>
    </w:p>
    <w:p>
      <w:pPr>
        <w:ind w:firstLine="470" w:firstLineChars="196"/>
        <w:rPr>
          <w:rFonts w:ascii="宋体" w:hAnsi="宋体"/>
          <w:b/>
          <w:bCs/>
          <w:color w:val="000000" w:themeColor="text1"/>
          <w:szCs w:val="21"/>
          <w:highlight w:val="none"/>
          <w14:textFill>
            <w14:solidFill>
              <w14:schemeClr w14:val="tx1"/>
            </w14:solidFill>
          </w14:textFill>
        </w:rPr>
      </w:pPr>
      <w:r>
        <w:rPr>
          <w:rFonts w:ascii="宋体" w:hAnsi="宋体" w:hint="eastAsia"/>
          <w:b/>
          <w:bCs/>
          <w:color w:val="000000" w:themeColor="text1"/>
          <w:szCs w:val="21"/>
          <w:highlight w:val="none"/>
          <w14:textFill>
            <w14:solidFill>
              <w14:schemeClr w14:val="tx1"/>
            </w14:solidFill>
          </w14:textFill>
        </w:rPr>
        <w:t>37.3重新评审的情形</w:t>
      </w:r>
    </w:p>
    <w:p>
      <w:pPr>
        <w:ind w:firstLine="470" w:firstLineChars="196"/>
        <w:rPr>
          <w:rFonts w:ascii="宋体" w:hAnsi="宋体"/>
          <w:b/>
          <w:bCs/>
          <w:color w:val="000000" w:themeColor="text1"/>
          <w:szCs w:val="21"/>
          <w:highlight w:val="none"/>
          <w14:textFill>
            <w14:solidFill>
              <w14:schemeClr w14:val="tx1"/>
            </w14:solidFill>
          </w14:textFill>
        </w:rPr>
      </w:pPr>
      <w:r>
        <w:rPr>
          <w:rFonts w:ascii="宋体" w:hAnsi="宋体" w:cs="宋体" w:hint="eastAsia"/>
          <w:color w:val="000000" w:themeColor="text1"/>
          <w:szCs w:val="21"/>
          <w:highlight w:val="none"/>
          <w14:textFill>
            <w14:solidFill>
              <w14:schemeClr w14:val="tx1"/>
            </w14:solidFill>
          </w14:textFill>
        </w:rPr>
        <w:t>评审结果汇总完成后，除下列情形外，任何人不得修改评审结果：</w:t>
      </w:r>
    </w:p>
    <w:p>
      <w:pPr>
        <w:ind w:firstLine="470" w:firstLineChars="196"/>
        <w:rPr>
          <w:rFonts w:ascii="宋体" w:hAnsi="宋体" w:cs="宋体"/>
          <w:color w:val="000000" w:themeColor="text1"/>
          <w:szCs w:val="21"/>
          <w:highlight w:val="none"/>
          <w14:textFill>
            <w14:solidFill>
              <w14:schemeClr w14:val="tx1"/>
            </w14:solidFill>
          </w14:textFill>
        </w:rPr>
      </w:pPr>
      <w:r>
        <w:rPr>
          <w:rFonts w:ascii="宋体" w:hAnsi="宋体" w:cs="宋体" w:hint="eastAsia"/>
          <w:color w:val="000000" w:themeColor="text1"/>
          <w:szCs w:val="21"/>
          <w:highlight w:val="none"/>
          <w14:textFill>
            <w14:solidFill>
              <w14:schemeClr w14:val="tx1"/>
            </w14:solidFill>
          </w14:textFill>
        </w:rPr>
        <w:t>37.3.1分值汇总计算错误的；</w:t>
      </w:r>
    </w:p>
    <w:p>
      <w:pPr>
        <w:ind w:firstLine="470" w:firstLineChars="196"/>
        <w:rPr>
          <w:rFonts w:ascii="宋体" w:hAnsi="宋体" w:cs="宋体"/>
          <w:color w:val="000000" w:themeColor="text1"/>
          <w:szCs w:val="21"/>
          <w:highlight w:val="none"/>
          <w14:textFill>
            <w14:solidFill>
              <w14:schemeClr w14:val="tx1"/>
            </w14:solidFill>
          </w14:textFill>
        </w:rPr>
      </w:pPr>
      <w:r>
        <w:rPr>
          <w:rFonts w:ascii="宋体" w:hAnsi="宋体" w:cs="宋体" w:hint="eastAsia"/>
          <w:color w:val="000000" w:themeColor="text1"/>
          <w:szCs w:val="21"/>
          <w:highlight w:val="none"/>
          <w14:textFill>
            <w14:solidFill>
              <w14:schemeClr w14:val="tx1"/>
            </w14:solidFill>
          </w14:textFill>
        </w:rPr>
        <w:t>37.3.2分项评分超出评分标准范围的；</w:t>
      </w:r>
    </w:p>
    <w:p>
      <w:pPr>
        <w:ind w:firstLine="470" w:firstLineChars="196"/>
        <w:rPr>
          <w:rFonts w:ascii="宋体" w:hAnsi="宋体" w:cs="宋体"/>
          <w:color w:val="000000" w:themeColor="text1"/>
          <w:szCs w:val="21"/>
          <w:highlight w:val="none"/>
          <w14:textFill>
            <w14:solidFill>
              <w14:schemeClr w14:val="tx1"/>
            </w14:solidFill>
          </w14:textFill>
        </w:rPr>
      </w:pPr>
      <w:r>
        <w:rPr>
          <w:rFonts w:ascii="宋体" w:hAnsi="宋体" w:cs="宋体" w:hint="eastAsia"/>
          <w:color w:val="000000" w:themeColor="text1"/>
          <w:szCs w:val="21"/>
          <w:highlight w:val="none"/>
          <w14:textFill>
            <w14:solidFill>
              <w14:schemeClr w14:val="tx1"/>
            </w14:solidFill>
          </w14:textFill>
        </w:rPr>
        <w:t>37.3.3评审委员会成员对客观评审因素评分不一致的；</w:t>
      </w:r>
    </w:p>
    <w:p>
      <w:pPr>
        <w:ind w:firstLine="470" w:firstLineChars="196"/>
        <w:rPr>
          <w:rFonts w:ascii="宋体" w:hAnsi="宋体" w:cs="宋体"/>
          <w:color w:val="000000" w:themeColor="text1"/>
          <w:szCs w:val="21"/>
          <w:highlight w:val="none"/>
          <w14:textFill>
            <w14:solidFill>
              <w14:schemeClr w14:val="tx1"/>
            </w14:solidFill>
          </w14:textFill>
        </w:rPr>
      </w:pPr>
      <w:r>
        <w:rPr>
          <w:rFonts w:ascii="宋体" w:hAnsi="宋体" w:cs="宋体" w:hint="eastAsia"/>
          <w:color w:val="000000" w:themeColor="text1"/>
          <w:szCs w:val="21"/>
          <w:highlight w:val="none"/>
          <w14:textFill>
            <w14:solidFill>
              <w14:schemeClr w14:val="tx1"/>
            </w14:solidFill>
          </w14:textFill>
        </w:rPr>
        <w:t>37.3.4经评审委员会认定评分畸高、畸低的。</w:t>
      </w:r>
    </w:p>
    <w:p>
      <w:pPr>
        <w:ind w:firstLine="470" w:firstLineChars="196"/>
        <w:rPr>
          <w:rFonts w:ascii="宋体" w:hAnsi="宋体" w:cs="宋体"/>
          <w:color w:val="000000" w:themeColor="text1"/>
          <w:szCs w:val="21"/>
          <w:highlight w:val="none"/>
          <w14:textFill>
            <w14:solidFill>
              <w14:schemeClr w14:val="tx1"/>
            </w14:solidFill>
          </w14:textFill>
        </w:rPr>
      </w:pPr>
      <w:r>
        <w:rPr>
          <w:rFonts w:ascii="宋体" w:hAnsi="宋体" w:cs="宋体" w:hint="eastAsia"/>
          <w:color w:val="000000" w:themeColor="text1"/>
          <w:szCs w:val="21"/>
          <w:highlight w:val="none"/>
          <w14:textFill>
            <w14:solidFill>
              <w14:schemeClr w14:val="tx1"/>
            </w14:solidFill>
          </w14:textFill>
        </w:rPr>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pPr>
        <w:ind w:firstLine="470" w:firstLineChars="196"/>
        <w:rPr>
          <w:rFonts w:ascii="宋体" w:hAnsi="宋体" w:cs="宋体"/>
          <w:color w:val="000000" w:themeColor="text1"/>
          <w:szCs w:val="21"/>
          <w:highlight w:val="none"/>
          <w14:textFill>
            <w14:solidFill>
              <w14:schemeClr w14:val="tx1"/>
            </w14:solidFill>
          </w14:textFill>
        </w:rPr>
      </w:pPr>
      <w:r>
        <w:rPr>
          <w:rFonts w:ascii="宋体" w:hAnsi="宋体" w:cs="宋体" w:hint="eastAsia"/>
          <w:color w:val="000000" w:themeColor="text1"/>
          <w:szCs w:val="21"/>
          <w:highlight w:val="none"/>
          <w14:textFill>
            <w14:solidFill>
              <w14:schemeClr w14:val="tx1"/>
            </w14:solidFill>
          </w14:textFill>
        </w:rPr>
        <w:t>投标人对本条第一款情形提出质疑的，采购人或者采购代理机构可以组织原评审委员会进行重新评审，重新评审改变评审结果的，应当书面报告本级财政部门。</w:t>
      </w:r>
    </w:p>
    <w:p>
      <w:pPr>
        <w:ind w:firstLine="470" w:firstLineChars="196"/>
        <w:rPr>
          <w:rFonts w:ascii="宋体" w:hAnsi="宋体"/>
          <w:b/>
          <w:bCs/>
          <w:color w:val="000000" w:themeColor="text1"/>
          <w:szCs w:val="21"/>
          <w:highlight w:val="none"/>
          <w14:textFill>
            <w14:solidFill>
              <w14:schemeClr w14:val="tx1"/>
            </w14:solidFill>
          </w14:textFill>
        </w:rPr>
      </w:pPr>
      <w:r>
        <w:rPr>
          <w:rFonts w:ascii="宋体" w:hAnsi="宋体" w:hint="eastAsia"/>
          <w:b/>
          <w:bCs/>
          <w:color w:val="000000" w:themeColor="text1"/>
          <w:szCs w:val="21"/>
          <w:highlight w:val="none"/>
          <w14:textFill>
            <w14:solidFill>
              <w14:schemeClr w14:val="tx1"/>
            </w14:solidFill>
          </w14:textFill>
        </w:rPr>
        <w:t xml:space="preserve"> 37.4重新组建评审委员会的情形</w:t>
      </w:r>
    </w:p>
    <w:p>
      <w:pPr>
        <w:ind w:firstLine="470" w:firstLineChars="196"/>
        <w:rPr>
          <w:rFonts w:ascii="宋体" w:hAnsi="宋体" w:cs="宋体"/>
          <w:color w:val="000000" w:themeColor="text1"/>
          <w:szCs w:val="21"/>
          <w:highlight w:val="none"/>
          <w14:textFill>
            <w14:solidFill>
              <w14:schemeClr w14:val="tx1"/>
            </w14:solidFill>
          </w14:textFill>
        </w:rPr>
      </w:pPr>
      <w:r>
        <w:rPr>
          <w:rFonts w:ascii="宋体" w:hAnsi="宋体" w:cs="宋体" w:hint="eastAsia"/>
          <w:color w:val="000000" w:themeColor="text1"/>
          <w:szCs w:val="21"/>
          <w:highlight w:val="none"/>
          <w14:textFill>
            <w14:solidFill>
              <w14:schemeClr w14:val="tx1"/>
            </w14:solidFill>
          </w14:textFill>
        </w:rPr>
        <w:t>评审委员会或者其成员存在下列情形导致评审结果无效的，重新组建评审委员会进行评标，并书面报告本级财政部门：</w:t>
      </w:r>
    </w:p>
    <w:p>
      <w:pPr>
        <w:ind w:firstLine="470" w:firstLineChars="196"/>
        <w:rPr>
          <w:rFonts w:ascii="宋体" w:hAnsi="宋体" w:cs="宋体"/>
          <w:color w:val="000000" w:themeColor="text1"/>
          <w:szCs w:val="21"/>
          <w:highlight w:val="none"/>
          <w14:textFill>
            <w14:solidFill>
              <w14:schemeClr w14:val="tx1"/>
            </w14:solidFill>
          </w14:textFill>
        </w:rPr>
      </w:pPr>
      <w:r>
        <w:rPr>
          <w:rFonts w:ascii="宋体" w:hAnsi="宋体" w:cs="宋体" w:hint="eastAsia"/>
          <w:color w:val="000000" w:themeColor="text1"/>
          <w:szCs w:val="21"/>
          <w:highlight w:val="none"/>
          <w14:textFill>
            <w14:solidFill>
              <w14:schemeClr w14:val="tx1"/>
            </w14:solidFill>
          </w14:textFill>
        </w:rPr>
        <w:t>37.4.1评审委员会组成不符合《政府采购货物和服务招标投标管理办法》规定的；</w:t>
      </w:r>
    </w:p>
    <w:p>
      <w:pPr>
        <w:ind w:firstLine="470" w:firstLineChars="196"/>
        <w:rPr>
          <w:rFonts w:ascii="宋体" w:hAnsi="宋体" w:cs="宋体"/>
          <w:color w:val="000000" w:themeColor="text1"/>
          <w:szCs w:val="21"/>
          <w:highlight w:val="none"/>
          <w14:textFill>
            <w14:solidFill>
              <w14:schemeClr w14:val="tx1"/>
            </w14:solidFill>
          </w14:textFill>
        </w:rPr>
      </w:pPr>
      <w:r>
        <w:rPr>
          <w:rFonts w:ascii="宋体" w:hAnsi="宋体" w:cs="宋体" w:hint="eastAsia"/>
          <w:color w:val="000000" w:themeColor="text1"/>
          <w:szCs w:val="21"/>
          <w:highlight w:val="none"/>
          <w14:textFill>
            <w14:solidFill>
              <w14:schemeClr w14:val="tx1"/>
            </w14:solidFill>
          </w14:textFill>
        </w:rPr>
        <w:t>37.4.2有《政府采购货物和服务招标投标管理办法》第六十二条第一至五项情形的；</w:t>
      </w:r>
    </w:p>
    <w:p>
      <w:pPr>
        <w:ind w:firstLine="470" w:firstLineChars="196"/>
        <w:rPr>
          <w:rFonts w:ascii="宋体" w:hAnsi="宋体" w:cs="宋体"/>
          <w:color w:val="000000" w:themeColor="text1"/>
          <w:szCs w:val="21"/>
          <w:highlight w:val="none"/>
          <w14:textFill>
            <w14:solidFill>
              <w14:schemeClr w14:val="tx1"/>
            </w14:solidFill>
          </w14:textFill>
        </w:rPr>
      </w:pPr>
      <w:r>
        <w:rPr>
          <w:rFonts w:ascii="宋体" w:hAnsi="宋体" w:cs="宋体" w:hint="eastAsia"/>
          <w:color w:val="000000" w:themeColor="text1"/>
          <w:szCs w:val="21"/>
          <w:highlight w:val="none"/>
          <w14:textFill>
            <w14:solidFill>
              <w14:schemeClr w14:val="tx1"/>
            </w14:solidFill>
          </w14:textFill>
        </w:rPr>
        <w:t>37.4.3评审委员会及其成员独立评标受到非法干预的；</w:t>
      </w:r>
    </w:p>
    <w:p>
      <w:pPr>
        <w:ind w:firstLine="470" w:firstLineChars="196"/>
        <w:rPr>
          <w:rFonts w:ascii="宋体" w:hAnsi="宋体" w:cs="宋体"/>
          <w:color w:val="000000" w:themeColor="text1"/>
          <w:szCs w:val="21"/>
          <w:highlight w:val="none"/>
          <w14:textFill>
            <w14:solidFill>
              <w14:schemeClr w14:val="tx1"/>
            </w14:solidFill>
          </w14:textFill>
        </w:rPr>
      </w:pPr>
      <w:r>
        <w:rPr>
          <w:rFonts w:ascii="宋体" w:hAnsi="宋体" w:cs="宋体" w:hint="eastAsia"/>
          <w:color w:val="000000" w:themeColor="text1"/>
          <w:szCs w:val="21"/>
          <w:highlight w:val="none"/>
          <w14:textFill>
            <w14:solidFill>
              <w14:schemeClr w14:val="tx1"/>
            </w14:solidFill>
          </w14:textFill>
        </w:rPr>
        <w:t>37.4.4有政府采购法实施条例第七十五条规定的违法行为的。</w:t>
      </w:r>
    </w:p>
    <w:p>
      <w:pPr>
        <w:ind w:firstLine="470" w:firstLineChars="196"/>
        <w:rPr>
          <w:rFonts w:ascii="宋体" w:hAnsi="宋体" w:cs="宋体"/>
          <w:color w:val="000000" w:themeColor="text1"/>
          <w:szCs w:val="21"/>
          <w:highlight w:val="none"/>
          <w14:textFill>
            <w14:solidFill>
              <w14:schemeClr w14:val="tx1"/>
            </w14:solidFill>
          </w14:textFill>
        </w:rPr>
      </w:pPr>
      <w:r>
        <w:rPr>
          <w:rFonts w:ascii="宋体" w:hAnsi="宋体" w:cs="宋体" w:hint="eastAsia"/>
          <w:color w:val="000000" w:themeColor="text1"/>
          <w:szCs w:val="21"/>
          <w:highlight w:val="none"/>
          <w14:textFill>
            <w14:solidFill>
              <w14:schemeClr w14:val="tx1"/>
            </w14:solidFill>
          </w14:textFill>
        </w:rPr>
        <w:t>有违法违规行为的原评审委员会成员不得参加重新组建的评审委员会。</w:t>
      </w:r>
    </w:p>
    <w:p>
      <w:pPr>
        <w:pStyle w:val="Heading2"/>
        <w:numPr>
          <w:ilvl w:val="0"/>
          <w:numId w:val="2"/>
        </w:numPr>
        <w:tabs>
          <w:tab w:val="left" w:pos="360"/>
          <w:tab w:val="clear" w:pos="720"/>
        </w:tabs>
        <w:spacing w:before="120" w:beforeLines="50" w:after="120" w:afterLines="50"/>
        <w:ind w:left="562" w:hanging="562"/>
        <w:rPr>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定标及公示</w:t>
      </w:r>
    </w:p>
    <w:p>
      <w:pPr>
        <w:rPr>
          <w:rFonts w:ascii="黑体" w:eastAsia="黑体" w:hAnsi="宋体"/>
          <w:color w:val="000000" w:themeColor="text1"/>
          <w:highlight w:val="none"/>
          <w14:textFill>
            <w14:solidFill>
              <w14:schemeClr w14:val="tx1"/>
            </w14:solidFill>
          </w14:textFill>
        </w:rPr>
      </w:pPr>
      <w:r>
        <w:rPr>
          <w:rFonts w:ascii="黑体" w:eastAsia="黑体" w:hAnsi="宋体" w:hint="eastAsia"/>
          <w:color w:val="000000" w:themeColor="text1"/>
          <w:highlight w:val="none"/>
          <w14:textFill>
            <w14:solidFill>
              <w14:schemeClr w14:val="tx1"/>
            </w14:solidFill>
          </w14:textFill>
        </w:rPr>
        <w:t>38．定标方法</w:t>
      </w:r>
    </w:p>
    <w:p>
      <w:pPr>
        <w:ind w:firstLine="470" w:firstLineChars="196"/>
        <w:rPr>
          <w:rFonts w:ascii="宋体" w:eastAsia="宋体" w:hAnsi="宋体"/>
          <w:szCs w:val="21"/>
          <w:highlight w:val="none"/>
        </w:rPr>
      </w:pPr>
      <w:bookmarkStart w:id="70" w:name="_Hlk73782795"/>
      <w:r>
        <w:rPr>
          <w:rFonts w:ascii="宋体" w:eastAsia="宋体" w:hAnsi="宋体" w:hint="eastAsia"/>
          <w:szCs w:val="21"/>
          <w:highlight w:val="none"/>
        </w:rPr>
        <w:t>38.1非评定分离项目定标方法</w:t>
      </w:r>
    </w:p>
    <w:p>
      <w:pPr>
        <w:ind w:firstLine="470" w:firstLineChars="196"/>
        <w:rPr>
          <w:rFonts w:ascii="宋体" w:eastAsia="宋体" w:hAnsi="宋体"/>
          <w:szCs w:val="21"/>
          <w:highlight w:val="none"/>
        </w:rPr>
      </w:pPr>
      <w:r>
        <w:rPr>
          <w:rFonts w:ascii="宋体" w:eastAsia="宋体" w:hAnsi="宋体" w:hint="eastAsia"/>
          <w:szCs w:val="21"/>
          <w:highlight w:val="none"/>
        </w:rPr>
        <w:t>38.1.1评审委员会依据本项目招标文件所约定的评审方法进行评审和比较，向</w:t>
      </w:r>
      <w:r>
        <w:rPr>
          <w:rFonts w:ascii="宋体" w:eastAsia="宋体" w:hAnsi="宋体" w:hint="eastAsia"/>
          <w:szCs w:val="21"/>
          <w:highlight w:val="none"/>
          <w:lang w:eastAsia="zh-CN"/>
        </w:rPr>
        <w:t>政府采购代理机构</w:t>
      </w:r>
      <w:r>
        <w:rPr>
          <w:rFonts w:ascii="宋体" w:eastAsia="宋体" w:hAnsi="宋体" w:hint="eastAsia"/>
          <w:szCs w:val="21"/>
          <w:highlight w:val="none"/>
        </w:rPr>
        <w:t>提交书面评审报告，并根据评审方法比较评价结果从优到劣进行排序，确定候选中标供应商。</w:t>
      </w:r>
    </w:p>
    <w:p>
      <w:pPr>
        <w:ind w:firstLine="470" w:firstLineChars="196"/>
        <w:rPr>
          <w:rFonts w:ascii="ˎ̥" w:eastAsia="宋体" w:hAnsi="ˎ̥" w:hint="eastAsia"/>
          <w:highlight w:val="none"/>
        </w:rPr>
      </w:pPr>
      <w:r>
        <w:rPr>
          <w:rFonts w:ascii="宋体" w:eastAsia="宋体" w:hAnsi="宋体" w:hint="eastAsia"/>
          <w:szCs w:val="21"/>
          <w:highlight w:val="none"/>
        </w:rPr>
        <w:t>38.1.2</w:t>
      </w:r>
      <w:r>
        <w:rPr>
          <w:rFonts w:ascii="ˎ̥" w:eastAsia="宋体" w:hAnsi="ˎ̥" w:hint="eastAsia"/>
          <w:highlight w:val="none"/>
        </w:rPr>
        <w:t>采用最低价法的，评审结果按投标报价由低到高顺序排列。投标报价相同的并列。投标文件满足招标文件全部实质性要求且投标报价最低的投标人为</w:t>
      </w:r>
      <w:bookmarkStart w:id="71" w:name="_Hlk73821177"/>
      <w:r>
        <w:rPr>
          <w:rFonts w:ascii="ˎ̥" w:eastAsia="宋体" w:hAnsi="ˎ̥" w:hint="eastAsia"/>
          <w:highlight w:val="none"/>
        </w:rPr>
        <w:t>中标供应商（排名第二的投标人为第一替补中标候选人、排名第三的投标人为第二替补中标候选人</w:t>
      </w:r>
      <w:bookmarkEnd w:id="71"/>
      <w:r>
        <w:rPr>
          <w:rFonts w:ascii="ˎ̥" w:eastAsia="宋体" w:hAnsi="ˎ̥" w:hint="eastAsia"/>
          <w:highlight w:val="none"/>
        </w:rPr>
        <w:t>）。</w:t>
      </w:r>
    </w:p>
    <w:p>
      <w:pPr>
        <w:ind w:firstLine="470" w:firstLineChars="196"/>
        <w:rPr>
          <w:rFonts w:ascii="ˎ̥" w:eastAsia="宋体" w:hAnsi="ˎ̥" w:hint="eastAsia"/>
          <w:highlight w:val="none"/>
        </w:rPr>
      </w:pPr>
      <w:r>
        <w:rPr>
          <w:rFonts w:ascii="宋体" w:eastAsia="宋体" w:hAnsi="宋体" w:hint="eastAsia"/>
          <w:szCs w:val="21"/>
          <w:highlight w:val="none"/>
        </w:rPr>
        <w:t>38.1.3采</w:t>
      </w:r>
      <w:r>
        <w:rPr>
          <w:rFonts w:ascii="ˎ̥" w:eastAsia="宋体" w:hAnsi="ˎ̥" w:hint="eastAsia"/>
          <w:highlight w:val="none"/>
        </w:rPr>
        <w:t>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中标供应商（排名第二的投标人为第一替补中标候选人、排名第三的投标人为第二替补中标候选人）。出现得分且投标报价相同的并列情况时，采取随机抽取的方式确定，具体操作办法及流程由评审委员会确定。</w:t>
      </w:r>
    </w:p>
    <w:p>
      <w:pPr>
        <w:ind w:firstLine="470" w:firstLineChars="196"/>
        <w:rPr>
          <w:rFonts w:ascii="宋体" w:eastAsia="宋体" w:hAnsi="宋体"/>
          <w:szCs w:val="21"/>
          <w:highlight w:val="none"/>
        </w:rPr>
      </w:pPr>
      <w:r>
        <w:rPr>
          <w:rFonts w:ascii="宋体" w:eastAsia="宋体" w:hAnsi="宋体" w:hint="eastAsia"/>
          <w:szCs w:val="21"/>
          <w:highlight w:val="none"/>
        </w:rPr>
        <w:t>38.2评定分离项目定标方法</w:t>
      </w:r>
    </w:p>
    <w:p>
      <w:pPr>
        <w:ind w:firstLine="470" w:firstLineChars="196"/>
        <w:rPr>
          <w:rFonts w:ascii="宋体" w:eastAsia="宋体" w:hAnsi="宋体"/>
          <w:szCs w:val="21"/>
          <w:highlight w:val="none"/>
        </w:rPr>
      </w:pPr>
      <w:r>
        <w:rPr>
          <w:rFonts w:ascii="宋体" w:eastAsia="宋体" w:hAnsi="宋体" w:hint="eastAsia"/>
          <w:szCs w:val="21"/>
          <w:highlight w:val="none"/>
        </w:rPr>
        <w:t>38.2.1评定分离是指在政府集中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pPr>
        <w:ind w:firstLine="470" w:firstLineChars="196"/>
        <w:rPr>
          <w:rFonts w:ascii="宋体" w:eastAsia="宋体" w:hAnsi="宋体"/>
          <w:szCs w:val="21"/>
          <w:highlight w:val="none"/>
        </w:rPr>
      </w:pPr>
      <w:r>
        <w:rPr>
          <w:rFonts w:ascii="宋体" w:eastAsia="宋体" w:hAnsi="宋体" w:hint="eastAsia"/>
          <w:szCs w:val="21"/>
          <w:highlight w:val="none"/>
        </w:rPr>
        <w:t xml:space="preserve">38.2.2 </w:t>
      </w:r>
      <w:bookmarkStart w:id="72" w:name="_Hlk71469733"/>
      <w:r>
        <w:rPr>
          <w:rFonts w:eastAsia="宋体" w:hint="eastAsia"/>
          <w:highlight w:val="none"/>
        </w:rPr>
        <w:t>适用评定分离的政府采购项目，采用综合评分法评审。</w:t>
      </w:r>
      <w:r>
        <w:rPr>
          <w:rFonts w:ascii="宋体" w:eastAsia="宋体" w:hAnsi="宋体" w:hint="eastAsia"/>
          <w:szCs w:val="21"/>
          <w:highlight w:val="none"/>
        </w:rPr>
        <w:t>评审委员会按照评审结果，推荐</w:t>
      </w:r>
      <w:r>
        <w:rPr>
          <w:rFonts w:eastAsia="宋体" w:hint="eastAsia"/>
          <w:highlight w:val="none"/>
        </w:rPr>
        <w:t>三个合格的候选中标供应商。</w:t>
      </w:r>
    </w:p>
    <w:p>
      <w:pPr>
        <w:ind w:firstLine="470" w:firstLineChars="196"/>
        <w:rPr>
          <w:rFonts w:ascii="宋体" w:eastAsia="宋体" w:hAnsi="宋体"/>
          <w:szCs w:val="21"/>
          <w:highlight w:val="none"/>
        </w:rPr>
      </w:pPr>
      <w:r>
        <w:rPr>
          <w:rFonts w:ascii="宋体" w:eastAsia="宋体" w:hAnsi="宋体" w:hint="eastAsia"/>
          <w:szCs w:val="21"/>
          <w:highlight w:val="none"/>
        </w:rPr>
        <w:t>38.2.3</w:t>
      </w:r>
      <w:bookmarkStart w:id="73" w:name="_Hlk71469688"/>
      <w:r>
        <w:rPr>
          <w:rFonts w:eastAsia="宋体" w:hint="eastAsia"/>
          <w:highlight w:val="none"/>
        </w:rPr>
        <w:t>适用评定分离的政府采购项目，</w:t>
      </w:r>
      <w:r>
        <w:rPr>
          <w:rFonts w:ascii="宋体" w:eastAsia="宋体" w:hAnsi="宋体" w:hint="eastAsia"/>
          <w:szCs w:val="21"/>
          <w:highlight w:val="none"/>
        </w:rPr>
        <w:t>按照自定法确定中标供应商：自定法是指采购人组织定标委员会，由定标委员会在三家候选中标供应商中确定中标供应商。</w:t>
      </w:r>
      <w:bookmarkEnd w:id="72"/>
      <w:bookmarkEnd w:id="73"/>
    </w:p>
    <w:p>
      <w:pPr>
        <w:ind w:firstLine="470" w:firstLineChars="196"/>
        <w:rPr>
          <w:rFonts w:ascii="宋体" w:eastAsia="宋体" w:hAnsi="宋体"/>
          <w:szCs w:val="21"/>
          <w:highlight w:val="none"/>
        </w:rPr>
      </w:pPr>
      <w:r>
        <w:rPr>
          <w:rFonts w:ascii="宋体" w:eastAsia="宋体" w:hAnsi="宋体" w:hint="eastAsia"/>
          <w:szCs w:val="21"/>
          <w:highlight w:val="none"/>
        </w:rPr>
        <w:t>38.2.4</w:t>
      </w:r>
      <w:r>
        <w:rPr>
          <w:rFonts w:ascii="宋体" w:eastAsia="宋体" w:hAnsi="宋体" w:hint="eastAsia"/>
          <w:szCs w:val="21"/>
          <w:highlight w:val="none"/>
          <w:lang w:eastAsia="zh-CN"/>
        </w:rPr>
        <w:t>政府采购代理机构</w:t>
      </w:r>
      <w:r>
        <w:rPr>
          <w:rFonts w:eastAsia="宋体" w:hint="eastAsia"/>
          <w:highlight w:val="none"/>
        </w:rPr>
        <w:t>应当自评审结束之日起两个工作日内将候选中标供应商名单及其投标文件、评审报告送交采购人</w:t>
      </w:r>
      <w:r>
        <w:rPr>
          <w:rFonts w:ascii="宋体" w:eastAsia="宋体" w:hAnsi="宋体" w:hint="eastAsia"/>
          <w:szCs w:val="21"/>
          <w:highlight w:val="none"/>
        </w:rPr>
        <w:t>。</w:t>
      </w:r>
      <w:r>
        <w:rPr>
          <w:rFonts w:eastAsia="宋体" w:hint="eastAsia"/>
          <w:highlight w:val="none"/>
        </w:rPr>
        <w:t>采购人应当安排专人对定标过程进行书面记录，形成定标报告，作为采购文件的组成部分存档，并及时将定标结果反馈</w:t>
      </w:r>
      <w:r>
        <w:rPr>
          <w:rFonts w:eastAsia="宋体" w:hint="eastAsia"/>
          <w:highlight w:val="none"/>
          <w:lang w:eastAsia="zh-CN"/>
        </w:rPr>
        <w:t>政府采购代理机构</w:t>
      </w:r>
      <w:r>
        <w:rPr>
          <w:rFonts w:eastAsia="宋体" w:hint="eastAsia"/>
          <w:highlight w:val="none"/>
        </w:rPr>
        <w:t>。具体定标程序及相关要求以按照《深圳市财政局关于印发</w:t>
      </w:r>
      <w:r>
        <w:rPr>
          <w:rFonts w:ascii="宋体" w:eastAsia="宋体" w:hAnsi="宋体" w:hint="eastAsia"/>
          <w:highlight w:val="none"/>
        </w:rPr>
        <w:t>〈</w:t>
      </w:r>
      <w:r>
        <w:rPr>
          <w:rFonts w:eastAsia="宋体" w:hint="eastAsia"/>
          <w:highlight w:val="none"/>
        </w:rPr>
        <w:t>深圳市政府采购评标定标分离管理办法</w:t>
      </w:r>
      <w:r>
        <w:rPr>
          <w:rFonts w:ascii="宋体" w:eastAsia="宋体" w:hAnsi="宋体" w:hint="eastAsia"/>
          <w:highlight w:val="none"/>
        </w:rPr>
        <w:t>〉</w:t>
      </w:r>
      <w:r>
        <w:rPr>
          <w:rFonts w:eastAsia="宋体" w:hint="eastAsia"/>
          <w:highlight w:val="none"/>
        </w:rPr>
        <w:t>的通知》（深财规【</w:t>
      </w:r>
      <w:r>
        <w:rPr>
          <w:rFonts w:eastAsia="宋体"/>
          <w:highlight w:val="none"/>
        </w:rPr>
        <w:t>2020</w:t>
      </w:r>
      <w:r>
        <w:rPr>
          <w:rFonts w:eastAsia="宋体" w:hint="eastAsia"/>
          <w:highlight w:val="none"/>
        </w:rPr>
        <w:t>】</w:t>
      </w:r>
      <w:r>
        <w:rPr>
          <w:rFonts w:eastAsia="宋体"/>
          <w:highlight w:val="none"/>
        </w:rPr>
        <w:t>1</w:t>
      </w:r>
      <w:r>
        <w:rPr>
          <w:rFonts w:eastAsia="宋体" w:hint="eastAsia"/>
          <w:highlight w:val="none"/>
        </w:rPr>
        <w:t>号）执行。</w:t>
      </w:r>
    </w:p>
    <w:p>
      <w:pPr>
        <w:ind w:firstLine="470" w:firstLineChars="196"/>
        <w:rPr>
          <w:rFonts w:ascii="宋体" w:eastAsia="宋体" w:hAnsi="宋体"/>
          <w:szCs w:val="21"/>
          <w:highlight w:val="none"/>
        </w:rPr>
      </w:pPr>
      <w:r>
        <w:rPr>
          <w:rFonts w:ascii="宋体" w:eastAsia="宋体" w:hAnsi="宋体" w:hint="eastAsia"/>
          <w:szCs w:val="21"/>
          <w:highlight w:val="none"/>
        </w:rPr>
        <w:t>说明：采购人及投标供应商应按照上述方法提前做好相关准备。</w:t>
      </w:r>
    </w:p>
    <w:p>
      <w:pPr>
        <w:ind w:firstLine="470" w:firstLineChars="196"/>
        <w:rPr>
          <w:rFonts w:ascii="宋体" w:eastAsia="宋体" w:hAnsi="宋体"/>
          <w:szCs w:val="21"/>
          <w:highlight w:val="none"/>
        </w:rPr>
      </w:pPr>
      <w:r>
        <w:rPr>
          <w:rFonts w:ascii="宋体" w:eastAsia="宋体" w:hAnsi="宋体" w:hint="eastAsia"/>
          <w:szCs w:val="21"/>
          <w:highlight w:val="none"/>
        </w:rPr>
        <w:t>38.3专用条款另有规定的，按专用条款相关要求定标。</w:t>
      </w:r>
      <w:bookmarkEnd w:id="70"/>
    </w:p>
    <w:p>
      <w:pPr>
        <w:rPr>
          <w:rFonts w:ascii="黑体" w:eastAsia="黑体" w:hAnsi="宋体"/>
          <w:color w:val="000000" w:themeColor="text1"/>
          <w:highlight w:val="none"/>
          <w14:textFill>
            <w14:solidFill>
              <w14:schemeClr w14:val="tx1"/>
            </w14:solidFill>
          </w14:textFill>
        </w:rPr>
      </w:pPr>
      <w:r>
        <w:rPr>
          <w:rFonts w:ascii="黑体" w:eastAsia="黑体" w:hAnsi="宋体" w:hint="eastAsia"/>
          <w:color w:val="000000" w:themeColor="text1"/>
          <w:highlight w:val="none"/>
          <w14:textFill>
            <w14:solidFill>
              <w14:schemeClr w14:val="tx1"/>
            </w14:solidFill>
          </w14:textFill>
        </w:rPr>
        <w:t>39．编写评审报告</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pPr>
        <w:rPr>
          <w:rFonts w:ascii="黑体" w:eastAsia="黑体" w:hAnsi="宋体"/>
          <w:color w:val="000000" w:themeColor="text1"/>
          <w:highlight w:val="none"/>
          <w14:textFill>
            <w14:solidFill>
              <w14:schemeClr w14:val="tx1"/>
            </w14:solidFill>
          </w14:textFill>
        </w:rPr>
      </w:pPr>
      <w:r>
        <w:rPr>
          <w:rFonts w:ascii="黑体" w:eastAsia="黑体" w:hAnsi="宋体" w:hint="eastAsia"/>
          <w:color w:val="000000" w:themeColor="text1"/>
          <w:highlight w:val="none"/>
          <w14:textFill>
            <w14:solidFill>
              <w14:schemeClr w14:val="tx1"/>
            </w14:solidFill>
          </w14:textFill>
        </w:rPr>
        <w:t>40．中标公告</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40.1</w:t>
      </w:r>
      <w:bookmarkStart w:id="74" w:name="_Hlk72438709"/>
      <w:r>
        <w:rPr>
          <w:rFonts w:ascii="宋体" w:hAnsi="宋体" w:hint="eastAsia"/>
          <w:color w:val="000000" w:themeColor="text1"/>
          <w:szCs w:val="21"/>
          <w:highlight w:val="none"/>
          <w14:textFill>
            <w14:solidFill>
              <w14:schemeClr w14:val="tx1"/>
            </w14:solidFill>
          </w14:textFill>
        </w:rPr>
        <w:t>为体现“公开、公平、公正”的原则，评审结束后经采购人确认（确定）评审结果，招标机构将在“深圳政府采购智慧平台（http://zfcg.szggzy.com:8081/）”上发布中标结果公告。</w:t>
      </w:r>
      <w:bookmarkEnd w:id="74"/>
      <w:bookmarkStart w:id="75" w:name="_Hlk72438751"/>
      <w:r>
        <w:rPr>
          <w:rFonts w:ascii="宋体" w:hAnsi="宋体" w:hint="eastAsia"/>
          <w:color w:val="000000" w:themeColor="text1"/>
          <w:szCs w:val="21"/>
          <w:highlight w:val="none"/>
          <w14:textFill>
            <w14:solidFill>
              <w14:schemeClr w14:val="tx1"/>
            </w14:solidFill>
          </w14:textFill>
        </w:rPr>
        <w:t>供应商如对评审结果有异议，</w:t>
      </w:r>
      <w:r>
        <w:rPr>
          <w:rFonts w:ascii="宋体" w:hAnsi="宋体"/>
          <w:color w:val="000000" w:themeColor="text1"/>
          <w:szCs w:val="21"/>
          <w:highlight w:val="none"/>
          <w14:textFill>
            <w14:solidFill>
              <w14:schemeClr w14:val="tx1"/>
            </w14:solidFill>
          </w14:textFill>
        </w:rPr>
        <w:t>可在发布公示日期起</w:t>
      </w:r>
      <w:r>
        <w:rPr>
          <w:rFonts w:ascii="宋体" w:hAnsi="宋体" w:hint="eastAsia"/>
          <w:color w:val="000000" w:themeColor="text1"/>
          <w:szCs w:val="21"/>
          <w:highlight w:val="none"/>
          <w14:textFill>
            <w14:solidFill>
              <w14:schemeClr w14:val="tx1"/>
            </w14:solidFill>
          </w14:textFill>
        </w:rPr>
        <w:t>七</w:t>
      </w:r>
      <w:r>
        <w:rPr>
          <w:rFonts w:ascii="宋体" w:hAnsi="宋体"/>
          <w:color w:val="000000" w:themeColor="text1"/>
          <w:szCs w:val="21"/>
          <w:highlight w:val="none"/>
          <w14:textFill>
            <w14:solidFill>
              <w14:schemeClr w14:val="tx1"/>
            </w14:solidFill>
          </w14:textFill>
        </w:rPr>
        <w:t>个工作日内向</w:t>
      </w:r>
      <w:r>
        <w:rPr>
          <w:rFonts w:ascii="宋体" w:hAnsi="宋体" w:hint="eastAsia"/>
          <w:color w:val="000000" w:themeColor="text1"/>
          <w:szCs w:val="21"/>
          <w:highlight w:val="none"/>
          <w14:textFill>
            <w14:solidFill>
              <w14:schemeClr w14:val="tx1"/>
            </w14:solidFill>
          </w14:textFill>
        </w:rPr>
        <w:t>招标机构</w:t>
      </w:r>
      <w:r>
        <w:rPr>
          <w:rFonts w:ascii="宋体" w:hAnsi="宋体"/>
          <w:color w:val="000000" w:themeColor="text1"/>
          <w:szCs w:val="21"/>
          <w:highlight w:val="none"/>
          <w14:textFill>
            <w14:solidFill>
              <w14:schemeClr w14:val="tx1"/>
            </w14:solidFill>
          </w14:textFill>
        </w:rPr>
        <w:t>提出。电话：0755</w:t>
      </w:r>
      <w:r>
        <w:rPr>
          <w:rFonts w:ascii="宋体" w:hAnsi="宋体" w:hint="eastAsia"/>
          <w:color w:val="000000" w:themeColor="text1"/>
          <w:szCs w:val="21"/>
          <w:highlight w:val="none"/>
          <w:lang w:val="en-US" w:eastAsia="zh-CN"/>
          <w14:textFill>
            <w14:solidFill>
              <w14:schemeClr w14:val="tx1"/>
            </w14:solidFill>
          </w14:textFill>
        </w:rPr>
        <w:t>-</w:t>
      </w:r>
      <w:r>
        <w:rPr>
          <w:rFonts w:ascii="宋体" w:hAnsi="宋体" w:hint="eastAsia"/>
          <w:color w:val="000000" w:themeColor="text1"/>
          <w:szCs w:val="21"/>
          <w:highlight w:val="none"/>
          <w14:textFill>
            <w14:solidFill>
              <w14:schemeClr w14:val="tx1"/>
            </w14:solidFill>
          </w14:textFill>
        </w:rPr>
        <w:t>8388</w:t>
      </w:r>
      <w:r>
        <w:rPr>
          <w:rFonts w:ascii="宋体" w:hAnsi="宋体"/>
          <w:color w:val="000000" w:themeColor="text1"/>
          <w:szCs w:val="21"/>
          <w:highlight w:val="none"/>
          <w14:textFill>
            <w14:solidFill>
              <w14:schemeClr w14:val="tx1"/>
            </w14:solidFill>
          </w14:textFill>
        </w:rPr>
        <w:t>1111。</w:t>
      </w:r>
      <w:r>
        <w:rPr>
          <w:rFonts w:ascii="宋体" w:hAnsi="宋体" w:hint="eastAsia"/>
          <w:color w:val="000000" w:themeColor="text1"/>
          <w:szCs w:val="21"/>
          <w:highlight w:val="none"/>
          <w14:textFill>
            <w14:solidFill>
              <w14:schemeClr w14:val="tx1"/>
            </w14:solidFill>
          </w14:textFill>
        </w:rPr>
        <w:t>若在公示期内未提出质疑，则视为认同该评审结果。</w:t>
      </w:r>
    </w:p>
    <w:p>
      <w:pPr>
        <w:ind w:firstLine="470" w:firstLineChars="196"/>
        <w:rPr>
          <w:rFonts w:ascii="宋体" w:hAnsi="宋体"/>
          <w:color w:val="000000" w:themeColor="text1"/>
          <w:szCs w:val="21"/>
          <w:highlight w:val="none"/>
          <w14:textFill>
            <w14:solidFill>
              <w14:schemeClr w14:val="tx1"/>
            </w14:solidFill>
          </w14:textFill>
        </w:rPr>
      </w:pPr>
      <w:bookmarkEnd w:id="75"/>
      <w:r>
        <w:rPr>
          <w:rFonts w:ascii="宋体" w:hAnsi="宋体" w:hint="eastAsia"/>
          <w:color w:val="000000" w:themeColor="text1"/>
          <w:szCs w:val="21"/>
          <w:highlight w:val="none"/>
          <w14:textFill>
            <w14:solidFill>
              <w14:schemeClr w14:val="tx1"/>
            </w14:solidFill>
          </w14:textFill>
        </w:rPr>
        <w:t>40.2质疑、投诉供应商应保证质疑、投诉内容的真实性和可靠性，并承担相应的法律责任。</w:t>
      </w:r>
    </w:p>
    <w:p>
      <w:pPr>
        <w:rPr>
          <w:rFonts w:ascii="黑体" w:eastAsia="黑体" w:hAnsi="宋体"/>
          <w:color w:val="000000" w:themeColor="text1"/>
          <w:highlight w:val="none"/>
          <w14:textFill>
            <w14:solidFill>
              <w14:schemeClr w14:val="tx1"/>
            </w14:solidFill>
          </w14:textFill>
        </w:rPr>
      </w:pPr>
      <w:r>
        <w:rPr>
          <w:rFonts w:ascii="黑体" w:eastAsia="黑体" w:hAnsi="宋体" w:hint="eastAsia"/>
          <w:color w:val="000000" w:themeColor="text1"/>
          <w:highlight w:val="none"/>
          <w14:textFill>
            <w14:solidFill>
              <w14:schemeClr w14:val="tx1"/>
            </w14:solidFill>
          </w14:textFill>
        </w:rPr>
        <w:t>41．中标通知书、招标代理服务费</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41.1</w:t>
      </w:r>
      <w:bookmarkStart w:id="76" w:name="_Hlk72438863"/>
      <w:r>
        <w:rPr>
          <w:rFonts w:ascii="宋体" w:hAnsi="宋体"/>
          <w:color w:val="000000" w:themeColor="text1"/>
          <w:szCs w:val="21"/>
          <w:highlight w:val="none"/>
          <w14:textFill>
            <w14:solidFill>
              <w14:schemeClr w14:val="tx1"/>
            </w14:solidFill>
          </w14:textFill>
        </w:rPr>
        <w:t>中标公告公布以后无异常的情况下,中标供应商和采购人可自行在“深圳政府采购智慧平台（</w:t>
      </w:r>
      <w:r>
        <w:rPr>
          <w:rFonts w:ascii="宋体" w:hAnsi="宋体" w:hint="eastAsia"/>
          <w:color w:val="000000" w:themeColor="text1"/>
          <w:szCs w:val="21"/>
          <w:highlight w:val="none"/>
          <w14:textFill>
            <w14:solidFill>
              <w14:schemeClr w14:val="tx1"/>
            </w14:solidFill>
          </w14:textFill>
        </w:rPr>
        <w:t>http://zfcg.szggzy.com:8081/</w:t>
      </w:r>
      <w:r>
        <w:rPr>
          <w:rFonts w:ascii="宋体" w:hAnsi="宋体"/>
          <w:color w:val="000000" w:themeColor="text1"/>
          <w:szCs w:val="21"/>
          <w:highlight w:val="none"/>
          <w14:textFill>
            <w14:solidFill>
              <w14:schemeClr w14:val="tx1"/>
            </w14:solidFill>
          </w14:textFill>
        </w:rPr>
        <w:t>）”上打印</w:t>
      </w:r>
      <w:r>
        <w:rPr>
          <w:rFonts w:ascii="宋体" w:hAnsi="宋体"/>
          <w:b w:val="0"/>
          <w:bCs/>
          <w:color w:val="000000" w:themeColor="text1"/>
          <w:szCs w:val="21"/>
          <w:highlight w:val="none"/>
          <w14:textFill>
            <w14:solidFill>
              <w14:schemeClr w14:val="tx1"/>
            </w14:solidFill>
          </w14:textFill>
        </w:rPr>
        <w:t>《数字中标通知书》</w:t>
      </w:r>
      <w:r>
        <w:rPr>
          <w:rFonts w:ascii="宋体" w:hAnsi="宋体"/>
          <w:b/>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咨询电话：</w:t>
      </w:r>
      <w:r>
        <w:rPr>
          <w:rFonts w:ascii="宋体" w:hAnsi="宋体"/>
          <w:b/>
          <w:bCs/>
          <w:color w:val="000000" w:themeColor="text1"/>
          <w:szCs w:val="21"/>
          <w:highlight w:val="none"/>
          <w14:textFill>
            <w14:solidFill>
              <w14:schemeClr w14:val="tx1"/>
            </w14:solidFill>
          </w14:textFill>
        </w:rPr>
        <w:t>0755-83881111</w:t>
      </w:r>
      <w:r>
        <w:rPr>
          <w:rFonts w:ascii="宋体" w:eastAsia="宋体" w:hAnsi="宋体" w:cs="宋体" w:hint="eastAsia"/>
          <w:b/>
          <w:bCs/>
          <w:color w:val="000000" w:themeColor="text1"/>
          <w:szCs w:val="21"/>
          <w:highlight w:val="none"/>
          <w14:textFill>
            <w14:solidFill>
              <w14:schemeClr w14:val="tx1"/>
            </w14:solidFill>
          </w14:textFill>
        </w:rPr>
        <w:t>、8</w:t>
      </w:r>
      <w:r>
        <w:rPr>
          <w:rFonts w:ascii="宋体" w:eastAsia="宋体" w:hAnsi="宋体" w:cs="宋体"/>
          <w:b/>
          <w:bCs/>
          <w:color w:val="000000" w:themeColor="text1"/>
          <w:szCs w:val="21"/>
          <w:highlight w:val="none"/>
          <w14:textFill>
            <w14:solidFill>
              <w14:schemeClr w14:val="tx1"/>
            </w14:solidFill>
          </w14:textFill>
        </w:rPr>
        <w:t>3881995</w:t>
      </w:r>
      <w:r>
        <w:rPr>
          <w:rFonts w:ascii="宋体" w:hAnsi="宋体"/>
          <w:color w:val="000000" w:themeColor="text1"/>
          <w:szCs w:val="21"/>
          <w:highlight w:val="none"/>
          <w14:textFill>
            <w14:solidFill>
              <w14:schemeClr w14:val="tx1"/>
            </w14:solidFill>
          </w14:textFill>
        </w:rPr>
        <w:t>）</w:t>
      </w:r>
      <w:r>
        <w:rPr>
          <w:rFonts w:ascii="宋体" w:hAnsi="宋体" w:hint="eastAsia"/>
          <w:color w:val="000000" w:themeColor="text1"/>
          <w:szCs w:val="21"/>
          <w:highlight w:val="none"/>
          <w:lang w:val="en-US" w:eastAsia="zh-CN"/>
          <w14:textFill>
            <w14:solidFill>
              <w14:schemeClr w14:val="tx1"/>
            </w14:solidFill>
          </w14:textFill>
        </w:rPr>
        <w:t>或</w:t>
      </w:r>
      <w:r>
        <w:rPr>
          <w:rFonts w:ascii="宋体" w:hAnsi="宋体" w:hint="eastAsia"/>
          <w:szCs w:val="21"/>
          <w:highlight w:val="none"/>
        </w:rPr>
        <w:t>中标人凭单位证明和本人身份证到友和保险经纪有限公司领取《中标通知书》</w:t>
      </w:r>
      <w:r>
        <w:rPr>
          <w:rFonts w:ascii="宋体" w:hAnsi="宋体"/>
          <w:color w:val="000000" w:themeColor="text1"/>
          <w:szCs w:val="21"/>
          <w:highlight w:val="none"/>
          <w14:textFill>
            <w14:solidFill>
              <w14:schemeClr w14:val="tx1"/>
            </w14:solidFill>
          </w14:textFill>
        </w:rPr>
        <w:t>。</w:t>
      </w:r>
      <w:bookmarkEnd w:id="76"/>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41</w:t>
      </w:r>
      <w:r>
        <w:rPr>
          <w:rFonts w:ascii="宋体" w:hAnsi="宋体"/>
          <w:color w:val="000000" w:themeColor="text1"/>
          <w:szCs w:val="21"/>
          <w:highlight w:val="none"/>
          <w14:textFill>
            <w14:solidFill>
              <w14:schemeClr w14:val="tx1"/>
            </w14:solidFill>
          </w14:textFill>
        </w:rPr>
        <w:t>.2</w:t>
      </w:r>
      <w:r>
        <w:rPr>
          <w:rFonts w:ascii="宋体" w:hAnsi="宋体" w:hint="eastAsia"/>
          <w:color w:val="000000" w:themeColor="text1"/>
          <w:szCs w:val="21"/>
          <w:highlight w:val="none"/>
          <w14:textFill>
            <w14:solidFill>
              <w14:schemeClr w14:val="tx1"/>
            </w14:solidFill>
          </w14:textFill>
        </w:rPr>
        <w:t>中标通知书是合同的重要组成部分。</w:t>
      </w:r>
    </w:p>
    <w:p>
      <w:pPr>
        <w:ind w:firstLine="470" w:firstLineChars="196"/>
        <w:rPr>
          <w:rFonts w:ascii="宋体" w:hAnsi="宋体" w:hint="eastAsia"/>
          <w:color w:val="000000" w:themeColor="text1"/>
          <w:szCs w:val="21"/>
          <w:highlight w:val="none"/>
          <w14:textFill>
            <w14:solidFill>
              <w14:schemeClr w14:val="tx1"/>
            </w14:solidFill>
          </w14:textFill>
        </w:rPr>
      </w:pPr>
      <w:bookmarkStart w:id="77" w:name="_Hlk71407340"/>
      <w:r>
        <w:rPr>
          <w:rFonts w:ascii="宋体" w:hAnsi="宋体" w:hint="eastAsia"/>
          <w:color w:val="000000" w:themeColor="text1"/>
          <w:szCs w:val="21"/>
          <w:highlight w:val="none"/>
          <w14:textFill>
            <w14:solidFill>
              <w14:schemeClr w14:val="tx1"/>
            </w14:solidFill>
          </w14:textFill>
        </w:rPr>
        <w:t>41.3因质疑投诉或其它原因导致项目结果变更或采购终止的，</w:t>
      </w:r>
      <w:r>
        <w:rPr>
          <w:rFonts w:ascii="宋体" w:eastAsia="宋体" w:hAnsi="宋体" w:hint="eastAsia"/>
          <w:color w:val="000000" w:themeColor="text1"/>
          <w:szCs w:val="21"/>
          <w:highlight w:val="none"/>
          <w14:textFill>
            <w14:solidFill>
              <w14:schemeClr w14:val="tx1"/>
            </w14:solidFill>
          </w14:textFill>
        </w:rPr>
        <w:t>招标机构</w:t>
      </w:r>
      <w:r>
        <w:rPr>
          <w:rFonts w:ascii="宋体" w:hAnsi="宋体" w:hint="eastAsia"/>
          <w:color w:val="000000" w:themeColor="text1"/>
          <w:szCs w:val="21"/>
          <w:highlight w:val="none"/>
          <w14:textFill>
            <w14:solidFill>
              <w14:schemeClr w14:val="tx1"/>
            </w14:solidFill>
          </w14:textFill>
        </w:rPr>
        <w:t>有权吊销中标通知书。</w:t>
      </w:r>
    </w:p>
    <w:p>
      <w:pPr>
        <w:ind w:firstLine="470" w:firstLineChars="196"/>
        <w:rPr>
          <w:rFonts w:ascii="宋体" w:hAnsi="宋体" w:hint="eastAsia"/>
          <w:color w:val="000000" w:themeColor="text1"/>
          <w:szCs w:val="21"/>
          <w:highlight w:val="none"/>
          <w14:textFill>
            <w14:solidFill>
              <w14:schemeClr w14:val="tx1"/>
            </w14:solidFill>
          </w14:textFill>
        </w:rPr>
      </w:pPr>
      <w:r>
        <w:rPr>
          <w:rFonts w:ascii="宋体" w:hAnsi="宋体" w:hint="eastAsia"/>
          <w:color w:val="000000" w:themeColor="text1"/>
          <w:szCs w:val="21"/>
          <w:highlight w:val="none"/>
          <w:lang w:val="en-US" w:eastAsia="zh-CN"/>
          <w14:textFill>
            <w14:solidFill>
              <w14:schemeClr w14:val="tx1"/>
            </w14:solidFill>
          </w14:textFill>
        </w:rPr>
        <w:t>41.4.1</w:t>
      </w:r>
      <w:r>
        <w:rPr>
          <w:rFonts w:ascii="宋体" w:hAnsi="宋体" w:hint="eastAsia"/>
          <w:color w:val="000000" w:themeColor="text1"/>
          <w:szCs w:val="21"/>
          <w:highlight w:val="none"/>
          <w14:textFill>
            <w14:solidFill>
              <w14:schemeClr w14:val="tx1"/>
            </w14:solidFill>
          </w14:textFill>
        </w:rPr>
        <w:t>代理费由中标人支付，代理费收费标准按《深圳市财政委员会关于规范深圳市社会采购代理机构管理有关事项的补充通知》（深财购〔2018〕27号）执行，收费标准如下表所列。招标代理服务费以中标金额为基数，按差额定率累进法计算</w:t>
      </w:r>
      <w:r>
        <w:rPr>
          <w:rFonts w:ascii="宋体" w:hAnsi="宋体" w:hint="eastAsia"/>
          <w:color w:val="000000" w:themeColor="text1"/>
          <w:szCs w:val="21"/>
          <w:highlight w:val="none"/>
          <w:lang w:eastAsia="zh-CN"/>
          <w14:textFill>
            <w14:solidFill>
              <w14:schemeClr w14:val="tx1"/>
            </w14:solidFill>
          </w14:textFill>
        </w:rPr>
        <w:t>，</w:t>
      </w:r>
      <w:r>
        <w:rPr>
          <w:rFonts w:ascii="宋体" w:hAnsi="宋体" w:hint="eastAsia"/>
          <w:color w:val="000000" w:themeColor="text1"/>
          <w:szCs w:val="21"/>
          <w:highlight w:val="none"/>
          <w14:textFill>
            <w14:solidFill>
              <w14:schemeClr w14:val="tx1"/>
            </w14:solidFill>
          </w14:textFill>
        </w:rPr>
        <w:t>不足人民币</w:t>
      </w:r>
      <w:r>
        <w:rPr>
          <w:rFonts w:ascii="宋体" w:eastAsia="宋体" w:hAnsi="宋体" w:hint="eastAsia"/>
          <w:color w:val="000000" w:themeColor="text1"/>
          <w:szCs w:val="21"/>
          <w:highlight w:val="none"/>
          <w:lang w:val="en-US" w:eastAsia="zh-CN"/>
          <w14:textFill>
            <w14:solidFill>
              <w14:schemeClr w14:val="tx1"/>
            </w14:solidFill>
          </w14:textFill>
        </w:rPr>
        <w:t>伍仟</w:t>
      </w:r>
      <w:r>
        <w:rPr>
          <w:rFonts w:ascii="宋体" w:hAnsi="宋体" w:hint="eastAsia"/>
          <w:color w:val="000000" w:themeColor="text1"/>
          <w:szCs w:val="21"/>
          <w:highlight w:val="none"/>
          <w14:textFill>
            <w14:solidFill>
              <w14:schemeClr w14:val="tx1"/>
            </w14:solidFill>
          </w14:textFill>
        </w:rPr>
        <w:t>元的按照固定额</w:t>
      </w:r>
      <w:r>
        <w:rPr>
          <w:rFonts w:ascii="宋体" w:eastAsia="宋体" w:hAnsi="宋体" w:hint="eastAsia"/>
          <w:color w:val="000000" w:themeColor="text1"/>
          <w:szCs w:val="21"/>
          <w:highlight w:val="none"/>
          <w:lang w:val="en-US" w:eastAsia="zh-CN"/>
          <w14:textFill>
            <w14:solidFill>
              <w14:schemeClr w14:val="tx1"/>
            </w14:solidFill>
          </w14:textFill>
        </w:rPr>
        <w:t>伍仟</w:t>
      </w:r>
      <w:r>
        <w:rPr>
          <w:rFonts w:ascii="宋体" w:hAnsi="宋体" w:hint="eastAsia"/>
          <w:color w:val="000000" w:themeColor="text1"/>
          <w:szCs w:val="21"/>
          <w:highlight w:val="none"/>
          <w14:textFill>
            <w14:solidFill>
              <w14:schemeClr w14:val="tx1"/>
            </w14:solidFill>
          </w14:textFill>
        </w:rPr>
        <w:t>元收取。具体计取费率标准如下表所示：</w:t>
      </w:r>
    </w:p>
    <w:tbl>
      <w:tblPr>
        <w:tblStyle w:val="TableNormal"/>
        <w:tblW w:w="781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
      <w:tblGrid>
        <w:gridCol w:w="2447"/>
        <w:gridCol w:w="1788"/>
        <w:gridCol w:w="1788"/>
        <w:gridCol w:w="1788"/>
      </w:tblGrid>
      <w:tr>
        <w:tblPrEx>
          <w:tblW w:w="781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54"/>
          <w:jc w:val="center"/>
        </w:trPr>
        <w:tc>
          <w:tcPr>
            <w:tcW w:w="2447" w:type="dxa"/>
            <w:tcBorders>
              <w:tl2br w:val="single" w:sz="8" w:space="0" w:color="auto"/>
            </w:tcBorders>
            <w:vAlign w:val="center"/>
          </w:tcPr>
          <w:p>
            <w:pPr>
              <w:snapToGrid w:val="0"/>
              <w:spacing w:line="360" w:lineRule="auto"/>
              <w:ind w:firstLine="1200" w:firstLineChars="500"/>
              <w:jc w:val="center"/>
              <w:rPr>
                <w:rFonts w:ascii="宋体" w:hAnsi="宋体"/>
                <w:szCs w:val="21"/>
                <w:highlight w:val="none"/>
              </w:rPr>
            </w:pPr>
            <w:r>
              <w:rPr>
                <w:rFonts w:ascii="宋体" w:hAnsi="宋体" w:hint="eastAsia"/>
                <w:szCs w:val="21"/>
                <w:highlight w:val="none"/>
              </w:rPr>
              <w:t>服务类型</w:t>
            </w:r>
          </w:p>
          <w:p>
            <w:pPr>
              <w:pStyle w:val="NormalIndent"/>
              <w:ind w:firstLine="0"/>
              <w:jc w:val="both"/>
              <w:rPr>
                <w:rFonts w:ascii="宋体" w:hAnsi="宋体"/>
                <w:szCs w:val="21"/>
                <w:highlight w:val="none"/>
              </w:rPr>
            </w:pPr>
            <w:r>
              <w:rPr>
                <w:rFonts w:ascii="宋体" w:hAnsi="宋体" w:hint="eastAsia"/>
                <w:szCs w:val="21"/>
                <w:highlight w:val="none"/>
              </w:rPr>
              <w:t>中标金额</w:t>
            </w:r>
            <w:r>
              <w:rPr>
                <w:rFonts w:ascii="宋体" w:hAnsi="宋体"/>
                <w:szCs w:val="21"/>
                <w:highlight w:val="none"/>
              </w:rPr>
              <w:t>(</w:t>
            </w:r>
            <w:r>
              <w:rPr>
                <w:rFonts w:ascii="宋体" w:hAnsi="宋体" w:hint="eastAsia"/>
                <w:szCs w:val="21"/>
                <w:highlight w:val="none"/>
              </w:rPr>
              <w:t>万元</w:t>
            </w:r>
            <w:r>
              <w:rPr>
                <w:rFonts w:ascii="宋体" w:hAnsi="宋体"/>
                <w:szCs w:val="21"/>
                <w:highlight w:val="none"/>
              </w:rPr>
              <w:t>)</w:t>
            </w:r>
          </w:p>
        </w:tc>
        <w:tc>
          <w:tcPr>
            <w:tcW w:w="1788" w:type="dxa"/>
            <w:vAlign w:val="center"/>
          </w:tcPr>
          <w:p>
            <w:pPr>
              <w:snapToGrid w:val="0"/>
              <w:spacing w:line="360" w:lineRule="auto"/>
              <w:jc w:val="center"/>
              <w:rPr>
                <w:rFonts w:ascii="宋体" w:hAnsi="宋体"/>
                <w:szCs w:val="21"/>
                <w:highlight w:val="none"/>
              </w:rPr>
            </w:pPr>
            <w:r>
              <w:rPr>
                <w:rFonts w:ascii="宋体" w:hAnsi="宋体" w:hint="eastAsia"/>
                <w:szCs w:val="21"/>
                <w:highlight w:val="none"/>
              </w:rPr>
              <w:t>货物招标</w:t>
            </w:r>
          </w:p>
        </w:tc>
        <w:tc>
          <w:tcPr>
            <w:tcW w:w="1788" w:type="dxa"/>
            <w:vAlign w:val="center"/>
          </w:tcPr>
          <w:p>
            <w:pPr>
              <w:snapToGrid w:val="0"/>
              <w:spacing w:line="360" w:lineRule="auto"/>
              <w:jc w:val="center"/>
              <w:rPr>
                <w:rFonts w:ascii="宋体" w:hAnsi="宋体"/>
                <w:szCs w:val="21"/>
                <w:highlight w:val="none"/>
              </w:rPr>
            </w:pPr>
            <w:r>
              <w:rPr>
                <w:rFonts w:ascii="宋体" w:hAnsi="宋体" w:hint="eastAsia"/>
                <w:szCs w:val="21"/>
                <w:highlight w:val="none"/>
              </w:rPr>
              <w:t>服务招标</w:t>
            </w:r>
          </w:p>
        </w:tc>
        <w:tc>
          <w:tcPr>
            <w:tcW w:w="1788" w:type="dxa"/>
            <w:vAlign w:val="center"/>
          </w:tcPr>
          <w:p>
            <w:pPr>
              <w:snapToGrid w:val="0"/>
              <w:spacing w:line="360" w:lineRule="auto"/>
              <w:jc w:val="center"/>
              <w:rPr>
                <w:rFonts w:ascii="宋体" w:hAnsi="宋体"/>
                <w:szCs w:val="21"/>
                <w:highlight w:val="none"/>
              </w:rPr>
            </w:pPr>
            <w:r>
              <w:rPr>
                <w:rFonts w:ascii="宋体" w:hAnsi="宋体" w:hint="eastAsia"/>
                <w:szCs w:val="21"/>
                <w:highlight w:val="none"/>
              </w:rPr>
              <w:t>工程招标</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hAnsi="宋体"/>
                <w:szCs w:val="21"/>
                <w:highlight w:val="none"/>
              </w:rPr>
            </w:pPr>
            <w:r>
              <w:rPr>
                <w:rFonts w:ascii="宋体" w:hAnsi="宋体"/>
                <w:szCs w:val="21"/>
                <w:highlight w:val="none"/>
              </w:rPr>
              <w:t>100</w:t>
            </w:r>
            <w:r>
              <w:rPr>
                <w:rFonts w:ascii="宋体" w:hAnsi="宋体" w:hint="eastAsia"/>
                <w:szCs w:val="21"/>
                <w:highlight w:val="none"/>
              </w:rPr>
              <w:t>以下</w:t>
            </w:r>
          </w:p>
        </w:tc>
        <w:tc>
          <w:tcPr>
            <w:tcW w:w="1788" w:type="dxa"/>
          </w:tcPr>
          <w:p>
            <w:pPr>
              <w:spacing w:line="360" w:lineRule="auto"/>
              <w:jc w:val="center"/>
              <w:rPr>
                <w:rFonts w:ascii="宋体" w:hAnsi="宋体"/>
                <w:highlight w:val="none"/>
              </w:rPr>
            </w:pPr>
            <w:r>
              <w:rPr>
                <w:rFonts w:ascii="宋体" w:hAnsi="宋体"/>
                <w:highlight w:val="none"/>
              </w:rPr>
              <w:t>1.50%</w:t>
            </w:r>
          </w:p>
        </w:tc>
        <w:tc>
          <w:tcPr>
            <w:tcW w:w="1788" w:type="dxa"/>
          </w:tcPr>
          <w:p>
            <w:pPr>
              <w:spacing w:line="360" w:lineRule="auto"/>
              <w:jc w:val="center"/>
              <w:rPr>
                <w:rFonts w:ascii="宋体" w:hAnsi="宋体"/>
                <w:highlight w:val="none"/>
              </w:rPr>
            </w:pPr>
            <w:r>
              <w:rPr>
                <w:rFonts w:ascii="宋体" w:hAnsi="宋体"/>
                <w:highlight w:val="none"/>
              </w:rPr>
              <w:t>1.50%</w:t>
            </w:r>
          </w:p>
        </w:tc>
        <w:tc>
          <w:tcPr>
            <w:tcW w:w="1788" w:type="dxa"/>
          </w:tcPr>
          <w:p>
            <w:pPr>
              <w:spacing w:line="360" w:lineRule="auto"/>
              <w:jc w:val="center"/>
              <w:rPr>
                <w:rFonts w:ascii="宋体" w:hAnsi="宋体"/>
                <w:highlight w:val="none"/>
              </w:rPr>
            </w:pPr>
            <w:r>
              <w:rPr>
                <w:rFonts w:ascii="宋体" w:hAnsi="宋体"/>
                <w:highlight w:val="none"/>
              </w:rPr>
              <w:t>1.00%</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hAnsi="宋体"/>
                <w:szCs w:val="21"/>
                <w:highlight w:val="none"/>
              </w:rPr>
            </w:pPr>
            <w:r>
              <w:rPr>
                <w:rFonts w:ascii="宋体" w:hAnsi="宋体"/>
                <w:szCs w:val="21"/>
                <w:highlight w:val="none"/>
              </w:rPr>
              <w:t>100-500</w:t>
            </w:r>
          </w:p>
        </w:tc>
        <w:tc>
          <w:tcPr>
            <w:tcW w:w="1788" w:type="dxa"/>
          </w:tcPr>
          <w:p>
            <w:pPr>
              <w:spacing w:line="360" w:lineRule="auto"/>
              <w:jc w:val="center"/>
              <w:rPr>
                <w:rFonts w:ascii="宋体" w:hAnsi="宋体"/>
                <w:highlight w:val="none"/>
              </w:rPr>
            </w:pPr>
            <w:r>
              <w:rPr>
                <w:rFonts w:ascii="宋体" w:hAnsi="宋体"/>
                <w:highlight w:val="none"/>
              </w:rPr>
              <w:t>1.10%</w:t>
            </w:r>
          </w:p>
        </w:tc>
        <w:tc>
          <w:tcPr>
            <w:tcW w:w="1788" w:type="dxa"/>
          </w:tcPr>
          <w:p>
            <w:pPr>
              <w:spacing w:line="360" w:lineRule="auto"/>
              <w:jc w:val="center"/>
              <w:rPr>
                <w:rFonts w:ascii="宋体" w:hAnsi="宋体"/>
                <w:highlight w:val="none"/>
              </w:rPr>
            </w:pPr>
            <w:r>
              <w:rPr>
                <w:rFonts w:ascii="宋体" w:hAnsi="宋体"/>
                <w:highlight w:val="none"/>
              </w:rPr>
              <w:t>0.80%</w:t>
            </w:r>
          </w:p>
        </w:tc>
        <w:tc>
          <w:tcPr>
            <w:tcW w:w="1788" w:type="dxa"/>
          </w:tcPr>
          <w:p>
            <w:pPr>
              <w:spacing w:line="360" w:lineRule="auto"/>
              <w:jc w:val="center"/>
              <w:rPr>
                <w:rFonts w:ascii="宋体" w:hAnsi="宋体"/>
                <w:highlight w:val="none"/>
              </w:rPr>
            </w:pPr>
            <w:r>
              <w:rPr>
                <w:rFonts w:ascii="宋体" w:hAnsi="宋体"/>
                <w:highlight w:val="none"/>
              </w:rPr>
              <w:t>0.70%</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hAnsi="宋体"/>
                <w:szCs w:val="21"/>
                <w:highlight w:val="none"/>
              </w:rPr>
            </w:pPr>
            <w:r>
              <w:rPr>
                <w:rFonts w:ascii="宋体" w:hAnsi="宋体"/>
                <w:szCs w:val="21"/>
                <w:highlight w:val="none"/>
              </w:rPr>
              <w:t>500-1000</w:t>
            </w:r>
          </w:p>
        </w:tc>
        <w:tc>
          <w:tcPr>
            <w:tcW w:w="1788" w:type="dxa"/>
          </w:tcPr>
          <w:p>
            <w:pPr>
              <w:spacing w:line="360" w:lineRule="auto"/>
              <w:jc w:val="center"/>
              <w:rPr>
                <w:rFonts w:ascii="宋体" w:hAnsi="宋体"/>
                <w:highlight w:val="none"/>
              </w:rPr>
            </w:pPr>
            <w:r>
              <w:rPr>
                <w:rFonts w:ascii="宋体" w:hAnsi="宋体"/>
                <w:highlight w:val="none"/>
              </w:rPr>
              <w:t>0.80%</w:t>
            </w:r>
          </w:p>
        </w:tc>
        <w:tc>
          <w:tcPr>
            <w:tcW w:w="1788" w:type="dxa"/>
          </w:tcPr>
          <w:p>
            <w:pPr>
              <w:spacing w:line="360" w:lineRule="auto"/>
              <w:jc w:val="center"/>
              <w:rPr>
                <w:rFonts w:ascii="宋体" w:hAnsi="宋体"/>
                <w:highlight w:val="none"/>
              </w:rPr>
            </w:pPr>
            <w:r>
              <w:rPr>
                <w:rFonts w:ascii="宋体" w:hAnsi="宋体"/>
                <w:highlight w:val="none"/>
              </w:rPr>
              <w:t>0.45%</w:t>
            </w:r>
          </w:p>
        </w:tc>
        <w:tc>
          <w:tcPr>
            <w:tcW w:w="1788" w:type="dxa"/>
          </w:tcPr>
          <w:p>
            <w:pPr>
              <w:spacing w:line="360" w:lineRule="auto"/>
              <w:jc w:val="center"/>
              <w:rPr>
                <w:rFonts w:ascii="宋体" w:hAnsi="宋体"/>
                <w:highlight w:val="none"/>
              </w:rPr>
            </w:pPr>
            <w:r>
              <w:rPr>
                <w:rFonts w:ascii="宋体" w:hAnsi="宋体"/>
                <w:highlight w:val="none"/>
              </w:rPr>
              <w:t>0.55%</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hAnsi="宋体"/>
                <w:szCs w:val="21"/>
                <w:highlight w:val="none"/>
              </w:rPr>
            </w:pPr>
            <w:r>
              <w:rPr>
                <w:rFonts w:ascii="宋体" w:hAnsi="宋体"/>
                <w:szCs w:val="21"/>
                <w:highlight w:val="none"/>
              </w:rPr>
              <w:t>1000-5000</w:t>
            </w:r>
          </w:p>
        </w:tc>
        <w:tc>
          <w:tcPr>
            <w:tcW w:w="1788" w:type="dxa"/>
          </w:tcPr>
          <w:p>
            <w:pPr>
              <w:spacing w:line="360" w:lineRule="auto"/>
              <w:jc w:val="center"/>
              <w:rPr>
                <w:rFonts w:ascii="宋体" w:hAnsi="宋体"/>
                <w:highlight w:val="none"/>
              </w:rPr>
            </w:pPr>
            <w:r>
              <w:rPr>
                <w:rFonts w:ascii="宋体" w:hAnsi="宋体"/>
                <w:highlight w:val="none"/>
              </w:rPr>
              <w:t>0.50%</w:t>
            </w:r>
          </w:p>
        </w:tc>
        <w:tc>
          <w:tcPr>
            <w:tcW w:w="1788" w:type="dxa"/>
          </w:tcPr>
          <w:p>
            <w:pPr>
              <w:spacing w:line="360" w:lineRule="auto"/>
              <w:jc w:val="center"/>
              <w:rPr>
                <w:rFonts w:ascii="宋体" w:hAnsi="宋体"/>
                <w:highlight w:val="none"/>
              </w:rPr>
            </w:pPr>
            <w:r>
              <w:rPr>
                <w:rFonts w:ascii="宋体" w:hAnsi="宋体"/>
                <w:highlight w:val="none"/>
              </w:rPr>
              <w:t>0.25%</w:t>
            </w:r>
          </w:p>
        </w:tc>
        <w:tc>
          <w:tcPr>
            <w:tcW w:w="1788" w:type="dxa"/>
          </w:tcPr>
          <w:p>
            <w:pPr>
              <w:spacing w:line="360" w:lineRule="auto"/>
              <w:jc w:val="center"/>
              <w:rPr>
                <w:rFonts w:ascii="宋体" w:hAnsi="宋体"/>
                <w:highlight w:val="none"/>
              </w:rPr>
            </w:pPr>
            <w:r>
              <w:rPr>
                <w:rFonts w:ascii="宋体" w:hAnsi="宋体"/>
                <w:highlight w:val="none"/>
              </w:rPr>
              <w:t>0.35%</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hAnsi="宋体"/>
                <w:szCs w:val="21"/>
                <w:highlight w:val="none"/>
              </w:rPr>
            </w:pPr>
            <w:r>
              <w:rPr>
                <w:rFonts w:ascii="宋体" w:hAnsi="宋体"/>
                <w:szCs w:val="21"/>
                <w:highlight w:val="none"/>
              </w:rPr>
              <w:t>5000-10000</w:t>
            </w:r>
          </w:p>
        </w:tc>
        <w:tc>
          <w:tcPr>
            <w:tcW w:w="1788" w:type="dxa"/>
          </w:tcPr>
          <w:p>
            <w:pPr>
              <w:spacing w:line="360" w:lineRule="auto"/>
              <w:jc w:val="center"/>
              <w:rPr>
                <w:rFonts w:ascii="宋体" w:hAnsi="宋体"/>
                <w:highlight w:val="none"/>
              </w:rPr>
            </w:pPr>
            <w:r>
              <w:rPr>
                <w:rFonts w:ascii="宋体" w:hAnsi="宋体"/>
                <w:highlight w:val="none"/>
              </w:rPr>
              <w:t>0.25%</w:t>
            </w:r>
          </w:p>
        </w:tc>
        <w:tc>
          <w:tcPr>
            <w:tcW w:w="1788" w:type="dxa"/>
          </w:tcPr>
          <w:p>
            <w:pPr>
              <w:spacing w:line="360" w:lineRule="auto"/>
              <w:jc w:val="center"/>
              <w:rPr>
                <w:rFonts w:ascii="宋体" w:hAnsi="宋体"/>
                <w:highlight w:val="none"/>
              </w:rPr>
            </w:pPr>
            <w:r>
              <w:rPr>
                <w:rFonts w:ascii="宋体" w:hAnsi="宋体"/>
                <w:highlight w:val="none"/>
              </w:rPr>
              <w:t>0.10%</w:t>
            </w:r>
          </w:p>
        </w:tc>
        <w:tc>
          <w:tcPr>
            <w:tcW w:w="1788" w:type="dxa"/>
          </w:tcPr>
          <w:p>
            <w:pPr>
              <w:spacing w:line="360" w:lineRule="auto"/>
              <w:jc w:val="center"/>
              <w:rPr>
                <w:rFonts w:ascii="宋体" w:hAnsi="宋体"/>
                <w:highlight w:val="none"/>
              </w:rPr>
            </w:pPr>
            <w:r>
              <w:rPr>
                <w:rFonts w:ascii="宋体" w:hAnsi="宋体"/>
                <w:highlight w:val="none"/>
              </w:rPr>
              <w:t>0.20%</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hAnsi="宋体"/>
                <w:szCs w:val="21"/>
                <w:highlight w:val="none"/>
              </w:rPr>
            </w:pPr>
            <w:r>
              <w:rPr>
                <w:rFonts w:ascii="宋体" w:hAnsi="宋体"/>
                <w:szCs w:val="21"/>
                <w:highlight w:val="none"/>
              </w:rPr>
              <w:t>10000-100000</w:t>
            </w:r>
          </w:p>
        </w:tc>
        <w:tc>
          <w:tcPr>
            <w:tcW w:w="1788" w:type="dxa"/>
          </w:tcPr>
          <w:p>
            <w:pPr>
              <w:spacing w:line="360" w:lineRule="auto"/>
              <w:jc w:val="center"/>
              <w:rPr>
                <w:rFonts w:ascii="宋体" w:hAnsi="宋体"/>
                <w:highlight w:val="none"/>
              </w:rPr>
            </w:pPr>
            <w:r>
              <w:rPr>
                <w:rFonts w:ascii="宋体" w:hAnsi="宋体"/>
                <w:highlight w:val="none"/>
              </w:rPr>
              <w:t>0.05%</w:t>
            </w:r>
          </w:p>
        </w:tc>
        <w:tc>
          <w:tcPr>
            <w:tcW w:w="1788" w:type="dxa"/>
          </w:tcPr>
          <w:p>
            <w:pPr>
              <w:spacing w:line="360" w:lineRule="auto"/>
              <w:jc w:val="center"/>
              <w:rPr>
                <w:rFonts w:ascii="宋体" w:hAnsi="宋体"/>
                <w:highlight w:val="none"/>
              </w:rPr>
            </w:pPr>
            <w:r>
              <w:rPr>
                <w:rFonts w:ascii="宋体" w:hAnsi="宋体"/>
                <w:highlight w:val="none"/>
              </w:rPr>
              <w:t>0.05%</w:t>
            </w:r>
          </w:p>
        </w:tc>
        <w:tc>
          <w:tcPr>
            <w:tcW w:w="1788" w:type="dxa"/>
          </w:tcPr>
          <w:p>
            <w:pPr>
              <w:spacing w:line="360" w:lineRule="auto"/>
              <w:jc w:val="center"/>
              <w:rPr>
                <w:rFonts w:ascii="宋体" w:hAnsi="宋体"/>
                <w:highlight w:val="none"/>
              </w:rPr>
            </w:pPr>
            <w:r>
              <w:rPr>
                <w:rFonts w:ascii="宋体" w:hAnsi="宋体"/>
                <w:highlight w:val="none"/>
              </w:rPr>
              <w:t>0.05%</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hAnsi="宋体"/>
                <w:szCs w:val="21"/>
                <w:highlight w:val="none"/>
              </w:rPr>
            </w:pPr>
            <w:r>
              <w:rPr>
                <w:rFonts w:ascii="宋体" w:hAnsi="宋体"/>
                <w:szCs w:val="21"/>
                <w:highlight w:val="none"/>
              </w:rPr>
              <w:t>1000000</w:t>
            </w:r>
            <w:r>
              <w:rPr>
                <w:rFonts w:ascii="宋体" w:hAnsi="宋体" w:hint="eastAsia"/>
                <w:szCs w:val="21"/>
                <w:highlight w:val="none"/>
              </w:rPr>
              <w:t>以上</w:t>
            </w:r>
          </w:p>
        </w:tc>
        <w:tc>
          <w:tcPr>
            <w:tcW w:w="1788" w:type="dxa"/>
          </w:tcPr>
          <w:p>
            <w:pPr>
              <w:spacing w:line="360" w:lineRule="auto"/>
              <w:jc w:val="center"/>
              <w:rPr>
                <w:rFonts w:ascii="宋体" w:hAnsi="宋体"/>
                <w:highlight w:val="none"/>
              </w:rPr>
            </w:pPr>
            <w:r>
              <w:rPr>
                <w:rFonts w:ascii="宋体" w:hAnsi="宋体"/>
                <w:highlight w:val="none"/>
              </w:rPr>
              <w:t>0.01%</w:t>
            </w:r>
          </w:p>
        </w:tc>
        <w:tc>
          <w:tcPr>
            <w:tcW w:w="1788" w:type="dxa"/>
          </w:tcPr>
          <w:p>
            <w:pPr>
              <w:spacing w:line="360" w:lineRule="auto"/>
              <w:jc w:val="center"/>
              <w:rPr>
                <w:rFonts w:ascii="宋体" w:hAnsi="宋体"/>
                <w:highlight w:val="none"/>
              </w:rPr>
            </w:pPr>
            <w:r>
              <w:rPr>
                <w:rFonts w:ascii="宋体" w:hAnsi="宋体"/>
                <w:highlight w:val="none"/>
              </w:rPr>
              <w:t>0.01%</w:t>
            </w:r>
          </w:p>
        </w:tc>
        <w:tc>
          <w:tcPr>
            <w:tcW w:w="1788" w:type="dxa"/>
          </w:tcPr>
          <w:p>
            <w:pPr>
              <w:spacing w:line="360" w:lineRule="auto"/>
              <w:jc w:val="center"/>
              <w:rPr>
                <w:rFonts w:ascii="宋体" w:hAnsi="宋体"/>
                <w:highlight w:val="none"/>
              </w:rPr>
            </w:pPr>
            <w:r>
              <w:rPr>
                <w:rFonts w:ascii="宋体" w:hAnsi="宋体"/>
                <w:highlight w:val="none"/>
              </w:rPr>
              <w:t>0.01%</w:t>
            </w:r>
          </w:p>
        </w:tc>
      </w:tr>
    </w:tbl>
    <w:p>
      <w:pPr>
        <w:ind w:firstLine="470" w:firstLineChars="196"/>
        <w:rPr>
          <w:rFonts w:ascii="宋体" w:hAnsi="宋体" w:hint="eastAsia"/>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例如：某服务招标代理业务中标金额为600万元，计算招标代理服务收费额如下：</w:t>
      </w:r>
    </w:p>
    <w:p>
      <w:pPr>
        <w:ind w:firstLine="470" w:firstLineChars="196"/>
        <w:rPr>
          <w:rFonts w:ascii="宋体" w:hAnsi="宋体" w:hint="eastAsia"/>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100万元×1.5%=1.5万元</w:t>
      </w:r>
    </w:p>
    <w:p>
      <w:pPr>
        <w:ind w:firstLine="470" w:firstLineChars="196"/>
        <w:rPr>
          <w:rFonts w:ascii="宋体" w:hAnsi="宋体" w:hint="eastAsia"/>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（500-100）万元×0.8%=3.2万元</w:t>
      </w:r>
    </w:p>
    <w:p>
      <w:pPr>
        <w:ind w:firstLine="470" w:firstLineChars="196"/>
        <w:rPr>
          <w:rFonts w:ascii="宋体" w:hAnsi="宋体" w:hint="eastAsia"/>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（600-500）万元×0.45%=0.45万元</w:t>
      </w:r>
    </w:p>
    <w:p>
      <w:pPr>
        <w:ind w:firstLine="470" w:firstLineChars="196"/>
        <w:rPr>
          <w:rFonts w:ascii="宋体" w:eastAsia="宋体" w:hAnsi="宋体" w:hint="eastAsia"/>
          <w:color w:val="000000" w:themeColor="text1"/>
          <w:szCs w:val="21"/>
          <w:highlight w:val="none"/>
          <w:lang w:val="en-US" w:eastAsia="zh-CN"/>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合计收费=1.5+3.2+0.45=5.15万元：</w:t>
      </w:r>
    </w:p>
    <w:p>
      <w:pPr>
        <w:ind w:firstLine="470" w:firstLineChars="196"/>
        <w:rPr>
          <w:rFonts w:ascii="宋体" w:hAnsi="宋体" w:hint="eastAsia"/>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中标人须在中标公告公示期结束后，领取《中标通知书》前，向招标代理机构缴纳中标服务费。</w:t>
      </w:r>
    </w:p>
    <w:p>
      <w:pPr>
        <w:ind w:firstLine="470" w:firstLineChars="196"/>
        <w:rPr>
          <w:rFonts w:ascii="宋体" w:hAnsi="宋体" w:hint="eastAsia"/>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4</w:t>
      </w:r>
      <w:r>
        <w:rPr>
          <w:rFonts w:ascii="宋体" w:hAnsi="宋体" w:hint="eastAsia"/>
          <w:color w:val="000000" w:themeColor="text1"/>
          <w:szCs w:val="21"/>
          <w:highlight w:val="none"/>
          <w:lang w:val="en-US" w:eastAsia="zh-CN"/>
          <w14:textFill>
            <w14:solidFill>
              <w14:schemeClr w14:val="tx1"/>
            </w14:solidFill>
          </w14:textFill>
        </w:rPr>
        <w:t>1</w:t>
      </w:r>
      <w:r>
        <w:rPr>
          <w:rFonts w:ascii="宋体" w:hAnsi="宋体" w:hint="eastAsia"/>
          <w:color w:val="000000" w:themeColor="text1"/>
          <w:szCs w:val="21"/>
          <w:highlight w:val="none"/>
          <w14:textFill>
            <w14:solidFill>
              <w14:schemeClr w14:val="tx1"/>
            </w14:solidFill>
          </w14:textFill>
        </w:rPr>
        <w:t>.</w:t>
      </w:r>
      <w:r>
        <w:rPr>
          <w:rFonts w:ascii="宋体" w:hAnsi="宋体" w:hint="eastAsia"/>
          <w:color w:val="000000" w:themeColor="text1"/>
          <w:szCs w:val="21"/>
          <w:highlight w:val="none"/>
          <w:lang w:val="en-US" w:eastAsia="zh-CN"/>
          <w14:textFill>
            <w14:solidFill>
              <w14:schemeClr w14:val="tx1"/>
            </w14:solidFill>
          </w14:textFill>
        </w:rPr>
        <w:t>4.2</w:t>
      </w:r>
      <w:r>
        <w:rPr>
          <w:rFonts w:ascii="宋体" w:hAnsi="宋体" w:hint="eastAsia"/>
          <w:color w:val="000000" w:themeColor="text1"/>
          <w:szCs w:val="21"/>
          <w:highlight w:val="none"/>
          <w14:textFill>
            <w14:solidFill>
              <w14:schemeClr w14:val="tx1"/>
            </w14:solidFill>
          </w14:textFill>
        </w:rPr>
        <w:t xml:space="preserve"> 招标代理服务费以转账、现金形式交付。</w:t>
      </w:r>
    </w:p>
    <w:p>
      <w:pPr>
        <w:rPr>
          <w:highlight w:val="none"/>
        </w:rPr>
      </w:pPr>
    </w:p>
    <w:p>
      <w:pPr>
        <w:pStyle w:val="Heading2"/>
        <w:numPr>
          <w:ilvl w:val="0"/>
          <w:numId w:val="2"/>
        </w:numPr>
        <w:tabs>
          <w:tab w:val="left" w:pos="360"/>
          <w:tab w:val="clear" w:pos="720"/>
        </w:tabs>
        <w:spacing w:before="120" w:beforeLines="50" w:after="120" w:afterLines="50"/>
        <w:ind w:left="562" w:hanging="562"/>
        <w:rPr>
          <w:color w:val="000000" w:themeColor="text1"/>
          <w:sz w:val="28"/>
          <w:szCs w:val="28"/>
          <w:highlight w:val="none"/>
          <w14:textFill>
            <w14:solidFill>
              <w14:schemeClr w14:val="tx1"/>
            </w14:solidFill>
          </w14:textFill>
        </w:rPr>
      </w:pPr>
      <w:bookmarkEnd w:id="77"/>
      <w:r>
        <w:rPr>
          <w:rFonts w:hint="eastAsia"/>
          <w:color w:val="000000" w:themeColor="text1"/>
          <w:sz w:val="28"/>
          <w:szCs w:val="28"/>
          <w:highlight w:val="none"/>
          <w14:textFill>
            <w14:solidFill>
              <w14:schemeClr w14:val="tx1"/>
            </w14:solidFill>
          </w14:textFill>
        </w:rPr>
        <w:t>公开招标失败的后续处理</w:t>
      </w:r>
    </w:p>
    <w:p>
      <w:pPr>
        <w:rPr>
          <w:rFonts w:ascii="黑体" w:eastAsia="黑体" w:hAnsi="宋体"/>
          <w:color w:val="000000" w:themeColor="text1"/>
          <w:highlight w:val="none"/>
          <w14:textFill>
            <w14:solidFill>
              <w14:schemeClr w14:val="tx1"/>
            </w14:solidFill>
          </w14:textFill>
        </w:rPr>
      </w:pPr>
      <w:r>
        <w:rPr>
          <w:rFonts w:ascii="黑体" w:eastAsia="黑体" w:hAnsi="宋体" w:hint="eastAsia"/>
          <w:color w:val="000000" w:themeColor="text1"/>
          <w:highlight w:val="none"/>
          <w14:textFill>
            <w14:solidFill>
              <w14:schemeClr w14:val="tx1"/>
            </w14:solidFill>
          </w14:textFill>
        </w:rPr>
        <w:t>42．公开招标失败的处理</w:t>
      </w:r>
    </w:p>
    <w:p>
      <w:pPr>
        <w:ind w:firstLine="47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42.1本项目公开招标过程中若由于投标截止后</w:t>
      </w:r>
      <w:r>
        <w:rPr>
          <w:rFonts w:ascii="宋体" w:hAnsi="宋体" w:hint="eastAsia"/>
          <w:color w:val="000000" w:themeColor="text1"/>
          <w:highlight w:val="none"/>
          <w14:textFill>
            <w14:solidFill>
              <w14:schemeClr w14:val="tx1"/>
            </w14:solidFill>
          </w14:textFill>
        </w:rPr>
        <w:t>实际递交</w:t>
      </w:r>
      <w:r>
        <w:rPr>
          <w:rFonts w:ascii="宋体" w:hAnsi="宋体"/>
          <w:color w:val="000000" w:themeColor="text1"/>
          <w:highlight w:val="none"/>
          <w14:textFill>
            <w14:solidFill>
              <w14:schemeClr w14:val="tx1"/>
            </w14:solidFill>
          </w14:textFill>
        </w:rPr>
        <w:t>投标</w:t>
      </w:r>
      <w:r>
        <w:rPr>
          <w:rFonts w:ascii="宋体" w:hAnsi="宋体" w:hint="eastAsia"/>
          <w:color w:val="000000" w:themeColor="text1"/>
          <w:highlight w:val="none"/>
          <w14:textFill>
            <w14:solidFill>
              <w14:schemeClr w14:val="tx1"/>
            </w14:solidFill>
          </w14:textFill>
        </w:rPr>
        <w:t>文件的供应商数量不足、经</w:t>
      </w:r>
      <w:r>
        <w:rPr>
          <w:rFonts w:ascii="宋体" w:hAnsi="宋体" w:hint="eastAsia"/>
          <w:color w:val="000000" w:themeColor="text1"/>
          <w:szCs w:val="21"/>
          <w:highlight w:val="none"/>
          <w14:textFill>
            <w14:solidFill>
              <w14:schemeClr w14:val="tx1"/>
            </w14:solidFill>
          </w14:textFill>
        </w:rPr>
        <w:t>评审委员会</w:t>
      </w:r>
      <w:r>
        <w:rPr>
          <w:rFonts w:ascii="宋体" w:hAnsi="宋体" w:hint="eastAsia"/>
          <w:color w:val="000000" w:themeColor="text1"/>
          <w:highlight w:val="none"/>
          <w14:textFill>
            <w14:solidFill>
              <w14:schemeClr w14:val="tx1"/>
            </w14:solidFill>
          </w14:textFill>
        </w:rPr>
        <w:t>评审对招标文件作实质响应的供应商不足等原因造成公开招标失败，可由</w:t>
      </w:r>
      <w:r>
        <w:rPr>
          <w:rFonts w:ascii="宋体" w:eastAsia="宋体" w:hAnsi="宋体" w:cs="宋体" w:hint="eastAsia"/>
          <w:color w:val="000000" w:themeColor="text1"/>
          <w:highlight w:val="none"/>
          <w14:textFill>
            <w14:solidFill>
              <w14:schemeClr w14:val="tx1"/>
            </w14:solidFill>
          </w14:textFill>
        </w:rPr>
        <w:t>招标机构</w:t>
      </w:r>
      <w:r>
        <w:rPr>
          <w:rFonts w:ascii="宋体" w:hAnsi="宋体" w:hint="eastAsia"/>
          <w:color w:val="000000" w:themeColor="text1"/>
          <w:highlight w:val="none"/>
          <w14:textFill>
            <w14:solidFill>
              <w14:schemeClr w14:val="tx1"/>
            </w14:solidFill>
          </w14:textFill>
        </w:rPr>
        <w:t>重新组织采购。</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42.2对公开招标失败的项目，评审委员会在出具该项目招标失败结论的同时，可以提出重新采购组织形式的建议，以及进一步完善招标文件的资格、技术、商务要求的修改建议。</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42.3重新组织采购有以下两种组织形式：</w:t>
      </w:r>
    </w:p>
    <w:p>
      <w:pPr>
        <w:ind w:firstLine="47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（1）由</w:t>
      </w:r>
      <w:r>
        <w:rPr>
          <w:rFonts w:ascii="宋体" w:eastAsia="宋体" w:hAnsi="宋体" w:hint="eastAsia"/>
          <w:color w:val="000000" w:themeColor="text1"/>
          <w:highlight w:val="none"/>
          <w14:textFill>
            <w14:solidFill>
              <w14:schemeClr w14:val="tx1"/>
            </w14:solidFill>
          </w14:textFill>
        </w:rPr>
        <w:t>招标机构</w:t>
      </w:r>
      <w:r>
        <w:rPr>
          <w:rFonts w:ascii="宋体" w:hAnsi="宋体" w:hint="eastAsia"/>
          <w:color w:val="000000" w:themeColor="text1"/>
          <w:highlight w:val="none"/>
          <w14:textFill>
            <w14:solidFill>
              <w14:schemeClr w14:val="tx1"/>
            </w14:solidFill>
          </w14:textFill>
        </w:rPr>
        <w:t>重新组织公开招标；</w:t>
      </w:r>
    </w:p>
    <w:p>
      <w:pPr>
        <w:ind w:firstLine="47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（2）根据实际情况需要向同级财政部门提出非公开招标方式申请，经同级财政部门批准，公开招标失败采购项目可转为竞争性谈判或单一来源谈判方式采购。</w:t>
      </w:r>
    </w:p>
    <w:p>
      <w:pPr>
        <w:ind w:firstLine="47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42.4公开招标失败的采购项目重新组织公开招标，由</w:t>
      </w:r>
      <w:r>
        <w:rPr>
          <w:rFonts w:ascii="宋体" w:eastAsia="宋体" w:hAnsi="宋体" w:hint="eastAsia"/>
          <w:color w:val="000000" w:themeColor="text1"/>
          <w:highlight w:val="none"/>
          <w14:textFill>
            <w14:solidFill>
              <w14:schemeClr w14:val="tx1"/>
            </w14:solidFill>
          </w14:textFill>
        </w:rPr>
        <w:t>招标机构</w:t>
      </w:r>
      <w:r>
        <w:rPr>
          <w:rFonts w:ascii="宋体" w:hAnsi="宋体" w:hint="eastAsia"/>
          <w:color w:val="000000" w:themeColor="text1"/>
          <w:highlight w:val="none"/>
          <w14:textFill>
            <w14:solidFill>
              <w14:schemeClr w14:val="tx1"/>
            </w14:solidFill>
          </w14:textFill>
        </w:rPr>
        <w:t>重新按公开招标流程组织采购活动。</w:t>
      </w:r>
    </w:p>
    <w:p>
      <w:pPr>
        <w:ind w:firstLine="470" w:firstLineChars="196"/>
        <w:rPr>
          <w:rFonts w:ascii="宋体" w:hAnsi="宋体" w:hint="eastAsia"/>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42.5公开招标失败的采购项目经同级财政部门批准转为竞争性谈判或单一来源谈判方式采购的，按规定要求组织政府采购工作。</w:t>
      </w:r>
    </w:p>
    <w:p>
      <w:pPr>
        <w:pStyle w:val="Heading2"/>
        <w:numPr>
          <w:ilvl w:val="0"/>
          <w:numId w:val="2"/>
        </w:numPr>
        <w:tabs>
          <w:tab w:val="left" w:pos="360"/>
          <w:tab w:val="clear" w:pos="720"/>
        </w:tabs>
        <w:spacing w:before="120" w:beforeLines="50" w:after="120" w:afterLines="50"/>
        <w:ind w:left="562" w:hanging="562"/>
        <w:rPr>
          <w:color w:val="000000" w:themeColor="text1"/>
          <w:sz w:val="28"/>
          <w:szCs w:val="28"/>
          <w:highlight w:val="none"/>
          <w14:textFill>
            <w14:solidFill>
              <w14:schemeClr w14:val="tx1"/>
            </w14:solidFill>
          </w14:textFill>
        </w:rPr>
      </w:pPr>
      <w:bookmarkStart w:id="78" w:name="_Hlk72439043"/>
      <w:r>
        <w:rPr>
          <w:rFonts w:hint="eastAsia"/>
          <w:color w:val="000000" w:themeColor="text1"/>
          <w:sz w:val="28"/>
          <w:szCs w:val="28"/>
          <w:highlight w:val="none"/>
          <w14:textFill>
            <w14:solidFill>
              <w14:schemeClr w14:val="tx1"/>
            </w14:solidFill>
          </w14:textFill>
        </w:rPr>
        <w:t>合同的授予与备案</w:t>
      </w:r>
      <w:bookmarkEnd w:id="78"/>
    </w:p>
    <w:p>
      <w:pPr>
        <w:rPr>
          <w:rFonts w:ascii="黑体" w:eastAsia="黑体" w:hAnsi="宋体"/>
          <w:color w:val="000000" w:themeColor="text1"/>
          <w:highlight w:val="none"/>
          <w14:textFill>
            <w14:solidFill>
              <w14:schemeClr w14:val="tx1"/>
            </w14:solidFill>
          </w14:textFill>
        </w:rPr>
      </w:pPr>
      <w:bookmarkStart w:id="79" w:name="_Toc73518157"/>
      <w:bookmarkStart w:id="80" w:name="_Toc73521674"/>
      <w:bookmarkStart w:id="81" w:name="_Toc100052408"/>
      <w:bookmarkStart w:id="82" w:name="_Toc73521586"/>
      <w:bookmarkStart w:id="83" w:name="_Toc73517679"/>
      <w:bookmarkStart w:id="84" w:name="_Hlk72439088"/>
      <w:r>
        <w:rPr>
          <w:rFonts w:ascii="黑体" w:eastAsia="黑体" w:hAnsi="宋体" w:hint="eastAsia"/>
          <w:color w:val="000000" w:themeColor="text1"/>
          <w:highlight w:val="none"/>
          <w14:textFill>
            <w14:solidFill>
              <w14:schemeClr w14:val="tx1"/>
            </w14:solidFill>
          </w14:textFill>
        </w:rPr>
        <w:t>43．合同授予标准</w:t>
      </w:r>
      <w:bookmarkEnd w:id="79"/>
      <w:bookmarkEnd w:id="80"/>
      <w:bookmarkEnd w:id="81"/>
      <w:bookmarkEnd w:id="82"/>
      <w:bookmarkEnd w:id="83"/>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本项目的合同将授予经本招标文件规定评审确定的中标供应商。</w:t>
      </w:r>
    </w:p>
    <w:p>
      <w:pPr>
        <w:rPr>
          <w:rFonts w:ascii="黑体" w:eastAsia="黑体" w:hAnsi="宋体"/>
          <w:color w:val="000000" w:themeColor="text1"/>
          <w:highlight w:val="none"/>
          <w14:textFill>
            <w14:solidFill>
              <w14:schemeClr w14:val="tx1"/>
            </w14:solidFill>
          </w14:textFill>
        </w:rPr>
      </w:pPr>
      <w:bookmarkStart w:id="85" w:name="_Toc73517680"/>
      <w:bookmarkStart w:id="86" w:name="_Toc100052409"/>
      <w:bookmarkStart w:id="87" w:name="_Toc73521675"/>
      <w:bookmarkStart w:id="88" w:name="_Toc73521587"/>
      <w:bookmarkStart w:id="89" w:name="_Toc73518158"/>
      <w:r>
        <w:rPr>
          <w:rFonts w:ascii="黑体" w:eastAsia="黑体" w:hAnsi="宋体" w:hint="eastAsia"/>
          <w:color w:val="000000" w:themeColor="text1"/>
          <w:highlight w:val="none"/>
          <w14:textFill>
            <w14:solidFill>
              <w14:schemeClr w14:val="tx1"/>
            </w14:solidFill>
          </w14:textFill>
        </w:rPr>
        <w:t>44．</w:t>
      </w:r>
      <w:bookmarkEnd w:id="85"/>
      <w:bookmarkEnd w:id="86"/>
      <w:bookmarkEnd w:id="87"/>
      <w:bookmarkEnd w:id="88"/>
      <w:bookmarkEnd w:id="89"/>
      <w:r>
        <w:rPr>
          <w:rFonts w:ascii="黑体" w:eastAsia="黑体" w:hAnsi="宋体" w:hint="eastAsia"/>
          <w:color w:val="000000" w:themeColor="text1"/>
          <w:highlight w:val="none"/>
          <w14:textFill>
            <w14:solidFill>
              <w14:schemeClr w14:val="tx1"/>
            </w14:solidFill>
          </w14:textFill>
        </w:rPr>
        <w:t>接受和拒绝任何或所有投标的权力</w:t>
      </w:r>
    </w:p>
    <w:p>
      <w:pPr>
        <w:ind w:firstLine="470" w:firstLineChars="196"/>
        <w:rPr>
          <w:rFonts w:ascii="宋体" w:hAnsi="宋体"/>
          <w:color w:val="000000" w:themeColor="text1"/>
          <w:szCs w:val="21"/>
          <w:highlight w:val="none"/>
          <w14:textFill>
            <w14:solidFill>
              <w14:schemeClr w14:val="tx1"/>
            </w14:solidFill>
          </w14:textFill>
        </w:rPr>
      </w:pPr>
      <w:r>
        <w:rPr>
          <w:rFonts w:ascii="宋体" w:eastAsia="宋体" w:hAnsi="宋体" w:hint="eastAsia"/>
          <w:color w:val="000000" w:themeColor="text1"/>
          <w:szCs w:val="21"/>
          <w:highlight w:val="none"/>
          <w14:textFill>
            <w14:solidFill>
              <w14:schemeClr w14:val="tx1"/>
            </w14:solidFill>
          </w14:textFill>
        </w:rPr>
        <w:t>招标机构</w:t>
      </w:r>
      <w:r>
        <w:rPr>
          <w:rFonts w:ascii="宋体" w:hAnsi="宋体" w:hint="eastAsia"/>
          <w:color w:val="000000" w:themeColor="text1"/>
          <w:szCs w:val="21"/>
          <w:highlight w:val="none"/>
          <w14:textFill>
            <w14:solidFill>
              <w14:schemeClr w14:val="tx1"/>
            </w14:solidFill>
          </w14:textFill>
        </w:rPr>
        <w:t>和采购人保留在投标之前任何时候接受或拒绝任何投标或所有投标，以及宣布招标无效的权力，对受影响的投标人不承担任何责任，也无义务向受影响的投标人解释采取这一行动的理由。</w:t>
      </w:r>
    </w:p>
    <w:p>
      <w:pPr>
        <w:rPr>
          <w:rFonts w:ascii="黑体" w:eastAsia="黑体" w:hAnsi="宋体"/>
          <w:color w:val="000000" w:themeColor="text1"/>
          <w:highlight w:val="none"/>
          <w14:textFill>
            <w14:solidFill>
              <w14:schemeClr w14:val="tx1"/>
            </w14:solidFill>
          </w14:textFill>
        </w:rPr>
      </w:pPr>
      <w:bookmarkStart w:id="90" w:name="_Toc73518160"/>
      <w:bookmarkStart w:id="91" w:name="_Toc100052410"/>
      <w:bookmarkStart w:id="92" w:name="_Toc73517682"/>
      <w:bookmarkStart w:id="93" w:name="_Toc73521589"/>
      <w:bookmarkStart w:id="94" w:name="_Toc73521677"/>
      <w:r>
        <w:rPr>
          <w:rFonts w:ascii="黑体" w:eastAsia="黑体" w:hAnsi="宋体" w:hint="eastAsia"/>
          <w:color w:val="000000" w:themeColor="text1"/>
          <w:highlight w:val="none"/>
          <w14:textFill>
            <w14:solidFill>
              <w14:schemeClr w14:val="tx1"/>
            </w14:solidFill>
          </w14:textFill>
        </w:rPr>
        <w:t>45．合同的签订</w:t>
      </w:r>
      <w:bookmarkEnd w:id="90"/>
      <w:bookmarkEnd w:id="91"/>
      <w:bookmarkEnd w:id="92"/>
      <w:bookmarkEnd w:id="93"/>
      <w:bookmarkEnd w:id="94"/>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45.1中标人将于中标通知书发出之日起十个工作日内，按照采购文件（招标文件和投标文件等）内容与采购人签订政府采购合同；合同的实质性内容应当符合招标文件的规定；</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45.2中标人如不按本通用条款第45</w:t>
      </w:r>
      <w:r>
        <w:rPr>
          <w:rFonts w:ascii="宋体" w:hAnsi="宋体"/>
          <w:color w:val="000000" w:themeColor="text1"/>
          <w:szCs w:val="21"/>
          <w:highlight w:val="none"/>
          <w14:textFill>
            <w14:solidFill>
              <w14:schemeClr w14:val="tx1"/>
            </w14:solidFill>
          </w14:textFill>
        </w:rPr>
        <w:t>.1</w:t>
      </w:r>
      <w:r>
        <w:rPr>
          <w:rFonts w:ascii="宋体" w:hAnsi="宋体" w:hint="eastAsia"/>
          <w:color w:val="000000" w:themeColor="text1"/>
          <w:szCs w:val="21"/>
          <w:highlight w:val="none"/>
          <w14:textFill>
            <w14:solidFill>
              <w14:schemeClr w14:val="tx1"/>
            </w14:solidFill>
          </w14:textFill>
        </w:rPr>
        <w:t>款的规定与采购人签订合同，</w:t>
      </w:r>
      <w:r>
        <w:rPr>
          <w:rFonts w:ascii="宋体" w:hAnsi="宋体" w:cs="宋体"/>
          <w:color w:val="000000" w:themeColor="text1"/>
          <w:szCs w:val="21"/>
          <w:highlight w:val="none"/>
          <w14:textFill>
            <w14:solidFill>
              <w14:schemeClr w14:val="tx1"/>
            </w14:solidFill>
          </w14:textFill>
        </w:rPr>
        <w:t>情节严重的，由</w:t>
      </w:r>
      <w:r>
        <w:rPr>
          <w:rFonts w:ascii="宋体" w:hAnsi="宋体" w:cs="宋体" w:hint="eastAsia"/>
          <w:color w:val="000000" w:themeColor="text1"/>
          <w:szCs w:val="21"/>
          <w:highlight w:val="none"/>
          <w14:textFill>
            <w14:solidFill>
              <w14:schemeClr w14:val="tx1"/>
            </w14:solidFill>
          </w14:textFill>
        </w:rPr>
        <w:t>同级财政</w:t>
      </w:r>
      <w:r>
        <w:rPr>
          <w:rFonts w:ascii="宋体" w:hAnsi="宋体" w:cs="宋体"/>
          <w:color w:val="000000" w:themeColor="text1"/>
          <w:szCs w:val="21"/>
          <w:highlight w:val="none"/>
          <w14:textFill>
            <w14:solidFill>
              <w14:schemeClr w14:val="tx1"/>
            </w14:solidFill>
          </w14:textFill>
        </w:rPr>
        <w:t>部门记入供应商诚信档案，予以通报</w:t>
      </w:r>
      <w:r>
        <w:rPr>
          <w:rFonts w:ascii="宋体" w:hAnsi="宋体" w:hint="eastAsia"/>
          <w:color w:val="000000" w:themeColor="text1"/>
          <w:szCs w:val="21"/>
          <w:highlight w:val="none"/>
          <w14:textFill>
            <w14:solidFill>
              <w14:schemeClr w14:val="tx1"/>
            </w14:solidFill>
          </w14:textFill>
        </w:rPr>
        <w:t>；</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45.3中标人应当按照合同约定履行义务，完成中标项目，不得将中标项目转让（转包）给他人。</w:t>
      </w:r>
    </w:p>
    <w:p>
      <w:pPr>
        <w:rPr>
          <w:rFonts w:ascii="黑体" w:eastAsia="黑体" w:hAnsi="宋体"/>
          <w:color w:val="000000" w:themeColor="text1"/>
          <w:highlight w:val="none"/>
          <w14:textFill>
            <w14:solidFill>
              <w14:schemeClr w14:val="tx1"/>
            </w14:solidFill>
          </w14:textFill>
        </w:rPr>
      </w:pPr>
      <w:bookmarkStart w:id="95" w:name="_Toc100052411"/>
      <w:bookmarkStart w:id="96" w:name="_Toc73517683"/>
      <w:bookmarkStart w:id="97" w:name="_Toc73518161"/>
      <w:bookmarkStart w:id="98" w:name="_Toc73521678"/>
      <w:bookmarkStart w:id="99" w:name="_Toc73521590"/>
      <w:r>
        <w:rPr>
          <w:rFonts w:ascii="黑体" w:eastAsia="黑体" w:hAnsi="宋体" w:hint="eastAsia"/>
          <w:color w:val="000000" w:themeColor="text1"/>
          <w:highlight w:val="none"/>
          <w14:textFill>
            <w14:solidFill>
              <w14:schemeClr w14:val="tx1"/>
            </w14:solidFill>
          </w14:textFill>
        </w:rPr>
        <w:t>46．履约担保</w:t>
      </w:r>
      <w:bookmarkEnd w:id="95"/>
      <w:bookmarkEnd w:id="96"/>
      <w:bookmarkEnd w:id="97"/>
      <w:bookmarkEnd w:id="98"/>
      <w:bookmarkEnd w:id="99"/>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46.1在签订项目合同的同时，中标人应按“对通用条款的补充内容”中规定的金额向采购人提交履约担保；</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46.2允许供应商自主选择以支票、汇票、本票、保函等非现金方式提交履约担保；</w:t>
      </w:r>
      <w:r>
        <w:rPr>
          <w:color w:val="000000" w:themeColor="text1"/>
          <w:highlight w:val="none"/>
          <w14:textFill>
            <w14:solidFill>
              <w14:schemeClr w14:val="tx1"/>
            </w14:solidFill>
          </w14:textFill>
        </w:rPr>
        <w:t>中标</w:t>
      </w:r>
      <w:r>
        <w:rPr>
          <w:rFonts w:hint="eastAsia"/>
          <w:color w:val="000000" w:themeColor="text1"/>
          <w:highlight w:val="none"/>
          <w14:textFill>
            <w14:solidFill>
              <w14:schemeClr w14:val="tx1"/>
            </w14:solidFill>
          </w14:textFill>
        </w:rPr>
        <w:t>人</w:t>
      </w:r>
      <w:r>
        <w:rPr>
          <w:color w:val="000000" w:themeColor="text1"/>
          <w:highlight w:val="none"/>
          <w14:textFill>
            <w14:solidFill>
              <w14:schemeClr w14:val="tx1"/>
            </w14:solidFill>
          </w14:textFill>
        </w:rPr>
        <w:t>提交履约</w:t>
      </w:r>
      <w:r>
        <w:rPr>
          <w:rFonts w:hint="eastAsia"/>
          <w:color w:val="000000" w:themeColor="text1"/>
          <w:highlight w:val="none"/>
          <w14:textFill>
            <w14:solidFill>
              <w14:schemeClr w14:val="tx1"/>
            </w14:solidFill>
          </w14:textFill>
        </w:rPr>
        <w:t>担保不是</w:t>
      </w:r>
      <w:r>
        <w:rPr>
          <w:color w:val="000000" w:themeColor="text1"/>
          <w:highlight w:val="none"/>
          <w14:textFill>
            <w14:solidFill>
              <w14:schemeClr w14:val="tx1"/>
            </w14:solidFill>
          </w14:textFill>
        </w:rPr>
        <w:t>合同签订的</w:t>
      </w:r>
      <w:r>
        <w:rPr>
          <w:rFonts w:hint="eastAsia"/>
          <w:color w:val="000000" w:themeColor="text1"/>
          <w:highlight w:val="none"/>
          <w14:textFill>
            <w14:solidFill>
              <w14:schemeClr w14:val="tx1"/>
            </w14:solidFill>
          </w14:textFill>
        </w:rPr>
        <w:t>前提</w:t>
      </w:r>
      <w:r>
        <w:rPr>
          <w:color w:val="000000" w:themeColor="text1"/>
          <w:highlight w:val="none"/>
          <w14:textFill>
            <w14:solidFill>
              <w14:schemeClr w14:val="tx1"/>
            </w14:solidFill>
          </w14:textFill>
        </w:rPr>
        <w:t>条件，不要求中标</w:t>
      </w:r>
      <w:r>
        <w:rPr>
          <w:rFonts w:hint="eastAsia"/>
          <w:color w:val="000000" w:themeColor="text1"/>
          <w:highlight w:val="none"/>
          <w14:textFill>
            <w14:solidFill>
              <w14:schemeClr w14:val="tx1"/>
            </w14:solidFill>
          </w14:textFill>
        </w:rPr>
        <w:t>人</w:t>
      </w:r>
      <w:r>
        <w:rPr>
          <w:color w:val="000000" w:themeColor="text1"/>
          <w:highlight w:val="none"/>
          <w14:textFill>
            <w14:solidFill>
              <w14:schemeClr w14:val="tx1"/>
            </w14:solidFill>
          </w14:textFill>
        </w:rPr>
        <w:t>提供除法律、法规明确规定外的其他担保</w:t>
      </w:r>
      <w:r>
        <w:rPr>
          <w:rFonts w:hint="eastAsia"/>
          <w:color w:val="000000" w:themeColor="text1"/>
          <w:highlight w:val="none"/>
          <w14:textFill>
            <w14:solidFill>
              <w14:schemeClr w14:val="tx1"/>
            </w14:solidFill>
          </w14:textFill>
        </w:rPr>
        <w:t>。</w:t>
      </w:r>
    </w:p>
    <w:p>
      <w:pPr>
        <w:rPr>
          <w:rFonts w:ascii="黑体" w:eastAsia="黑体" w:hAnsi="宋体"/>
          <w:color w:val="000000" w:themeColor="text1"/>
          <w:highlight w:val="none"/>
          <w14:textFill>
            <w14:solidFill>
              <w14:schemeClr w14:val="tx1"/>
            </w14:solidFill>
          </w14:textFill>
        </w:rPr>
      </w:pPr>
      <w:r>
        <w:rPr>
          <w:rFonts w:ascii="黑体" w:eastAsia="黑体" w:hAnsi="宋体" w:hint="eastAsia"/>
          <w:color w:val="000000" w:themeColor="text1"/>
          <w:highlight w:val="none"/>
          <w14:textFill>
            <w14:solidFill>
              <w14:schemeClr w14:val="tx1"/>
            </w14:solidFill>
          </w14:textFill>
        </w:rPr>
        <w:t>47. 合同备案</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采购人与中标人应于合同签订之日起</w:t>
      </w:r>
      <w:r>
        <w:rPr>
          <w:rFonts w:ascii="宋体" w:eastAsia="宋体" w:hAnsi="宋体" w:hint="eastAsia"/>
          <w:color w:val="000000" w:themeColor="text1"/>
          <w:szCs w:val="21"/>
          <w:highlight w:val="none"/>
          <w14:textFill>
            <w14:solidFill>
              <w14:schemeClr w14:val="tx1"/>
            </w14:solidFill>
          </w14:textFill>
        </w:rPr>
        <w:t>十日</w:t>
      </w:r>
      <w:r>
        <w:rPr>
          <w:rFonts w:ascii="宋体" w:hAnsi="宋体" w:hint="eastAsia"/>
          <w:color w:val="000000" w:themeColor="text1"/>
          <w:szCs w:val="21"/>
          <w:highlight w:val="none"/>
          <w14:textFill>
            <w14:solidFill>
              <w14:schemeClr w14:val="tx1"/>
            </w14:solidFill>
          </w14:textFill>
        </w:rPr>
        <w:t>内，由采购人或委托中标人将采购合同副本抄送合同备案工作实施机构备案。</w:t>
      </w:r>
    </w:p>
    <w:p>
      <w:pPr>
        <w:rPr>
          <w:rFonts w:ascii="黑体" w:eastAsia="黑体" w:hAnsi="宋体"/>
          <w:color w:val="000000" w:themeColor="text1"/>
          <w:highlight w:val="none"/>
          <w14:textFill>
            <w14:solidFill>
              <w14:schemeClr w14:val="tx1"/>
            </w14:solidFill>
          </w14:textFill>
        </w:rPr>
      </w:pPr>
      <w:r>
        <w:rPr>
          <w:rFonts w:ascii="黑体" w:eastAsia="黑体" w:hAnsi="宋体" w:hint="eastAsia"/>
          <w:color w:val="000000" w:themeColor="text1"/>
          <w:highlight w:val="none"/>
          <w14:textFill>
            <w14:solidFill>
              <w14:schemeClr w14:val="tx1"/>
            </w14:solidFill>
          </w14:textFill>
        </w:rPr>
        <w:t>48. 合同变更</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合同变更事宜按《深圳市财政局 深圳市政府采购中心关于进一步加强市本级政府采购合同备案管理工作的通知》（深财购〔2019〕43号）相关规定执行。</w:t>
      </w:r>
    </w:p>
    <w:p>
      <w:pPr>
        <w:rPr>
          <w:rFonts w:ascii="黑体" w:eastAsia="黑体" w:hAnsi="宋体"/>
          <w:color w:val="000000" w:themeColor="text1"/>
          <w:highlight w:val="none"/>
          <w14:textFill>
            <w14:solidFill>
              <w14:schemeClr w14:val="tx1"/>
            </w14:solidFill>
          </w14:textFill>
        </w:rPr>
      </w:pPr>
      <w:r>
        <w:rPr>
          <w:rFonts w:ascii="黑体" w:eastAsia="黑体" w:hAnsi="宋体" w:hint="eastAsia"/>
          <w:color w:val="000000" w:themeColor="text1"/>
          <w:highlight w:val="none"/>
          <w14:textFill>
            <w14:solidFill>
              <w14:schemeClr w14:val="tx1"/>
            </w14:solidFill>
          </w14:textFill>
        </w:rPr>
        <w:t>49. 项目验收</w:t>
      </w:r>
    </w:p>
    <w:p>
      <w:pPr>
        <w:ind w:right="176" w:firstLine="420"/>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49.1采购人应当按照招标文件和合同规定的标准和方法，及时组织验收。</w:t>
      </w:r>
    </w:p>
    <w:p>
      <w:pPr>
        <w:rPr>
          <w:rFonts w:ascii="黑体" w:eastAsia="黑体" w:hAnsi="宋体"/>
          <w:color w:val="000000" w:themeColor="text1"/>
          <w:highlight w:val="none"/>
          <w14:textFill>
            <w14:solidFill>
              <w14:schemeClr w14:val="tx1"/>
            </w14:solidFill>
          </w14:textFill>
        </w:rPr>
      </w:pPr>
      <w:r>
        <w:rPr>
          <w:rFonts w:ascii="黑体" w:eastAsia="黑体" w:hAnsi="宋体" w:hint="eastAsia"/>
          <w:color w:val="000000" w:themeColor="text1"/>
          <w:highlight w:val="none"/>
          <w14:textFill>
            <w14:solidFill>
              <w14:schemeClr w14:val="tx1"/>
            </w14:solidFill>
          </w14:textFill>
        </w:rPr>
        <w:t>50. 宣传</w:t>
      </w:r>
    </w:p>
    <w:p>
      <w:pPr>
        <w:ind w:left="240" w:firstLine="470" w:leftChars="10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凡与政府采购活动有关的宣传或广告，若当中提及政府采购，</w:t>
      </w:r>
      <w:r>
        <w:rPr>
          <w:rFonts w:ascii="宋体" w:hAnsi="宋体"/>
          <w:color w:val="000000" w:themeColor="text1"/>
          <w:highlight w:val="none"/>
          <w14:textFill>
            <w14:solidFill>
              <w14:schemeClr w14:val="tx1"/>
            </w14:solidFill>
          </w14:textFill>
        </w:rPr>
        <w:t>必须事先将具体对外宣传方案报</w:t>
      </w:r>
      <w:r>
        <w:rPr>
          <w:rFonts w:ascii="宋体" w:hAnsi="宋体" w:hint="eastAsia"/>
          <w:color w:val="000000" w:themeColor="text1"/>
          <w:highlight w:val="none"/>
          <w14:textFill>
            <w14:solidFill>
              <w14:schemeClr w14:val="tx1"/>
            </w14:solidFill>
          </w14:textFill>
        </w:rPr>
        <w:t>同级财政部门</w:t>
      </w:r>
      <w:r>
        <w:rPr>
          <w:rFonts w:ascii="宋体" w:hAnsi="宋体"/>
          <w:color w:val="000000" w:themeColor="text1"/>
          <w:highlight w:val="none"/>
          <w14:textFill>
            <w14:solidFill>
              <w14:schemeClr w14:val="tx1"/>
            </w14:solidFill>
          </w14:textFill>
        </w:rPr>
        <w:t>和</w:t>
      </w:r>
      <w:r>
        <w:rPr>
          <w:rFonts w:ascii="宋体" w:eastAsia="宋体" w:hAnsi="宋体" w:hint="eastAsia"/>
          <w:color w:val="000000" w:themeColor="text1"/>
          <w:highlight w:val="none"/>
          <w14:textFill>
            <w14:solidFill>
              <w14:schemeClr w14:val="tx1"/>
            </w14:solidFill>
          </w14:textFill>
        </w:rPr>
        <w:t>招标机构</w:t>
      </w:r>
      <w:r>
        <w:rPr>
          <w:rFonts w:ascii="宋体" w:hAnsi="宋体"/>
          <w:color w:val="000000" w:themeColor="text1"/>
          <w:highlight w:val="none"/>
          <w14:textFill>
            <w14:solidFill>
              <w14:schemeClr w14:val="tx1"/>
            </w14:solidFill>
          </w14:textFill>
        </w:rPr>
        <w:t>，并征得其同意。对外市场宣传包括但不限于以下形式：</w:t>
      </w:r>
    </w:p>
    <w:p>
      <w:pPr>
        <w:ind w:left="240" w:firstLine="470" w:leftChars="100" w:firstLineChars="196"/>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a.名片、宣传册、广告标语等；</w:t>
      </w:r>
    </w:p>
    <w:p>
      <w:pPr>
        <w:ind w:left="240" w:firstLine="470" w:leftChars="100" w:firstLineChars="196"/>
        <w:rPr>
          <w:rFonts w:ascii="宋体" w:hAnsi="宋体"/>
          <w:color w:val="000000" w:themeColor="text1"/>
          <w:highlight w:val="none"/>
          <w14:textFill>
            <w14:solidFill>
              <w14:schemeClr w14:val="tx1"/>
            </w14:solidFill>
          </w14:textFill>
        </w:rPr>
      </w:pPr>
      <w:r>
        <w:rPr>
          <w:rFonts w:ascii="宋体" w:hAnsi="宋体"/>
          <w:color w:val="000000" w:themeColor="text1"/>
          <w:highlight w:val="none"/>
          <w14:textFill>
            <w14:solidFill>
              <w14:schemeClr w14:val="tx1"/>
            </w14:solidFill>
          </w14:textFill>
        </w:rPr>
        <w:t>b.案例介绍、推广等；</w:t>
      </w:r>
    </w:p>
    <w:p>
      <w:pPr>
        <w:ind w:left="240" w:firstLine="470" w:leftChars="100" w:firstLineChars="196"/>
        <w:rPr>
          <w:rFonts w:ascii="宋体" w:hAnsi="宋体"/>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c.工作</w:t>
      </w:r>
      <w:r>
        <w:rPr>
          <w:rFonts w:ascii="宋体" w:hAnsi="宋体"/>
          <w:color w:val="000000" w:themeColor="text1"/>
          <w:highlight w:val="none"/>
          <w14:textFill>
            <w14:solidFill>
              <w14:schemeClr w14:val="tx1"/>
            </w14:solidFill>
          </w14:textFill>
        </w:rPr>
        <w:t>人员向其他消费群体宣传。</w:t>
      </w:r>
    </w:p>
    <w:p>
      <w:pPr>
        <w:rPr>
          <w:rFonts w:ascii="黑体" w:eastAsia="黑体" w:hAnsi="宋体"/>
          <w:color w:val="000000" w:themeColor="text1"/>
          <w:highlight w:val="none"/>
          <w14:textFill>
            <w14:solidFill>
              <w14:schemeClr w14:val="tx1"/>
            </w14:solidFill>
          </w14:textFill>
        </w:rPr>
      </w:pPr>
      <w:r>
        <w:rPr>
          <w:rFonts w:ascii="黑体" w:eastAsia="黑体" w:hAnsi="宋体" w:hint="eastAsia"/>
          <w:color w:val="000000" w:themeColor="text1"/>
          <w:highlight w:val="none"/>
          <w14:textFill>
            <w14:solidFill>
              <w14:schemeClr w14:val="tx1"/>
            </w14:solidFill>
          </w14:textFill>
        </w:rPr>
        <w:t>51. 供应商违法责任</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5</w:t>
      </w:r>
      <w:r>
        <w:rPr>
          <w:rFonts w:ascii="宋体" w:hAnsi="宋体"/>
          <w:color w:val="000000" w:themeColor="text1"/>
          <w:szCs w:val="21"/>
          <w:highlight w:val="none"/>
          <w14:textFill>
            <w14:solidFill>
              <w14:schemeClr w14:val="tx1"/>
            </w14:solidFill>
          </w14:textFill>
        </w:rPr>
        <w:t>1.1</w:t>
      </w:r>
      <w:r>
        <w:rPr>
          <w:rFonts w:ascii="宋体" w:hAnsi="宋体" w:hint="eastAsia"/>
          <w:color w:val="000000" w:themeColor="text1"/>
          <w:szCs w:val="21"/>
          <w:highlight w:val="none"/>
          <w14:textFill>
            <w14:solidFill>
              <w14:schemeClr w14:val="tx1"/>
            </w14:solidFill>
          </w14:textFill>
        </w:rPr>
        <w:t>《深圳经济特区政府采购条例》第五十七条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（1）在采购活动中应当回避而未回避的；</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（2）未按本条例规定签订、履行采购合同，造成严重后果的；</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（3）隐瞒真实情况，提供虚假资料的；</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（4）以非法手段排斥其他供应商参与竞争的；</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（5）与其他采购参加人串通投标的；</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（6）恶意投诉的；</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（7）向采购项目相关人行贿或者提供其他不当利益的；</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（8）阻碍、抗拒主管部门监督检查的；</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（9）其他违反本条例规定的行为。</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5</w:t>
      </w:r>
      <w:r>
        <w:rPr>
          <w:rFonts w:ascii="宋体" w:hAnsi="宋体"/>
          <w:color w:val="000000" w:themeColor="text1"/>
          <w:szCs w:val="21"/>
          <w:highlight w:val="none"/>
          <w14:textFill>
            <w14:solidFill>
              <w14:schemeClr w14:val="tx1"/>
            </w14:solidFill>
          </w14:textFill>
        </w:rPr>
        <w:t xml:space="preserve">1.2 </w:t>
      </w:r>
      <w:r>
        <w:rPr>
          <w:rFonts w:ascii="宋体" w:hAnsi="宋体" w:hint="eastAsia"/>
          <w:color w:val="000000" w:themeColor="text1"/>
          <w:szCs w:val="21"/>
          <w:highlight w:val="none"/>
          <w14:textFill>
            <w14:solidFill>
              <w14:schemeClr w14:val="tx1"/>
            </w14:solidFill>
          </w14:textFill>
        </w:rPr>
        <w:t>根据《深圳市财政局关于明确政府采购保证金管理工作的通知》（深财购[2019]42号）的要求，供应商在政府采购活动中出现《深圳经济特区政府采购条例实施细则》第八十四条所列情形的，</w:t>
      </w:r>
      <w:bookmarkStart w:id="100" w:name="_Hlk72440769"/>
      <w:r>
        <w:rPr>
          <w:rFonts w:ascii="宋体" w:hAnsi="宋体" w:hint="eastAsia"/>
          <w:color w:val="000000" w:themeColor="text1"/>
          <w:szCs w:val="21"/>
          <w:highlight w:val="none"/>
          <w14:textFill>
            <w14:solidFill>
              <w14:schemeClr w14:val="tx1"/>
            </w14:solidFill>
          </w14:textFill>
        </w:rPr>
        <w:t>采购人或</w:t>
      </w:r>
      <w:bookmarkEnd w:id="100"/>
      <w:r>
        <w:rPr>
          <w:rFonts w:ascii="宋体" w:eastAsia="宋体" w:hAnsi="宋体" w:hint="eastAsia"/>
          <w:color w:val="000000" w:themeColor="text1"/>
          <w:szCs w:val="21"/>
          <w:highlight w:val="none"/>
          <w14:textFill>
            <w14:solidFill>
              <w14:schemeClr w14:val="tx1"/>
            </w14:solidFill>
          </w14:textFill>
        </w:rPr>
        <w:t>招标机构</w:t>
      </w:r>
      <w:r>
        <w:rPr>
          <w:rFonts w:ascii="宋体" w:hAnsi="宋体" w:hint="eastAsia"/>
          <w:color w:val="000000" w:themeColor="text1"/>
          <w:szCs w:val="21"/>
          <w:highlight w:val="none"/>
          <w14:textFill>
            <w14:solidFill>
              <w14:schemeClr w14:val="tx1"/>
            </w14:solidFill>
          </w14:textFill>
        </w:rPr>
        <w:t>可将有关情况报同级财政部门，由财政部门根据实际情况记入供应商诚信档案，予以通报：</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）投标截止后，撤销投标的；</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w:t>
      </w:r>
      <w:r>
        <w:rPr>
          <w:rFonts w:ascii="宋体" w:hAnsi="宋体" w:hint="eastAsia"/>
          <w:color w:val="000000" w:themeColor="text1"/>
          <w:szCs w:val="21"/>
          <w:highlight w:val="none"/>
          <w14:textFill>
            <w14:solidFill>
              <w14:schemeClr w14:val="tx1"/>
            </w14:solidFill>
          </w14:textFill>
        </w:rPr>
        <w:t>2</w:t>
      </w:r>
      <w:r>
        <w:rPr>
          <w:rFonts w:ascii="宋体" w:hAnsi="宋体"/>
          <w:color w:val="000000" w:themeColor="text1"/>
          <w:szCs w:val="21"/>
          <w:highlight w:val="none"/>
          <w14:textFill>
            <w14:solidFill>
              <w14:schemeClr w14:val="tx1"/>
            </w14:solidFill>
          </w14:textFill>
        </w:rPr>
        <w:t>）中标后无正当理由未在规定期限内签订合同的；</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w:t>
      </w:r>
      <w:r>
        <w:rPr>
          <w:rFonts w:ascii="宋体" w:hAnsi="宋体" w:hint="eastAsia"/>
          <w:color w:val="000000" w:themeColor="text1"/>
          <w:szCs w:val="21"/>
          <w:highlight w:val="none"/>
          <w14:textFill>
            <w14:solidFill>
              <w14:schemeClr w14:val="tx1"/>
            </w14:solidFill>
          </w14:textFill>
        </w:rPr>
        <w:t>3</w:t>
      </w:r>
      <w:r>
        <w:rPr>
          <w:rFonts w:ascii="宋体" w:hAnsi="宋体"/>
          <w:color w:val="000000" w:themeColor="text1"/>
          <w:szCs w:val="21"/>
          <w:highlight w:val="none"/>
          <w14:textFill>
            <w14:solidFill>
              <w14:schemeClr w14:val="tx1"/>
            </w14:solidFill>
          </w14:textFill>
        </w:rPr>
        <w:t>）将中标项目转让给他人、或者在投标文件中未说明且未经采购人、采购招标机构同意，将中标项目分包给他人的；</w:t>
      </w:r>
    </w:p>
    <w:p>
      <w:pPr>
        <w:ind w:firstLine="470" w:firstLineChars="196"/>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w:t>
      </w:r>
      <w:r>
        <w:rPr>
          <w:rFonts w:ascii="宋体" w:hAnsi="宋体" w:hint="eastAsia"/>
          <w:color w:val="000000" w:themeColor="text1"/>
          <w:szCs w:val="21"/>
          <w:highlight w:val="none"/>
          <w14:textFill>
            <w14:solidFill>
              <w14:schemeClr w14:val="tx1"/>
            </w14:solidFill>
          </w14:textFill>
        </w:rPr>
        <w:t>4</w:t>
      </w:r>
      <w:r>
        <w:rPr>
          <w:rFonts w:ascii="宋体" w:hAnsi="宋体"/>
          <w:color w:val="000000" w:themeColor="text1"/>
          <w:szCs w:val="21"/>
          <w:highlight w:val="none"/>
          <w14:textFill>
            <w14:solidFill>
              <w14:schemeClr w14:val="tx1"/>
            </w14:solidFill>
          </w14:textFill>
        </w:rPr>
        <w:t>）拒绝履行合同义务的</w:t>
      </w:r>
      <w:r>
        <w:rPr>
          <w:rFonts w:ascii="宋体" w:hAnsi="宋体" w:hint="eastAsia"/>
          <w:color w:val="000000" w:themeColor="text1"/>
          <w:szCs w:val="21"/>
          <w:highlight w:val="none"/>
          <w14:textFill>
            <w14:solidFill>
              <w14:schemeClr w14:val="tx1"/>
            </w14:solidFill>
          </w14:textFill>
        </w:rPr>
        <w:t>。</w:t>
      </w:r>
    </w:p>
    <w:p>
      <w:pPr>
        <w:pStyle w:val="Heading2"/>
        <w:numPr>
          <w:ilvl w:val="0"/>
          <w:numId w:val="2"/>
        </w:numPr>
        <w:tabs>
          <w:tab w:val="left" w:pos="360"/>
          <w:tab w:val="clear" w:pos="720"/>
        </w:tabs>
        <w:spacing w:before="120" w:beforeLines="50" w:after="120" w:afterLines="50"/>
        <w:ind w:left="562" w:hanging="562"/>
        <w:rPr>
          <w:color w:val="000000" w:themeColor="text1"/>
          <w:sz w:val="28"/>
          <w:szCs w:val="28"/>
          <w:highlight w:val="none"/>
          <w14:textFill>
            <w14:solidFill>
              <w14:schemeClr w14:val="tx1"/>
            </w14:solidFill>
          </w14:textFill>
        </w:rPr>
      </w:pPr>
      <w:bookmarkEnd w:id="84"/>
      <w:r>
        <w:rPr>
          <w:rFonts w:hint="eastAsia"/>
          <w:color w:val="000000" w:themeColor="text1"/>
          <w:sz w:val="28"/>
          <w:szCs w:val="28"/>
          <w:highlight w:val="none"/>
          <w14:textFill>
            <w14:solidFill>
              <w14:schemeClr w14:val="tx1"/>
            </w14:solidFill>
          </w14:textFill>
        </w:rPr>
        <w:t>质疑处理</w:t>
      </w:r>
    </w:p>
    <w:p>
      <w:pPr>
        <w:rPr>
          <w:rFonts w:ascii="黑体" w:eastAsia="黑体" w:hAnsi="宋体"/>
          <w:color w:val="000000" w:themeColor="text1"/>
          <w:highlight w:val="none"/>
          <w14:textFill>
            <w14:solidFill>
              <w14:schemeClr w14:val="tx1"/>
            </w14:solidFill>
          </w14:textFill>
        </w:rPr>
      </w:pPr>
      <w:bookmarkStart w:id="101" w:name="_Hlk72439706"/>
      <w:r>
        <w:rPr>
          <w:rFonts w:ascii="黑体" w:eastAsia="黑体" w:hAnsi="宋体" w:hint="eastAsia"/>
          <w:color w:val="000000" w:themeColor="text1"/>
          <w:highlight w:val="none"/>
          <w14:textFill>
            <w14:solidFill>
              <w14:schemeClr w14:val="tx1"/>
            </w14:solidFill>
          </w14:textFill>
        </w:rPr>
        <w:t>52.质疑提出与答复</w:t>
      </w:r>
    </w:p>
    <w:p>
      <w:pPr>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 xml:space="preserve">    52.1提出质疑</w:t>
      </w:r>
    </w:p>
    <w:p>
      <w:pPr>
        <w:ind w:firstLine="480" w:firstLineChars="200"/>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参与政府采购活动的供应商认为自己的权益在采购活动中受到损害的，应当自知道或者应当知道其权益受到损害之日起七个工作日内向采购人、</w:t>
      </w:r>
      <w:r>
        <w:rPr>
          <w:rFonts w:ascii="宋体" w:eastAsia="宋体" w:hAnsi="宋体" w:hint="eastAsia"/>
          <w:color w:val="000000" w:themeColor="text1"/>
          <w:szCs w:val="21"/>
          <w:highlight w:val="none"/>
          <w14:textFill>
            <w14:solidFill>
              <w14:schemeClr w14:val="tx1"/>
            </w14:solidFill>
          </w14:textFill>
        </w:rPr>
        <w:t>招标机构</w:t>
      </w:r>
      <w:r>
        <w:rPr>
          <w:rFonts w:ascii="宋体" w:hAnsi="宋体" w:hint="eastAsia"/>
          <w:color w:val="000000" w:themeColor="text1"/>
          <w:szCs w:val="21"/>
          <w:highlight w:val="none"/>
          <w14:textFill>
            <w14:solidFill>
              <w14:schemeClr w14:val="tx1"/>
            </w14:solidFill>
          </w14:textFill>
        </w:rPr>
        <w:t>以书面形式提出质疑。</w:t>
      </w:r>
    </w:p>
    <w:p>
      <w:pPr>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 xml:space="preserve">    52.2</w:t>
      </w:r>
      <w:r>
        <w:rPr>
          <w:rFonts w:ascii="宋体" w:hAnsi="宋体"/>
          <w:color w:val="000000" w:themeColor="text1"/>
          <w:szCs w:val="21"/>
          <w:highlight w:val="none"/>
          <w14:textFill>
            <w14:solidFill>
              <w14:schemeClr w14:val="tx1"/>
            </w14:solidFill>
          </w14:textFill>
        </w:rPr>
        <w:t>法律依据</w:t>
      </w:r>
    </w:p>
    <w:p>
      <w:pPr>
        <w:ind w:firstLine="480" w:firstLineChars="200"/>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《中华人民共和国政府采购法》、《中华人民共和国政府采购法实施条例》、</w:t>
      </w:r>
      <w:r>
        <w:rPr>
          <w:rFonts w:ascii="宋体" w:hAnsi="宋体"/>
          <w:color w:val="000000" w:themeColor="text1"/>
          <w:szCs w:val="21"/>
          <w:highlight w:val="none"/>
          <w14:textFill>
            <w14:solidFill>
              <w14:schemeClr w14:val="tx1"/>
            </w14:solidFill>
          </w14:textFill>
        </w:rPr>
        <w:t>《</w:t>
      </w:r>
      <w:r>
        <w:rPr>
          <w:rFonts w:ascii="宋体" w:hAnsi="宋体" w:hint="eastAsia"/>
          <w:color w:val="000000" w:themeColor="text1"/>
          <w:szCs w:val="21"/>
          <w:highlight w:val="none"/>
          <w14:textFill>
            <w14:solidFill>
              <w14:schemeClr w14:val="tx1"/>
            </w14:solidFill>
          </w14:textFill>
        </w:rPr>
        <w:t>深圳经济特区政府采购</w:t>
      </w:r>
      <w:r>
        <w:rPr>
          <w:rFonts w:ascii="宋体" w:hAnsi="宋体"/>
          <w:color w:val="000000" w:themeColor="text1"/>
          <w:szCs w:val="21"/>
          <w:highlight w:val="none"/>
          <w14:textFill>
            <w14:solidFill>
              <w14:schemeClr w14:val="tx1"/>
            </w14:solidFill>
          </w14:textFill>
        </w:rPr>
        <w:t>条例</w:t>
      </w:r>
      <w:r>
        <w:rPr>
          <w:rFonts w:ascii="宋体" w:hAnsi="宋体" w:hint="eastAsia"/>
          <w:color w:val="000000" w:themeColor="text1"/>
          <w:szCs w:val="21"/>
          <w:highlight w:val="none"/>
          <w14:textFill>
            <w14:solidFill>
              <w14:schemeClr w14:val="tx1"/>
            </w14:solidFill>
          </w14:textFill>
        </w:rPr>
        <w:t>》、《深圳经济特区政府采购条例实施细则》、《政府采购质疑和投诉办法》（财政部令第94号）和其他有关法律法规规定。</w:t>
      </w:r>
    </w:p>
    <w:p>
      <w:pPr>
        <w:ind w:firstLine="480" w:firstLineChars="200"/>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52.3质疑条件</w:t>
      </w:r>
    </w:p>
    <w:p>
      <w:pPr>
        <w:ind w:firstLine="480" w:firstLineChars="200"/>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52.3.1提出质疑的供应商应当是参与所质疑项目采购活动的供应商；</w:t>
      </w:r>
      <w:bookmarkStart w:id="102" w:name="_Hlk75374941"/>
      <w:r>
        <w:rPr>
          <w:rFonts w:ascii="宋体" w:hAnsi="宋体" w:hint="eastAsia"/>
          <w:color w:val="000000" w:themeColor="text1"/>
          <w:szCs w:val="21"/>
          <w:highlight w:val="none"/>
          <w14:textFill>
            <w14:solidFill>
              <w14:schemeClr w14:val="tx1"/>
            </w14:solidFill>
          </w14:textFill>
        </w:rPr>
        <w:t>以联合体形式参与的，质疑应当由组成联合体的所有成员共同提出</w:t>
      </w:r>
      <w:bookmarkEnd w:id="102"/>
      <w:r>
        <w:rPr>
          <w:rFonts w:ascii="宋体" w:hAnsi="宋体" w:hint="eastAsia"/>
          <w:color w:val="000000" w:themeColor="text1"/>
          <w:szCs w:val="21"/>
          <w:highlight w:val="none"/>
          <w14:textFill>
            <w14:solidFill>
              <w14:schemeClr w14:val="tx1"/>
            </w14:solidFill>
          </w14:textFill>
        </w:rPr>
        <w:t>；</w:t>
      </w:r>
    </w:p>
    <w:p>
      <w:pPr>
        <w:ind w:firstLine="480" w:firstLineChars="200"/>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52.3.2应当在法定质疑期内一次性提出针对同一采购程序环节的质疑，法定质疑期为自知道或应当知道权益受到损害之日起7个工作日内。应当知道其权益受到损害之日是指：对招标文件的质疑，为招标文件公布之日；对采购过程的质疑，为各采购程序环节结束之日；对中标结果以及评审委员会组成人员的质疑，为中标结果公示之日；</w:t>
      </w:r>
    </w:p>
    <w:p>
      <w:pPr>
        <w:ind w:firstLine="420"/>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52.3.3应提交书面质疑函，质疑函应当包括以下内容：</w:t>
      </w:r>
    </w:p>
    <w:p>
      <w:pPr>
        <w:ind w:firstLine="420"/>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（1）供应商的名称（或者姓名）、地址、邮编、邮箱、联系人及联系电话；</w:t>
      </w:r>
    </w:p>
    <w:p>
      <w:pPr>
        <w:ind w:firstLine="480" w:firstLineChars="200"/>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（2）质疑项目的名称、编号；</w:t>
      </w:r>
    </w:p>
    <w:p>
      <w:pPr>
        <w:ind w:firstLine="480" w:firstLineChars="200"/>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（3）具体、明确的质疑对象、质疑事项和质疑请求；</w:t>
      </w:r>
    </w:p>
    <w:p>
      <w:pPr>
        <w:ind w:firstLine="480" w:firstLineChars="200"/>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（4）因质疑事项而受损害的权益；</w:t>
      </w:r>
    </w:p>
    <w:p>
      <w:pPr>
        <w:ind w:firstLine="480" w:firstLineChars="200"/>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（5）事实依据；</w:t>
      </w:r>
    </w:p>
    <w:p>
      <w:pPr>
        <w:ind w:firstLine="480" w:firstLineChars="200"/>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（6）必要的法律依据；</w:t>
      </w:r>
    </w:p>
    <w:p>
      <w:pPr>
        <w:ind w:firstLine="480" w:firstLineChars="200"/>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（7）提出质疑的日期。</w:t>
      </w:r>
    </w:p>
    <w:p>
      <w:pPr>
        <w:ind w:firstLine="480" w:firstLineChars="200"/>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供应商为自然人的，应当由本人签字；供应商为法人或者其他组织的，应当由法定代表人（负责人），或者其授权代理人签字或者盖章，并加盖公章。</w:t>
      </w:r>
    </w:p>
    <w:p>
      <w:pPr>
        <w:ind w:firstLine="480" w:firstLineChars="200"/>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52.4提交</w:t>
      </w:r>
      <w:r>
        <w:rPr>
          <w:rFonts w:ascii="宋体" w:hAnsi="宋体"/>
          <w:color w:val="000000" w:themeColor="text1"/>
          <w:szCs w:val="21"/>
          <w:highlight w:val="none"/>
          <w14:textFill>
            <w14:solidFill>
              <w14:schemeClr w14:val="tx1"/>
            </w14:solidFill>
          </w14:textFill>
        </w:rPr>
        <w:t>材料</w:t>
      </w:r>
    </w:p>
    <w:p>
      <w:pPr>
        <w:ind w:firstLine="480" w:firstLineChars="200"/>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供应商质疑实行实名制。供应商为自然人的，应当提交本人身份证复印件；供应商为法人或者其他组织的，应当根据自身性质提交营业执照复印件或者其他证明文件（如事业单位法人证书等）复印件。</w:t>
      </w:r>
    </w:p>
    <w:p>
      <w:pPr>
        <w:ind w:firstLine="480" w:firstLineChars="200"/>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供应商可以委托代理人进行质疑。</w:t>
      </w:r>
      <w:r>
        <w:rPr>
          <w:rFonts w:ascii="宋体" w:hAnsi="宋体"/>
          <w:color w:val="000000" w:themeColor="text1"/>
          <w:szCs w:val="21"/>
          <w:highlight w:val="none"/>
          <w14:textFill>
            <w14:solidFill>
              <w14:schemeClr w14:val="tx1"/>
            </w14:solidFill>
          </w14:textFill>
        </w:rPr>
        <w:t>其授权委托书应当载明代理人的姓名或者名称、代理事项、具体权限、期限和相关事项。供应商为自然人的，应当由本人签字；供应商为法人或者其他组织的，应当由法定代表人、主要负责人签字或者盖章，并加盖公章。</w:t>
      </w:r>
    </w:p>
    <w:p>
      <w:pPr>
        <w:ind w:firstLine="480" w:firstLineChars="200"/>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52.5提交方式</w:t>
      </w:r>
    </w:p>
    <w:p>
      <w:pPr>
        <w:ind w:firstLine="42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52.5.1供应商登录“深圳政府采购智慧平台用户网上办事子系统（</w:t>
      </w:r>
      <w:r>
        <w:rPr>
          <w:rFonts w:ascii="宋体" w:hAnsi="宋体" w:hint="eastAsia"/>
          <w:color w:val="000000" w:themeColor="text1"/>
          <w:szCs w:val="21"/>
          <w:highlight w:val="none"/>
          <w14:textFill>
            <w14:solidFill>
              <w14:schemeClr w14:val="tx1"/>
            </w14:solidFill>
          </w14:textFill>
        </w:rPr>
        <w:t>http://zfcg.szggzy.com:8081/TPBidder/memberLogin</w:t>
      </w:r>
      <w:r>
        <w:rPr>
          <w:rFonts w:ascii="宋体" w:hAnsi="宋体"/>
          <w:color w:val="000000" w:themeColor="text1"/>
          <w:szCs w:val="21"/>
          <w:highlight w:val="none"/>
          <w14:textFill>
            <w14:solidFill>
              <w14:schemeClr w14:val="tx1"/>
            </w14:solidFill>
          </w14:textFill>
        </w:rPr>
        <w:t>）”，在“【我的项目】→【项目流程】→【质疑】”中提出质疑。</w:t>
      </w:r>
    </w:p>
    <w:p>
      <w:pPr>
        <w:ind w:firstLine="48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52.5.2请质疑供应商根据深圳政府采购智慧平台（</w:t>
      </w:r>
      <w:r>
        <w:rPr>
          <w:rFonts w:ascii="宋体" w:hAnsi="宋体" w:hint="eastAsia"/>
          <w:color w:val="000000" w:themeColor="text1"/>
          <w:szCs w:val="21"/>
          <w:highlight w:val="none"/>
          <w14:textFill>
            <w14:solidFill>
              <w14:schemeClr w14:val="tx1"/>
            </w14:solidFill>
          </w14:textFill>
        </w:rPr>
        <w:t>http://zfcg.szggzy.com:8081/</w:t>
      </w:r>
      <w:r>
        <w:rPr>
          <w:rFonts w:ascii="宋体" w:hAnsi="宋体"/>
          <w:color w:val="000000" w:themeColor="text1"/>
          <w:szCs w:val="21"/>
          <w:highlight w:val="none"/>
          <w14:textFill>
            <w14:solidFill>
              <w14:schemeClr w14:val="tx1"/>
            </w14:solidFill>
          </w14:textFill>
        </w:rPr>
        <w:t>）所发布的质疑指引、质疑函模板填写质疑函并提交质疑材料。</w:t>
      </w:r>
      <w:r>
        <w:rPr>
          <w:rFonts w:ascii="宋体" w:hAnsi="宋体"/>
          <w:b/>
          <w:bCs/>
          <w:color w:val="000000" w:themeColor="text1"/>
          <w:szCs w:val="21"/>
          <w:highlight w:val="none"/>
          <w14:textFill>
            <w14:solidFill>
              <w14:schemeClr w14:val="tx1"/>
            </w14:solidFill>
          </w14:textFill>
        </w:rPr>
        <w:t>地址：</w:t>
      </w:r>
      <w:r>
        <w:rPr>
          <w:rFonts w:ascii="宋体" w:hAnsi="宋体" w:hint="eastAsia"/>
          <w:b/>
          <w:bCs/>
          <w:color w:val="000000" w:themeColor="text1"/>
          <w:szCs w:val="21"/>
          <w:highlight w:val="none"/>
          <w14:textFill>
            <w14:solidFill>
              <w14:schemeClr w14:val="tx1"/>
            </w14:solidFill>
          </w14:textFill>
        </w:rPr>
        <w:t>深圳市福田区福田体育公园西北角友和招标代理服务中心（靠近北门）</w:t>
      </w:r>
      <w:r>
        <w:rPr>
          <w:rFonts w:ascii="宋体" w:hAnsi="宋体"/>
          <w:b/>
          <w:bCs/>
          <w:color w:val="000000" w:themeColor="text1"/>
          <w:szCs w:val="21"/>
          <w:highlight w:val="none"/>
          <w14:textFill>
            <w14:solidFill>
              <w14:schemeClr w14:val="tx1"/>
            </w14:solidFill>
          </w14:textFill>
        </w:rPr>
        <w:t>，质疑咨询电话：0755-8388</w:t>
      </w:r>
      <w:r>
        <w:rPr>
          <w:rFonts w:ascii="宋体" w:eastAsia="宋体" w:hAnsi="宋体" w:hint="eastAsia"/>
          <w:b/>
          <w:bCs/>
          <w:color w:val="000000" w:themeColor="text1"/>
          <w:szCs w:val="21"/>
          <w:highlight w:val="none"/>
          <w:lang w:val="en-US" w:eastAsia="zh-CN"/>
          <w14:textFill>
            <w14:solidFill>
              <w14:schemeClr w14:val="tx1"/>
            </w14:solidFill>
          </w14:textFill>
        </w:rPr>
        <w:t>9026</w:t>
      </w:r>
      <w:r>
        <w:rPr>
          <w:rFonts w:ascii="宋体" w:hAnsi="宋体"/>
          <w:b/>
          <w:bCs/>
          <w:color w:val="000000" w:themeColor="text1"/>
          <w:szCs w:val="21"/>
          <w:highlight w:val="none"/>
          <w14:textFill>
            <w14:solidFill>
              <w14:schemeClr w14:val="tx1"/>
            </w14:solidFill>
          </w14:textFill>
        </w:rPr>
        <w:t>。</w:t>
      </w:r>
    </w:p>
    <w:p>
      <w:pPr>
        <w:ind w:firstLine="480" w:firstLineChars="200"/>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52.6收文办理</w:t>
      </w:r>
      <w:r>
        <w:rPr>
          <w:rFonts w:ascii="宋体" w:hAnsi="宋体"/>
          <w:color w:val="000000" w:themeColor="text1"/>
          <w:szCs w:val="21"/>
          <w:highlight w:val="none"/>
          <w14:textFill>
            <w14:solidFill>
              <w14:schemeClr w14:val="tx1"/>
            </w14:solidFill>
          </w14:textFill>
        </w:rPr>
        <w:t>程序</w:t>
      </w:r>
    </w:p>
    <w:p>
      <w:pPr>
        <w:ind w:firstLine="480" w:firstLineChars="200"/>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52.6.1供应商提交的质疑符合受理条件的，</w:t>
      </w:r>
      <w:r>
        <w:rPr>
          <w:rFonts w:ascii="宋体" w:eastAsia="宋体" w:hAnsi="宋体" w:hint="eastAsia"/>
          <w:color w:val="000000" w:themeColor="text1"/>
          <w:szCs w:val="21"/>
          <w:highlight w:val="none"/>
          <w14:textFill>
            <w14:solidFill>
              <w14:schemeClr w14:val="tx1"/>
            </w14:solidFill>
          </w14:textFill>
        </w:rPr>
        <w:t>招标机构</w:t>
      </w:r>
      <w:r>
        <w:rPr>
          <w:rFonts w:ascii="宋体" w:hAnsi="宋体" w:hint="eastAsia"/>
          <w:color w:val="000000" w:themeColor="text1"/>
          <w:szCs w:val="21"/>
          <w:highlight w:val="none"/>
          <w14:textFill>
            <w14:solidFill>
              <w14:schemeClr w14:val="tx1"/>
            </w14:solidFill>
          </w14:textFill>
        </w:rPr>
        <w:t>自收到质疑材料之日起即为受理，应当向供应商出具质疑函收文回执并可以要求其递交质疑的法定代表人（负责人）或者授权代理人签署质疑文书送达地址确认书。</w:t>
      </w:r>
    </w:p>
    <w:p>
      <w:pPr>
        <w:ind w:firstLine="480" w:firstLineChars="200"/>
        <w:rPr>
          <w:rFonts w:ascii="仿宋" w:eastAsia="仿宋" w:hAnsi="仿宋"/>
          <w:color w:val="000000" w:themeColor="text1"/>
          <w:sz w:val="28"/>
          <w:szCs w:val="28"/>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52.6.2供应商提交的质疑材料不符合质疑条件的，视情况处理：</w:t>
      </w:r>
    </w:p>
    <w:p>
      <w:pPr>
        <w:ind w:firstLine="480" w:firstLineChars="200"/>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供应商提交的质疑材料不全或者未按要求签字或者盖章的，</w:t>
      </w:r>
      <w:r>
        <w:rPr>
          <w:rFonts w:ascii="宋体" w:eastAsia="宋体" w:hAnsi="宋体" w:hint="eastAsia"/>
          <w:color w:val="000000" w:themeColor="text1"/>
          <w:szCs w:val="21"/>
          <w:highlight w:val="none"/>
          <w14:textFill>
            <w14:solidFill>
              <w14:schemeClr w14:val="tx1"/>
            </w14:solidFill>
          </w14:textFill>
        </w:rPr>
        <w:t>招标机构</w:t>
      </w:r>
      <w:r>
        <w:rPr>
          <w:rFonts w:ascii="宋体" w:hAnsi="宋体" w:hint="eastAsia"/>
          <w:color w:val="000000" w:themeColor="text1"/>
          <w:szCs w:val="21"/>
          <w:highlight w:val="none"/>
          <w14:textFill>
            <w14:solidFill>
              <w14:schemeClr w14:val="tx1"/>
            </w14:solidFill>
          </w14:textFill>
        </w:rPr>
        <w:t>应当一次性告知供应商需补正的内容和补正期限。</w:t>
      </w:r>
    </w:p>
    <w:p>
      <w:pPr>
        <w:ind w:firstLine="480" w:firstLineChars="200"/>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供应商提交的质疑存在下列情形之一的，不予受理：</w:t>
      </w:r>
    </w:p>
    <w:p>
      <w:pPr>
        <w:ind w:firstLine="480" w:firstLineChars="200"/>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（1）质疑主体不满足要求的；</w:t>
      </w:r>
    </w:p>
    <w:p>
      <w:pPr>
        <w:ind w:firstLine="480" w:firstLineChars="200"/>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（2）供应商自身权益未受到损害的；</w:t>
      </w:r>
    </w:p>
    <w:p>
      <w:pPr>
        <w:ind w:firstLine="480" w:firstLineChars="200"/>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（3）供应商未在法定质疑期限内提出质疑的；</w:t>
      </w:r>
    </w:p>
    <w:p>
      <w:pPr>
        <w:ind w:firstLine="480" w:firstLineChars="200"/>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（4）质疑材料不全或者未按要求签字或者盖章的情况下，要求补正后，逾期未补正或者补正后仍不符合规定的；</w:t>
      </w:r>
    </w:p>
    <w:p>
      <w:pPr>
        <w:ind w:firstLine="480" w:firstLineChars="200"/>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（5）其他不符合受理条件情形的。</w:t>
      </w:r>
    </w:p>
    <w:p>
      <w:pPr>
        <w:ind w:firstLine="480" w:firstLineChars="200"/>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质疑事项不予受理的，招标机构应当向供应商出具不符合质疑条件告知书。</w:t>
      </w:r>
    </w:p>
    <w:p>
      <w:pPr>
        <w:ind w:firstLine="480" w:firstLineChars="200"/>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52.7质疑答复时限</w:t>
      </w:r>
    </w:p>
    <w:p>
      <w:pPr>
        <w:ind w:firstLine="480" w:firstLineChars="200"/>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 xml:space="preserve">    自收文之日起七个工作日内。</w:t>
      </w:r>
    </w:p>
    <w:p>
      <w:pPr>
        <w:ind w:firstLine="480" w:firstLineChars="200"/>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52.8投诉</w:t>
      </w:r>
    </w:p>
    <w:p>
      <w:pPr>
        <w:ind w:firstLine="480" w:firstLineChars="200"/>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对质疑答复不满意或者未在规定时间内答复的，提出质疑的供应商可以在答复期满后15个工作日内向同级财政部门投诉。</w:t>
      </w:r>
    </w:p>
    <w:p>
      <w:pPr>
        <w:ind w:firstLine="480" w:firstLineChars="200"/>
        <w:rPr>
          <w:rFonts w:ascii="宋体" w:hAnsi="宋体"/>
          <w:b/>
          <w:bCs/>
          <w:color w:val="000000" w:themeColor="text1"/>
          <w:szCs w:val="21"/>
          <w:highlight w:val="none"/>
          <w14:textFill>
            <w14:solidFill>
              <w14:schemeClr w14:val="tx1"/>
            </w14:solidFill>
          </w14:textFill>
        </w:rPr>
      </w:pPr>
      <w:r>
        <w:rPr>
          <w:rFonts w:ascii="宋体" w:hAnsi="宋体" w:hint="eastAsia"/>
          <w:b/>
          <w:bCs/>
          <w:color w:val="000000" w:themeColor="text1"/>
          <w:szCs w:val="21"/>
          <w:highlight w:val="none"/>
          <w14:textFill>
            <w14:solidFill>
              <w14:schemeClr w14:val="tx1"/>
            </w14:solidFill>
          </w14:textFill>
        </w:rPr>
        <w:t xml:space="preserve">53. 质疑后续处理   </w:t>
      </w:r>
    </w:p>
    <w:p>
      <w:pPr>
        <w:ind w:firstLine="480" w:firstLineChars="200"/>
        <w:rPr>
          <w:rFonts w:ascii="宋体" w:hAnsi="宋体"/>
          <w:color w:val="000000" w:themeColor="text1"/>
          <w:szCs w:val="21"/>
          <w:highlight w:val="none"/>
          <w14:textFill>
            <w14:solidFill>
              <w14:schemeClr w14:val="tx1"/>
            </w14:solidFill>
          </w14:textFill>
        </w:rPr>
      </w:pPr>
      <w:r>
        <w:rPr>
          <w:rFonts w:ascii="宋体" w:hAnsi="宋体" w:hint="eastAsia"/>
          <w:color w:val="000000" w:themeColor="text1"/>
          <w:szCs w:val="21"/>
          <w:highlight w:val="none"/>
          <w14:textFill>
            <w14:solidFill>
              <w14:schemeClr w14:val="tx1"/>
            </w14:solidFill>
          </w14:textFill>
        </w:rPr>
        <w:t>53.1供应商质疑不成立，或者成立但未对中标、成交结果构成影响的，继续开展采购活动。</w:t>
      </w:r>
    </w:p>
    <w:p>
      <w:pPr>
        <w:ind w:firstLine="480" w:firstLineChars="200"/>
        <w:rPr>
          <w:rFonts w:ascii="宋体" w:eastAsia="宋体" w:hAnsi="宋体" w:cs="宋体" w:hint="eastAsia"/>
          <w:highlight w:val="none"/>
        </w:rPr>
      </w:pPr>
      <w:r>
        <w:rPr>
          <w:rFonts w:ascii="宋体" w:hAnsi="宋体" w:hint="eastAsia"/>
          <w:color w:val="000000" w:themeColor="text1"/>
          <w:szCs w:val="21"/>
          <w:highlight w:val="none"/>
          <w14:textFill>
            <w14:solidFill>
              <w14:schemeClr w14:val="tx1"/>
            </w14:solidFill>
          </w14:textFill>
        </w:rPr>
        <w:t>53.2供</w:t>
      </w:r>
      <w:r>
        <w:rPr>
          <w:rFonts w:ascii="宋体" w:eastAsia="宋体" w:hAnsi="宋体" w:cs="宋体" w:hint="eastAsia"/>
          <w:highlight w:val="none"/>
        </w:rPr>
        <w:t>应商质疑成立且影响或者可能影响中标、成交结果的，按照下列情况处理：（</w:t>
      </w:r>
      <w:r>
        <w:rPr>
          <w:rFonts w:hint="eastAsia"/>
          <w:highlight w:val="none"/>
        </w:rPr>
        <w:t>1</w:t>
      </w:r>
      <w:r>
        <w:rPr>
          <w:rFonts w:ascii="宋体" w:eastAsia="宋体" w:hAnsi="宋体" w:cs="宋体" w:hint="eastAsia"/>
          <w:highlight w:val="none"/>
        </w:rPr>
        <w:t>）对采购文件提出的质疑，依法通过澄清或者修改可以继续开展采购活动的，澄清或者修改采购文件后继续开展采购活动；否则应当修改采购文件后重新开展采购活动。（</w:t>
      </w:r>
      <w:r>
        <w:rPr>
          <w:rFonts w:hint="eastAsia"/>
          <w:highlight w:val="none"/>
        </w:rPr>
        <w:t>2</w:t>
      </w:r>
      <w:r>
        <w:rPr>
          <w:rFonts w:ascii="宋体" w:eastAsia="宋体" w:hAnsi="宋体" w:cs="宋体" w:hint="eastAsia"/>
          <w:highlight w:val="none"/>
        </w:rPr>
        <w:t>）对采购过程、中标或者成交结果提出的质疑，如果合格供应商符合法定数量，依法从合格的中标或者成交候选人中另行确定中标、成交供应商；如果合格供应商不符合法定数量，应当重新开展采购活动。</w:t>
      </w:r>
    </w:p>
    <w:p>
      <w:pPr>
        <w:ind w:firstLine="480" w:firstLineChars="200"/>
        <w:rPr>
          <w:rFonts w:ascii="宋体" w:eastAsia="宋体" w:hAnsi="宋体" w:hint="eastAsia"/>
          <w:color w:val="FF0000"/>
          <w:szCs w:val="21"/>
          <w:highlight w:val="none"/>
          <w:lang w:val="en-US" w:eastAsia="zh-CN"/>
        </w:rPr>
      </w:pPr>
      <w:r>
        <w:rPr>
          <w:rFonts w:ascii="宋体" w:eastAsia="宋体" w:hAnsi="宋体" w:hint="eastAsia"/>
          <w:color w:val="FF0000"/>
          <w:szCs w:val="21"/>
          <w:highlight w:val="none"/>
          <w:lang w:val="en-US" w:eastAsia="zh-CN"/>
        </w:rPr>
        <w:t>54违约责任</w:t>
      </w:r>
    </w:p>
    <w:p>
      <w:pPr>
        <w:ind w:firstLine="480" w:firstLineChars="200"/>
        <w:rPr>
          <w:rFonts w:ascii="宋体" w:eastAsia="宋体" w:hAnsi="宋体" w:hint="eastAsia"/>
          <w:color w:val="FF0000"/>
          <w:szCs w:val="21"/>
          <w:highlight w:val="none"/>
          <w:lang w:val="en-US" w:eastAsia="zh-CN"/>
        </w:rPr>
      </w:pPr>
      <w:r>
        <w:rPr>
          <w:rFonts w:ascii="宋体" w:eastAsia="宋体" w:hAnsi="宋体" w:hint="eastAsia"/>
          <w:color w:val="FF0000"/>
          <w:szCs w:val="21"/>
          <w:highlight w:val="none"/>
          <w:lang w:val="en-US" w:eastAsia="zh-CN"/>
        </w:rPr>
        <w:t>54.1供应商若在政府采购活动存在下列违法行为，给采购人、采购代理机造成损失的，应当承担赔偿责任。</w:t>
      </w:r>
    </w:p>
    <w:p>
      <w:pPr>
        <w:pStyle w:val="NormalIndent"/>
        <w:rPr>
          <w:rFonts w:hint="default"/>
          <w:color w:val="FF0000"/>
          <w:highlight w:val="none"/>
          <w:lang w:val="en-US" w:eastAsia="zh-CN"/>
        </w:rPr>
      </w:pPr>
      <w:r>
        <w:rPr>
          <w:rFonts w:hint="default"/>
          <w:color w:val="FF0000"/>
          <w:highlight w:val="none"/>
          <w:lang w:val="en-US" w:eastAsia="zh-CN"/>
        </w:rPr>
        <w:t>（</w:t>
      </w:r>
      <w:r>
        <w:rPr>
          <w:rFonts w:hint="eastAsia"/>
          <w:color w:val="FF0000"/>
          <w:highlight w:val="none"/>
          <w:lang w:val="en-US" w:eastAsia="zh-CN"/>
        </w:rPr>
        <w:t>1</w:t>
      </w:r>
      <w:r>
        <w:rPr>
          <w:rFonts w:hint="default"/>
          <w:color w:val="FF0000"/>
          <w:highlight w:val="none"/>
          <w:lang w:val="en-US" w:eastAsia="zh-CN"/>
        </w:rPr>
        <w:t>）</w:t>
      </w:r>
      <w:r>
        <w:rPr>
          <w:rFonts w:hint="eastAsia"/>
          <w:color w:val="FF0000"/>
          <w:highlight w:val="none"/>
          <w:lang w:val="en-US" w:eastAsia="zh-CN"/>
        </w:rPr>
        <w:t>未</w:t>
      </w:r>
      <w:r>
        <w:rPr>
          <w:rFonts w:hint="default"/>
          <w:color w:val="FF0000"/>
          <w:highlight w:val="none"/>
          <w:lang w:val="en-US" w:eastAsia="zh-CN"/>
        </w:rPr>
        <w:t>按照规定签订、履行采购合同</w:t>
      </w:r>
      <w:r>
        <w:rPr>
          <w:rFonts w:hint="eastAsia"/>
          <w:color w:val="FF0000"/>
          <w:highlight w:val="none"/>
          <w:lang w:val="en-US" w:eastAsia="zh-CN"/>
        </w:rPr>
        <w:t>；</w:t>
      </w:r>
    </w:p>
    <w:p>
      <w:pPr>
        <w:pStyle w:val="NormalIndent"/>
        <w:rPr>
          <w:rFonts w:hint="default"/>
          <w:color w:val="FF0000"/>
          <w:highlight w:val="none"/>
          <w:lang w:val="en-US" w:eastAsia="zh-CN"/>
        </w:rPr>
      </w:pPr>
      <w:r>
        <w:rPr>
          <w:rFonts w:hint="eastAsia"/>
          <w:color w:val="FF0000"/>
          <w:highlight w:val="none"/>
          <w:lang w:val="en-US" w:eastAsia="zh-CN"/>
        </w:rPr>
        <w:t>（2）</w:t>
      </w:r>
      <w:r>
        <w:rPr>
          <w:rFonts w:hint="default"/>
          <w:color w:val="FF0000"/>
          <w:highlight w:val="none"/>
          <w:lang w:val="en-US" w:eastAsia="zh-CN"/>
        </w:rPr>
        <w:t>提供虚假材料谋取中标、成交的；</w:t>
      </w:r>
    </w:p>
    <w:p>
      <w:pPr>
        <w:pStyle w:val="NormalIndent"/>
        <w:rPr>
          <w:rFonts w:hint="default"/>
          <w:color w:val="FF0000"/>
          <w:highlight w:val="none"/>
          <w:lang w:val="en-US" w:eastAsia="zh-CN"/>
        </w:rPr>
      </w:pPr>
      <w:r>
        <w:rPr>
          <w:rFonts w:hint="default"/>
          <w:color w:val="FF0000"/>
          <w:highlight w:val="none"/>
          <w:lang w:val="en-US" w:eastAsia="zh-CN"/>
        </w:rPr>
        <w:t>（</w:t>
      </w:r>
      <w:r>
        <w:rPr>
          <w:rFonts w:hint="eastAsia"/>
          <w:color w:val="FF0000"/>
          <w:highlight w:val="none"/>
          <w:lang w:val="en-US" w:eastAsia="zh-CN"/>
        </w:rPr>
        <w:t>3</w:t>
      </w:r>
      <w:r>
        <w:rPr>
          <w:rFonts w:hint="default"/>
          <w:color w:val="FF0000"/>
          <w:highlight w:val="none"/>
          <w:lang w:val="en-US" w:eastAsia="zh-CN"/>
        </w:rPr>
        <w:t>）采取不正当手段诋毁、排挤其他供应商的；</w:t>
      </w:r>
    </w:p>
    <w:p>
      <w:pPr>
        <w:pStyle w:val="NormalIndent"/>
        <w:rPr>
          <w:rFonts w:hint="default"/>
          <w:color w:val="FF0000"/>
          <w:highlight w:val="none"/>
          <w:lang w:val="en-US" w:eastAsia="zh-CN"/>
        </w:rPr>
      </w:pPr>
      <w:r>
        <w:rPr>
          <w:rFonts w:hint="default"/>
          <w:color w:val="FF0000"/>
          <w:highlight w:val="none"/>
          <w:lang w:val="en-US" w:eastAsia="zh-CN"/>
        </w:rPr>
        <w:t>（</w:t>
      </w:r>
      <w:r>
        <w:rPr>
          <w:rFonts w:hint="eastAsia"/>
          <w:color w:val="FF0000"/>
          <w:highlight w:val="none"/>
          <w:lang w:val="en-US" w:eastAsia="zh-CN"/>
        </w:rPr>
        <w:t>4</w:t>
      </w:r>
      <w:r>
        <w:rPr>
          <w:rFonts w:hint="default"/>
          <w:color w:val="FF0000"/>
          <w:highlight w:val="none"/>
          <w:lang w:val="en-US" w:eastAsia="zh-CN"/>
        </w:rPr>
        <w:t>）与其他供应商恶意串通的；</w:t>
      </w:r>
    </w:p>
    <w:p>
      <w:pPr>
        <w:pStyle w:val="NormalIndent"/>
        <w:rPr>
          <w:rFonts w:hint="eastAsia"/>
          <w:color w:val="FF0000"/>
          <w:highlight w:val="none"/>
          <w:lang w:val="en-US" w:eastAsia="zh-CN"/>
        </w:rPr>
      </w:pPr>
      <w:r>
        <w:rPr>
          <w:rFonts w:hint="default"/>
          <w:color w:val="FF0000"/>
          <w:highlight w:val="none"/>
          <w:lang w:val="en-US" w:eastAsia="zh-CN"/>
        </w:rPr>
        <w:t>（</w:t>
      </w:r>
      <w:r>
        <w:rPr>
          <w:rFonts w:hint="eastAsia"/>
          <w:color w:val="FF0000"/>
          <w:highlight w:val="none"/>
          <w:lang w:val="en-US" w:eastAsia="zh-CN"/>
        </w:rPr>
        <w:t>5</w:t>
      </w:r>
      <w:r>
        <w:rPr>
          <w:rFonts w:hint="default"/>
          <w:color w:val="FF0000"/>
          <w:highlight w:val="none"/>
          <w:lang w:val="en-US" w:eastAsia="zh-CN"/>
        </w:rPr>
        <w:t>）拒绝有关部门监督检查或者提供虚假情况的</w:t>
      </w:r>
      <w:r>
        <w:rPr>
          <w:rFonts w:hint="eastAsia"/>
          <w:color w:val="FF0000"/>
          <w:highlight w:val="none"/>
          <w:lang w:val="en-US" w:eastAsia="zh-CN"/>
        </w:rPr>
        <w:t>；</w:t>
      </w:r>
    </w:p>
    <w:p>
      <w:pPr>
        <w:pStyle w:val="NormalIndent"/>
        <w:rPr>
          <w:rFonts w:hint="default"/>
          <w:color w:val="FF0000"/>
          <w:highlight w:val="none"/>
          <w:lang w:val="en-US" w:eastAsia="zh-CN"/>
        </w:rPr>
      </w:pPr>
      <w:r>
        <w:rPr>
          <w:rFonts w:hint="eastAsia"/>
          <w:color w:val="FF0000"/>
          <w:highlight w:val="none"/>
          <w:lang w:val="en-US" w:eastAsia="zh-CN"/>
        </w:rPr>
        <w:t>（6）经主管部门认定的其他违法采购相关法律法规的行为。</w:t>
      </w:r>
    </w:p>
    <w:p>
      <w:pPr>
        <w:ind w:firstLine="480" w:firstLineChars="200"/>
        <w:rPr>
          <w:rFonts w:ascii="宋体" w:eastAsia="宋体" w:hAnsi="宋体" w:hint="eastAsia"/>
          <w:color w:val="FF0000"/>
          <w:szCs w:val="21"/>
          <w:highlight w:val="none"/>
          <w:lang w:val="en-US" w:eastAsia="zh-CN"/>
        </w:rPr>
      </w:pPr>
      <w:r>
        <w:rPr>
          <w:rFonts w:ascii="宋体" w:eastAsia="宋体" w:hAnsi="宋体" w:hint="eastAsia"/>
          <w:color w:val="FF0000"/>
          <w:szCs w:val="21"/>
          <w:highlight w:val="none"/>
          <w:lang w:val="en-US" w:eastAsia="zh-CN"/>
        </w:rPr>
        <w:t>54.2采购人、采购代理机构有权对违法供应商造成的损失进行追偿，可优先在已缴纳的代理服务费中进行抵扣，已缴纳的代理服务费不足以赔偿采购人、采购代理机构损失的，采购人、采购代理机构有权向人民法院提起诉讼。</w:t>
      </w:r>
    </w:p>
    <w:p>
      <w:pPr>
        <w:pStyle w:val="NormalIndent"/>
        <w:rPr>
          <w:highlight w:val="none"/>
        </w:rPr>
      </w:pPr>
    </w:p>
    <w:p>
      <w:pPr>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 END ----</w:t>
      </w:r>
      <w:bookmarkEnd w:id="101"/>
    </w:p>
    <w:p>
      <w:pPr>
        <w:rPr>
          <w:rFonts w:ascii="宋体" w:hAnsi="宋体"/>
          <w:color w:val="000000" w:themeColor="text1"/>
          <w:szCs w:val="21"/>
          <w:highlight w:val="none"/>
          <w14:textFill>
            <w14:solidFill>
              <w14:schemeClr w14:val="tx1"/>
            </w14:solidFill>
          </w14:textFill>
        </w:rPr>
      </w:pPr>
    </w:p>
    <w:p>
      <w:pPr>
        <w:rPr>
          <w:highlight w:val="none"/>
        </w:rPr>
      </w:pPr>
    </w:p>
    <w:p>
      <w:pPr>
        <w:rPr>
          <w:highlight w:val="none"/>
        </w:rPr>
      </w:pPr>
    </w:p>
    <w:sectPr>
      <w:footerReference w:type="default" r:id="rId10"/>
      <w:type w:val="continuous"/>
      <w:pgSz w:w="11906" w:h="16838"/>
      <w:pgMar w:top="1440" w:right="1800" w:bottom="1440" w:left="1800" w:header="720" w:footer="720" w:gutter="0"/>
      <w:pgNumType w:start="1"/>
      <w:cols w:num="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F476511A-908B-4F2E-9923-669F8D507757}"/>
  </w:font>
  <w:font w:name="黑体">
    <w:panose1 w:val="02010609060101010101"/>
    <w:charset w:val="86"/>
    <w:family w:val="auto"/>
    <w:pitch w:val="default"/>
    <w:sig w:usb0="800002BF" w:usb1="38CF7CFA" w:usb2="00000016" w:usb3="00000000" w:csb0="00040001" w:csb1="00000000"/>
    <w:embedRegular r:id="rId2" w:fontKey="{D7C64177-CE4E-4344-A394-543F5309624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隶书">
    <w:altName w:val="微软雅黑"/>
    <w:panose1 w:val="0201050906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华文楷体">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embedRegular r:id="rId3" w:fontKey="{16F52573-303A-41AE-B224-56DF8F07B306}"/>
  </w:font>
  <w:font w:name="仿宋">
    <w:panose1 w:val="02010609060101010101"/>
    <w:charset w:val="86"/>
    <w:family w:val="modern"/>
    <w:pitch w:val="default"/>
    <w:sig w:usb0="800002BF" w:usb1="38CF7CFA" w:usb2="00000016" w:usb3="00000000" w:csb0="00040001" w:csb1="00000000"/>
    <w:embedRegular r:id="rId4" w:fontKey="{46CFAB30-4CF9-4B1D-AC74-C7E6D3EDF5F4}"/>
  </w:font>
  <w:font w:name="Wingdings 2">
    <w:panose1 w:val="05020102010507070707"/>
    <w:charset w:val="02"/>
    <w:family w:val="roman"/>
    <w:pitch w:val="default"/>
    <w:sig w:usb0="00000000" w:usb1="00000000" w:usb2="00000000" w:usb3="00000000" w:csb0="80000000" w:csb1="00000000"/>
    <w:embedRegular r:id="rId5" w:fontKey="{1D23E950-35FF-44AA-8C62-270AB13EA8B9}"/>
  </w:font>
  <w:font w:name="ˎ̥">
    <w:altName w:val="Times New Roman"/>
    <w:panose1 w:val="00000000000000000000"/>
    <w:charset w:val="00"/>
    <w:family w:val="roman"/>
    <w:pitch w:val="default"/>
    <w:sig w:usb0="00000000" w:usb1="00000000" w:usb2="00000000" w:usb3="00000000" w:csb0="00000000" w:csb1="00000000"/>
    <w:embedRegular r:id="rId6" w:fontKey="{EB0A3A84-CB22-43B3-98E8-49475E88B4E8}"/>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w:pict>
        <v:shapetype id="_x0000_t202" coordsize="21600,21600" o:spt="202" path="m,l,21600r21600,l21600,xe">
          <v:stroke joinstyle="miter"/>
          <v:path gradientshapeok="t" o:connecttype="rect"/>
        </v:shapetype>
        <v:shape id="_x0000_s1026" o:spid="_x0000_s2049" type="#_x0000_t202" style="height:2in;margin-left:0;margin-top:0;mso-height-relative:page;mso-position-horizontal:center;mso-position-horizontal-relative:margin;mso-width-relative:page;mso-wrap-style:none;position:absolute;width:2in;z-index:251658240"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55</w:t>
                </w:r>
                <w:r>
                  <w:fldChar w:fldCharType="end"/>
                </w:r>
              </w:p>
            </w:txbxContent>
          </v:textbox>
          <w10:wrap anchorx="margin"/>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4"/>
    <w:multiLevelType w:val="multilevel"/>
    <w:tmpl w:val="00000004"/>
    <w:lvl w:ilvl="0">
      <w:start w:val="1"/>
      <w:numFmt w:val="japaneseCounting"/>
      <w:lvlText w:val="第%1章"/>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200A2FAF"/>
    <w:multiLevelType w:val="singleLevel"/>
    <w:tmpl w:val="200A2FAF"/>
    <w:lvl w:ilvl="0">
      <w:start w:val="5"/>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TrueTypeFonts/>
  <w:saveSubsetFonts/>
  <w:trackRevisions/>
  <w:defaultTabStop w:val="720"/>
  <w:noPunctuationKerning/>
  <w:characterSpacingControl w:val="doNotCompress"/>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A0YzFmMDE1ZTIyYjFjZmVjNzA2YTBiYTRmNDVkYzEifQ=="/>
  </w:docVar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qFormat="1"/>
    <w:lsdException w:name="footnote text" w:semiHidden="0" w:uiPriority="0" w:unhideWhenUsed="0"/>
    <w:lsdException w:name="annotation text" w:semiHidden="0" w:uiPriority="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qFormat="1"/>
    <w:lsdException w:name="Body Text Indent" w:semiHidden="0" w:unhideWhenUsed="0" w:qFormat="1"/>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nhideWhenUsed="0" w:qFormat="1"/>
    <w:lsdException w:name="Body Text 2" w:semiHidden="0" w:uiPriority="0" w:unhideWhenUsed="0" w:qFormat="1"/>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qFormat="1"/>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2"/>
    <w:autoRedefine/>
    <w:qFormat/>
    <w:rPr>
      <w:rFonts w:ascii="Times New Roman" w:eastAsia="Times New Roman" w:hAnsi="Times New Roman" w:cs="Times New Roman"/>
      <w:sz w:val="24"/>
      <w:szCs w:val="24"/>
    </w:rPr>
  </w:style>
  <w:style w:type="paragraph" w:styleId="Heading1">
    <w:name w:val="heading 1"/>
    <w:basedOn w:val="Heading3"/>
    <w:next w:val="Normal"/>
    <w:link w:val="1Char"/>
    <w:autoRedefine/>
    <w:qFormat/>
    <w:pPr>
      <w:spacing w:before="340" w:after="330" w:line="360" w:lineRule="auto"/>
      <w:jc w:val="center"/>
      <w:outlineLvl w:val="0"/>
    </w:pPr>
    <w:rPr>
      <w:rFonts w:eastAsia="黑体"/>
      <w:kern w:val="44"/>
      <w:szCs w:val="44"/>
    </w:rPr>
  </w:style>
  <w:style w:type="paragraph" w:styleId="Heading2">
    <w:name w:val="heading 2"/>
    <w:basedOn w:val="Normal"/>
    <w:next w:val="Normal"/>
    <w:link w:val="2Char"/>
    <w:autoRedefine/>
    <w:qFormat/>
    <w:pPr>
      <w:adjustRightInd w:val="0"/>
      <w:jc w:val="center"/>
      <w:textAlignment w:val="baseline"/>
      <w:outlineLvl w:val="1"/>
    </w:pPr>
    <w:rPr>
      <w:sz w:val="24"/>
      <w:szCs w:val="20"/>
    </w:rPr>
  </w:style>
  <w:style w:type="paragraph" w:styleId="Heading3">
    <w:name w:val="heading 3"/>
    <w:basedOn w:val="Heading4"/>
    <w:next w:val="Normal"/>
    <w:link w:val="3Char1"/>
    <w:autoRedefine/>
    <w:uiPriority w:val="9"/>
    <w:qFormat/>
    <w:pPr>
      <w:spacing w:before="260" w:after="260" w:line="240" w:lineRule="auto"/>
      <w:outlineLvl w:val="2"/>
    </w:pPr>
    <w:rPr>
      <w:rFonts w:ascii="宋体" w:eastAsia="宋体" w:hAnsi="宋体"/>
      <w:szCs w:val="32"/>
    </w:rPr>
  </w:style>
  <w:style w:type="paragraph" w:styleId="Heading4">
    <w:name w:val="heading 4"/>
    <w:basedOn w:val="Normal"/>
    <w:next w:val="Normal"/>
    <w:link w:val="4Char"/>
    <w:autoRedefine/>
    <w:uiPriority w:val="9"/>
    <w:qFormat/>
    <w:pPr>
      <w:keepNext/>
      <w:keepLines/>
      <w:spacing w:before="280" w:after="290" w:line="376" w:lineRule="auto"/>
      <w:outlineLvl w:val="3"/>
    </w:pPr>
    <w:rPr>
      <w:rFonts w:ascii="Arial" w:eastAsia="黑体" w:hAnsi="Arial"/>
      <w:b/>
      <w:bCs/>
      <w:sz w:val="28"/>
      <w:szCs w:val="28"/>
    </w:rPr>
  </w:style>
  <w:style w:type="character" w:default="1" w:styleId="DefaultParagraphFont">
    <w:name w:val="Default Paragraph Font"/>
    <w:autoRedefine/>
    <w:semiHidden/>
    <w:qFormat/>
  </w:style>
  <w:style w:type="table" w:default="1" w:styleId="TableNormal">
    <w:name w:val="Normal Table"/>
    <w:autoRedefine/>
    <w:semiHidden/>
    <w:qFormat/>
    <w:tblPr>
      <w:tblCellMar>
        <w:top w:w="0" w:type="dxa"/>
        <w:left w:w="108" w:type="dxa"/>
        <w:bottom w:w="0" w:type="dxa"/>
        <w:right w:w="108" w:type="dxa"/>
      </w:tblCellMar>
    </w:tblPr>
  </w:style>
  <w:style w:type="paragraph" w:styleId="NormalIndent">
    <w:name w:val="Normal Indent"/>
    <w:basedOn w:val="Normal"/>
    <w:link w:val="Char0"/>
    <w:autoRedefine/>
    <w:qFormat/>
    <w:pPr>
      <w:ind w:firstLine="420"/>
    </w:pPr>
    <w:rPr>
      <w:szCs w:val="20"/>
    </w:rPr>
  </w:style>
  <w:style w:type="paragraph" w:styleId="CommentText">
    <w:name w:val="annotation text"/>
    <w:basedOn w:val="Normal"/>
    <w:link w:val="Char1"/>
    <w:autoRedefine/>
    <w:unhideWhenUsed/>
    <w:qFormat/>
  </w:style>
  <w:style w:type="paragraph" w:styleId="BodyText">
    <w:name w:val="Body Text"/>
    <w:basedOn w:val="Normal"/>
    <w:next w:val="Title"/>
    <w:link w:val="Char2"/>
    <w:autoRedefine/>
    <w:qFormat/>
    <w:pPr>
      <w:spacing w:line="360" w:lineRule="auto"/>
    </w:pPr>
    <w:rPr>
      <w:b/>
      <w:bCs/>
    </w:rPr>
  </w:style>
  <w:style w:type="paragraph" w:styleId="Title">
    <w:name w:val="Title"/>
    <w:basedOn w:val="Normal"/>
    <w:next w:val="Normal"/>
    <w:qFormat/>
    <w:pPr>
      <w:spacing w:before="240" w:after="60"/>
      <w:jc w:val="center"/>
      <w:outlineLvl w:val="0"/>
    </w:pPr>
    <w:rPr>
      <w:rFonts w:ascii="Arial" w:eastAsia="隶书" w:hAnsi="Arial"/>
      <w:b/>
      <w:bCs/>
      <w:sz w:val="32"/>
      <w:szCs w:val="32"/>
    </w:rPr>
  </w:style>
  <w:style w:type="paragraph" w:styleId="BodyTextIndent">
    <w:name w:val="Body Text Indent"/>
    <w:basedOn w:val="Normal"/>
    <w:autoRedefine/>
    <w:uiPriority w:val="99"/>
    <w:qFormat/>
    <w:pPr>
      <w:spacing w:after="120"/>
      <w:ind w:left="420" w:leftChars="200"/>
    </w:pPr>
    <w:rPr>
      <w:rFonts w:ascii="Times New Roman" w:eastAsia="宋体" w:hAnsi="Times New Roman" w:cs="Times New Roman"/>
      <w:sz w:val="21"/>
    </w:rPr>
  </w:style>
  <w:style w:type="paragraph" w:styleId="BalloonText">
    <w:name w:val="Balloon Text"/>
    <w:basedOn w:val="Normal"/>
    <w:autoRedefine/>
    <w:qFormat/>
    <w:rPr>
      <w:sz w:val="18"/>
      <w:szCs w:val="18"/>
    </w:rPr>
  </w:style>
  <w:style w:type="paragraph" w:styleId="Footer">
    <w:name w:val="footer"/>
    <w:basedOn w:val="Normal"/>
    <w:autoRedefine/>
    <w:qFormat/>
    <w:pPr>
      <w:tabs>
        <w:tab w:val="center" w:pos="4153"/>
        <w:tab w:val="right" w:pos="8306"/>
      </w:tabs>
      <w:snapToGrid w:val="0"/>
      <w:jc w:val="left"/>
    </w:pPr>
    <w:rPr>
      <w:sz w:val="18"/>
    </w:rPr>
  </w:style>
  <w:style w:type="paragraph" w:styleId="Header">
    <w:name w:val="header"/>
    <w:basedOn w:val="Normal"/>
    <w:autoRedefine/>
    <w:qFormat/>
    <w:pPr>
      <w:pBdr>
        <w:top w:val="nil"/>
        <w:left w:val="nil"/>
        <w:bottom w:val="nil"/>
        <w:right w:val="nil"/>
      </w:pBdr>
      <w:tabs>
        <w:tab w:val="center" w:pos="4153"/>
        <w:tab w:val="right" w:pos="8306"/>
      </w:tabs>
      <w:snapToGrid w:val="0"/>
      <w:spacing w:line="240" w:lineRule="auto"/>
      <w:jc w:val="both"/>
      <w:outlineLvl w:val="9"/>
    </w:pPr>
    <w:rPr>
      <w:sz w:val="18"/>
    </w:rPr>
  </w:style>
  <w:style w:type="paragraph" w:styleId="BodyText2">
    <w:name w:val="Body Text 2"/>
    <w:basedOn w:val="Normal"/>
    <w:autoRedefine/>
    <w:qFormat/>
    <w:pPr>
      <w:spacing w:line="360" w:lineRule="auto"/>
    </w:pPr>
    <w:rPr>
      <w:sz w:val="24"/>
    </w:rPr>
  </w:style>
  <w:style w:type="paragraph" w:styleId="NormalWeb">
    <w:name w:val="Normal (Web)"/>
    <w:basedOn w:val="Normal"/>
    <w:link w:val="Char"/>
    <w:autoRedefine/>
    <w:uiPriority w:val="99"/>
    <w:qFormat/>
  </w:style>
  <w:style w:type="paragraph" w:styleId="BodyTextFirstIndent2">
    <w:name w:val="Body Text First Indent 2"/>
    <w:basedOn w:val="BodyTextIndent"/>
    <w:autoRedefine/>
    <w:uiPriority w:val="99"/>
    <w:qFormat/>
    <w:pPr>
      <w:ind w:firstLine="420" w:firstLineChars="200"/>
    </w:pPr>
  </w:style>
  <w:style w:type="table" w:styleId="TableGrid">
    <w:name w:val="Table Grid"/>
    <w:basedOn w:val="TableNormal"/>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autoRedefine/>
    <w:qFormat/>
    <w:rPr>
      <w:b/>
    </w:rPr>
  </w:style>
  <w:style w:type="character" w:styleId="Hyperlink">
    <w:name w:val="Hyperlink"/>
    <w:autoRedefine/>
    <w:uiPriority w:val="99"/>
    <w:qFormat/>
    <w:rPr>
      <w:color w:val="0000FF"/>
      <w:u w:val="single"/>
    </w:rPr>
  </w:style>
  <w:style w:type="paragraph" w:customStyle="1" w:styleId="AONormal">
    <w:name w:val="AONormal"/>
    <w:autoRedefine/>
    <w:qFormat/>
    <w:pPr>
      <w:autoSpaceDE w:val="0"/>
      <w:autoSpaceDN w:val="0"/>
      <w:adjustRightInd w:val="0"/>
      <w:spacing w:line="400" w:lineRule="exact"/>
      <w:ind w:firstLine="440" w:firstLineChars="200"/>
    </w:pPr>
    <w:rPr>
      <w:rFonts w:ascii="华文楷体" w:eastAsia="华文楷体" w:hAnsi="华文楷体" w:cs="华文楷体"/>
      <w:sz w:val="22"/>
      <w:szCs w:val="21"/>
      <w:lang w:val="en-US" w:eastAsia="zh-CN" w:bidi="ar-SA"/>
    </w:rPr>
  </w:style>
  <w:style w:type="character" w:customStyle="1" w:styleId="Char">
    <w:name w:val="普通(网站) Char"/>
    <w:link w:val="NormalWeb"/>
    <w:autoRedefine/>
    <w:qFormat/>
    <w:rPr>
      <w:kern w:val="2"/>
      <w:sz w:val="24"/>
      <w:szCs w:val="24"/>
    </w:rPr>
  </w:style>
  <w:style w:type="paragraph" w:customStyle="1" w:styleId="TableParagraph">
    <w:name w:val="Table Paragraph"/>
    <w:basedOn w:val="Normal"/>
    <w:autoRedefine/>
    <w:uiPriority w:val="1"/>
    <w:qFormat/>
    <w:rPr>
      <w:rFonts w:ascii="宋体" w:hAnsi="宋体" w:cs="宋体"/>
      <w:lang w:val="zh-CN" w:bidi="zh-CN"/>
    </w:rPr>
  </w:style>
  <w:style w:type="character" w:customStyle="1" w:styleId="Char0">
    <w:name w:val="正文缩进 Char"/>
    <w:link w:val="NormalIndent"/>
    <w:autoRedefine/>
    <w:qFormat/>
    <w:rPr>
      <w:rFonts w:eastAsia="宋体"/>
      <w:kern w:val="2"/>
      <w:sz w:val="21"/>
      <w:lang w:val="en-US" w:eastAsia="zh-CN" w:bidi="ar-SA"/>
    </w:rPr>
  </w:style>
  <w:style w:type="character" w:customStyle="1" w:styleId="4Char">
    <w:name w:val="标题 4 Char"/>
    <w:link w:val="Heading4"/>
    <w:autoRedefine/>
    <w:uiPriority w:val="9"/>
    <w:qFormat/>
    <w:rPr>
      <w:rFonts w:ascii="Arial" w:eastAsia="黑体" w:hAnsi="Arial"/>
      <w:b/>
      <w:bCs/>
      <w:kern w:val="2"/>
      <w:sz w:val="28"/>
      <w:szCs w:val="28"/>
      <w:lang w:val="en-US" w:eastAsia="zh-CN" w:bidi="ar-SA"/>
    </w:rPr>
  </w:style>
  <w:style w:type="character" w:customStyle="1" w:styleId="3Char1">
    <w:name w:val="标题 3 Char1"/>
    <w:link w:val="Heading3"/>
    <w:autoRedefine/>
    <w:uiPriority w:val="9"/>
    <w:qFormat/>
    <w:rPr>
      <w:rFonts w:ascii="宋体" w:eastAsia="宋体" w:hAnsi="宋体"/>
      <w:b/>
      <w:bCs/>
      <w:kern w:val="2"/>
      <w:sz w:val="28"/>
      <w:szCs w:val="32"/>
      <w:lang w:val="en-US" w:eastAsia="zh-CN" w:bidi="ar-SA"/>
    </w:rPr>
  </w:style>
  <w:style w:type="character" w:customStyle="1" w:styleId="1Char">
    <w:name w:val="标题 1 Char"/>
    <w:link w:val="Heading1"/>
    <w:autoRedefine/>
    <w:qFormat/>
    <w:rPr>
      <w:rFonts w:ascii="宋体" w:eastAsia="黑体" w:hAnsi="宋体"/>
      <w:b/>
      <w:bCs/>
      <w:kern w:val="44"/>
      <w:sz w:val="28"/>
      <w:szCs w:val="44"/>
      <w:lang w:val="en-US" w:eastAsia="zh-CN" w:bidi="ar-SA"/>
    </w:rPr>
  </w:style>
  <w:style w:type="character" w:customStyle="1" w:styleId="2Char">
    <w:name w:val="标题 2 Char"/>
    <w:link w:val="Heading2"/>
    <w:autoRedefine/>
    <w:qFormat/>
    <w:rPr>
      <w:rFonts w:ascii="宋体" w:eastAsia="宋体" w:hAnsi="宋体"/>
      <w:b/>
      <w:bCs/>
      <w:sz w:val="24"/>
      <w:lang w:val="en-US" w:eastAsia="zh-CN" w:bidi="ar-SA"/>
    </w:rPr>
  </w:style>
  <w:style w:type="character" w:customStyle="1" w:styleId="Char1">
    <w:name w:val="批注文字 Char"/>
    <w:basedOn w:val="DefaultParagraphFont"/>
    <w:link w:val="CommentText"/>
    <w:autoRedefine/>
    <w:qFormat/>
    <w:rPr>
      <w:sz w:val="24"/>
      <w:szCs w:val="24"/>
    </w:rPr>
  </w:style>
  <w:style w:type="character" w:customStyle="1" w:styleId="Char2">
    <w:name w:val="正文文本 Char"/>
    <w:link w:val="BodyText"/>
    <w:autoRedefine/>
    <w:qFormat/>
    <w:rPr>
      <w:rFonts w:eastAsia="宋体"/>
      <w:b/>
      <w:bCs/>
      <w:kern w:val="2"/>
      <w:sz w:val="24"/>
      <w:szCs w:val="24"/>
      <w:lang w:val="en-US" w:eastAsia="zh-CN" w:bidi="ar-SA"/>
    </w:rPr>
  </w:style>
  <w:style w:type="character" w:customStyle="1" w:styleId="3Char">
    <w:name w:val="标题 3 Char"/>
    <w:autoRedefine/>
    <w:qFormat/>
    <w:rPr>
      <w:rFonts w:ascii="黑体" w:eastAsia="黑体"/>
      <w:bCs/>
      <w:sz w:val="30"/>
    </w:rPr>
  </w:style>
  <w:style w:type="paragraph" w:customStyle="1" w:styleId="1">
    <w:name w:val="正文1"/>
    <w:basedOn w:val="Normal"/>
    <w:autoRedefine/>
    <w:qFormat/>
    <w:pPr>
      <w:tabs>
        <w:tab w:val="left" w:pos="4"/>
      </w:tabs>
    </w:pPr>
    <w:rPr>
      <w:rFonts w:ascii="宋体" w:hAnsi="宋体"/>
      <w:sz w:val="18"/>
    </w:rPr>
  </w:style>
  <w:style w:type="paragraph" w:customStyle="1" w:styleId="-111">
    <w:name w:val="彩色列表 - 强调文字颜色 111"/>
    <w:basedOn w:val="Normal"/>
    <w:autoRedefine/>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jpeg" /><Relationship Id="rId6" Type="http://schemas.openxmlformats.org/officeDocument/2006/relationships/footer" Target="footer1.xml"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_rels/fontTable.xml.rels>&#65279;<?xml version="1.0" encoding="utf-8" standalone="yes"?><Relationships xmlns="http://schemas.openxmlformats.org/package/2006/relationships"><Relationship Id="rId1" Type="http://schemas.openxmlformats.org/officeDocument/2006/relationships/font" Target="fonts/font1.odttf" /><Relationship Id="rId2" Type="http://schemas.openxmlformats.org/officeDocument/2006/relationships/font" Target="fonts/font2.odttf" /><Relationship Id="rId3" Type="http://schemas.openxmlformats.org/officeDocument/2006/relationships/font" Target="fonts/font3.odttf" /><Relationship Id="rId4" Type="http://schemas.openxmlformats.org/officeDocument/2006/relationships/font" Target="fonts/font4.odttf" /><Relationship Id="rId5" Type="http://schemas.openxmlformats.org/officeDocument/2006/relationships/font" Target="fonts/font5.odttf" /><Relationship Id="rId6" Type="http://schemas.openxmlformats.org/officeDocument/2006/relationships/font" Target="fonts/font6.odttf"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TotalTime>20</TotalTime>
  <Pages>56</Pages>
  <Words>1117</Words>
  <Characters>1167</Characters>
  <Application>Microsoft Office Word</Application>
  <DocSecurity>0</DocSecurity>
  <Lines>1</Lines>
  <Paragraphs>1</Paragraphs>
  <ScaleCrop>false</ScaleCrop>
  <Company/>
  <LinksUpToDate>false</LinksUpToDate>
  <CharactersWithSpaces>1183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lenovo01</dc:creator>
  <cp:lastModifiedBy>WPS_1507534121</cp:lastModifiedBy>
  <cp:revision>1</cp:revision>
  <dcterms:created xsi:type="dcterms:W3CDTF">2022-05-20T08:55:00Z</dcterms:created>
  <dcterms:modified xsi:type="dcterms:W3CDTF">2025-04-08T06:42:19Z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4CD6FD28C5794295A66CCEB56FDBF15D_13</vt:lpwstr>
  </property>
  <property fmtid="{D5CDD505-2E9C-101B-9397-08002B2CF9AE}" pid="3" name="KSOProductBuildVer">
    <vt:lpwstr>2052-12.1.0.20784</vt:lpwstr>
  </property>
  <property fmtid="{D5CDD505-2E9C-101B-9397-08002B2CF9AE}" pid="4" name="KSOTemplateDocerSaveRecord">
    <vt:lpwstr>eyJoZGlkIjoiMzE1NWMxNzQ4ZDZkNzU2YTFkZjhkZWM0NDZiNmVkODEiLCJ1c2VySWQiOiIzMTA4MTU5MzIifQ==</vt:lpwstr>
  </property>
</Properties>
</file>