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5BD01">
      <w:pPr>
        <w:jc w:val="right"/>
        <w:rPr>
          <w:rFonts w:ascii="黑体" w:hAnsi="Arial" w:eastAsia="黑体" w:cs="Arial"/>
          <w:sz w:val="52"/>
          <w:szCs w:val="52"/>
        </w:rPr>
      </w:pPr>
      <w:r>
        <w:rPr>
          <w:rFonts w:hint="eastAsia" w:ascii="宋体" w:hAnsi="宋体"/>
          <w:b/>
          <w:spacing w:val="20"/>
          <w:sz w:val="28"/>
        </w:rPr>
        <w:t>项目编号：</w:t>
      </w:r>
      <w:r>
        <w:rPr>
          <w:rFonts w:hint="eastAsia" w:ascii="宋体" w:hAnsi="宋体"/>
          <w:b/>
          <w:spacing w:val="20"/>
          <w:sz w:val="28"/>
          <w:lang w:eastAsia="zh-CN"/>
        </w:rPr>
        <w:t>GMDL2025000017</w:t>
      </w:r>
      <w:r>
        <w:rPr>
          <w:rFonts w:hint="eastAsia" w:ascii="宋体" w:hAnsi="宋体"/>
          <w:b/>
          <w:spacing w:val="20"/>
          <w:sz w:val="28"/>
        </w:rPr>
        <w:t xml:space="preserve"> </w:t>
      </w:r>
    </w:p>
    <w:p w14:paraId="01C24961">
      <w:pPr>
        <w:pStyle w:val="2"/>
      </w:pPr>
    </w:p>
    <w:p w14:paraId="10D6D24E">
      <w:pPr>
        <w:jc w:val="center"/>
        <w:rPr>
          <w:rFonts w:ascii="黑体" w:hAnsi="Arial" w:eastAsia="黑体" w:cs="Arial"/>
          <w:sz w:val="52"/>
          <w:szCs w:val="52"/>
        </w:rPr>
      </w:pPr>
    </w:p>
    <w:p w14:paraId="1F45C6F5">
      <w:pPr>
        <w:pStyle w:val="2"/>
      </w:pPr>
    </w:p>
    <w:p w14:paraId="38AEBDA2">
      <w:pPr>
        <w:pStyle w:val="13"/>
      </w:pPr>
    </w:p>
    <w:p w14:paraId="32AD0EB1">
      <w:pPr>
        <w:pStyle w:val="13"/>
      </w:pPr>
    </w:p>
    <w:p w14:paraId="18583503">
      <w:pPr>
        <w:jc w:val="center"/>
        <w:rPr>
          <w:rFonts w:ascii="黑体" w:hAnsi="Arial" w:eastAsia="黑体" w:cs="Arial"/>
          <w:sz w:val="52"/>
          <w:szCs w:val="52"/>
        </w:rPr>
      </w:pPr>
      <w:r>
        <w:rPr>
          <w:rFonts w:hint="eastAsia" w:ascii="黑体" w:hAnsi="Arial" w:eastAsia="黑体" w:cs="Arial"/>
          <w:sz w:val="52"/>
          <w:szCs w:val="52"/>
        </w:rPr>
        <w:t>【服务类】</w:t>
      </w:r>
    </w:p>
    <w:p w14:paraId="492B7C78">
      <w:pPr>
        <w:jc w:val="center"/>
        <w:rPr>
          <w:rFonts w:hint="eastAsia" w:ascii="黑体" w:eastAsia="黑体"/>
          <w:sz w:val="52"/>
          <w:szCs w:val="52"/>
          <w:lang w:eastAsia="zh-CN"/>
        </w:rPr>
      </w:pPr>
      <w:r>
        <w:rPr>
          <w:rFonts w:hint="eastAsia" w:ascii="黑体" w:eastAsia="黑体"/>
          <w:sz w:val="52"/>
          <w:szCs w:val="52"/>
          <w:lang w:eastAsia="zh-CN"/>
        </w:rPr>
        <w:t>深圳公安局光明分局下属单位食堂食材配送服务项目</w:t>
      </w:r>
    </w:p>
    <w:p w14:paraId="65EA67A7"/>
    <w:p w14:paraId="5C22498C"/>
    <w:p w14:paraId="2BBA0778"/>
    <w:p w14:paraId="5F937A2D"/>
    <w:p w14:paraId="60BDFB82">
      <w:pPr>
        <w:keepNext w:val="0"/>
        <w:keepLines w:val="0"/>
        <w:pageBreakBefore w:val="0"/>
        <w:widowControl w:val="0"/>
        <w:kinsoku/>
        <w:wordWrap/>
        <w:overflowPunct/>
        <w:topLinePunct w:val="0"/>
        <w:autoSpaceDE/>
        <w:autoSpaceDN/>
        <w:bidi w:val="0"/>
        <w:adjustRightInd/>
        <w:snapToGrid/>
        <w:spacing w:after="126" w:afterLines="40"/>
        <w:jc w:val="center"/>
        <w:textAlignment w:val="auto"/>
        <w:rPr>
          <w:rFonts w:hint="eastAsia" w:ascii="黑体" w:eastAsia="黑体"/>
          <w:color w:val="000000" w:themeColor="text1"/>
          <w:sz w:val="72"/>
          <w:szCs w:val="52"/>
          <w14:textFill>
            <w14:solidFill>
              <w14:schemeClr w14:val="tx1"/>
            </w14:solidFill>
          </w14:textFill>
        </w:rPr>
      </w:pPr>
      <w:r>
        <w:rPr>
          <w:rFonts w:hint="eastAsia" w:ascii="黑体" w:eastAsia="黑体"/>
          <w:color w:val="000000" w:themeColor="text1"/>
          <w:sz w:val="72"/>
          <w:szCs w:val="52"/>
          <w14:textFill>
            <w14:solidFill>
              <w14:schemeClr w14:val="tx1"/>
            </w14:solidFill>
          </w14:textFill>
        </w:rPr>
        <w:t>招 标 文 件</w:t>
      </w:r>
    </w:p>
    <w:p w14:paraId="344069A0">
      <w:pPr>
        <w:pStyle w:val="13"/>
        <w:rPr>
          <w:rFonts w:hint="eastAsia"/>
        </w:rPr>
      </w:pPr>
    </w:p>
    <w:p w14:paraId="5EE4B4ED">
      <w:pPr>
        <w:pStyle w:val="2"/>
        <w:rPr>
          <w:rFonts w:hint="eastAsia"/>
          <w:lang w:eastAsia="zh-CN"/>
        </w:rPr>
      </w:pPr>
    </w:p>
    <w:p w14:paraId="51429CCE">
      <w:pPr>
        <w:pStyle w:val="13"/>
        <w:rPr>
          <w:rFonts w:hint="eastAsia"/>
          <w:lang w:eastAsia="zh-CN"/>
        </w:rPr>
      </w:pPr>
    </w:p>
    <w:p w14:paraId="6104585A">
      <w:pPr>
        <w:pStyle w:val="13"/>
        <w:rPr>
          <w:rFonts w:hint="eastAsia"/>
          <w:lang w:eastAsia="zh-CN"/>
        </w:rPr>
      </w:pPr>
    </w:p>
    <w:p w14:paraId="29257FF7">
      <w:pPr>
        <w:pStyle w:val="13"/>
        <w:rPr>
          <w:rFonts w:hint="eastAsia"/>
          <w:lang w:eastAsia="zh-CN"/>
        </w:rPr>
      </w:pPr>
    </w:p>
    <w:p w14:paraId="08F68861">
      <w:pPr>
        <w:pStyle w:val="13"/>
        <w:rPr>
          <w:rFonts w:hint="eastAsia"/>
          <w:lang w:eastAsia="zh-CN"/>
        </w:rPr>
      </w:pPr>
    </w:p>
    <w:p w14:paraId="4FFC204E">
      <w:pPr>
        <w:pStyle w:val="1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lang w:eastAsia="zh-CN"/>
        </w:rPr>
      </w:pPr>
      <w:r>
        <w:rPr>
          <w:rFonts w:hint="eastAsia" w:ascii="Arial" w:hAnsi="Arial" w:eastAsia="仿宋_GB2312" w:cs="Arial"/>
          <w:sz w:val="44"/>
          <w:lang w:eastAsia="zh-CN"/>
        </w:rPr>
        <w:drawing>
          <wp:inline distT="0" distB="0" distL="114300" distR="114300">
            <wp:extent cx="1210945" cy="1210945"/>
            <wp:effectExtent l="0" t="0" r="8255" b="8255"/>
            <wp:docPr id="3" name="图片 3" descr="b6bbc1c3021ac190a7f1ff08bab7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bbc1c3021ac190a7f1ff08bab79ef"/>
                    <pic:cNvPicPr>
                      <a:picLocks noChangeAspect="1"/>
                    </pic:cNvPicPr>
                  </pic:nvPicPr>
                  <pic:blipFill>
                    <a:blip r:embed="rId6"/>
                    <a:stretch>
                      <a:fillRect/>
                    </a:stretch>
                  </pic:blipFill>
                  <pic:spPr>
                    <a:xfrm>
                      <a:off x="0" y="0"/>
                      <a:ext cx="1210945" cy="1210945"/>
                    </a:xfrm>
                    <a:prstGeom prst="rect">
                      <a:avLst/>
                    </a:prstGeom>
                  </pic:spPr>
                </pic:pic>
              </a:graphicData>
            </a:graphic>
          </wp:inline>
        </w:drawing>
      </w:r>
    </w:p>
    <w:p w14:paraId="0C7D74B1">
      <w:pPr>
        <w:pStyle w:val="13"/>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lang w:eastAsia="zh-CN"/>
        </w:rPr>
      </w:pPr>
    </w:p>
    <w:p w14:paraId="3E70DEAB">
      <w:pPr>
        <w:pStyle w:val="13"/>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lang w:eastAsia="zh-CN"/>
        </w:rPr>
      </w:pPr>
    </w:p>
    <w:p w14:paraId="4FA7678A">
      <w:pPr>
        <w:snapToGrid w:val="0"/>
        <w:jc w:val="center"/>
        <w:rPr>
          <w:rFonts w:ascii="仿宋_GB2312" w:hAnsi="宋体" w:eastAsia="仿宋_GB2312" w:cs="Arial"/>
          <w:b/>
          <w:bCs/>
          <w:sz w:val="36"/>
          <w:szCs w:val="36"/>
        </w:rPr>
      </w:pPr>
      <w:r>
        <w:rPr>
          <w:rFonts w:hint="eastAsia" w:ascii="仿宋_GB2312" w:hAnsi="宋体" w:eastAsia="仿宋_GB2312" w:cs="Arial"/>
          <w:b/>
          <w:bCs/>
          <w:sz w:val="36"/>
          <w:szCs w:val="36"/>
        </w:rPr>
        <w:t>友和保险经纪有限公司</w:t>
      </w:r>
    </w:p>
    <w:p w14:paraId="227769A9">
      <w:pPr>
        <w:snapToGrid w:val="0"/>
        <w:jc w:val="center"/>
        <w:rPr>
          <w:rFonts w:ascii="仿宋_GB2312" w:hAnsi="宋体" w:eastAsia="仿宋_GB2312" w:cs="Arial"/>
          <w:b/>
          <w:bCs/>
          <w:sz w:val="21"/>
          <w:szCs w:val="21"/>
        </w:rPr>
      </w:pPr>
    </w:p>
    <w:p w14:paraId="0FA117E7">
      <w:pPr>
        <w:jc w:val="center"/>
      </w:pPr>
      <w:r>
        <w:rPr>
          <w:rFonts w:hint="eastAsia" w:ascii="仿宋_GB2312" w:hAnsi="Arial" w:eastAsia="仿宋_GB2312" w:cs="Arial"/>
          <w:b/>
          <w:bCs/>
          <w:sz w:val="36"/>
          <w:szCs w:val="36"/>
        </w:rPr>
        <w:t>二</w:t>
      </w:r>
      <w:r>
        <w:rPr>
          <w:rFonts w:hint="eastAsia" w:ascii="仿宋_GB2312" w:hAnsi="宋体" w:cs="宋体"/>
          <w:b/>
          <w:bCs/>
          <w:sz w:val="36"/>
          <w:szCs w:val="36"/>
        </w:rPr>
        <w:t>〇</w:t>
      </w:r>
      <w:r>
        <w:rPr>
          <w:rFonts w:hint="eastAsia" w:ascii="仿宋_GB2312" w:hAnsi="Arial" w:eastAsia="仿宋_GB2312" w:cs="Arial"/>
          <w:b/>
          <w:bCs/>
          <w:sz w:val="36"/>
          <w:szCs w:val="36"/>
        </w:rPr>
        <w:t>二</w:t>
      </w:r>
      <w:r>
        <w:rPr>
          <w:rFonts w:hint="eastAsia" w:ascii="仿宋_GB2312" w:hAnsi="Arial" w:eastAsia="仿宋_GB2312" w:cs="Arial"/>
          <w:b/>
          <w:bCs/>
          <w:sz w:val="36"/>
          <w:szCs w:val="36"/>
          <w:lang w:val="en-US" w:eastAsia="zh-CN"/>
        </w:rPr>
        <w:t>五</w:t>
      </w:r>
      <w:r>
        <w:rPr>
          <w:rFonts w:hint="eastAsia" w:ascii="仿宋_GB2312" w:hAnsi="Arial" w:eastAsia="仿宋_GB2312" w:cs="Arial"/>
          <w:b/>
          <w:bCs/>
          <w:sz w:val="36"/>
          <w:szCs w:val="36"/>
        </w:rPr>
        <w:t>年</w:t>
      </w:r>
      <w:r>
        <w:rPr>
          <w:rFonts w:hint="eastAsia" w:ascii="仿宋_GB2312" w:hAnsi="宋体" w:eastAsia="仿宋_GB2312" w:cs="宋体"/>
          <w:b/>
          <w:bCs/>
          <w:sz w:val="36"/>
          <w:szCs w:val="36"/>
          <w:lang w:val="en-US" w:eastAsia="zh-CN"/>
        </w:rPr>
        <w:t>三</w:t>
      </w:r>
      <w:r>
        <w:rPr>
          <w:rFonts w:hint="eastAsia" w:ascii="仿宋_GB2312" w:hAnsi="Arial" w:eastAsia="仿宋_GB2312" w:cs="Arial"/>
          <w:b/>
          <w:bCs/>
          <w:sz w:val="36"/>
          <w:szCs w:val="36"/>
        </w:rPr>
        <w:t>月</w:t>
      </w:r>
    </w:p>
    <w:p w14:paraId="03082E4E">
      <w:pPr>
        <w:spacing w:beforeAutospacing="1" w:afterAutospacing="1"/>
        <w:jc w:val="center"/>
        <w:outlineLvl w:val="1"/>
        <w:rPr>
          <w:rFonts w:hint="eastAsia"/>
          <w:b/>
          <w:bCs/>
          <w:color w:val="000000" w:themeColor="text1"/>
          <w:sz w:val="40"/>
          <w:szCs w:val="40"/>
          <w14:textFill>
            <w14:solidFill>
              <w14:schemeClr w14:val="tx1"/>
            </w14:solidFill>
          </w14:textFill>
        </w:rPr>
        <w:sectPr>
          <w:type w:val="continuous"/>
          <w:pgSz w:w="11906" w:h="16838"/>
          <w:pgMar w:top="1440" w:right="1800" w:bottom="1440" w:left="1800" w:header="720" w:footer="720" w:gutter="0"/>
          <w:pgNumType w:fmt="decimal"/>
          <w:cols w:space="720" w:num="1"/>
        </w:sectPr>
      </w:pPr>
    </w:p>
    <w:p w14:paraId="2E40D64F">
      <w:pPr>
        <w:pStyle w:val="2"/>
        <w:rPr>
          <w:rFonts w:hint="eastAsia"/>
        </w:rPr>
      </w:pPr>
    </w:p>
    <w:p w14:paraId="22C7ED53">
      <w:pPr>
        <w:spacing w:beforeAutospacing="1" w:afterAutospacing="1"/>
        <w:jc w:val="center"/>
        <w:outlineLvl w:val="1"/>
        <w:rPr>
          <w:rFonts w:hint="eastAsia"/>
          <w:b/>
          <w:bCs/>
          <w:color w:val="000000" w:themeColor="text1"/>
          <w:sz w:val="40"/>
          <w:szCs w:val="40"/>
          <w14:textFill>
            <w14:solidFill>
              <w14:schemeClr w14:val="tx1"/>
            </w14:solidFill>
          </w14:textFill>
        </w:rPr>
        <w:sectPr>
          <w:footerReference r:id="rId3" w:type="default"/>
          <w:pgSz w:w="11906" w:h="16838"/>
          <w:pgMar w:top="1440" w:right="1800" w:bottom="1440" w:left="1800" w:header="720" w:footer="720" w:gutter="0"/>
          <w:pgNumType w:fmt="decimal" w:start="1"/>
          <w:cols w:space="720" w:num="1"/>
        </w:sectPr>
      </w:pPr>
    </w:p>
    <w:p w14:paraId="72473A05">
      <w:pPr>
        <w:spacing w:beforeAutospacing="1" w:afterAutospacing="1"/>
        <w:jc w:val="center"/>
        <w:outlineLvl w:val="1"/>
        <w:rPr>
          <w:rFonts w:ascii="黑体" w:hAnsi="宋体" w:eastAsia="黑体" w:cs="黑体"/>
          <w:color w:val="000000" w:themeColor="text1"/>
          <w:sz w:val="40"/>
          <w:szCs w:val="40"/>
          <w14:textFill>
            <w14:solidFill>
              <w14:schemeClr w14:val="tx1"/>
            </w14:solidFill>
          </w14:textFill>
        </w:rPr>
      </w:pPr>
      <w:r>
        <w:rPr>
          <w:rFonts w:hint="eastAsia"/>
          <w:b/>
          <w:bCs/>
          <w:color w:val="000000" w:themeColor="text1"/>
          <w:sz w:val="40"/>
          <w:szCs w:val="40"/>
          <w14:textFill>
            <w14:solidFill>
              <w14:schemeClr w14:val="tx1"/>
            </w14:solidFill>
          </w14:textFill>
        </w:rPr>
        <w:t>招</w:t>
      </w:r>
      <w:r>
        <w:rPr>
          <w:rFonts w:hint="eastAsia" w:ascii="黑体" w:hAnsi="宋体" w:eastAsia="黑体" w:cs="黑体"/>
          <w:color w:val="000000" w:themeColor="text1"/>
          <w:sz w:val="40"/>
          <w:szCs w:val="40"/>
          <w14:textFill>
            <w14:solidFill>
              <w14:schemeClr w14:val="tx1"/>
            </w14:solidFill>
          </w14:textFill>
        </w:rPr>
        <w:t>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0FCE1B7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8A4BDCE">
            <w:pPr>
              <w:keepNext w:val="0"/>
              <w:keepLines w:val="0"/>
              <w:widowControl/>
              <w:suppressLineNumbers w:val="0"/>
              <w:spacing w:before="0" w:beforeAutospacing="0" w:after="0" w:afterAutospacing="0"/>
              <w:ind w:left="0" w:right="0"/>
              <w:jc w:val="right"/>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项目编号：</w:t>
            </w:r>
          </w:p>
        </w:tc>
        <w:tc>
          <w:tcPr>
            <w:tcW w:w="5220" w:type="dxa"/>
            <w:shd w:val="clear" w:color="auto" w:fill="auto"/>
            <w:vAlign w:val="center"/>
          </w:tcPr>
          <w:p w14:paraId="3EC73C50">
            <w:pPr>
              <w:keepNext w:val="0"/>
              <w:keepLines w:val="0"/>
              <w:widowControl/>
              <w:suppressLineNumbers w:val="0"/>
              <w:spacing w:before="0" w:beforeAutospacing="0" w:after="0" w:afterAutospacing="0"/>
              <w:ind w:left="0" w:right="0"/>
              <w:rPr>
                <w:rFonts w:hint="eastAsia" w:eastAsia="宋体"/>
                <w:color w:val="000000" w:themeColor="text1"/>
                <w:sz w:val="30"/>
                <w:szCs w:val="30"/>
                <w:lang w:eastAsia="zh-CN"/>
                <w14:textFill>
                  <w14:solidFill>
                    <w14:schemeClr w14:val="tx1"/>
                  </w14:solidFill>
                </w14:textFill>
              </w:rPr>
            </w:pPr>
            <w:r>
              <w:rPr>
                <w:rFonts w:hint="eastAsia" w:eastAsia="宋体"/>
                <w:color w:val="000000" w:themeColor="text1"/>
                <w:sz w:val="30"/>
                <w:szCs w:val="30"/>
                <w:lang w:eastAsia="zh-CN"/>
                <w14:textFill>
                  <w14:solidFill>
                    <w14:schemeClr w14:val="tx1"/>
                  </w14:solidFill>
                </w14:textFill>
              </w:rPr>
              <w:t>GMDL2025000017</w:t>
            </w:r>
          </w:p>
        </w:tc>
      </w:tr>
      <w:tr w14:paraId="1D34998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5770E93">
            <w:pPr>
              <w:keepNext w:val="0"/>
              <w:keepLines w:val="0"/>
              <w:widowControl/>
              <w:suppressLineNumbers w:val="0"/>
              <w:spacing w:before="0" w:beforeAutospacing="0" w:after="0" w:afterAutospacing="0"/>
              <w:ind w:left="0" w:right="0"/>
              <w:jc w:val="right"/>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项目名称：</w:t>
            </w:r>
          </w:p>
        </w:tc>
        <w:tc>
          <w:tcPr>
            <w:tcW w:w="5220" w:type="dxa"/>
            <w:shd w:val="clear" w:color="auto" w:fill="auto"/>
            <w:vAlign w:val="center"/>
          </w:tcPr>
          <w:p w14:paraId="53EB9419">
            <w:pPr>
              <w:keepNext w:val="0"/>
              <w:keepLines w:val="0"/>
              <w:widowControl/>
              <w:suppressLineNumbers w:val="0"/>
              <w:spacing w:before="0" w:beforeAutospacing="0" w:after="0" w:afterAutospacing="0"/>
              <w:ind w:left="0" w:right="0"/>
              <w:rPr>
                <w:rFonts w:hint="eastAsia" w:eastAsiaTheme="minorEastAsia"/>
                <w:color w:val="000000" w:themeColor="text1"/>
                <w:sz w:val="30"/>
                <w:szCs w:val="30"/>
                <w:lang w:eastAsia="zh-CN"/>
                <w14:textFill>
                  <w14:solidFill>
                    <w14:schemeClr w14:val="tx1"/>
                  </w14:solidFill>
                </w14:textFill>
              </w:rPr>
            </w:pPr>
            <w:r>
              <w:rPr>
                <w:rFonts w:hint="eastAsia" w:eastAsiaTheme="minorEastAsia"/>
                <w:color w:val="000000" w:themeColor="text1"/>
                <w:sz w:val="30"/>
                <w:szCs w:val="30"/>
                <w:lang w:eastAsia="zh-CN"/>
                <w14:textFill>
                  <w14:solidFill>
                    <w14:schemeClr w14:val="tx1"/>
                  </w14:solidFill>
                </w14:textFill>
              </w:rPr>
              <w:t>深圳公安局光明分局下属单位食堂食材配送服务项目</w:t>
            </w:r>
          </w:p>
        </w:tc>
      </w:tr>
      <w:tr w14:paraId="2DFF5CF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4B1BCE">
            <w:pPr>
              <w:keepNext w:val="0"/>
              <w:keepLines w:val="0"/>
              <w:widowControl/>
              <w:suppressLineNumbers w:val="0"/>
              <w:spacing w:before="0" w:beforeAutospacing="0" w:after="0" w:afterAutospacing="0"/>
              <w:ind w:left="0" w:right="0"/>
              <w:jc w:val="right"/>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 xml:space="preserve">包 </w:t>
            </w:r>
            <w:r>
              <w:rPr>
                <w:rFonts w:hint="eastAsia" w:ascii="宋体" w:hAnsi="宋体" w:cs="宋体"/>
                <w:color w:val="000000" w:themeColor="text1"/>
                <w:sz w:val="30"/>
                <w:szCs w:val="30"/>
                <w14:textFill>
                  <w14:solidFill>
                    <w14:schemeClr w14:val="tx1"/>
                  </w14:solidFill>
                </w14:textFill>
              </w:rPr>
              <w:t xml:space="preserve">  </w:t>
            </w:r>
            <w:r>
              <w:rPr>
                <w:rFonts w:hint="default" w:ascii="宋体" w:hAnsi="宋体" w:cs="宋体"/>
                <w:color w:val="000000" w:themeColor="text1"/>
                <w:sz w:val="30"/>
                <w:szCs w:val="30"/>
                <w14:textFill>
                  <w14:solidFill>
                    <w14:schemeClr w14:val="tx1"/>
                  </w14:solidFill>
                </w14:textFill>
              </w:rPr>
              <w:t>号：</w:t>
            </w:r>
          </w:p>
        </w:tc>
        <w:tc>
          <w:tcPr>
            <w:tcW w:w="5220" w:type="dxa"/>
            <w:shd w:val="clear" w:color="auto" w:fill="auto"/>
            <w:vAlign w:val="center"/>
          </w:tcPr>
          <w:p w14:paraId="75E1DF2D">
            <w:pPr>
              <w:keepNext w:val="0"/>
              <w:keepLines w:val="0"/>
              <w:widowControl/>
              <w:suppressLineNumbers w:val="0"/>
              <w:spacing w:before="0" w:beforeAutospacing="0" w:after="0" w:afterAutospacing="0"/>
              <w:ind w:left="0" w:right="0"/>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A</w:t>
            </w:r>
          </w:p>
        </w:tc>
      </w:tr>
      <w:tr w14:paraId="786C816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5DD4609">
            <w:pPr>
              <w:keepNext w:val="0"/>
              <w:keepLines w:val="0"/>
              <w:widowControl/>
              <w:suppressLineNumbers w:val="0"/>
              <w:spacing w:before="0" w:beforeAutospacing="0" w:after="0" w:afterAutospacing="0"/>
              <w:ind w:left="0" w:right="0"/>
              <w:jc w:val="right"/>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项目类型：</w:t>
            </w:r>
          </w:p>
        </w:tc>
        <w:tc>
          <w:tcPr>
            <w:tcW w:w="5220" w:type="dxa"/>
            <w:shd w:val="clear" w:color="auto" w:fill="auto"/>
            <w:vAlign w:val="center"/>
          </w:tcPr>
          <w:p w14:paraId="06D2A302">
            <w:pPr>
              <w:keepNext w:val="0"/>
              <w:keepLines w:val="0"/>
              <w:widowControl/>
              <w:suppressLineNumbers w:val="0"/>
              <w:spacing w:before="0" w:beforeAutospacing="0" w:after="0" w:afterAutospacing="0"/>
              <w:ind w:left="0" w:right="0"/>
              <w:rPr>
                <w:rFonts w:hint="default"/>
                <w:color w:val="000000" w:themeColor="text1"/>
                <w:sz w:val="30"/>
                <w:szCs w:val="30"/>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t>服务</w:t>
            </w:r>
            <w:r>
              <w:rPr>
                <w:rFonts w:hint="default" w:ascii="宋体" w:hAnsi="宋体" w:cs="宋体"/>
                <w:color w:val="000000" w:themeColor="text1"/>
                <w:sz w:val="30"/>
                <w:szCs w:val="30"/>
                <w14:textFill>
                  <w14:solidFill>
                    <w14:schemeClr w14:val="tx1"/>
                  </w14:solidFill>
                </w14:textFill>
              </w:rPr>
              <w:t>类</w:t>
            </w:r>
          </w:p>
        </w:tc>
      </w:tr>
      <w:tr w14:paraId="269B7DB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35C4B93">
            <w:pPr>
              <w:keepNext w:val="0"/>
              <w:keepLines w:val="0"/>
              <w:widowControl/>
              <w:suppressLineNumbers w:val="0"/>
              <w:spacing w:before="0" w:beforeAutospacing="0" w:after="0" w:afterAutospacing="0"/>
              <w:ind w:left="0" w:right="0"/>
              <w:jc w:val="right"/>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采购方式：</w:t>
            </w:r>
          </w:p>
        </w:tc>
        <w:tc>
          <w:tcPr>
            <w:tcW w:w="5220" w:type="dxa"/>
            <w:shd w:val="clear" w:color="auto" w:fill="auto"/>
            <w:vAlign w:val="center"/>
          </w:tcPr>
          <w:p w14:paraId="68FEF643">
            <w:pPr>
              <w:keepNext w:val="0"/>
              <w:keepLines w:val="0"/>
              <w:widowControl/>
              <w:suppressLineNumbers w:val="0"/>
              <w:spacing w:before="0" w:beforeAutospacing="0" w:after="0" w:afterAutospacing="0"/>
              <w:ind w:left="0" w:right="0"/>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公开招标</w:t>
            </w:r>
          </w:p>
        </w:tc>
      </w:tr>
      <w:tr w14:paraId="576D5354">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2907185">
            <w:pPr>
              <w:keepNext w:val="0"/>
              <w:keepLines w:val="0"/>
              <w:widowControl/>
              <w:suppressLineNumbers w:val="0"/>
              <w:spacing w:before="0" w:beforeAutospacing="0" w:after="0" w:afterAutospacing="0"/>
              <w:ind w:left="0" w:right="0"/>
              <w:jc w:val="right"/>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货币类型：</w:t>
            </w:r>
          </w:p>
        </w:tc>
        <w:tc>
          <w:tcPr>
            <w:tcW w:w="5220" w:type="dxa"/>
            <w:shd w:val="clear" w:color="auto" w:fill="auto"/>
            <w:vAlign w:val="center"/>
          </w:tcPr>
          <w:p w14:paraId="2FF8631C">
            <w:pPr>
              <w:keepNext w:val="0"/>
              <w:keepLines w:val="0"/>
              <w:widowControl/>
              <w:suppressLineNumbers w:val="0"/>
              <w:spacing w:before="0" w:beforeAutospacing="0" w:after="0" w:afterAutospacing="0"/>
              <w:ind w:left="0" w:right="0"/>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人民币</w:t>
            </w:r>
          </w:p>
        </w:tc>
      </w:tr>
      <w:tr w14:paraId="25C0488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687B495">
            <w:pPr>
              <w:keepNext w:val="0"/>
              <w:keepLines w:val="0"/>
              <w:widowControl/>
              <w:suppressLineNumbers w:val="0"/>
              <w:spacing w:before="0" w:beforeAutospacing="0" w:after="0" w:afterAutospacing="0"/>
              <w:ind w:left="0" w:right="0"/>
              <w:jc w:val="right"/>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评标方法：</w:t>
            </w:r>
          </w:p>
        </w:tc>
        <w:tc>
          <w:tcPr>
            <w:tcW w:w="5220" w:type="dxa"/>
            <w:shd w:val="clear" w:color="auto" w:fill="auto"/>
            <w:vAlign w:val="center"/>
          </w:tcPr>
          <w:p w14:paraId="12B34871">
            <w:pPr>
              <w:keepNext w:val="0"/>
              <w:keepLines w:val="0"/>
              <w:widowControl/>
              <w:suppressLineNumbers w:val="0"/>
              <w:spacing w:before="0" w:beforeAutospacing="0" w:after="0" w:afterAutospacing="0"/>
              <w:ind w:left="0" w:right="0"/>
              <w:rPr>
                <w:rFonts w:hint="default"/>
                <w:color w:val="000000" w:themeColor="text1"/>
                <w:sz w:val="30"/>
                <w:szCs w:val="30"/>
                <w14:textFill>
                  <w14:solidFill>
                    <w14:schemeClr w14:val="tx1"/>
                  </w14:solidFill>
                </w14:textFill>
              </w:rPr>
            </w:pPr>
            <w:r>
              <w:rPr>
                <w:rFonts w:hint="default" w:ascii="宋体" w:hAnsi="宋体" w:cs="宋体"/>
                <w:color w:val="000000" w:themeColor="text1"/>
                <w:sz w:val="30"/>
                <w:szCs w:val="30"/>
                <w14:textFill>
                  <w14:solidFill>
                    <w14:schemeClr w14:val="tx1"/>
                  </w14:solidFill>
                </w14:textFill>
              </w:rPr>
              <w:t>综合评分法（新价格分算法）</w:t>
            </w:r>
          </w:p>
        </w:tc>
      </w:tr>
    </w:tbl>
    <w:p w14:paraId="10180635">
      <w:pPr>
        <w:pStyle w:val="15"/>
        <w:keepNext w:val="0"/>
        <w:keepLines w:val="0"/>
        <w:pageBreakBefore w:val="0"/>
        <w:widowControl/>
        <w:kinsoku/>
        <w:wordWrap/>
        <w:overflowPunct/>
        <w:topLinePunct w:val="0"/>
        <w:autoSpaceDE/>
        <w:autoSpaceDN/>
        <w:bidi w:val="0"/>
        <w:adjustRightInd/>
        <w:snapToGrid/>
        <w:spacing w:before="0" w:beforeLines="100" w:after="0" w:afterLines="100"/>
        <w:jc w:val="center"/>
        <w:textAlignment w:val="auto"/>
        <w:outlineLvl w:val="1"/>
        <w:rPr>
          <w:rFonts w:ascii="黑体" w:hAnsi="黑体" w:eastAsia="黑体"/>
          <w:color w:val="000000" w:themeColor="text1"/>
          <w:sz w:val="40"/>
          <w:szCs w:val="40"/>
          <w14:textFill>
            <w14:solidFill>
              <w14:schemeClr w14:val="tx1"/>
            </w14:solidFill>
          </w14:textFill>
        </w:rPr>
      </w:pPr>
      <w:r>
        <w:rPr>
          <w:rFonts w:hint="eastAsia" w:ascii="宋体" w:hAnsi="宋体" w:eastAsia="宋体" w:cs="黑体"/>
          <w:sz w:val="40"/>
          <w:szCs w:val="40"/>
          <w:lang w:val="en-US" w:eastAsia="zh-CN" w:bidi="ar-SA"/>
        </w:rPr>
        <w:t>资格性审查表</w:t>
      </w:r>
    </w:p>
    <w:tbl>
      <w:tblPr>
        <w:tblStyle w:val="17"/>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13FB22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3B75506">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 w:val="28"/>
                <w:szCs w:val="28"/>
                <w14:textFill>
                  <w14:solidFill>
                    <w14:schemeClr w14:val="tx1"/>
                  </w14:solidFill>
                </w14:textFill>
              </w:rPr>
            </w:pPr>
            <w:r>
              <w:rPr>
                <w:rFonts w:hint="default"/>
                <w:color w:val="000000" w:themeColor="text1"/>
                <w:sz w:val="28"/>
                <w:szCs w:val="28"/>
                <w14:textFill>
                  <w14:solidFill>
                    <w14:schemeClr w14:val="tx1"/>
                  </w14:solidFill>
                </w14:textFill>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FA0E21C">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 w:val="28"/>
                <w:szCs w:val="28"/>
                <w14:textFill>
                  <w14:solidFill>
                    <w14:schemeClr w14:val="tx1"/>
                  </w14:solidFill>
                </w14:textFill>
              </w:rPr>
            </w:pPr>
            <w:r>
              <w:rPr>
                <w:rFonts w:hint="default"/>
                <w:color w:val="000000" w:themeColor="text1"/>
                <w:sz w:val="28"/>
                <w:szCs w:val="28"/>
                <w14:textFill>
                  <w14:solidFill>
                    <w14:schemeClr w14:val="tx1"/>
                  </w14:solidFill>
                </w14:textFill>
              </w:rPr>
              <w:t>内容</w:t>
            </w:r>
          </w:p>
        </w:tc>
      </w:tr>
      <w:tr w14:paraId="0E2608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77DE78F">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8278" w:type="dxa"/>
            <w:tcBorders>
              <w:top w:val="single" w:color="000000" w:sz="8" w:space="0"/>
              <w:left w:val="single" w:color="000000" w:sz="8" w:space="0"/>
              <w:bottom w:val="single" w:color="000000" w:sz="8" w:space="0"/>
              <w:right w:val="single" w:color="000000" w:sz="8" w:space="0"/>
            </w:tcBorders>
          </w:tcPr>
          <w:p w14:paraId="0520857D">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default" w:ascii="宋体" w:hAnsi="宋体" w:cs="宋体"/>
                <w:color w:val="000000" w:themeColor="text1"/>
                <w:szCs w:val="21"/>
                <w14:textFill>
                  <w14:solidFill>
                    <w14:schemeClr w14:val="tx1"/>
                  </w14:solidFill>
                </w14:textFill>
              </w:rPr>
              <w:t>投标人不</w:t>
            </w:r>
            <w:r>
              <w:rPr>
                <w:rFonts w:hint="eastAsia" w:ascii="宋体" w:hAnsi="宋体" w:cs="宋体"/>
                <w:color w:val="000000" w:themeColor="text1"/>
                <w:szCs w:val="21"/>
                <w14:textFill>
                  <w14:solidFill>
                    <w14:schemeClr w14:val="tx1"/>
                  </w14:solidFill>
                </w14:textFill>
              </w:rPr>
              <w:t>符合</w:t>
            </w:r>
            <w:r>
              <w:rPr>
                <w:rFonts w:hint="default" w:ascii="宋体" w:hAnsi="宋体" w:cs="宋体"/>
                <w:color w:val="000000" w:themeColor="text1"/>
                <w:szCs w:val="21"/>
                <w14:textFill>
                  <w14:solidFill>
                    <w14:schemeClr w14:val="tx1"/>
                  </w14:solidFill>
                </w14:textFill>
              </w:rPr>
              <w:t>资格要求，或未提交相应的资格证明资料（详见招标公告</w:t>
            </w:r>
            <w:r>
              <w:rPr>
                <w:rFonts w:hint="eastAsia" w:ascii="宋体" w:hAnsi="宋体"/>
                <w:color w:val="000000" w:themeColor="text1"/>
                <w:szCs w:val="21"/>
                <w14:textFill>
                  <w14:solidFill>
                    <w14:schemeClr w14:val="tx1"/>
                  </w14:solidFill>
                </w14:textFill>
              </w:rPr>
              <w:t>投标人资格要求，即申请人的资格要求</w:t>
            </w:r>
            <w:r>
              <w:rPr>
                <w:rFonts w:hint="default" w:ascii="宋体" w:hAnsi="宋体" w:cs="宋体"/>
                <w:color w:val="000000" w:themeColor="text1"/>
                <w:szCs w:val="21"/>
                <w14:textFill>
                  <w14:solidFill>
                    <w14:schemeClr w14:val="tx1"/>
                  </w14:solidFill>
                </w14:textFill>
              </w:rPr>
              <w:t>）</w:t>
            </w:r>
          </w:p>
        </w:tc>
      </w:tr>
    </w:tbl>
    <w:p w14:paraId="4B1F61CC">
      <w:pPr>
        <w:pStyle w:val="15"/>
        <w:keepNext w:val="0"/>
        <w:keepLines w:val="0"/>
        <w:pageBreakBefore w:val="0"/>
        <w:widowControl/>
        <w:kinsoku/>
        <w:wordWrap/>
        <w:overflowPunct/>
        <w:topLinePunct w:val="0"/>
        <w:autoSpaceDE/>
        <w:autoSpaceDN/>
        <w:bidi w:val="0"/>
        <w:adjustRightInd/>
        <w:snapToGrid/>
        <w:spacing w:before="0" w:beforeLines="100" w:after="0" w:afterLines="100"/>
        <w:jc w:val="center"/>
        <w:textAlignment w:val="auto"/>
        <w:outlineLvl w:val="1"/>
        <w:rPr>
          <w:rFonts w:hint="eastAsia" w:ascii="宋体" w:hAnsi="宋体" w:eastAsia="宋体" w:cs="黑体"/>
          <w:sz w:val="40"/>
          <w:szCs w:val="40"/>
          <w:lang w:val="en-US" w:eastAsia="zh-CN" w:bidi="ar-SA"/>
        </w:rPr>
      </w:pPr>
      <w:r>
        <w:rPr>
          <w:rFonts w:hint="eastAsia" w:ascii="宋体" w:hAnsi="宋体" w:eastAsia="宋体" w:cs="黑体"/>
          <w:sz w:val="40"/>
          <w:szCs w:val="40"/>
          <w:lang w:val="en-US" w:eastAsia="zh-CN" w:bidi="ar-SA"/>
        </w:rPr>
        <w:t>符合性审查表</w:t>
      </w:r>
    </w:p>
    <w:tbl>
      <w:tblPr>
        <w:tblStyle w:val="17"/>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658F21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2BCF688">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 w:val="28"/>
                <w:szCs w:val="28"/>
                <w14:textFill>
                  <w14:solidFill>
                    <w14:schemeClr w14:val="tx1"/>
                  </w14:solidFill>
                </w14:textFill>
              </w:rPr>
            </w:pPr>
            <w:r>
              <w:rPr>
                <w:rFonts w:hint="default"/>
                <w:color w:val="000000" w:themeColor="text1"/>
                <w:sz w:val="28"/>
                <w:szCs w:val="28"/>
                <w14:textFill>
                  <w14:solidFill>
                    <w14:schemeClr w14:val="tx1"/>
                  </w14:solidFill>
                </w14:textFill>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5533A54">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 w:val="28"/>
                <w:szCs w:val="28"/>
                <w14:textFill>
                  <w14:solidFill>
                    <w14:schemeClr w14:val="tx1"/>
                  </w14:solidFill>
                </w14:textFill>
              </w:rPr>
            </w:pPr>
            <w:r>
              <w:rPr>
                <w:rFonts w:hint="default"/>
                <w:color w:val="000000" w:themeColor="text1"/>
                <w:sz w:val="28"/>
                <w:szCs w:val="28"/>
                <w14:textFill>
                  <w14:solidFill>
                    <w14:schemeClr w14:val="tx1"/>
                  </w14:solidFill>
                </w14:textFill>
              </w:rPr>
              <w:t>内容</w:t>
            </w:r>
          </w:p>
        </w:tc>
      </w:tr>
      <w:tr w14:paraId="256420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F8A6128">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8278" w:type="dxa"/>
            <w:tcBorders>
              <w:top w:val="single" w:color="000000" w:sz="8" w:space="0"/>
              <w:left w:val="single" w:color="000000" w:sz="8" w:space="0"/>
              <w:bottom w:val="single" w:color="000000" w:sz="8" w:space="0"/>
              <w:right w:val="single" w:color="000000" w:sz="8" w:space="0"/>
            </w:tcBorders>
          </w:tcPr>
          <w:p w14:paraId="0566F2A0">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将一个包或一个标段的内容拆开投标；</w:t>
            </w:r>
          </w:p>
        </w:tc>
      </w:tr>
      <w:tr w14:paraId="4114BB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9B003D7">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w:t>
            </w:r>
          </w:p>
        </w:tc>
        <w:tc>
          <w:tcPr>
            <w:tcW w:w="8278" w:type="dxa"/>
            <w:tcBorders>
              <w:top w:val="single" w:color="000000" w:sz="8" w:space="0"/>
              <w:left w:val="single" w:color="000000" w:sz="8" w:space="0"/>
              <w:bottom w:val="single" w:color="000000" w:sz="8" w:space="0"/>
              <w:right w:val="single" w:color="000000" w:sz="8" w:space="0"/>
            </w:tcBorders>
          </w:tcPr>
          <w:p w14:paraId="19CFD544">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对同一项目投标时，提供两套以上的投标方案（招标文件另有规定的除外）；</w:t>
            </w:r>
          </w:p>
        </w:tc>
      </w:tr>
      <w:tr w14:paraId="566410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AEA12DB">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w:t>
            </w:r>
          </w:p>
        </w:tc>
        <w:tc>
          <w:tcPr>
            <w:tcW w:w="8278" w:type="dxa"/>
            <w:tcBorders>
              <w:top w:val="single" w:color="000000" w:sz="8" w:space="0"/>
              <w:left w:val="single" w:color="000000" w:sz="8" w:space="0"/>
              <w:bottom w:val="single" w:color="000000" w:sz="8" w:space="0"/>
              <w:right w:val="single" w:color="000000" w:sz="8" w:space="0"/>
            </w:tcBorders>
            <w:vAlign w:val="top"/>
          </w:tcPr>
          <w:p w14:paraId="4098A6E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14:textFill>
                  <w14:solidFill>
                    <w14:schemeClr w14:val="tx1"/>
                  </w14:solidFill>
                </w14:textFill>
              </w:rPr>
            </w:pPr>
            <w:r>
              <w:rPr>
                <w:rFonts w:hint="eastAsia" w:eastAsia="宋体"/>
                <w:highlight w:val="none"/>
                <w:lang w:eastAsia="zh-CN"/>
              </w:rPr>
              <w:t>“折扣率”不满足"0＜折扣率≤1"公式要求的；“折扣率”缺填、漏填或填报了两个或以上“折扣率”</w:t>
            </w:r>
            <w:r>
              <w:rPr>
                <w:rFonts w:hint="eastAsia"/>
                <w:highlight w:val="none"/>
              </w:rPr>
              <w:t>；</w:t>
            </w:r>
          </w:p>
        </w:tc>
      </w:tr>
      <w:tr w14:paraId="303F81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638" w:hRule="atLeast"/>
          <w:jc w:val="center"/>
        </w:trPr>
        <w:tc>
          <w:tcPr>
            <w:tcW w:w="794" w:type="dxa"/>
            <w:tcBorders>
              <w:top w:val="single" w:color="000000" w:sz="8" w:space="0"/>
              <w:left w:val="single" w:color="000000" w:sz="8" w:space="0"/>
              <w:bottom w:val="single" w:color="000000" w:sz="8" w:space="0"/>
              <w:right w:val="single" w:color="000000" w:sz="8" w:space="0"/>
            </w:tcBorders>
          </w:tcPr>
          <w:p w14:paraId="62054FDF">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w:t>
            </w:r>
          </w:p>
        </w:tc>
        <w:tc>
          <w:tcPr>
            <w:tcW w:w="8278" w:type="dxa"/>
            <w:tcBorders>
              <w:top w:val="single" w:color="000000" w:sz="8" w:space="0"/>
              <w:left w:val="single" w:color="000000" w:sz="8" w:space="0"/>
              <w:bottom w:val="single" w:color="000000" w:sz="8" w:space="0"/>
              <w:right w:val="single" w:color="000000" w:sz="8" w:space="0"/>
            </w:tcBorders>
          </w:tcPr>
          <w:p w14:paraId="1026A709">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B455F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FE5952B">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w:t>
            </w:r>
          </w:p>
        </w:tc>
        <w:tc>
          <w:tcPr>
            <w:tcW w:w="8278" w:type="dxa"/>
            <w:tcBorders>
              <w:top w:val="single" w:color="000000" w:sz="8" w:space="0"/>
              <w:left w:val="single" w:color="000000" w:sz="8" w:space="0"/>
              <w:bottom w:val="single" w:color="000000" w:sz="8" w:space="0"/>
              <w:right w:val="single" w:color="000000" w:sz="8" w:space="0"/>
            </w:tcBorders>
          </w:tcPr>
          <w:p w14:paraId="7AC0847E">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rPr>
              <w:t>所投货物、服务在技术、商务等方面没有实质性满足招标文件要求的（是否实质性满足招标文件要求，由评审委员会根据《实质性条款响应情况表》做出评判）</w:t>
            </w:r>
            <w:r>
              <w:rPr>
                <w:rFonts w:hint="eastAsia" w:ascii="宋体" w:hAnsi="宋体" w:eastAsia="宋体"/>
                <w:lang w:eastAsia="zh-CN"/>
              </w:rPr>
              <w:t>，投标文件的轻微瑕疵、非关键内容不得作为认定投标无效的依据</w:t>
            </w:r>
            <w:r>
              <w:rPr>
                <w:rFonts w:hint="eastAsia" w:ascii="宋体" w:hAnsi="宋体" w:eastAsia="宋体"/>
              </w:rPr>
              <w:t>）</w:t>
            </w:r>
            <w:r>
              <w:rPr>
                <w:rFonts w:hint="eastAsia"/>
              </w:rPr>
              <w:t>；</w:t>
            </w:r>
          </w:p>
        </w:tc>
      </w:tr>
      <w:tr w14:paraId="21F372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18" w:hRule="atLeast"/>
          <w:jc w:val="center"/>
        </w:trPr>
        <w:tc>
          <w:tcPr>
            <w:tcW w:w="794" w:type="dxa"/>
            <w:tcBorders>
              <w:top w:val="single" w:color="000000" w:sz="8" w:space="0"/>
              <w:left w:val="single" w:color="000000" w:sz="8" w:space="0"/>
              <w:bottom w:val="single" w:color="000000" w:sz="8" w:space="0"/>
              <w:right w:val="single" w:color="000000" w:sz="8" w:space="0"/>
            </w:tcBorders>
          </w:tcPr>
          <w:p w14:paraId="798EEF29">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w:t>
            </w:r>
          </w:p>
        </w:tc>
        <w:tc>
          <w:tcPr>
            <w:tcW w:w="8278" w:type="dxa"/>
            <w:tcBorders>
              <w:top w:val="single" w:color="000000" w:sz="8" w:space="0"/>
              <w:left w:val="single" w:color="000000" w:sz="8" w:space="0"/>
              <w:bottom w:val="single" w:color="000000" w:sz="8" w:space="0"/>
              <w:right w:val="single" w:color="000000" w:sz="8" w:space="0"/>
            </w:tcBorders>
          </w:tcPr>
          <w:p w14:paraId="41A2A114">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未按招标文件所提供的样式填写《投标函》；</w:t>
            </w:r>
          </w:p>
        </w:tc>
      </w:tr>
      <w:tr w14:paraId="6871B6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B060B00">
            <w:pPr>
              <w:keepNext w:val="0"/>
              <w:keepLines w:val="0"/>
              <w:widowControl/>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7</w:t>
            </w:r>
          </w:p>
        </w:tc>
        <w:tc>
          <w:tcPr>
            <w:tcW w:w="8278" w:type="dxa"/>
            <w:tcBorders>
              <w:top w:val="single" w:color="000000" w:sz="8" w:space="0"/>
              <w:left w:val="single" w:color="000000" w:sz="8" w:space="0"/>
              <w:bottom w:val="single" w:color="000000" w:sz="8" w:space="0"/>
              <w:right w:val="single" w:color="000000" w:sz="8" w:space="0"/>
            </w:tcBorders>
          </w:tcPr>
          <w:p w14:paraId="21664205">
            <w:pPr>
              <w:keepNext w:val="0"/>
              <w:keepLines w:val="0"/>
              <w:widowControl/>
              <w:suppressLineNumbers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未按招标文件所提供的《政府采购投标及履约承诺函》进行承诺</w:t>
            </w:r>
            <w:r>
              <w:rPr>
                <w:rFonts w:hint="eastAsia"/>
                <w:color w:val="auto"/>
              </w:rPr>
              <w:t>或不符合承诺的</w:t>
            </w:r>
            <w:r>
              <w:rPr>
                <w:rFonts w:hint="eastAsia"/>
                <w:color w:val="000000" w:themeColor="text1"/>
                <w14:textFill>
                  <w14:solidFill>
                    <w14:schemeClr w14:val="tx1"/>
                  </w14:solidFill>
                </w14:textFill>
              </w:rPr>
              <w:t>；</w:t>
            </w:r>
          </w:p>
        </w:tc>
      </w:tr>
      <w:tr w14:paraId="27D186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068B1FB">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szCs w:val="21"/>
                <w:lang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8</w:t>
            </w:r>
          </w:p>
        </w:tc>
        <w:tc>
          <w:tcPr>
            <w:tcW w:w="8278" w:type="dxa"/>
            <w:tcBorders>
              <w:top w:val="single" w:color="000000" w:sz="8" w:space="0"/>
              <w:left w:val="single" w:color="000000" w:sz="8" w:space="0"/>
              <w:bottom w:val="single" w:color="000000" w:sz="8" w:space="0"/>
              <w:right w:val="single" w:color="000000" w:sz="8" w:space="0"/>
            </w:tcBorders>
          </w:tcPr>
          <w:p w14:paraId="58191120">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ascii="宋体" w:hAnsi="宋体" w:eastAsia="宋体"/>
                <w:lang w:eastAsia="zh-CN"/>
              </w:rPr>
              <w:t>投标文件对</w:t>
            </w:r>
            <w:r>
              <w:rPr>
                <w:rFonts w:hint="eastAsia" w:ascii="宋体" w:hAnsi="宋体" w:eastAsia="宋体" w:cs="Times New Roman"/>
                <w:kern w:val="0"/>
                <w:sz w:val="24"/>
                <w:szCs w:val="24"/>
                <w:lang w:val="en-US" w:eastAsia="zh-CN" w:bidi="ar"/>
              </w:rPr>
              <w:t>采购标的响应不全（响应不全情形包括：</w:t>
            </w:r>
            <w:r>
              <w:rPr>
                <w:rFonts w:hint="eastAsia" w:ascii="宋体" w:hAnsi="宋体" w:eastAsia="宋体"/>
              </w:rPr>
              <w:t>投标报价有缺漏</w:t>
            </w:r>
            <w:r>
              <w:rPr>
                <w:rFonts w:hint="eastAsia" w:ascii="宋体" w:hAnsi="宋体" w:eastAsia="宋体"/>
                <w:lang w:eastAsia="zh-CN"/>
              </w:rPr>
              <w:t>项，</w:t>
            </w:r>
            <w:r>
              <w:rPr>
                <w:rFonts w:hint="eastAsia" w:ascii="宋体" w:hAnsi="宋体" w:eastAsia="宋体"/>
              </w:rPr>
              <w:t>对招标文件规定的项目需求内容或者需求数量进行修改</w:t>
            </w:r>
            <w:r>
              <w:rPr>
                <w:rFonts w:hint="eastAsia" w:ascii="宋体" w:hAnsi="宋体" w:eastAsia="宋体" w:cs="Times New Roman"/>
                <w:kern w:val="0"/>
                <w:sz w:val="24"/>
                <w:szCs w:val="24"/>
                <w:lang w:val="en-US" w:eastAsia="zh-CN" w:bidi="ar"/>
              </w:rPr>
              <w:t>），</w:t>
            </w:r>
            <w:r>
              <w:rPr>
                <w:rFonts w:hint="eastAsia" w:ascii="宋体" w:hAnsi="宋体" w:eastAsia="宋体"/>
              </w:rPr>
              <w:t>由评审委员会根据《</w:t>
            </w:r>
            <w:r>
              <w:rPr>
                <w:rFonts w:hint="eastAsia" w:ascii="宋体" w:hAnsi="宋体" w:eastAsia="宋体"/>
                <w:b w:val="0"/>
                <w:lang w:eastAsia="zh-CN"/>
              </w:rPr>
              <w:t>项目详细报价</w:t>
            </w:r>
            <w:r>
              <w:rPr>
                <w:rFonts w:hint="eastAsia" w:ascii="宋体" w:hAnsi="宋体" w:eastAsia="宋体"/>
              </w:rPr>
              <w:t>》做出评判）</w:t>
            </w:r>
          </w:p>
        </w:tc>
      </w:tr>
      <w:tr w14:paraId="18F189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5199E198">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9</w:t>
            </w:r>
          </w:p>
        </w:tc>
        <w:tc>
          <w:tcPr>
            <w:tcW w:w="8278" w:type="dxa"/>
            <w:tcBorders>
              <w:top w:val="single" w:color="000000" w:sz="8" w:space="0"/>
              <w:left w:val="single" w:color="000000" w:sz="8" w:space="0"/>
              <w:bottom w:val="single" w:color="000000" w:sz="8" w:space="0"/>
              <w:right w:val="single" w:color="000000" w:sz="8" w:space="0"/>
            </w:tcBorders>
          </w:tcPr>
          <w:p w14:paraId="20324DC1">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投标文件存在列放位置错误，导致属于信息公开情形的没有被公开；</w:t>
            </w:r>
          </w:p>
        </w:tc>
      </w:tr>
      <w:tr w14:paraId="00B027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36A899FF">
            <w:pPr>
              <w:keepNext w:val="0"/>
              <w:keepLines w:val="0"/>
              <w:widowControl/>
              <w:suppressLineNumbers w:val="0"/>
              <w:spacing w:before="0" w:beforeAutospacing="0" w:after="0" w:afterAutospacing="0"/>
              <w:ind w:left="0" w:right="0"/>
              <w:jc w:val="center"/>
              <w:textAlignment w:val="top"/>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rPr>
              <w:t>1</w:t>
            </w:r>
            <w:r>
              <w:rPr>
                <w:rFonts w:hint="eastAsia" w:ascii="宋体" w:hAnsi="宋体" w:eastAsia="宋体" w:cs="宋体"/>
                <w:szCs w:val="21"/>
                <w:lang w:val="en-US" w:eastAsia="zh-CN"/>
              </w:rPr>
              <w:t>0</w:t>
            </w:r>
          </w:p>
        </w:tc>
        <w:tc>
          <w:tcPr>
            <w:tcW w:w="8278" w:type="dxa"/>
            <w:tcBorders>
              <w:top w:val="single" w:color="000000" w:sz="8" w:space="0"/>
              <w:left w:val="single" w:color="000000" w:sz="8" w:space="0"/>
              <w:bottom w:val="single" w:color="000000" w:sz="8" w:space="0"/>
              <w:right w:val="single" w:color="000000" w:sz="8" w:space="0"/>
            </w:tcBorders>
          </w:tcPr>
          <w:p w14:paraId="14E0A7EA">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投标文件电子文档带病毒；</w:t>
            </w:r>
          </w:p>
        </w:tc>
      </w:tr>
      <w:tr w14:paraId="28BCD1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2EC513D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szCs w:val="21"/>
              </w:rPr>
              <w:t>1</w:t>
            </w:r>
            <w:r>
              <w:rPr>
                <w:rFonts w:hint="eastAsia" w:ascii="宋体" w:hAnsi="宋体" w:eastAsia="宋体" w:cs="宋体"/>
                <w:szCs w:val="21"/>
                <w:lang w:val="en-US" w:eastAsia="zh-CN"/>
              </w:rPr>
              <w:t>1</w:t>
            </w:r>
          </w:p>
        </w:tc>
        <w:tc>
          <w:tcPr>
            <w:tcW w:w="8278" w:type="dxa"/>
            <w:tcBorders>
              <w:top w:val="single" w:color="000000" w:sz="8" w:space="0"/>
              <w:left w:val="single" w:color="000000" w:sz="8" w:space="0"/>
              <w:bottom w:val="single" w:color="000000" w:sz="8" w:space="0"/>
              <w:right w:val="single" w:color="000000" w:sz="8" w:space="0"/>
            </w:tcBorders>
          </w:tcPr>
          <w:p w14:paraId="683E56F6">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投标文件用不属于本公司的电子密钥进行加密的；</w:t>
            </w:r>
          </w:p>
        </w:tc>
      </w:tr>
      <w:tr w14:paraId="103004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4F461DD7">
            <w:pPr>
              <w:keepNext w:val="0"/>
              <w:keepLines w:val="0"/>
              <w:widowControl/>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12</w:t>
            </w:r>
          </w:p>
        </w:tc>
        <w:tc>
          <w:tcPr>
            <w:tcW w:w="8278" w:type="dxa"/>
            <w:tcBorders>
              <w:top w:val="single" w:color="000000" w:sz="8" w:space="0"/>
              <w:left w:val="single" w:color="000000" w:sz="8" w:space="0"/>
              <w:bottom w:val="single" w:color="000000" w:sz="8" w:space="0"/>
              <w:right w:val="single" w:color="000000" w:sz="8" w:space="0"/>
            </w:tcBorders>
          </w:tcPr>
          <w:p w14:paraId="2B2BE6D0">
            <w:pPr>
              <w:keepNext w:val="0"/>
              <w:keepLines w:val="0"/>
              <w:widowControl/>
              <w:suppressLineNumbers w:val="0"/>
              <w:spacing w:before="0" w:beforeAutospacing="0" w:after="0" w:afterAutospacing="0"/>
              <w:ind w:left="0" w:right="0"/>
              <w:rPr>
                <w:rFonts w:hint="eastAsia"/>
                <w:color w:val="000000" w:themeColor="text1"/>
                <w:highlight w:val="none"/>
                <w14:textFill>
                  <w14:solidFill>
                    <w14:schemeClr w14:val="tx1"/>
                  </w14:solidFill>
                </w14:textFill>
              </w:rPr>
            </w:pPr>
            <w:r>
              <w:rPr>
                <w:rFonts w:hint="default"/>
                <w:highlight w:val="none"/>
              </w:rPr>
              <w:t>不同投标供应商投标文件“文件制作机器码”</w:t>
            </w:r>
            <w:r>
              <w:rPr>
                <w:rFonts w:hint="eastAsia" w:eastAsia="宋体"/>
                <w:highlight w:val="none"/>
                <w:lang w:val="en-US" w:eastAsia="zh-CN"/>
              </w:rPr>
              <w:t>或</w:t>
            </w:r>
            <w:r>
              <w:rPr>
                <w:rFonts w:hint="default"/>
                <w:highlight w:val="none"/>
              </w:rPr>
              <w:t>“文件创建标</w:t>
            </w:r>
            <w:r>
              <w:rPr>
                <w:rFonts w:hint="eastAsia"/>
                <w:highlight w:val="none"/>
              </w:rPr>
              <w:t>识码”一致</w:t>
            </w:r>
            <w:r>
              <w:rPr>
                <w:rFonts w:hint="eastAsia"/>
                <w:highlight w:val="none"/>
                <w:lang w:eastAsia="zh-CN"/>
              </w:rPr>
              <w:t>的</w:t>
            </w:r>
            <w:r>
              <w:rPr>
                <w:rFonts w:hint="eastAsia"/>
                <w:color w:val="000000" w:themeColor="text1"/>
                <w:highlight w:val="none"/>
                <w14:textFill>
                  <w14:solidFill>
                    <w14:schemeClr w14:val="tx1"/>
                  </w14:solidFill>
                </w14:textFill>
              </w:rPr>
              <w:t>；</w:t>
            </w:r>
          </w:p>
        </w:tc>
      </w:tr>
      <w:tr w14:paraId="1B679B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532705E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13</w:t>
            </w:r>
          </w:p>
        </w:tc>
        <w:tc>
          <w:tcPr>
            <w:tcW w:w="8278" w:type="dxa"/>
            <w:tcBorders>
              <w:top w:val="single" w:color="000000" w:sz="8" w:space="0"/>
              <w:left w:val="single" w:color="000000" w:sz="8" w:space="0"/>
              <w:bottom w:val="single" w:color="000000" w:sz="8" w:space="0"/>
              <w:right w:val="single" w:color="000000" w:sz="8" w:space="0"/>
            </w:tcBorders>
          </w:tcPr>
          <w:p w14:paraId="7D095B6C">
            <w:pPr>
              <w:keepNext w:val="0"/>
              <w:keepLines w:val="0"/>
              <w:widowControl/>
              <w:suppressLineNumbers w:val="0"/>
              <w:spacing w:before="0" w:beforeAutospacing="0" w:after="0" w:afterAutospacing="0"/>
              <w:ind w:left="0" w:right="0"/>
              <w:rPr>
                <w:rFonts w:hint="default"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法律、法规、规章、规范性文件规定的其他情形。</w:t>
            </w:r>
          </w:p>
        </w:tc>
      </w:tr>
    </w:tbl>
    <w:p w14:paraId="41D7E210">
      <w:pPr>
        <w:pStyle w:val="15"/>
        <w:spacing w:before="280" w:beforeAutospacing="0" w:afterAutospacing="1"/>
        <w:jc w:val="center"/>
        <w:outlineLvl w:val="1"/>
        <w:rPr>
          <w:rFonts w:hint="eastAsia" w:ascii="宋体" w:hAnsi="宋体" w:eastAsia="宋体" w:cs="黑体"/>
          <w:sz w:val="40"/>
          <w:szCs w:val="40"/>
          <w:lang w:val="en-US" w:eastAsia="zh-CN" w:bidi="ar-SA"/>
        </w:rPr>
      </w:pPr>
      <w:r>
        <w:rPr>
          <w:rFonts w:hint="eastAsia" w:ascii="宋体" w:hAnsi="宋体" w:eastAsia="宋体" w:cs="黑体"/>
          <w:sz w:val="40"/>
          <w:szCs w:val="40"/>
          <w:lang w:val="en-US" w:eastAsia="zh-CN" w:bidi="ar-SA"/>
        </w:rPr>
        <w:t>评标信息</w:t>
      </w:r>
    </w:p>
    <w:tbl>
      <w:tblPr>
        <w:tblStyle w:val="17"/>
        <w:tblW w:w="9072" w:type="dxa"/>
        <w:jc w:val="center"/>
        <w:tblCellSpacing w:w="0" w:type="dxa"/>
        <w:tblLayout w:type="fixed"/>
        <w:tblCellMar>
          <w:top w:w="45" w:type="dxa"/>
          <w:left w:w="45" w:type="dxa"/>
          <w:bottom w:w="45" w:type="dxa"/>
          <w:right w:w="45" w:type="dxa"/>
        </w:tblCellMar>
      </w:tblPr>
      <w:tblGrid>
        <w:gridCol w:w="8867"/>
        <w:gridCol w:w="205"/>
      </w:tblGrid>
      <w:tr w14:paraId="2C238540">
        <w:tblPrEx>
          <w:tblCellMar>
            <w:top w:w="45" w:type="dxa"/>
            <w:left w:w="45" w:type="dxa"/>
            <w:bottom w:w="45" w:type="dxa"/>
            <w:right w:w="45" w:type="dxa"/>
          </w:tblCellMar>
        </w:tblPrEx>
        <w:trPr>
          <w:tblCellSpacing w:w="0" w:type="dxa"/>
          <w:jc w:val="center"/>
        </w:trPr>
        <w:tc>
          <w:tcPr>
            <w:tcW w:w="8867" w:type="dxa"/>
            <w:tcBorders>
              <w:top w:val="nil"/>
              <w:left w:val="nil"/>
              <w:bottom w:val="nil"/>
              <w:right w:val="nil"/>
            </w:tcBorders>
            <w:vAlign w:val="center"/>
          </w:tcPr>
          <w:p w14:paraId="1C73B9F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b/>
                <w:bCs/>
                <w:lang w:val="en-US" w:eastAsia="zh-CN" w:bidi="ar-SA"/>
              </w:rPr>
              <w:t>评标方法：最低价法/综合评分法（新价格分算法）</w:t>
            </w:r>
          </w:p>
        </w:tc>
        <w:tc>
          <w:tcPr>
            <w:tcW w:w="205" w:type="dxa"/>
            <w:tcBorders>
              <w:top w:val="nil"/>
              <w:left w:val="nil"/>
              <w:bottom w:val="nil"/>
              <w:right w:val="nil"/>
            </w:tcBorders>
            <w:vAlign w:val="center"/>
          </w:tcPr>
          <w:p w14:paraId="41536EE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b/>
                <w:bCs/>
                <w:color w:val="000000" w:themeColor="text1"/>
                <w:sz w:val="24"/>
                <w:szCs w:val="24"/>
                <w14:textFill>
                  <w14:solidFill>
                    <w14:schemeClr w14:val="tx1"/>
                  </w14:solidFill>
                </w14:textFill>
              </w:rPr>
            </w:pPr>
          </w:p>
        </w:tc>
      </w:tr>
      <w:tr w14:paraId="082EDB9E">
        <w:tblPrEx>
          <w:tblCellMar>
            <w:top w:w="45" w:type="dxa"/>
            <w:left w:w="45" w:type="dxa"/>
            <w:bottom w:w="45" w:type="dxa"/>
            <w:right w:w="45" w:type="dxa"/>
          </w:tblCellMar>
        </w:tblPrEx>
        <w:trPr>
          <w:tblCellSpacing w:w="0" w:type="dxa"/>
          <w:jc w:val="center"/>
        </w:trPr>
        <w:tc>
          <w:tcPr>
            <w:tcW w:w="9072" w:type="dxa"/>
            <w:gridSpan w:val="2"/>
            <w:tcBorders>
              <w:top w:val="nil"/>
              <w:left w:val="nil"/>
              <w:bottom w:val="nil"/>
              <w:right w:val="nil"/>
            </w:tcBorders>
            <w:vAlign w:val="center"/>
          </w:tcPr>
          <w:p w14:paraId="59DC17E9">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综合评分法，是指投标文件满足招标文件全部实质性要求，且按照评审因素的量化指标评审得分最高的投标人为中标候选人的评标方法。 </w:t>
            </w:r>
          </w:p>
          <w:p w14:paraId="2FA0A9F3">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价格分计算方法：</w:t>
            </w:r>
          </w:p>
          <w:p w14:paraId="2F0A86E9">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采用低价优先法计算，即满足招标文件要求且投标价格最低的投标报价为评标基准价，其价格分为满分。其他投标人的价格分统一按照下列公式计算： </w:t>
            </w:r>
          </w:p>
          <w:p w14:paraId="29B172F8">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投标报价得分=(评标基准价／投标报价)×100 </w:t>
            </w:r>
          </w:p>
          <w:p w14:paraId="2221707E">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评标总得分＝F1×A1＋F2×A2＋……＋Fn×An </w:t>
            </w:r>
          </w:p>
          <w:p w14:paraId="06180069">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F1、F2……Fn分别为各项评审因素的得分； </w:t>
            </w:r>
          </w:p>
          <w:p w14:paraId="4600794C">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A1、A2、……An 分别为各项评审因素所占的权重(A1＋A2＋……＋An＝1)。 </w:t>
            </w:r>
          </w:p>
          <w:p w14:paraId="66BF0DA1">
            <w:pPr>
              <w:keepNext w:val="0"/>
              <w:keepLines w:val="0"/>
              <w:widowControl/>
              <w:suppressLineNumbers w:val="0"/>
              <w:spacing w:before="0" w:beforeAutospacing="0" w:after="0" w:afterAutospacing="0" w:line="324" w:lineRule="auto"/>
              <w:ind w:left="0" w:right="0"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评标过程中，不得去掉报价中的最高报价和最低报价。 </w:t>
            </w:r>
          </w:p>
          <w:p w14:paraId="783D9A6B">
            <w:pPr>
              <w:keepNext w:val="0"/>
              <w:keepLines w:val="0"/>
              <w:widowControl/>
              <w:suppressLineNumbers w:val="0"/>
              <w:spacing w:before="0" w:beforeAutospacing="0" w:after="0" w:afterAutospacing="0" w:line="324" w:lineRule="auto"/>
              <w:ind w:left="0" w:right="0" w:firstLine="4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szCs w:val="21"/>
                <w:lang w:val="en-US" w:eastAsia="zh-CN" w:bidi="ar-SA"/>
              </w:rPr>
              <w:t xml:space="preserve">此方法适用于货物类、服务类、工程类项目。 </w:t>
            </w:r>
          </w:p>
        </w:tc>
      </w:tr>
      <w:tr w14:paraId="1B1A08B2">
        <w:tblPrEx>
          <w:tblCellMar>
            <w:top w:w="45" w:type="dxa"/>
            <w:left w:w="45" w:type="dxa"/>
            <w:bottom w:w="45" w:type="dxa"/>
            <w:right w:w="45" w:type="dxa"/>
          </w:tblCellMar>
        </w:tblPrEx>
        <w:trPr>
          <w:tblCellSpacing w:w="0" w:type="dxa"/>
          <w:jc w:val="center"/>
        </w:trPr>
        <w:tc>
          <w:tcPr>
            <w:tcW w:w="9072" w:type="dxa"/>
            <w:gridSpan w:val="2"/>
            <w:tcBorders>
              <w:top w:val="nil"/>
              <w:left w:val="nil"/>
              <w:bottom w:val="nil"/>
              <w:right w:val="nil"/>
            </w:tcBorders>
            <w:vAlign w:val="center"/>
          </w:tcPr>
          <w:tbl>
            <w:tblPr>
              <w:tblStyle w:val="17"/>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76"/>
              <w:gridCol w:w="675"/>
              <w:gridCol w:w="1295"/>
              <w:gridCol w:w="1030"/>
              <w:gridCol w:w="5396"/>
            </w:tblGrid>
            <w:tr w14:paraId="661D68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3399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000"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708FD6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评分项</w:t>
                  </w:r>
                </w:p>
              </w:tc>
              <w:tc>
                <w:tcPr>
                  <w:tcW w:w="5396"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98277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权重(%)</w:t>
                  </w:r>
                </w:p>
              </w:tc>
            </w:tr>
            <w:tr w14:paraId="5C5507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tcBorders>
                    <w:top w:val="single" w:color="000000" w:sz="8" w:space="0"/>
                    <w:left w:val="single" w:color="000000" w:sz="8" w:space="0"/>
                    <w:bottom w:val="single" w:color="000000" w:sz="8" w:space="0"/>
                    <w:right w:val="single" w:color="000000" w:sz="8" w:space="0"/>
                  </w:tcBorders>
                  <w:noWrap w:val="0"/>
                  <w:vAlign w:val="top"/>
                </w:tcPr>
                <w:p w14:paraId="1E4632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1</w:t>
                  </w:r>
                </w:p>
              </w:tc>
              <w:tc>
                <w:tcPr>
                  <w:tcW w:w="3000" w:type="dxa"/>
                  <w:gridSpan w:val="3"/>
                  <w:tcBorders>
                    <w:top w:val="single" w:color="000000" w:sz="8" w:space="0"/>
                    <w:left w:val="single" w:color="000000" w:sz="8" w:space="0"/>
                    <w:bottom w:val="single" w:color="000000" w:sz="8" w:space="0"/>
                    <w:right w:val="single" w:color="000000" w:sz="8" w:space="0"/>
                  </w:tcBorders>
                  <w:noWrap w:val="0"/>
                  <w:vAlign w:val="top"/>
                </w:tcPr>
                <w:p w14:paraId="7365E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价格</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3D27A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color w:val="auto"/>
                      <w:kern w:val="0"/>
                      <w:sz w:val="24"/>
                      <w:szCs w:val="24"/>
                      <w:highlight w:val="none"/>
                      <w:lang w:val="en-US" w:eastAsia="zh-CN"/>
                    </w:rPr>
                    <w:t>10</w:t>
                  </w:r>
                </w:p>
              </w:tc>
            </w:tr>
            <w:tr w14:paraId="2F28F0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restart"/>
                  <w:tcBorders>
                    <w:top w:val="single" w:color="000000" w:sz="8" w:space="0"/>
                    <w:left w:val="single" w:color="000000" w:sz="8" w:space="0"/>
                    <w:bottom w:val="single" w:color="000000" w:sz="8" w:space="0"/>
                    <w:right w:val="single" w:color="000000" w:sz="8" w:space="0"/>
                  </w:tcBorders>
                  <w:noWrap w:val="0"/>
                  <w:vAlign w:val="top"/>
                </w:tcPr>
                <w:p w14:paraId="6F314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2</w:t>
                  </w:r>
                </w:p>
              </w:tc>
              <w:tc>
                <w:tcPr>
                  <w:tcW w:w="3000" w:type="dxa"/>
                  <w:gridSpan w:val="3"/>
                  <w:tcBorders>
                    <w:top w:val="single" w:color="000000" w:sz="8" w:space="0"/>
                    <w:left w:val="single" w:color="000000" w:sz="8" w:space="0"/>
                    <w:bottom w:val="single" w:color="000000" w:sz="8" w:space="0"/>
                    <w:right w:val="single" w:color="000000" w:sz="8" w:space="0"/>
                  </w:tcBorders>
                  <w:noWrap w:val="0"/>
                  <w:vAlign w:val="top"/>
                </w:tcPr>
                <w:p w14:paraId="50296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技术部分</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7BD45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45</w:t>
                  </w:r>
                </w:p>
              </w:tc>
            </w:tr>
            <w:tr w14:paraId="47E2F0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7DB08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0888F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9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DBB6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评审因素</w:t>
                  </w:r>
                </w:p>
              </w:tc>
              <w:tc>
                <w:tcPr>
                  <w:tcW w:w="10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FF73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权重(%)</w:t>
                  </w:r>
                </w:p>
              </w:tc>
              <w:tc>
                <w:tcPr>
                  <w:tcW w:w="53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7B14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评分准则</w:t>
                  </w:r>
                </w:p>
              </w:tc>
            </w:tr>
            <w:tr w14:paraId="2A3F75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3F637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1FC0C8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01C97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项目整体设想及规划方案</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6A577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6368F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4B1B2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根据投标人提供的服务方案进行评价：</w:t>
                  </w:r>
                </w:p>
                <w:p w14:paraId="69FE9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1.货源、采购渠道；</w:t>
                  </w:r>
                </w:p>
                <w:p w14:paraId="61A86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2.配送服务计划（包括配送流程、客户沟通、项目重点难点分析、专业性意见及合理化建议等）；</w:t>
                  </w:r>
                </w:p>
                <w:p w14:paraId="5D50E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3.品质监控；</w:t>
                  </w:r>
                </w:p>
                <w:p w14:paraId="2A4012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4.日常管理组织；</w:t>
                  </w:r>
                </w:p>
                <w:p w14:paraId="1AD3D3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5.质量安全控制措施（包括食品来源、入库、出库等全过程的检测与监管措施）。</w:t>
                  </w:r>
                </w:p>
                <w:p w14:paraId="0CDF1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（二）评分依据：</w:t>
                  </w:r>
                </w:p>
                <w:p w14:paraId="69B3A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每提供一项得15分，五项全部具备得75分。</w:t>
                  </w:r>
                </w:p>
                <w:p w14:paraId="423BE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在此基础上，由评审委员会对具体响应内容进一步评审：</w:t>
                  </w:r>
                </w:p>
                <w:p w14:paraId="5C78D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评审为优(项目服务方案内容非常全面、详细、具体）的加25分；</w:t>
                  </w:r>
                </w:p>
                <w:p w14:paraId="27B05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评审为良 (项目服务方案内容较为全面、详细、具体）的加15分；</w:t>
                  </w:r>
                </w:p>
                <w:p w14:paraId="59D8A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评审为中(项目服务方案内容一般）的加10分；</w:t>
                  </w:r>
                </w:p>
                <w:p w14:paraId="6633C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评价为差(项目服务方案内容差或没有提供的）不加分。</w:t>
                  </w:r>
                </w:p>
                <w:p w14:paraId="7E24B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（如评审为差的，评审委员会须说明理由）</w:t>
                  </w:r>
                </w:p>
              </w:tc>
            </w:tr>
            <w:tr w14:paraId="1CC685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3FAB5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2ECD52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4BEE5C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规章管理制度、工作流程</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2A884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1C132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30156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根据投标人提供的规章管理制度进行评价：</w:t>
                  </w:r>
                </w:p>
                <w:p w14:paraId="2515A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1.食品安全保障制度；</w:t>
                  </w:r>
                </w:p>
                <w:p w14:paraId="79622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2.人员岗位职责；</w:t>
                  </w:r>
                </w:p>
                <w:p w14:paraId="62141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3.操作规程；</w:t>
                  </w:r>
                </w:p>
                <w:p w14:paraId="1A9A3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4.劳动纪律和奖惩办法；</w:t>
                  </w:r>
                </w:p>
                <w:p w14:paraId="6F009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5.客户投诉反馈管理制度；</w:t>
                  </w:r>
                </w:p>
                <w:p w14:paraId="58217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（二）评分依据：</w:t>
                  </w:r>
                </w:p>
                <w:p w14:paraId="584F4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每提供一项得15分，五项全部具备得75分。</w:t>
                  </w:r>
                </w:p>
                <w:p w14:paraId="177D8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在此基础上，由评审委员会对具体响应内容进一步评审：</w:t>
                  </w:r>
                </w:p>
                <w:p w14:paraId="5AC66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评审为优(规章管理制度、工作流程内容非常全面、详细、具体）的加25分；</w:t>
                  </w:r>
                </w:p>
                <w:p w14:paraId="0E2D26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评审为良 (规章管理制度、工作流程内容较为全面、详细、具体）的加15分；</w:t>
                  </w:r>
                </w:p>
                <w:p w14:paraId="14868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评审为中(规章管理制度、工作流程内容一般）的加10分；</w:t>
                  </w:r>
                </w:p>
                <w:p w14:paraId="5A6088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评价为差(规章管理制度、工作流程内容差或没有提供的）不加分。</w:t>
                  </w:r>
                </w:p>
                <w:p w14:paraId="74B8A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（如评审为差的，评审委员会须说明理由）</w:t>
                  </w:r>
                </w:p>
              </w:tc>
            </w:tr>
            <w:tr w14:paraId="45AC56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295C9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76BF9E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33716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应急方案</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617B2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2FC88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093D16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根据投标人提供的应急方案进行评价：</w:t>
                  </w:r>
                </w:p>
                <w:p w14:paraId="5E118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1.物流配送应急预案；</w:t>
                  </w:r>
                </w:p>
                <w:p w14:paraId="48774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2.食品安全应急预案；</w:t>
                  </w:r>
                </w:p>
                <w:p w14:paraId="783B5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3.季节性商品的应急预案；</w:t>
                  </w:r>
                </w:p>
                <w:p w14:paraId="6A7DE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4.自然灾害应急预案；</w:t>
                  </w:r>
                </w:p>
                <w:p w14:paraId="5F250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5.退货加急应急预案；</w:t>
                  </w:r>
                </w:p>
                <w:p w14:paraId="1BAA2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（二）评分依据：</w:t>
                  </w:r>
                </w:p>
                <w:p w14:paraId="3B9E3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每提供一项得10分，五项全部具备得50分。</w:t>
                  </w:r>
                </w:p>
                <w:p w14:paraId="1CFC9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在此基础上，由评审委员会根据投标人应急方案中对采购人有临时紧急供餐需要或投标人所提供的食材质量不符要求需要退换货，在收到采购人通知后的具体响应时间进一步评审：</w:t>
                  </w:r>
                </w:p>
                <w:p w14:paraId="5F449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1、响应时间≤30分钟的，加50分；</w:t>
                  </w:r>
                </w:p>
                <w:p w14:paraId="3F912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2、30分钟＜响应时间≤40分钟的，加25分；</w:t>
                  </w:r>
                </w:p>
                <w:p w14:paraId="29F58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3、40分钟＜响应时间≤50分钟的，加10分；</w:t>
                  </w:r>
                </w:p>
                <w:p w14:paraId="73DC7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4、其他情况不得分。</w:t>
                  </w:r>
                </w:p>
              </w:tc>
            </w:tr>
            <w:tr w14:paraId="1ECD8A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636FB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2D7087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3F7BC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拟派项目负责人情况</w:t>
                  </w:r>
                </w:p>
                <w:p w14:paraId="5F136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3D1C9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10</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2841E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78D45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投标人拟派的项目负责人（仅限1人），必须是投标人本单位员工。在此基础上，考察项目负责人学历、技能证书、缴交社保等情况：</w:t>
                  </w:r>
                </w:p>
                <w:p w14:paraId="1B8AA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1.学历：具有本科或以上学历的得30分；</w:t>
                  </w:r>
                </w:p>
                <w:p w14:paraId="29D3B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2.食品安全管理员：（此项不累积得分，满分40分）</w:t>
                  </w:r>
                </w:p>
                <w:p w14:paraId="1CE2B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①具有高级食品安全管理员的得40分；</w:t>
                  </w:r>
                </w:p>
                <w:p w14:paraId="7D6DD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②具有中级食品安全管理员的得20分；</w:t>
                  </w:r>
                </w:p>
                <w:p w14:paraId="451B2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③其他情况不得分。</w:t>
                  </w:r>
                </w:p>
                <w:p w14:paraId="45D6C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rPr>
                  </w:pPr>
                  <w:r>
                    <w:rPr>
                      <w:rFonts w:hint="eastAsia" w:ascii="宋体" w:hAnsi="宋体" w:eastAsia="宋体" w:cs="宋体"/>
                      <w:sz w:val="24"/>
                      <w:szCs w:val="24"/>
                      <w:lang w:val="en-US" w:eastAsia="zh-CN"/>
                    </w:rPr>
                    <w:t>3.由应急管理部门颁发的安全生产知识和管理能力考核合格证（安全生产管理人员）（满分30分）</w:t>
                  </w:r>
                </w:p>
                <w:p w14:paraId="4C6FF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（以上评分内容提供同一个项目负责人的证明材料）</w:t>
                  </w:r>
                </w:p>
                <w:p w14:paraId="6BE0E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（二）评分依据：</w:t>
                  </w:r>
                </w:p>
                <w:p w14:paraId="5B91A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要求提供通过投标人购买的项目负责人投标截止日前近一个月投标人为项目负责人缴纳的载有社保部门公章的社保证明材料（如开标日上一个月的社保材料因社保部门原因暂时无法取得，则可以往前顺延一个月），原件备查；</w:t>
                  </w:r>
                </w:p>
                <w:p w14:paraId="6161A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2.如无法按上述要求提供人员社会保险证明材料的，提交以下材料亦视为符合：</w:t>
                  </w:r>
                </w:p>
                <w:p w14:paraId="25A99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①若供应商为新成立企业且成立时间不足一个月，提供加盖投标人公章的情况说明或者证明材料。</w:t>
                  </w:r>
                </w:p>
                <w:p w14:paraId="32968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②若为退休人员，提供退休证明。</w:t>
                  </w:r>
                </w:p>
                <w:p w14:paraId="22163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③如依法不需要缴纳社会保险的，应提供相应文件证明。若因为社保部门原因无法提供的，需提供劳动合同及社保部门官方通知证明(或官网公告截图)；</w:t>
                  </w:r>
                </w:p>
                <w:p w14:paraId="134C4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3.考察评分项1：</w:t>
                  </w:r>
                </w:p>
                <w:p w14:paraId="54CF6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要求同时提供①毕业证书②中国高等教育学生信息网（学信网）查询记录（https://www.chsi.com.cn/xlcx/index.jsp）。对于较早颁发的学历证书，学信网无法查询的，要求同时提供①毕业证书②其他佐证材料（如毕业院校、人社部门等颁发机构或监管机构等单位出具的证明）作为可以得分的依据等证明文件作为得分依据；海外留学人员（含港澳台）学历无法通过学信网站查询，允许提供“教育部留学服务中心出具的国外学历认证证书以及教育部留学服务中心官网（https://zwfw.cscse.edu.cn/）查询截图”；</w:t>
                  </w:r>
                </w:p>
                <w:p w14:paraId="3813C04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4.考察评分项2：</w:t>
                  </w:r>
                </w:p>
                <w:p w14:paraId="15A42DE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要求同时提供：①有效的证书扫描件；②官网有效查询截图；</w:t>
                  </w:r>
                </w:p>
                <w:p w14:paraId="434E6D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5.考察评分项3：</w:t>
                  </w:r>
                </w:p>
                <w:p w14:paraId="5933A7E3">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rPr>
                  </w:pPr>
                  <w:r>
                    <w:rPr>
                      <w:rFonts w:hint="eastAsia" w:ascii="宋体" w:hAnsi="宋体" w:eastAsia="宋体" w:cs="宋体"/>
                      <w:sz w:val="24"/>
                      <w:szCs w:val="24"/>
                      <w:lang w:val="en-US" w:eastAsia="zh-CN"/>
                    </w:rPr>
                    <w:t>要求同时提供：①有效的证书扫描件；②官网有效查询截图；</w:t>
                  </w:r>
                </w:p>
                <w:p w14:paraId="71E85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6.以上证明材料均需提供扫描件，原件备查。如未提供证明材料，或提供的证明材料不符合要求，或提供的证明材料不清晰导致评审专家无法辨认，或提供的证明材料未能体现上述评分内容的均不得分。</w:t>
                  </w:r>
                </w:p>
              </w:tc>
            </w:tr>
            <w:tr w14:paraId="2C1E26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40716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51EC9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010DFD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种植基地面积</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23A53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5</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5D14F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36F0F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1.投标人拟投入本项目的种植基地（自有或租赁或合作；限1处地点，多处地点不累计，以面积最大的计分）面积情况：</w:t>
                  </w:r>
                </w:p>
                <w:p w14:paraId="46989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①面积≥2000亩的，得40分；</w:t>
                  </w:r>
                </w:p>
                <w:p w14:paraId="26961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②1000亩≤面积＜2000亩的，得20分；</w:t>
                  </w:r>
                </w:p>
                <w:p w14:paraId="5F656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③500≤面积＜1000亩的，得5分；</w:t>
                  </w:r>
                </w:p>
                <w:p w14:paraId="5EBEF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④其他情况不得分。</w:t>
                  </w:r>
                </w:p>
                <w:p w14:paraId="1042D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2.投标人提供近一年（自2024年1月1日起至投标截止日止）由具备CMA或CNAS资质的第三方检测机构出具的针对以上种植基地相关检测报告（检测报告需有CMA或CNAS标识，委托方或送检人需为投标人，否则不得分)；</w:t>
                  </w:r>
                </w:p>
                <w:p w14:paraId="3177D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①提供基地土壤检测报告，结论为合格；</w:t>
                  </w:r>
                </w:p>
                <w:p w14:paraId="74659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②提供基地灌溉水或灌溉水源检测报告，结论为合格；</w:t>
                  </w:r>
                </w:p>
                <w:p w14:paraId="39CE3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③提供基地环境空气检测报告，结论为合格；</w:t>
                  </w:r>
                </w:p>
                <w:p w14:paraId="4E936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以上满足三项得60分，满足两项得40分，一项得20分，没有则不得分。</w:t>
                  </w:r>
                </w:p>
                <w:p w14:paraId="117AD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（二）评分依据：</w:t>
                  </w:r>
                </w:p>
                <w:p w14:paraId="4FA90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1.证明以上第1项：</w:t>
                  </w:r>
                </w:p>
                <w:p w14:paraId="2802FE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（1）若是自有基地的需提供自有种植基地产权证明，须能体现所有权人为投标人及占地面积信息。</w:t>
                  </w:r>
                </w:p>
                <w:p w14:paraId="09DAE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（2）若是租赁（或合作）的需同时提供：</w:t>
                  </w:r>
                </w:p>
                <w:p w14:paraId="00177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①出租方的自有产权证明，若出租方非不动产所有权人，则应提供出租方与不动产所有权人签订的有效租赁合同和不动产所有权人的自有产权证明，且该合同应载明转租权条款，或提供不动产所有权人出具的同意转租的书面授权文件。</w:t>
                  </w:r>
                </w:p>
                <w:p w14:paraId="141F9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基地土地租赁（或合作）合同关键页（包括但不限于：合同名称页、合同主要内容页、合同签订日期页、合同双方签字盖章页；租期（或合作期）需涵盖本项目投标截止日），租赁（或合作）合同需能体现租赁人或承租人或合作方为投标人，租赁（或合作）合同若无面积信息，需增加其他能体现种植基地面积信息的材料；</w:t>
                  </w:r>
                </w:p>
                <w:p w14:paraId="6618A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③若为租赁基地则需提供2025年3月份的租金发票及银行转账（或收款、或付款）凭证，发票需以投标人名称为抬头；若为合作基地则无需提供该项；</w:t>
                  </w:r>
                </w:p>
                <w:p w14:paraId="4256C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④若租赁期限（或合作期限）未涵盖本项目</w:t>
                  </w:r>
                  <w:r>
                    <w:rPr>
                      <w:rFonts w:hint="eastAsia" w:ascii="宋体" w:hAnsi="宋体" w:eastAsia="宋体" w:cs="宋体"/>
                      <w:b/>
                      <w:bCs/>
                      <w:sz w:val="24"/>
                      <w:szCs w:val="24"/>
                      <w:lang w:val="en-US" w:eastAsia="zh-CN"/>
                    </w:rPr>
                    <w:t>服务</w:t>
                  </w:r>
                  <w:r>
                    <w:rPr>
                      <w:rFonts w:hint="eastAsia" w:ascii="宋体" w:hAnsi="宋体" w:eastAsia="宋体" w:cs="宋体"/>
                      <w:sz w:val="24"/>
                      <w:szCs w:val="24"/>
                      <w:lang w:val="en-US" w:eastAsia="zh-CN"/>
                    </w:rPr>
                    <w:t>期限，还需额外提供承诺函，承诺续期至本项目服务期限结束，或承诺重新签订涵盖本项目服务期限的基地土地租赁（或合作）合同。</w:t>
                  </w:r>
                </w:p>
                <w:p w14:paraId="72B24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2.证明以上第2项：</w:t>
                  </w:r>
                </w:p>
                <w:p w14:paraId="4B1A7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同时提供：</w:t>
                  </w:r>
                </w:p>
                <w:p w14:paraId="66087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①检测报告（检测报告需有CMA或CNAS标识，委托方或送检人需为投标人）；</w:t>
                  </w:r>
                </w:p>
                <w:p w14:paraId="718F8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②第三方检测机构的CMA或CNAS资质证书；</w:t>
                  </w:r>
                </w:p>
                <w:p w14:paraId="5E375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检测报告在全国认证认可信息公共服务平台（认e云）（http://cx.cnca.cn/）的查询截图且编号一致的证明材料；若检测报告在全国认证认可信息公共服务平台无法查询的，需要求提供监管机构的证明材料，以证明检验检测报告真实有效且为合法机构颁发。</w:t>
                  </w:r>
                </w:p>
                <w:p w14:paraId="50FDE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3.以上证明材料均需提供扫描件，原件备查。如未提供证明材料，或提供的证明材料不符合要求，或提供的证明材料不清晰导致评审专家无法辨认，或提供的证明材料未能体现上述评分内容的均不得分。</w:t>
                  </w:r>
                </w:p>
              </w:tc>
            </w:tr>
            <w:tr w14:paraId="4F0D73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52ECF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1C7BF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0D2A6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配送场所面积</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64781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78A3D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64CB6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投标人自有或租赁的配送场所（限1处地点，多处地点不累计，以面积最大的计分，不包含住宿面积）的面积：</w:t>
                  </w:r>
                </w:p>
                <w:p w14:paraId="61152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①场地面积≥2000平方米得100分；</w:t>
                  </w:r>
                </w:p>
                <w:p w14:paraId="4EAC4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②1000平方米≤场地面积＜2000平方米得50分；</w:t>
                  </w:r>
                </w:p>
                <w:p w14:paraId="40914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③500平方米≤场地面积＜1000平方米得25分；</w:t>
                  </w:r>
                </w:p>
                <w:p w14:paraId="13988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④其他情况或未提供相关资料不得分。</w:t>
                  </w:r>
                </w:p>
                <w:p w14:paraId="430A2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评分依据：</w:t>
                  </w:r>
                </w:p>
                <w:p w14:paraId="6CFA7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1.若是自有配送场所，需同时提供：</w:t>
                  </w:r>
                </w:p>
                <w:p w14:paraId="12768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①配送场所照片（至少1张）；</w:t>
                  </w:r>
                </w:p>
                <w:p w14:paraId="2054E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②自有产权证明，须能体现所有权人为投标人及体现占地面积信息；</w:t>
                  </w:r>
                </w:p>
                <w:p w14:paraId="35C03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2.若是租赁配送场所，须同时提供：</w:t>
                  </w:r>
                </w:p>
                <w:p w14:paraId="2A55F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①配送场所照片（至少1张）；</w:t>
                  </w:r>
                </w:p>
                <w:p w14:paraId="711FD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出租方的自有产权证明，若出租方非不动产所有权人，则应提供出租方与不动产所有权人签订的有效租赁合同和不动产所有权人的自有产权证明，且该合同应载明转租权条款，或提供不动产所有权人出具的同意转租的书面授权文件。</w:t>
                  </w:r>
                </w:p>
                <w:p w14:paraId="5FE11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租赁合同关键页（包括但不限于：合同名称页、合同主要内容页、合同签订日期页、合同双方签字盖章页；租期需涵盖本项目投标截止日），租赁合同需能体现租赁人或承租人为投标人，租赁合同若无面积信息，需增加其他能体现配送场所信息的材料；</w:t>
                  </w:r>
                </w:p>
                <w:p w14:paraId="4FEAC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④提供2025年3月份的租金发票及银行转账（或收款、或付款）凭证，发票需以投标人名称为抬头；</w:t>
                  </w:r>
                </w:p>
                <w:p w14:paraId="7BA01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⑤租赁期限如未涵盖本项目服务期限，需提供承诺函，承诺续期至本项目服务期限结束，或承诺重新签订涵盖本项目服务期限的租赁合同。</w:t>
                  </w:r>
                </w:p>
                <w:p w14:paraId="489EAC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3.以上证明材料均需提供扫描件，原件备查。如未提供证明材料，或提供的证明材料不符合要求，或提供的证明材料不清晰导致评审专家无法辨认，或提供的证明材料未能体现上述评分内容的均不得分。</w:t>
                  </w:r>
                </w:p>
              </w:tc>
            </w:tr>
            <w:tr w14:paraId="10671B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1A76E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1E1744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6FC3E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冷库面积</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64368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24B30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7299F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投标人自有或租赁的冷库【含冷冻（或急冻）和冷藏（或保鲜）】面积：</w:t>
                  </w:r>
                </w:p>
                <w:p w14:paraId="2C125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1.冷库面积总计≥1500平方米的得100分；</w:t>
                  </w:r>
                </w:p>
                <w:p w14:paraId="1FEA7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2.1000平方米≤冷库面积总计＜1500平方米的得50分；</w:t>
                  </w:r>
                </w:p>
                <w:p w14:paraId="12A07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3.400平方米≤冷库面积总计＜1000平方米的得25分；</w:t>
                  </w:r>
                </w:p>
                <w:p w14:paraId="01FFF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4.其他情况或未提供相关资料不得分。</w:t>
                  </w:r>
                </w:p>
                <w:p w14:paraId="0CC63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如有多个冷库，面积允许累计。</w:t>
                  </w:r>
                </w:p>
                <w:p w14:paraId="5BCDA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证明材料需体现冷库面积，若面积单位为立方米或其他单位的，投标人需同时提供换算为平方米的证明材料。若合同无面积信息，可增加其他能体现冷库面积信息的材料。</w:t>
                  </w:r>
                </w:p>
                <w:p w14:paraId="6CB56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（二）评分依据：</w:t>
                  </w:r>
                </w:p>
                <w:p w14:paraId="6BDA8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1.若是自有冷库，需同时提供：</w:t>
                  </w:r>
                </w:p>
                <w:p w14:paraId="68E64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①自有产权登记证书或房屋租赁证明；</w:t>
                  </w:r>
                </w:p>
                <w:p w14:paraId="7060A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②冷库正门照片（至少1张）；</w:t>
                  </w:r>
                </w:p>
                <w:p w14:paraId="27A5D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③冷库内景照片（至少1张）；</w:t>
                  </w:r>
                </w:p>
                <w:p w14:paraId="2F0DF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④冷库工程竣工验收报告或冷库安装合同或冷库转让合同证明文件（合同或验收报告需体现冷库面积，委托方为投标人；若面积单位为立方米或其他单位的，投标人需同时提供换算为平方米的证明材料）；</w:t>
                  </w:r>
                </w:p>
                <w:p w14:paraId="0587A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⑤冷库库温的2024年1月1日至本项目投标截止之日的校准报告（由具备中国计量认证(CMA)或中国合格评定国家认可委员会(CNAS)认证资质的第三方检测机构出具的校准报告，委托单位需为投标人）；</w:t>
                  </w:r>
                </w:p>
                <w:p w14:paraId="6A903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⑥第三方检测机构的CMA或CNAS资质证书。</w:t>
                  </w:r>
                </w:p>
                <w:p w14:paraId="09C69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2.若是租赁冷库，需同时提供：</w:t>
                  </w:r>
                </w:p>
                <w:p w14:paraId="61EFB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出租方的自有产权证明，若出租方非不动产所有权人，则应提供出租方与不动产所有权人签订的有效租赁合同和不动产所有权人的自有产权证明，且该合同应载明转租权条款，或提供不动产所有权人出具的同意转租的书面授权文件。</w:t>
                  </w:r>
                </w:p>
                <w:p w14:paraId="0EC33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租赁合同证明文件（包括但不限于：合同名称页、合同主要内容页、合同签订日期页、合同双方签字盖章页；租期需涵盖本项目投标截止日），租赁合同需能体现租赁人或承租人为投标人，证明文件需体现面积冷库面积，若面积单位为立方米或其他单位的，投标人需同时提供换算为平方米的证明材料。若合同无面积信息，可增加其他能体现冷库面积信息的材料；</w:t>
                  </w:r>
                </w:p>
                <w:p w14:paraId="04587B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③冷库正门照片（至少1张）；</w:t>
                  </w:r>
                </w:p>
                <w:p w14:paraId="1C905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④冷库内景照片（至少1张）；</w:t>
                  </w:r>
                </w:p>
                <w:p w14:paraId="72EAA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⑤冷库库温的2024年1月1日至本项目投标截止之日的校准报告（由具备中国计量认证(CMA)或中国合格评定国家认可委员会(CNAS)认证资质的第三方检测机构出具的校准报告，委托单位需为投标人）。</w:t>
                  </w:r>
                </w:p>
                <w:p w14:paraId="51E49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⑥第三方检测机构的CMA或CNAS资质证书；</w:t>
                  </w:r>
                </w:p>
                <w:p w14:paraId="79AB6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⑦若租赁期限未涵盖本项目服务期限，需提供承诺函，承诺续期至本项目服务期限结束，或承诺重新签订涵盖本项目服务期限的租赁合同；</w:t>
                  </w:r>
                </w:p>
                <w:p w14:paraId="5A9E2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⑧提供2025年3月份的租金发票及银行转账（或收款、或付款）凭证，发票需以投标人名称为抬头；</w:t>
                  </w:r>
                </w:p>
                <w:p w14:paraId="73775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default" w:ascii="宋体" w:hAnsi="宋体" w:eastAsia="宋体" w:cs="宋体"/>
                      <w:sz w:val="24"/>
                      <w:szCs w:val="24"/>
                    </w:rPr>
                    <w:t>以上证明材料均需提供扫描件，原件备查。如未提供证明材料，或提供的证明材料不符合要求，或提供的证明材料不清晰导致评审专家无法辨认，或提供的证明材料未能体现上述评分内容的均不得分。</w:t>
                  </w:r>
                </w:p>
              </w:tc>
            </w:tr>
            <w:tr w14:paraId="193474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366BB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6A986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53EDC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检测实验室情况</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79E3C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5</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68070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（一）评审内容：</w:t>
                  </w:r>
                </w:p>
                <w:p w14:paraId="687E7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1.投标人自有或租赁的场地具有自建或租赁的检测实验室的得20分；</w:t>
                  </w:r>
                </w:p>
                <w:p w14:paraId="108A6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2.投标人自有的或租赁场地自建的检测实验室内具备以下功能的设备（购买或租赁）的，按以下标准评审：</w:t>
                  </w:r>
                </w:p>
                <w:p w14:paraId="4B79C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①农药残留类检测</w:t>
                  </w:r>
                </w:p>
                <w:p w14:paraId="7E4BC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②重金属类检测</w:t>
                  </w:r>
                </w:p>
                <w:p w14:paraId="7DA67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③兽药残留类检测</w:t>
                  </w:r>
                </w:p>
                <w:p w14:paraId="05D85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④水产类检测</w:t>
                  </w:r>
                </w:p>
                <w:p w14:paraId="63067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⑤细菌类检测</w:t>
                  </w:r>
                </w:p>
                <w:p w14:paraId="0F2C8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⑥水质类检测</w:t>
                  </w:r>
                </w:p>
                <w:p w14:paraId="4B7B3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⑦食品添加剂类检测</w:t>
                  </w:r>
                </w:p>
                <w:p w14:paraId="46285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⑧真菌霉素类检测</w:t>
                  </w:r>
                </w:p>
                <w:p w14:paraId="19EB2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⑨食用油类检测分析</w:t>
                  </w:r>
                </w:p>
                <w:p w14:paraId="266EA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⑩粮谷类类检测分析</w:t>
                  </w:r>
                </w:p>
                <w:p w14:paraId="277D1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每提供上述一项仪器的得8分，如同一设备同时具备（满足）以上第1至10项检测仪器中多个检测仪器的检测功能，可同时获得对应仪器的得分。同一类仪器只计一次分，不重复计分，本小项最高得80分（仪器名称如有出入，需提供说明书或相关证明材料证明功能能满足对应检测仪器的功能亦可得分）。</w:t>
                  </w:r>
                </w:p>
                <w:p w14:paraId="78A76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（二）评分依据：</w:t>
                  </w:r>
                </w:p>
                <w:p w14:paraId="2B173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1.证明以上第1项</w:t>
                  </w:r>
                </w:p>
                <w:p w14:paraId="74D9E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（1）若是自有产权，需同时提供：</w:t>
                  </w:r>
                </w:p>
                <w:p w14:paraId="431E6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①自有产权证明（需体现面积）；</w:t>
                  </w:r>
                </w:p>
                <w:p w14:paraId="1E013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②检测实验室内部照片（至少2张）；</w:t>
                  </w:r>
                </w:p>
                <w:p w14:paraId="6FA5D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③检测室的相关证明文件（如检测室建造合同等）；</w:t>
                  </w:r>
                </w:p>
                <w:p w14:paraId="55C3B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（2）若是租赁场地且是自建检测实验室，需同时提供：</w:t>
                  </w:r>
                </w:p>
                <w:p w14:paraId="67A31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①检测室的相关证明文件（如检测室建造合同等，发包方或甲方须为投标单位）；</w:t>
                  </w:r>
                </w:p>
                <w:p w14:paraId="274B8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出租方的自有产权证明，若出租方非不动产所有权人，则应提供出租方与不动产所有权人签订的有效租赁合同和不动产所有权人的自有产权证明，且该合同应载明转租权条款，或提供不动产所有权人出具的同意转租的书面授权文件。</w:t>
                  </w:r>
                </w:p>
                <w:p w14:paraId="503F7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③场地租赁合同（承租方须为投标人，租赁期限须在投标截止日有效）；</w:t>
                  </w:r>
                </w:p>
                <w:p w14:paraId="6DD4D96D">
                  <w:pPr>
                    <w:keepNext w:val="0"/>
                    <w:keepLines w:val="0"/>
                    <w:widowControl/>
                    <w:suppressLineNumbers w:val="0"/>
                    <w:spacing w:before="0" w:beforeAutospacing="0" w:after="0" w:afterAutospacing="0" w:line="240" w:lineRule="auto"/>
                    <w:ind w:left="0" w:right="0"/>
                    <w:jc w:val="both"/>
                    <w:rPr>
                      <w:rFonts w:hint="eastAsia"/>
                    </w:rPr>
                  </w:pPr>
                  <w:r>
                    <w:rPr>
                      <w:rFonts w:hint="eastAsia" w:ascii="宋体" w:hAnsi="宋体" w:eastAsia="宋体" w:cs="宋体"/>
                      <w:sz w:val="24"/>
                      <w:szCs w:val="24"/>
                      <w:lang w:val="en-US" w:eastAsia="zh-CN"/>
                    </w:rPr>
                    <w:t>④提供2025年3月份的场地租金发票及银行转账（或收款、或付款）凭证，发票需以投标人名称为抬头；</w:t>
                  </w:r>
                </w:p>
                <w:p w14:paraId="2961D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⑤租赁期限如未涵盖本项目服务期限，需提供承诺函，承诺续期至本项目服务期限结束，或承诺重新签订涵盖本项目服务期限的租赁合同；</w:t>
                  </w:r>
                </w:p>
                <w:p w14:paraId="620B0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⑥检测实验室内部照片（至少2张）；</w:t>
                  </w:r>
                </w:p>
                <w:p w14:paraId="12740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（3）若是租赁第三方检测实验室，需同时提供：</w:t>
                  </w:r>
                </w:p>
                <w:p w14:paraId="3A920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①检测室的相关证明文件（如检测实验室建造合同等）；</w:t>
                  </w:r>
                </w:p>
                <w:p w14:paraId="501F4B79">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②租赁合同（出租方须为检测实验室建造的发包方或甲方，承租方须为投标人，租赁期限须在投标截止日有效，合同需体现承租检测实验室相关内容）；</w:t>
                  </w:r>
                </w:p>
                <w:p w14:paraId="37F61EC2">
                  <w:pPr>
                    <w:keepNext w:val="0"/>
                    <w:keepLines w:val="0"/>
                    <w:widowControl/>
                    <w:suppressLineNumbers w:val="0"/>
                    <w:spacing w:before="0" w:beforeAutospacing="0" w:after="0" w:afterAutospacing="0" w:line="240" w:lineRule="auto"/>
                    <w:ind w:left="0" w:right="0"/>
                    <w:jc w:val="both"/>
                    <w:rPr>
                      <w:rFonts w:hint="default"/>
                      <w:lang w:val="en-US"/>
                    </w:rPr>
                  </w:pPr>
                  <w:r>
                    <w:rPr>
                      <w:rFonts w:hint="eastAsia" w:ascii="宋体" w:hAnsi="宋体" w:eastAsia="宋体" w:cs="宋体"/>
                      <w:sz w:val="24"/>
                      <w:szCs w:val="24"/>
                      <w:lang w:val="en-US" w:eastAsia="zh-CN"/>
                    </w:rPr>
                    <w:t>③提供2025年3月份的检测实验室的租金发票及检测实验室的银行转账（或收款、或付款）凭证，发票需以投标人名称为抬头；</w:t>
                  </w:r>
                </w:p>
                <w:p w14:paraId="0C33F15B">
                  <w:pPr>
                    <w:keepNext w:val="0"/>
                    <w:keepLines w:val="0"/>
                    <w:widowControl/>
                    <w:suppressLineNumbers w:val="0"/>
                    <w:spacing w:before="0" w:beforeAutospacing="0" w:after="0" w:afterAutospacing="0" w:line="240" w:lineRule="auto"/>
                    <w:ind w:left="0" w:right="0"/>
                    <w:jc w:val="both"/>
                    <w:rPr>
                      <w:rFonts w:hint="eastAsia"/>
                    </w:rPr>
                  </w:pPr>
                  <w:r>
                    <w:rPr>
                      <w:rFonts w:hint="eastAsia" w:ascii="宋体" w:hAnsi="宋体" w:eastAsia="宋体" w:cs="宋体"/>
                      <w:sz w:val="24"/>
                      <w:szCs w:val="24"/>
                      <w:lang w:val="en-US" w:eastAsia="zh-CN"/>
                    </w:rPr>
                    <w:t>④租赁期限如未涵盖本项目服务期限，需提供承诺函，承诺续期至本项目服务期限结束，或承诺重新签订涵盖本项目服务期限的租赁合同；</w:t>
                  </w:r>
                </w:p>
                <w:p w14:paraId="36556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⑤检测实验室内部照片（至少2张）；</w:t>
                  </w:r>
                </w:p>
                <w:p w14:paraId="01051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2.证明以上第2项</w:t>
                  </w:r>
                </w:p>
                <w:p w14:paraId="58FAC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（1）若是自购，需同时提供：</w:t>
                  </w:r>
                </w:p>
                <w:p w14:paraId="57157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①仪器照片（每种仪器至少1张）；</w:t>
                  </w:r>
                </w:p>
                <w:p w14:paraId="2F0811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②发票（购买方须为投标人）；</w:t>
                  </w:r>
                </w:p>
                <w:p w14:paraId="0780A8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（2）若是租赁，需同时提供：</w:t>
                  </w:r>
                </w:p>
                <w:p w14:paraId="0ADF9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①仪器照片（每种仪器至少1张）；</w:t>
                  </w:r>
                </w:p>
                <w:p w14:paraId="478BB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②租赁合同（承租方需为投标人，租赁期限须在投标截止日有效）；</w:t>
                  </w:r>
                </w:p>
                <w:p w14:paraId="04A9F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③提供2025年3月份的租金发票及银行转账（或收款、或付款）凭证，发票需以投标人名称为抬头；</w:t>
                  </w:r>
                </w:p>
                <w:p w14:paraId="6DECB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④若租赁期限未涵盖本项目服务期限，需提供承诺函，承诺续期至本项目服务期限结束，或承诺重新签订涵盖本项目服务期限的租赁合同；</w:t>
                  </w:r>
                </w:p>
                <w:p w14:paraId="7341C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3.以上证明材料均需提供扫描件，原件备查。如未提供证明材料，或提供的证明材料不符合要求，或提供的证明材料不清晰导致评审专家无法辨认，或提供的证明材料未能体现上述评分内容的均不得分。</w:t>
                  </w:r>
                </w:p>
              </w:tc>
            </w:tr>
            <w:tr w14:paraId="4EA11D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76" w:type="dxa"/>
                  <w:vMerge w:val="restart"/>
                  <w:tcBorders>
                    <w:top w:val="single" w:color="000000" w:sz="8" w:space="0"/>
                    <w:left w:val="single" w:color="000000" w:sz="8" w:space="0"/>
                    <w:bottom w:val="single" w:color="000000" w:sz="8" w:space="0"/>
                    <w:right w:val="single" w:color="000000" w:sz="8" w:space="0"/>
                  </w:tcBorders>
                  <w:noWrap w:val="0"/>
                  <w:vAlign w:val="top"/>
                </w:tcPr>
                <w:p w14:paraId="1B223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3</w:t>
                  </w:r>
                </w:p>
              </w:tc>
              <w:tc>
                <w:tcPr>
                  <w:tcW w:w="3000" w:type="dxa"/>
                  <w:gridSpan w:val="3"/>
                  <w:tcBorders>
                    <w:top w:val="single" w:color="000000" w:sz="8" w:space="0"/>
                    <w:left w:val="single" w:color="000000" w:sz="8" w:space="0"/>
                    <w:bottom w:val="single" w:color="000000" w:sz="8" w:space="0"/>
                    <w:right w:val="single" w:color="000000" w:sz="8" w:space="0"/>
                  </w:tcBorders>
                  <w:noWrap w:val="0"/>
                  <w:vAlign w:val="top"/>
                </w:tcPr>
                <w:p w14:paraId="647FB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商务需求</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0E85E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40</w:t>
                  </w:r>
                </w:p>
              </w:tc>
            </w:tr>
            <w:tr w14:paraId="023C18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40328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8396" w:type="dxa"/>
                  <w:gridSpan w:val="4"/>
                  <w:tcBorders>
                    <w:top w:val="single" w:color="000000" w:sz="8" w:space="0"/>
                    <w:left w:val="single" w:color="000000" w:sz="8" w:space="0"/>
                    <w:bottom w:val="single" w:color="000000" w:sz="8" w:space="0"/>
                    <w:right w:val="single" w:color="000000" w:sz="8" w:space="0"/>
                  </w:tcBorders>
                  <w:noWrap w:val="0"/>
                  <w:vAlign w:val="top"/>
                </w:tcPr>
                <w:p w14:paraId="6EAE3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sz w:val="24"/>
                      <w:szCs w:val="24"/>
                    </w:rPr>
                  </w:pPr>
                </w:p>
              </w:tc>
            </w:tr>
            <w:tr w14:paraId="74627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45BBF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3A58B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9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2B2E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评审因素</w:t>
                  </w:r>
                </w:p>
              </w:tc>
              <w:tc>
                <w:tcPr>
                  <w:tcW w:w="10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6C21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权重(%)</w:t>
                  </w:r>
                </w:p>
              </w:tc>
              <w:tc>
                <w:tcPr>
                  <w:tcW w:w="53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2703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评分准则</w:t>
                  </w:r>
                </w:p>
              </w:tc>
            </w:tr>
            <w:tr w14:paraId="6723E0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547B9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0C45B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5FDC3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食品检测保障能力（定量检测）</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51359F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722ADC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（一）评审内容：</w:t>
                  </w:r>
                </w:p>
                <w:p w14:paraId="10A91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定量检测</w:t>
                  </w:r>
                </w:p>
                <w:p w14:paraId="7ADFF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提供</w:t>
                  </w:r>
                  <w:r>
                    <w:rPr>
                      <w:rFonts w:hint="eastAsia" w:ascii="宋体" w:hAnsi="宋体" w:eastAsia="宋体" w:cs="宋体"/>
                      <w:sz w:val="24"/>
                      <w:szCs w:val="24"/>
                      <w:lang w:val="en-US" w:eastAsia="zh-CN"/>
                    </w:rPr>
                    <w:t>2024</w:t>
                  </w:r>
                  <w:r>
                    <w:rPr>
                      <w:rFonts w:hint="default" w:ascii="宋体" w:hAnsi="宋体" w:eastAsia="宋体" w:cs="宋体"/>
                      <w:sz w:val="24"/>
                      <w:szCs w:val="24"/>
                      <w:lang w:val="en-US" w:eastAsia="zh-CN"/>
                    </w:rPr>
                    <w:t>年</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月</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日以后，由具备</w:t>
                  </w:r>
                  <w:r>
                    <w:rPr>
                      <w:rFonts w:hint="eastAsia" w:ascii="宋体" w:hAnsi="宋体" w:eastAsia="宋体" w:cs="宋体"/>
                      <w:sz w:val="24"/>
                      <w:szCs w:val="24"/>
                      <w:lang w:val="en-US" w:eastAsia="zh-CN"/>
                    </w:rPr>
                    <w:t>CMA或CNAS</w:t>
                  </w:r>
                  <w:r>
                    <w:rPr>
                      <w:rFonts w:hint="default" w:ascii="宋体" w:hAnsi="宋体" w:eastAsia="宋体" w:cs="宋体"/>
                      <w:sz w:val="24"/>
                      <w:szCs w:val="24"/>
                      <w:lang w:val="en-US" w:eastAsia="zh-CN"/>
                    </w:rPr>
                    <w:t>资质的第三方检测机构出具的以下食材的检测报告（检测报告的检测项目均须包含但不限于以下的检测内容），且检测结果为合格（或符合或达标或未检出或其他同等结论，如检测项目出现“</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”类结论的不计分），每提供以下一个种类任意一个月的检测报告的得</w:t>
                  </w:r>
                  <w:r>
                    <w:rPr>
                      <w:rFonts w:hint="eastAsia" w:ascii="宋体" w:hAnsi="宋体" w:eastAsia="宋体" w:cs="宋体"/>
                      <w:sz w:val="24"/>
                      <w:szCs w:val="24"/>
                      <w:lang w:val="en-US" w:eastAsia="zh-CN"/>
                    </w:rPr>
                    <w:t>9.1</w:t>
                  </w:r>
                  <w:r>
                    <w:rPr>
                      <w:rFonts w:hint="default" w:ascii="宋体" w:hAnsi="宋体" w:eastAsia="宋体" w:cs="宋体"/>
                      <w:sz w:val="24"/>
                      <w:szCs w:val="24"/>
                      <w:lang w:val="en-US" w:eastAsia="zh-CN"/>
                    </w:rPr>
                    <w:t>分，最高得</w:t>
                  </w:r>
                  <w:r>
                    <w:rPr>
                      <w:rFonts w:hint="eastAsia" w:ascii="宋体" w:hAnsi="宋体" w:eastAsia="宋体" w:cs="宋体"/>
                      <w:sz w:val="24"/>
                      <w:szCs w:val="24"/>
                      <w:lang w:val="en-US" w:eastAsia="zh-CN"/>
                    </w:rPr>
                    <w:t>100</w:t>
                  </w:r>
                  <w:r>
                    <w:rPr>
                      <w:rFonts w:hint="default" w:ascii="宋体" w:hAnsi="宋体" w:eastAsia="宋体" w:cs="宋体"/>
                      <w:sz w:val="24"/>
                      <w:szCs w:val="24"/>
                      <w:lang w:val="en-US" w:eastAsia="zh-CN"/>
                    </w:rPr>
                    <w:t>分：</w:t>
                  </w:r>
                </w:p>
                <w:p w14:paraId="3C2C8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）大米类：</w:t>
                  </w:r>
                </w:p>
                <w:p w14:paraId="17606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w:t>
                  </w:r>
                  <w:r>
                    <w:rPr>
                      <w:rFonts w:hint="eastAsia" w:ascii="宋体" w:hAnsi="宋体" w:eastAsia="宋体" w:cs="宋体"/>
                      <w:sz w:val="24"/>
                      <w:szCs w:val="24"/>
                      <w:lang w:val="en-US" w:eastAsia="zh-CN"/>
                    </w:rPr>
                    <w:t>≥10个，</w:t>
                  </w:r>
                  <w:r>
                    <w:rPr>
                      <w:rFonts w:hint="default" w:ascii="宋体" w:hAnsi="宋体" w:eastAsia="宋体" w:cs="宋体"/>
                      <w:sz w:val="24"/>
                      <w:szCs w:val="24"/>
                      <w:lang w:val="en-US" w:eastAsia="zh-CN"/>
                    </w:rPr>
                    <w:t>包含但不限于：</w:t>
                  </w:r>
                </w:p>
                <w:p w14:paraId="7058A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铅</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以</w:t>
                  </w:r>
                  <w:r>
                    <w:rPr>
                      <w:rFonts w:hint="eastAsia" w:ascii="宋体" w:hAnsi="宋体" w:eastAsia="宋体" w:cs="宋体"/>
                      <w:sz w:val="24"/>
                      <w:szCs w:val="24"/>
                      <w:lang w:val="en-US" w:eastAsia="zh-CN"/>
                    </w:rPr>
                    <w:t>Pb</w:t>
                  </w:r>
                  <w:r>
                    <w:rPr>
                      <w:rFonts w:hint="default" w:ascii="宋体" w:hAnsi="宋体" w:eastAsia="宋体" w:cs="宋体"/>
                      <w:sz w:val="24"/>
                      <w:szCs w:val="24"/>
                      <w:lang w:val="en-US" w:eastAsia="zh-CN"/>
                    </w:rPr>
                    <w:t>计</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、镉</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以</w:t>
                  </w:r>
                  <w:r>
                    <w:rPr>
                      <w:rFonts w:hint="eastAsia" w:ascii="宋体" w:hAnsi="宋体" w:eastAsia="宋体" w:cs="宋体"/>
                      <w:sz w:val="24"/>
                      <w:szCs w:val="24"/>
                      <w:lang w:val="en-US" w:eastAsia="zh-CN"/>
                    </w:rPr>
                    <w:t>Cd</w:t>
                  </w:r>
                  <w:r>
                    <w:rPr>
                      <w:rFonts w:hint="default" w:ascii="宋体" w:hAnsi="宋体" w:eastAsia="宋体" w:cs="宋体"/>
                      <w:sz w:val="24"/>
                      <w:szCs w:val="24"/>
                      <w:lang w:val="en-US" w:eastAsia="zh-CN"/>
                    </w:rPr>
                    <w:t>计</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、黄曲霉毒素</w:t>
                  </w:r>
                  <w:r>
                    <w:rPr>
                      <w:rFonts w:hint="eastAsia" w:ascii="宋体" w:hAnsi="宋体" w:eastAsia="宋体" w:cs="宋体"/>
                      <w:sz w:val="24"/>
                      <w:szCs w:val="24"/>
                      <w:lang w:val="en-US" w:eastAsia="zh-CN"/>
                    </w:rPr>
                    <w:t>B1</w:t>
                  </w:r>
                  <w:r>
                    <w:rPr>
                      <w:rFonts w:hint="default" w:ascii="宋体" w:hAnsi="宋体" w:eastAsia="宋体" w:cs="宋体"/>
                      <w:sz w:val="24"/>
                      <w:szCs w:val="24"/>
                      <w:lang w:val="en-US" w:eastAsia="zh-CN"/>
                    </w:rPr>
                    <w:t>、苯并</w:t>
                  </w:r>
                  <w:r>
                    <w:rPr>
                      <w:rFonts w:hint="eastAsia" w:ascii="宋体" w:hAnsi="宋体" w:eastAsia="宋体" w:cs="宋体"/>
                      <w:sz w:val="24"/>
                      <w:szCs w:val="24"/>
                      <w:lang w:val="en-US" w:eastAsia="zh-CN"/>
                    </w:rPr>
                    <w:t>[a]</w:t>
                  </w:r>
                  <w:r>
                    <w:rPr>
                      <w:rFonts w:hint="default" w:ascii="宋体" w:hAnsi="宋体" w:eastAsia="宋体" w:cs="宋体"/>
                      <w:sz w:val="24"/>
                      <w:szCs w:val="24"/>
                      <w:lang w:val="en-US" w:eastAsia="zh-CN"/>
                    </w:rPr>
                    <w:t>芘、无机砷（以</w:t>
                  </w:r>
                  <w:r>
                    <w:rPr>
                      <w:rFonts w:hint="eastAsia" w:ascii="宋体" w:hAnsi="宋体" w:eastAsia="宋体" w:cs="宋体"/>
                      <w:sz w:val="24"/>
                      <w:szCs w:val="24"/>
                      <w:lang w:val="en-US" w:eastAsia="zh-CN"/>
                    </w:rPr>
                    <w:t>As</w:t>
                  </w:r>
                  <w:r>
                    <w:rPr>
                      <w:rFonts w:hint="default" w:ascii="宋体" w:hAnsi="宋体" w:eastAsia="宋体" w:cs="宋体"/>
                      <w:sz w:val="24"/>
                      <w:szCs w:val="24"/>
                      <w:lang w:val="en-US" w:eastAsia="zh-CN"/>
                    </w:rPr>
                    <w:t>计）；</w:t>
                  </w:r>
                </w:p>
                <w:p w14:paraId="08E481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）食用油类：</w:t>
                  </w:r>
                </w:p>
                <w:p w14:paraId="068D7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61A0A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酸价、过氧化值、苯并[a]芘、溶剂残留量、特丁基对苯二酚(TBHQ)；</w:t>
                  </w:r>
                </w:p>
                <w:p w14:paraId="2211D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肉类：</w:t>
                  </w:r>
                </w:p>
                <w:p w14:paraId="14B3A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检测项目≥10个，包含但不限于：</w:t>
                  </w:r>
                </w:p>
                <w:p w14:paraId="51875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挥发性盐基氮、克伦特罗、沙丁胺醇、莱克多巴胺、五氯酚酸钠(以五氯酚计)；</w:t>
                  </w:r>
                </w:p>
                <w:p w14:paraId="0A2B6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）禽类：</w:t>
                  </w:r>
                </w:p>
                <w:p w14:paraId="63F44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6447C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挥发性盐基氮、恩诺沙星、五氯酚酸钠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以五氯酚计</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、氯霉素、甲硝唑；</w:t>
                  </w:r>
                </w:p>
                <w:p w14:paraId="289C3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）水产品类：</w:t>
                  </w:r>
                </w:p>
                <w:p w14:paraId="3837E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检测项目≥10个，包含但不限于：</w:t>
                  </w:r>
                </w:p>
                <w:p w14:paraId="17229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恩诺沙星、呋喃唑酮代谢物、呋喃妥因代谢物、呋喃它酮代谢物、呋喃西林代谢物；</w:t>
                  </w:r>
                </w:p>
                <w:p w14:paraId="4531B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6</w:t>
                  </w:r>
                  <w:r>
                    <w:rPr>
                      <w:rFonts w:hint="default" w:ascii="宋体" w:hAnsi="宋体" w:eastAsia="宋体" w:cs="宋体"/>
                      <w:sz w:val="24"/>
                      <w:szCs w:val="24"/>
                      <w:lang w:val="en-US" w:eastAsia="zh-CN"/>
                    </w:rPr>
                    <w:t>）蛋类：</w:t>
                  </w:r>
                </w:p>
                <w:p w14:paraId="6FE2C1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196DC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呋喃它酮代谢物、氧氟沙星、金刚烷胺、苯甲酸及其钠盐(以苯甲酸计)、山梨酸及其钾盐(以山梨酸计)；</w:t>
                  </w:r>
                </w:p>
                <w:p w14:paraId="3D9342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7</w:t>
                  </w:r>
                  <w:r>
                    <w:rPr>
                      <w:rFonts w:hint="default" w:ascii="宋体" w:hAnsi="宋体" w:eastAsia="宋体" w:cs="宋体"/>
                      <w:sz w:val="24"/>
                      <w:szCs w:val="24"/>
                      <w:lang w:val="en-US" w:eastAsia="zh-CN"/>
                    </w:rPr>
                    <w:t>）蔬菜类：</w:t>
                  </w:r>
                </w:p>
                <w:p w14:paraId="0ED34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6B767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氧乐果、甲基异柳磷、多菌灵、敌敌畏、水胺硫磷；</w:t>
                  </w:r>
                </w:p>
                <w:p w14:paraId="62BDC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8</w:t>
                  </w:r>
                  <w:r>
                    <w:rPr>
                      <w:rFonts w:hint="default" w:ascii="宋体" w:hAnsi="宋体" w:eastAsia="宋体" w:cs="宋体"/>
                      <w:sz w:val="24"/>
                      <w:szCs w:val="24"/>
                      <w:lang w:val="en-US" w:eastAsia="zh-CN"/>
                    </w:rPr>
                    <w:t>）冻品类：</w:t>
                  </w:r>
                </w:p>
                <w:p w14:paraId="11A29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0132D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林丹、甲砜霉素、地美硝唑、</w:t>
                  </w:r>
                  <w:r>
                    <w:rPr>
                      <w:rFonts w:hint="eastAsia" w:ascii="宋体" w:hAnsi="宋体" w:eastAsia="宋体" w:cs="宋体"/>
                      <w:sz w:val="24"/>
                      <w:szCs w:val="24"/>
                      <w:lang w:val="en-US" w:eastAsia="zh-CN"/>
                    </w:rPr>
                    <w:t>总</w:t>
                  </w:r>
                  <w:r>
                    <w:rPr>
                      <w:rFonts w:hint="default" w:ascii="宋体" w:hAnsi="宋体" w:eastAsia="宋体" w:cs="宋体"/>
                      <w:sz w:val="24"/>
                      <w:szCs w:val="24"/>
                      <w:lang w:val="en-US" w:eastAsia="zh-CN"/>
                    </w:rPr>
                    <w:t>汞、铅（以</w:t>
                  </w:r>
                  <w:r>
                    <w:rPr>
                      <w:rFonts w:hint="eastAsia" w:ascii="宋体" w:hAnsi="宋体" w:eastAsia="宋体" w:cs="宋体"/>
                      <w:sz w:val="24"/>
                      <w:szCs w:val="24"/>
                      <w:lang w:val="en-US" w:eastAsia="zh-CN"/>
                    </w:rPr>
                    <w:t>Pb</w:t>
                  </w:r>
                  <w:r>
                    <w:rPr>
                      <w:rFonts w:hint="default" w:ascii="宋体" w:hAnsi="宋体" w:eastAsia="宋体" w:cs="宋体"/>
                      <w:sz w:val="24"/>
                      <w:szCs w:val="24"/>
                      <w:lang w:val="en-US" w:eastAsia="zh-CN"/>
                    </w:rPr>
                    <w:t>计）；</w:t>
                  </w:r>
                </w:p>
                <w:p w14:paraId="3F61E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9</w:t>
                  </w:r>
                  <w:r>
                    <w:rPr>
                      <w:rFonts w:hint="default" w:ascii="宋体" w:hAnsi="宋体" w:eastAsia="宋体" w:cs="宋体"/>
                      <w:sz w:val="24"/>
                      <w:szCs w:val="24"/>
                      <w:lang w:val="en-US" w:eastAsia="zh-CN"/>
                    </w:rPr>
                    <w:t>）干货类：</w:t>
                  </w:r>
                </w:p>
                <w:p w14:paraId="33553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1A3D8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铬、糖精钠、山梨酸及其钾盐、二氧化硫残留量、阿斯巴甜；</w:t>
                  </w:r>
                </w:p>
                <w:p w14:paraId="3EE15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10</w:t>
                  </w:r>
                  <w:r>
                    <w:rPr>
                      <w:rFonts w:hint="default" w:ascii="宋体" w:hAnsi="宋体" w:eastAsia="宋体" w:cs="宋体"/>
                      <w:sz w:val="24"/>
                      <w:szCs w:val="24"/>
                      <w:lang w:val="en-US" w:eastAsia="zh-CN"/>
                    </w:rPr>
                    <w:t>）豆制品类：</w:t>
                  </w:r>
                </w:p>
                <w:p w14:paraId="1BA4B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0B29B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亚硝酸盐、镉、铅、糖精钠、山梨酸及其钾盐；</w:t>
                  </w:r>
                </w:p>
                <w:p w14:paraId="51297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11</w:t>
                  </w:r>
                  <w:r>
                    <w:rPr>
                      <w:rFonts w:hint="default" w:ascii="宋体" w:hAnsi="宋体" w:eastAsia="宋体" w:cs="宋体"/>
                      <w:sz w:val="24"/>
                      <w:szCs w:val="24"/>
                      <w:lang w:val="en-US" w:eastAsia="zh-CN"/>
                    </w:rPr>
                    <w:t>）水果类：</w:t>
                  </w:r>
                </w:p>
                <w:p w14:paraId="01F41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检测项目≥10个，包含但不限于：</w:t>
                  </w:r>
                </w:p>
                <w:p w14:paraId="77FAE1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氧乐果、氟虫腈、毒死蜱、水胺硫磷、克百威（包括</w:t>
                  </w: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羟基克百威）；</w:t>
                  </w:r>
                </w:p>
                <w:p w14:paraId="65459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（二）评审依据：</w:t>
                  </w:r>
                </w:p>
                <w:p w14:paraId="64267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同时提供：</w:t>
                  </w:r>
                </w:p>
                <w:p w14:paraId="29DA7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）提供出具检测报告的第三方检测机构的</w:t>
                  </w:r>
                  <w:r>
                    <w:rPr>
                      <w:rFonts w:hint="eastAsia" w:ascii="宋体" w:hAnsi="宋体" w:eastAsia="宋体" w:cs="宋体"/>
                      <w:sz w:val="24"/>
                      <w:szCs w:val="24"/>
                      <w:lang w:val="en-US" w:eastAsia="zh-CN"/>
                    </w:rPr>
                    <w:t>CMA或CNAS</w:t>
                  </w:r>
                  <w:r>
                    <w:rPr>
                      <w:rFonts w:hint="default" w:ascii="宋体" w:hAnsi="宋体" w:eastAsia="宋体" w:cs="宋体"/>
                      <w:sz w:val="24"/>
                      <w:szCs w:val="24"/>
                      <w:lang w:val="en-US" w:eastAsia="zh-CN"/>
                    </w:rPr>
                    <w:t>资质证书扫描件；</w:t>
                  </w:r>
                </w:p>
                <w:p w14:paraId="16A05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）提供带有</w:t>
                  </w:r>
                  <w:r>
                    <w:rPr>
                      <w:rFonts w:hint="eastAsia" w:ascii="宋体" w:hAnsi="宋体" w:eastAsia="宋体" w:cs="宋体"/>
                      <w:sz w:val="24"/>
                      <w:szCs w:val="24"/>
                      <w:lang w:val="en-US" w:eastAsia="zh-CN"/>
                    </w:rPr>
                    <w:t xml:space="preserve">CMA或CNAS </w:t>
                  </w:r>
                  <w:r>
                    <w:rPr>
                      <w:rFonts w:hint="default" w:ascii="宋体" w:hAnsi="宋体" w:eastAsia="宋体" w:cs="宋体"/>
                      <w:sz w:val="24"/>
                      <w:szCs w:val="24"/>
                      <w:lang w:val="en-US" w:eastAsia="zh-CN"/>
                    </w:rPr>
                    <w:t>标志的</w:t>
                  </w:r>
                  <w:r>
                    <w:rPr>
                      <w:rFonts w:hint="eastAsia" w:ascii="宋体" w:hAnsi="宋体" w:eastAsia="宋体" w:cs="宋体"/>
                      <w:sz w:val="24"/>
                      <w:szCs w:val="24"/>
                      <w:lang w:val="en-US" w:eastAsia="zh-CN"/>
                    </w:rPr>
                    <w:t>有效</w:t>
                  </w:r>
                  <w:r>
                    <w:rPr>
                      <w:rFonts w:hint="default" w:ascii="宋体" w:hAnsi="宋体" w:eastAsia="宋体" w:cs="宋体"/>
                      <w:sz w:val="24"/>
                      <w:szCs w:val="24"/>
                      <w:lang w:val="en-US" w:eastAsia="zh-CN"/>
                    </w:rPr>
                    <w:t>检测报告扫描件</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检测报告委托单位或送检单位须为投标人；</w:t>
                  </w:r>
                </w:p>
                <w:p w14:paraId="007A6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检测报告在全国认证认可信息公共服务平台（认e云）（http://cx.cnca.cn/）的查询截图且编号一致的证明材料；若检测报告在全国认证认可信息公共服务平台无法查询的，需要求提供监管机构的证明材料，以证明检验检测报告真实有效且为合法机构颁发。</w:t>
                  </w:r>
                </w:p>
                <w:p w14:paraId="24AAB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检测报告须能体现上述评分要求内容，如上述检测项目的检测报告出现相关内容备注或体现相关检测项目不在检测机构资质</w:t>
                  </w:r>
                  <w:r>
                    <w:rPr>
                      <w:rFonts w:hint="eastAsia" w:ascii="宋体" w:hAnsi="宋体" w:eastAsia="宋体" w:cs="宋体"/>
                      <w:sz w:val="24"/>
                      <w:szCs w:val="24"/>
                      <w:lang w:val="en-US" w:eastAsia="zh-CN"/>
                    </w:rPr>
                    <w:t>CMA或CNAS</w:t>
                  </w:r>
                  <w:r>
                    <w:rPr>
                      <w:rFonts w:hint="default" w:ascii="宋体" w:hAnsi="宋体" w:eastAsia="宋体" w:cs="宋体"/>
                      <w:sz w:val="24"/>
                      <w:szCs w:val="24"/>
                      <w:lang w:val="en-US" w:eastAsia="zh-CN"/>
                    </w:rPr>
                    <w:t>认可范围之内的，该检测项目不符合评分要求；</w:t>
                  </w:r>
                </w:p>
                <w:p w14:paraId="0808D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3.以上证明材料均需提供扫描件，原件备查。如未提供证明材料，或提供的证明材料不符合要求，或提供的证明材料不清晰导致评审专家无法辨认，或提供的证明材料未能体现上述评分内容的均不得分。</w:t>
                  </w:r>
                </w:p>
              </w:tc>
            </w:tr>
            <w:tr w14:paraId="723F9E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00E33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31E80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67D03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投保情况</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0BF8A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2818C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（一）评审内容：</w:t>
                  </w:r>
                </w:p>
                <w:p w14:paraId="42A19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1.投标人本身具有有效的食品安全责任保险，根据投标人购买食品安全责任保险累计赔偿金额进行打分：</w:t>
                  </w:r>
                </w:p>
                <w:p w14:paraId="3FE02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（1）累计赔偿金额≥30000万元的，且每次事故赔偿限额≥5000万元得35分；</w:t>
                  </w:r>
                </w:p>
                <w:p w14:paraId="67DCD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（2）20000万元≤累计赔偿金额的，且3000万元≤每次事故赔偿限额得20分；</w:t>
                  </w:r>
                </w:p>
                <w:p w14:paraId="7AB29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（3）10000万元≤累计赔偿金额的，且1000</w:t>
                  </w:r>
                  <w:r>
                    <w:rPr>
                      <w:rFonts w:hint="default" w:ascii="宋体" w:hAnsi="宋体" w:eastAsia="宋体" w:cs="宋体"/>
                      <w:sz w:val="24"/>
                      <w:szCs w:val="24"/>
                      <w:lang w:val="en-US" w:eastAsia="zh-CN"/>
                    </w:rPr>
                    <w:t>万元≤每次事故赔偿限额</w:t>
                  </w:r>
                  <w:r>
                    <w:rPr>
                      <w:rFonts w:hint="eastAsia" w:ascii="宋体" w:hAnsi="宋体" w:eastAsia="宋体" w:cs="宋体"/>
                      <w:sz w:val="24"/>
                      <w:szCs w:val="24"/>
                      <w:lang w:val="en-US" w:eastAsia="zh-CN"/>
                    </w:rPr>
                    <w:t>得10分；</w:t>
                  </w:r>
                </w:p>
                <w:p w14:paraId="70D80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（4）累计赔偿金额＜10000万元，且每次事故赔偿限额＜1000万元不得分；</w:t>
                  </w:r>
                </w:p>
                <w:p w14:paraId="039C5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【多个保单不累计得分，以单份保单最高额度进行计分，以上不累计得分，本小项最高可得35分】</w:t>
                  </w:r>
                </w:p>
                <w:p w14:paraId="38AEA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2.投标人本身具有有效的公众责任险，根据投标人购买公众责任险累计赔偿金额进行打分：</w:t>
                  </w:r>
                </w:p>
                <w:p w14:paraId="6C3FF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（1）累计赔偿金额≥30000万元的，且每次事故赔偿限额≥5000万元的得35分；</w:t>
                  </w:r>
                </w:p>
                <w:p w14:paraId="41532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（2）20000万元≤累计赔偿金额的，且3000万元≤每次事故赔偿限额的得20分；</w:t>
                  </w:r>
                </w:p>
                <w:p w14:paraId="2957A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（3）10000万元≤累计赔偿金额的，且1000万元≤每次事故赔偿限额的得10分；</w:t>
                  </w:r>
                </w:p>
                <w:p w14:paraId="11211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（4）累计赔偿金额＜10000万元，且每次事故赔偿限额＜1000万元不得分；</w:t>
                  </w:r>
                </w:p>
                <w:p w14:paraId="6174B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【多个保单不累计得分，以单份保单最高额度进行计分，以上不累计得分，本小项最高可得35分】</w:t>
                  </w:r>
                </w:p>
                <w:p w14:paraId="1FABB2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 投标人承诺中标后为本项目购买食品安全责任险及公众责任险各项年总保额情况： </w:t>
                  </w:r>
                </w:p>
                <w:p w14:paraId="610DA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（1）年总保额在5000万元（含）以上的，且每次事故责任限额在1000万元（含）以上的得30分； </w:t>
                  </w:r>
                </w:p>
                <w:p w14:paraId="0CCAB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（2）年总保额在3000万元（含）-5000万元（不含），且每次事故责任限额在500万元（含）以上的得20分； </w:t>
                  </w:r>
                </w:p>
                <w:p w14:paraId="7A6BD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（3）年总保额在1000万元（含）-3000万元（不含），且每次事故责任限额在300万元（含）以上得的10分； </w:t>
                  </w:r>
                </w:p>
                <w:p w14:paraId="7A5ACA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（4）年总保额在1000万元或以下的不得分。</w:t>
                  </w:r>
                </w:p>
                <w:p w14:paraId="143A1BA9">
                  <w:pPr>
                    <w:keepNext w:val="0"/>
                    <w:keepLines w:val="0"/>
                    <w:widowControl/>
                    <w:suppressLineNumbers w:val="0"/>
                    <w:spacing w:before="0" w:beforeAutospacing="0" w:after="0" w:afterAutospacing="0" w:line="240" w:lineRule="auto"/>
                    <w:ind w:left="0" w:right="0"/>
                    <w:jc w:val="both"/>
                    <w:rPr>
                      <w:rFonts w:hint="eastAsia"/>
                      <w:lang w:val="en-US" w:eastAsia="zh-CN"/>
                    </w:rPr>
                  </w:pPr>
                  <w:r>
                    <w:rPr>
                      <w:rFonts w:hint="eastAsia" w:ascii="宋体" w:hAnsi="宋体" w:eastAsia="宋体" w:cs="宋体"/>
                      <w:sz w:val="24"/>
                      <w:szCs w:val="24"/>
                      <w:lang w:val="en-US" w:eastAsia="zh-CN"/>
                    </w:rPr>
                    <w:t>以上1、2、3项累计得分，满分100分。</w:t>
                  </w:r>
                </w:p>
                <w:p w14:paraId="1A816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（二）评分依据：</w:t>
                  </w:r>
                </w:p>
                <w:p w14:paraId="4FF32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1.评分项1-2同时提供：</w:t>
                  </w:r>
                </w:p>
                <w:p w14:paraId="4F9CB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①有效的保险合同（或保险单），投保人及被保险人须和投标人名称一致；</w:t>
                  </w:r>
                </w:p>
                <w:p w14:paraId="65837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②购置保险发票，发票需以投标人名称为抬头；</w:t>
                  </w:r>
                </w:p>
                <w:p w14:paraId="5BC27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③食品安全责任保险和公众责任险购买时间在本项目投标截止日之前，且投标截止日包含于上述保险合同（或保险单）的保险期间内。</w:t>
                  </w:r>
                </w:p>
                <w:p w14:paraId="44647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2.评分项3提供：</w:t>
                  </w:r>
                </w:p>
                <w:p w14:paraId="1C0FE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①提供承诺函，格式自拟。</w:t>
                  </w:r>
                </w:p>
                <w:p w14:paraId="7C2A0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3.以上证明材料均需提供扫描件，原件备查。如未提供证明材料，或提供的证明材料不符合要求，或提供的证明材料不清晰导致评审专家无法辨认，或提供的证明材料未能体现上述评分内容的均不得分。</w:t>
                  </w:r>
                </w:p>
              </w:tc>
            </w:tr>
            <w:tr w14:paraId="7DF6F8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30A94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5CC23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778FC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认证体系</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2E83F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54859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（一）评审内容：</w:t>
                  </w:r>
                </w:p>
                <w:p w14:paraId="649CF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考察投标人具有体系认证情况:</w:t>
                  </w:r>
                </w:p>
                <w:p w14:paraId="26354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1.IS09001质量管理体系认证证书得10分；</w:t>
                  </w:r>
                </w:p>
                <w:p w14:paraId="482994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2.IS014001环境管理体系认证证书得10分；</w:t>
                  </w:r>
                </w:p>
                <w:p w14:paraId="03CF9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3.IS045001职业健康安全管理体系认证证书得10分；</w:t>
                  </w:r>
                </w:p>
                <w:p w14:paraId="68362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4.IS022000食品安全管理体系认证证书得10分；</w:t>
                  </w:r>
                </w:p>
                <w:p w14:paraId="18BB2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5.HACCP危害分析与关键控制点认证证书得10分；</w:t>
                  </w:r>
                </w:p>
                <w:p w14:paraId="4EE3E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6.五星级或以上售后服务认证证书得10分；</w:t>
                  </w:r>
                </w:p>
                <w:p w14:paraId="4637C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7.供应链安全管理体系认证证书得20分；</w:t>
                  </w:r>
                </w:p>
                <w:p w14:paraId="3CCC5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8.应急预案管理能力评价认证证书得20分；</w:t>
                  </w:r>
                </w:p>
                <w:p w14:paraId="617DF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以上累计最高得100分，未提供或其他情况不得分；</w:t>
                  </w:r>
                </w:p>
                <w:p w14:paraId="2EEC4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（二）评分依据：</w:t>
                  </w:r>
                </w:p>
                <w:p w14:paraId="67DE5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1.同时提供：</w:t>
                  </w:r>
                </w:p>
                <w:p w14:paraId="59620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①在有效期内的认证证书</w:t>
                  </w:r>
                </w:p>
                <w:p w14:paraId="17E49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全国认证认可信息公共服务平台（认e云）（http://cx.cnca.cn/）查询的认证信息截图，（注：须体现网站信息、证书状态为“有效”，认证证书注明年审要求的，须按规定年审，证书须在有效期内），作为得分依据。</w:t>
                  </w:r>
                </w:p>
                <w:p w14:paraId="25D82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2.以上证明材料均需提供扫描件，原件备查。如未提供证明材料，或提供的证明材料不符合要求，或提供的证明材料不清晰导致评审专家无法辨认，或提供的证明材料未能体现上述评分内容的均不得分。</w:t>
                  </w:r>
                </w:p>
              </w:tc>
            </w:tr>
            <w:tr w14:paraId="182FB8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40A12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4969F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3A733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类似项目业绩</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75233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654C6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（一）评审内容：</w:t>
                  </w:r>
                </w:p>
                <w:p w14:paraId="0E76C2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年1月1日至本项目投标截止之日（以合同签订日期为准），投标人具有食材配送项目业绩的，每提供1个项目且履约（或验收）评价为优秀或满意或同等最高评价的履约（或验收）报告（证明）文件的得50分，同一项目续签不重复得分，同一个项目编号只计一次分，最高得100分。</w:t>
                  </w:r>
                </w:p>
                <w:p w14:paraId="21190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（二）评分依据：</w:t>
                  </w:r>
                </w:p>
                <w:p w14:paraId="41BD6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1.同时提供：</w:t>
                  </w:r>
                </w:p>
                <w:p w14:paraId="26A3C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合同关键页（包括但不限于：合同名称页、合同主要内容页、合同签订日期页、合同双方签字盖章页）；通过合同关键信息无法判断是否得分的，还需同时提供能证明得分的其它证明资料，如项目报告或合同甲方出具的证明文件等；</w:t>
                  </w:r>
                </w:p>
                <w:p w14:paraId="25EE058C">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lang w:val="en-US" w:eastAsia="zh-CN"/>
                    </w:rPr>
                  </w:pPr>
                  <w:r>
                    <w:rPr>
                      <w:rFonts w:hint="eastAsia" w:ascii="宋体" w:hAnsi="宋体" w:eastAsia="宋体" w:cs="宋体"/>
                      <w:lang w:val="en-US" w:eastAsia="zh-CN"/>
                    </w:rPr>
                    <w:t>②中标通知书；</w:t>
                  </w:r>
                </w:p>
                <w:p w14:paraId="0AFF0F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③加盖甲方公章（或甲方业务章或服务单位公章）的履约（或验收）报告证明（履约（或验收）评价为优秀或非常满意或同等最高评价）。</w:t>
                  </w:r>
                </w:p>
                <w:p w14:paraId="69816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2.以上证明材料均需提供扫描件，原件备查。如未提供证明材料，或提供的证明材料不符合要求，或提供的证明材料不清晰导致评审专家无法辨认，或提供的证明材料未能体现上述评分内容的均不得分。</w:t>
                  </w:r>
                </w:p>
              </w:tc>
            </w:tr>
            <w:tr w14:paraId="32B58D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1B441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4EBBA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49B0A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信息化能力</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0407E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24F82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（一）评审内容：</w:t>
                  </w:r>
                </w:p>
                <w:p w14:paraId="5E63C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投标人自有</w:t>
                  </w:r>
                  <w:r>
                    <w:rPr>
                      <w:rFonts w:hint="eastAsia" w:ascii="宋体" w:hAnsi="宋体" w:eastAsia="宋体" w:cs="宋体"/>
                      <w:sz w:val="24"/>
                      <w:szCs w:val="24"/>
                      <w:lang w:val="en-US" w:eastAsia="zh-CN"/>
                    </w:rPr>
                    <w:t>或购买</w:t>
                  </w:r>
                  <w:r>
                    <w:rPr>
                      <w:rFonts w:hint="default" w:ascii="宋体" w:hAnsi="宋体" w:eastAsia="宋体" w:cs="宋体"/>
                      <w:sz w:val="24"/>
                      <w:szCs w:val="24"/>
                      <w:lang w:val="en-US" w:eastAsia="zh-CN"/>
                    </w:rPr>
                    <w:t>或租赁的系统或软件情况：</w:t>
                  </w:r>
                </w:p>
                <w:p w14:paraId="4E76C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、具有农产品仓储智能化管理类</w:t>
                  </w:r>
                  <w:r>
                    <w:rPr>
                      <w:rFonts w:hint="eastAsia" w:ascii="宋体" w:hAnsi="宋体" w:eastAsia="宋体" w:cs="宋体"/>
                      <w:sz w:val="24"/>
                      <w:szCs w:val="24"/>
                      <w:lang w:val="en-US" w:eastAsia="zh-CN"/>
                    </w:rPr>
                    <w:t>系统</w:t>
                  </w:r>
                  <w:r>
                    <w:rPr>
                      <w:rFonts w:hint="default" w:ascii="宋体" w:hAnsi="宋体" w:eastAsia="宋体" w:cs="宋体"/>
                      <w:sz w:val="24"/>
                      <w:szCs w:val="24"/>
                      <w:lang w:val="en-US" w:eastAsia="zh-CN"/>
                    </w:rPr>
                    <w:t>，得</w:t>
                  </w:r>
                  <w:r>
                    <w:rPr>
                      <w:rFonts w:hint="eastAsia" w:ascii="宋体" w:hAnsi="宋体" w:eastAsia="宋体" w:cs="宋体"/>
                      <w:sz w:val="24"/>
                      <w:szCs w:val="24"/>
                      <w:lang w:val="en-US" w:eastAsia="zh-CN"/>
                    </w:rPr>
                    <w:t>20</w:t>
                  </w:r>
                  <w:r>
                    <w:rPr>
                      <w:rFonts w:hint="default" w:ascii="宋体" w:hAnsi="宋体" w:eastAsia="宋体" w:cs="宋体"/>
                      <w:sz w:val="24"/>
                      <w:szCs w:val="24"/>
                      <w:lang w:val="en-US" w:eastAsia="zh-CN"/>
                    </w:rPr>
                    <w:t>分；</w:t>
                  </w:r>
                </w:p>
                <w:p w14:paraId="5B077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、具有农产品加工监控管理类系统，得</w:t>
                  </w:r>
                  <w:r>
                    <w:rPr>
                      <w:rFonts w:hint="eastAsia" w:ascii="宋体" w:hAnsi="宋体" w:eastAsia="宋体" w:cs="宋体"/>
                      <w:sz w:val="24"/>
                      <w:szCs w:val="24"/>
                      <w:lang w:val="en-US" w:eastAsia="zh-CN"/>
                    </w:rPr>
                    <w:t>20</w:t>
                  </w:r>
                  <w:r>
                    <w:rPr>
                      <w:rFonts w:hint="default" w:ascii="宋体" w:hAnsi="宋体" w:eastAsia="宋体" w:cs="宋体"/>
                      <w:sz w:val="24"/>
                      <w:szCs w:val="24"/>
                      <w:lang w:val="en-US" w:eastAsia="zh-CN"/>
                    </w:rPr>
                    <w:t>分；</w:t>
                  </w:r>
                </w:p>
                <w:p w14:paraId="38944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具有</w:t>
                  </w:r>
                  <w:r>
                    <w:rPr>
                      <w:rFonts w:hint="eastAsia" w:ascii="宋体" w:hAnsi="宋体" w:eastAsia="宋体" w:cs="宋体"/>
                      <w:sz w:val="24"/>
                      <w:szCs w:val="24"/>
                      <w:lang w:val="en-US" w:eastAsia="zh-CN"/>
                    </w:rPr>
                    <w:t>农产品质量追溯管理类</w:t>
                  </w:r>
                  <w:r>
                    <w:rPr>
                      <w:rFonts w:hint="default" w:ascii="宋体" w:hAnsi="宋体" w:eastAsia="宋体" w:cs="宋体"/>
                      <w:sz w:val="24"/>
                      <w:szCs w:val="24"/>
                      <w:lang w:val="en-US" w:eastAsia="zh-CN"/>
                    </w:rPr>
                    <w:t>系统，得</w:t>
                  </w:r>
                  <w:r>
                    <w:rPr>
                      <w:rFonts w:hint="eastAsia" w:ascii="宋体" w:hAnsi="宋体" w:eastAsia="宋体" w:cs="宋体"/>
                      <w:sz w:val="24"/>
                      <w:szCs w:val="24"/>
                      <w:lang w:val="en-US" w:eastAsia="zh-CN"/>
                    </w:rPr>
                    <w:t>20</w:t>
                  </w:r>
                  <w:r>
                    <w:rPr>
                      <w:rFonts w:hint="default" w:ascii="宋体" w:hAnsi="宋体" w:eastAsia="宋体" w:cs="宋体"/>
                      <w:sz w:val="24"/>
                      <w:szCs w:val="24"/>
                      <w:lang w:val="en-US" w:eastAsia="zh-CN"/>
                    </w:rPr>
                    <w:t>分；</w:t>
                  </w:r>
                </w:p>
                <w:p w14:paraId="12065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、具有客户评价及点评类系统，得</w:t>
                  </w:r>
                  <w:r>
                    <w:rPr>
                      <w:rFonts w:hint="eastAsia" w:ascii="宋体" w:hAnsi="宋体" w:eastAsia="宋体" w:cs="宋体"/>
                      <w:sz w:val="24"/>
                      <w:szCs w:val="24"/>
                      <w:lang w:val="en-US" w:eastAsia="zh-CN"/>
                    </w:rPr>
                    <w:t>20</w:t>
                  </w:r>
                  <w:r>
                    <w:rPr>
                      <w:rFonts w:hint="default" w:ascii="宋体" w:hAnsi="宋体" w:eastAsia="宋体" w:cs="宋体"/>
                      <w:sz w:val="24"/>
                      <w:szCs w:val="24"/>
                      <w:lang w:val="en-US" w:eastAsia="zh-CN"/>
                    </w:rPr>
                    <w:t>分；</w:t>
                  </w:r>
                </w:p>
                <w:p w14:paraId="364DE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、具有</w:t>
                  </w:r>
                  <w:r>
                    <w:rPr>
                      <w:rFonts w:hint="eastAsia" w:ascii="宋体" w:hAnsi="宋体" w:eastAsia="宋体" w:cs="宋体"/>
                      <w:sz w:val="24"/>
                      <w:szCs w:val="24"/>
                      <w:lang w:val="en-US" w:eastAsia="zh-CN"/>
                    </w:rPr>
                    <w:t>农产品冷链物流车辆控制类</w:t>
                  </w:r>
                  <w:r>
                    <w:rPr>
                      <w:rFonts w:hint="default" w:ascii="宋体" w:hAnsi="宋体" w:eastAsia="宋体" w:cs="宋体"/>
                      <w:sz w:val="24"/>
                      <w:szCs w:val="24"/>
                      <w:lang w:val="en-US" w:eastAsia="zh-CN"/>
                    </w:rPr>
                    <w:t>系统，得</w:t>
                  </w:r>
                  <w:r>
                    <w:rPr>
                      <w:rFonts w:hint="eastAsia" w:ascii="宋体" w:hAnsi="宋体" w:eastAsia="宋体" w:cs="宋体"/>
                      <w:sz w:val="24"/>
                      <w:szCs w:val="24"/>
                      <w:lang w:val="en-US" w:eastAsia="zh-CN"/>
                    </w:rPr>
                    <w:t>20</w:t>
                  </w:r>
                  <w:r>
                    <w:rPr>
                      <w:rFonts w:hint="default" w:ascii="宋体" w:hAnsi="宋体" w:eastAsia="宋体" w:cs="宋体"/>
                      <w:sz w:val="24"/>
                      <w:szCs w:val="24"/>
                      <w:lang w:val="en-US" w:eastAsia="zh-CN"/>
                    </w:rPr>
                    <w:t>分；</w:t>
                  </w:r>
                </w:p>
                <w:p w14:paraId="62F63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以上</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项累计得分，最高得</w:t>
                  </w:r>
                  <w:r>
                    <w:rPr>
                      <w:rFonts w:hint="eastAsia" w:ascii="宋体" w:hAnsi="宋体" w:eastAsia="宋体" w:cs="宋体"/>
                      <w:sz w:val="24"/>
                      <w:szCs w:val="24"/>
                      <w:lang w:val="en-US" w:eastAsia="zh-CN"/>
                    </w:rPr>
                    <w:t>100</w:t>
                  </w:r>
                  <w:r>
                    <w:rPr>
                      <w:rFonts w:hint="default" w:ascii="宋体" w:hAnsi="宋体" w:eastAsia="宋体" w:cs="宋体"/>
                      <w:sz w:val="24"/>
                      <w:szCs w:val="24"/>
                      <w:lang w:val="en-US" w:eastAsia="zh-CN"/>
                    </w:rPr>
                    <w:t>分。</w:t>
                  </w:r>
                </w:p>
                <w:p w14:paraId="14331E98">
                  <w:pPr>
                    <w:keepNext w:val="0"/>
                    <w:keepLines w:val="0"/>
                    <w:widowControl/>
                    <w:suppressLineNumbers w:val="0"/>
                    <w:spacing w:before="0" w:beforeAutospacing="0" w:after="0" w:afterAutospacing="0"/>
                    <w:ind w:left="0" w:right="0"/>
                    <w:jc w:val="both"/>
                    <w:rPr>
                      <w:rFonts w:hint="eastAsia"/>
                      <w:lang w:val="en-US" w:eastAsia="zh-CN"/>
                    </w:rPr>
                  </w:pPr>
                  <w:r>
                    <w:rPr>
                      <w:rFonts w:hint="eastAsia" w:ascii="宋体" w:hAnsi="宋体" w:eastAsia="宋体" w:cs="宋体"/>
                      <w:kern w:val="0"/>
                      <w:sz w:val="24"/>
                      <w:szCs w:val="24"/>
                      <w:lang w:val="en-US" w:eastAsia="zh-CN" w:bidi="ar"/>
                    </w:rPr>
                    <w:t>注：软件产品名称与标书要求不必完全一致，用途一致或相近即可，相同类型的系统不能重复得分，一个计算机软件著作权证书如果包含多个系统内容（通过系统操作页面截图体现）可累计得分。</w:t>
                  </w:r>
                </w:p>
                <w:p w14:paraId="66A3E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（二）评分依据：</w:t>
                  </w:r>
                </w:p>
                <w:p w14:paraId="6CE61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1.自行开发的系统或软件，投标人同时提供：</w:t>
                  </w:r>
                </w:p>
                <w:p w14:paraId="2F270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①上述系统截图；</w:t>
                  </w:r>
                </w:p>
                <w:p w14:paraId="3809D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②计算机软件著作权登记证书（著作权人为投标人）；系统功能名称不必与上列完全一致，能涵盖关键字即可；</w:t>
                  </w:r>
                </w:p>
                <w:p w14:paraId="346B8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③证书在中国版权保护中心官网（https://www.ccopyright.com.cn/）截图（著作主体为投标单位）。</w:t>
                  </w:r>
                </w:p>
                <w:p w14:paraId="31ACF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2.购买的的软件或系统，投标人同时提供；</w:t>
                  </w:r>
                </w:p>
                <w:p w14:paraId="16558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①上述系统截图；</w:t>
                  </w:r>
                </w:p>
                <w:p w14:paraId="66139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②计算机软件著作权登记证书（著作权人为出售方）；</w:t>
                  </w:r>
                </w:p>
                <w:p w14:paraId="3E658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③证书在中国版权保护中心官网（https://www.ccopyright.com.cn/）截图（著作主体为出售方）；</w:t>
                  </w:r>
                </w:p>
                <w:p w14:paraId="3B4E4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④购买合同或购买发票。</w:t>
                  </w:r>
                </w:p>
                <w:p w14:paraId="7FD8C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3.租赁的软件或系统，投标人同时提供：</w:t>
                  </w:r>
                </w:p>
                <w:p w14:paraId="7B8DB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①上述系统截图；</w:t>
                  </w:r>
                </w:p>
                <w:p w14:paraId="73DCA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②计算机软件著作权登记证书（著作权人为出租方）；</w:t>
                  </w:r>
                </w:p>
                <w:p w14:paraId="46F77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③证书在中国版权保护中心官网（https://www.ccopyright.com.cn/）截图（著作主体为出租方）；</w:t>
                  </w:r>
                </w:p>
                <w:p w14:paraId="2DAE6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④提供2025年3月份的租金发票及银行转账（或收款、或付款）凭证，发票需以投标人名称为抬头；</w:t>
                  </w:r>
                </w:p>
                <w:p w14:paraId="64DC1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⑤租赁合同关键页（包括但不限于：合同名称页、合同主要内容页、合同签订日期页、合同双方签字盖章页；租期需涵盖本项目投标截止日），租赁合同需能体现租赁人或承租人为投标人；</w:t>
                  </w:r>
                </w:p>
                <w:p w14:paraId="08326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⑥若租赁期限未涵盖本项目服务期限，需提供承诺函，承诺续期至本项目服务期限结束，或承诺重新签订涵盖本项目服务期限的租赁合同；</w:t>
                  </w:r>
                </w:p>
                <w:p w14:paraId="415FE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以上证明材料均需提供扫描件，原件备查。如未提供证明材料，或提供的证明材料不符合要求，或提供的证明材料不清晰导致评审专家无法辨认，或提供的证明材料未能体现上述评分内容的均不得分。</w:t>
                  </w:r>
                </w:p>
              </w:tc>
            </w:tr>
            <w:tr w14:paraId="03A47D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2A008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6EB80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1D2E6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获奖情况</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51F36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396" w:type="dxa"/>
                  <w:tcBorders>
                    <w:top w:val="single" w:color="000000" w:sz="8" w:space="0"/>
                    <w:left w:val="single" w:color="000000" w:sz="8" w:space="0"/>
                    <w:bottom w:val="single" w:color="000000" w:sz="8" w:space="0"/>
                    <w:right w:val="single" w:color="000000" w:sz="8" w:space="0"/>
                  </w:tcBorders>
                  <w:noWrap w:val="0"/>
                  <w:vAlign w:val="center"/>
                </w:tcPr>
                <w:p w14:paraId="48E2A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一</w:t>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t>评审内容</w:t>
                  </w:r>
                  <w:r>
                    <w:rPr>
                      <w:rFonts w:hint="eastAsia" w:ascii="宋体" w:hAnsi="宋体" w:eastAsia="宋体" w:cs="宋体"/>
                      <w:sz w:val="24"/>
                      <w:szCs w:val="24"/>
                      <w:lang w:val="en-US" w:eastAsia="zh-CN"/>
                    </w:rPr>
                    <w:t>:</w:t>
                  </w:r>
                </w:p>
                <w:p w14:paraId="2A075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根据投标人荣誉情况评分：</w:t>
                  </w:r>
                </w:p>
                <w:p w14:paraId="70EB1643">
                  <w:pPr>
                    <w:keepNext w:val="0"/>
                    <w:keepLines w:val="0"/>
                    <w:widowControl/>
                    <w:suppressLineNumbers w:val="0"/>
                    <w:spacing w:before="0" w:beforeAutospacing="0" w:after="0" w:afterAutospacing="0" w:line="240" w:lineRule="auto"/>
                    <w:ind w:left="0" w:right="0"/>
                    <w:jc w:val="both"/>
                    <w:rPr>
                      <w:rFonts w:hint="default" w:ascii="宋体" w:hAnsi="宋体" w:eastAsia="宋体" w:cs="宋体"/>
                      <w:lang w:val="en-US" w:eastAsia="zh-CN"/>
                    </w:rPr>
                  </w:pPr>
                  <w:r>
                    <w:rPr>
                      <w:rFonts w:hint="eastAsia" w:ascii="宋体" w:hAnsi="宋体" w:eastAsia="宋体" w:cs="宋体"/>
                      <w:sz w:val="24"/>
                      <w:szCs w:val="24"/>
                      <w:lang w:val="en-US" w:eastAsia="zh-CN"/>
                    </w:rPr>
                    <w:t>获得政府机关或事业单位颁发的食材（或食材配送或农产品或农业）类的获奖证书（或表彰、表扬、荣誉、感谢信）等，每提供1个得50分，本项最高得100分。</w:t>
                  </w:r>
                </w:p>
                <w:p w14:paraId="4D1AE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（二）证明文件</w:t>
                  </w:r>
                  <w:r>
                    <w:rPr>
                      <w:rFonts w:hint="eastAsia" w:ascii="宋体" w:hAnsi="宋体" w:eastAsia="宋体" w:cs="宋体"/>
                      <w:sz w:val="24"/>
                      <w:szCs w:val="24"/>
                      <w:lang w:val="en-US" w:eastAsia="zh-CN"/>
                    </w:rPr>
                    <w:t>:</w:t>
                  </w:r>
                </w:p>
                <w:p w14:paraId="5CB27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1.提供政府机关或事业单位颁发的获奖证明（或表彰、表扬、荣誉、牌匾、感谢信、官网公示截图）等。</w:t>
                  </w:r>
                </w:p>
                <w:p w14:paraId="48D6F8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2.以上证明材料均需提供扫描件，原件备查。如未提供证明材料，或提供的证明材料不符合要求，或提供的证明材料不清晰导致评审专家无法辨认，或提供的证明材料未能体现上述评分内容的均不得分。</w:t>
                  </w:r>
                </w:p>
              </w:tc>
            </w:tr>
            <w:tr w14:paraId="683C4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tcBorders>
                    <w:top w:val="single" w:color="000000" w:sz="8" w:space="0"/>
                    <w:left w:val="single" w:color="000000" w:sz="8" w:space="0"/>
                    <w:bottom w:val="single" w:color="auto" w:sz="4" w:space="0"/>
                    <w:right w:val="single" w:color="000000" w:sz="8" w:space="0"/>
                  </w:tcBorders>
                  <w:noWrap w:val="0"/>
                  <w:vAlign w:val="top"/>
                </w:tcPr>
                <w:p w14:paraId="253A3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4</w:t>
                  </w:r>
                </w:p>
              </w:tc>
              <w:tc>
                <w:tcPr>
                  <w:tcW w:w="3000" w:type="dxa"/>
                  <w:gridSpan w:val="3"/>
                  <w:tcBorders>
                    <w:top w:val="single" w:color="000000" w:sz="8" w:space="0"/>
                    <w:left w:val="single" w:color="000000" w:sz="8" w:space="0"/>
                    <w:bottom w:val="single" w:color="auto" w:sz="4" w:space="0"/>
                    <w:right w:val="single" w:color="000000" w:sz="8" w:space="0"/>
                  </w:tcBorders>
                  <w:noWrap w:val="0"/>
                  <w:vAlign w:val="top"/>
                </w:tcPr>
                <w:p w14:paraId="52F934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诚信情况</w:t>
                  </w:r>
                </w:p>
              </w:tc>
              <w:tc>
                <w:tcPr>
                  <w:tcW w:w="5396" w:type="dxa"/>
                  <w:tcBorders>
                    <w:top w:val="single" w:color="000000" w:sz="8" w:space="0"/>
                    <w:left w:val="single" w:color="000000" w:sz="8" w:space="0"/>
                    <w:bottom w:val="single" w:color="auto" w:sz="4" w:space="0"/>
                    <w:right w:val="single" w:color="000000" w:sz="8" w:space="0"/>
                  </w:tcBorders>
                  <w:noWrap w:val="0"/>
                  <w:vAlign w:val="top"/>
                </w:tcPr>
                <w:p w14:paraId="312FF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5</w:t>
                  </w:r>
                </w:p>
              </w:tc>
            </w:tr>
            <w:tr w14:paraId="42605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restart"/>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83BD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B959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9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805B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评审因素</w:t>
                  </w:r>
                </w:p>
              </w:tc>
              <w:tc>
                <w:tcPr>
                  <w:tcW w:w="10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F9D1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权重(%)</w:t>
                  </w:r>
                </w:p>
              </w:tc>
              <w:tc>
                <w:tcPr>
                  <w:tcW w:w="53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D1AA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评分准则</w:t>
                  </w:r>
                </w:p>
              </w:tc>
            </w:tr>
            <w:tr w14:paraId="30450E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52F7F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4FD40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1CEA0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诚信情况</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4E26C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27038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t>（一）评分内容：</w:t>
                  </w:r>
                </w:p>
                <w:p w14:paraId="15F2D1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w:t>
                  </w:r>
                  <w:r>
                    <w:rPr>
                      <w:rFonts w:hint="eastAsia" w:ascii="宋体" w:hAnsi="宋体" w:eastAsia="宋体" w:cs="宋体"/>
                      <w:sz w:val="24"/>
                      <w:szCs w:val="24"/>
                      <w:lang w:val="en-US" w:eastAsia="zh-CN"/>
                    </w:rPr>
                    <w:t>100</w:t>
                  </w:r>
                  <w:r>
                    <w:rPr>
                      <w:rFonts w:hint="eastAsia" w:ascii="宋体" w:hAnsi="宋体" w:eastAsia="宋体" w:cs="宋体"/>
                      <w:sz w:val="24"/>
                      <w:szCs w:val="24"/>
                    </w:rPr>
                    <w:t>分。</w:t>
                  </w:r>
                </w:p>
                <w:p w14:paraId="3EC77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t>（二）评分依据:</w:t>
                  </w:r>
                </w:p>
                <w:p w14:paraId="5BDE2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t>采购代理机构通过“信用中国”、“中国政府采购网”、“深圳市政府采购监管网”以及市、区财政部门认定的其他渠道查询供应商信用信息，投标人无需提供证明材料。</w:t>
                  </w:r>
                </w:p>
              </w:tc>
            </w:tr>
          </w:tbl>
          <w:p w14:paraId="7349A92F">
            <w:pPr>
              <w:pStyle w:val="15"/>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420" w:right="0"/>
              <w:textAlignment w:val="auto"/>
              <w:rPr>
                <w:rFonts w:hint="eastAsia" w:ascii="宋体" w:hAnsi="宋体" w:eastAsia="宋体" w:cs="宋体"/>
                <w:color w:val="000000" w:themeColor="text1"/>
                <w:sz w:val="24"/>
                <w:szCs w:val="24"/>
                <w14:textFill>
                  <w14:solidFill>
                    <w14:schemeClr w14:val="tx1"/>
                  </w14:solidFill>
                </w14:textFill>
              </w:rPr>
            </w:pPr>
          </w:p>
        </w:tc>
      </w:tr>
    </w:tbl>
    <w:p w14:paraId="6FB0566C">
      <w:pPr>
        <w:rPr>
          <w:vanish/>
          <w:color w:val="000000" w:themeColor="text1"/>
          <w14:textFill>
            <w14:solidFill>
              <w14:schemeClr w14:val="tx1"/>
            </w14:solidFill>
          </w14:textFill>
        </w:rPr>
      </w:pPr>
    </w:p>
    <w:p w14:paraId="24777627">
      <w:pPr>
        <w:rPr>
          <w:rFonts w:eastAsia="黑体"/>
        </w:rPr>
      </w:pPr>
    </w:p>
    <w:p w14:paraId="243559F5">
      <w:pPr>
        <w:rPr>
          <w:rFonts w:eastAsia="黑体"/>
        </w:rPr>
      </w:pPr>
    </w:p>
    <w:p w14:paraId="05A68D75">
      <w:pPr>
        <w:rPr>
          <w:rFonts w:eastAsia="黑体"/>
        </w:rPr>
      </w:pPr>
      <w:r>
        <w:rPr>
          <w:rFonts w:eastAsia="黑体"/>
        </w:rPr>
        <w:br w:type="page"/>
      </w:r>
    </w:p>
    <w:p w14:paraId="0E4AC3F7">
      <w:pPr>
        <w:pStyle w:val="15"/>
        <w:spacing w:line="360" w:lineRule="auto"/>
        <w:jc w:val="center"/>
        <w:outlineLvl w:val="1"/>
        <w:rPr>
          <w:rFonts w:ascii="黑体" w:hAnsi="黑体" w:eastAsia="黑体"/>
          <w:color w:val="000000" w:themeColor="text1"/>
          <w:sz w:val="40"/>
          <w:szCs w:val="40"/>
          <w14:textFill>
            <w14:solidFill>
              <w14:schemeClr w14:val="tx1"/>
            </w14:solidFill>
          </w14:textFill>
        </w:rPr>
      </w:pPr>
      <w:r>
        <w:rPr>
          <w:rFonts w:hint="eastAsia" w:ascii="黑体" w:hAnsi="黑体" w:eastAsia="黑体"/>
          <w:color w:val="000000" w:themeColor="text1"/>
          <w:sz w:val="40"/>
          <w:szCs w:val="40"/>
          <w14:textFill>
            <w14:solidFill>
              <w14:schemeClr w14:val="tx1"/>
            </w14:solidFill>
          </w14:textFill>
        </w:rPr>
        <w:t>投标书目录</w:t>
      </w:r>
    </w:p>
    <w:tbl>
      <w:tblPr>
        <w:tblStyle w:val="17"/>
        <w:tblW w:w="9072" w:type="dxa"/>
        <w:jc w:val="center"/>
        <w:tblCellSpacing w:w="0" w:type="dxa"/>
        <w:tblLayout w:type="fixed"/>
        <w:tblCellMar>
          <w:top w:w="45" w:type="dxa"/>
          <w:left w:w="45" w:type="dxa"/>
          <w:bottom w:w="45" w:type="dxa"/>
          <w:right w:w="45" w:type="dxa"/>
        </w:tblCellMar>
      </w:tblPr>
      <w:tblGrid>
        <w:gridCol w:w="9072"/>
      </w:tblGrid>
      <w:tr w14:paraId="03169851">
        <w:tblPrEx>
          <w:tblCellMar>
            <w:top w:w="45" w:type="dxa"/>
            <w:left w:w="45" w:type="dxa"/>
            <w:bottom w:w="45" w:type="dxa"/>
            <w:right w:w="45" w:type="dxa"/>
          </w:tblCellMar>
        </w:tblPrEx>
        <w:trPr>
          <w:trHeight w:val="11432" w:hRule="atLeast"/>
          <w:tblCellSpacing w:w="0" w:type="dxa"/>
          <w:jc w:val="center"/>
        </w:trPr>
        <w:tc>
          <w:tcPr>
            <w:tcW w:w="9072" w:type="dxa"/>
            <w:vAlign w:val="center"/>
          </w:tcPr>
          <w:p w14:paraId="3DE5486A">
            <w:pPr>
              <w:keepNext w:val="0"/>
              <w:keepLines w:val="0"/>
              <w:widowControl/>
              <w:suppressLineNumbers w:val="0"/>
              <w:spacing w:before="0" w:beforeAutospacing="0" w:after="0" w:afterAutospacing="0"/>
              <w:ind w:left="0" w:right="0"/>
              <w:outlineLvl w:val="1"/>
              <w:rPr>
                <w:rFonts w:hint="default" w:ascii="宋体" w:hAnsi="宋体"/>
                <w:b/>
                <w:bCs/>
                <w:color w:val="FF0000"/>
                <w:sz w:val="28"/>
                <w:szCs w:val="28"/>
              </w:rPr>
            </w:pPr>
            <w:r>
              <w:rPr>
                <w:rFonts w:hint="eastAsia" w:ascii="宋体" w:hAnsi="宋体"/>
                <w:b/>
                <w:bCs/>
                <w:color w:val="FF0000"/>
                <w:sz w:val="28"/>
                <w:szCs w:val="28"/>
              </w:rPr>
              <w:t>1.投标文件正文（信息公开部分）：</w:t>
            </w:r>
          </w:p>
          <w:p w14:paraId="34BEAF89">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（1）投标函</w:t>
            </w:r>
          </w:p>
          <w:p w14:paraId="0B5E7684">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（2）政府采购投标及履约承诺函</w:t>
            </w:r>
          </w:p>
          <w:p w14:paraId="09689B01">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（3）投标人情况及资格证明文件</w:t>
            </w:r>
          </w:p>
          <w:p w14:paraId="71D2A544">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（4）项目详细报价</w:t>
            </w:r>
          </w:p>
          <w:p w14:paraId="59823930">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（5）种植基地面积</w:t>
            </w:r>
          </w:p>
          <w:p w14:paraId="6D8F6AA4">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（6）配送场所面积</w:t>
            </w:r>
          </w:p>
          <w:p w14:paraId="72C3E06C">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（7）冷库面积</w:t>
            </w:r>
          </w:p>
          <w:p w14:paraId="7DD9E594">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（8）检测实验室情况</w:t>
            </w:r>
          </w:p>
          <w:p w14:paraId="566A05E6">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（9）食品检测保障能力（定量检测）</w:t>
            </w:r>
          </w:p>
          <w:p w14:paraId="49E50A1F">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（10）投保情况</w:t>
            </w:r>
          </w:p>
          <w:p w14:paraId="2DF68477">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（11）认证体系</w:t>
            </w:r>
          </w:p>
          <w:p w14:paraId="72D574F9">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（12）类似项目业绩</w:t>
            </w:r>
          </w:p>
          <w:p w14:paraId="104AD033">
            <w:pPr>
              <w:keepNext w:val="0"/>
              <w:keepLines w:val="0"/>
              <w:widowControl/>
              <w:suppressLineNumbers w:val="0"/>
              <w:spacing w:before="0" w:beforeAutospacing="0" w:after="0" w:afterAutospacing="0"/>
              <w:ind w:left="0" w:right="0"/>
              <w:outlineLvl w:val="1"/>
              <w:rPr>
                <w:rFonts w:hint="eastAsia" w:ascii="宋体" w:hAnsi="宋体"/>
                <w:sz w:val="28"/>
                <w:szCs w:val="28"/>
              </w:rPr>
            </w:pPr>
            <w:r>
              <w:rPr>
                <w:rFonts w:hint="eastAsia" w:ascii="宋体" w:hAnsi="宋体"/>
                <w:sz w:val="28"/>
                <w:szCs w:val="28"/>
              </w:rPr>
              <w:t>（13）信息化能力</w:t>
            </w:r>
          </w:p>
          <w:p w14:paraId="18CD33AF">
            <w:pPr>
              <w:keepNext w:val="0"/>
              <w:keepLines w:val="0"/>
              <w:widowControl/>
              <w:suppressLineNumbers w:val="0"/>
              <w:spacing w:before="0" w:beforeAutospacing="0" w:after="0" w:afterAutospacing="0"/>
              <w:ind w:left="0" w:right="0"/>
              <w:outlineLvl w:val="1"/>
              <w:rPr>
                <w:rFonts w:hint="default" w:ascii="宋体" w:hAnsi="宋体" w:eastAsia="宋体"/>
                <w:sz w:val="28"/>
                <w:szCs w:val="28"/>
                <w:highlight w:val="none"/>
                <w:lang w:val="en-US" w:eastAsia="zh-CN"/>
              </w:rPr>
            </w:pPr>
            <w:r>
              <w:rPr>
                <w:rFonts w:hint="eastAsia" w:ascii="宋体" w:hAnsi="宋体"/>
                <w:sz w:val="28"/>
                <w:szCs w:val="28"/>
              </w:rPr>
              <w:t>（14）投标人认为需要加以说明的其他公开内容（格式自定）</w:t>
            </w:r>
          </w:p>
          <w:p w14:paraId="11694F14">
            <w:pPr>
              <w:keepNext w:val="0"/>
              <w:keepLines w:val="0"/>
              <w:widowControl/>
              <w:suppressLineNumbers w:val="0"/>
              <w:spacing w:before="0" w:beforeAutospacing="0" w:after="0" w:afterAutospacing="0"/>
              <w:ind w:left="0" w:right="0"/>
              <w:outlineLvl w:val="1"/>
              <w:rPr>
                <w:rFonts w:hint="default" w:ascii="宋体" w:hAnsi="宋体"/>
                <w:b/>
                <w:bCs/>
                <w:color w:val="FF0000"/>
                <w:sz w:val="28"/>
                <w:szCs w:val="28"/>
                <w:highlight w:val="none"/>
              </w:rPr>
            </w:pPr>
            <w:r>
              <w:rPr>
                <w:rFonts w:hint="eastAsia" w:ascii="宋体" w:hAnsi="宋体"/>
                <w:b/>
                <w:bCs/>
                <w:color w:val="FF0000"/>
                <w:sz w:val="28"/>
                <w:szCs w:val="28"/>
                <w:highlight w:val="none"/>
              </w:rPr>
              <w:t>2.投标文件附件（信息不公开部分）：</w:t>
            </w:r>
          </w:p>
          <w:p w14:paraId="1B35C991">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（1）法定代表人（负责人或执行事务合伙人）资格证明书</w:t>
            </w:r>
          </w:p>
          <w:p w14:paraId="5E83919D">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（2）投标文件签署授权委托书</w:t>
            </w:r>
          </w:p>
          <w:p w14:paraId="01007484">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（3）供应商基本情况表</w:t>
            </w:r>
          </w:p>
          <w:p w14:paraId="4C40F121">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（4）实质性条款响应情况表</w:t>
            </w:r>
          </w:p>
          <w:p w14:paraId="4D73D40D">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（5）商务、服务条款偏离表</w:t>
            </w:r>
          </w:p>
          <w:p w14:paraId="0C1C63CB">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（6）拟派项目负责人情况</w:t>
            </w:r>
          </w:p>
          <w:p w14:paraId="5B944BF3">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（7）项目整体设想及规划方案（格式自定）</w:t>
            </w:r>
          </w:p>
          <w:p w14:paraId="3A2B4C30">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（8）规章管理制度、工作流程（格式自定）</w:t>
            </w:r>
          </w:p>
          <w:p w14:paraId="67E95E0D">
            <w:pPr>
              <w:keepNext w:val="0"/>
              <w:keepLines w:val="0"/>
              <w:widowControl/>
              <w:suppressLineNumbers w:val="0"/>
              <w:spacing w:before="0" w:beforeAutospacing="0" w:after="0" w:afterAutospacing="0"/>
              <w:ind w:left="0" w:right="0"/>
              <w:outlineLvl w:val="1"/>
              <w:rPr>
                <w:rFonts w:hint="eastAsia" w:ascii="宋体" w:hAnsi="宋体" w:cs="Times New Roman"/>
                <w:sz w:val="28"/>
                <w:szCs w:val="28"/>
                <w:highlight w:val="none"/>
              </w:rPr>
            </w:pPr>
            <w:r>
              <w:rPr>
                <w:rFonts w:hint="eastAsia" w:ascii="宋体" w:hAnsi="宋体" w:cs="Times New Roman"/>
                <w:sz w:val="28"/>
                <w:szCs w:val="28"/>
                <w:highlight w:val="none"/>
              </w:rPr>
              <w:t>（9）应急方案（格式自定）</w:t>
            </w:r>
          </w:p>
          <w:p w14:paraId="2EBE1703">
            <w:pPr>
              <w:keepNext w:val="0"/>
              <w:keepLines w:val="0"/>
              <w:widowControl/>
              <w:suppressLineNumbers w:val="0"/>
              <w:spacing w:before="0" w:beforeAutospacing="0" w:after="0" w:afterAutospacing="0"/>
              <w:ind w:left="0" w:right="0"/>
              <w:outlineLvl w:val="1"/>
              <w:rPr>
                <w:rFonts w:hint="default" w:ascii="宋体" w:hAnsi="宋体" w:cs="宋体"/>
              </w:rPr>
            </w:pPr>
            <w:r>
              <w:rPr>
                <w:rFonts w:hint="eastAsia" w:ascii="宋体" w:hAnsi="宋体" w:cs="Times New Roman"/>
                <w:sz w:val="28"/>
                <w:szCs w:val="28"/>
                <w:highlight w:val="none"/>
              </w:rPr>
              <w:t>（10）投标人认为需要加以说明的其他非公开内容（格式自定）</w:t>
            </w:r>
          </w:p>
        </w:tc>
      </w:tr>
    </w:tbl>
    <w:p w14:paraId="0A2DEB65"/>
    <w:p w14:paraId="28341EF1">
      <w:pPr>
        <w:pStyle w:val="7"/>
      </w:pPr>
    </w:p>
    <w:p w14:paraId="65F853E2">
      <w:r>
        <w:br w:type="page"/>
      </w:r>
    </w:p>
    <w:p w14:paraId="52A67A5A"/>
    <w:p w14:paraId="1BE9E178"/>
    <w:p w14:paraId="76248413"/>
    <w:p w14:paraId="2FF3549D"/>
    <w:p w14:paraId="39B26FA8"/>
    <w:p w14:paraId="026104F5"/>
    <w:p w14:paraId="781F27B1"/>
    <w:p w14:paraId="3A62E5CF">
      <w:pPr>
        <w:jc w:val="center"/>
        <w:rPr>
          <w:b/>
          <w:color w:val="000000" w:themeColor="text1"/>
          <w:sz w:val="120"/>
          <w:szCs w:val="120"/>
          <w14:textFill>
            <w14:solidFill>
              <w14:schemeClr w14:val="tx1"/>
            </w14:solidFill>
          </w14:textFill>
        </w:rPr>
      </w:pPr>
      <w:r>
        <w:rPr>
          <w:rFonts w:hint="eastAsia"/>
          <w:b/>
          <w:color w:val="000000" w:themeColor="text1"/>
          <w:sz w:val="120"/>
          <w:szCs w:val="120"/>
          <w14:textFill>
            <w14:solidFill>
              <w14:schemeClr w14:val="tx1"/>
            </w14:solidFill>
          </w14:textFill>
        </w:rPr>
        <w:t>政府采购</w:t>
      </w:r>
    </w:p>
    <w:p w14:paraId="21FAFF36">
      <w:pPr>
        <w:jc w:val="center"/>
        <w:rPr>
          <w:b/>
          <w:color w:val="000000" w:themeColor="text1"/>
          <w:sz w:val="120"/>
          <w:szCs w:val="120"/>
          <w14:textFill>
            <w14:solidFill>
              <w14:schemeClr w14:val="tx1"/>
            </w14:solidFill>
          </w14:textFill>
        </w:rPr>
      </w:pPr>
      <w:r>
        <w:rPr>
          <w:rFonts w:hint="eastAsia"/>
          <w:b/>
          <w:color w:val="000000" w:themeColor="text1"/>
          <w:sz w:val="120"/>
          <w:szCs w:val="120"/>
          <w14:textFill>
            <w14:solidFill>
              <w14:schemeClr w14:val="tx1"/>
            </w14:solidFill>
          </w14:textFill>
        </w:rPr>
        <w:t>招标文件</w:t>
      </w:r>
    </w:p>
    <w:p w14:paraId="46D2D745">
      <w:pPr>
        <w:jc w:val="center"/>
        <w:rPr>
          <w:b/>
          <w:color w:val="000000" w:themeColor="text1"/>
          <w:sz w:val="52"/>
          <w:szCs w:val="52"/>
          <w14:textFill>
            <w14:solidFill>
              <w14:schemeClr w14:val="tx1"/>
            </w14:solidFill>
          </w14:textFill>
        </w:rPr>
      </w:pPr>
    </w:p>
    <w:p w14:paraId="26B3D387">
      <w:pPr>
        <w:jc w:val="center"/>
        <w:rPr>
          <w:b/>
          <w:color w:val="000000" w:themeColor="text1"/>
          <w:sz w:val="52"/>
          <w:szCs w:val="52"/>
          <w14:textFill>
            <w14:solidFill>
              <w14:schemeClr w14:val="tx1"/>
            </w14:solidFill>
          </w14:textFill>
        </w:rPr>
      </w:pPr>
    </w:p>
    <w:p w14:paraId="47140315">
      <w:pPr>
        <w:jc w:val="center"/>
        <w:rPr>
          <w:b/>
          <w:color w:val="000000" w:themeColor="text1"/>
          <w:sz w:val="52"/>
          <w:szCs w:val="52"/>
          <w14:textFill>
            <w14:solidFill>
              <w14:schemeClr w14:val="tx1"/>
            </w14:solidFill>
          </w14:textFill>
        </w:rPr>
      </w:pPr>
    </w:p>
    <w:p w14:paraId="6F7EA5C8">
      <w:pPr>
        <w:jc w:val="center"/>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（服务类）</w:t>
      </w:r>
    </w:p>
    <w:p w14:paraId="72E072D0">
      <w:pPr>
        <w:rPr>
          <w:color w:val="000000" w:themeColor="text1"/>
          <w14:textFill>
            <w14:solidFill>
              <w14:schemeClr w14:val="tx1"/>
            </w14:solidFill>
          </w14:textFill>
        </w:rPr>
      </w:pPr>
    </w:p>
    <w:p w14:paraId="6DEEB3B3">
      <w:pPr>
        <w:rPr>
          <w:color w:val="000000" w:themeColor="text1"/>
          <w14:textFill>
            <w14:solidFill>
              <w14:schemeClr w14:val="tx1"/>
            </w14:solidFill>
          </w14:textFill>
        </w:rPr>
      </w:pPr>
    </w:p>
    <w:p w14:paraId="254AA577">
      <w:pPr>
        <w:rPr>
          <w:color w:val="000000" w:themeColor="text1"/>
          <w14:textFill>
            <w14:solidFill>
              <w14:schemeClr w14:val="tx1"/>
            </w14:solidFill>
          </w14:textFill>
        </w:rPr>
      </w:pPr>
    </w:p>
    <w:p w14:paraId="1916FE72">
      <w:pPr>
        <w:rPr>
          <w:color w:val="000000" w:themeColor="text1"/>
          <w14:textFill>
            <w14:solidFill>
              <w14:schemeClr w14:val="tx1"/>
            </w14:solidFill>
          </w14:textFill>
        </w:rPr>
      </w:pPr>
    </w:p>
    <w:p w14:paraId="4A591BE9">
      <w:pPr>
        <w:rPr>
          <w:color w:val="000000" w:themeColor="text1"/>
          <w14:textFill>
            <w14:solidFill>
              <w14:schemeClr w14:val="tx1"/>
            </w14:solidFill>
          </w14:textFill>
        </w:rPr>
      </w:pPr>
    </w:p>
    <w:p w14:paraId="15910200">
      <w:pPr>
        <w:rPr>
          <w:color w:val="000000" w:themeColor="text1"/>
          <w14:textFill>
            <w14:solidFill>
              <w14:schemeClr w14:val="tx1"/>
            </w14:solidFill>
          </w14:textFill>
        </w:rPr>
      </w:pPr>
    </w:p>
    <w:p w14:paraId="2652F94C">
      <w:pPr>
        <w:jc w:val="center"/>
        <w:rPr>
          <w:b/>
          <w:color w:val="000000" w:themeColor="text1"/>
          <w:sz w:val="44"/>
          <w:szCs w:val="44"/>
          <w14:textFill>
            <w14:solidFill>
              <w14:schemeClr w14:val="tx1"/>
            </w14:solidFill>
          </w14:textFill>
        </w:rPr>
      </w:pPr>
    </w:p>
    <w:p w14:paraId="416AD4A5">
      <w:pPr>
        <w:jc w:val="center"/>
        <w:rPr>
          <w:b/>
          <w:color w:val="000000" w:themeColor="text1"/>
          <w:sz w:val="44"/>
          <w:szCs w:val="44"/>
          <w14:textFill>
            <w14:solidFill>
              <w14:schemeClr w14:val="tx1"/>
            </w14:solidFill>
          </w14:textFill>
        </w:rPr>
      </w:pPr>
    </w:p>
    <w:p w14:paraId="55AB89B0">
      <w:pPr>
        <w:jc w:val="center"/>
        <w:rPr>
          <w:b/>
          <w:color w:val="000000" w:themeColor="text1"/>
          <w:sz w:val="44"/>
          <w:szCs w:val="44"/>
          <w14:textFill>
            <w14:solidFill>
              <w14:schemeClr w14:val="tx1"/>
            </w14:solidFill>
          </w14:textFill>
        </w:rPr>
      </w:pPr>
    </w:p>
    <w:p w14:paraId="57EE8817">
      <w:pPr>
        <w:jc w:val="center"/>
        <w:rPr>
          <w:rFonts w:eastAsia="宋体"/>
          <w:b/>
          <w:color w:val="000000" w:themeColor="text1"/>
          <w:sz w:val="44"/>
          <w:szCs w:val="44"/>
          <w14:textFill>
            <w14:solidFill>
              <w14:schemeClr w14:val="tx1"/>
            </w14:solidFill>
          </w14:textFill>
        </w:rPr>
      </w:pPr>
      <w:bookmarkStart w:id="0" w:name="_Hlk71465316"/>
      <w:r>
        <w:rPr>
          <w:rFonts w:hint="eastAsia" w:eastAsia="宋体"/>
          <w:b/>
          <w:color w:val="000000" w:themeColor="text1"/>
          <w:sz w:val="44"/>
          <w:szCs w:val="44"/>
          <w14:textFill>
            <w14:solidFill>
              <w14:schemeClr w14:val="tx1"/>
            </w14:solidFill>
          </w14:textFill>
        </w:rPr>
        <w:t>友和保险经纪有限公司</w:t>
      </w:r>
    </w:p>
    <w:bookmarkEnd w:id="0"/>
    <w:p w14:paraId="05211615">
      <w:pPr>
        <w:keepNext w:val="0"/>
        <w:keepLines w:val="0"/>
        <w:pageBreakBefore w:val="0"/>
        <w:widowControl/>
        <w:kinsoku/>
        <w:wordWrap/>
        <w:overflowPunct/>
        <w:topLinePunct w:val="0"/>
        <w:autoSpaceDE/>
        <w:autoSpaceDN/>
        <w:bidi w:val="0"/>
        <w:adjustRightInd/>
        <w:snapToGrid/>
        <w:spacing w:line="360" w:lineRule="auto"/>
        <w:ind w:firstLine="3600" w:firstLineChars="1500"/>
        <w:textAlignment w:val="auto"/>
        <w:outlineLvl w:val="1"/>
        <w:rPr>
          <w:rFonts w:ascii="宋体" w:hAnsi="宋体"/>
          <w:color w:val="FF0000"/>
          <w:sz w:val="30"/>
          <w:szCs w:val="30"/>
        </w:rPr>
      </w:pPr>
      <w:r>
        <w:rPr>
          <w:rFonts w:hint="eastAsia"/>
          <w:color w:val="000000" w:themeColor="text1"/>
          <w14:textFill>
            <w14:solidFill>
              <w14:schemeClr w14:val="tx1"/>
            </w14:solidFill>
          </w14:textFill>
        </w:rPr>
        <w:br w:type="page"/>
      </w:r>
      <w:r>
        <w:rPr>
          <w:rFonts w:hint="eastAsia" w:ascii="宋体" w:hAnsi="宋体" w:eastAsia="黑体"/>
          <w:b/>
          <w:bCs/>
          <w:color w:val="FF0000"/>
          <w:kern w:val="44"/>
          <w:sz w:val="30"/>
          <w:szCs w:val="30"/>
        </w:rPr>
        <w:t>警示条款</w:t>
      </w:r>
    </w:p>
    <w:p w14:paraId="7ED6CF32">
      <w:pPr>
        <w:ind w:firstLine="480" w:firstLineChars="200"/>
        <w:rPr>
          <w:rFonts w:hint="eastAsia" w:ascii="宋体" w:hAnsi="宋体"/>
          <w:color w:val="FF0000"/>
        </w:rPr>
      </w:pPr>
      <w:r>
        <w:rPr>
          <w:rFonts w:hint="eastAsia" w:ascii="宋体" w:hAnsi="宋体"/>
          <w:color w:val="FF0000"/>
          <w:lang w:eastAsia="zh-CN"/>
        </w:rPr>
        <w:t>一、</w:t>
      </w:r>
      <w:r>
        <w:rPr>
          <w:rFonts w:hint="eastAsia" w:ascii="宋体" w:hAnsi="宋体"/>
          <w:color w:val="FF0000"/>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1884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1C19C1D6">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序号</w:t>
            </w:r>
          </w:p>
        </w:tc>
        <w:tc>
          <w:tcPr>
            <w:tcW w:w="7711" w:type="dxa"/>
            <w:vAlign w:val="center"/>
          </w:tcPr>
          <w:p w14:paraId="0C9612F7">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供应商参与投标禁止情形</w:t>
            </w:r>
          </w:p>
        </w:tc>
      </w:tr>
      <w:tr w14:paraId="1343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26CF2445">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1</w:t>
            </w:r>
          </w:p>
        </w:tc>
        <w:tc>
          <w:tcPr>
            <w:tcW w:w="7711" w:type="dxa"/>
            <w:vAlign w:val="center"/>
          </w:tcPr>
          <w:p w14:paraId="7C992B1F">
            <w:pPr>
              <w:keepNext w:val="0"/>
              <w:keepLines w:val="0"/>
              <w:widowControl w:val="0"/>
              <w:suppressLineNumbers w:val="0"/>
              <w:spacing w:before="0" w:beforeAutospacing="0" w:after="0" w:afterAutospacing="0"/>
              <w:ind w:left="0" w:right="0"/>
              <w:jc w:val="both"/>
              <w:rPr>
                <w:rFonts w:hint="eastAsia" w:ascii="宋体" w:hAnsi="宋体"/>
                <w:color w:val="FF0000"/>
              </w:rPr>
            </w:pPr>
            <w:r>
              <w:rPr>
                <w:rFonts w:hint="eastAsia" w:ascii="宋体" w:hAnsi="宋体"/>
                <w:color w:val="FF0000"/>
              </w:rPr>
              <w:t>与其他投标供应商的法定代表人、主要经营负责人、投标授权代表人、项目负责人、主要技术人员为</w:t>
            </w:r>
            <w:r>
              <w:rPr>
                <w:rFonts w:hint="eastAsia" w:ascii="宋体" w:hAnsi="宋体"/>
                <w:b/>
                <w:bCs/>
                <w:color w:val="FF0000"/>
              </w:rPr>
              <w:t>同一人、属同一单位或者在同一单位缴纳社会保险。</w:t>
            </w:r>
          </w:p>
        </w:tc>
      </w:tr>
      <w:tr w14:paraId="2BF5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4A2A1687">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2</w:t>
            </w:r>
          </w:p>
        </w:tc>
        <w:tc>
          <w:tcPr>
            <w:tcW w:w="7711" w:type="dxa"/>
            <w:vAlign w:val="center"/>
          </w:tcPr>
          <w:p w14:paraId="2F5139E4">
            <w:pPr>
              <w:keepNext w:val="0"/>
              <w:keepLines w:val="0"/>
              <w:widowControl w:val="0"/>
              <w:suppressLineNumbers w:val="0"/>
              <w:spacing w:before="0" w:beforeAutospacing="0" w:after="0" w:afterAutospacing="0"/>
              <w:ind w:left="0" w:right="0"/>
              <w:jc w:val="both"/>
              <w:rPr>
                <w:rFonts w:hint="eastAsia" w:ascii="宋体" w:hAnsi="宋体"/>
                <w:color w:val="FF0000"/>
              </w:rPr>
            </w:pPr>
            <w:r>
              <w:rPr>
                <w:rFonts w:hint="eastAsia" w:ascii="宋体" w:hAnsi="宋体"/>
                <w:color w:val="FF0000"/>
              </w:rPr>
              <w:t>参与本项目政府采购活动时，与其他投标供应商存在单位负责人为</w:t>
            </w:r>
            <w:r>
              <w:rPr>
                <w:rFonts w:hint="eastAsia" w:ascii="宋体" w:hAnsi="宋体"/>
                <w:b/>
                <w:bCs/>
                <w:color w:val="FF0000"/>
              </w:rPr>
              <w:t>同一人或直接控股、管理关系</w:t>
            </w:r>
            <w:r>
              <w:rPr>
                <w:rFonts w:hint="eastAsia" w:ascii="宋体" w:hAnsi="宋体"/>
                <w:color w:val="FF0000"/>
              </w:rPr>
              <w:t>。</w:t>
            </w:r>
          </w:p>
        </w:tc>
      </w:tr>
      <w:tr w14:paraId="65B9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0918595E">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3</w:t>
            </w:r>
          </w:p>
        </w:tc>
        <w:tc>
          <w:tcPr>
            <w:tcW w:w="7711" w:type="dxa"/>
            <w:vAlign w:val="center"/>
          </w:tcPr>
          <w:p w14:paraId="55FD9223">
            <w:pPr>
              <w:keepNext w:val="0"/>
              <w:keepLines w:val="0"/>
              <w:widowControl w:val="0"/>
              <w:suppressLineNumbers w:val="0"/>
              <w:spacing w:before="0" w:beforeAutospacing="0" w:after="0" w:afterAutospacing="0"/>
              <w:ind w:left="0" w:right="0"/>
              <w:jc w:val="both"/>
              <w:rPr>
                <w:rFonts w:hint="eastAsia" w:ascii="宋体" w:hAnsi="宋体"/>
                <w:color w:val="FF0000"/>
              </w:rPr>
            </w:pPr>
            <w:r>
              <w:rPr>
                <w:rFonts w:hint="eastAsia" w:ascii="宋体" w:hAnsi="宋体"/>
                <w:color w:val="FF0000"/>
              </w:rPr>
              <w:t>与其他投标供应商的投标文件或部分投标文件</w:t>
            </w:r>
            <w:r>
              <w:rPr>
                <w:rFonts w:hint="eastAsia" w:ascii="宋体" w:hAnsi="宋体"/>
                <w:b/>
                <w:bCs/>
                <w:color w:val="FF0000"/>
              </w:rPr>
              <w:t>相互混装或存在非正常一致</w:t>
            </w:r>
            <w:r>
              <w:rPr>
                <w:rFonts w:hint="eastAsia" w:ascii="宋体" w:hAnsi="宋体"/>
                <w:color w:val="FF0000"/>
              </w:rPr>
              <w:t>。</w:t>
            </w:r>
          </w:p>
        </w:tc>
      </w:tr>
      <w:tr w14:paraId="6756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4EBBE6BC">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4</w:t>
            </w:r>
          </w:p>
        </w:tc>
        <w:tc>
          <w:tcPr>
            <w:tcW w:w="7711" w:type="dxa"/>
            <w:vAlign w:val="center"/>
          </w:tcPr>
          <w:p w14:paraId="189C4F4A">
            <w:pPr>
              <w:keepNext w:val="0"/>
              <w:keepLines w:val="0"/>
              <w:widowControl w:val="0"/>
              <w:suppressLineNumbers w:val="0"/>
              <w:spacing w:before="0" w:beforeAutospacing="0" w:after="0" w:afterAutospacing="0"/>
              <w:ind w:left="0" w:right="0"/>
              <w:jc w:val="both"/>
              <w:rPr>
                <w:rFonts w:hint="eastAsia" w:ascii="宋体" w:hAnsi="宋体"/>
                <w:color w:val="FF0000"/>
              </w:rPr>
            </w:pPr>
            <w:r>
              <w:rPr>
                <w:rFonts w:hint="eastAsia" w:ascii="宋体" w:hAnsi="宋体"/>
                <w:color w:val="FF0000"/>
              </w:rPr>
              <w:t>与其他投标供应商的投标文件由</w:t>
            </w:r>
            <w:r>
              <w:rPr>
                <w:rFonts w:hint="eastAsia" w:ascii="宋体" w:hAnsi="宋体"/>
                <w:b/>
                <w:bCs/>
                <w:color w:val="FF0000"/>
              </w:rPr>
              <w:t>同一单位或者同一人编制</w:t>
            </w:r>
            <w:r>
              <w:rPr>
                <w:rFonts w:hint="eastAsia" w:ascii="宋体" w:hAnsi="宋体"/>
                <w:color w:val="FF0000"/>
              </w:rPr>
              <w:t>，或者使用</w:t>
            </w:r>
            <w:r>
              <w:rPr>
                <w:rFonts w:hint="eastAsia" w:ascii="宋体" w:hAnsi="宋体"/>
                <w:b/>
                <w:bCs/>
                <w:color w:val="FF0000"/>
              </w:rPr>
              <w:t>同一设备编制</w:t>
            </w:r>
            <w:r>
              <w:rPr>
                <w:rFonts w:hint="eastAsia" w:ascii="宋体" w:hAnsi="宋体"/>
                <w:color w:val="FF0000"/>
              </w:rPr>
              <w:t>（“文件制作机器码”“文件创建标识码”一致）。</w:t>
            </w:r>
          </w:p>
        </w:tc>
      </w:tr>
      <w:tr w14:paraId="5DCF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53295066">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5</w:t>
            </w:r>
          </w:p>
        </w:tc>
        <w:tc>
          <w:tcPr>
            <w:tcW w:w="7711" w:type="dxa"/>
            <w:vAlign w:val="center"/>
          </w:tcPr>
          <w:p w14:paraId="4BE79FB7">
            <w:pPr>
              <w:keepNext w:val="0"/>
              <w:keepLines w:val="0"/>
              <w:widowControl w:val="0"/>
              <w:suppressLineNumbers w:val="0"/>
              <w:spacing w:before="0" w:beforeAutospacing="0" w:after="0" w:afterAutospacing="0"/>
              <w:ind w:left="0" w:right="0"/>
              <w:jc w:val="both"/>
              <w:rPr>
                <w:rFonts w:hint="eastAsia" w:ascii="宋体" w:hAnsi="宋体"/>
                <w:color w:val="FF0000"/>
              </w:rPr>
            </w:pPr>
            <w:r>
              <w:rPr>
                <w:rFonts w:hint="eastAsia" w:ascii="宋体" w:hAnsi="宋体"/>
                <w:color w:val="FF0000"/>
              </w:rPr>
              <w:t>提供</w:t>
            </w:r>
            <w:r>
              <w:rPr>
                <w:rFonts w:hint="eastAsia" w:ascii="宋体" w:hAnsi="宋体"/>
                <w:b/>
                <w:bCs/>
                <w:color w:val="FF0000"/>
              </w:rPr>
              <w:t>未经出具机构核实</w:t>
            </w:r>
            <w:r>
              <w:rPr>
                <w:rFonts w:hint="eastAsia" w:ascii="宋体" w:hAnsi="宋体"/>
                <w:color w:val="FF0000"/>
              </w:rPr>
              <w:t>的虚假的检验检测报告、业绩材料、社保缴纳证明、学历学位证书、职称认证证书等材料。</w:t>
            </w:r>
          </w:p>
        </w:tc>
      </w:tr>
      <w:tr w14:paraId="6739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7CA97C4F">
            <w:pPr>
              <w:keepNext w:val="0"/>
              <w:keepLines w:val="0"/>
              <w:widowControl w:val="0"/>
              <w:suppressLineNumbers w:val="0"/>
              <w:spacing w:before="0" w:beforeAutospacing="0" w:after="0" w:afterAutospacing="0"/>
              <w:ind w:left="0" w:right="0"/>
              <w:jc w:val="center"/>
              <w:rPr>
                <w:rFonts w:hint="eastAsia" w:ascii="宋体" w:hAnsi="宋体"/>
                <w:color w:val="FF0000"/>
              </w:rPr>
            </w:pPr>
            <w:r>
              <w:rPr>
                <w:rFonts w:hint="eastAsia" w:ascii="宋体" w:hAnsi="宋体"/>
                <w:color w:val="FF0000"/>
              </w:rPr>
              <w:t>6</w:t>
            </w:r>
          </w:p>
        </w:tc>
        <w:tc>
          <w:tcPr>
            <w:tcW w:w="7711" w:type="dxa"/>
            <w:vAlign w:val="center"/>
          </w:tcPr>
          <w:p w14:paraId="64650A43">
            <w:pPr>
              <w:keepNext w:val="0"/>
              <w:keepLines w:val="0"/>
              <w:widowControl w:val="0"/>
              <w:suppressLineNumbers w:val="0"/>
              <w:spacing w:before="0" w:beforeAutospacing="0" w:after="0" w:afterAutospacing="0"/>
              <w:ind w:left="0" w:right="0"/>
              <w:jc w:val="both"/>
              <w:rPr>
                <w:rFonts w:hint="eastAsia" w:ascii="宋体" w:hAnsi="宋体"/>
                <w:color w:val="FF0000"/>
              </w:rPr>
            </w:pPr>
            <w:r>
              <w:rPr>
                <w:rFonts w:hint="eastAsia" w:ascii="宋体" w:hAnsi="宋体"/>
                <w:color w:val="FF0000"/>
              </w:rPr>
              <w:t>擅自将投标密钥或电子营业执照出借他人使用或未妥善保管。</w:t>
            </w:r>
          </w:p>
        </w:tc>
      </w:tr>
    </w:tbl>
    <w:p w14:paraId="5A573076">
      <w:pPr>
        <w:ind w:firstLine="480" w:firstLineChars="200"/>
        <w:rPr>
          <w:rFonts w:ascii="宋体" w:hAnsi="宋体"/>
          <w:color w:val="FF0000"/>
        </w:rPr>
      </w:pPr>
      <w:r>
        <w:rPr>
          <w:rFonts w:hint="eastAsia" w:ascii="宋体" w:hAnsi="宋体" w:eastAsia="宋体"/>
          <w:color w:val="FF0000"/>
          <w:lang w:eastAsia="zh-CN"/>
        </w:rPr>
        <w:t>二</w:t>
      </w:r>
      <w:r>
        <w:rPr>
          <w:rFonts w:hint="eastAsia" w:ascii="宋体" w:hAnsi="宋体"/>
          <w:color w:val="FF0000"/>
        </w:rPr>
        <w:t>、</w:t>
      </w:r>
      <w:r>
        <w:rPr>
          <w:rFonts w:hint="eastAsia" w:ascii="宋体" w:hAnsi="宋体"/>
          <w:b/>
          <w:bCs/>
          <w:color w:val="FF0000"/>
        </w:rPr>
        <w:t>《深圳经济特区政府采购条例》第五十七条</w:t>
      </w:r>
      <w:r>
        <w:rPr>
          <w:rFonts w:hint="eastAsia" w:ascii="宋体" w:hAnsi="宋体"/>
          <w:color w:val="FF0000"/>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303FBDB">
      <w:pPr>
        <w:ind w:firstLine="480" w:firstLineChars="200"/>
        <w:rPr>
          <w:rFonts w:ascii="宋体" w:hAnsi="宋体"/>
          <w:color w:val="FF0000"/>
        </w:rPr>
      </w:pPr>
      <w:r>
        <w:rPr>
          <w:rFonts w:hint="eastAsia" w:ascii="宋体" w:hAnsi="宋体"/>
          <w:color w:val="FF0000"/>
        </w:rPr>
        <w:t>（一）在采购活动中应当回避而未回避的；</w:t>
      </w:r>
    </w:p>
    <w:p w14:paraId="3906EA76">
      <w:pPr>
        <w:ind w:firstLine="480" w:firstLineChars="200"/>
        <w:rPr>
          <w:rFonts w:ascii="宋体" w:hAnsi="宋体"/>
          <w:color w:val="FF0000"/>
        </w:rPr>
      </w:pPr>
      <w:r>
        <w:rPr>
          <w:rFonts w:hint="eastAsia" w:ascii="宋体" w:hAnsi="宋体"/>
          <w:color w:val="FF0000"/>
        </w:rPr>
        <w:t>（二）未按本条例规定签订、履行采购合同，造成严重后果的；</w:t>
      </w:r>
    </w:p>
    <w:p w14:paraId="644047FB">
      <w:pPr>
        <w:ind w:firstLine="480" w:firstLineChars="200"/>
        <w:rPr>
          <w:rFonts w:ascii="宋体" w:hAnsi="宋体"/>
          <w:color w:val="FF0000"/>
        </w:rPr>
      </w:pPr>
      <w:r>
        <w:rPr>
          <w:rFonts w:hint="eastAsia" w:ascii="宋体" w:hAnsi="宋体"/>
          <w:color w:val="FF0000"/>
        </w:rPr>
        <w:t>（三）隐瞒真实情况，提供虚假资料的；</w:t>
      </w:r>
    </w:p>
    <w:p w14:paraId="43D188EF">
      <w:pPr>
        <w:ind w:firstLine="480" w:firstLineChars="200"/>
        <w:rPr>
          <w:rFonts w:ascii="宋体" w:hAnsi="宋体"/>
          <w:color w:val="FF0000"/>
        </w:rPr>
      </w:pPr>
      <w:r>
        <w:rPr>
          <w:rFonts w:hint="eastAsia" w:ascii="宋体" w:hAnsi="宋体"/>
          <w:color w:val="FF0000"/>
        </w:rPr>
        <w:t>（四）以非法手段排斥其他供应商参与竞争的；</w:t>
      </w:r>
    </w:p>
    <w:p w14:paraId="70C8A19D">
      <w:pPr>
        <w:ind w:firstLine="480" w:firstLineChars="200"/>
        <w:rPr>
          <w:rFonts w:ascii="宋体" w:hAnsi="宋体"/>
          <w:color w:val="FF0000"/>
        </w:rPr>
      </w:pPr>
      <w:r>
        <w:rPr>
          <w:rFonts w:hint="eastAsia" w:ascii="宋体" w:hAnsi="宋体"/>
          <w:color w:val="FF0000"/>
        </w:rPr>
        <w:t>（五）与其他采购参加人串通投标的；</w:t>
      </w:r>
    </w:p>
    <w:p w14:paraId="629DD237">
      <w:pPr>
        <w:ind w:firstLine="480" w:firstLineChars="200"/>
        <w:rPr>
          <w:rFonts w:ascii="宋体" w:hAnsi="宋体"/>
          <w:color w:val="FF0000"/>
        </w:rPr>
      </w:pPr>
      <w:r>
        <w:rPr>
          <w:rFonts w:hint="eastAsia" w:ascii="宋体" w:hAnsi="宋体"/>
          <w:color w:val="FF0000"/>
        </w:rPr>
        <w:t>（六）恶意投诉的；</w:t>
      </w:r>
    </w:p>
    <w:p w14:paraId="32E133B5">
      <w:pPr>
        <w:ind w:firstLine="480" w:firstLineChars="200"/>
        <w:rPr>
          <w:rFonts w:ascii="宋体" w:hAnsi="宋体"/>
          <w:color w:val="FF0000"/>
        </w:rPr>
      </w:pPr>
      <w:r>
        <w:rPr>
          <w:rFonts w:hint="eastAsia" w:ascii="宋体" w:hAnsi="宋体"/>
          <w:color w:val="FF0000"/>
        </w:rPr>
        <w:t>（七）向采购项目相关人行贿或者提供其他不当利益的；</w:t>
      </w:r>
    </w:p>
    <w:p w14:paraId="17E673A2">
      <w:pPr>
        <w:ind w:firstLine="480" w:firstLineChars="200"/>
        <w:rPr>
          <w:rFonts w:ascii="宋体" w:hAnsi="宋体"/>
          <w:color w:val="FF0000"/>
        </w:rPr>
      </w:pPr>
      <w:r>
        <w:rPr>
          <w:rFonts w:hint="eastAsia" w:ascii="宋体" w:hAnsi="宋体"/>
          <w:color w:val="FF0000"/>
        </w:rPr>
        <w:t>（八）阻碍、抗拒主管部门监督检查的；</w:t>
      </w:r>
    </w:p>
    <w:p w14:paraId="40F0713B">
      <w:pPr>
        <w:ind w:firstLine="480" w:firstLineChars="200"/>
        <w:rPr>
          <w:rFonts w:ascii="宋体" w:hAnsi="宋体"/>
          <w:color w:val="FF0000"/>
        </w:rPr>
      </w:pPr>
      <w:r>
        <w:rPr>
          <w:rFonts w:hint="eastAsia" w:ascii="宋体" w:hAnsi="宋体"/>
          <w:color w:val="FF0000"/>
        </w:rPr>
        <w:t>（九）其他违反本条例规定的行为。</w:t>
      </w:r>
    </w:p>
    <w:p w14:paraId="6D35C205">
      <w:pPr>
        <w:ind w:firstLine="482" w:firstLineChars="200"/>
        <w:rPr>
          <w:rFonts w:ascii="宋体" w:hAnsi="宋体"/>
          <w:color w:val="FF0000"/>
        </w:rPr>
      </w:pPr>
      <w:r>
        <w:rPr>
          <w:rFonts w:hint="eastAsia" w:ascii="宋体" w:hAnsi="宋体" w:eastAsia="宋体"/>
          <w:b/>
          <w:bCs/>
          <w:color w:val="FF0000"/>
          <w:lang w:eastAsia="zh-CN"/>
        </w:rPr>
        <w:t>三</w:t>
      </w:r>
      <w:r>
        <w:rPr>
          <w:rFonts w:hint="eastAsia" w:ascii="宋体" w:hAnsi="宋体"/>
          <w:b/>
          <w:bCs/>
          <w:color w:val="FF0000"/>
        </w:rPr>
        <w:t>、《深圳经济特区政府采购条例实施细则》第七十五条 </w:t>
      </w:r>
      <w:r>
        <w:rPr>
          <w:rFonts w:hint="eastAsia" w:ascii="宋体" w:hAnsi="宋体"/>
          <w:color w:val="FF000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78929C77">
      <w:pPr>
        <w:ind w:firstLine="482" w:firstLineChars="200"/>
        <w:rPr>
          <w:rFonts w:ascii="宋体" w:hAnsi="宋体"/>
          <w:color w:val="FF0000"/>
        </w:rPr>
      </w:pPr>
      <w:r>
        <w:rPr>
          <w:rFonts w:hint="eastAsia" w:ascii="宋体" w:hAnsi="宋体" w:eastAsia="宋体"/>
          <w:b/>
          <w:bCs/>
          <w:color w:val="FF0000"/>
          <w:lang w:eastAsia="zh-CN"/>
        </w:rPr>
        <w:t>四</w:t>
      </w:r>
      <w:r>
        <w:rPr>
          <w:rFonts w:hint="eastAsia" w:ascii="宋体" w:hAnsi="宋体"/>
          <w:b/>
          <w:bCs/>
          <w:color w:val="FF0000"/>
        </w:rPr>
        <w:t>、《深圳经济特区政府采购条例实施细则》第七十七条 </w:t>
      </w:r>
      <w:r>
        <w:rPr>
          <w:rFonts w:hint="eastAsia" w:ascii="宋体" w:hAnsi="宋体"/>
          <w:color w:val="FF0000"/>
        </w:rPr>
        <w:t>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30F6F29">
      <w:pPr>
        <w:ind w:firstLine="480" w:firstLineChars="200"/>
        <w:rPr>
          <w:rFonts w:hint="eastAsia" w:ascii="宋体" w:hAnsi="宋体"/>
          <w:color w:val="FF0000"/>
          <w:highlight w:val="none"/>
        </w:rPr>
      </w:pPr>
      <w:r>
        <w:rPr>
          <w:rFonts w:hint="eastAsia" w:ascii="宋体" w:hAnsi="宋体"/>
          <w:color w:val="FF0000"/>
          <w:highlight w:val="none"/>
        </w:rPr>
        <w:t>投标供应商不能提供项目负责人或者主要技术人员的劳动合同、社会保险等劳动关系证明材料的，视为存在前款第（三）项规定的情形。</w:t>
      </w:r>
    </w:p>
    <w:p w14:paraId="4A8FC4D5">
      <w:pPr>
        <w:ind w:firstLine="480" w:firstLineChars="200"/>
        <w:rPr>
          <w:rFonts w:hint="eastAsia" w:ascii="宋体" w:hAnsi="宋体" w:eastAsia="宋体" w:cs="Times New Roman"/>
          <w:color w:val="FF0000"/>
          <w:highlight w:val="none"/>
          <w:lang w:eastAsia="zh-CN"/>
        </w:rPr>
      </w:pPr>
      <w:r>
        <w:rPr>
          <w:rFonts w:hint="eastAsia" w:ascii="宋体" w:hAnsi="宋体" w:eastAsia="宋体" w:cs="Times New Roman"/>
          <w:color w:val="FF0000"/>
          <w:highlight w:val="none"/>
          <w:lang w:eastAsia="zh-CN"/>
        </w:rPr>
        <w:t>五</w:t>
      </w:r>
      <w:r>
        <w:rPr>
          <w:rFonts w:hint="eastAsia" w:ascii="宋体" w:hAnsi="宋体" w:eastAsia="Times New Roman" w:cs="Times New Roman"/>
          <w:color w:val="FF0000"/>
          <w:highlight w:val="none"/>
        </w:rPr>
        <w:t>、请投标供应商阅读《政府采购违法行为风险知悉确认书》（内容详见“投标文件附件（信息不公开部分）”中“投标人认为需要加以说明的其他内容（格式自定）”</w:t>
      </w:r>
      <w:r>
        <w:rPr>
          <w:rFonts w:hint="eastAsia" w:ascii="宋体" w:hAnsi="宋体" w:eastAsia="宋体" w:cs="Times New Roman"/>
          <w:color w:val="FF0000"/>
          <w:highlight w:val="none"/>
          <w:lang w:eastAsia="zh-CN"/>
        </w:rPr>
        <w:t>）</w:t>
      </w:r>
      <w:r>
        <w:rPr>
          <w:rFonts w:hint="eastAsia" w:ascii="宋体" w:hAnsi="宋体" w:eastAsia="Times New Roman" w:cs="Times New Roman"/>
          <w:color w:val="FF0000"/>
          <w:highlight w:val="none"/>
        </w:rPr>
        <w:t>，并经各投标供应商负责人或投标授权代表签字并加盖单位公章后，扫描上传至投标文件一并提交。</w:t>
      </w:r>
    </w:p>
    <w:p w14:paraId="2FE2CC79">
      <w:pPr>
        <w:ind w:firstLine="480" w:firstLineChars="200"/>
        <w:rPr>
          <w:rFonts w:hint="eastAsia" w:ascii="宋体" w:hAnsi="宋体" w:eastAsia="Times New Roman" w:cs="Times New Roman"/>
          <w:color w:val="FF0000"/>
          <w:highlight w:val="none"/>
        </w:rPr>
      </w:pPr>
      <w:r>
        <w:rPr>
          <w:rFonts w:hint="eastAsia" w:ascii="宋体" w:hAnsi="宋体" w:eastAsia="Times New Roman" w:cs="Times New Roman"/>
          <w:color w:val="FF0000"/>
          <w:highlight w:val="none"/>
        </w:rPr>
        <w:t>注：该风险知悉确认书用于对供应商违法行为的警示，不作为供应商资格性审查及符合性审查条件。</w:t>
      </w:r>
    </w:p>
    <w:p w14:paraId="0685CACE">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lang w:val="en-US" w:eastAsia="zh-CN"/>
        </w:rPr>
      </w:pPr>
      <w:r>
        <w:rPr>
          <w:rFonts w:hint="eastAsia" w:ascii="宋体" w:hAnsi="宋体" w:cs="Times New Roman"/>
          <w:b w:val="0"/>
          <w:bCs w:val="0"/>
          <w:color w:val="FF0000"/>
          <w:sz w:val="24"/>
          <w:szCs w:val="24"/>
          <w:highlight w:val="none"/>
          <w:lang w:val="en-US" w:eastAsia="zh-CN"/>
        </w:rPr>
        <w:t>六</w:t>
      </w:r>
      <w:r>
        <w:rPr>
          <w:rFonts w:hint="eastAsia" w:ascii="宋体" w:hAnsi="宋体" w:eastAsia="Times New Roman" w:cs="Times New Roman"/>
          <w:b w:val="0"/>
          <w:bCs w:val="0"/>
          <w:color w:val="FF0000"/>
          <w:sz w:val="24"/>
          <w:szCs w:val="24"/>
          <w:highlight w:val="none"/>
          <w:lang w:val="en-US" w:eastAsia="zh-CN"/>
        </w:rPr>
        <w:t>、</w:t>
      </w:r>
      <w:r>
        <w:rPr>
          <w:rFonts w:hint="eastAsia" w:ascii="宋体" w:hAnsi="宋体" w:eastAsia="Times New Roman" w:cs="Times New Roman"/>
          <w:b w:val="0"/>
          <w:bCs w:val="0"/>
          <w:color w:val="FF0000"/>
          <w:highlight w:val="none"/>
        </w:rPr>
        <w:t>供应商在使用深圳政府采购智慧平台的投标文件制作工具创建投标文件时，该工具将自动在投标文件中记录文件创建标识码，同时提取投标文件制作电脑的网卡MAC地址、硬盘序列号、CPU 序列号、主板序列号和工具标识号，经加密生成文件制作机器码并在投标文件中记录。文件制作机器码一致表明不同供应商使用了同一设备编制投标文件，文件创建标识码一致表明不同供应商的投标文件为同一份文件，IP 地址一致表明上传投标文件时使用了相同的网络。</w:t>
      </w:r>
    </w:p>
    <w:p w14:paraId="7A47051B">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rPr>
      </w:pPr>
      <w:r>
        <w:rPr>
          <w:rFonts w:hint="eastAsia" w:ascii="宋体" w:hAnsi="宋体" w:eastAsia="宋体" w:cs="Times New Roman"/>
          <w:b w:val="0"/>
          <w:bCs w:val="0"/>
          <w:color w:val="FF0000"/>
          <w:highlight w:val="none"/>
          <w:lang w:eastAsia="zh-CN"/>
        </w:rPr>
        <w:t>七</w:t>
      </w:r>
      <w:r>
        <w:rPr>
          <w:rFonts w:hint="eastAsia" w:ascii="宋体" w:hAnsi="宋体" w:eastAsia="Times New Roman" w:cs="Times New Roman"/>
          <w:b w:val="0"/>
          <w:bCs w:val="0"/>
          <w:color w:val="FF0000"/>
          <w:highlight w:val="none"/>
        </w:rPr>
        <w:t>、为避免出现不同供应商投标文件的文件制作机器码、文件创建标识码、IP地址一致的异常情况，建议各供应商编制、上传投标文件时不要使用公共电脑设备或公共网络。</w:t>
      </w:r>
    </w:p>
    <w:p w14:paraId="001A09FB">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lang w:val="en-US" w:eastAsia="zh-CN"/>
        </w:rPr>
      </w:pPr>
      <w:r>
        <w:rPr>
          <w:rFonts w:hint="eastAsia" w:ascii="宋体" w:hAnsi="宋体" w:eastAsia="宋体" w:cs="Times New Roman"/>
          <w:b w:val="0"/>
          <w:bCs w:val="0"/>
          <w:color w:val="FF0000"/>
          <w:highlight w:val="none"/>
          <w:lang w:eastAsia="zh-CN"/>
        </w:rPr>
        <w:t>八</w:t>
      </w:r>
      <w:r>
        <w:rPr>
          <w:rFonts w:hint="eastAsia" w:ascii="宋体" w:hAnsi="宋体" w:eastAsia="Times New Roman" w:cs="Times New Roman"/>
          <w:b w:val="0"/>
          <w:bCs w:val="0"/>
          <w:color w:val="FF0000"/>
          <w:highlight w:val="none"/>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4C0E34EB">
      <w:pPr>
        <w:rPr>
          <w:color w:val="000000" w:themeColor="text1"/>
          <w14:textFill>
            <w14:solidFill>
              <w14:schemeClr w14:val="tx1"/>
            </w14:solidFill>
          </w14:textFill>
        </w:rPr>
      </w:pPr>
    </w:p>
    <w:p w14:paraId="32F4CEC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r>
        <w:rPr>
          <w:rFonts w:hint="eastAsia"/>
          <w:color w:val="000000" w:themeColor="text1"/>
          <w14:textFill>
            <w14:solidFill>
              <w14:schemeClr w14:val="tx1"/>
            </w14:solidFill>
          </w14:textFill>
        </w:rPr>
        <w:t>目   录</w:t>
      </w:r>
    </w:p>
    <w:p w14:paraId="117FF323">
      <w:pPr>
        <w:spacing w:line="360" w:lineRule="auto"/>
        <w:outlineLvl w:val="1"/>
        <w:rPr>
          <w:rFonts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第一册  专用条款</w:t>
      </w:r>
    </w:p>
    <w:p w14:paraId="2ADE97DD">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招标公告</w:t>
      </w:r>
    </w:p>
    <w:p w14:paraId="54ED0667">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第二章  </w:t>
      </w:r>
      <w:bookmarkStart w:id="1" w:name="_Hlk71994379"/>
      <w:r>
        <w:rPr>
          <w:rFonts w:hint="eastAsia" w:ascii="宋体" w:hAnsi="宋体" w:eastAsia="宋体"/>
          <w:color w:val="000000" w:themeColor="text1"/>
          <w:szCs w:val="21"/>
          <w14:textFill>
            <w14:solidFill>
              <w14:schemeClr w14:val="tx1"/>
            </w14:solidFill>
          </w14:textFill>
        </w:rPr>
        <w:t>对通用条款的补充内容及其他关键信息</w:t>
      </w:r>
      <w:bookmarkEnd w:id="1"/>
    </w:p>
    <w:p w14:paraId="29B2EDE0">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用户需求书</w:t>
      </w:r>
    </w:p>
    <w:p w14:paraId="299FCBAD">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投标文件组成要求及格式</w:t>
      </w:r>
    </w:p>
    <w:p w14:paraId="7231E391">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合同条款及格式</w:t>
      </w:r>
    </w:p>
    <w:p w14:paraId="1FD72AC4">
      <w:pPr>
        <w:rPr>
          <w:rFonts w:eastAsia="宋体"/>
        </w:rPr>
      </w:pPr>
    </w:p>
    <w:p w14:paraId="75D10AB1">
      <w:pPr>
        <w:spacing w:line="360" w:lineRule="auto"/>
        <w:outlineLvl w:val="1"/>
        <w:rPr>
          <w:rFonts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第二册  通用条款</w:t>
      </w:r>
    </w:p>
    <w:p w14:paraId="44B4944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总则</w:t>
      </w:r>
    </w:p>
    <w:p w14:paraId="33DB023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第二章  招标文件</w:t>
      </w:r>
    </w:p>
    <w:p w14:paraId="40E956B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投标文件的编制</w:t>
      </w:r>
    </w:p>
    <w:p w14:paraId="553DCD2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投标文件的递交</w:t>
      </w:r>
    </w:p>
    <w:p w14:paraId="036CAA27">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开标</w:t>
      </w:r>
    </w:p>
    <w:p w14:paraId="7780E81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第六章  评审要求</w:t>
      </w:r>
    </w:p>
    <w:p w14:paraId="2C8B12F3">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第七章  评审程序及评审方法</w:t>
      </w:r>
    </w:p>
    <w:p w14:paraId="4224D621">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第八章  定标及公示</w:t>
      </w:r>
    </w:p>
    <w:p w14:paraId="6BC65866">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第九章  公开招标失败的后续处理</w:t>
      </w:r>
    </w:p>
    <w:p w14:paraId="5F134E04">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第十章  合同的授予与备案</w:t>
      </w:r>
    </w:p>
    <w:p w14:paraId="6B84A3F1">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第十一章  质疑处理</w:t>
      </w:r>
    </w:p>
    <w:p w14:paraId="6E906C8D">
      <w:pPr>
        <w:spacing w:line="360" w:lineRule="auto"/>
        <w:ind w:firstLine="480" w:firstLineChars="200"/>
        <w:rPr>
          <w:rFonts w:ascii="宋体" w:hAnsi="宋体" w:eastAsia="宋体"/>
          <w:color w:val="000000" w:themeColor="text1"/>
          <w:szCs w:val="21"/>
          <w14:textFill>
            <w14:solidFill>
              <w14:schemeClr w14:val="tx1"/>
            </w14:solidFill>
          </w14:textFill>
        </w:rPr>
      </w:pPr>
    </w:p>
    <w:p w14:paraId="57E637C7">
      <w:pPr>
        <w:pStyle w:val="3"/>
        <w:rPr>
          <w:color w:val="000000" w:themeColor="text1"/>
          <w:sz w:val="24"/>
          <w14:textFill>
            <w14:solidFill>
              <w14:schemeClr w14:val="tx1"/>
            </w14:solidFill>
          </w14:textFill>
        </w:rPr>
      </w:pPr>
      <w:r>
        <w:rPr>
          <w:rFonts w:eastAsia="宋体"/>
          <w:color w:val="000000" w:themeColor="text1"/>
          <w14:textFill>
            <w14:solidFill>
              <w14:schemeClr w14:val="tx1"/>
            </w14:solidFill>
          </w14:textFill>
        </w:rPr>
        <w:br w:type="page"/>
      </w:r>
      <w:bookmarkStart w:id="2" w:name="bt合同条款及格式"/>
      <w:bookmarkEnd w:id="2"/>
      <w:bookmarkStart w:id="3" w:name="bt说明"/>
      <w:bookmarkEnd w:id="3"/>
      <w:bookmarkStart w:id="4" w:name="bt本工程承诺书"/>
      <w:bookmarkEnd w:id="4"/>
      <w:bookmarkStart w:id="5" w:name="bt技术标投标文件格式"/>
      <w:bookmarkEnd w:id="5"/>
      <w:bookmarkStart w:id="6" w:name="bt项目管理班子配备情况"/>
      <w:bookmarkEnd w:id="6"/>
      <w:bookmarkStart w:id="7" w:name="bt商务标投标文件格式"/>
      <w:bookmarkEnd w:id="7"/>
      <w:bookmarkStart w:id="8" w:name="bt开标一览表"/>
      <w:bookmarkEnd w:id="8"/>
      <w:bookmarkStart w:id="9" w:name="bt其他资料2"/>
      <w:bookmarkEnd w:id="9"/>
      <w:bookmarkStart w:id="10" w:name="bt合同条款"/>
      <w:bookmarkEnd w:id="10"/>
      <w:bookmarkStart w:id="11" w:name="bt投标人须知"/>
      <w:bookmarkEnd w:id="11"/>
      <w:bookmarkStart w:id="12" w:name="合同格式"/>
      <w:bookmarkEnd w:id="12"/>
      <w:bookmarkStart w:id="13" w:name="bt投标报价汇总表"/>
      <w:bookmarkEnd w:id="13"/>
      <w:bookmarkStart w:id="14" w:name="bt其他资料由投标人自定"/>
      <w:bookmarkEnd w:id="14"/>
      <w:bookmarkStart w:id="15" w:name="bt投标文件签署授权委托书"/>
      <w:bookmarkEnd w:id="15"/>
      <w:bookmarkStart w:id="16" w:name="bt合同格式"/>
      <w:bookmarkEnd w:id="16"/>
      <w:bookmarkStart w:id="17" w:name="bt投标函"/>
      <w:bookmarkEnd w:id="17"/>
      <w:bookmarkStart w:id="18" w:name="bt投标人情况介绍"/>
      <w:bookmarkEnd w:id="18"/>
      <w:r>
        <w:rPr>
          <w:rFonts w:hint="eastAsia"/>
          <w:color w:val="000000" w:themeColor="text1"/>
          <w14:textFill>
            <w14:solidFill>
              <w14:schemeClr w14:val="tx1"/>
            </w14:solidFill>
          </w14:textFill>
        </w:rPr>
        <w:t>第一册专用条款</w:t>
      </w:r>
    </w:p>
    <w:p w14:paraId="4D94703A">
      <w:pPr>
        <w:pStyle w:val="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第一章  </w:t>
      </w:r>
      <w:r>
        <w:rPr>
          <w:rFonts w:hint="eastAsia" w:cs="宋体"/>
          <w:b/>
          <w:bCs/>
          <w:color w:val="000000" w:themeColor="text1"/>
          <w:szCs w:val="21"/>
          <w14:textFill>
            <w14:solidFill>
              <w14:schemeClr w14:val="tx1"/>
            </w14:solidFill>
          </w14:textFill>
        </w:rPr>
        <w:t>招标公告</w:t>
      </w:r>
      <w:r>
        <w:rPr>
          <w:rFonts w:hint="eastAsia"/>
          <w:b/>
          <w:bCs/>
          <w:color w:val="000000" w:themeColor="text1"/>
          <w14:textFill>
            <w14:solidFill>
              <w14:schemeClr w14:val="tx1"/>
            </w14:solidFill>
          </w14:textFill>
        </w:rPr>
        <w:t xml:space="preserve">  </w:t>
      </w:r>
    </w:p>
    <w:p w14:paraId="3E48C2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本公告内涉及时间的相关内容均已对外发布的招标公告内容为准</w:t>
      </w:r>
    </w:p>
    <w:p w14:paraId="2F89CB7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p>
    <w:p w14:paraId="1E64AC94">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lang w:eastAsia="zh-CN"/>
          <w14:textFill>
            <w14:solidFill>
              <w14:schemeClr w14:val="tx1"/>
            </w14:solidFill>
          </w14:textFill>
        </w:rPr>
      </w:pPr>
      <w:r>
        <w:rPr>
          <w:rFonts w:hint="eastAsia" w:ascii="宋体" w:hAnsi="宋体" w:eastAsia="宋体" w:cs="宋体"/>
          <w:b/>
          <w:color w:val="000000" w:themeColor="text1"/>
          <w:szCs w:val="21"/>
          <w:lang w:eastAsia="zh-CN"/>
          <w14:textFill>
            <w14:solidFill>
              <w14:schemeClr w14:val="tx1"/>
            </w14:solidFill>
          </w14:textFill>
        </w:rPr>
        <w:t>一、项目概况：</w:t>
      </w:r>
    </w:p>
    <w:p w14:paraId="7870393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color w:val="FF0000"/>
          <w:highlight w:val="yellow"/>
          <w:u w:val="single"/>
          <w:lang w:val="en-US" w:eastAsia="zh-CN"/>
        </w:rPr>
        <w:t>深圳公安局光明分局下属单位食堂食材配送服务项目</w:t>
      </w:r>
      <w:r>
        <w:rPr>
          <w:rFonts w:hint="eastAsia" w:ascii="宋体" w:hAnsi="宋体" w:eastAsia="宋体" w:cs="宋体"/>
        </w:rPr>
        <w:t>的潜在投标人应在（本公告附件中）获取招标文件，于</w:t>
      </w:r>
      <w:r>
        <w:rPr>
          <w:rFonts w:hint="eastAsia" w:ascii="宋体" w:hAnsi="宋体" w:eastAsia="宋体" w:cs="宋体"/>
          <w:color w:val="FF0000"/>
          <w:highlight w:val="yellow"/>
          <w:lang w:eastAsia="zh-CN"/>
        </w:rPr>
        <w:t>202</w:t>
      </w:r>
      <w:r>
        <w:rPr>
          <w:rFonts w:hint="eastAsia" w:ascii="宋体" w:hAnsi="宋体" w:eastAsia="宋体" w:cs="宋体"/>
          <w:color w:val="FF0000"/>
          <w:highlight w:val="yellow"/>
          <w:lang w:val="en-US" w:eastAsia="zh-CN"/>
        </w:rPr>
        <w:t>5</w:t>
      </w:r>
      <w:r>
        <w:rPr>
          <w:rFonts w:hint="eastAsia" w:ascii="宋体" w:hAnsi="宋体" w:eastAsia="宋体" w:cs="宋体"/>
          <w:color w:val="FF0000"/>
          <w:highlight w:val="yellow"/>
          <w:lang w:eastAsia="zh-CN"/>
        </w:rPr>
        <w:t>年</w:t>
      </w:r>
      <w:r>
        <w:rPr>
          <w:rFonts w:hint="eastAsia" w:ascii="宋体" w:hAnsi="宋体" w:eastAsia="宋体" w:cs="宋体"/>
          <w:color w:val="FF0000"/>
          <w:highlight w:val="yellow"/>
          <w:lang w:val="en-US" w:eastAsia="zh-CN"/>
        </w:rPr>
        <w:t>X</w:t>
      </w:r>
      <w:r>
        <w:rPr>
          <w:rFonts w:hint="eastAsia" w:ascii="宋体" w:hAnsi="宋体" w:eastAsia="宋体" w:cs="宋体"/>
          <w:color w:val="FF0000"/>
          <w:highlight w:val="yellow"/>
          <w:lang w:eastAsia="zh-CN"/>
        </w:rPr>
        <w:t>月</w:t>
      </w:r>
      <w:r>
        <w:rPr>
          <w:rFonts w:hint="eastAsia" w:ascii="宋体" w:hAnsi="宋体" w:eastAsia="宋体" w:cs="宋体"/>
          <w:color w:val="FF0000"/>
          <w:highlight w:val="yellow"/>
          <w:lang w:val="en-US" w:eastAsia="zh-CN"/>
        </w:rPr>
        <w:t>X</w:t>
      </w:r>
      <w:r>
        <w:rPr>
          <w:rFonts w:hint="eastAsia" w:ascii="宋体" w:hAnsi="宋体" w:eastAsia="宋体" w:cs="宋体"/>
          <w:color w:val="FF0000"/>
          <w:highlight w:val="yellow"/>
          <w:lang w:eastAsia="zh-CN"/>
        </w:rPr>
        <w:t>日</w:t>
      </w:r>
      <w:r>
        <w:rPr>
          <w:rFonts w:hint="eastAsia" w:ascii="宋体" w:hAnsi="宋体" w:eastAsia="宋体" w:cs="宋体"/>
          <w:color w:val="FF0000"/>
          <w:highlight w:val="yellow"/>
          <w:lang w:val="en-US" w:eastAsia="zh-CN"/>
        </w:rPr>
        <w:t>XX时XX分XX秒</w:t>
      </w:r>
      <w:r>
        <w:rPr>
          <w:rFonts w:hint="eastAsia" w:ascii="宋体" w:hAnsi="宋体" w:eastAsia="宋体" w:cs="宋体"/>
        </w:rPr>
        <w:t>（北京时间）前递交投标文件。</w:t>
      </w:r>
    </w:p>
    <w:p w14:paraId="3DBFA37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一、项目基本情况</w:t>
      </w:r>
    </w:p>
    <w:p w14:paraId="1F1DE45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lang w:val="en-US" w:eastAsia="zh-CN"/>
        </w:rPr>
      </w:pPr>
      <w:r>
        <w:rPr>
          <w:rFonts w:hint="eastAsia" w:ascii="宋体" w:hAnsi="宋体" w:eastAsia="宋体" w:cs="宋体"/>
        </w:rPr>
        <w:t>1.项目编号：</w:t>
      </w:r>
      <w:r>
        <w:rPr>
          <w:rFonts w:hint="eastAsia" w:ascii="宋体" w:hAnsi="宋体" w:eastAsia="宋体" w:cs="宋体"/>
          <w:color w:val="FF0000"/>
          <w:highlight w:val="yellow"/>
          <w:u w:val="single"/>
          <w:lang w:val="en-US" w:eastAsia="zh-CN"/>
        </w:rPr>
        <w:t>GMDL2025000017</w:t>
      </w:r>
    </w:p>
    <w:p w14:paraId="34A8E26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lang w:eastAsia="zh-CN"/>
        </w:rPr>
      </w:pPr>
      <w:r>
        <w:rPr>
          <w:rFonts w:hint="eastAsia" w:ascii="宋体" w:hAnsi="宋体" w:eastAsia="宋体" w:cs="宋体"/>
        </w:rPr>
        <w:t>2.项目名称：</w:t>
      </w:r>
      <w:r>
        <w:rPr>
          <w:rFonts w:hint="eastAsia" w:ascii="宋体" w:hAnsi="宋体" w:eastAsia="宋体" w:cs="宋体"/>
          <w:color w:val="FF0000"/>
          <w:highlight w:val="yellow"/>
          <w:u w:val="single"/>
          <w:lang w:val="en-US" w:eastAsia="zh-CN"/>
        </w:rPr>
        <w:t>深圳公安局光明分局下属单位食堂食材配送服务项目</w:t>
      </w:r>
    </w:p>
    <w:p w14:paraId="0624D4E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3.预算金额：</w:t>
      </w:r>
      <w:r>
        <w:rPr>
          <w:rFonts w:hint="eastAsia" w:ascii="宋体" w:hAnsi="宋体" w:eastAsia="宋体" w:cs="宋体"/>
          <w:color w:val="FF0000"/>
          <w:highlight w:val="yellow"/>
          <w:lang w:val="en-US" w:eastAsia="zh-CN"/>
        </w:rPr>
        <w:t>15,430,000.00元</w:t>
      </w:r>
    </w:p>
    <w:p w14:paraId="3F18156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4.最高限价：</w:t>
      </w:r>
      <w:r>
        <w:rPr>
          <w:rFonts w:hint="eastAsia" w:ascii="宋体" w:hAnsi="宋体" w:eastAsia="宋体" w:cs="宋体"/>
          <w:color w:val="FF0000"/>
          <w:highlight w:val="yellow"/>
          <w:lang w:val="en-US" w:eastAsia="zh-CN"/>
        </w:rPr>
        <w:t>15,430,000.00元</w:t>
      </w:r>
    </w:p>
    <w:p w14:paraId="76539FB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5.采购需求：</w:t>
      </w:r>
    </w:p>
    <w:tbl>
      <w:tblPr>
        <w:tblStyle w:val="17"/>
        <w:tblW w:w="7941" w:type="dxa"/>
        <w:tblInd w:w="0" w:type="dxa"/>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fixed"/>
        <w:tblCellMar>
          <w:top w:w="60" w:type="dxa"/>
          <w:left w:w="60" w:type="dxa"/>
          <w:bottom w:w="60" w:type="dxa"/>
          <w:right w:w="60" w:type="dxa"/>
        </w:tblCellMar>
      </w:tblPr>
      <w:tblGrid>
        <w:gridCol w:w="2228"/>
        <w:gridCol w:w="714"/>
        <w:gridCol w:w="714"/>
        <w:gridCol w:w="3571"/>
        <w:gridCol w:w="714"/>
      </w:tblGrid>
      <w:tr w14:paraId="03A8B27D">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3EBBFE0D">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标的名称</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27CA952A">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数量</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01BBD335">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单位</w:t>
            </w:r>
          </w:p>
        </w:tc>
        <w:tc>
          <w:tcPr>
            <w:tcW w:w="3571"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2C08CDEA">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简要技术需求（服务需求）</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5EF9B10F">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备注</w:t>
            </w:r>
          </w:p>
        </w:tc>
      </w:tr>
      <w:tr w14:paraId="65701E09">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vAlign w:val="center"/>
          </w:tcPr>
          <w:p w14:paraId="1B14CE1E">
            <w:pPr>
              <w:keepNext w:val="0"/>
              <w:keepLines w:val="0"/>
              <w:widowControl/>
              <w:suppressLineNumbers w:val="0"/>
              <w:spacing w:before="100" w:beforeAutospacing="1" w:after="100" w:afterAutospacing="1"/>
              <w:ind w:left="0" w:right="0"/>
              <w:jc w:val="center"/>
              <w:rPr>
                <w:rFonts w:hint="eastAsia" w:cs="宋体" w:asciiTheme="minorEastAsia" w:hAnsiTheme="minorEastAsia" w:eastAsiaTheme="minorEastAsia"/>
                <w:szCs w:val="21"/>
                <w:highlight w:val="yellow"/>
                <w:lang w:eastAsia="zh-CN"/>
              </w:rPr>
            </w:pPr>
            <w:r>
              <w:rPr>
                <w:rFonts w:hint="eastAsia" w:ascii="宋体" w:hAnsi="宋体" w:eastAsia="宋体" w:cs="宋体"/>
                <w:color w:val="FF0000"/>
                <w:highlight w:val="yellow"/>
                <w:u w:val="single"/>
                <w:lang w:val="en-US" w:eastAsia="zh-CN"/>
              </w:rPr>
              <w:t>深圳公安局光明分局下属单位食堂食材配送服务项目</w:t>
            </w:r>
          </w:p>
        </w:tc>
        <w:tc>
          <w:tcPr>
            <w:tcW w:w="714" w:type="dxa"/>
            <w:tcBorders>
              <w:top w:val="outset" w:color="AAAAAA" w:sz="6" w:space="0"/>
              <w:left w:val="outset" w:color="AAAAAA" w:sz="6" w:space="0"/>
              <w:bottom w:val="outset" w:color="AAAAAA" w:sz="6" w:space="0"/>
              <w:right w:val="outset" w:color="AAAAAA" w:sz="6" w:space="0"/>
            </w:tcBorders>
            <w:vAlign w:val="center"/>
          </w:tcPr>
          <w:p w14:paraId="0836DE39">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highlight w:val="yellow"/>
              </w:rPr>
            </w:pPr>
            <w:r>
              <w:rPr>
                <w:rFonts w:hint="default" w:cs="宋体" w:asciiTheme="minorEastAsia" w:hAnsiTheme="minorEastAsia" w:eastAsiaTheme="minorEastAsia"/>
                <w:szCs w:val="21"/>
                <w:highlight w:val="yellow"/>
              </w:rPr>
              <w:t>1.0</w:t>
            </w:r>
          </w:p>
        </w:tc>
        <w:tc>
          <w:tcPr>
            <w:tcW w:w="714" w:type="dxa"/>
            <w:tcBorders>
              <w:top w:val="outset" w:color="AAAAAA" w:sz="6" w:space="0"/>
              <w:left w:val="outset" w:color="AAAAAA" w:sz="6" w:space="0"/>
              <w:bottom w:val="outset" w:color="AAAAAA" w:sz="6" w:space="0"/>
              <w:right w:val="outset" w:color="AAAAAA" w:sz="6" w:space="0"/>
            </w:tcBorders>
            <w:vAlign w:val="center"/>
          </w:tcPr>
          <w:p w14:paraId="012EAF5B">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highlight w:val="yellow"/>
              </w:rPr>
            </w:pPr>
            <w:r>
              <w:rPr>
                <w:rFonts w:hint="default" w:cs="宋体" w:asciiTheme="minorEastAsia" w:hAnsiTheme="minorEastAsia" w:eastAsiaTheme="minorEastAsia"/>
                <w:szCs w:val="21"/>
                <w:highlight w:val="yellow"/>
              </w:rPr>
              <w:t>项</w:t>
            </w:r>
          </w:p>
        </w:tc>
        <w:tc>
          <w:tcPr>
            <w:tcW w:w="3571" w:type="dxa"/>
            <w:tcBorders>
              <w:top w:val="outset" w:color="AAAAAA" w:sz="6" w:space="0"/>
              <w:left w:val="outset" w:color="AAAAAA" w:sz="6" w:space="0"/>
              <w:bottom w:val="outset" w:color="AAAAAA" w:sz="6" w:space="0"/>
              <w:right w:val="outset" w:color="AAAAAA" w:sz="6" w:space="0"/>
            </w:tcBorders>
            <w:vAlign w:val="center"/>
          </w:tcPr>
          <w:p w14:paraId="48C3BF42">
            <w:pPr>
              <w:keepNext w:val="0"/>
              <w:keepLines w:val="0"/>
              <w:widowControl/>
              <w:suppressLineNumbers w:val="0"/>
              <w:spacing w:before="100" w:beforeAutospacing="1" w:after="100" w:afterAutospacing="1"/>
              <w:ind w:left="0" w:right="0"/>
              <w:jc w:val="center"/>
              <w:rPr>
                <w:rFonts w:hint="default" w:cs="宋体" w:asciiTheme="minorEastAsia" w:hAnsiTheme="minorEastAsia" w:eastAsiaTheme="minorEastAsia"/>
                <w:szCs w:val="21"/>
                <w:highlight w:val="yellow"/>
              </w:rPr>
            </w:pPr>
            <w:r>
              <w:rPr>
                <w:rFonts w:hint="default" w:cs="宋体" w:asciiTheme="minorEastAsia" w:hAnsiTheme="minorEastAsia" w:eastAsiaTheme="minorEastAsia"/>
                <w:szCs w:val="21"/>
                <w:highlight w:val="yellow"/>
              </w:rPr>
              <w:t>详见采购文件</w:t>
            </w:r>
          </w:p>
        </w:tc>
        <w:tc>
          <w:tcPr>
            <w:tcW w:w="714" w:type="dxa"/>
            <w:tcBorders>
              <w:top w:val="outset" w:color="AAAAAA" w:sz="6" w:space="0"/>
              <w:left w:val="outset" w:color="AAAAAA" w:sz="6" w:space="0"/>
              <w:bottom w:val="outset" w:color="AAAAAA" w:sz="6" w:space="0"/>
              <w:right w:val="outset" w:color="AAAAAA" w:sz="6" w:space="0"/>
            </w:tcBorders>
            <w:vAlign w:val="center"/>
          </w:tcPr>
          <w:p w14:paraId="3A2EDD3A">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szCs w:val="21"/>
              </w:rPr>
            </w:pPr>
          </w:p>
        </w:tc>
      </w:tr>
    </w:tbl>
    <w:p w14:paraId="04907FE8">
      <w:pPr>
        <w:spacing w:line="400" w:lineRule="exact"/>
        <w:ind w:firstLine="480" w:firstLineChars="200"/>
        <w:rPr>
          <w:rFonts w:hint="eastAsia" w:ascii="宋体" w:hAnsi="宋体" w:eastAsia="宋体" w:cs="宋体"/>
        </w:rPr>
      </w:pPr>
      <w:r>
        <w:rPr>
          <w:rFonts w:hint="eastAsia" w:ascii="宋体" w:hAnsi="宋体" w:eastAsia="宋体" w:cs="宋体"/>
        </w:rPr>
        <w:t>6.合同履行期限：详见招标文件。</w:t>
      </w:r>
    </w:p>
    <w:p w14:paraId="6EE437B7">
      <w:pPr>
        <w:spacing w:line="400" w:lineRule="exact"/>
        <w:ind w:firstLine="480" w:firstLineChars="200"/>
        <w:rPr>
          <w:rFonts w:hint="eastAsia" w:ascii="宋体" w:hAnsi="宋体" w:eastAsia="宋体" w:cs="宋体"/>
        </w:rPr>
      </w:pPr>
      <w:r>
        <w:rPr>
          <w:rFonts w:hint="eastAsia" w:ascii="宋体" w:hAnsi="宋体" w:eastAsia="宋体" w:cs="宋体"/>
        </w:rPr>
        <w:t>7.本项目</w:t>
      </w:r>
      <w:r>
        <w:rPr>
          <w:rFonts w:hint="eastAsia" w:ascii="宋体" w:hAnsi="宋体" w:eastAsia="宋体" w:cs="宋体"/>
          <w:lang w:val="en-US" w:eastAsia="zh-CN"/>
        </w:rPr>
        <w:t>不</w:t>
      </w:r>
      <w:r>
        <w:rPr>
          <w:rFonts w:hint="eastAsia" w:ascii="宋体" w:hAnsi="宋体" w:eastAsia="宋体" w:cs="宋体"/>
        </w:rPr>
        <w:t>接受联合体投标。</w:t>
      </w:r>
    </w:p>
    <w:p w14:paraId="520C4F52">
      <w:pPr>
        <w:spacing w:beforeLines="0" w:afterLines="0" w:line="240" w:lineRule="auto"/>
        <w:rPr>
          <w:rFonts w:hint="eastAsia" w:ascii="宋体" w:hAnsi="宋体" w:eastAsia="宋体" w:cs="宋体"/>
          <w:b/>
          <w:color w:val="000000" w:themeColor="text1"/>
          <w:szCs w:val="21"/>
          <w:lang w:eastAsia="zh-CN"/>
          <w14:textFill>
            <w14:solidFill>
              <w14:schemeClr w14:val="tx1"/>
            </w14:solidFill>
          </w14:textFill>
        </w:rPr>
      </w:pPr>
    </w:p>
    <w:p w14:paraId="2EC98FFD">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lang w:eastAsia="zh-CN"/>
          <w14:textFill>
            <w14:solidFill>
              <w14:schemeClr w14:val="tx1"/>
            </w14:solidFill>
          </w14:textFill>
        </w:rPr>
        <w:t>二、</w:t>
      </w:r>
      <w:r>
        <w:rPr>
          <w:rFonts w:hint="eastAsia" w:ascii="宋体" w:hAnsi="宋体" w:eastAsia="宋体" w:cs="宋体"/>
          <w:b/>
          <w:color w:val="000000" w:themeColor="text1"/>
          <w:szCs w:val="21"/>
          <w14:textFill>
            <w14:solidFill>
              <w14:schemeClr w14:val="tx1"/>
            </w14:solidFill>
          </w14:textFill>
        </w:rPr>
        <w:t>投标人的资格要求：</w:t>
      </w:r>
    </w:p>
    <w:p w14:paraId="1A9CF8AC">
      <w:pPr>
        <w:spacing w:beforeLines="0" w:afterLines="0"/>
        <w:ind w:firstLine="480" w:firstLineChars="200"/>
        <w:jc w:val="both"/>
        <w:rPr>
          <w:rFonts w:hint="eastAsia" w:ascii="宋体" w:hAnsi="宋体"/>
          <w:color w:val="auto"/>
          <w:kern w:val="0"/>
          <w:highlight w:val="none"/>
        </w:rPr>
      </w:pPr>
      <w:r>
        <w:rPr>
          <w:rFonts w:hint="eastAsia" w:ascii="宋体" w:hAnsi="宋体" w:eastAsia="宋体"/>
        </w:rPr>
        <w:t>1.具有独立法人资格或是具有独立承担民事责任能力的其它组织（提供营业执照</w:t>
      </w:r>
      <w:r>
        <w:rPr>
          <w:rFonts w:hint="eastAsia" w:ascii="宋体" w:hAnsi="宋体"/>
          <w:color w:val="auto"/>
          <w:kern w:val="0"/>
          <w:highlight w:val="none"/>
        </w:rPr>
        <w:t>或其他证明材料扫描件，原件备查）；</w:t>
      </w:r>
    </w:p>
    <w:p w14:paraId="17FF25C2">
      <w:pPr>
        <w:spacing w:beforeLines="0" w:afterLines="0"/>
        <w:ind w:firstLine="480" w:firstLineChars="200"/>
        <w:jc w:val="both"/>
      </w:pPr>
      <w:r>
        <w:rPr>
          <w:rFonts w:hint="eastAsia" w:ascii="宋体" w:hAnsi="宋体" w:eastAsia="宋体" w:cs="宋体"/>
          <w:lang w:val="en-US" w:eastAsia="zh-CN"/>
        </w:rPr>
        <w:t>2.投标人须具有食品药品监督管理部门（或市场监督管理部门）颁发的有效《食品经营许可证》或仅销售预包装食品单位备案证明（提供相关证明材料扫描件，原件备查）；</w:t>
      </w:r>
    </w:p>
    <w:p w14:paraId="66375274">
      <w:pPr>
        <w:ind w:firstLine="480" w:firstLineChars="200"/>
        <w:jc w:val="both"/>
        <w:rPr>
          <w:rFonts w:ascii="宋体" w:hAnsi="宋体" w:eastAsia="宋体"/>
        </w:rPr>
      </w:pPr>
      <w:r>
        <w:rPr>
          <w:rFonts w:hint="eastAsia" w:ascii="宋体" w:hAnsi="宋体" w:eastAsia="宋体"/>
          <w:lang w:val="en-US" w:eastAsia="zh-CN"/>
        </w:rPr>
        <w:t>3</w:t>
      </w:r>
      <w:r>
        <w:rPr>
          <w:rFonts w:hint="eastAsia" w:ascii="宋体" w:hAnsi="宋体" w:eastAsia="宋体"/>
        </w:rPr>
        <w:t>.本项目不接受联合体投标，不接受进口产品参与投标（由供应商在《政府采购投标及履约承诺函》中作出声明）；</w:t>
      </w:r>
    </w:p>
    <w:p w14:paraId="742106DB">
      <w:pPr>
        <w:spacing w:beforeLines="0" w:afterLines="0"/>
        <w:ind w:firstLine="480" w:firstLineChars="200"/>
        <w:jc w:val="both"/>
        <w:rPr>
          <w:rFonts w:ascii="宋体" w:hAnsi="宋体" w:eastAsia="宋体"/>
        </w:rPr>
      </w:pPr>
      <w:r>
        <w:rPr>
          <w:rFonts w:hint="eastAsia" w:ascii="宋体" w:hAnsi="宋体" w:eastAsia="宋体"/>
          <w:lang w:val="en-US" w:eastAsia="zh-CN"/>
        </w:rPr>
        <w:t>4</w:t>
      </w:r>
      <w:r>
        <w:rPr>
          <w:rFonts w:hint="eastAsia" w:ascii="宋体" w:hAnsi="宋体" w:eastAsia="宋体"/>
        </w:rPr>
        <w:t>.参与本项目政府采购活动时不存在被有关部门禁止参与政府采购活动且在有效期内的情况（由供应商在《政府采购投标及履约承诺函》中作出声明）；</w:t>
      </w:r>
    </w:p>
    <w:p w14:paraId="2630D365">
      <w:pPr>
        <w:spacing w:beforeLines="0" w:afterLines="0"/>
        <w:ind w:firstLine="480" w:firstLineChars="200"/>
        <w:jc w:val="both"/>
        <w:rPr>
          <w:rFonts w:ascii="宋体" w:hAnsi="宋体" w:eastAsia="宋体"/>
        </w:rPr>
      </w:pPr>
      <w:r>
        <w:rPr>
          <w:rFonts w:hint="eastAsia" w:ascii="宋体" w:hAnsi="宋体" w:eastAsia="宋体"/>
          <w:lang w:val="en-US" w:eastAsia="zh-CN"/>
        </w:rPr>
        <w:t>5</w:t>
      </w:r>
      <w:r>
        <w:rPr>
          <w:rFonts w:hint="eastAsia" w:ascii="宋体" w:hAnsi="宋体" w:eastAsia="宋体"/>
        </w:rPr>
        <w:t>.具备《中华人民共和国政府采购法》第二十二条第一款的条件（由供应商在《政府采购投标及履约承诺函》中作出声明）；</w:t>
      </w:r>
    </w:p>
    <w:p w14:paraId="4A2B69E7">
      <w:pPr>
        <w:spacing w:beforeLines="0" w:afterLines="0"/>
        <w:ind w:firstLine="480" w:firstLineChars="200"/>
        <w:jc w:val="both"/>
        <w:rPr>
          <w:rFonts w:ascii="宋体" w:hAnsi="宋体" w:eastAsia="宋体"/>
        </w:rPr>
      </w:pPr>
      <w:r>
        <w:rPr>
          <w:rFonts w:hint="eastAsia" w:ascii="宋体" w:hAnsi="宋体" w:eastAsia="宋体"/>
          <w:lang w:val="en-US" w:eastAsia="zh-CN"/>
        </w:rPr>
        <w:t>6</w:t>
      </w:r>
      <w:r>
        <w:rPr>
          <w:rFonts w:hint="eastAsia" w:ascii="宋体" w:hAnsi="宋体" w:eastAsia="宋体"/>
        </w:rPr>
        <w:t>.未被列入失信被执行人、</w:t>
      </w:r>
      <w:r>
        <w:rPr>
          <w:rFonts w:hint="eastAsia" w:ascii="宋体" w:hAnsi="宋体" w:eastAsia="宋体"/>
          <w:lang w:eastAsia="zh-CN"/>
        </w:rPr>
        <w:t>重大税收违法失信主体</w:t>
      </w:r>
      <w:r>
        <w:rPr>
          <w:rFonts w:hint="eastAsia" w:ascii="宋体" w:hAnsi="宋体" w:eastAsia="宋体"/>
        </w:rPr>
        <w:t>、政府采购严重违法失信行为记录名单（由供应商在《政府采购投标及履约承诺函》中作出声明）。</w:t>
      </w:r>
    </w:p>
    <w:p w14:paraId="4FFFBE3A">
      <w:pPr>
        <w:spacing w:beforeLines="0" w:afterLines="0"/>
        <w:ind w:firstLine="480" w:firstLineChars="200"/>
        <w:jc w:val="both"/>
        <w:rPr>
          <w:rFonts w:hint="eastAsia" w:ascii="宋体" w:hAnsi="宋体" w:eastAsia="宋体"/>
          <w:color w:val="4F81BD" w:themeColor="accent1"/>
          <w14:textFill>
            <w14:solidFill>
              <w14:schemeClr w14:val="accent1"/>
            </w14:solidFill>
          </w14:textFill>
        </w:rPr>
      </w:pPr>
      <w:r>
        <w:rPr>
          <w:rFonts w:hint="eastAsia" w:ascii="宋体" w:hAnsi="宋体" w:eastAsia="宋体"/>
          <w:color w:val="4F81BD" w:themeColor="accent1"/>
          <w:lang w:val="en-US" w:eastAsia="zh-CN"/>
          <w14:textFill>
            <w14:solidFill>
              <w14:schemeClr w14:val="accent1"/>
            </w14:solidFill>
          </w14:textFill>
        </w:rPr>
        <w:t>7</w:t>
      </w:r>
      <w:r>
        <w:rPr>
          <w:rFonts w:hint="eastAsia" w:ascii="宋体" w:hAnsi="宋体" w:eastAsia="宋体"/>
          <w:color w:val="4F81BD" w:themeColor="accent1"/>
          <w14:textFill>
            <w14:solidFill>
              <w14:schemeClr w14:val="accent1"/>
            </w14:solidFill>
          </w14:textFill>
        </w:rPr>
        <w:t>.不存在不同投标供应商法定代表人、主要经营负责人、投标授权代表人、项目负责人（如有）、主要技术人员（如有）、投标文件编制人员为同一人、属同一单位或者在同一单位缴纳社会保险的情形。由供应商提供《供应商基本情况表》及社保缴纳证明材料（格式详见第</w:t>
      </w:r>
      <w:r>
        <w:rPr>
          <w:rFonts w:hint="eastAsia" w:ascii="宋体" w:hAnsi="宋体" w:eastAsia="宋体"/>
          <w:color w:val="4F81BD" w:themeColor="accent1"/>
          <w:lang w:val="en-US" w:eastAsia="zh-CN"/>
          <w14:textFill>
            <w14:solidFill>
              <w14:schemeClr w14:val="accent1"/>
            </w14:solidFill>
          </w14:textFill>
        </w:rPr>
        <w:t>四</w:t>
      </w:r>
      <w:r>
        <w:rPr>
          <w:rFonts w:hint="eastAsia" w:ascii="宋体" w:hAnsi="宋体" w:eastAsia="宋体"/>
          <w:color w:val="4F81BD" w:themeColor="accent1"/>
          <w14:textFill>
            <w14:solidFill>
              <w14:schemeClr w14:val="accent1"/>
            </w14:solidFill>
          </w14:textFill>
        </w:rPr>
        <w:t>章《投标文件组成要求及格式》）【注：采购代理机构将通过国家企业信用信息公示系统(https://www.gsxt.gov.cn/index.html）或机关赋码和事业单位登记管理网（http://gjsy.gov.cn/sydwfrxxcx/)或全国社会组织信用信息公示平台（https://xxgs.chinanpo.mca.gov.cn/gsxt/newList 等网站查询供应商信息，相关信息以截标当日的查询结果为准】。</w:t>
      </w:r>
    </w:p>
    <w:p w14:paraId="3C110A09">
      <w:pPr>
        <w:spacing w:beforeLines="0" w:afterLines="0"/>
        <w:ind w:firstLine="480" w:firstLineChars="200"/>
        <w:jc w:val="both"/>
        <w:rPr>
          <w:rFonts w:hint="eastAsia" w:ascii="宋体" w:hAnsi="宋体" w:eastAsia="宋体"/>
          <w:color w:val="4F81BD" w:themeColor="accent1"/>
          <w:lang w:eastAsia="zh-CN"/>
          <w14:textFill>
            <w14:solidFill>
              <w14:schemeClr w14:val="accent1"/>
            </w14:solidFill>
          </w14:textFill>
        </w:rPr>
      </w:pPr>
      <w:r>
        <w:rPr>
          <w:rFonts w:hint="eastAsia" w:ascii="宋体" w:hAnsi="宋体" w:eastAsia="宋体"/>
          <w:color w:val="4F81BD" w:themeColor="accent1"/>
          <w:lang w:val="en-US" w:eastAsia="zh-CN"/>
          <w14:textFill>
            <w14:solidFill>
              <w14:schemeClr w14:val="accent1"/>
            </w14:solidFill>
          </w14:textFill>
        </w:rPr>
        <w:t>8.</w:t>
      </w:r>
      <w:r>
        <w:rPr>
          <w:rFonts w:hint="eastAsia" w:ascii="宋体" w:hAnsi="宋体" w:eastAsia="宋体"/>
          <w:color w:val="4F81BD" w:themeColor="accent1"/>
          <w14:textFill>
            <w14:solidFill>
              <w14:schemeClr w14:val="accent1"/>
            </w14:solidFill>
          </w14:textFill>
        </w:rPr>
        <w:t>不同投标供应商不存在直接控股、管理关系的情形。由供应商提供《供应商基本情况表》及股权（或管理）关系证明材料（格式详见第四章《投标文件组成要求及格式》）【注：采购代理机构将通过国家企业信用信息公示系统(https://www.gsxt.gov.cn/index.html）或机关赋码和事业单位登记管理网（http://gjsy.gov.cn/sydwfrxxcx/)或全国社会组织信用信息公示平台（https://xxgs.chinanpo.mca.gov.cn/gsxt/newList 等网站查询供应商信息，相关信息以截标当日的查询结果为准】；</w:t>
      </w:r>
      <w:bookmarkStart w:id="98" w:name="_GoBack"/>
      <w:bookmarkEnd w:id="98"/>
    </w:p>
    <w:p w14:paraId="712D16D5">
      <w:pPr>
        <w:spacing w:beforeLines="0" w:afterLines="0"/>
        <w:ind w:firstLine="480" w:firstLineChars="200"/>
        <w:jc w:val="both"/>
        <w:rPr>
          <w:rFonts w:hint="eastAsia" w:ascii="宋体" w:hAnsi="宋体" w:eastAsia="宋体"/>
          <w:lang w:val="en-US" w:eastAsia="zh-CN"/>
        </w:rPr>
      </w:pPr>
      <w:r>
        <w:rPr>
          <w:rFonts w:hint="eastAsia" w:ascii="宋体" w:hAnsi="宋体" w:eastAsia="宋体"/>
          <w:lang w:val="en-US" w:eastAsia="zh-CN"/>
        </w:rPr>
        <w:t>9.不存在《深圳市财政局政府采购供应商信用信息管理办法》（深财规〔2023〕3 号）列明的严重违法失信行为</w:t>
      </w:r>
      <w:r>
        <w:rPr>
          <w:rFonts w:hint="eastAsia" w:ascii="宋体" w:hAnsi="宋体" w:eastAsia="宋体"/>
        </w:rPr>
        <w:t>（由供应商在《政府采购投标及履约承诺函》中作出声明）</w:t>
      </w:r>
      <w:r>
        <w:rPr>
          <w:rFonts w:hint="eastAsia" w:ascii="宋体" w:hAnsi="宋体" w:eastAsia="宋体"/>
          <w:lang w:val="en-US" w:eastAsia="zh-CN"/>
        </w:rPr>
        <w:t>；</w:t>
      </w:r>
    </w:p>
    <w:p w14:paraId="0DC7B99E">
      <w:pPr>
        <w:spacing w:beforeLines="0" w:afterLines="0"/>
        <w:ind w:firstLine="480" w:firstLineChars="200"/>
        <w:jc w:val="both"/>
        <w:rPr>
          <w:rFonts w:ascii="宋体" w:hAnsi="宋体" w:eastAsia="宋体"/>
          <w:color w:val="4F81BD" w:themeColor="accent1"/>
          <w14:textFill>
            <w14:solidFill>
              <w14:schemeClr w14:val="accent1"/>
            </w14:solidFill>
          </w14:textFill>
        </w:rPr>
      </w:pPr>
      <w:r>
        <w:rPr>
          <w:rFonts w:hint="eastAsia" w:ascii="宋体" w:hAnsi="宋体" w:eastAsia="宋体"/>
          <w:color w:val="4F81BD" w:themeColor="accent1"/>
          <w:lang w:val="en-US" w:eastAsia="zh-CN"/>
          <w14:textFill>
            <w14:solidFill>
              <w14:schemeClr w14:val="accent1"/>
            </w14:solidFill>
          </w14:textFill>
        </w:rPr>
        <w:t>10</w:t>
      </w:r>
      <w:r>
        <w:rPr>
          <w:rFonts w:hint="eastAsia" w:ascii="宋体" w:hAnsi="宋体" w:eastAsia="宋体"/>
          <w:color w:val="4F81BD" w:themeColor="accent1"/>
          <w14:textFill>
            <w14:solidFill>
              <w14:schemeClr w14:val="accent1"/>
            </w14:solidFill>
          </w14:textFill>
        </w:rPr>
        <w:t>.为本项目提供整体设计、规范编制或者项目管理、监理、检测等服务的供应商，不得参加本项目投标。（由供应商在《政府采购投标及履约承诺函》中作出声明）；</w:t>
      </w:r>
    </w:p>
    <w:p w14:paraId="30D82E28">
      <w:pPr>
        <w:spacing w:beforeLines="0" w:afterLines="0"/>
        <w:ind w:firstLine="480" w:firstLineChars="200"/>
        <w:jc w:val="both"/>
        <w:rPr>
          <w:rFonts w:hint="eastAsia" w:ascii="宋体" w:hAnsi="宋体" w:eastAsia="宋体"/>
          <w:color w:val="auto"/>
          <w:kern w:val="0"/>
          <w:highlight w:val="none"/>
          <w:lang w:val="en-US" w:eastAsia="zh-CN"/>
        </w:rPr>
      </w:pPr>
      <w:r>
        <w:rPr>
          <w:rFonts w:hint="eastAsia" w:ascii="宋体" w:hAnsi="宋体" w:eastAsia="宋体"/>
          <w:lang w:val="en-US" w:eastAsia="zh-CN"/>
        </w:rPr>
        <w:t>11</w:t>
      </w:r>
      <w:r>
        <w:rPr>
          <w:rFonts w:hint="eastAsia" w:ascii="宋体" w:hAnsi="宋体" w:eastAsia="宋体"/>
        </w:rPr>
        <w:t>.本项目是否专门面向</w:t>
      </w:r>
      <w:r>
        <w:rPr>
          <w:rFonts w:hint="eastAsia" w:ascii="宋体" w:hAnsi="宋体" w:eastAsia="宋体"/>
          <w:b/>
          <w:bCs/>
          <w:color w:val="FF0000"/>
        </w:rPr>
        <w:t>小</w:t>
      </w:r>
      <w:r>
        <w:rPr>
          <w:rFonts w:hint="eastAsia" w:ascii="宋体" w:hAnsi="宋体" w:eastAsia="宋体"/>
          <w:b/>
          <w:bCs/>
          <w:color w:val="FF0000"/>
          <w:lang w:eastAsia="zh-CN"/>
        </w:rPr>
        <w:t>微</w:t>
      </w:r>
      <w:r>
        <w:rPr>
          <w:rFonts w:hint="eastAsia" w:ascii="宋体" w:hAnsi="宋体" w:eastAsia="宋体"/>
        </w:rPr>
        <w:t>企业采购：是</w:t>
      </w:r>
      <w:r>
        <w:rPr>
          <w:rFonts w:hint="eastAsia" w:ascii="宋体" w:hAnsi="宋体" w:eastAsia="宋体"/>
          <w:color w:val="auto"/>
          <w:kern w:val="0"/>
          <w:highlight w:val="none"/>
          <w:lang w:val="en-US" w:eastAsia="zh-CN"/>
        </w:rPr>
        <w:t>（由供应商在《中小企业声明函（服务）》或《残疾人福利性单位声明函》或《监狱企业声明函》中作出声明</w:t>
      </w:r>
      <w:r>
        <w:rPr>
          <w:rFonts w:hint="eastAsia" w:eastAsia="宋体"/>
          <w:lang w:eastAsia="zh-CN"/>
        </w:rPr>
        <w:t>）</w:t>
      </w:r>
      <w:r>
        <w:rPr>
          <w:rFonts w:hint="eastAsia" w:ascii="宋体" w:hAnsi="宋体" w:eastAsia="宋体"/>
          <w:color w:val="auto"/>
          <w:kern w:val="0"/>
          <w:highlight w:val="none"/>
          <w:lang w:val="en-US" w:eastAsia="zh-CN"/>
        </w:rPr>
        <w:t>；</w:t>
      </w:r>
    </w:p>
    <w:p w14:paraId="2A65E9D8">
      <w:pPr>
        <w:spacing w:beforeLines="0" w:afterLines="0"/>
        <w:ind w:firstLine="482" w:firstLineChars="200"/>
        <w:jc w:val="both"/>
        <w:rPr>
          <w:rFonts w:hint="eastAsia" w:ascii="宋体" w:hAnsi="宋体" w:eastAsia="宋体"/>
          <w:b/>
          <w:bCs/>
          <w:color w:val="FF0000"/>
          <w:lang w:eastAsia="zh-CN"/>
        </w:rPr>
      </w:pPr>
      <w:r>
        <w:rPr>
          <w:rFonts w:hint="eastAsia" w:ascii="宋体" w:hAnsi="宋体" w:eastAsia="宋体"/>
          <w:b/>
          <w:bCs/>
          <w:color w:val="FF0000"/>
          <w:kern w:val="0"/>
          <w:highlight w:val="none"/>
          <w:lang w:val="en-US" w:eastAsia="zh-CN"/>
        </w:rPr>
        <w:t>12.本项目采取“兼投不兼中”原则。若投标人为“深圳市公安局光明分局及下属单位食堂食材配送服务（C包、D包、E包）”（项目编号：GMCG2023000287）及深圳公安局光明分局下属单位食堂食材配送服务项目（项目编号：GMDL2024000024）的中标供应商（即本轮续签单位：深圳市深农厨房有限公司、广东和康达农产品有限公司、深圳圳厨供应链有限公司、深圳市惠尔来农产品有限公司），则不再具备本项目投标资格。</w:t>
      </w:r>
    </w:p>
    <w:p w14:paraId="236B6E1E">
      <w:pPr>
        <w:pStyle w:val="2"/>
        <w:spacing w:beforeLines="0" w:after="0" w:afterLines="0" w:line="240" w:lineRule="auto"/>
        <w:ind w:firstLine="482" w:firstLineChars="200"/>
        <w:rPr>
          <w:rFonts w:ascii="宋体" w:hAnsi="宋体" w:eastAsia="宋体"/>
          <w:b/>
          <w:bCs/>
        </w:rPr>
      </w:pPr>
      <w:r>
        <w:rPr>
          <w:rFonts w:hint="eastAsia" w:ascii="宋体" w:hAnsi="宋体" w:eastAsia="宋体"/>
          <w:b/>
          <w:bCs/>
        </w:rPr>
        <w:t>本项目所属行业类型为：</w:t>
      </w:r>
      <w:r>
        <w:rPr>
          <w:rFonts w:hint="eastAsia" w:ascii="宋体" w:hAnsi="宋体" w:eastAsia="宋体"/>
          <w:b/>
          <w:bCs/>
          <w:u w:val="single"/>
        </w:rPr>
        <w:t xml:space="preserve">  </w:t>
      </w:r>
      <w:r>
        <w:rPr>
          <w:rFonts w:hint="eastAsia" w:ascii="宋体" w:hAnsi="宋体" w:eastAsia="宋体"/>
          <w:b/>
          <w:bCs/>
          <w:u w:val="single"/>
          <w:lang w:val="en-US" w:eastAsia="zh-CN"/>
        </w:rPr>
        <w:t>批发业</w:t>
      </w:r>
      <w:r>
        <w:rPr>
          <w:rFonts w:hint="eastAsia" w:ascii="宋体" w:hAnsi="宋体" w:eastAsia="宋体"/>
          <w:b/>
          <w:bCs/>
          <w:u w:val="single"/>
        </w:rPr>
        <w:t xml:space="preserve">  </w:t>
      </w:r>
      <w:r>
        <w:rPr>
          <w:rFonts w:hint="eastAsia" w:ascii="宋体" w:hAnsi="宋体" w:eastAsia="宋体"/>
          <w:b/>
          <w:bCs/>
        </w:rPr>
        <w:t>。</w:t>
      </w:r>
    </w:p>
    <w:p w14:paraId="36BEABC8">
      <w:pPr>
        <w:spacing w:beforeLines="0" w:afterLines="0"/>
        <w:ind w:firstLine="480" w:firstLineChars="200"/>
        <w:jc w:val="both"/>
        <w:rPr>
          <w:rFonts w:ascii="宋体" w:hAnsi="宋体" w:eastAsia="宋体"/>
        </w:rPr>
      </w:pPr>
      <w:r>
        <w:rPr>
          <w:rFonts w:hint="eastAsia" w:ascii="宋体" w:hAnsi="宋体" w:eastAsia="宋体"/>
        </w:rPr>
        <w:t>注：（1）采购代理机构将通过“信用中国”中“信用服务”栏的“</w:t>
      </w:r>
      <w:r>
        <w:rPr>
          <w:rFonts w:hint="eastAsia" w:ascii="宋体" w:hAnsi="宋体" w:eastAsia="宋体"/>
          <w:lang w:eastAsia="zh-CN"/>
        </w:rPr>
        <w:t>重大税收违法失信主体</w:t>
      </w:r>
      <w:r>
        <w:rPr>
          <w:rFonts w:hint="eastAsia" w:ascii="宋体" w:hAnsi="宋体" w:eastAsia="宋体"/>
        </w:rPr>
        <w:t>”“失信被执行人”</w:t>
      </w:r>
      <w:r>
        <w:rPr>
          <w:rFonts w:hint="eastAsia" w:ascii="宋体" w:hAnsi="宋体" w:eastAsia="宋体"/>
          <w:lang w:eastAsia="zh-CN"/>
        </w:rPr>
        <w:t>，</w:t>
      </w:r>
      <w:r>
        <w:rPr>
          <w:rFonts w:hint="eastAsia" w:ascii="宋体" w:hAnsi="宋体" w:eastAsia="宋体"/>
        </w:rPr>
        <w:t>“中国政府采购网”中的“政府采购严重违法失信行为记录名单”“深圳信用网”以及“深圳市政府采购监管网”为供应商信用信息的查询渠道，相关信息以开标当日的查询结果为准。信用信息查询记录应当作为项目档案材料一并保存；</w:t>
      </w:r>
    </w:p>
    <w:p w14:paraId="36CF0BF2">
      <w:pPr>
        <w:ind w:firstLine="480" w:firstLineChars="200"/>
        <w:jc w:val="both"/>
        <w:rPr>
          <w:rFonts w:hint="eastAsia" w:ascii="宋体" w:hAnsi="宋体" w:eastAsia="宋体"/>
          <w:color w:val="auto"/>
          <w:kern w:val="0"/>
          <w:highlight w:val="none"/>
          <w:lang w:eastAsia="zh-CN"/>
        </w:rPr>
      </w:pPr>
      <w:r>
        <w:rPr>
          <w:rFonts w:hint="eastAsia" w:ascii="宋体" w:hAnsi="宋体"/>
          <w:color w:val="auto"/>
          <w:kern w:val="0"/>
          <w:highlight w:val="none"/>
          <w:lang w:eastAsia="zh-CN"/>
        </w:rPr>
        <w:t>（</w:t>
      </w:r>
      <w:r>
        <w:rPr>
          <w:rFonts w:hint="eastAsia" w:ascii="宋体" w:hAnsi="宋体"/>
          <w:color w:val="auto"/>
          <w:kern w:val="0"/>
          <w:highlight w:val="none"/>
          <w:lang w:val="en-US" w:eastAsia="zh-CN"/>
        </w:rPr>
        <w:t>2</w:t>
      </w:r>
      <w:r>
        <w:rPr>
          <w:rFonts w:hint="eastAsia" w:ascii="宋体" w:hAnsi="宋体"/>
          <w:color w:val="auto"/>
          <w:kern w:val="0"/>
          <w:highlight w:val="none"/>
          <w:lang w:eastAsia="zh-CN"/>
        </w:rPr>
        <w:t>）</w:t>
      </w:r>
      <w:r>
        <w:rPr>
          <w:rFonts w:hint="eastAsia" w:ascii="仿宋" w:hAnsi="仿宋" w:eastAsia="仿宋" w:cs="仿宋"/>
          <w:color w:val="FF0000"/>
          <w:sz w:val="24"/>
        </w:rPr>
        <w:t>采购代理机构将通过国家企业信用信息公示系统(https://www.gsxt.gov.cn/index.html）或机关赋码和事业单位登记管理网（http://gjsy.gov.cn/sydwfrxxcx/)或全国社会组织信用信息公示平台（https://xxgs.chinanpo.mca.gov.cn/gsxt/newList 等网站查询供应商信息，相关信息以截标当日的查询结果为准</w:t>
      </w:r>
      <w:r>
        <w:rPr>
          <w:rFonts w:hint="eastAsia" w:ascii="宋体" w:hAnsi="宋体" w:eastAsia="宋体"/>
          <w:color w:val="auto"/>
          <w:kern w:val="0"/>
          <w:highlight w:val="none"/>
          <w:lang w:eastAsia="zh-CN"/>
        </w:rPr>
        <w:t>；</w:t>
      </w:r>
    </w:p>
    <w:p w14:paraId="20D39FDF">
      <w:pPr>
        <w:spacing w:beforeLines="0" w:afterLines="0"/>
        <w:ind w:firstLine="480" w:firstLineChars="200"/>
        <w:jc w:val="both"/>
        <w:rPr>
          <w:rFonts w:ascii="宋体" w:hAnsi="宋体" w:eastAsia="宋体"/>
          <w:color w:val="4F81BD" w:themeColor="accent1"/>
          <w14:textFill>
            <w14:solidFill>
              <w14:schemeClr w14:val="accent1"/>
            </w14:solidFill>
          </w14:textFill>
        </w:rPr>
      </w:pPr>
      <w:r>
        <w:rPr>
          <w:rFonts w:hint="eastAsia" w:ascii="宋体" w:hAnsi="宋体" w:eastAsia="宋体"/>
          <w:color w:val="4F81BD" w:themeColor="accent1"/>
          <w14:textFill>
            <w14:solidFill>
              <w14:schemeClr w14:val="accent1"/>
            </w14:solidFill>
          </w14:textFill>
        </w:rPr>
        <w:t>（</w:t>
      </w:r>
      <w:r>
        <w:rPr>
          <w:rFonts w:hint="eastAsia" w:ascii="宋体" w:hAnsi="宋体" w:eastAsia="宋体"/>
          <w:color w:val="4F81BD" w:themeColor="accent1"/>
          <w:lang w:val="en-US" w:eastAsia="zh-CN"/>
          <w14:textFill>
            <w14:solidFill>
              <w14:schemeClr w14:val="accent1"/>
            </w14:solidFill>
          </w14:textFill>
        </w:rPr>
        <w:t>3</w:t>
      </w:r>
      <w:r>
        <w:rPr>
          <w:rFonts w:hint="eastAsia" w:ascii="宋体" w:hAnsi="宋体" w:eastAsia="宋体"/>
          <w:color w:val="4F81BD" w:themeColor="accent1"/>
          <w14:textFill>
            <w14:solidFill>
              <w14:schemeClr w14:val="accent1"/>
            </w14:solidFill>
          </w14:textFill>
        </w:rPr>
        <w:t>）供应商投标（上传投标文件）请先行办理注册手续，具体请按照本公告“六、其他补充事宜”相关内容指引办理。</w:t>
      </w:r>
    </w:p>
    <w:p w14:paraId="1D0BD8B0">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16287C1C">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default"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三、获取招标文件</w:t>
      </w:r>
    </w:p>
    <w:p w14:paraId="22D6AD2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时间：发布招标公告当日至</w:t>
      </w:r>
      <w:r>
        <w:rPr>
          <w:rFonts w:hint="eastAsia" w:ascii="宋体" w:hAnsi="宋体" w:eastAsia="宋体" w:cs="宋体"/>
          <w:color w:val="FF0000"/>
          <w:highlight w:val="yellow"/>
          <w:lang w:val="en-US" w:eastAsia="zh-CN"/>
        </w:rPr>
        <w:t>2025年X月X日XX时XX分XX秒</w:t>
      </w:r>
      <w:r>
        <w:rPr>
          <w:rFonts w:hint="eastAsia" w:ascii="宋体" w:hAnsi="宋体" w:eastAsia="宋体" w:cs="宋体"/>
        </w:rPr>
        <w:t xml:space="preserve">（北京时间） </w:t>
      </w:r>
    </w:p>
    <w:p w14:paraId="0EA6BA0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地点：登录深圳政府采购智慧平台（http://zfcg.szggzy.com:8081）下载本项目的招标文件。</w:t>
      </w:r>
    </w:p>
    <w:p w14:paraId="6A96319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 xml:space="preserve">方式：在线下载。 </w:t>
      </w:r>
    </w:p>
    <w:p w14:paraId="31EEDC7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售价：免费。</w:t>
      </w:r>
    </w:p>
    <w:p w14:paraId="670CC7F4">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rPr>
      </w:pPr>
      <w:r>
        <w:rPr>
          <w:rFonts w:hint="eastAsia" w:ascii="宋体" w:hAnsi="宋体" w:eastAsia="宋体" w:cs="宋体"/>
        </w:rPr>
        <w:t>凡已注册的深圳市网上政府采购供应商，按照授予的操作权限，可于发布招标公告当日至</w:t>
      </w:r>
      <w:r>
        <w:rPr>
          <w:rFonts w:hint="eastAsia" w:ascii="宋体" w:hAnsi="宋体" w:eastAsia="宋体" w:cs="宋体"/>
          <w:color w:val="FF0000"/>
          <w:highlight w:val="yellow"/>
          <w:lang w:val="en-US" w:eastAsia="zh-CN"/>
        </w:rPr>
        <w:t>2025年X月X日XX时XX分XX秒</w:t>
      </w:r>
      <w:r>
        <w:rPr>
          <w:rFonts w:hint="eastAsia" w:ascii="宋体" w:hAnsi="宋体" w:eastAsia="宋体" w:cs="宋体"/>
        </w:rPr>
        <w:t>（北京时间）期间登录深圳政府采购智慧平台（http://zfcg.szggzy.com:8081/）下载本项目的采购文件。投标人如确定参加投标，首先要在深圳政府采购智慧平台网上办事子系统（http://zfcg.szggzy.com:8081/TPBidder/memberLogin）网上报名投标，方法为在网上办事子系统后点击“【招标公告】→【我要报名】”；如果网上报名后上传了投标文件，又不参加投标，应再到【我的项目】→【项目流程】→【递交投标(应答)文件】功能点中进行“【撤回本次投标】”操作；如果是未注册为深圳政府采购智慧平台（http://zfcg.szggzy.com:8081/）的供应商，请先办理密钥（请点击），并前往深圳公共资源交易中心（深圳交易集团有限公司政府采购业务分公司）绑定深圳政府采购智慧平台用户（地址：</w:t>
      </w:r>
      <w:r>
        <w:rPr>
          <w:rFonts w:hint="eastAsia" w:ascii="宋体" w:hAnsi="宋体" w:eastAsia="宋体" w:cs="宋体"/>
          <w:lang w:eastAsia="zh-CN"/>
        </w:rPr>
        <w:t>深圳市南山区沙河西路3185号南山智谷A座（深圳交易集团总部大楼）3楼前台，咨询电话：0755-83948165、0755-83938966、4008301330</w:t>
      </w:r>
      <w:r>
        <w:rPr>
          <w:rFonts w:hint="eastAsia" w:ascii="宋体" w:hAnsi="宋体" w:eastAsia="宋体" w:cs="宋体"/>
        </w:rPr>
        <w:t>），再进行投标报名。在网上报名后，点击“【我的项目】→【项目流程】→【采购文件下载】”进行招标文件的下载。</w:t>
      </w:r>
    </w:p>
    <w:p w14:paraId="20D78A1B">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7078EA7D">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四、提交投标文件截止时间、开标时间和地点</w:t>
      </w:r>
    </w:p>
    <w:p w14:paraId="55C15DD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1.投标截止时间：所有投标文件应于</w:t>
      </w:r>
      <w:r>
        <w:rPr>
          <w:rFonts w:hint="eastAsia" w:ascii="宋体" w:hAnsi="宋体" w:eastAsia="宋体" w:cs="宋体"/>
          <w:color w:val="FF0000"/>
          <w:highlight w:val="yellow"/>
          <w:lang w:val="en-US" w:eastAsia="zh-CN"/>
        </w:rPr>
        <w:t>2025年X月X日XX时XX分XX秒（北京时间）</w:t>
      </w:r>
      <w:r>
        <w:rPr>
          <w:rFonts w:hint="eastAsia" w:ascii="宋体" w:hAnsi="宋体" w:eastAsia="宋体" w:cs="宋体"/>
        </w:rPr>
        <w:t>之前上传到深圳政府采购智慧平台（http://zfcg.szggzy.com:8081/）。具体操作为登录“深圳政府采购智慧平台用户网上办事子系统（http://zfcg.szggzy.com:8081/TPBidder/memberLogin）”，用“【我的项目】→【项目流程】→【递交投标(应答)文件】”功能点上传投标文件。本项目电子投标文件最大容量为100MB，超过此容量的文件将被拒绝。    </w:t>
      </w:r>
    </w:p>
    <w:p w14:paraId="059EE5E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2.开标时间和地点：定于</w:t>
      </w:r>
      <w:r>
        <w:rPr>
          <w:rFonts w:hint="eastAsia" w:ascii="宋体" w:hAnsi="宋体" w:eastAsia="宋体" w:cs="宋体"/>
          <w:color w:val="FF0000"/>
          <w:highlight w:val="yellow"/>
          <w:lang w:val="en-US" w:eastAsia="zh-CN"/>
        </w:rPr>
        <w:t>2025年X月X日XX时XX分XX秒（北京时间）</w:t>
      </w:r>
      <w:r>
        <w:rPr>
          <w:rFonts w:hint="eastAsia" w:ascii="宋体" w:hAnsi="宋体" w:eastAsia="宋体" w:cs="宋体"/>
        </w:rPr>
        <w:t>，在</w:t>
      </w:r>
      <w:r>
        <w:rPr>
          <w:rFonts w:hint="eastAsia" w:ascii="宋体" w:hAnsi="宋体" w:eastAsia="宋体" w:cs="宋体"/>
          <w:highlight w:val="yellow"/>
        </w:rPr>
        <w:t>友和保险经纪有限公司</w:t>
      </w:r>
      <w:r>
        <w:rPr>
          <w:rFonts w:hint="eastAsia" w:ascii="宋体" w:hAnsi="宋体" w:eastAsia="宋体" w:cs="宋体"/>
        </w:rPr>
        <w:t>公开开标。供应商可以登录“深圳政府采购智慧平台用户网上办事子系统（http://zfcg.szggzy.com:8081/TPBidder/memberLogin）”，在“【我的项目】→【项目流程】→【开标及解密】”进行在线解密、查询开标情况。</w:t>
      </w:r>
    </w:p>
    <w:p w14:paraId="50D51FC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3.在线解密：投标人须在</w:t>
      </w:r>
      <w:r>
        <w:rPr>
          <w:rFonts w:hint="eastAsia" w:ascii="宋体" w:hAnsi="宋体" w:eastAsia="宋体" w:cs="宋体"/>
          <w:color w:val="FF0000"/>
          <w:highlight w:val="yellow"/>
          <w:lang w:val="en-US" w:eastAsia="zh-CN"/>
        </w:rPr>
        <w:t>开标当日XX:XX:XX-XX:XX:XX期间</w:t>
      </w:r>
      <w:r>
        <w:rPr>
          <w:rFonts w:hint="eastAsia" w:ascii="宋体" w:hAnsi="宋体" w:eastAsia="宋体" w:cs="宋体"/>
        </w:rPr>
        <w:t>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260A470F">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5543A1AD">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五、公告期限</w:t>
      </w:r>
    </w:p>
    <w:p w14:paraId="1F77113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自本公告发布之日起5个工作日。</w:t>
      </w:r>
    </w:p>
    <w:p w14:paraId="457AC845">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083FE5F9">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六、其他补充事宜</w:t>
      </w:r>
    </w:p>
    <w:p w14:paraId="3A3D871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1.本项目实行网上投标，采用电子投标文件。</w:t>
      </w:r>
    </w:p>
    <w:p w14:paraId="603F5B1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报名操作：投标人如确定参加投标，首先要在深圳政府采购网上报名投标，方法为登录深圳公共资源交易中心（深圳交易集团有限公司政府采购业务分公司）网后点击“招标公告”选中要报名标段点击“我要报名”或“代办→邀请提醒”；如果网上报名后上传了投标文件，又不参加投标，应再到【我的项目】→【项目流程】→【递交投标(应答)文件】→【上传投标文件】功能点中进行“撤标”操作；如果是未注册为深圳政府采购的供应商，请访问深圳公共资源交易中心（深圳交易集团有限公司政府采购业务分公司）（http://www.szzfcg.cn/）,先办理注册手续（注册咨询：83938966；电子密钥咨询：83948165</w:t>
      </w:r>
      <w:r>
        <w:rPr>
          <w:rFonts w:hint="eastAsia" w:ascii="宋体" w:hAnsi="宋体" w:eastAsia="宋体" w:cs="宋体"/>
          <w:lang w:eastAsia="zh-CN"/>
        </w:rPr>
        <w:t>、</w:t>
      </w:r>
      <w:r>
        <w:rPr>
          <w:rFonts w:hint="eastAsia" w:ascii="宋体" w:hAnsi="宋体" w:eastAsia="宋体" w:cs="宋体"/>
        </w:rPr>
        <w:t>4008301330 ），再进行投标报名。在网上报名后，点击“我的项目→项目流程”中进行招标文件的下载。</w:t>
      </w:r>
    </w:p>
    <w:p w14:paraId="458CFEE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3.开标操作：投标人可以登录“深圳公共资源交易中心（深圳交易集团有限公司政府采购业务分公司）网站”，在系统登录首页面即可查看开标情况。</w:t>
      </w:r>
    </w:p>
    <w:p w14:paraId="0D0B759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4.投标操作：具体操作为登录“深圳公共资源交易中心（深圳交易集团有限公司政府采购业务分公司）网站”，用“我的项目→项目流程→递交投标(应答)文件→上传投标文件”功能点上传投标文件。本项目电子投标文件最大容量为100MB，超过此容量的文件将被拒绝。</w:t>
      </w:r>
    </w:p>
    <w:p w14:paraId="3A2B9B0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5.采购文件澄清/修改事项：</w:t>
      </w:r>
      <w:r>
        <w:rPr>
          <w:rFonts w:hint="eastAsia" w:ascii="宋体" w:hAnsi="宋体" w:eastAsia="宋体" w:cs="宋体"/>
          <w:color w:val="FF0000"/>
          <w:highlight w:val="yellow"/>
          <w:lang w:val="en-US" w:eastAsia="zh-CN"/>
        </w:rPr>
        <w:t>2025年X月X日XX:XX:XX（北京时间）前</w:t>
      </w:r>
      <w:r>
        <w:rPr>
          <w:rFonts w:hint="eastAsia" w:ascii="宋体" w:hAnsi="宋体" w:eastAsia="宋体" w:cs="宋体"/>
        </w:rPr>
        <w:t>，供应商如果认为采购文件存在不明确、不清晰和前后不一致等问题，可登录深圳公共资源交易中心网（http://zfcg.szggzy.com:8081/）→“深圳政府采购智慧平台用户网上办事子系统（http://zfcg.szggzy.com:8081/TPBidder/memberLogin）”，在“【我的项目】→【项目流程】→【提问】”功能点中填写需澄清内容</w:t>
      </w:r>
      <w:r>
        <w:rPr>
          <w:rFonts w:hint="eastAsia" w:ascii="宋体" w:hAnsi="宋体" w:eastAsia="宋体" w:cs="宋体"/>
          <w:color w:val="FF0000"/>
          <w:highlight w:val="yellow"/>
          <w:lang w:val="en-US" w:eastAsia="zh-CN"/>
        </w:rPr>
        <w:t>2025年X月X日XX:XX:XX（北京时间）</w:t>
      </w:r>
      <w:r>
        <w:rPr>
          <w:rFonts w:hint="eastAsia" w:ascii="宋体" w:hAnsi="宋体" w:eastAsia="宋体" w:cs="宋体"/>
        </w:rPr>
        <w:t>前将采购文件澄清/修改情况在“【我的项目】→【项目流程】→【答疑澄清文件下载】”中公布，望投标人予以关注。</w:t>
      </w:r>
    </w:p>
    <w:p w14:paraId="3774DD9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请质疑供应商根据深圳公共资源交易中心网（ https://www.szggzy.com/globalSearch/details.html?contentId=1211037）所发布的质疑指引、质疑函模板填写质疑函并提交质疑材料。质疑材料可以采用现场或邮寄方式提交，采用邮寄方式提交的，交邮时间应在本公告发布之日起七个工作日内。质疑材料现场提交、邮寄地址：深圳市福田区福田体育公园西北角友和招标代理服务中心（靠近北门）。</w:t>
      </w:r>
      <w:r>
        <w:rPr>
          <w:rFonts w:hint="eastAsia" w:ascii="宋体" w:hAnsi="宋体" w:eastAsia="宋体" w:cs="宋体"/>
          <w:color w:val="FF0000"/>
          <w:highlight w:val="yellow"/>
          <w:lang w:val="en-US" w:eastAsia="zh-CN"/>
        </w:rPr>
        <w:t>质疑咨询电话：0755-83881282</w:t>
      </w:r>
      <w:r>
        <w:rPr>
          <w:rFonts w:hint="eastAsia" w:ascii="宋体" w:hAnsi="宋体" w:eastAsia="宋体" w:cs="宋体"/>
          <w:lang w:val="en-US" w:eastAsia="zh-CN"/>
        </w:rPr>
        <w:t>，</w:t>
      </w:r>
      <w:r>
        <w:rPr>
          <w:rFonts w:hint="eastAsia" w:ascii="宋体" w:hAnsi="宋体" w:eastAsia="宋体" w:cs="宋体"/>
          <w:lang w:eastAsia="zh-CN"/>
        </w:rPr>
        <w:t>质疑材料提交邮箱：ywjd@uho.cn</w:t>
      </w:r>
      <w:r>
        <w:rPr>
          <w:rFonts w:hint="eastAsia" w:ascii="宋体" w:hAnsi="宋体" w:eastAsia="宋体" w:cs="宋体"/>
          <w:b w:val="0"/>
          <w:bCs w:val="0"/>
        </w:rPr>
        <w:t>。</w:t>
      </w:r>
      <w:r>
        <w:rPr>
          <w:rFonts w:hint="eastAsia" w:ascii="宋体" w:hAnsi="宋体" w:eastAsia="宋体" w:cs="宋体"/>
        </w:rPr>
        <w:t xml:space="preserve">根据《深圳经济特区政府采购条例》第四十二条“供应商投诉的事项应当是经过质疑的事项”的规定，未经正式质疑的，将影响供应商行使向财政部门提起投诉的权利。） </w:t>
      </w:r>
    </w:p>
    <w:p w14:paraId="3A4F0CA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6.</w:t>
      </w:r>
      <w:r>
        <w:rPr>
          <w:rFonts w:hint="eastAsia" w:ascii="宋体" w:hAnsi="宋体" w:eastAsia="宋体" w:cs="宋体"/>
          <w:highlight w:val="yellow"/>
        </w:rPr>
        <w:t>友和保险经纪有限公司</w:t>
      </w:r>
      <w:r>
        <w:rPr>
          <w:rFonts w:hint="eastAsia" w:ascii="宋体" w:hAnsi="宋体" w:eastAsia="宋体" w:cs="宋体"/>
        </w:rPr>
        <w:t xml:space="preserve">有权对投标人就本项目要求提供的相关证明资料（原件）进行审查。供应商提供虚假资料被查实的，则可能面临被取消本项目中标资格、列入不良行为记录名单和三年内禁止参与深圳市政府采购活动的风险。 </w:t>
      </w:r>
    </w:p>
    <w:p w14:paraId="6A76506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7.本招标公告及本项目招标文件所涉及的时间一律为北京时间。投标人有义务在招标活动期间浏览深圳公共资源交易中心（深圳交易集团有限公司政府采购业务分公司）网（http://zfcg.szggzy.com:8081），在深圳公共资源交易中心（深圳交易集团有限公司政府采购业务分公司）网上公布的与本次招标项目有关的信息视为已送达各投标人。</w:t>
      </w:r>
    </w:p>
    <w:p w14:paraId="2E3301A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8.本项目不需要投标保证金。</w:t>
      </w:r>
    </w:p>
    <w:p w14:paraId="5FE2627E">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56EB063E">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七、对本次采购提出询问，请按以下方式联系</w:t>
      </w:r>
    </w:p>
    <w:p w14:paraId="3F74AB7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1.采购人信息</w:t>
      </w:r>
    </w:p>
    <w:p w14:paraId="2A35ECC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FF0000"/>
          <w:highlight w:val="yellow"/>
        </w:rPr>
      </w:pPr>
      <w:r>
        <w:rPr>
          <w:rFonts w:hint="eastAsia" w:ascii="宋体" w:hAnsi="宋体" w:eastAsia="宋体" w:cs="宋体"/>
          <w:color w:val="FF0000"/>
          <w:highlight w:val="yellow"/>
        </w:rPr>
        <w:t>名　称：深圳市公安局光明分局</w:t>
      </w:r>
    </w:p>
    <w:p w14:paraId="5784A9E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FF0000"/>
          <w:highlight w:val="yellow"/>
        </w:rPr>
      </w:pPr>
      <w:r>
        <w:rPr>
          <w:rFonts w:hint="eastAsia" w:ascii="宋体" w:hAnsi="宋体" w:eastAsia="宋体" w:cs="宋体"/>
          <w:color w:val="FF0000"/>
          <w:highlight w:val="yellow"/>
        </w:rPr>
        <w:t>地　址：深圳市光明区光明街道科林路 333 号</w:t>
      </w:r>
    </w:p>
    <w:p w14:paraId="70B7B87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FF0000"/>
          <w:highlight w:val="yellow"/>
          <w:lang w:val="en-US" w:eastAsia="zh-CN"/>
        </w:rPr>
      </w:pPr>
      <w:r>
        <w:rPr>
          <w:rFonts w:hint="eastAsia" w:ascii="宋体" w:hAnsi="宋体" w:eastAsia="宋体" w:cs="宋体"/>
          <w:color w:val="FF0000"/>
          <w:highlight w:val="yellow"/>
        </w:rPr>
        <w:t>联系方式：邹警官，0755-84468759</w:t>
      </w:r>
    </w:p>
    <w:p w14:paraId="47A3495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2.招标机构</w:t>
      </w:r>
    </w:p>
    <w:p w14:paraId="6ABD6E2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名　称：</w:t>
      </w:r>
      <w:r>
        <w:rPr>
          <w:rFonts w:hint="eastAsia" w:ascii="宋体" w:hAnsi="宋体" w:eastAsia="宋体" w:cs="宋体"/>
          <w:highlight w:val="yellow"/>
        </w:rPr>
        <w:t>友和保险经纪有限公司</w:t>
      </w:r>
    </w:p>
    <w:p w14:paraId="629FE77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地　址：深圳市福田区福田体育公园西北角友和招标代理服务中心（靠近北门）</w:t>
      </w:r>
    </w:p>
    <w:p w14:paraId="0A38DC5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监督举报：0755-83889803、83889016</w:t>
      </w:r>
    </w:p>
    <w:p w14:paraId="5789758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3.项目联系方式</w:t>
      </w:r>
    </w:p>
    <w:p w14:paraId="5EF556F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FF0000"/>
          <w:highlight w:val="yellow"/>
          <w:lang w:val="en-US" w:eastAsia="zh-CN"/>
        </w:rPr>
      </w:pPr>
      <w:r>
        <w:rPr>
          <w:rFonts w:hint="eastAsia" w:ascii="宋体" w:hAnsi="宋体" w:eastAsia="宋体" w:cs="宋体"/>
          <w:color w:val="FF0000"/>
          <w:highlight w:val="yellow"/>
        </w:rPr>
        <w:t>项目联系人：</w:t>
      </w:r>
      <w:r>
        <w:rPr>
          <w:rFonts w:hint="eastAsia" w:ascii="宋体" w:hAnsi="宋体" w:eastAsia="宋体" w:cs="宋体"/>
          <w:color w:val="FF0000"/>
          <w:highlight w:val="yellow"/>
          <w:lang w:val="en-US" w:eastAsia="zh-CN"/>
        </w:rPr>
        <w:t>方婕/周盼/余晓云</w:t>
      </w:r>
    </w:p>
    <w:p w14:paraId="4E79AC8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FF0000"/>
          <w:highlight w:val="yellow"/>
          <w:lang w:val="en-US" w:eastAsia="zh-CN"/>
        </w:rPr>
      </w:pPr>
      <w:r>
        <w:rPr>
          <w:rFonts w:hint="eastAsia" w:ascii="宋体" w:hAnsi="宋体" w:eastAsia="宋体" w:cs="宋体"/>
          <w:color w:val="FF0000"/>
          <w:highlight w:val="yellow"/>
          <w:lang w:eastAsia="zh-CN"/>
        </w:rPr>
        <w:t>项目咨询</w:t>
      </w:r>
      <w:r>
        <w:rPr>
          <w:rFonts w:hint="eastAsia" w:ascii="宋体" w:hAnsi="宋体" w:eastAsia="宋体" w:cs="宋体"/>
          <w:color w:val="FF0000"/>
          <w:highlight w:val="yellow"/>
        </w:rPr>
        <w:t>：0755-8388</w:t>
      </w:r>
      <w:r>
        <w:rPr>
          <w:rFonts w:hint="eastAsia" w:ascii="宋体" w:hAnsi="宋体" w:eastAsia="宋体" w:cs="宋体"/>
          <w:color w:val="FF0000"/>
          <w:highlight w:val="yellow"/>
          <w:lang w:val="en-US" w:eastAsia="zh-CN"/>
        </w:rPr>
        <w:t>1282、0755-83889036</w:t>
      </w:r>
    </w:p>
    <w:p w14:paraId="35F37E4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投标报名：0755-83881111（总机）</w:t>
      </w:r>
    </w:p>
    <w:p w14:paraId="33284A35">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200"/>
        <w:jc w:val="left"/>
        <w:textAlignment w:val="auto"/>
        <w:outlineLvl w:val="9"/>
        <w:rPr>
          <w:rFonts w:hint="eastAsia" w:ascii="宋体" w:hAnsi="宋体" w:eastAsia="宋体" w:cs="宋体"/>
          <w:sz w:val="24"/>
          <w:szCs w:val="24"/>
        </w:rPr>
      </w:pPr>
      <w:r>
        <w:rPr>
          <w:rFonts w:hint="eastAsia" w:ascii="宋体" w:hAnsi="宋体" w:eastAsia="宋体" w:cs="宋体"/>
          <w:lang w:val="en-US" w:eastAsia="zh-CN"/>
        </w:rPr>
        <w:t>4.</w:t>
      </w:r>
      <w:r>
        <w:rPr>
          <w:rFonts w:hint="eastAsia" w:ascii="宋体" w:hAnsi="宋体" w:eastAsia="宋体" w:cs="宋体"/>
          <w:sz w:val="24"/>
          <w:szCs w:val="24"/>
        </w:rPr>
        <w:t>相关项目信息查询网址</w:t>
      </w:r>
    </w:p>
    <w:p w14:paraId="588B1DE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深圳政府采购智慧平台</w:t>
      </w:r>
      <w:r>
        <w:rPr>
          <w:rFonts w:hint="eastAsia" w:ascii="宋体" w:hAnsi="宋体" w:eastAsia="宋体" w:cs="宋体"/>
          <w:sz w:val="24"/>
          <w:szCs w:val="24"/>
          <w:lang w:val="en-US" w:eastAsia="zh-CN"/>
        </w:rPr>
        <w:t xml:space="preserve"> </w:t>
      </w:r>
      <w:r>
        <w:rPr>
          <w:rFonts w:hint="eastAsia" w:ascii="宋体" w:hAnsi="宋体" w:eastAsia="宋体" w:cs="宋体"/>
          <w:color w:val="auto"/>
          <w:sz w:val="24"/>
          <w:szCs w:val="24"/>
          <w:u w:val="none"/>
        </w:rPr>
        <w:t>http://zfcg.szggzy.com:8081/</w:t>
      </w:r>
    </w:p>
    <w:p w14:paraId="6272ADA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友和招标代理服务网 http://yhzb.uho.cn/</w:t>
      </w:r>
    </w:p>
    <w:p w14:paraId="09C2067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p>
    <w:p w14:paraId="63B359C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p>
    <w:p w14:paraId="08F02FAE">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highlight w:val="yellow"/>
        </w:rPr>
      </w:pPr>
      <w:r>
        <w:rPr>
          <w:rFonts w:hint="eastAsia" w:ascii="宋体" w:hAnsi="宋体" w:eastAsia="宋体" w:cs="宋体"/>
          <w:highlight w:val="yellow"/>
        </w:rPr>
        <w:t>友和保险经纪有限公司</w:t>
      </w:r>
    </w:p>
    <w:p w14:paraId="0C08988D">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rPr>
      </w:pPr>
      <w:r>
        <w:rPr>
          <w:rFonts w:hint="eastAsia" w:ascii="宋体" w:hAnsi="宋体" w:eastAsia="宋体" w:cs="宋体"/>
          <w:lang w:eastAsia="zh-CN"/>
        </w:rPr>
        <w:t>20</w:t>
      </w:r>
      <w:r>
        <w:rPr>
          <w:rFonts w:hint="eastAsia" w:ascii="宋体" w:hAnsi="宋体" w:eastAsia="宋体" w:cs="宋体"/>
          <w:lang w:val="en-US" w:eastAsia="zh-CN"/>
        </w:rPr>
        <w:t>25</w:t>
      </w:r>
      <w:r>
        <w:rPr>
          <w:rFonts w:hint="eastAsia" w:ascii="宋体" w:hAnsi="宋体" w:eastAsia="宋体" w:cs="宋体"/>
        </w:rPr>
        <w:t>年</w:t>
      </w:r>
      <w:r>
        <w:rPr>
          <w:rFonts w:hint="eastAsia" w:ascii="宋体" w:hAnsi="宋体" w:eastAsia="宋体" w:cs="宋体"/>
          <w:lang w:val="en-US" w:eastAsia="zh-CN"/>
        </w:rPr>
        <w:t>X</w:t>
      </w:r>
      <w:r>
        <w:rPr>
          <w:rFonts w:hint="eastAsia" w:ascii="宋体" w:hAnsi="宋体" w:eastAsia="宋体" w:cs="宋体"/>
        </w:rPr>
        <w:t>月</w:t>
      </w:r>
      <w:r>
        <w:rPr>
          <w:rFonts w:hint="eastAsia" w:ascii="宋体" w:hAnsi="宋体" w:eastAsia="宋体" w:cs="宋体"/>
          <w:lang w:val="en-US" w:eastAsia="zh-CN"/>
        </w:rPr>
        <w:t>X</w:t>
      </w:r>
      <w:r>
        <w:rPr>
          <w:rFonts w:hint="eastAsia" w:ascii="宋体" w:hAnsi="宋体" w:eastAsia="宋体" w:cs="宋体"/>
        </w:rPr>
        <w:t>日</w:t>
      </w:r>
    </w:p>
    <w:p w14:paraId="299283CF"/>
    <w:p w14:paraId="4A6B19E1">
      <w:pPr>
        <w:spacing w:beforeLines="0" w:afterLines="0"/>
        <w:rPr>
          <w:rFonts w:ascii="宋体" w:hAnsi="宋体" w:eastAsia="宋体" w:cs="宋体"/>
          <w:b/>
          <w:bCs/>
          <w:szCs w:val="21"/>
        </w:rPr>
      </w:pPr>
    </w:p>
    <w:p w14:paraId="27838632">
      <w:pPr>
        <w:pStyle w:val="7"/>
        <w:spacing w:before="0" w:beforeLines="0" w:after="0" w:afterLines="0" w:line="240" w:lineRule="auto"/>
        <w:ind w:firstLine="0"/>
        <w:rPr>
          <w:rFonts w:ascii="宋体" w:hAnsi="宋体" w:eastAsia="宋体"/>
          <w:b/>
          <w:color w:val="auto"/>
          <w:sz w:val="28"/>
          <w:szCs w:val="28"/>
          <w:highlight w:val="yellow"/>
        </w:rPr>
      </w:pPr>
      <w:r>
        <w:rPr>
          <w:rFonts w:hint="eastAsia"/>
          <w:color w:val="auto"/>
          <w:szCs w:val="20"/>
          <w:highlight w:val="none"/>
        </w:rPr>
        <w:t>完整公告内容详见：</w:t>
      </w:r>
      <w:r>
        <w:rPr>
          <w:rFonts w:hint="eastAsia"/>
          <w:color w:val="auto"/>
          <w:szCs w:val="20"/>
          <w:highlight w:val="yellow"/>
        </w:rPr>
        <w:t>http://zfcg.szggzy.com:8081/</w:t>
      </w:r>
    </w:p>
    <w:p w14:paraId="562975F9">
      <w:pPr>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br w:type="page"/>
      </w:r>
    </w:p>
    <w:p w14:paraId="528C7FF4">
      <w:pPr>
        <w:pStyle w:val="6"/>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第二章 对通用条款的补充内容及其他关键信息</w:t>
      </w:r>
    </w:p>
    <w:p w14:paraId="7A207F08">
      <w:pPr>
        <w:jc w:val="center"/>
        <w:outlineLvl w:val="2"/>
        <w:rPr>
          <w:b/>
          <w:bCs/>
          <w:sz w:val="28"/>
          <w:szCs w:val="28"/>
        </w:rPr>
      </w:pPr>
      <w:bookmarkStart w:id="19" w:name="_Toc73518117"/>
      <w:bookmarkStart w:id="20" w:name="_Toc73517639"/>
      <w:bookmarkStart w:id="21" w:name="_Toc100052364"/>
      <w:bookmarkStart w:id="22" w:name="_Toc60631620"/>
      <w:bookmarkStart w:id="23" w:name="_Toc73521635"/>
      <w:bookmarkStart w:id="24" w:name="_Toc73521547"/>
      <w:bookmarkStart w:id="25" w:name="_Toc101074876"/>
      <w:bookmarkStart w:id="26" w:name="_Toc60560625"/>
      <w:r>
        <w:rPr>
          <w:rFonts w:hint="eastAsia" w:ascii="宋体" w:hAnsi="宋体" w:eastAsia="宋体" w:cs="宋体"/>
          <w:b/>
          <w:bCs/>
          <w:sz w:val="28"/>
          <w:szCs w:val="28"/>
        </w:rPr>
        <w:t>一、对通用条款的补充内容</w:t>
      </w:r>
    </w:p>
    <w:bookmarkEnd w:id="19"/>
    <w:bookmarkEnd w:id="20"/>
    <w:bookmarkEnd w:id="21"/>
    <w:bookmarkEnd w:id="22"/>
    <w:bookmarkEnd w:id="23"/>
    <w:bookmarkEnd w:id="24"/>
    <w:bookmarkEnd w:id="25"/>
    <w:bookmarkEnd w:id="26"/>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888"/>
        <w:gridCol w:w="5501"/>
      </w:tblGrid>
      <w:tr w14:paraId="326508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340B83C">
            <w:pPr>
              <w:keepNext w:val="0"/>
              <w:keepLines w:val="0"/>
              <w:widowControl/>
              <w:suppressLineNumbers w:val="0"/>
              <w:spacing w:before="0" w:beforeAutospacing="0" w:after="0" w:afterAutospacing="0"/>
              <w:ind w:left="0" w:right="0"/>
              <w:jc w:val="center"/>
              <w:rPr>
                <w:rFonts w:hint="default"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通用条款序号</w:t>
            </w:r>
          </w:p>
        </w:tc>
        <w:tc>
          <w:tcPr>
            <w:tcW w:w="1888" w:type="dxa"/>
            <w:vAlign w:val="center"/>
          </w:tcPr>
          <w:p w14:paraId="3B306419">
            <w:pPr>
              <w:keepNext w:val="0"/>
              <w:keepLines w:val="0"/>
              <w:widowControl/>
              <w:suppressLineNumbers w:val="0"/>
              <w:spacing w:before="0" w:beforeAutospacing="0" w:after="0" w:afterAutospacing="0"/>
              <w:ind w:left="0" w:right="0"/>
              <w:jc w:val="center"/>
              <w:rPr>
                <w:rFonts w:hint="default"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涉及事项</w:t>
            </w:r>
          </w:p>
        </w:tc>
        <w:tc>
          <w:tcPr>
            <w:tcW w:w="5501" w:type="dxa"/>
            <w:vAlign w:val="center"/>
          </w:tcPr>
          <w:p w14:paraId="1E1282A6">
            <w:pPr>
              <w:keepNext w:val="0"/>
              <w:keepLines w:val="0"/>
              <w:widowControl/>
              <w:suppressLineNumbers w:val="0"/>
              <w:spacing w:before="0" w:beforeAutospacing="0" w:after="0" w:afterAutospacing="0"/>
              <w:ind w:left="0" w:right="0"/>
              <w:jc w:val="center"/>
              <w:rPr>
                <w:rFonts w:hint="default"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 xml:space="preserve">具 </w:t>
            </w:r>
            <w:r>
              <w:rPr>
                <w:rFonts w:hint="default"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体 </w:t>
            </w:r>
            <w:r>
              <w:rPr>
                <w:rFonts w:hint="default"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补 </w:t>
            </w:r>
            <w:r>
              <w:rPr>
                <w:rFonts w:hint="default"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充 </w:t>
            </w:r>
            <w:r>
              <w:rPr>
                <w:rFonts w:hint="default"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内 </w:t>
            </w:r>
            <w:r>
              <w:rPr>
                <w:rFonts w:hint="default"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容</w:t>
            </w:r>
          </w:p>
        </w:tc>
      </w:tr>
      <w:tr w14:paraId="018E2B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6959568">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hint="default" w:ascii="宋体" w:hAnsi="宋体"/>
                <w:color w:val="000000" w:themeColor="text1"/>
                <w14:textFill>
                  <w14:solidFill>
                    <w14:schemeClr w14:val="tx1"/>
                  </w14:solidFill>
                </w14:textFill>
              </w:rPr>
              <w:t>.1</w:t>
            </w:r>
          </w:p>
        </w:tc>
        <w:tc>
          <w:tcPr>
            <w:tcW w:w="1888" w:type="dxa"/>
            <w:vAlign w:val="center"/>
          </w:tcPr>
          <w:p w14:paraId="4E2EBE6F">
            <w:pPr>
              <w:keepNext w:val="0"/>
              <w:keepLines w:val="0"/>
              <w:widowControl/>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采购人</w:t>
            </w:r>
          </w:p>
        </w:tc>
        <w:tc>
          <w:tcPr>
            <w:tcW w:w="5501" w:type="dxa"/>
            <w:vAlign w:val="center"/>
          </w:tcPr>
          <w:p w14:paraId="5C3AEFE8">
            <w:pPr>
              <w:keepNext w:val="0"/>
              <w:keepLines w:val="0"/>
              <w:widowControl/>
              <w:suppressLineNumbers w:val="0"/>
              <w:spacing w:before="0" w:beforeAutospacing="0" w:after="0" w:afterAutospacing="0"/>
              <w:ind w:left="0" w:right="0"/>
              <w:jc w:val="center"/>
              <w:rPr>
                <w:rFonts w:hint="eastAsia" w:ascii="宋体" w:hAnsi="宋体" w:eastAsiaTheme="minorEastAsia"/>
                <w:color w:val="000000" w:themeColor="text1"/>
                <w:lang w:eastAsia="zh-CN"/>
                <w14:textFill>
                  <w14:solidFill>
                    <w14:schemeClr w14:val="tx1"/>
                  </w14:solidFill>
                </w14:textFill>
              </w:rPr>
            </w:pPr>
            <w:r>
              <w:rPr>
                <w:rFonts w:hint="eastAsia" w:ascii="宋体" w:hAnsi="宋体" w:eastAsiaTheme="minorEastAsia"/>
                <w:color w:val="000000" w:themeColor="text1"/>
                <w:lang w:eastAsia="zh-CN"/>
                <w14:textFill>
                  <w14:solidFill>
                    <w14:schemeClr w14:val="tx1"/>
                  </w14:solidFill>
                </w14:textFill>
              </w:rPr>
              <w:t>深圳市公安局光明分局</w:t>
            </w:r>
          </w:p>
        </w:tc>
      </w:tr>
      <w:tr w14:paraId="2AB044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E8ADCF4">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hint="default" w:ascii="宋体" w:hAnsi="宋体"/>
                <w:color w:val="000000" w:themeColor="text1"/>
                <w14:textFill>
                  <w14:solidFill>
                    <w14:schemeClr w14:val="tx1"/>
                  </w14:solidFill>
                </w14:textFill>
              </w:rPr>
              <w:t>.2</w:t>
            </w:r>
          </w:p>
        </w:tc>
        <w:tc>
          <w:tcPr>
            <w:tcW w:w="1888" w:type="dxa"/>
            <w:vAlign w:val="center"/>
          </w:tcPr>
          <w:p w14:paraId="7FB6989F">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采购机构</w:t>
            </w:r>
          </w:p>
        </w:tc>
        <w:tc>
          <w:tcPr>
            <w:tcW w:w="5501" w:type="dxa"/>
            <w:vAlign w:val="center"/>
          </w:tcPr>
          <w:p w14:paraId="4B01394A">
            <w:pPr>
              <w:keepNext w:val="0"/>
              <w:keepLines w:val="0"/>
              <w:widowControl/>
              <w:suppressLineNumbers w:val="0"/>
              <w:spacing w:before="0" w:beforeAutospacing="0" w:after="0" w:afterAutospacing="0"/>
              <w:ind w:left="0" w:right="0"/>
              <w:jc w:val="center"/>
              <w:rPr>
                <w:rFonts w:hint="default"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友和保险经纪有限公司</w:t>
            </w:r>
          </w:p>
        </w:tc>
      </w:tr>
      <w:tr w14:paraId="1766D2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5BE0813">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hint="default" w:ascii="宋体" w:hAnsi="宋体"/>
                <w:color w:val="000000" w:themeColor="text1"/>
                <w14:textFill>
                  <w14:solidFill>
                    <w14:schemeClr w14:val="tx1"/>
                  </w14:solidFill>
                </w14:textFill>
              </w:rPr>
              <w:t>.3</w:t>
            </w:r>
          </w:p>
        </w:tc>
        <w:tc>
          <w:tcPr>
            <w:tcW w:w="1888" w:type="dxa"/>
            <w:vAlign w:val="center"/>
          </w:tcPr>
          <w:p w14:paraId="14406E7A">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联合体投标</w:t>
            </w:r>
          </w:p>
        </w:tc>
        <w:tc>
          <w:tcPr>
            <w:tcW w:w="5501" w:type="dxa"/>
            <w:vAlign w:val="center"/>
          </w:tcPr>
          <w:p w14:paraId="048484BA">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不接受</w:t>
            </w:r>
          </w:p>
        </w:tc>
      </w:tr>
      <w:tr w14:paraId="4479C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B1AD51">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w:t>
            </w:r>
          </w:p>
        </w:tc>
        <w:tc>
          <w:tcPr>
            <w:tcW w:w="1888" w:type="dxa"/>
            <w:vAlign w:val="center"/>
          </w:tcPr>
          <w:p w14:paraId="5C11ADBF">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踏勘现场</w:t>
            </w:r>
          </w:p>
        </w:tc>
        <w:tc>
          <w:tcPr>
            <w:tcW w:w="5501" w:type="dxa"/>
            <w:vAlign w:val="center"/>
          </w:tcPr>
          <w:p w14:paraId="2F6C0BB6">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不组织</w:t>
            </w:r>
          </w:p>
        </w:tc>
      </w:tr>
      <w:tr w14:paraId="313780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E71E1F">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hint="default" w:ascii="宋体" w:hAnsi="宋体"/>
                <w:color w:val="000000" w:themeColor="text1"/>
                <w14:textFill>
                  <w14:solidFill>
                    <w14:schemeClr w14:val="tx1"/>
                  </w14:solidFill>
                </w14:textFill>
              </w:rPr>
              <w:t>0</w:t>
            </w:r>
          </w:p>
        </w:tc>
        <w:tc>
          <w:tcPr>
            <w:tcW w:w="1888" w:type="dxa"/>
            <w:vAlign w:val="center"/>
          </w:tcPr>
          <w:p w14:paraId="3D82500B">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标前会议</w:t>
            </w:r>
          </w:p>
        </w:tc>
        <w:tc>
          <w:tcPr>
            <w:tcW w:w="5501" w:type="dxa"/>
            <w:vAlign w:val="center"/>
          </w:tcPr>
          <w:p w14:paraId="262E4DF2">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不组织</w:t>
            </w:r>
          </w:p>
        </w:tc>
      </w:tr>
      <w:tr w14:paraId="492051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6132A45">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hint="default"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/1</w:t>
            </w:r>
            <w:r>
              <w:rPr>
                <w:rFonts w:hint="default" w:ascii="宋体" w:hAnsi="宋体"/>
                <w:color w:val="000000" w:themeColor="text1"/>
                <w14:textFill>
                  <w14:solidFill>
                    <w14:schemeClr w14:val="tx1"/>
                  </w14:solidFill>
                </w14:textFill>
              </w:rPr>
              <w:t>3</w:t>
            </w:r>
          </w:p>
        </w:tc>
        <w:tc>
          <w:tcPr>
            <w:tcW w:w="1888" w:type="dxa"/>
            <w:vAlign w:val="center"/>
          </w:tcPr>
          <w:p w14:paraId="1EC5141F">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招标文件的澄清和修改</w:t>
            </w:r>
          </w:p>
        </w:tc>
        <w:tc>
          <w:tcPr>
            <w:tcW w:w="5501" w:type="dxa"/>
            <w:vAlign w:val="center"/>
          </w:tcPr>
          <w:p w14:paraId="5D8B5A57">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不晚于投标截止日三日前（详见招标公告），投标人有义务在招标期间在</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网站浏览与本项目有关的澄清和修改信息</w:t>
            </w:r>
          </w:p>
        </w:tc>
      </w:tr>
      <w:tr w14:paraId="24F6FF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7EDA892">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hint="default" w:ascii="宋体" w:hAnsi="宋体"/>
                <w:color w:val="000000" w:themeColor="text1"/>
                <w14:textFill>
                  <w14:solidFill>
                    <w14:schemeClr w14:val="tx1"/>
                  </w14:solidFill>
                </w14:textFill>
              </w:rPr>
              <w:t>0</w:t>
            </w:r>
          </w:p>
        </w:tc>
        <w:tc>
          <w:tcPr>
            <w:tcW w:w="1888" w:type="dxa"/>
            <w:vAlign w:val="center"/>
          </w:tcPr>
          <w:p w14:paraId="62EDA9AE">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投标有效期</w:t>
            </w:r>
          </w:p>
        </w:tc>
        <w:tc>
          <w:tcPr>
            <w:tcW w:w="5501" w:type="dxa"/>
            <w:vAlign w:val="center"/>
          </w:tcPr>
          <w:p w14:paraId="66AC7609">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120个日历日</w:t>
            </w:r>
          </w:p>
        </w:tc>
      </w:tr>
      <w:tr w14:paraId="7DAA66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5D62869">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hint="default" w:ascii="宋体" w:hAnsi="宋体"/>
                <w:color w:val="000000" w:themeColor="text1"/>
                <w14:textFill>
                  <w14:solidFill>
                    <w14:schemeClr w14:val="tx1"/>
                  </w14:solidFill>
                </w14:textFill>
              </w:rPr>
              <w:t>2</w:t>
            </w:r>
          </w:p>
        </w:tc>
        <w:tc>
          <w:tcPr>
            <w:tcW w:w="1888" w:type="dxa"/>
            <w:vAlign w:val="center"/>
          </w:tcPr>
          <w:p w14:paraId="25E2BA6F">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投标人的替代方案</w:t>
            </w:r>
          </w:p>
        </w:tc>
        <w:tc>
          <w:tcPr>
            <w:tcW w:w="5501" w:type="dxa"/>
            <w:vAlign w:val="center"/>
          </w:tcPr>
          <w:p w14:paraId="0E03FAF7">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不接受</w:t>
            </w:r>
          </w:p>
        </w:tc>
      </w:tr>
      <w:tr w14:paraId="5B0DB5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52325C4">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hint="default" w:ascii="宋体" w:hAnsi="宋体"/>
                <w:color w:val="000000" w:themeColor="text1"/>
                <w14:textFill>
                  <w14:solidFill>
                    <w14:schemeClr w14:val="tx1"/>
                  </w14:solidFill>
                </w14:textFill>
              </w:rPr>
              <w:t>5</w:t>
            </w:r>
          </w:p>
        </w:tc>
        <w:tc>
          <w:tcPr>
            <w:tcW w:w="1888" w:type="dxa"/>
            <w:vAlign w:val="center"/>
          </w:tcPr>
          <w:p w14:paraId="0D9C6620">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投标文件的大小</w:t>
            </w:r>
          </w:p>
        </w:tc>
        <w:tc>
          <w:tcPr>
            <w:tcW w:w="5501" w:type="dxa"/>
            <w:vAlign w:val="center"/>
          </w:tcPr>
          <w:p w14:paraId="5AF7E28B">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投标文件大小不得超过</w:t>
            </w:r>
            <w:r>
              <w:rPr>
                <w:rFonts w:hint="default"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00MB</w:t>
            </w:r>
          </w:p>
        </w:tc>
      </w:tr>
      <w:tr w14:paraId="78FC9F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6A6B877">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hint="default" w:ascii="宋体" w:hAnsi="宋体"/>
                <w:color w:val="000000" w:themeColor="text1"/>
                <w14:textFill>
                  <w14:solidFill>
                    <w14:schemeClr w14:val="tx1"/>
                  </w14:solidFill>
                </w14:textFill>
              </w:rPr>
              <w:t>6</w:t>
            </w:r>
          </w:p>
        </w:tc>
        <w:tc>
          <w:tcPr>
            <w:tcW w:w="1888" w:type="dxa"/>
            <w:vAlign w:val="center"/>
          </w:tcPr>
          <w:p w14:paraId="06E22361">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bookmarkStart w:id="27" w:name="_Hlk71664860"/>
            <w:r>
              <w:rPr>
                <w:rFonts w:hint="eastAsia" w:ascii="宋体" w:hAnsi="宋体"/>
                <w:color w:val="000000" w:themeColor="text1"/>
                <w14:textFill>
                  <w14:solidFill>
                    <w14:schemeClr w14:val="tx1"/>
                  </w14:solidFill>
                </w14:textFill>
              </w:rPr>
              <w:t>样品、现场演示、方案讲解</w:t>
            </w:r>
            <w:bookmarkEnd w:id="27"/>
          </w:p>
        </w:tc>
        <w:tc>
          <w:tcPr>
            <w:tcW w:w="5501" w:type="dxa"/>
            <w:vAlign w:val="center"/>
          </w:tcPr>
          <w:p w14:paraId="748C66C5">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default" w:ascii="Wingdings 2" w:hAnsi="Wingdings 2"/>
                <w:b/>
                <w:color w:val="000000" w:themeColor="text1"/>
                <w14:textFill>
                  <w14:solidFill>
                    <w14:schemeClr w14:val="tx1"/>
                  </w14:solidFill>
                </w14:textFill>
              </w:rPr>
              <w:sym w:font="Wingdings 2" w:char="F052"/>
            </w:r>
            <w:r>
              <w:rPr>
                <w:rFonts w:hint="eastAsia" w:ascii="宋体" w:hAnsi="宋体"/>
                <w:color w:val="000000" w:themeColor="text1"/>
                <w14:textFill>
                  <w14:solidFill>
                    <w14:schemeClr w14:val="tx1"/>
                  </w14:solidFill>
                </w14:textFill>
              </w:rPr>
              <w:t xml:space="preserve"> 无</w:t>
            </w:r>
          </w:p>
        </w:tc>
      </w:tr>
      <w:tr w14:paraId="4AADF3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32F762E">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hint="default" w:ascii="宋体" w:hAnsi="宋体"/>
                <w:color w:val="000000" w:themeColor="text1"/>
                <w14:textFill>
                  <w14:solidFill>
                    <w14:schemeClr w14:val="tx1"/>
                  </w14:solidFill>
                </w14:textFill>
              </w:rPr>
              <w:t>7</w:t>
            </w:r>
          </w:p>
        </w:tc>
        <w:tc>
          <w:tcPr>
            <w:tcW w:w="1888" w:type="dxa"/>
            <w:vAlign w:val="center"/>
          </w:tcPr>
          <w:p w14:paraId="5CBCB4BB">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评审方法</w:t>
            </w:r>
          </w:p>
        </w:tc>
        <w:tc>
          <w:tcPr>
            <w:tcW w:w="5501" w:type="dxa"/>
            <w:vAlign w:val="center"/>
          </w:tcPr>
          <w:p w14:paraId="19B05943">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default" w:ascii="Wingdings 2" w:hAnsi="Wingdings 2"/>
                <w:b/>
                <w:color w:val="000000" w:themeColor="text1"/>
                <w14:textFill>
                  <w14:solidFill>
                    <w14:schemeClr w14:val="tx1"/>
                  </w14:solidFill>
                </w14:textFill>
              </w:rPr>
              <w:sym w:font="Wingdings 2" w:char="F052"/>
            </w:r>
            <w:r>
              <w:rPr>
                <w:rFonts w:hint="eastAsia" w:ascii="宋体" w:hAnsi="宋体"/>
                <w:b/>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综合评分法</w:t>
            </w:r>
          </w:p>
        </w:tc>
      </w:tr>
      <w:tr w14:paraId="59343F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538D0C4">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hint="default" w:ascii="宋体" w:hAnsi="宋体"/>
                <w:color w:val="000000" w:themeColor="text1"/>
                <w14:textFill>
                  <w14:solidFill>
                    <w14:schemeClr w14:val="tx1"/>
                  </w14:solidFill>
                </w14:textFill>
              </w:rPr>
              <w:t>8</w:t>
            </w:r>
          </w:p>
        </w:tc>
        <w:tc>
          <w:tcPr>
            <w:tcW w:w="1888" w:type="dxa"/>
            <w:vAlign w:val="center"/>
          </w:tcPr>
          <w:p w14:paraId="6E7E0EA1">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定标方法</w:t>
            </w:r>
          </w:p>
        </w:tc>
        <w:tc>
          <w:tcPr>
            <w:tcW w:w="5501" w:type="dxa"/>
            <w:vAlign w:val="center"/>
          </w:tcPr>
          <w:p w14:paraId="40DD6792">
            <w:pPr>
              <w:keepNext w:val="0"/>
              <w:keepLines w:val="0"/>
              <w:widowControl/>
              <w:suppressLineNumbers w:val="0"/>
              <w:spacing w:before="0" w:beforeAutospacing="0" w:after="0" w:afterAutospacing="0"/>
              <w:ind w:left="0" w:right="0"/>
              <w:jc w:val="center"/>
              <w:rPr>
                <w:rFonts w:hint="eastAsia" w:ascii="宋体" w:hAnsi="宋体" w:eastAsia="宋体"/>
                <w:color w:val="000000" w:themeColor="text1"/>
                <w:lang w:eastAsia="zh-CN"/>
                <w14:textFill>
                  <w14:solidFill>
                    <w14:schemeClr w14:val="tx1"/>
                  </w14:solidFill>
                </w14:textFill>
              </w:rPr>
            </w:pPr>
            <w:r>
              <w:rPr>
                <w:rFonts w:hint="eastAsia" w:ascii="Wingdings 2" w:hAnsi="Wingdings 2" w:eastAsia="宋体"/>
                <w:b/>
                <w:color w:val="000000" w:themeColor="text1"/>
                <w:lang w:val="en-US" w:eastAsia="zh-CN"/>
                <w14:textFill>
                  <w14:solidFill>
                    <w14:schemeClr w14:val="tx1"/>
                  </w14:solidFill>
                </w14:textFill>
              </w:rPr>
              <w:t>自定法</w:t>
            </w:r>
          </w:p>
        </w:tc>
      </w:tr>
      <w:tr w14:paraId="0D612D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29A170E">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r>
              <w:rPr>
                <w:rFonts w:hint="default" w:ascii="宋体" w:hAnsi="宋体"/>
                <w:color w:val="000000" w:themeColor="text1"/>
                <w14:textFill>
                  <w14:solidFill>
                    <w14:schemeClr w14:val="tx1"/>
                  </w14:solidFill>
                </w14:textFill>
              </w:rPr>
              <w:t>6</w:t>
            </w:r>
          </w:p>
        </w:tc>
        <w:tc>
          <w:tcPr>
            <w:tcW w:w="1888" w:type="dxa"/>
            <w:vAlign w:val="center"/>
          </w:tcPr>
          <w:p w14:paraId="38846665">
            <w:pPr>
              <w:keepNext w:val="0"/>
              <w:keepLines w:val="0"/>
              <w:widowControl/>
              <w:suppressLineNumbers w:val="0"/>
              <w:spacing w:before="0" w:beforeAutospacing="0" w:after="0" w:afterAutospacing="0"/>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履约担保</w:t>
            </w:r>
          </w:p>
        </w:tc>
        <w:tc>
          <w:tcPr>
            <w:tcW w:w="5501" w:type="dxa"/>
            <w:vAlign w:val="center"/>
          </w:tcPr>
          <w:p w14:paraId="74110D9B">
            <w:pPr>
              <w:pStyle w:val="8"/>
              <w:keepNext w:val="0"/>
              <w:keepLines w:val="0"/>
              <w:widowControl/>
              <w:suppressLineNumbers w:val="0"/>
              <w:spacing w:before="0" w:beforeAutospacing="0" w:after="0" w:afterAutospacing="0"/>
              <w:ind w:left="0" w:right="0"/>
              <w:jc w:val="center"/>
              <w:rPr>
                <w:rFonts w:hint="default" w:ascii="宋体" w:hAnsi="宋体" w:cs="宋体" w:eastAsiaTheme="minorEastAsia"/>
                <w:szCs w:val="21"/>
                <w:lang w:val="en-US" w:eastAsia="zh-CN"/>
              </w:rPr>
            </w:pPr>
            <w:r>
              <w:rPr>
                <w:rFonts w:hint="eastAsia" w:ascii="宋体" w:hAnsi="宋体" w:cs="宋体" w:eastAsiaTheme="minorEastAsia"/>
                <w:szCs w:val="21"/>
                <w:lang w:val="en-US" w:eastAsia="zh-CN"/>
              </w:rPr>
              <w:t>无</w:t>
            </w:r>
          </w:p>
        </w:tc>
      </w:tr>
    </w:tbl>
    <w:p w14:paraId="6714859F">
      <w:pPr>
        <w:rPr>
          <w:b/>
          <w:color w:val="000000" w:themeColor="text1"/>
          <w14:textFill>
            <w14:solidFill>
              <w14:schemeClr w14:val="tx1"/>
            </w14:solidFill>
          </w14:textFill>
        </w:rPr>
      </w:pPr>
      <w:r>
        <w:rPr>
          <w:rFonts w:hint="eastAsia"/>
          <w:color w:val="000000" w:themeColor="text1"/>
          <w:szCs w:val="21"/>
          <w14:textFill>
            <w14:solidFill>
              <w14:schemeClr w14:val="tx1"/>
            </w14:solidFill>
          </w14:textFill>
        </w:rPr>
        <w:t>备注：本表是通用条款相关条款的补充和明确，如与通用条款内容相冲突的，以本表为准。</w:t>
      </w:r>
      <w:r>
        <w:rPr>
          <w:rFonts w:hint="eastAsia"/>
          <w:b/>
          <w:bCs/>
          <w:color w:val="FF0000"/>
          <w:szCs w:val="21"/>
        </w:rPr>
        <w:t>本项目使用深圳政府采购智慧平台进行操作，通用条款中如有与深圳政府采购智慧平台操作流程不一致的内容，请以深圳政府采购智慧平台</w:t>
      </w:r>
      <w:r>
        <w:rPr>
          <w:b/>
          <w:bCs/>
          <w:color w:val="FF0000"/>
          <w:szCs w:val="21"/>
        </w:rPr>
        <w:t>zfcg.szggzy.com:8081</w:t>
      </w:r>
      <w:r>
        <w:rPr>
          <w:rFonts w:hint="eastAsia"/>
          <w:b/>
          <w:bCs/>
          <w:color w:val="FF0000"/>
          <w:szCs w:val="21"/>
        </w:rPr>
        <w:t>公布的操作手册内容为准。</w:t>
      </w:r>
    </w:p>
    <w:p w14:paraId="1B1F293F">
      <w:pPr>
        <w:rPr>
          <w:b/>
          <w:color w:val="000000" w:themeColor="text1"/>
          <w14:textFill>
            <w14:solidFill>
              <w14:schemeClr w14:val="tx1"/>
            </w14:solidFill>
          </w14:textFill>
        </w:rPr>
      </w:pPr>
    </w:p>
    <w:p w14:paraId="7E48DFE6">
      <w:pPr>
        <w:jc w:val="center"/>
        <w:outlineLvl w:val="2"/>
        <w:rPr>
          <w:rFonts w:ascii="宋体" w:hAnsi="宋体" w:eastAsia="宋体" w:cs="宋体"/>
          <w:b/>
          <w:bCs/>
          <w:sz w:val="28"/>
          <w:szCs w:val="28"/>
        </w:rPr>
      </w:pPr>
      <w:r>
        <w:rPr>
          <w:rFonts w:hint="eastAsia" w:ascii="宋体" w:hAnsi="宋体" w:eastAsia="宋体" w:cs="宋体"/>
          <w:b/>
          <w:bCs/>
          <w:sz w:val="28"/>
          <w:szCs w:val="28"/>
        </w:rPr>
        <w:t>二、其他关键信息</w:t>
      </w:r>
    </w:p>
    <w:p w14:paraId="76CD8595">
      <w:pPr>
        <w:ind w:firstLine="480" w:firstLineChars="200"/>
        <w:rPr>
          <w:rFonts w:hint="eastAsia" w:ascii="仿宋" w:hAnsi="仿宋" w:eastAsia="仿宋" w:cs="仿宋"/>
          <w:b/>
          <w:color w:val="FF0000"/>
          <w:sz w:val="24"/>
        </w:rPr>
      </w:pPr>
      <w:r>
        <w:rPr>
          <w:rFonts w:hint="eastAsia"/>
          <w:b/>
          <w:bCs/>
        </w:rPr>
        <w:t>（一）评标定标信息</w:t>
      </w:r>
    </w:p>
    <w:p w14:paraId="5A8AE7BC">
      <w:pPr>
        <w:ind w:firstLine="482" w:firstLineChars="200"/>
        <w:rPr>
          <w:rFonts w:ascii="仿宋" w:hAnsi="仿宋" w:eastAsia="仿宋" w:cs="仿宋"/>
          <w:b/>
          <w:color w:val="00B050"/>
          <w:sz w:val="24"/>
        </w:rPr>
      </w:pPr>
      <w:r>
        <w:rPr>
          <w:rFonts w:hint="eastAsia" w:ascii="仿宋" w:hAnsi="仿宋" w:eastAsia="仿宋" w:cs="仿宋"/>
          <w:b/>
          <w:color w:val="00B050"/>
          <w:sz w:val="24"/>
        </w:rPr>
        <w:t>适用于评定分离项目</w:t>
      </w:r>
    </w:p>
    <w:p w14:paraId="2B97961D">
      <w:pPr>
        <w:ind w:firstLine="480" w:firstLineChars="200"/>
        <w:rPr>
          <w:rFonts w:ascii="仿宋" w:hAnsi="仿宋" w:eastAsia="仿宋" w:cs="仿宋"/>
          <w:color w:val="00B050"/>
          <w:sz w:val="24"/>
        </w:rPr>
      </w:pPr>
      <w:r>
        <w:rPr>
          <w:rFonts w:hint="eastAsia" w:ascii="仿宋" w:hAnsi="仿宋" w:eastAsia="仿宋" w:cs="仿宋"/>
          <w:color w:val="00B050"/>
          <w:sz w:val="24"/>
        </w:rPr>
        <w:t>本次评标采用综合评分法，</w:t>
      </w:r>
      <w:r>
        <w:rPr>
          <w:rFonts w:hint="eastAsia" w:ascii="仿宋" w:hAnsi="仿宋" w:eastAsia="仿宋" w:cs="仿宋"/>
          <w:bCs/>
          <w:color w:val="00B050"/>
          <w:sz w:val="24"/>
        </w:rPr>
        <w:t>投标文件满足招标文件全部实质性要求，且按照</w:t>
      </w:r>
      <w:r>
        <w:rPr>
          <w:rFonts w:hint="eastAsia" w:ascii="仿宋" w:hAnsi="仿宋" w:eastAsia="仿宋" w:cs="仿宋"/>
          <w:color w:val="00B050"/>
          <w:sz w:val="24"/>
        </w:rPr>
        <w:t>招标文件中规定的各项评审因素进行量化打分，评标结果按评审后得分由高到低顺序排列。得分相同的，按投标报价由低到高顺序排列。得分且投标报价相同的，按技术/服务部分得分由高到低排列。得分、投标报价和技术/服务部分得分均相同的并列，出现并列情况采取随机抽取的方式确定，具体操作办法及流程由评审委员会确定，</w:t>
      </w:r>
      <w:r>
        <w:rPr>
          <w:rFonts w:hint="eastAsia" w:ascii="仿宋" w:hAnsi="仿宋" w:eastAsia="仿宋" w:cs="仿宋"/>
          <w:bCs/>
          <w:color w:val="00B050"/>
          <w:sz w:val="24"/>
        </w:rPr>
        <w:t>以评审总得分排名前三名的投标人作为中标候选人，进入定标环节。</w:t>
      </w:r>
    </w:p>
    <w:p w14:paraId="20353EF8">
      <w:pPr>
        <w:ind w:firstLine="480" w:firstLineChars="200"/>
        <w:rPr>
          <w:rFonts w:hint="eastAsia" w:ascii="仿宋" w:hAnsi="仿宋" w:eastAsia="仿宋" w:cs="仿宋"/>
          <w:color w:val="00B050"/>
          <w:sz w:val="24"/>
        </w:rPr>
      </w:pPr>
      <w:r>
        <w:rPr>
          <w:rFonts w:hint="eastAsia" w:ascii="仿宋" w:hAnsi="仿宋" w:eastAsia="仿宋" w:cs="仿宋"/>
          <w:color w:val="00B050"/>
          <w:sz w:val="24"/>
        </w:rPr>
        <w:t>评审委员会对每个通过资格性检查和符合性检查且报价不超过最高限价的投标人进行评审、打分，然后汇总每个投标人每项</w:t>
      </w:r>
      <w:r>
        <w:rPr>
          <w:rFonts w:hint="eastAsia" w:ascii="仿宋" w:hAnsi="仿宋" w:eastAsia="仿宋" w:cs="仿宋"/>
          <w:color w:val="00B050"/>
          <w:sz w:val="24"/>
          <w:lang w:eastAsia="zh-CN"/>
        </w:rPr>
        <w:t>评审因素</w:t>
      </w:r>
      <w:r>
        <w:rPr>
          <w:rFonts w:hint="eastAsia" w:ascii="仿宋" w:hAnsi="仿宋" w:eastAsia="仿宋" w:cs="仿宋"/>
          <w:color w:val="00B050"/>
          <w:sz w:val="24"/>
        </w:rPr>
        <w:t>的评分。</w:t>
      </w:r>
    </w:p>
    <w:p w14:paraId="1EE770C3">
      <w:pPr>
        <w:ind w:firstLine="480" w:firstLineChars="200"/>
        <w:rPr>
          <w:rFonts w:hint="eastAsia" w:ascii="仿宋" w:hAnsi="仿宋" w:eastAsia="仿宋" w:cs="仿宋"/>
          <w:color w:val="00B050"/>
          <w:sz w:val="24"/>
        </w:rPr>
      </w:pPr>
      <w:r>
        <w:rPr>
          <w:rFonts w:hint="eastAsia" w:ascii="仿宋" w:hAnsi="仿宋" w:eastAsia="仿宋" w:cs="仿宋"/>
          <w:color w:val="00B050"/>
          <w:sz w:val="24"/>
        </w:rPr>
        <w:t>评委会在评审时，按照《评标信息》中的评审因素，对进入该阶段评审的各投标文件进行分析和比较。</w:t>
      </w:r>
    </w:p>
    <w:p w14:paraId="5A8F5ADC">
      <w:pPr>
        <w:ind w:firstLine="482" w:firstLineChars="200"/>
        <w:rPr>
          <w:rFonts w:hint="eastAsia"/>
        </w:rPr>
      </w:pPr>
      <w:r>
        <w:rPr>
          <w:rFonts w:hint="eastAsia" w:ascii="仿宋" w:hAnsi="仿宋" w:eastAsia="仿宋" w:cs="仿宋"/>
          <w:b/>
          <w:bCs/>
          <w:color w:val="FF0000"/>
          <w:lang w:val="en-US" w:eastAsia="zh-CN" w:bidi="ar"/>
        </w:rPr>
        <w:t>采购人有权在定标前对三名中标候选人进行实地考察，若进行现场考察，具体的时间安排另行通知。</w:t>
      </w:r>
    </w:p>
    <w:p w14:paraId="54508F0D">
      <w:pPr>
        <w:spacing w:line="360" w:lineRule="auto"/>
        <w:ind w:firstLine="480" w:firstLineChars="200"/>
        <w:rPr>
          <w:b/>
          <w:bCs/>
          <w:color w:val="000000" w:themeColor="text1"/>
          <w14:textFill>
            <w14:solidFill>
              <w14:schemeClr w14:val="tx1"/>
            </w14:solidFill>
          </w14:textFill>
        </w:rPr>
      </w:pPr>
      <w:r>
        <w:rPr>
          <w:rFonts w:hint="eastAsia"/>
          <w:b/>
          <w:color w:val="000000" w:themeColor="text1"/>
          <w14:textFill>
            <w14:solidFill>
              <w14:schemeClr w14:val="tx1"/>
            </w14:solidFill>
          </w14:textFill>
        </w:rPr>
        <w:t>（二）其他事项</w:t>
      </w:r>
    </w:p>
    <w:p w14:paraId="7435855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eastAsia="宋体"/>
          <w:b/>
          <w:bCs/>
          <w:color w:val="000000" w:themeColor="text1"/>
          <w:lang w:val="en-US" w:eastAsia="zh-CN"/>
          <w14:textFill>
            <w14:solidFill>
              <w14:schemeClr w14:val="tx1"/>
            </w14:solidFill>
          </w14:textFill>
        </w:rPr>
        <w:t>.</w:t>
      </w:r>
      <w:r>
        <w:rPr>
          <w:rFonts w:hint="eastAsia"/>
          <w:b/>
          <w:bCs/>
          <w:color w:val="000000" w:themeColor="text1"/>
          <w14:textFill>
            <w14:solidFill>
              <w14:schemeClr w14:val="tx1"/>
            </w14:solidFill>
          </w14:textFill>
        </w:rPr>
        <w:t>关于享受优惠政策的主体及价格扣除比例</w:t>
      </w:r>
    </w:p>
    <w:p w14:paraId="66DAC58C">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本项目不适用</w:t>
      </w:r>
      <w:r>
        <w:rPr>
          <w:rFonts w:hint="eastAsia" w:eastAsia="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投标人提供的服务</w:t>
      </w:r>
      <w:r>
        <w:rPr>
          <w:rFonts w:hint="eastAsia" w:ascii="宋体" w:hAnsi="宋体" w:eastAsia="宋体" w:cs="宋体"/>
          <w:color w:val="000000" w:themeColor="text1"/>
          <w14:textFill>
            <w14:solidFill>
              <w14:schemeClr w14:val="tx1"/>
            </w14:solidFill>
          </w14:textFill>
        </w:rPr>
        <w:t>全部</w:t>
      </w:r>
      <w:r>
        <w:rPr>
          <w:rFonts w:hint="eastAsia"/>
          <w:color w:val="000000" w:themeColor="text1"/>
          <w14:textFill>
            <w14:solidFill>
              <w14:schemeClr w14:val="tx1"/>
            </w14:solidFill>
          </w14:textFill>
        </w:rPr>
        <w:t>均由优惠主体承接，则对其投标总价给予</w:t>
      </w:r>
      <w:r>
        <w:rPr>
          <w:color w:val="000000" w:themeColor="text1"/>
          <w14:textFill>
            <w14:solidFill>
              <w14:schemeClr w14:val="tx1"/>
            </w14:solidFill>
          </w14:textFill>
        </w:rPr>
        <w:t xml:space="preserve"> </w:t>
      </w:r>
      <w:r>
        <w:rPr>
          <w:color w:val="FF0000"/>
        </w:rPr>
        <w:t>10</w:t>
      </w:r>
      <w:r>
        <w:rPr>
          <w:rFonts w:hint="eastAsia"/>
          <w:color w:val="FF0000"/>
        </w:rPr>
        <w:t>%</w:t>
      </w:r>
      <w:r>
        <w:rPr>
          <w:rFonts w:hint="eastAsia"/>
          <w:color w:val="000000" w:themeColor="text1"/>
          <w14:textFill>
            <w14:solidFill>
              <w14:schemeClr w14:val="tx1"/>
            </w14:solidFill>
          </w14:textFill>
        </w:rPr>
        <w:t>的扣除，用扣除后的价格参与评审。</w:t>
      </w:r>
    </w:p>
    <w:p w14:paraId="2ECFD7CB">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）【本项目不适用】</w:t>
      </w:r>
      <w:r>
        <w:rPr>
          <w:rFonts w:hint="eastAsia"/>
          <w:color w:val="000000" w:themeColor="text1"/>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30%以上的，将对联合体或者大中型企业的报价给予</w:t>
      </w:r>
      <w:r>
        <w:rPr>
          <w:rFonts w:hint="eastAsia"/>
          <w:color w:val="FF0000"/>
          <w:lang w:val="en-US" w:eastAsia="zh-CN"/>
        </w:rPr>
        <w:t>4</w:t>
      </w:r>
      <w:r>
        <w:rPr>
          <w:rFonts w:hint="eastAsia"/>
          <w:color w:val="FF0000"/>
        </w:rPr>
        <w:t>%</w:t>
      </w:r>
      <w:r>
        <w:rPr>
          <w:rFonts w:hint="eastAsia"/>
          <w:color w:val="000000" w:themeColor="text1"/>
          <w14:textFill>
            <w14:solidFill>
              <w14:schemeClr w14:val="tx1"/>
            </w14:solidFill>
          </w14:textFill>
        </w:rPr>
        <w:t>的扣除。</w:t>
      </w:r>
    </w:p>
    <w:p w14:paraId="0248C224">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color w:val="FF0000"/>
        </w:rPr>
      </w:pP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3</w:t>
      </w:r>
      <w:r>
        <w:rPr>
          <w:rFonts w:hint="eastAsia" w:eastAsia="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满足多项优惠政策的企业，不重复享受多项价格扣除政策。</w:t>
      </w:r>
      <w:r>
        <w:rPr>
          <w:rFonts w:hint="eastAsia" w:ascii="宋体" w:hAnsi="宋体" w:eastAsia="宋体" w:cs="宋体"/>
          <w:b/>
          <w:bCs/>
          <w:color w:val="FF0000"/>
        </w:rPr>
        <w:t>政策调整后价格仅作为评审依据，不作为中标价格。享受价格扣除获得政府采购合同的，小微企业不得将合同分包给大中型企业。</w:t>
      </w:r>
    </w:p>
    <w:p w14:paraId="1B280B48">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ascii="宋体" w:hAnsi="宋体"/>
          <w:bCs/>
        </w:rPr>
      </w:pPr>
      <w:r>
        <w:rPr>
          <w:rFonts w:hint="eastAsia"/>
          <w:color w:val="000000" w:themeColor="text1"/>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优惠主体承接是指提供服务的人员为中小企业依照《中华人民共和国劳动合同法》订立劳动合同的从业人员。(</w:t>
      </w:r>
      <w:r>
        <w:rPr>
          <w:color w:val="000000" w:themeColor="text1"/>
          <w14:textFill>
            <w14:solidFill>
              <w14:schemeClr w14:val="tx1"/>
            </w14:solidFill>
          </w14:textFill>
        </w:rPr>
        <w:t>c)</w:t>
      </w:r>
      <w:r>
        <w:rPr>
          <w:rFonts w:hint="eastAsia" w:ascii="宋体" w:hAnsi="宋体"/>
          <w:bCs/>
        </w:rPr>
        <w:t>小型企业、微型企业、残疾人福利性单位作为优惠主体的认定资料为《中小企业声明函》、《残疾人福利性单位声明函》；监狱企业作为优惠主体的认定资料为省级以上监狱管理局、戒毒管理局出具的监狱企业证明文件。</w:t>
      </w:r>
    </w:p>
    <w:p w14:paraId="751664D4">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bCs/>
        </w:rPr>
      </w:pPr>
      <w:r>
        <w:rPr>
          <w:rFonts w:hint="eastAsia" w:ascii="宋体" w:hAnsi="宋体"/>
          <w:bCs/>
        </w:rPr>
        <w:t>本项目采购标的对应的中小企业划分标准所属行业，根据《中小企业划型标准规定》（工信部联企业〔2011〕300号）、《</w:t>
      </w:r>
      <w:r>
        <w:rPr>
          <w:rFonts w:ascii="宋体" w:hAnsi="宋体"/>
          <w:bCs/>
        </w:rPr>
        <w:t>统计上大中小微型企业划分办法（2017）</w:t>
      </w:r>
      <w:r>
        <w:rPr>
          <w:rFonts w:hint="eastAsia" w:ascii="宋体" w:hAnsi="宋体"/>
          <w:bCs/>
        </w:rPr>
        <w:t>》（国统字〔2017〕213号）或国务院批准的其他中小企业划分标准文件确定。</w:t>
      </w:r>
    </w:p>
    <w:p w14:paraId="6912F49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2.关于落实政府绿色采购有关事项</w:t>
      </w:r>
    </w:p>
    <w:p w14:paraId="40F7521B">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bCs/>
          <w:lang w:val="en-US" w:eastAsia="zh-CN"/>
        </w:rPr>
      </w:pPr>
      <w:r>
        <w:rPr>
          <w:rFonts w:hint="eastAsia" w:ascii="宋体" w:hAnsi="宋体"/>
          <w:bCs/>
          <w:lang w:val="en-US" w:eastAsia="zh-CN"/>
        </w:rPr>
        <w:t>根据《深圳市财政局关于大力推广政府绿色采购有关事项的通知》（深财购〔2023〕49号）要求，如拟采购的产品属于节能产品或环境标志产品政府采购品目清单范围的，将在采购需求中对产品进行标识，并依据国家确认的认证机构出具的、处于有效期之内的节能产品或环境标志产品认证证书，对获得证书的产品实施政府优先采购或强制采购。如项目涉及商品包装、快递包装、绿色建筑和绿色建材、绿色数据中心等内容，需求标准将严格执行《商品包装政府采购需求标准（试行）》、《快递包装政府采购需求标准（试行）》（财办库〔2020〕123号）、《绿色建筑和绿色建材政府采购需求标准》（财办库〔2022〕35号）、《绿色数据中心政府采购需求标准（试行）》（财办库〔2023〕7号）等文件要求，并在采购文件和采购合同中载明具体需求、履约验收条款和违约责任，促进绿色包装、绿色运输、绿色建筑、绿色建材和绿色数据中心在政府采购领域的应用。</w:t>
      </w:r>
    </w:p>
    <w:p w14:paraId="178F083C">
      <w:pPr>
        <w:spacing w:line="360" w:lineRule="auto"/>
        <w:jc w:val="center"/>
        <w:rPr>
          <w:rFonts w:hint="eastAsia" w:cs="宋体"/>
          <w:b/>
          <w:bCs/>
          <w:color w:val="000000" w:themeColor="text1"/>
          <w:sz w:val="28"/>
          <w:szCs w:val="28"/>
          <w14:textFill>
            <w14:solidFill>
              <w14:schemeClr w14:val="tx1"/>
            </w14:solidFill>
          </w14:textFill>
        </w:rPr>
      </w:pPr>
      <w:bookmarkStart w:id="28" w:name="_Toc128884461"/>
    </w:p>
    <w:p w14:paraId="320CCCED">
      <w:pPr>
        <w:rPr>
          <w:rFonts w:hint="eastAsia" w:cs="宋体"/>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br w:type="page"/>
      </w:r>
    </w:p>
    <w:p w14:paraId="16F3576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第三章</w:t>
      </w:r>
      <w:r>
        <w:rPr>
          <w:rFonts w:hint="eastAsia"/>
          <w:b/>
          <w:bCs/>
          <w:color w:val="000000" w:themeColor="text1"/>
          <w:sz w:val="28"/>
          <w:szCs w:val="28"/>
          <w14:textFill>
            <w14:solidFill>
              <w14:schemeClr w14:val="tx1"/>
            </w14:solidFill>
          </w14:textFill>
        </w:rPr>
        <w:t xml:space="preserve"> </w:t>
      </w:r>
      <w:r>
        <w:rPr>
          <w:rFonts w:hint="eastAsia" w:cs="宋体"/>
          <w:b/>
          <w:bCs/>
          <w:color w:val="000000" w:themeColor="text1"/>
          <w:sz w:val="28"/>
          <w:szCs w:val="28"/>
          <w14:textFill>
            <w14:solidFill>
              <w14:schemeClr w14:val="tx1"/>
            </w14:solidFill>
          </w14:textFill>
        </w:rPr>
        <w:t>用户需求书</w:t>
      </w:r>
    </w:p>
    <w:bookmarkEnd w:id="28"/>
    <w:p w14:paraId="20F61387">
      <w:pPr>
        <w:spacing w:line="360" w:lineRule="auto"/>
        <w:jc w:val="center"/>
        <w:outlineLvl w:val="2"/>
        <w:rPr>
          <w:rFonts w:eastAsia="宋体"/>
          <w:b/>
          <w:bCs/>
        </w:rPr>
      </w:pPr>
      <w:bookmarkStart w:id="29" w:name="_Toc11426270"/>
      <w:r>
        <w:rPr>
          <w:rFonts w:hint="eastAsia" w:ascii="宋体" w:hAnsi="宋体" w:eastAsia="宋体" w:cs="宋体"/>
          <w:b/>
          <w:bCs/>
        </w:rPr>
        <w:t>一、项目基本信息</w:t>
      </w:r>
    </w:p>
    <w:tbl>
      <w:tblPr>
        <w:tblStyle w:val="17"/>
        <w:tblpPr w:leftFromText="180" w:rightFromText="180" w:vertAnchor="text" w:horzAnchor="margin" w:tblpXSpec="center" w:tblpY="173"/>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166"/>
        <w:gridCol w:w="2175"/>
        <w:gridCol w:w="2205"/>
        <w:gridCol w:w="1224"/>
      </w:tblGrid>
      <w:tr w14:paraId="6BAF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dxa"/>
            <w:shd w:val="clear" w:color="auto" w:fill="C6D9F0" w:themeFill="text2" w:themeFillTint="33"/>
            <w:vAlign w:val="center"/>
          </w:tcPr>
          <w:p w14:paraId="5F0F105A">
            <w:pPr>
              <w:keepNext w:val="0"/>
              <w:keepLines w:val="0"/>
              <w:widowControl/>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序</w:t>
            </w:r>
            <w:r>
              <w:rPr>
                <w:rFonts w:hint="eastAsia"/>
                <w:b/>
                <w:color w:val="000000" w:themeColor="text1"/>
                <w:szCs w:val="21"/>
                <w14:textFill>
                  <w14:solidFill>
                    <w14:schemeClr w14:val="tx1"/>
                  </w14:solidFill>
                </w14:textFill>
              </w:rPr>
              <w:t>号</w:t>
            </w:r>
          </w:p>
        </w:tc>
        <w:tc>
          <w:tcPr>
            <w:tcW w:w="2166" w:type="dxa"/>
            <w:shd w:val="clear" w:color="auto" w:fill="C6D9F0" w:themeFill="text2" w:themeFillTint="33"/>
            <w:vAlign w:val="center"/>
          </w:tcPr>
          <w:p w14:paraId="7DB5B603">
            <w:pPr>
              <w:keepNext w:val="0"/>
              <w:keepLines w:val="0"/>
              <w:widowControl/>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采购项目名称</w:t>
            </w:r>
          </w:p>
        </w:tc>
        <w:tc>
          <w:tcPr>
            <w:tcW w:w="2175" w:type="dxa"/>
            <w:shd w:val="clear" w:color="auto" w:fill="C6D9F0" w:themeFill="text2" w:themeFillTint="33"/>
            <w:vAlign w:val="center"/>
          </w:tcPr>
          <w:p w14:paraId="64520E4F">
            <w:pPr>
              <w:keepNext w:val="0"/>
              <w:keepLines w:val="0"/>
              <w:widowControl/>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财政预算限额（元）</w:t>
            </w:r>
          </w:p>
        </w:tc>
        <w:tc>
          <w:tcPr>
            <w:tcW w:w="2205" w:type="dxa"/>
            <w:shd w:val="clear" w:color="auto" w:fill="C6D9F0" w:themeFill="text2" w:themeFillTint="33"/>
            <w:vAlign w:val="center"/>
          </w:tcPr>
          <w:p w14:paraId="5809229E">
            <w:pPr>
              <w:keepNext w:val="0"/>
              <w:keepLines w:val="0"/>
              <w:widowControl/>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最高限价（元）</w:t>
            </w:r>
          </w:p>
        </w:tc>
        <w:tc>
          <w:tcPr>
            <w:tcW w:w="1224" w:type="dxa"/>
            <w:shd w:val="clear" w:color="auto" w:fill="C6D9F0" w:themeFill="text2" w:themeFillTint="33"/>
            <w:vAlign w:val="center"/>
          </w:tcPr>
          <w:p w14:paraId="0CD77742">
            <w:pPr>
              <w:keepNext w:val="0"/>
              <w:keepLines w:val="0"/>
              <w:widowControl/>
              <w:suppressLineNumbers w:val="0"/>
              <w:spacing w:before="0" w:beforeAutospacing="0" w:after="0" w:afterAutospacing="0"/>
              <w:ind w:left="0" w:right="0"/>
              <w:jc w:val="center"/>
              <w:rPr>
                <w:rFonts w:hint="eastAsia" w:eastAsiaTheme="minor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备注</w:t>
            </w:r>
          </w:p>
        </w:tc>
      </w:tr>
      <w:tr w14:paraId="6870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38" w:type="dxa"/>
            <w:vAlign w:val="center"/>
          </w:tcPr>
          <w:p w14:paraId="3391695C">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2166" w:type="dxa"/>
            <w:vAlign w:val="center"/>
          </w:tcPr>
          <w:p w14:paraId="1345B85B">
            <w:pPr>
              <w:keepNext w:val="0"/>
              <w:keepLines w:val="0"/>
              <w:widowControl/>
              <w:suppressLineNumbers w:val="0"/>
              <w:spacing w:before="0" w:beforeAutospacing="0" w:after="0" w:afterAutospacing="0"/>
              <w:ind w:left="0" w:right="0"/>
              <w:jc w:val="center"/>
              <w:rPr>
                <w:rFonts w:hint="eastAsia" w:ascii="宋体" w:hAnsi="宋体" w:eastAsia="宋体" w:cs="宋体"/>
                <w:bCs/>
                <w:color w:val="FF0000"/>
                <w:szCs w:val="21"/>
                <w:lang w:eastAsia="zh-CN"/>
              </w:rPr>
            </w:pPr>
            <w:r>
              <w:rPr>
                <w:rFonts w:hint="eastAsia" w:ascii="宋体" w:hAnsi="宋体" w:eastAsia="宋体" w:cs="宋体"/>
                <w:bCs/>
                <w:color w:val="auto"/>
                <w:szCs w:val="21"/>
                <w:lang w:eastAsia="zh-CN"/>
              </w:rPr>
              <w:t>深圳公安局光明分局下属单位食堂食材配送服务项目</w:t>
            </w:r>
          </w:p>
        </w:tc>
        <w:tc>
          <w:tcPr>
            <w:tcW w:w="2175" w:type="dxa"/>
            <w:vAlign w:val="center"/>
          </w:tcPr>
          <w:p w14:paraId="469A178C">
            <w:pPr>
              <w:keepNext w:val="0"/>
              <w:keepLines w:val="0"/>
              <w:widowControl/>
              <w:suppressLineNumbers w:val="0"/>
              <w:spacing w:before="0" w:beforeAutospacing="0" w:after="0" w:afterAutospacing="0"/>
              <w:ind w:left="0" w:right="0"/>
              <w:jc w:val="center"/>
              <w:rPr>
                <w:rFonts w:hint="eastAsia" w:eastAsiaTheme="minorEastAsia"/>
                <w:b/>
                <w:bCs/>
                <w:color w:val="000000" w:themeColor="text1"/>
                <w:szCs w:val="21"/>
                <w:lang w:eastAsia="zh-CN"/>
                <w14:textFill>
                  <w14:solidFill>
                    <w14:schemeClr w14:val="tx1"/>
                  </w14:solidFill>
                </w14:textFill>
              </w:rPr>
            </w:pPr>
            <w:r>
              <w:rPr>
                <w:rFonts w:hint="eastAsia" w:eastAsiaTheme="minorEastAsia"/>
                <w:b/>
                <w:bCs/>
                <w:color w:val="000000" w:themeColor="text1"/>
                <w:szCs w:val="21"/>
                <w:lang w:eastAsia="zh-CN"/>
                <w14:textFill>
                  <w14:solidFill>
                    <w14:schemeClr w14:val="tx1"/>
                  </w14:solidFill>
                </w14:textFill>
              </w:rPr>
              <w:t>15,430,000.00</w:t>
            </w:r>
          </w:p>
        </w:tc>
        <w:tc>
          <w:tcPr>
            <w:tcW w:w="2205" w:type="dxa"/>
            <w:vAlign w:val="center"/>
          </w:tcPr>
          <w:p w14:paraId="5F45AC33">
            <w:pPr>
              <w:keepNext w:val="0"/>
              <w:keepLines w:val="0"/>
              <w:widowControl/>
              <w:suppressLineNumbers w:val="0"/>
              <w:spacing w:before="0" w:beforeAutospacing="0" w:after="0" w:afterAutospacing="0"/>
              <w:ind w:left="0" w:right="0"/>
              <w:jc w:val="center"/>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eastAsia="宋体" w:cs="宋体"/>
                <w:bCs/>
                <w:color w:val="000000" w:themeColor="text1"/>
                <w:szCs w:val="21"/>
                <w:lang w:eastAsia="zh-CN"/>
                <w14:textFill>
                  <w14:solidFill>
                    <w14:schemeClr w14:val="tx1"/>
                  </w14:solidFill>
                </w14:textFill>
              </w:rPr>
              <w:t>15,430,000.00</w:t>
            </w:r>
          </w:p>
        </w:tc>
        <w:tc>
          <w:tcPr>
            <w:tcW w:w="1224" w:type="dxa"/>
            <w:vAlign w:val="center"/>
          </w:tcPr>
          <w:p w14:paraId="6BF68A27">
            <w:pPr>
              <w:keepNext w:val="0"/>
              <w:keepLines w:val="0"/>
              <w:widowControl/>
              <w:suppressLineNumbers w:val="0"/>
              <w:spacing w:before="0" w:beforeAutospacing="0" w:after="0" w:afterAutospacing="0"/>
              <w:ind w:left="0" w:right="0"/>
              <w:jc w:val="center"/>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eastAsia="宋体" w:cs="宋体"/>
                <w:bCs/>
                <w:color w:val="000000" w:themeColor="text1"/>
                <w:szCs w:val="21"/>
                <w:lang w:eastAsia="zh-CN"/>
                <w14:textFill>
                  <w14:solidFill>
                    <w14:schemeClr w14:val="tx1"/>
                  </w14:solidFill>
                </w14:textFill>
              </w:rPr>
              <w:t>公明派出所食堂、南凤派出所食堂、将石派出所食堂</w:t>
            </w:r>
          </w:p>
        </w:tc>
      </w:tr>
    </w:tbl>
    <w:p w14:paraId="4B642188">
      <w:pPr>
        <w:ind w:firstLine="480" w:firstLineChars="200"/>
        <w:rPr>
          <w:rFonts w:ascii="宋体" w:hAnsi="宋体"/>
          <w:b/>
          <w:color w:val="FF0000"/>
          <w:szCs w:val="21"/>
        </w:rPr>
      </w:pPr>
      <w:r>
        <w:rPr>
          <w:rFonts w:hint="eastAsia" w:ascii="宋体" w:hAnsi="宋体"/>
          <w:b/>
          <w:color w:val="FF0000"/>
          <w:szCs w:val="21"/>
        </w:rPr>
        <w:t>本项目在财政预算金额下设定最高限价，如投标人的投标报价超过最高限价，将按照符合性审查要求作投标无效处理</w:t>
      </w:r>
    </w:p>
    <w:p w14:paraId="5AD9469D">
      <w:pPr>
        <w:pStyle w:val="7"/>
      </w:pPr>
    </w:p>
    <w:p w14:paraId="744C0D9A">
      <w:pPr>
        <w:spacing w:line="360" w:lineRule="auto"/>
        <w:jc w:val="center"/>
        <w:outlineLvl w:val="2"/>
        <w:rPr>
          <w:rFonts w:ascii="宋体" w:hAnsi="宋体" w:eastAsia="宋体" w:cs="宋体"/>
          <w:b/>
          <w:bCs/>
        </w:rPr>
      </w:pPr>
      <w:r>
        <w:rPr>
          <w:rFonts w:hint="eastAsia" w:ascii="宋体" w:hAnsi="宋体" w:eastAsia="宋体" w:cs="宋体"/>
          <w:b/>
          <w:bCs/>
        </w:rPr>
        <w:t>二、</w:t>
      </w:r>
      <w:bookmarkStart w:id="30" w:name="_Hlk72073432"/>
      <w:r>
        <w:rPr>
          <w:rFonts w:hint="eastAsia" w:ascii="宋体" w:hAnsi="宋体" w:eastAsia="宋体" w:cs="宋体"/>
          <w:b/>
          <w:bCs/>
        </w:rPr>
        <w:t>服务需求明细</w:t>
      </w:r>
      <w:bookmarkEnd w:id="30"/>
    </w:p>
    <w:tbl>
      <w:tblPr>
        <w:tblStyle w:val="17"/>
        <w:tblW w:w="8273" w:type="dxa"/>
        <w:jc w:val="center"/>
        <w:tblLayout w:type="fixed"/>
        <w:tblCellMar>
          <w:top w:w="0" w:type="dxa"/>
          <w:left w:w="108" w:type="dxa"/>
          <w:bottom w:w="0" w:type="dxa"/>
          <w:right w:w="108" w:type="dxa"/>
        </w:tblCellMar>
      </w:tblPr>
      <w:tblGrid>
        <w:gridCol w:w="633"/>
        <w:gridCol w:w="3641"/>
        <w:gridCol w:w="797"/>
        <w:gridCol w:w="780"/>
        <w:gridCol w:w="1414"/>
        <w:gridCol w:w="1008"/>
      </w:tblGrid>
      <w:tr w14:paraId="1B83C483">
        <w:trPr>
          <w:trHeight w:val="552" w:hRule="atLeast"/>
          <w:jc w:val="center"/>
        </w:trPr>
        <w:tc>
          <w:tcPr>
            <w:tcW w:w="633" w:type="dxa"/>
            <w:tcBorders>
              <w:top w:val="single" w:color="000000" w:sz="4" w:space="0"/>
              <w:left w:val="single" w:color="000000" w:sz="4" w:space="0"/>
              <w:bottom w:val="single" w:color="000000" w:sz="4" w:space="0"/>
              <w:right w:val="single" w:color="auto" w:sz="4" w:space="0"/>
            </w:tcBorders>
            <w:shd w:val="clear" w:color="auto" w:fill="C6D9F1"/>
            <w:tcMar>
              <w:top w:w="15" w:type="dxa"/>
              <w:left w:w="15" w:type="dxa"/>
              <w:bottom w:w="15" w:type="dxa"/>
              <w:right w:w="15" w:type="dxa"/>
            </w:tcMar>
            <w:vAlign w:val="center"/>
          </w:tcPr>
          <w:p w14:paraId="6400C891">
            <w:pPr>
              <w:keepNext w:val="0"/>
              <w:keepLines w:val="0"/>
              <w:widowControl/>
              <w:suppressLineNumbers w:val="0"/>
              <w:spacing w:before="0" w:beforeAutospacing="0" w:after="0" w:afterAutospacing="0"/>
              <w:ind w:left="0" w:right="0"/>
              <w:jc w:val="center"/>
              <w:rPr>
                <w:rFonts w:hint="default"/>
                <w:b/>
                <w:bCs/>
              </w:rPr>
            </w:pPr>
            <w:r>
              <w:rPr>
                <w:rFonts w:hint="eastAsia" w:ascii="宋体" w:hAnsi="宋体" w:eastAsia="宋体" w:cs="宋体"/>
                <w:b/>
                <w:bCs/>
              </w:rPr>
              <w:t>序号</w:t>
            </w:r>
          </w:p>
        </w:tc>
        <w:tc>
          <w:tcPr>
            <w:tcW w:w="3641" w:type="dxa"/>
            <w:tcBorders>
              <w:top w:val="single" w:color="000000" w:sz="4" w:space="0"/>
              <w:left w:val="single" w:color="auto"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6A14500D">
            <w:pPr>
              <w:keepNext w:val="0"/>
              <w:keepLines w:val="0"/>
              <w:widowControl/>
              <w:suppressLineNumbers w:val="0"/>
              <w:spacing w:before="0" w:beforeAutospacing="0" w:after="0" w:afterAutospacing="0"/>
              <w:ind w:left="0" w:right="0"/>
              <w:jc w:val="center"/>
              <w:rPr>
                <w:rFonts w:hint="default"/>
                <w:b/>
                <w:bCs/>
              </w:rPr>
            </w:pPr>
            <w:r>
              <w:rPr>
                <w:rFonts w:hint="eastAsia" w:ascii="宋体" w:hAnsi="宋体" w:eastAsia="宋体" w:cs="宋体"/>
                <w:b/>
                <w:bCs/>
              </w:rPr>
              <w:t>服务名称（标的名称）</w:t>
            </w:r>
          </w:p>
        </w:tc>
        <w:tc>
          <w:tcPr>
            <w:tcW w:w="797"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63187D0C">
            <w:pPr>
              <w:keepNext w:val="0"/>
              <w:keepLines w:val="0"/>
              <w:widowControl/>
              <w:suppressLineNumbers w:val="0"/>
              <w:spacing w:before="0" w:beforeAutospacing="0" w:after="0" w:afterAutospacing="0"/>
              <w:ind w:left="0" w:right="0"/>
              <w:jc w:val="center"/>
              <w:rPr>
                <w:rFonts w:hint="default"/>
                <w:b/>
                <w:bCs/>
              </w:rPr>
            </w:pPr>
            <w:r>
              <w:rPr>
                <w:rFonts w:hint="eastAsia" w:ascii="宋体" w:hAnsi="宋体" w:eastAsia="宋体" w:cs="宋体"/>
                <w:b/>
                <w:bCs/>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179B68A1">
            <w:pPr>
              <w:keepNext w:val="0"/>
              <w:keepLines w:val="0"/>
              <w:widowControl/>
              <w:suppressLineNumbers w:val="0"/>
              <w:spacing w:before="0" w:beforeAutospacing="0" w:after="0" w:afterAutospacing="0"/>
              <w:ind w:left="0" w:right="0"/>
              <w:jc w:val="center"/>
              <w:rPr>
                <w:rFonts w:hint="default"/>
                <w:b/>
                <w:bCs/>
              </w:rPr>
            </w:pPr>
            <w:r>
              <w:rPr>
                <w:rFonts w:hint="eastAsia" w:ascii="宋体" w:hAnsi="宋体" w:eastAsia="宋体" w:cs="宋体"/>
                <w:b/>
                <w:bCs/>
              </w:rPr>
              <w:t>数量</w:t>
            </w:r>
          </w:p>
        </w:tc>
        <w:tc>
          <w:tcPr>
            <w:tcW w:w="1414"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2F22B36D">
            <w:pPr>
              <w:keepNext w:val="0"/>
              <w:keepLines w:val="0"/>
              <w:widowControl/>
              <w:suppressLineNumbers w:val="0"/>
              <w:spacing w:before="0" w:beforeAutospacing="0" w:after="0" w:afterAutospacing="0"/>
              <w:ind w:left="0" w:right="0"/>
              <w:jc w:val="center"/>
              <w:rPr>
                <w:rFonts w:hint="default"/>
                <w:b/>
                <w:bCs/>
                <w:highlight w:val="green"/>
              </w:rPr>
            </w:pPr>
            <w:r>
              <w:rPr>
                <w:rFonts w:hint="eastAsia" w:ascii="宋体" w:hAnsi="宋体" w:eastAsia="宋体" w:cs="宋体"/>
                <w:b/>
                <w:bCs/>
              </w:rPr>
              <w:t>所属行业</w:t>
            </w:r>
          </w:p>
        </w:tc>
        <w:tc>
          <w:tcPr>
            <w:tcW w:w="1008"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0A9D89C9">
            <w:pPr>
              <w:keepNext w:val="0"/>
              <w:keepLines w:val="0"/>
              <w:widowControl/>
              <w:suppressLineNumbers w:val="0"/>
              <w:spacing w:before="0" w:beforeAutospacing="0" w:after="0" w:afterAutospacing="0"/>
              <w:ind w:left="0" w:right="0"/>
              <w:jc w:val="center"/>
              <w:rPr>
                <w:rFonts w:hint="default"/>
                <w:b/>
                <w:bCs/>
                <w:highlight w:val="green"/>
              </w:rPr>
            </w:pPr>
            <w:r>
              <w:rPr>
                <w:rFonts w:hint="eastAsia" w:ascii="宋体" w:hAnsi="宋体" w:eastAsia="宋体" w:cs="宋体"/>
                <w:b/>
                <w:bCs/>
              </w:rPr>
              <w:t>备注</w:t>
            </w:r>
          </w:p>
        </w:tc>
      </w:tr>
      <w:tr w14:paraId="606C7B2F">
        <w:tblPrEx>
          <w:tblCellMar>
            <w:top w:w="0" w:type="dxa"/>
            <w:left w:w="108" w:type="dxa"/>
            <w:bottom w:w="0" w:type="dxa"/>
            <w:right w:w="108" w:type="dxa"/>
          </w:tblCellMar>
        </w:tblPrEx>
        <w:trPr>
          <w:trHeight w:val="841" w:hRule="atLeast"/>
          <w:jc w:val="center"/>
        </w:trPr>
        <w:tc>
          <w:tcPr>
            <w:tcW w:w="633" w:type="dxa"/>
            <w:tcBorders>
              <w:top w:val="single" w:color="000000" w:sz="4" w:space="0"/>
              <w:left w:val="single" w:color="000000" w:sz="4" w:space="0"/>
              <w:bottom w:val="single" w:color="000000" w:sz="4" w:space="0"/>
              <w:right w:val="single" w:color="auto" w:sz="4" w:space="0"/>
            </w:tcBorders>
            <w:tcMar>
              <w:top w:w="15" w:type="dxa"/>
              <w:left w:w="15" w:type="dxa"/>
              <w:bottom w:w="15" w:type="dxa"/>
              <w:right w:w="15" w:type="dxa"/>
            </w:tcMar>
            <w:vAlign w:val="center"/>
          </w:tcPr>
          <w:p w14:paraId="1F6CB471">
            <w:pPr>
              <w:keepNext w:val="0"/>
              <w:keepLines w:val="0"/>
              <w:widowControl/>
              <w:suppressLineNumbers w:val="0"/>
              <w:spacing w:before="0" w:beforeAutospacing="0" w:after="0" w:afterAutospacing="0"/>
              <w:ind w:left="0" w:right="0"/>
              <w:jc w:val="center"/>
              <w:rPr>
                <w:rFonts w:hint="default"/>
              </w:rPr>
            </w:pPr>
            <w:r>
              <w:rPr>
                <w:rFonts w:hint="eastAsia"/>
              </w:rPr>
              <w:t>1</w:t>
            </w:r>
          </w:p>
        </w:tc>
        <w:tc>
          <w:tcPr>
            <w:tcW w:w="3641" w:type="dxa"/>
            <w:tcBorders>
              <w:top w:val="single" w:color="000000" w:sz="4" w:space="0"/>
              <w:left w:val="single" w:color="auto" w:sz="4" w:space="0"/>
              <w:bottom w:val="single" w:color="000000" w:sz="4" w:space="0"/>
              <w:right w:val="single" w:color="000000" w:sz="4" w:space="0"/>
            </w:tcBorders>
            <w:tcMar>
              <w:top w:w="15" w:type="dxa"/>
              <w:left w:w="15" w:type="dxa"/>
              <w:bottom w:w="15" w:type="dxa"/>
              <w:right w:w="15" w:type="dxa"/>
            </w:tcMar>
            <w:vAlign w:val="center"/>
          </w:tcPr>
          <w:p w14:paraId="4DDCDAB7">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b/>
                <w:bCs/>
                <w:highlight w:val="green"/>
                <w:lang w:eastAsia="zh-CN"/>
              </w:rPr>
            </w:pPr>
            <w:r>
              <w:rPr>
                <w:rFonts w:hint="eastAsia" w:asciiTheme="minorEastAsia" w:hAnsiTheme="minorEastAsia" w:eastAsiaTheme="minorEastAsia"/>
                <w:b/>
                <w:bCs/>
                <w:highlight w:val="none"/>
                <w:lang w:eastAsia="zh-CN"/>
              </w:rPr>
              <w:t>深圳公安局光明分局下属单位食堂食材配送服务项目</w:t>
            </w:r>
          </w:p>
        </w:tc>
        <w:tc>
          <w:tcPr>
            <w:tcW w:w="7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0E95089">
            <w:pPr>
              <w:keepNext w:val="0"/>
              <w:keepLines w:val="0"/>
              <w:widowControl/>
              <w:suppressLineNumbers w:val="0"/>
              <w:spacing w:before="0" w:beforeAutospacing="0" w:after="0" w:afterAutospacing="0"/>
              <w:ind w:left="0" w:right="0"/>
              <w:jc w:val="center"/>
              <w:rPr>
                <w:rFonts w:hint="default"/>
                <w:bCs/>
              </w:rPr>
            </w:pPr>
            <w:r>
              <w:rPr>
                <w:rFonts w:hint="eastAsia" w:ascii="宋体" w:hAnsi="宋体" w:eastAsia="宋体" w:cs="宋体"/>
                <w:bCs/>
              </w:rPr>
              <w:t>项</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2BE4D7">
            <w:pPr>
              <w:keepNext w:val="0"/>
              <w:keepLines w:val="0"/>
              <w:widowControl/>
              <w:suppressLineNumbers w:val="0"/>
              <w:spacing w:before="0" w:beforeAutospacing="0" w:after="0" w:afterAutospacing="0"/>
              <w:ind w:left="0" w:right="0"/>
              <w:jc w:val="center"/>
              <w:rPr>
                <w:rFonts w:hint="default"/>
                <w:bCs/>
              </w:rPr>
            </w:pPr>
            <w:r>
              <w:rPr>
                <w:rFonts w:hint="default"/>
                <w:bCs/>
              </w:rPr>
              <w:t>1</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6679701">
            <w:pPr>
              <w:keepNext w:val="0"/>
              <w:keepLines w:val="0"/>
              <w:widowControl/>
              <w:suppressLineNumbers w:val="0"/>
              <w:spacing w:before="0" w:beforeAutospacing="0" w:after="0" w:afterAutospacing="0"/>
              <w:ind w:left="0" w:right="0"/>
              <w:jc w:val="center"/>
              <w:rPr>
                <w:rFonts w:hint="eastAsia" w:ascii="宋体" w:hAnsi="宋体" w:eastAsia="宋体" w:cs="宋体"/>
                <w:bCs/>
                <w:lang w:val="en-US" w:eastAsia="zh-CN"/>
              </w:rPr>
            </w:pPr>
            <w:r>
              <w:rPr>
                <w:rFonts w:hint="eastAsia" w:ascii="宋体" w:hAnsi="宋体" w:eastAsia="宋体" w:cs="宋体"/>
                <w:bCs/>
                <w:lang w:val="en-US" w:eastAsia="zh-CN"/>
              </w:rPr>
              <w:t>批发业</w:t>
            </w:r>
          </w:p>
        </w:tc>
        <w:tc>
          <w:tcPr>
            <w:tcW w:w="100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120110E">
            <w:pPr>
              <w:keepNext w:val="0"/>
              <w:keepLines w:val="0"/>
              <w:widowControl/>
              <w:suppressLineNumbers w:val="0"/>
              <w:spacing w:before="0" w:beforeAutospacing="0" w:after="0" w:afterAutospacing="0"/>
              <w:ind w:left="0" w:right="0"/>
              <w:jc w:val="center"/>
              <w:rPr>
                <w:rFonts w:hint="default"/>
                <w:bCs/>
                <w:highlight w:val="green"/>
              </w:rPr>
            </w:pPr>
          </w:p>
        </w:tc>
      </w:tr>
      <w:bookmarkEnd w:id="29"/>
    </w:tbl>
    <w:p w14:paraId="46FD05D0">
      <w:pPr>
        <w:rPr>
          <w:b/>
          <w:sz w:val="28"/>
        </w:rPr>
      </w:pPr>
      <w:r>
        <w:rPr>
          <w:b/>
          <w:sz w:val="28"/>
        </w:rPr>
        <w:t>项目</w:t>
      </w:r>
      <w:r>
        <w:rPr>
          <w:rFonts w:hint="eastAsia"/>
          <w:b/>
          <w:sz w:val="28"/>
        </w:rPr>
        <w:t>概况：</w:t>
      </w:r>
    </w:p>
    <w:p w14:paraId="36B645C8">
      <w:pPr>
        <w:ind w:left="0" w:leftChars="0" w:firstLine="480" w:firstLineChars="200"/>
        <w:rPr>
          <w:rFonts w:hint="eastAsia" w:ascii="宋体" w:hAnsi="宋体" w:eastAsia="宋体" w:cs="宋体"/>
          <w:color w:val="FF0000"/>
          <w:sz w:val="24"/>
          <w:szCs w:val="21"/>
          <w:lang w:val="en-US" w:eastAsia="zh-CN"/>
        </w:rPr>
      </w:pPr>
      <w:bookmarkStart w:id="31" w:name="_Toc320311558"/>
      <w:bookmarkEnd w:id="31"/>
      <w:bookmarkStart w:id="32" w:name="_Toc11426271"/>
      <w:r>
        <w:rPr>
          <w:rFonts w:hint="eastAsia" w:ascii="宋体" w:hAnsi="宋体" w:eastAsia="宋体" w:cs="宋体"/>
          <w:color w:val="FF0000"/>
          <w:sz w:val="24"/>
          <w:szCs w:val="21"/>
          <w:lang w:val="en-US" w:eastAsia="zh-CN"/>
        </w:rPr>
        <w:t>为从源头上保障食堂原材料的卫生安全，降低采购成本，杜绝食堂管理漏洞，现招标具有相关资质和能力的供应商进行食堂原材料配送服务。</w:t>
      </w:r>
    </w:p>
    <w:p w14:paraId="369744C3">
      <w:pPr>
        <w:ind w:left="547" w:leftChars="228" w:firstLine="420" w:firstLineChars="200"/>
        <w:rPr>
          <w:rFonts w:cs="仿宋" w:asciiTheme="minorEastAsia" w:hAnsiTheme="minorEastAsia"/>
          <w:sz w:val="21"/>
          <w:szCs w:val="21"/>
        </w:rPr>
      </w:pPr>
    </w:p>
    <w:p w14:paraId="272D5C9F">
      <w:pPr>
        <w:spacing w:line="360" w:lineRule="auto"/>
        <w:jc w:val="center"/>
        <w:outlineLvl w:val="2"/>
        <w:rPr>
          <w:rFonts w:ascii="宋体" w:hAnsi="宋体" w:eastAsia="宋体" w:cs="宋体"/>
          <w:b/>
          <w:bCs/>
        </w:rPr>
      </w:pPr>
      <w:r>
        <w:rPr>
          <w:rFonts w:hint="eastAsia" w:ascii="宋体" w:hAnsi="宋体" w:eastAsia="宋体" w:cs="宋体"/>
          <w:b/>
          <w:bCs/>
        </w:rPr>
        <w:t>三</w:t>
      </w:r>
      <w:r>
        <w:rPr>
          <w:rFonts w:ascii="宋体" w:hAnsi="宋体" w:eastAsia="宋体" w:cs="宋体"/>
          <w:b/>
          <w:bCs/>
        </w:rPr>
        <w:t>、</w:t>
      </w:r>
      <w:r>
        <w:rPr>
          <w:rFonts w:hint="eastAsia" w:ascii="宋体" w:hAnsi="宋体" w:eastAsia="宋体" w:cs="宋体"/>
          <w:b/>
          <w:bCs/>
        </w:rPr>
        <w:t>实质性条款</w:t>
      </w:r>
    </w:p>
    <w:tbl>
      <w:tblPr>
        <w:tblStyle w:val="17"/>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14:paraId="5AFD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15473F3F">
            <w:pPr>
              <w:keepNext w:val="0"/>
              <w:keepLines w:val="0"/>
              <w:widowControl/>
              <w:suppressLineNumbers w:val="0"/>
              <w:adjustRightInd w:val="0"/>
              <w:snapToGrid w:val="0"/>
              <w:spacing w:before="0" w:beforeAutospacing="0" w:after="0" w:afterAutospacing="0" w:line="360" w:lineRule="auto"/>
              <w:ind w:left="0" w:right="0"/>
              <w:jc w:val="center"/>
              <w:rPr>
                <w:rFonts w:hint="default" w:asciiTheme="minorEastAsia" w:hAnsiTheme="minorEastAsia"/>
                <w:sz w:val="21"/>
                <w:szCs w:val="21"/>
              </w:rPr>
            </w:pPr>
            <w:r>
              <w:rPr>
                <w:rFonts w:hint="eastAsia" w:asciiTheme="minorEastAsia" w:hAnsiTheme="minorEastAsia"/>
                <w:sz w:val="21"/>
                <w:szCs w:val="21"/>
              </w:rPr>
              <w:t>序号</w:t>
            </w:r>
          </w:p>
        </w:tc>
        <w:tc>
          <w:tcPr>
            <w:tcW w:w="7483" w:type="dxa"/>
          </w:tcPr>
          <w:p w14:paraId="7FC42456">
            <w:pPr>
              <w:keepNext w:val="0"/>
              <w:keepLines w:val="0"/>
              <w:widowControl/>
              <w:suppressLineNumbers w:val="0"/>
              <w:adjustRightInd w:val="0"/>
              <w:snapToGrid w:val="0"/>
              <w:spacing w:before="0" w:beforeAutospacing="0" w:after="0" w:afterAutospacing="0" w:line="360" w:lineRule="auto"/>
              <w:ind w:left="0" w:right="0"/>
              <w:jc w:val="center"/>
              <w:rPr>
                <w:rFonts w:hint="default" w:asciiTheme="minorEastAsia" w:hAnsiTheme="minorEastAsia"/>
                <w:sz w:val="21"/>
                <w:szCs w:val="21"/>
              </w:rPr>
            </w:pPr>
            <w:r>
              <w:rPr>
                <w:rFonts w:hint="eastAsia" w:asciiTheme="minorEastAsia" w:hAnsiTheme="minorEastAsia"/>
                <w:sz w:val="21"/>
                <w:szCs w:val="21"/>
              </w:rPr>
              <w:t>实质性条款具体内容</w:t>
            </w:r>
          </w:p>
        </w:tc>
      </w:tr>
      <w:tr w14:paraId="4249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49581DB1">
            <w:pPr>
              <w:keepNext w:val="0"/>
              <w:keepLines w:val="0"/>
              <w:widowControl/>
              <w:suppressLineNumbers w:val="0"/>
              <w:adjustRightInd w:val="0"/>
              <w:snapToGrid w:val="0"/>
              <w:spacing w:before="0" w:beforeAutospacing="0" w:after="0" w:afterAutospacing="0" w:line="360" w:lineRule="auto"/>
              <w:ind w:left="0" w:right="0"/>
              <w:jc w:val="center"/>
              <w:rPr>
                <w:rFonts w:hint="eastAsia" w:cs="Times New Roman" w:asciiTheme="minorEastAsia" w:hAnsiTheme="minorEastAsia"/>
                <w:sz w:val="21"/>
                <w:szCs w:val="21"/>
              </w:rPr>
            </w:pPr>
            <w:r>
              <w:rPr>
                <w:rFonts w:hint="eastAsia" w:ascii="宋体" w:hAnsi="宋体" w:eastAsia="宋体"/>
                <w:szCs w:val="21"/>
              </w:rPr>
              <w:t>1</w:t>
            </w:r>
          </w:p>
        </w:tc>
        <w:tc>
          <w:tcPr>
            <w:tcW w:w="7483" w:type="dxa"/>
            <w:vAlign w:val="top"/>
          </w:tcPr>
          <w:p w14:paraId="0A885AEF">
            <w:pPr>
              <w:keepNext w:val="0"/>
              <w:keepLines w:val="0"/>
              <w:pageBreakBefore w:val="0"/>
              <w:widowControl/>
              <w:suppressLineNumbers w:val="0"/>
              <w:tabs>
                <w:tab w:val="left" w:pos="7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cs="Times New Roman" w:asciiTheme="minorEastAsia" w:hAnsiTheme="minorEastAsia"/>
                <w:sz w:val="21"/>
                <w:szCs w:val="21"/>
              </w:rPr>
            </w:pPr>
            <w:r>
              <w:rPr>
                <w:rFonts w:hint="eastAsia" w:cs="Times New Roman" w:asciiTheme="minorEastAsia" w:hAnsiTheme="minorEastAsia"/>
                <w:sz w:val="21"/>
                <w:szCs w:val="21"/>
              </w:rPr>
              <w:t>(1)★配送食品全部经过国家规定的职能部门检验并有检测报告，确保安全可靠。中标人在全国范围内从未出现或舆论关注的配送食品安全事故，一经查实或合同签订期间出现上述情况，采购人将立即解除合同，中标人应赔偿相关损失。</w:t>
            </w:r>
          </w:p>
        </w:tc>
      </w:tr>
      <w:tr w14:paraId="66AA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05F9AB7D">
            <w:pPr>
              <w:keepNext w:val="0"/>
              <w:keepLines w:val="0"/>
              <w:widowControl/>
              <w:suppressLineNumbers w:val="0"/>
              <w:adjustRightInd w:val="0"/>
              <w:snapToGrid w:val="0"/>
              <w:spacing w:before="0" w:beforeAutospacing="0" w:after="0" w:afterAutospacing="0" w:line="360" w:lineRule="auto"/>
              <w:ind w:left="0" w:right="0"/>
              <w:jc w:val="center"/>
              <w:rPr>
                <w:rFonts w:hint="eastAsia" w:cs="Times New Roman" w:asciiTheme="minorEastAsia" w:hAnsiTheme="minorEastAsia"/>
                <w:sz w:val="21"/>
                <w:szCs w:val="21"/>
              </w:rPr>
            </w:pPr>
            <w:r>
              <w:rPr>
                <w:rFonts w:hint="eastAsia" w:ascii="宋体" w:hAnsi="宋体" w:eastAsia="宋体"/>
                <w:szCs w:val="21"/>
                <w:lang w:val="en-US" w:eastAsia="zh-CN"/>
              </w:rPr>
              <w:t>2</w:t>
            </w:r>
          </w:p>
        </w:tc>
        <w:tc>
          <w:tcPr>
            <w:tcW w:w="7483" w:type="dxa"/>
            <w:vAlign w:val="top"/>
          </w:tcPr>
          <w:p w14:paraId="2B331408">
            <w:pPr>
              <w:keepNext w:val="0"/>
              <w:keepLines w:val="0"/>
              <w:pageBreakBefore w:val="0"/>
              <w:widowControl/>
              <w:suppressLineNumbers w:val="0"/>
              <w:tabs>
                <w:tab w:val="left" w:pos="7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cs="Times New Roman" w:asciiTheme="minorEastAsia" w:hAnsiTheme="minorEastAsia"/>
                <w:sz w:val="21"/>
                <w:szCs w:val="21"/>
              </w:rPr>
            </w:pPr>
            <w:r>
              <w:rPr>
                <w:rFonts w:hint="eastAsia" w:cs="Times New Roman" w:asciiTheme="minorEastAsia" w:hAnsiTheme="minorEastAsia"/>
                <w:sz w:val="21"/>
                <w:szCs w:val="21"/>
              </w:rPr>
              <w:t>（一）★服务期限</w:t>
            </w:r>
          </w:p>
          <w:p w14:paraId="4ACB9C2B">
            <w:pPr>
              <w:keepNext w:val="0"/>
              <w:keepLines w:val="0"/>
              <w:pageBreakBefore w:val="0"/>
              <w:widowControl/>
              <w:suppressLineNumbers w:val="0"/>
              <w:tabs>
                <w:tab w:val="left" w:pos="72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cs="Times New Roman" w:asciiTheme="minorEastAsia" w:hAnsiTheme="minorEastAsia"/>
                <w:sz w:val="21"/>
                <w:szCs w:val="21"/>
              </w:rPr>
            </w:pPr>
            <w:r>
              <w:rPr>
                <w:rFonts w:hint="eastAsia" w:cs="Times New Roman" w:asciiTheme="minorEastAsia" w:hAnsiTheme="minorEastAsia"/>
                <w:sz w:val="21"/>
                <w:szCs w:val="21"/>
              </w:rPr>
              <w:t>本项目服务期限为自合同签订之日起一年。本项目为长期服务类项目，第一年为本次招标的中标服务期限，采购单位可根据项目需要和中标人的履约情况确定合同期限是否延长，但最长不超过三十六个月。若政府采购主管部门发现项目有异常情况，以主管部门意见为准。</w:t>
            </w:r>
          </w:p>
        </w:tc>
      </w:tr>
      <w:tr w14:paraId="7CBF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4BAF15EA">
            <w:pPr>
              <w:keepNext w:val="0"/>
              <w:keepLines w:val="0"/>
              <w:widowControl/>
              <w:suppressLineNumbers w:val="0"/>
              <w:adjustRightInd w:val="0"/>
              <w:snapToGrid w:val="0"/>
              <w:spacing w:before="0" w:beforeAutospacing="0" w:after="0" w:afterAutospacing="0" w:line="360" w:lineRule="auto"/>
              <w:ind w:left="0" w:right="0"/>
              <w:jc w:val="center"/>
              <w:rPr>
                <w:rFonts w:hint="eastAsia" w:cs="Times New Roman" w:asciiTheme="minorEastAsia" w:hAnsiTheme="minorEastAsia"/>
                <w:sz w:val="21"/>
                <w:szCs w:val="21"/>
              </w:rPr>
            </w:pPr>
            <w:r>
              <w:rPr>
                <w:rFonts w:hint="eastAsia" w:ascii="宋体" w:hAnsi="宋体" w:eastAsia="宋体"/>
                <w:szCs w:val="21"/>
                <w:lang w:val="en-US" w:eastAsia="zh-CN"/>
              </w:rPr>
              <w:t>3</w:t>
            </w:r>
          </w:p>
        </w:tc>
        <w:tc>
          <w:tcPr>
            <w:tcW w:w="7483" w:type="dxa"/>
            <w:vAlign w:val="center"/>
          </w:tcPr>
          <w:p w14:paraId="01A2C87A">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（三）★报价要求及结算方式</w:t>
            </w:r>
          </w:p>
          <w:p w14:paraId="75464EF6">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1.深圳市中农数据有限公司（天天采配服务平台）中有价格的产品，以深圳市中农数据有限公司（天天采配服务平台）（网址：www.chinaap.com）上个月整月公布的价格（非含费价）取平均值作为该项物资的基准价，投标人结合企业自己的实力报出折扣率。结算时价格=折扣率*基准价。</w:t>
            </w:r>
          </w:p>
          <w:p w14:paraId="6EE91E04">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2.深圳市中农数据有限公司（天天采购平台）中无价格的产品，则结算时价格=折扣率*市场价（市场价由采购人组织调查小组到大型超市或农贸市场进行考察后确定合理的市场价）。</w:t>
            </w:r>
          </w:p>
          <w:p w14:paraId="417714A4">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3.报价包括供应货物和货物运输到采购单位的服务费、运费、装卸费、检测费、人工费、管理费、保险、税金等一切将可能发生的费用。以人民币为报价和结算单位，并开具国家正规发票。</w:t>
            </w:r>
          </w:p>
          <w:p w14:paraId="027B652B">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备注：</w:t>
            </w:r>
          </w:p>
          <w:p w14:paraId="539A9C8E">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1）本次招标不涉及具体投标金额（无须投标人在投标文件中填报具体投标金额），投标人只需在投标文件中就《开标一览表》和《项目详细报价》填报唯一的“折扣率”作为投标报价，折扣率等于结算价占基准价的比例，即折扣率=结算价/基准价。投标人应根据自身成本自行填报“折扣率”，但不得以低于其成本的报价竞标。</w:t>
            </w:r>
          </w:p>
          <w:p w14:paraId="064B08B6">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2）报价要求：0＜折扣率≤1，并且是固定唯一值，填写的折扣率应为小数，且只填报到小数点后两位（如折扣率为九折填写0.90，八八折填写0.88）。投标折扣率不满足招标文件报价要求的，将作投标无效处理。折扣率在服务期限内保持不变。请投标人在开标一览表中填写投标折扣率的值。（如：折扣率为0.95，则投标人在填报开标一览表时，投标报价须填报：0.95）</w:t>
            </w:r>
          </w:p>
        </w:tc>
      </w:tr>
      <w:tr w14:paraId="7E2A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0F23F557">
            <w:pPr>
              <w:keepNext w:val="0"/>
              <w:keepLines w:val="0"/>
              <w:widowControl/>
              <w:suppressLineNumbers w:val="0"/>
              <w:adjustRightInd w:val="0"/>
              <w:snapToGrid w:val="0"/>
              <w:spacing w:before="0" w:beforeAutospacing="0" w:after="0" w:afterAutospacing="0" w:line="360" w:lineRule="auto"/>
              <w:ind w:left="0" w:right="0"/>
              <w:jc w:val="center"/>
              <w:rPr>
                <w:rFonts w:hint="default" w:ascii="宋体" w:hAnsi="宋体" w:eastAsia="宋体"/>
                <w:szCs w:val="21"/>
                <w:lang w:val="en-US" w:eastAsia="zh-CN"/>
              </w:rPr>
            </w:pPr>
            <w:r>
              <w:rPr>
                <w:rFonts w:hint="eastAsia" w:ascii="宋体" w:hAnsi="宋体" w:eastAsia="宋体"/>
                <w:szCs w:val="21"/>
                <w:lang w:val="en-US" w:eastAsia="zh-CN"/>
              </w:rPr>
              <w:t>4</w:t>
            </w:r>
          </w:p>
        </w:tc>
        <w:tc>
          <w:tcPr>
            <w:tcW w:w="7483" w:type="dxa"/>
            <w:vAlign w:val="center"/>
          </w:tcPr>
          <w:p w14:paraId="56BD1AE9">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（四）★付款方式</w:t>
            </w:r>
          </w:p>
          <w:p w14:paraId="29D5946B">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1.结算货款时，应由采购人财务人员严格审核送货清单，按双方事先确定的结算折扣率每月予以结算。采购人凭采购合同、发票按需结算款项。</w:t>
            </w:r>
          </w:p>
          <w:p w14:paraId="711FB4FF">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2.中标人若配送本项目服务内容规定范围之外的产品或服务（与食材配送无关的产品或服务）的，采购人将不予支付相关货款。</w:t>
            </w:r>
          </w:p>
          <w:p w14:paraId="3B8F2B9E">
            <w:pPr>
              <w:pStyle w:val="8"/>
              <w:keepNext w:val="0"/>
              <w:keepLines w:val="0"/>
              <w:widowControl/>
              <w:suppressLineNumbers w:val="0"/>
              <w:spacing w:before="0" w:beforeAutospacing="0" w:after="0" w:afterAutospacing="0"/>
              <w:ind w:left="0" w:right="0"/>
              <w:jc w:val="both"/>
              <w:rPr>
                <w:rFonts w:hint="eastAsia" w:cs="Times New Roman" w:asciiTheme="minorEastAsia" w:hAnsiTheme="minorEastAsia"/>
                <w:sz w:val="21"/>
                <w:szCs w:val="21"/>
              </w:rPr>
            </w:pPr>
            <w:r>
              <w:rPr>
                <w:rFonts w:hint="eastAsia" w:cs="Times New Roman" w:asciiTheme="minorEastAsia" w:hAnsiTheme="minorEastAsia"/>
                <w:sz w:val="21"/>
                <w:szCs w:val="21"/>
              </w:rPr>
              <w:t>3.中标人无正当理由在接到中标人开票通知之日起单次累计超过30日未提供付款资料的，采购人将不予支付剩余对应费用并上报主管部门。</w:t>
            </w:r>
          </w:p>
        </w:tc>
      </w:tr>
    </w:tbl>
    <w:p w14:paraId="1503B9FF">
      <w:pPr>
        <w:rPr>
          <w:sz w:val="21"/>
        </w:rPr>
      </w:pPr>
      <w:r>
        <w:rPr>
          <w:rFonts w:hint="eastAsia"/>
          <w:sz w:val="21"/>
        </w:rPr>
        <w:t>注：上表所列内容为不可负偏离条款，负偏离将视为未实质性满足招标文件要求作投标无效处理。</w:t>
      </w:r>
    </w:p>
    <w:p w14:paraId="70DFDEF3">
      <w:pPr>
        <w:pStyle w:val="4"/>
        <w:jc w:val="center"/>
        <w:rPr>
          <w:rFonts w:asciiTheme="minorEastAsia" w:hAnsiTheme="minorEastAsia" w:eastAsiaTheme="minorEastAsia"/>
          <w:szCs w:val="21"/>
        </w:rPr>
      </w:pPr>
      <w:r>
        <w:rPr>
          <w:rFonts w:hint="eastAsia" w:asciiTheme="minorEastAsia" w:hAnsiTheme="minorEastAsia" w:eastAsiaTheme="minorEastAsia"/>
          <w:szCs w:val="21"/>
        </w:rPr>
        <w:t>四、项目服务要求</w:t>
      </w:r>
    </w:p>
    <w:p w14:paraId="3ECB7A4E">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（一）服务范围</w:t>
      </w:r>
    </w:p>
    <w:p w14:paraId="4FD2D1E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为提升分局食堂管理正规化水平，完善食材配送环节内控管理，建立竞争机制降低采购成本，深圳市公安局光明分局拟通过公开招标方式采购分局及下属各单位食堂的食材配送服务，负责配送公明派出所食堂、南凤派出所食堂、将石派出所食堂。</w:t>
      </w:r>
    </w:p>
    <w:p w14:paraId="00428213">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（二）服务内容</w:t>
      </w:r>
    </w:p>
    <w:p w14:paraId="1B0E812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食堂每日供餐所需的蔬菜类、粮油类、冻品类、饮料类、水产类、鲜肉类、禽类、腌制品类、调味品类、蛋品类、水果类、干货类、豆制品类、乳制品类、辅料、佐料、副食等食堂食材配送服务。</w:t>
      </w:r>
    </w:p>
    <w:p w14:paraId="12274018">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（三）其他要求</w:t>
      </w:r>
    </w:p>
    <w:p w14:paraId="5CC9647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3.1本项目采取公开招标方式确定中标人，按照年度支付上限提供配送服务。</w:t>
      </w:r>
    </w:p>
    <w:p w14:paraId="0C213CE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3.2具体详细的考核制度和方式等按服务合同约定执行。</w:t>
      </w:r>
    </w:p>
    <w:p w14:paraId="3212F54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3.3应急条款：如服务过程中出现配送供应商出现严重违反采购要求或不符合考核要求，需解除合同的，经主管部门同意后，重新招标。</w:t>
      </w:r>
    </w:p>
    <w:p w14:paraId="0C51B8E9">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（四）服务要求</w:t>
      </w:r>
    </w:p>
    <w:p w14:paraId="434AC583">
      <w:pPr>
        <w:adjustRightInd w:val="0"/>
        <w:spacing w:line="360" w:lineRule="auto"/>
        <w:ind w:firstLine="422" w:firstLineChars="200"/>
        <w:jc w:val="both"/>
        <w:textAlignment w:val="baseline"/>
        <w:rPr>
          <w:rFonts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1、依据及标准</w:t>
      </w:r>
    </w:p>
    <w:p w14:paraId="12D9F84F">
      <w:pPr>
        <w:numPr>
          <w:ilvl w:val="0"/>
          <w:numId w:val="1"/>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依据《中华人民共和国食品安全法》、《中华人民共和国农产品质量安全法》及其国家标准，参考《餐饮业和集体用餐配送单位卫生规范》等行业规范执行。</w:t>
      </w:r>
    </w:p>
    <w:p w14:paraId="0DA99D9B">
      <w:pPr>
        <w:adjustRightInd w:val="0"/>
        <w:spacing w:line="360" w:lineRule="auto"/>
        <w:ind w:firstLine="422" w:firstLineChars="200"/>
        <w:jc w:val="both"/>
        <w:textAlignment w:val="baseline"/>
        <w:rPr>
          <w:rFonts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2、服务要求</w:t>
      </w:r>
    </w:p>
    <w:p w14:paraId="2F3C1065">
      <w:pPr>
        <w:numPr>
          <w:ilvl w:val="0"/>
          <w:numId w:val="2"/>
        </w:numPr>
        <w:adjustRightInd w:val="0"/>
        <w:spacing w:line="360" w:lineRule="auto"/>
        <w:ind w:left="0" w:firstLine="422" w:firstLineChars="200"/>
        <w:jc w:val="both"/>
        <w:textAlignment w:val="baseline"/>
        <w:rPr>
          <w:rFonts w:ascii="宋体" w:hAnsi="宋体" w:eastAsia="宋体" w:cs="宋体"/>
          <w:b/>
          <w:bCs/>
          <w:color w:val="FF0000"/>
          <w:sz w:val="21"/>
          <w:szCs w:val="21"/>
          <w:highlight w:val="none"/>
          <w:lang w:val="en-US" w:eastAsia="zh-CN" w:bidi="ar-SA"/>
        </w:rPr>
      </w:pPr>
      <w:r>
        <w:rPr>
          <w:rFonts w:hint="eastAsia" w:ascii="宋体" w:hAnsi="宋体" w:eastAsia="宋体" w:cs="宋体"/>
          <w:b/>
          <w:bCs/>
          <w:color w:val="FF0000"/>
          <w:sz w:val="21"/>
          <w:szCs w:val="21"/>
          <w:highlight w:val="none"/>
          <w:lang w:val="en-US" w:eastAsia="zh-CN" w:bidi="ar-SA"/>
        </w:rPr>
        <w:t>★配送食品全部经过国家规定的职能部门检验并有检测报告，确保安全可靠。中标人在全国范围内从未出现或舆论关注的配送食品安全事故，一经查实或合同签订期间出现上述情况，采购人将立即解除合同，中标人应赔偿相关损失。</w:t>
      </w:r>
    </w:p>
    <w:p w14:paraId="0DA4F686">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数量及验收要求：中标人应保证所供货物品种和数量、重量的准确性，采购人和中标人应分别建立采购和供应台账，确定专人（不少于两人）负责验收和送货，以采购人的验货数量为准，中标人每次随货送上一式两份的送货清单，供采购人验货后签字确认，双方各持一份，作为送、收货的凭证。对于出现质量、数量不符合要求等现象，采购人有权要求中标人及时退换，并按合同约定作出相应罚款处罚，中标人必须无条件退换，并保证员工正常就餐。</w:t>
      </w:r>
    </w:p>
    <w:p w14:paraId="2B0B8F19">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送货时间要求：中标人必须保证全年365天均能送货，根据采购人实际需要协商确定具体的送货时间，以合同签订为准。采购人应提前（在具体合同中约定）向中标人以传真或电子文件等方式提交购货计划，并说明购货品种、数量及其他需要说明的事项。中标人在接到购货订单通知后，应按采购人订购单的要求送货。极个别产品因质量太差或没有货源时应及时反馈到采购人并协商调整，保证所需货物准时到达。如若迟到，须承担相关违约责任，由双方签订具体送货合同时约定处罚条款建立完整的各类物品追踪溯源体系并提供相关证明材料。</w:t>
      </w:r>
    </w:p>
    <w:p w14:paraId="5430854F">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采购方有权对供货方配送的各类物品自行或者委托第三方检测机构进行检测，若检测不合格，或配送的货物达不到承诺书要求，第一次提出口头警告，要求供应商做出书面保证承诺并于2小时内补充配送符合要求的货物；第二次扣当天货款10%；不符合要求达到三次的，依法解除合同。</w:t>
      </w:r>
    </w:p>
    <w:p w14:paraId="006149BB">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临时加货处理：对于采购人临时有客餐任务或临时增加员工用餐时，中标人需在接到采购人口头或书面通知2小时内将货物送到采购人的指定地点，派专人负责跟踪服务，保证用餐正常。如延误送达或因各种理由拒绝临时送货的，发生一次扣除当月货款的1%。</w:t>
      </w:r>
    </w:p>
    <w:p w14:paraId="4BF464C5">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在供货过程中，采购人对所供货物有任何意见，可随时向中标人反映，中标人应及时改进，否则采购人有权依法解除合同。</w:t>
      </w:r>
    </w:p>
    <w:p w14:paraId="555FE629">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配送车辆要求：中标人需保证提供足够数量的冷藏特种车辆，满足采购人订货和补货的配送要求。</w:t>
      </w:r>
    </w:p>
    <w:p w14:paraId="4422C7F6">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因配送运输中出现人身安全事故，中标人独立承担一切刑事、民事责任，与采购人无关。</w:t>
      </w:r>
    </w:p>
    <w:p w14:paraId="0C4F9C90">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中标人应至少每月向采购人提供一次各类货物清晰准确的原产地以及检测报告，包括但不局限于肉类检验检疫、三鸟检验检疫、水产品、粮油类、蔬菜农残检验等检测报告；采购人如发现中标人配送的货物可能存在食品安全问题的，有权追求其法律责任。</w:t>
      </w:r>
    </w:p>
    <w:p w14:paraId="28FA3413">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中标人应该按照采购人的要求，需建立专门台账，按深圳市食品进货索证和台账登记要求，按格式如实记录配送给采购人的各类物品，留存相关检验合格证明、资质证明、营业执照等有效资料，并可追踪溯源，采购人有权定期检查。</w:t>
      </w:r>
    </w:p>
    <w:p w14:paraId="5637EA23">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合同服务期限内，中标人应安排指定数量的专职配送员驻点采购人食堂，按照目前各食堂的用餐人数和每日订菜数量预估，各点需安排的专职配送员数量不少于2名。专职配送员应于每日食材送达后，完成当日配送食材的清洗、加工、切配等工作（或由中标人另行安排人员，确保完成每日配送食材的清洗、加工、切配等工作），完成当日工作任务后方可离岗。</w:t>
      </w:r>
    </w:p>
    <w:p w14:paraId="7BCA1C47">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配送员应为中标人的正式在职员工，持有健康证，服从采购人的食堂管理和工作调配。如食堂用餐人数和每日订菜数量发生变化，采购人有权对配送员人数提出增减需求，中标人应对专职配送员安排人数进行增减调配，确保完成每日食材洗切配工作。采购人可提供初加工操作场地，但中标人应服从采购人的管理，严格遵守国家的有关法律法规。</w:t>
      </w:r>
    </w:p>
    <w:p w14:paraId="7B2610F1">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中标人所有员工凭健康证上岗，同时应成立食堂配送项目专项服务小组，负责相关工作及提供各种服务，中标人项目负责人需要具备生产安全资格且有超过五年配送服务经验。</w:t>
      </w:r>
    </w:p>
    <w:p w14:paraId="7F2F4B5A">
      <w:pPr>
        <w:numPr>
          <w:ilvl w:val="0"/>
          <w:numId w:val="2"/>
        </w:numPr>
        <w:adjustRightInd w:val="0"/>
        <w:spacing w:line="360" w:lineRule="auto"/>
        <w:ind w:left="0"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中标单位配合评估配送单位的营养需求，配合做好营养咨询服务，协助制定相对应的饮食计划。</w:t>
      </w:r>
    </w:p>
    <w:p w14:paraId="016D2B2C">
      <w:pPr>
        <w:numPr>
          <w:ilvl w:val="0"/>
          <w:numId w:val="2"/>
        </w:numPr>
        <w:adjustRightInd w:val="0"/>
        <w:spacing w:line="360" w:lineRule="auto"/>
        <w:ind w:left="0" w:firstLine="420" w:firstLineChars="200"/>
        <w:jc w:val="both"/>
        <w:textAlignment w:val="baseline"/>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投标人使用的标准必须是国际公认或国家、或地方政府颁布的同等或更高的标准。</w:t>
      </w:r>
    </w:p>
    <w:p w14:paraId="2AC22E09">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（五）质量管理要求</w:t>
      </w:r>
    </w:p>
    <w:p w14:paraId="70CE3649">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1.肉类要求（含生鲜、冻品、鱼类、熟食等）</w:t>
      </w:r>
    </w:p>
    <w:p w14:paraId="4C5CB1C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1.1供应产品质量要求:</w:t>
      </w:r>
    </w:p>
    <w:p w14:paraId="1582C2A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所供货物应保持较好的外观和质量等级，符合国家食品部门的有关标准，保证无异味、无霉烂变质，肉类保证来源于深圳市正规肉屠宰场，供货时须提交屠宰场的验收单及当批次有效的动物检疫合格证复印件（原件备查），新鲜肉确保每日新鲜，为当天深圳市正规屠宰场宰杀的新鲜肉；冷冻肉要求肉体冻实而坚硬，无化冻现象，肉质紧密而有弹性，色泽均匀，不粘手，交货时干净、新鲜、无异味；冷冻鱼类要求鱼眼睛清亮，角膜透明，鳞片上覆有冻结的透明黏液层，皮肤天然色泽明显。</w:t>
      </w:r>
    </w:p>
    <w:p w14:paraId="464C775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（2）所有货物规格符合采购人提交的日采购计划中明确的具体需求。</w:t>
      </w:r>
    </w:p>
    <w:p w14:paraId="2B1537E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（3）冷冻禽类食品解冻后净重量不少于 90％，冷冻肉类食品解冻后净重量不少于92%，冷冻水产类食品解冻后净重量不少于 82%，解冻时间为 4 小时以内（室温20℃）。所有冷冻食品要求清晰列出产品品牌、规格、类型、包装方式、包装净重、含冰量等相关参数。</w:t>
      </w:r>
    </w:p>
    <w:p w14:paraId="25F773A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（4）熟食包括烧鸡、烧鸭、烧鹅等。熟食（特别是鲜制熟食）保质期较短，保鲜要求高，供应的熟食需保证产品的品质。</w:t>
      </w:r>
    </w:p>
    <w:p w14:paraId="54152784">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（5）如中标人不能按时、保质、保量供货，由采购人自行采购，并承担采购人由此造成的经济损失和接受违约处罚。</w:t>
      </w:r>
    </w:p>
    <w:p w14:paraId="162639A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（6）各中标人提供猪、牛、羊等肉类、家禽类及肉制品应有《卫生检疫报告》、《产品合格证》资质证明。</w:t>
      </w:r>
    </w:p>
    <w:p w14:paraId="7A74B37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（7）产品配送要求：</w:t>
      </w:r>
    </w:p>
    <w:p w14:paraId="2931B43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食品运输必须采用符合卫生要求的外包装和运载工具，并且要保持清洁和定期消毒。运输车厢的内仓，包括地面、墙面和顶，应为抗腐蚀、防潮，防虫、防鼠的设计，车厢内无不良气味、异味。</w:t>
      </w:r>
    </w:p>
    <w:p w14:paraId="6E117E1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冷藏、冷冻食品必须用专用冷藏、冷冻载具运输，应当有必要的保温设备并在整个运输过程中保持安全的冷藏、冷冻温度。特别是对于长途运输的食品，保证食品在运输全过程处于合适的温度范围。</w:t>
      </w:r>
    </w:p>
    <w:p w14:paraId="5280D3C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整个运输过程应科学合理，运输车辆应定期清洁，保持性能稳定，符合规定的温度要求，使运输食品处于恒定的环境中。</w:t>
      </w:r>
    </w:p>
    <w:p w14:paraId="5C4A991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送货车辆实行1小时配送圈运作，在1小时内的用保温车配送，1小时以外的用制冷车配送，保证肉类中心温度控制在-2-7℃的范围之内，保证运输过程冷链不中断。商品到达目的地时外包装箱干爽,无软化现象。</w:t>
      </w:r>
    </w:p>
    <w:p w14:paraId="6A5504C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（8）卸货要求：</w:t>
      </w:r>
    </w:p>
    <w:p w14:paraId="16421A0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送货车辆应保持清洁；食品堆放科学合理，避免造成食品的交叉污染；如对温度有要求的食品应确定食品的温度，记录送货车辆温度，并记录存档。</w:t>
      </w:r>
    </w:p>
    <w:p w14:paraId="2D4FEA82">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在本环节中应保证冷藏食品脱离冷链时间不得超过20分钟，冷冻食品脱离冷链时间不得超过30分钟。</w:t>
      </w:r>
    </w:p>
    <w:p w14:paraId="0647012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（9）冻肉质量的基本检查：</w:t>
      </w:r>
    </w:p>
    <w:p w14:paraId="3DC42CA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（10）对冻肉类检查如下：</w:t>
      </w:r>
    </w:p>
    <w:p w14:paraId="6B846970">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10.1采购的冻肉必须符合食品卫生要求及国家有关标准和行业规范。采购生产、经营证明文件齐备，明确来源，并具有检验合格证明。严禁含有毒有害物质、虫及混有异物，严禁有腐烂变质、酸败、霉变情况，禁止采购超过保质期限的冻肉类食品。</w:t>
      </w:r>
    </w:p>
    <w:p w14:paraId="3456B3A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10.2冻肉类食品包装必须符合国家规范，采购的食品不得存放在有毒、有害的容器和承载物内。食品包装上必须使用原产地标识，应注明：制造商名称和厂址、食品名称和重（容）量、生产日期和保质期限以及规格和QS认证等。</w:t>
      </w:r>
    </w:p>
    <w:p w14:paraId="1D3421C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10.3对不符合采购要求的冻肉类食品由验收人员提出清退，如双方对质量争议的退货前应实行留板备案，可送深圳市或用户所在地地级市以上质监部门检测，对缺斤短两（或含冰量超标）的应按实际重量扣减。</w:t>
      </w:r>
    </w:p>
    <w:p w14:paraId="1266C09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（11）冻肉类食品验收发现问题时的处理办法：</w:t>
      </w:r>
    </w:p>
    <w:p w14:paraId="109CC084">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11.1按产品质量描述对货物质量进行抽查。</w:t>
      </w:r>
    </w:p>
    <w:p w14:paraId="30399602">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11.2抽查发现食品安全质量问题的处理：</w:t>
      </w:r>
    </w:p>
    <w:p w14:paraId="040022D9">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对危及人身安全的食品质量问题采取零容忍措施，一经发现，当日所送同批次产品全部退货，同时有权依法解除合同。如水产品中发现河豚鱼，发现腐败变质肉类等。</w:t>
      </w:r>
    </w:p>
    <w:p w14:paraId="776E0F42">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若抽查未发现问题，而在加工食用前发现部分产品质量问题，应立即通知物资验收小组及中标人，将问题产品退货处理。</w:t>
      </w:r>
    </w:p>
    <w:p w14:paraId="32CA0B0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11.3抽查发现资质证照不全问题的处理：</w:t>
      </w:r>
    </w:p>
    <w:p w14:paraId="2816E11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11.3.1整批产品无政府部门出具的动植物检疫合格证明的全部退货；</w:t>
      </w:r>
    </w:p>
    <w:p w14:paraId="13E1EF8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11.3.2抽查发现部分产品无政府部门出具的动植物检疫合格证明，加抽15%，两次抽查数50%以上没有动植物检疫合格证明的，全部退货；50%以下没有动植物检疫合格证明的，将无动植物检疫合格证明的货物退货；</w:t>
      </w:r>
    </w:p>
    <w:p w14:paraId="6D7D280F">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11.3.3整批产品有省地市出具的动植物检疫合格证明，随箱产品合格证不齐全的，加抽15%，两次抽查数50%以上没有产品合格证的，全部退货；50%以下没有产品合格证明的，将无产品合格证明的货物退货；</w:t>
      </w:r>
    </w:p>
    <w:p w14:paraId="55ECD1C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11.3.4肉制品无疾病控制或质量技术监督部门出具的同类产品半年内有效检验报告，作退货处理；随箱产品合格证不齐全的，加抽15%，两次抽查数50%以上没有产品合格证的，全部退货；50%以下没有产品合格证明的，将无产品合格证明的货物退货。</w:t>
      </w:r>
    </w:p>
    <w:p w14:paraId="440E948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（12）货物重量验收：</w:t>
      </w:r>
    </w:p>
    <w:p w14:paraId="5558EDE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12.1冻肉类：双方各随机抽取每品种货物一箱，去包装，在流动的10-25℃清水中浸泡解冻至表面冰层融化，个体能够分离为止，充分摊开货物沥水三分钟后称重，取双方抽取样本均值为该产品本批次种货物的验收重量。</w:t>
      </w:r>
    </w:p>
    <w:p w14:paraId="10A1C87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12.2水产类：双方各随机抽取每品种货物两箱，去包装，在流动的10-25℃清水中浸泡解冻至表面冰层融化，个体能够分离为止，充分摊开货物沥水三分钟后称重，取双方抽取样本均值为该产品本批次种货物的验收重量。</w:t>
      </w:r>
    </w:p>
    <w:p w14:paraId="4AF002D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12.3 新鲜肉类、丸类、火腿、腊肠类等不含冰货物直接称重验收。</w:t>
      </w:r>
    </w:p>
    <w:p w14:paraId="59751CB4">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2.蔬菜类要求</w:t>
      </w:r>
    </w:p>
    <w:p w14:paraId="081F1A3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中标人每天的供应按采购人提出的品种要求和计划数量进行供应。</w:t>
      </w:r>
    </w:p>
    <w:p w14:paraId="433BFE3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属季节问题，若出现品种不能满足采购人需求的情况，可与采购人协商调换相应类别的品种（按叶菜、瓜菜等进行分类）。</w:t>
      </w:r>
    </w:p>
    <w:p w14:paraId="12C4BEC2">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（1）货物质量要求：</w:t>
      </w:r>
    </w:p>
    <w:p w14:paraId="4013BFB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从蔬菜色泽看，各种蔬菜都应具有本品种固有的颜色，大多数有发亮的光泽，以此显示蔬菜的成熟度及鲜嫩程度；</w:t>
      </w:r>
    </w:p>
    <w:p w14:paraId="768F938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从蔬菜气味看，多数蔬菜具有清馨、甘辛香、甜酸香等气味，可凭嗅觉识别不同品种的质量，不允许有腐烂变质的亚硝酸盐味和其他异常气味；</w:t>
      </w:r>
    </w:p>
    <w:p w14:paraId="4B5C8B9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从蔬菜滋味看，因品种不同而各异，多数蔬菜滋味甘淡、甜酸、清爽鲜美，少数具有辛酸、苦涩等特殊风味以刺激食欲，如失去本品种原有的滋即为异常；</w:t>
      </w:r>
    </w:p>
    <w:p w14:paraId="1CAC3B90">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从蔬菜形态看，应尽量避免由于客观因素而造成的各种非正常、不新鲜的蔬菜，例如萎蔫、枯塌、损伤、病变、虫害侵蚀等引起的形态异常等。</w:t>
      </w:r>
    </w:p>
    <w:p w14:paraId="768C5184">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（2）供应和管理要求</w:t>
      </w:r>
    </w:p>
    <w:p w14:paraId="5E2E015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2.1蔬菜供应的品种安排（分主菜和配菜）。</w:t>
      </w:r>
    </w:p>
    <w:p w14:paraId="24FE949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2.1.1 配菜品种按采购人计划和要求的品种供应；</w:t>
      </w:r>
    </w:p>
    <w:p w14:paraId="7BF0513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2.1.2主菜品种由供求双方根据季节安排，但要确保每周有5个品种以上，每个品种不少于2次，6-9月叶菜类不少于30％，其余时间叶菜类不少于50％。</w:t>
      </w:r>
    </w:p>
    <w:p w14:paraId="3DD1AA8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2.2蔬菜包装与标志要求：包装。容器(框、箱、袋)要求清洁、干燥、牢固、透气，无污染、无异味、无霉变现象。标志。每件包装必须按《农产品包装和标识管理办法》贴标签，并标明产地、品种、净含量、生产单位及地址和采收日期。</w:t>
      </w:r>
    </w:p>
    <w:p w14:paraId="7A330114">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2.3食品供应链要求：所有食品的来源必须清晰。蔬菜来源须为深圳市范围内的自有基地、商品菜基地或蔬菜专业流通市场，严禁收购散户农民的蔬菜供应。</w:t>
      </w:r>
    </w:p>
    <w:p w14:paraId="4B73F8B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2.4运输要求：运输工具应清洁卫生无污染：食品运输必须采用符合卫生标准的外包装和运载工具，并且要保持清洁和定期消毒。运输车厢的内仓，包括地面、墙面和顶，应使用抗腐蚀、防潮，易清洁消毒的材料。车厢内无不良气味、异味；运输途中严防日晒、雨淋，注意通风散热；蔬菜应小心轻卸，严防机械损伤。食品堆放科学合理，避免造成食品的交叉污染；如对温度有要求的食品应确定食品的温度，记录送货车辆温度，并记录存档。</w:t>
      </w:r>
    </w:p>
    <w:p w14:paraId="7A68018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2.5管理要求：菜地设有固定的农资存放场所，配有专用的农药喷洒用具及其他农用器具，施用农药有详尽记录，规定施药间隔期后采收；蔬菜采收后需用清洁、无污染的运输工具运抵加工地点。</w:t>
      </w:r>
    </w:p>
    <w:p w14:paraId="38E4275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2.6环境要求：菜地周围需设有隔离网、隔离带或其他有效的隔离措施，确保不受临近农田施肥和用药污染；菜地周围无养殖场、化工厂、垃圾处理场、医院以及污水排放管道等污染源。</w:t>
      </w:r>
    </w:p>
    <w:p w14:paraId="344C219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2.7水源要求：菜地应有清洁无污染的灌溉水源；灌溉水井设有防护设施。灌溉水源需经检测验证符合规定要求，并一年内在蔬菜种植过程对水源进行2次监测。</w:t>
      </w:r>
    </w:p>
    <w:p w14:paraId="4DF3450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2.8农药要求：种植使用的农药必须符合食品安全管理部门的规定，严禁使用违禁药物；农药的采购、保管、发放、使用必须建立记录；蔬菜生产使用农药的间隔期必须符合行业规定，并且采收前中标人应从种植地取样检测农残项目，合格后方可供应。</w:t>
      </w:r>
    </w:p>
    <w:p w14:paraId="2F1581EC">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（3）蔬菜验收时发现问题的处理方法：</w:t>
      </w:r>
    </w:p>
    <w:p w14:paraId="4A401D2F">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3.1按后附产品质量描述对货物质量进行抽查。</w:t>
      </w:r>
    </w:p>
    <w:p w14:paraId="0DA8634F">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3.2抽查发现食品安全质量问题的处理：</w:t>
      </w:r>
    </w:p>
    <w:p w14:paraId="29E92B5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对危及人身安全的食品质量问题采取零容忍措施，一经发现，当日所送同批次产品全部退货，同时有权依法解除合同。如水产品中发现农药残留超标，发现腐败变质蔬菜等。</w:t>
      </w:r>
    </w:p>
    <w:p w14:paraId="309F00D9">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若抽查未发现问题，而在加工食用前发现部分产品质量问题，应立即通知物资验收小组及中标人，将问题产品退货处理。</w:t>
      </w:r>
    </w:p>
    <w:p w14:paraId="39B5BE72">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3.干货类要求</w:t>
      </w:r>
    </w:p>
    <w:p w14:paraId="30E17AB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（1）供应产品质量要求：</w:t>
      </w:r>
    </w:p>
    <w:p w14:paraId="5B192FD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1.1中标人所提供产品质量必须要符合行业标准要求，不得有掺假、变质、变味、过期等现象出现，严禁伪劣、假冒、无证不合格物品进入仓库。</w:t>
      </w:r>
    </w:p>
    <w:p w14:paraId="43000ACF">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1.2中标人所提供产品必须价格合理，不得虚高报价，否则采购人有权不用。</w:t>
      </w:r>
    </w:p>
    <w:p w14:paraId="313681E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1.3中标人在供应过程中，如果发生出现质量问题或造成食物中毒,如变质等情况，经查实后确属供货方责任，中标人应承担全部责任，主要包括食物中毒人员医疗费、误工费、事故处理费等，直至追究刑事责任。同时依法解除合同。</w:t>
      </w:r>
    </w:p>
    <w:p w14:paraId="4687E59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（2）干货类质量要求：</w:t>
      </w:r>
    </w:p>
    <w:p w14:paraId="43313FE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2.1干货制品的质量基本标准要求符合国家相关行业标准，干爽，不霉烂、整齐、均匀、完整，无虫蛀、无杂质，保持应有的色泽。确保产品质量稳定，保证营养丰富、绿色安全、海味浓郁、易存放、食用方便，保质期长。从加工、包装、运输、贮存到销售全部符合国家规定标准。尤其是二氧化硫残留量、总砷含量不超过国家卫生标准；木耳类的水分含量不能超过国家标准要求，采购人可根据实际情况对需要的干货制品进行品质抽检，对质量未达到国家标准的干货制品采购人有权拒绝接受。</w:t>
      </w:r>
    </w:p>
    <w:p w14:paraId="51E591B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2.2几种主要干货制品的质量标准：</w:t>
      </w:r>
    </w:p>
    <w:p w14:paraId="08FF21A9">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肉皮：作为干肉皮，无论什么部位，体表洁净无毛，白亮无残余肥膘，无虫蛀，干爽，敲击时响声清脆，质量均匀为好，反之则为次之，如已发霉，并有哈喇味，即已变质。</w:t>
      </w:r>
    </w:p>
    <w:p w14:paraId="0E2464E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玉兰片：玉兰片以色泽黄白、洁净、肉厚、纤维少、节较密、体长不超过 10~17cm 的为最好，肉薄节疏、纤维多而粗老的质量较差。</w:t>
      </w:r>
    </w:p>
    <w:p w14:paraId="6FC29250">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黄花菜：又名金针菜，干燥、有清香味，菜色黄亮、身条长而粗壮、条杆粗细均匀者为佳。</w:t>
      </w:r>
    </w:p>
    <w:p w14:paraId="7CDFD139">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黑木耳：黑木耳的质量一般以条形大而完整，耳瓣舒展少卷曲，内厚黑，富于光泽，体干不霉，无杂质和碎者为优，反之则差。</w:t>
      </w:r>
    </w:p>
    <w:p w14:paraId="73649D8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银耳：银耳又称白木耳，以朵大、色洁白、有光泽、无杂质，根小、干度足，完整者为佳品， 朵小、色黄、根大、无光泽，散碎者次之；黄黑色者质量最次，依上述标准可将银耳分为上中下三等。质量好的银耳，根部易稣烂，食之柔软，质量次则根部大而发硬。</w:t>
      </w:r>
    </w:p>
    <w:p w14:paraId="7C3291F2">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香菇：根据采收季节和形状不同，香菇又分为花菇、厚菇、薄菇和菇丁四类，其中以花菇质量 最好，厚菇次之，薄菇更差，菇丁质量最差。</w:t>
      </w:r>
    </w:p>
    <w:p w14:paraId="36BC949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A、花菇：朵小柄短，呈半球状，菇伞顶面有似菊花似的白色裂纹，肉厚、菌盖色泽淡黑，菇底 褶，通过加工呈淡黄色，身干、质嫩、有芳香气味者为质好好香菇。 </w:t>
      </w:r>
    </w:p>
    <w:p w14:paraId="21BFB98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B、厚菇：形状如伞，顶面无花纹，呈黑色并略有光泽，质嫩、肉厚、朵稍大，质量稍次。 </w:t>
      </w:r>
    </w:p>
    <w:p w14:paraId="66524F3C">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C、薄菇：形状扁平、开伞、朵大、肉薄、菌盖表面浅褐色，菌褐白色，菌柄稍高，浅咖啡色， 基部稍带红色或红褐色，质量比花菇厚，菇差，味淡。 </w:t>
      </w:r>
    </w:p>
    <w:p w14:paraId="2E1CB07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D、菇丁：是指未充分发育的香菇，个小，直径在2cm以下，味淡质差。</w:t>
      </w:r>
    </w:p>
    <w:p w14:paraId="3092C002">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腐竹：腐竹又名豆腐皮和油皮，有一、二、三级品之分。一级品：色泽黄亮、干燥筋韧、耐贮、无碎块。二级品：颜色较一极品灰黄、干燥无碎块。三级品：颜色更灰黄、无光泽、易碎、筋韧性差。</w:t>
      </w:r>
    </w:p>
    <w:p w14:paraId="703DC33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粉丝：质量好的粉丝，粉条细长、白净、晶莹透明、丝条均匀、整齐、干燥，不易折断，无斑点、黑迹，无霉变，有粉丝特有的光泽。</w:t>
      </w:r>
    </w:p>
    <w:p w14:paraId="1A3CFD0F">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蹄筋：猪蹄筋的质量首先从蹄筋抽取的部位区别，后蹄筋体长而圆、粗状、光滑的品质好。前蹄筋体短而扁细、品质较差、保管完好的蹄筋应呈白色、无杂质，干、硬度高。</w:t>
      </w:r>
    </w:p>
    <w:p w14:paraId="0002752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干贝：上等干贝粒大完整、黄亮干燥、肉质饱满，肉丝清晰、粗且有特殊香气。粒小、碎破、色淡无光泽者较次。破碎、发黑发霉的为变质品。</w:t>
      </w:r>
    </w:p>
    <w:p w14:paraId="1F49F46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鱿鱼：市场上常见的鱿鱼有椭圆形和长方形，选购时应注意：体干、体形完整、光亮洁净、淡粉红色、片大头小、肉厚者为优。体形部分卷曲，尾部和背部红中透暗，两侧有微红点、体小而宽、肉薄者为次品。</w:t>
      </w:r>
    </w:p>
    <w:p w14:paraId="24D6604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海蛰：海蛰是由水母加工制成，选购时应注意色泽，以乳白色或淡黄色、气味清新、质厚均匀、个体完整、块大、无血黑（体肉红皮）有光泽的为上品，带有膜状血衣的为次品。</w:t>
      </w:r>
    </w:p>
    <w:p w14:paraId="26BB62F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紫菜：属海产红藻类植物，因鲜紫菜叶较宽大，经干制成长方块形，散片状卷筒，其中以卷筒形柔嫩微脆、叶薄、色紫清香鲜美的为品质优。</w:t>
      </w:r>
    </w:p>
    <w:p w14:paraId="1264FFA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发菜：发菜是陆生褐色藻类，以藻体细长、绿黑色、柔软爽滑、干燥、无杂质的质量为优，反之则劣。</w:t>
      </w:r>
    </w:p>
    <w:p w14:paraId="200BEC1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鱼肚：其标准一般为体大整齐、肚厚、身干、光洁明亮、无虫蛀腐者好；灰暗、肉薄、体小则次之，有虫蛀、颜色发黑、变霉则为变质品。</w:t>
      </w:r>
    </w:p>
    <w:p w14:paraId="0076FDE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p>
    <w:p w14:paraId="5C43A230">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4.牛奶要求</w:t>
      </w:r>
    </w:p>
    <w:p w14:paraId="69C91E6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提供最近日期生产出品的鲜奶和酸奶；外包装完整无损，有详细的生产日期、保质期、生产厂家等信息。</w:t>
      </w:r>
    </w:p>
    <w:p w14:paraId="68F9DA1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鲜奶要求</w:t>
      </w:r>
    </w:p>
    <w:p w14:paraId="5CF4C9E0">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1.1颜色：色泽为乳白色或稍带微黄色。</w:t>
      </w:r>
    </w:p>
    <w:p w14:paraId="3B84532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1.2组织状态：呈均匀的流体，无沉淀、凝块和机械杂质，无粘稠和浓厚现象。</w:t>
      </w:r>
    </w:p>
    <w:p w14:paraId="7A9178F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1.3气味: 具有乳特有的乳香味，无其他任何异味。不能发出显著的酸味、苦味、臭味、霉味、涩味、腥味等异常气味。</w:t>
      </w:r>
    </w:p>
    <w:p w14:paraId="3B2E4928">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1.4味道：具有鲜乳独具的纯香味，滋味可口而稍甜，无其他任何异常滋味。不能有有酸味、咸味、苦味等。</w:t>
      </w:r>
    </w:p>
    <w:p w14:paraId="3DEB833F">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酸奶要求</w:t>
      </w:r>
    </w:p>
    <w:p w14:paraId="6AF763C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2.1颜色：色泽均匀一致，呈乳白色或稍带微黄色。不得出现色泽不匀、灰暗或出现其他异常颜色。</w:t>
      </w:r>
    </w:p>
    <w:p w14:paraId="7BC3CCB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2.2组织状态：凝乳均匀细腻，无气泡，允许有少量黄色脂膜和少量乳清。不能出现气泡、霉斑或乳清析出严重、乳清分离等异常状态。</w:t>
      </w:r>
    </w:p>
    <w:p w14:paraId="4849B2B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2.3气味：有清香、纯正的酸奶味。不能有腐败味，霉变味、酒精发酵及其他不良气味。</w:t>
      </w:r>
    </w:p>
    <w:p w14:paraId="389CDC9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2.4味道：有纯正的酸牛奶味，酸甜适口。不能酸味过度、有苦味、涩味或其他不良滋味。</w:t>
      </w:r>
    </w:p>
    <w:p w14:paraId="4B45BF6E">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5.水果要求</w:t>
      </w:r>
    </w:p>
    <w:p w14:paraId="2C8194E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（1）总体要求</w:t>
      </w:r>
    </w:p>
    <w:p w14:paraId="7670A47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1.1色泽：具有该品种成熟果品应有的色泽及形态特征；颜色鲜艳、外型端正、细腻光滑、富有光泽的水果质量一般较好；</w:t>
      </w:r>
    </w:p>
    <w:p w14:paraId="38F1885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1.2外形：果型端正，个头大小基本一致；果品表面清洁新鲜，无腐烂变质、病虫害和机械损伤等。</w:t>
      </w:r>
    </w:p>
    <w:p w14:paraId="558110D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1.3气味：多数成熟的果品有较浓郁的芳香；</w:t>
      </w:r>
    </w:p>
    <w:p w14:paraId="7946A2A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1.4口感：具有较好的甜度和口感。</w:t>
      </w:r>
    </w:p>
    <w:p w14:paraId="5ED63F4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（2）几种常见水果的质量标准</w:t>
      </w:r>
    </w:p>
    <w:p w14:paraId="679971E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苹果：色泽均匀而鲜艳，表面洁净光亮，红者艳如珊瑚、玛瑙，青者黄里透出微红；气味清香；肉质香甜鲜脆，美味可口。</w:t>
      </w:r>
    </w:p>
    <w:p w14:paraId="1AEEAFC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梨：果实新鲜饱满，果形端正，因各品种不同而呈青、黄、月白等颜色，成熟适度，肉质细，质地脆而鲜嫩，石细胞少，汁多，味甜或酸甜，无霉烂、冻伤、病灾害和机械伤。</w:t>
      </w:r>
    </w:p>
    <w:p w14:paraId="38ED12E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柑橘类：果形中等，呈圆形或呈长圆形，皮稍厚而光滑润泽，果心无实，核与种均呈白色，果肉汁多，瓤瓣界限不分明，味酸甜适口。</w:t>
      </w:r>
    </w:p>
    <w:p w14:paraId="68BF72C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香蕉：体形大而均匀；色泽新鲜、光亮。果皮呈鲜黄或青黄色；果面光滑，无病斑，无虫疤，无霉菌，无创伤；果皮易剥离，果肉稍硬而不摊浆；果肉柔软糯滑，香甜适口，不涩口，无怪味，不软烂。</w:t>
      </w:r>
    </w:p>
    <w:p w14:paraId="3A8E160A">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西瓜：基本端正，具有本品种的基本形状和特征；表面光亮清晰，条纹清晰。无机械伤，无病虫害和干疤；果肉结构松紧适度，呈均匀一致的鲜红色；有清香爽的滋味，无异味。</w:t>
      </w:r>
    </w:p>
    <w:p w14:paraId="5043C55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葡萄：新鲜并且成熟适度的葡萄，果粒饱满，大小均匀，果粒牢固，落子较少，果浆多而浓，味甜。</w:t>
      </w:r>
    </w:p>
    <w:p w14:paraId="1C09BCEC">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6.调味品要求</w:t>
      </w:r>
    </w:p>
    <w:p w14:paraId="37884B66">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（1）总体要求</w:t>
      </w:r>
    </w:p>
    <w:p w14:paraId="5618C2D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产品外包装上明确标准产品名称、规格、生产日期、保质期、生产厂家、生产地点等。拥有“QS”食品质量安全认证，符合《食品安全法》的基本要求。</w:t>
      </w:r>
    </w:p>
    <w:p w14:paraId="100F09F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（2）几种主要调味品的质量标准：</w:t>
      </w:r>
    </w:p>
    <w:p w14:paraId="1303D359">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酱油：氨基酸态氮含量要求每百毫升≥0.55；澄清，浓厚，稀稠适度，挂壁，无沉淀。</w:t>
      </w:r>
    </w:p>
    <w:p w14:paraId="7A53929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醋： 颜色黑紫、过夏不霉、过冬不冻，气味甘甜异酸；食醋的总酸含量要≥3.5g/100ml；具有琥珀色或红棕色，有光泽者为佳品。体态澄清、浓度适当，无悬浮物、沉淀。</w:t>
      </w:r>
    </w:p>
    <w:p w14:paraId="5A76FD1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味精：味精颗粒形状一致，色洁白有光泽，颗粒间呈散粒状态；味精溶液透明无色，无泡沫，无杂质。</w:t>
      </w:r>
    </w:p>
    <w:p w14:paraId="12432D29">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鸡精：谷氨酸钠，g/100g≥35.0 氯化物g/100g≤40.0，呈味核苷酸二钠g/100g≥1.10，干燥失重g/100g≤3.0，总氮g/100g≥3.00，其他氮g/100g≥0.20。</w:t>
      </w:r>
    </w:p>
    <w:p w14:paraId="6D9CF55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豆瓣酱：色泽：红褐色、油润光亮；香气：无不良气味；滋味：鲜美、咸淡可口；体态：松散、质地柔软。</w:t>
      </w:r>
    </w:p>
    <w:p w14:paraId="7B859AF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白砂糖：结晶体、质地均匀、甜味纯正；干燥松散、洁白、有光泽、无明显黑点。</w:t>
      </w:r>
    </w:p>
    <w:p w14:paraId="0AB72015">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料酒：酒精含量在15 度以下；由小米或糯米酿造而成。</w:t>
      </w:r>
    </w:p>
    <w:p w14:paraId="31DD0AC5">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7.食用油要求</w:t>
      </w:r>
    </w:p>
    <w:p w14:paraId="511D014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（1）须为一年内新油；</w:t>
      </w:r>
    </w:p>
    <w:p w14:paraId="3444818B">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大豆油符合GB/T1535—2017《大豆油》一级标准；符合食品安全国家标准：GB 2761-2017、GB 2762-2017、GB 2760-2014、GB 5009.271-2016；包装应符合GB/T 17374-2008 食用植物油销售包装、Q/7645776C-0.1-2017 食品包装瓶；</w:t>
      </w:r>
    </w:p>
    <w:p w14:paraId="13EBE70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（2）菜籽油符合GB/T 1536—2004《菜籽油》一级标准；符合食品安全国家标准：GB 2761-2017、GB 2762-2017、GB 2760-2014、GB 5009.271-2016；包装应符合GB/T 17374-2008 食用植物油销售包装、Q/7645776C-0.1-2017 食品包装瓶。</w:t>
      </w:r>
    </w:p>
    <w:p w14:paraId="3F48182E">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8.大米要求</w:t>
      </w:r>
    </w:p>
    <w:p w14:paraId="4F8E03A4">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（1）须为一年内新米；</w:t>
      </w:r>
    </w:p>
    <w:p w14:paraId="47091AE4">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（2）须达到国家质量标准；GB1354-2009 三级以上（含三级）籼米，其中铬、镉、无机砷、黄曲霉毒素B1 等项目应符合相应的食品安全国家标准要求；</w:t>
      </w:r>
    </w:p>
    <w:p w14:paraId="6A1637E2">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（3）包装要求：用纤维袋或塑料袋定量包装。包装上有生产许可证的编号，包装标识清楚，如印有重量、生产日期、保质期、生产厂家、电话等；</w:t>
      </w:r>
    </w:p>
    <w:p w14:paraId="153EA69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（4）大米色泽呈透明玉色状，“米眼睛”（胚芽部）的颜色呈乳白色，有自然清香味，脂肪酸值[（mg/100g)≤30]符合GB/T20569-2006《稻谷储存品质判定规则》；</w:t>
      </w:r>
    </w:p>
    <w:p w14:paraId="2DC95A0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（5）需提供生产加工方国家认可的质量检测部门出具的检测报告（GB 1354-2009），每季度提供生产加工方所在地质量检测部门的检测报告。</w:t>
      </w:r>
    </w:p>
    <w:p w14:paraId="3C33C73B">
      <w:pPr>
        <w:keepNext w:val="0"/>
        <w:keepLines w:val="0"/>
        <w:pageBreakBefore w:val="0"/>
        <w:widowControl/>
        <w:kinsoku/>
        <w:wordWrap/>
        <w:overflowPunct/>
        <w:topLinePunct w:val="0"/>
        <w:autoSpaceDE/>
        <w:autoSpaceDN/>
        <w:bidi w:val="0"/>
        <w:adjustRightInd/>
        <w:snapToGrid/>
        <w:rPr>
          <w:rFonts w:hint="eastAsia" w:ascii="宋体" w:hAnsi="宋体" w:eastAsia="宋体" w:cs="宋体"/>
          <w:sz w:val="21"/>
          <w:szCs w:val="21"/>
        </w:rPr>
      </w:pPr>
    </w:p>
    <w:p w14:paraId="2893ECD9">
      <w:pPr>
        <w:keepNext w:val="0"/>
        <w:keepLines w:val="0"/>
        <w:pageBreakBefore w:val="0"/>
        <w:widowControl/>
        <w:kinsoku/>
        <w:wordWrap/>
        <w:overflowPunct/>
        <w:topLinePunct w:val="0"/>
        <w:autoSpaceDE/>
        <w:autoSpaceDN/>
        <w:bidi w:val="0"/>
        <w:adjustRightInd/>
        <w:snapToGrid/>
        <w:rPr>
          <w:rFonts w:hint="eastAsia" w:ascii="宋体" w:hAnsi="宋体" w:eastAsia="宋体" w:cs="宋体"/>
          <w:sz w:val="21"/>
          <w:szCs w:val="21"/>
        </w:rPr>
      </w:pPr>
    </w:p>
    <w:p w14:paraId="0FB31DFD"/>
    <w:p w14:paraId="3A24DD87">
      <w:pPr>
        <w:pStyle w:val="4"/>
        <w:jc w:val="center"/>
        <w:rPr>
          <w:rFonts w:asciiTheme="minorEastAsia" w:hAnsiTheme="minorEastAsia" w:eastAsiaTheme="minorEastAsia"/>
          <w:szCs w:val="21"/>
        </w:rPr>
      </w:pPr>
      <w:r>
        <w:rPr>
          <w:rFonts w:hint="eastAsia" w:asciiTheme="minorEastAsia" w:hAnsiTheme="minorEastAsia" w:eastAsiaTheme="minorEastAsia"/>
          <w:szCs w:val="21"/>
        </w:rPr>
        <w:t>五</w:t>
      </w:r>
      <w:r>
        <w:rPr>
          <w:rFonts w:asciiTheme="minorEastAsia" w:hAnsiTheme="minorEastAsia" w:eastAsiaTheme="minorEastAsia"/>
          <w:szCs w:val="21"/>
        </w:rPr>
        <w:t>、</w:t>
      </w:r>
      <w:r>
        <w:rPr>
          <w:rFonts w:hint="eastAsia" w:asciiTheme="minorEastAsia" w:hAnsiTheme="minorEastAsia" w:eastAsiaTheme="minorEastAsia"/>
          <w:szCs w:val="21"/>
        </w:rPr>
        <w:t>项目商务要求</w:t>
      </w:r>
    </w:p>
    <w:p w14:paraId="231590DF">
      <w:pPr>
        <w:widowControl w:val="0"/>
        <w:spacing w:before="156" w:beforeLines="50" w:after="156" w:afterLines="50" w:line="276" w:lineRule="auto"/>
        <w:ind w:left="0" w:leftChars="0"/>
        <w:jc w:val="both"/>
        <w:outlineLvl w:val="3"/>
        <w:rPr>
          <w:rFonts w:ascii="宋体" w:hAnsi="宋体" w:eastAsia="宋体" w:cs="Arial"/>
          <w:b/>
          <w:color w:val="FF0000"/>
          <w:kern w:val="2"/>
          <w:sz w:val="21"/>
          <w:szCs w:val="21"/>
          <w:highlight w:val="none"/>
          <w:lang w:val="en-US" w:eastAsia="zh-CN" w:bidi="ar-SA"/>
        </w:rPr>
      </w:pPr>
      <w:r>
        <w:rPr>
          <w:rFonts w:hint="eastAsia" w:ascii="宋体" w:hAnsi="宋体" w:eastAsia="宋体" w:cs="Arial"/>
          <w:b/>
          <w:color w:val="FF0000"/>
          <w:kern w:val="2"/>
          <w:sz w:val="21"/>
          <w:szCs w:val="21"/>
          <w:highlight w:val="none"/>
          <w:lang w:val="en-US" w:eastAsia="zh-CN" w:bidi="ar-SA"/>
        </w:rPr>
        <w:t>（一）★服务期限</w:t>
      </w:r>
    </w:p>
    <w:p w14:paraId="60116C4D">
      <w:pPr>
        <w:adjustRightInd w:val="0"/>
        <w:spacing w:line="360" w:lineRule="auto"/>
        <w:ind w:firstLine="420" w:firstLineChars="200"/>
        <w:jc w:val="both"/>
        <w:textAlignment w:val="baseline"/>
        <w:rPr>
          <w:rFonts w:ascii="宋体" w:hAnsi="宋体" w:eastAsia="宋体" w:cs="宋体"/>
          <w:color w:val="FF0000"/>
          <w:sz w:val="21"/>
          <w:szCs w:val="21"/>
          <w:highlight w:val="none"/>
          <w:lang w:val="en-US" w:eastAsia="zh-CN" w:bidi="ar-SA"/>
        </w:rPr>
      </w:pPr>
      <w:r>
        <w:rPr>
          <w:rFonts w:hint="eastAsia" w:ascii="宋体" w:hAnsi="宋体" w:eastAsia="宋体" w:cs="宋体"/>
          <w:color w:val="FF0000"/>
          <w:sz w:val="21"/>
          <w:szCs w:val="21"/>
          <w:highlight w:val="none"/>
          <w:lang w:val="en-US" w:eastAsia="zh-CN" w:bidi="ar-SA"/>
        </w:rPr>
        <w:t>本项目服务期限为自合同签订之日起一年。本项目为长期服务类项目，第一年为本次招标的中标服务期限，采购单位可根据项目需要和中标人的履约情况确定合同期限是否延长，但最长不超过三十六个月。若政府采购主管部门发现项目有异常情况，以主管部门意见为准。</w:t>
      </w:r>
    </w:p>
    <w:p w14:paraId="103CE81A">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（二）服务地点</w:t>
      </w:r>
    </w:p>
    <w:p w14:paraId="5A1D7E4C">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深圳市光明区。</w:t>
      </w:r>
    </w:p>
    <w:p w14:paraId="7F60C877">
      <w:pPr>
        <w:widowControl w:val="0"/>
        <w:spacing w:before="156" w:beforeLines="50" w:after="156" w:afterLines="50" w:line="276" w:lineRule="auto"/>
        <w:ind w:left="0" w:leftChars="0"/>
        <w:jc w:val="both"/>
        <w:outlineLvl w:val="3"/>
        <w:rPr>
          <w:rFonts w:ascii="宋体" w:hAnsi="宋体" w:eastAsia="宋体" w:cs="Arial"/>
          <w:b/>
          <w:color w:val="FF0000"/>
          <w:kern w:val="2"/>
          <w:sz w:val="21"/>
          <w:szCs w:val="21"/>
          <w:highlight w:val="none"/>
          <w:lang w:val="en-US" w:eastAsia="zh-CN" w:bidi="ar-SA"/>
        </w:rPr>
      </w:pPr>
      <w:r>
        <w:rPr>
          <w:rFonts w:hint="eastAsia" w:ascii="宋体" w:hAnsi="宋体" w:eastAsia="宋体" w:cs="Arial"/>
          <w:b/>
          <w:color w:val="FF0000"/>
          <w:kern w:val="2"/>
          <w:sz w:val="21"/>
          <w:szCs w:val="21"/>
          <w:highlight w:val="none"/>
          <w:lang w:val="en-US" w:eastAsia="zh-CN" w:bidi="ar-SA"/>
        </w:rPr>
        <w:t>（三）★报价要求及结算方式</w:t>
      </w:r>
    </w:p>
    <w:p w14:paraId="516EED16">
      <w:pPr>
        <w:adjustRightInd w:val="0"/>
        <w:spacing w:line="360" w:lineRule="auto"/>
        <w:ind w:firstLine="420" w:firstLineChars="200"/>
        <w:jc w:val="both"/>
        <w:textAlignment w:val="baseline"/>
        <w:rPr>
          <w:rFonts w:ascii="宋体" w:hAnsi="宋体" w:eastAsia="宋体" w:cs="宋体"/>
          <w:bCs/>
          <w:color w:val="FF0000"/>
          <w:sz w:val="21"/>
          <w:szCs w:val="21"/>
          <w:highlight w:val="none"/>
          <w:lang w:val="en-US" w:eastAsia="zh-CN" w:bidi="ar-SA"/>
        </w:rPr>
      </w:pPr>
      <w:r>
        <w:rPr>
          <w:rFonts w:hint="eastAsia" w:ascii="宋体" w:hAnsi="宋体" w:eastAsia="宋体" w:cs="宋体"/>
          <w:bCs/>
          <w:color w:val="FF0000"/>
          <w:sz w:val="21"/>
          <w:szCs w:val="21"/>
          <w:highlight w:val="none"/>
          <w:lang w:val="en-US" w:eastAsia="zh-CN" w:bidi="ar-SA"/>
        </w:rPr>
        <w:t>1.深圳市中农数据有限公司（天天采配服务平台）中有价格的产品，以深圳市中农数据有限公司（天天采配服务平台）（网址：www.chinaap.com）上个月整月公布的价格（非含费价）取平均值作为该项物资的基准价，投标人结合企业自己的实力报出折扣率。结算时价格=折扣率*基准价。</w:t>
      </w:r>
    </w:p>
    <w:p w14:paraId="68589A3C">
      <w:pPr>
        <w:adjustRightInd w:val="0"/>
        <w:spacing w:line="360" w:lineRule="auto"/>
        <w:ind w:firstLine="420" w:firstLineChars="200"/>
        <w:jc w:val="both"/>
        <w:textAlignment w:val="baseline"/>
        <w:rPr>
          <w:rFonts w:ascii="宋体" w:hAnsi="宋体" w:eastAsia="宋体" w:cs="宋体"/>
          <w:bCs/>
          <w:color w:val="FF0000"/>
          <w:sz w:val="21"/>
          <w:szCs w:val="21"/>
          <w:highlight w:val="none"/>
          <w:lang w:val="en-US" w:eastAsia="zh-CN" w:bidi="ar-SA"/>
        </w:rPr>
      </w:pPr>
      <w:r>
        <w:rPr>
          <w:rFonts w:hint="eastAsia" w:ascii="宋体" w:hAnsi="宋体" w:eastAsia="宋体" w:cs="宋体"/>
          <w:bCs/>
          <w:color w:val="FF0000"/>
          <w:sz w:val="21"/>
          <w:szCs w:val="21"/>
          <w:highlight w:val="none"/>
          <w:lang w:val="en-US" w:eastAsia="zh-CN" w:bidi="ar-SA"/>
        </w:rPr>
        <w:t>2.深圳市中农数据有限公司（天天采购平台）中无价格的产品，则结算时价格=折扣率*市场价（市场价由采购人组织调查小组到大型超市或农贸市场进行考察后确定合理的市场价）。</w:t>
      </w:r>
    </w:p>
    <w:p w14:paraId="3EAF8D26">
      <w:pPr>
        <w:adjustRightInd w:val="0"/>
        <w:spacing w:line="360" w:lineRule="auto"/>
        <w:ind w:firstLine="420" w:firstLineChars="200"/>
        <w:jc w:val="both"/>
        <w:textAlignment w:val="baseline"/>
        <w:rPr>
          <w:rFonts w:ascii="宋体" w:hAnsi="宋体" w:eastAsia="宋体" w:cs="宋体"/>
          <w:bCs/>
          <w:color w:val="FF0000"/>
          <w:sz w:val="21"/>
          <w:szCs w:val="21"/>
          <w:highlight w:val="none"/>
          <w:lang w:val="en-US" w:eastAsia="zh-CN" w:bidi="ar-SA"/>
        </w:rPr>
      </w:pPr>
      <w:r>
        <w:rPr>
          <w:rFonts w:hint="eastAsia" w:ascii="宋体" w:hAnsi="宋体" w:eastAsia="宋体" w:cs="宋体"/>
          <w:bCs/>
          <w:color w:val="FF0000"/>
          <w:sz w:val="21"/>
          <w:szCs w:val="21"/>
          <w:highlight w:val="none"/>
          <w:lang w:val="en-US" w:eastAsia="zh-CN" w:bidi="ar-SA"/>
        </w:rPr>
        <w:t>3.报价包括供应货物和货物运输到采购单位的服务费、运费、装卸费、检测费、人工费、管理费、保险、税金等一切将可能发生的费用。以人民币为报价和结算单位，并开具国家正规发票。</w:t>
      </w:r>
    </w:p>
    <w:p w14:paraId="731B0B3C">
      <w:pPr>
        <w:adjustRightInd w:val="0"/>
        <w:spacing w:line="360" w:lineRule="auto"/>
        <w:ind w:firstLine="420" w:firstLineChars="200"/>
        <w:jc w:val="both"/>
        <w:textAlignment w:val="baseline"/>
        <w:rPr>
          <w:rFonts w:ascii="宋体" w:hAnsi="宋体" w:eastAsia="宋体" w:cs="宋体"/>
          <w:bCs/>
          <w:color w:val="FF0000"/>
          <w:sz w:val="21"/>
          <w:szCs w:val="21"/>
          <w:highlight w:val="none"/>
          <w:lang w:val="en-US" w:eastAsia="zh-CN" w:bidi="ar-SA"/>
        </w:rPr>
      </w:pPr>
      <w:r>
        <w:rPr>
          <w:rFonts w:hint="eastAsia" w:ascii="宋体" w:hAnsi="宋体" w:eastAsia="宋体" w:cs="宋体"/>
          <w:bCs/>
          <w:color w:val="FF0000"/>
          <w:sz w:val="21"/>
          <w:szCs w:val="21"/>
          <w:highlight w:val="none"/>
          <w:lang w:val="en-US" w:eastAsia="zh-CN" w:bidi="ar-SA"/>
        </w:rPr>
        <w:t>备注：</w:t>
      </w:r>
    </w:p>
    <w:p w14:paraId="35515697">
      <w:pPr>
        <w:adjustRightInd w:val="0"/>
        <w:spacing w:line="360" w:lineRule="auto"/>
        <w:ind w:firstLine="420" w:firstLineChars="200"/>
        <w:jc w:val="both"/>
        <w:textAlignment w:val="baseline"/>
        <w:rPr>
          <w:rFonts w:ascii="宋体" w:hAnsi="宋体" w:eastAsia="宋体" w:cs="宋体"/>
          <w:bCs/>
          <w:color w:val="FF0000"/>
          <w:sz w:val="21"/>
          <w:szCs w:val="21"/>
          <w:highlight w:val="none"/>
          <w:lang w:val="en-US" w:eastAsia="zh-CN" w:bidi="ar-SA"/>
        </w:rPr>
      </w:pPr>
      <w:r>
        <w:rPr>
          <w:rFonts w:hint="eastAsia" w:ascii="宋体" w:hAnsi="宋体" w:eastAsia="宋体" w:cs="宋体"/>
          <w:bCs/>
          <w:color w:val="FF0000"/>
          <w:sz w:val="21"/>
          <w:szCs w:val="21"/>
          <w:highlight w:val="none"/>
          <w:lang w:val="en-US" w:eastAsia="zh-CN" w:bidi="ar-SA"/>
        </w:rPr>
        <w:t>（1）本次招标不涉及具体投标金额（无须投标人在投标文件中填报具体投标金额），投标人只需在投标文件中就《开标一览表》和《项目详细报价》填报唯一的“折扣率”作为投标报价，折扣率等于结算价占基准价的比例，即折扣率=结算价/基准价。投标人应根据自身成本自行填报“折扣率”，但不得以低于其成本的报价竞标。</w:t>
      </w:r>
    </w:p>
    <w:p w14:paraId="373DC7A2">
      <w:pPr>
        <w:adjustRightInd w:val="0"/>
        <w:spacing w:line="360" w:lineRule="auto"/>
        <w:ind w:firstLine="420" w:firstLineChars="200"/>
        <w:jc w:val="both"/>
        <w:textAlignment w:val="baseline"/>
        <w:rPr>
          <w:rFonts w:ascii="宋体" w:hAnsi="宋体" w:eastAsia="宋体" w:cs="Times New Roman"/>
          <w:bCs/>
          <w:color w:val="FF0000"/>
          <w:sz w:val="24"/>
          <w:szCs w:val="20"/>
          <w:highlight w:val="none"/>
          <w:lang w:val="en-US" w:eastAsia="zh-CN" w:bidi="ar-SA"/>
        </w:rPr>
      </w:pPr>
      <w:r>
        <w:rPr>
          <w:rFonts w:hint="eastAsia" w:ascii="宋体" w:hAnsi="宋体" w:eastAsia="宋体" w:cs="宋体"/>
          <w:bCs/>
          <w:color w:val="FF0000"/>
          <w:sz w:val="21"/>
          <w:szCs w:val="21"/>
          <w:highlight w:val="none"/>
          <w:lang w:val="en-US" w:eastAsia="zh-CN" w:bidi="ar-SA"/>
        </w:rPr>
        <w:t>（2）报价要求：0＜折扣率≤1，并且是固定唯一值，填写的折扣率应为小数，且只填报到小数点后两位（如折扣率为九折填写0.90，八八折填写0.88）。投标折扣率不满足招标文件报价要求的，将作投标无效处理。折扣率在服务期限内保持不变。请投标人在开标一览表中填写投标折扣率的值。（如：折扣率为0.95，则投标人在填报开标一览表时，投标报价须填报：0.95）</w:t>
      </w:r>
    </w:p>
    <w:p w14:paraId="562EE301">
      <w:pPr>
        <w:widowControl w:val="0"/>
        <w:spacing w:before="156" w:beforeLines="50" w:after="156" w:afterLines="50" w:line="276" w:lineRule="auto"/>
        <w:ind w:left="0" w:leftChars="0"/>
        <w:jc w:val="both"/>
        <w:outlineLvl w:val="3"/>
        <w:rPr>
          <w:rFonts w:ascii="宋体" w:hAnsi="宋体" w:eastAsia="宋体" w:cs="Arial"/>
          <w:b/>
          <w:color w:val="FF0000"/>
          <w:kern w:val="2"/>
          <w:sz w:val="21"/>
          <w:szCs w:val="21"/>
          <w:highlight w:val="none"/>
          <w:lang w:val="en-US" w:eastAsia="zh-CN" w:bidi="ar-SA"/>
        </w:rPr>
      </w:pPr>
      <w:r>
        <w:rPr>
          <w:rFonts w:hint="eastAsia" w:ascii="宋体" w:hAnsi="宋体" w:eastAsia="宋体" w:cs="Arial"/>
          <w:b/>
          <w:color w:val="FF0000"/>
          <w:kern w:val="2"/>
          <w:sz w:val="21"/>
          <w:szCs w:val="21"/>
          <w:highlight w:val="none"/>
          <w:lang w:val="en-US" w:eastAsia="zh-CN" w:bidi="ar-SA"/>
        </w:rPr>
        <w:t>（四）★付款方式</w:t>
      </w:r>
    </w:p>
    <w:p w14:paraId="174952FD">
      <w:pPr>
        <w:adjustRightInd w:val="0"/>
        <w:spacing w:line="360" w:lineRule="auto"/>
        <w:ind w:firstLine="420" w:firstLineChars="200"/>
        <w:jc w:val="both"/>
        <w:textAlignment w:val="baseline"/>
        <w:rPr>
          <w:rFonts w:hint="eastAsia" w:ascii="宋体" w:hAnsi="宋体" w:eastAsia="宋体" w:cs="宋体"/>
          <w:color w:val="FF0000"/>
          <w:sz w:val="21"/>
          <w:szCs w:val="21"/>
          <w:highlight w:val="none"/>
          <w:lang w:val="en-US" w:eastAsia="zh-CN" w:bidi="ar-SA"/>
        </w:rPr>
      </w:pPr>
      <w:r>
        <w:rPr>
          <w:rFonts w:hint="eastAsia" w:ascii="宋体" w:hAnsi="宋体" w:eastAsia="宋体" w:cs="宋体"/>
          <w:color w:val="FF0000"/>
          <w:sz w:val="21"/>
          <w:szCs w:val="21"/>
          <w:highlight w:val="none"/>
          <w:lang w:val="en-US" w:eastAsia="zh-CN" w:bidi="ar-SA"/>
        </w:rPr>
        <w:t>1.结算货款时，应由采购人财务人员严格审核送货清单，按双方事先确定的结算折扣率每月予以结算。采购人凭采购合同、发票按需结算款项。</w:t>
      </w:r>
    </w:p>
    <w:p w14:paraId="212F2FC8">
      <w:pPr>
        <w:adjustRightInd w:val="0"/>
        <w:spacing w:line="360" w:lineRule="auto"/>
        <w:ind w:firstLine="420" w:firstLineChars="200"/>
        <w:jc w:val="both"/>
        <w:textAlignment w:val="baseline"/>
        <w:rPr>
          <w:rFonts w:hint="eastAsia" w:ascii="宋体" w:hAnsi="宋体" w:eastAsia="宋体" w:cs="宋体"/>
          <w:color w:val="FF0000"/>
          <w:sz w:val="21"/>
          <w:szCs w:val="21"/>
          <w:highlight w:val="none"/>
          <w:lang w:val="en-US" w:eastAsia="zh-CN" w:bidi="ar-SA"/>
        </w:rPr>
      </w:pPr>
      <w:r>
        <w:rPr>
          <w:rFonts w:hint="eastAsia" w:ascii="宋体" w:hAnsi="宋体" w:eastAsia="宋体" w:cs="宋体"/>
          <w:color w:val="FF0000"/>
          <w:sz w:val="21"/>
          <w:szCs w:val="21"/>
          <w:highlight w:val="none"/>
          <w:lang w:val="en-US" w:eastAsia="zh-CN" w:bidi="ar-SA"/>
        </w:rPr>
        <w:t>2.中标人若配送本项目服务内容规定范围之外的产品或服务（与食材配送无关的产品或服务）的，采购人将不予支付相关货款。</w:t>
      </w:r>
    </w:p>
    <w:p w14:paraId="2A0783E7">
      <w:pPr>
        <w:adjustRightInd w:val="0"/>
        <w:spacing w:line="360" w:lineRule="auto"/>
        <w:ind w:firstLine="420" w:firstLineChars="200"/>
        <w:jc w:val="both"/>
        <w:textAlignment w:val="baseline"/>
        <w:rPr>
          <w:rFonts w:hint="default" w:ascii="宋体" w:hAnsi="宋体" w:eastAsia="宋体" w:cs="宋体"/>
          <w:color w:val="FF0000"/>
          <w:sz w:val="21"/>
          <w:szCs w:val="21"/>
          <w:highlight w:val="none"/>
          <w:lang w:val="en-US" w:eastAsia="zh-CN" w:bidi="ar-SA"/>
        </w:rPr>
      </w:pPr>
      <w:r>
        <w:rPr>
          <w:rFonts w:hint="eastAsia" w:ascii="宋体" w:hAnsi="宋体" w:eastAsia="宋体" w:cs="宋体"/>
          <w:color w:val="FF0000"/>
          <w:sz w:val="21"/>
          <w:szCs w:val="21"/>
          <w:highlight w:val="none"/>
          <w:lang w:val="en-US" w:eastAsia="zh-CN" w:bidi="ar-SA"/>
        </w:rPr>
        <w:t>3.中标人无正当理由在接到中标人开票通知之日起单次累计超过30日未提供付款资料的，采购人将不予支付剩余对应费用并上报主管部门。</w:t>
      </w:r>
    </w:p>
    <w:p w14:paraId="711B3719">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（五）履约考核要求</w:t>
      </w:r>
    </w:p>
    <w:p w14:paraId="37401A51">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本项目履约考核管理按照《深圳市公安局光明公安分局食堂物资配送供应商考核管理办法》执行，执行过程若存在任何争议，双方协商解决，协商未果的，由分局相关部门处理。</w:t>
      </w:r>
    </w:p>
    <w:p w14:paraId="38367EB9">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（六）保密要求</w:t>
      </w:r>
    </w:p>
    <w:p w14:paraId="34ADC5F7">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在项目履约过程中，供应商对接触到或知悉的采购人的资料信息承担保密责任，不得向任何第三方透露，不得在规定的合作目的之外使用或向第三方透露任何信息和材料，不管是口头的或是书面的，还是以磁盘、胶片或电子邮件等形式存在的，资料和信息等内容保密的时效不受合同有效时间的限制，按照国家、省的有关法规文件规定，履行保密责任。</w:t>
      </w:r>
    </w:p>
    <w:p w14:paraId="7738A3A1">
      <w:pPr>
        <w:widowControl w:val="0"/>
        <w:spacing w:before="156" w:beforeLines="50" w:after="156" w:afterLines="50" w:line="276" w:lineRule="auto"/>
        <w:ind w:left="0" w:leftChars="0"/>
        <w:jc w:val="both"/>
        <w:outlineLvl w:val="3"/>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（七）注意事项</w:t>
      </w:r>
    </w:p>
    <w:p w14:paraId="2BB162E0">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1.投标人若认为招标文件的技术要求或其他要求有倾向性或不公正性，可在招标答疑阶段提出，以维护招标行为的公平、公正。</w:t>
      </w:r>
    </w:p>
    <w:p w14:paraId="30AF502D">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由深圳市公安局光明分局和中标人签订服务合同，深圳市公安局光明分局有权在签订合同前对中标人投标文件中的所有资料原件进行查验，以及对其投标文件中提供的场地进行实地考察，中标人应当无条件配合；如中标人无法按要求提供的或发现虚假应标的情形，深圳市公安局光明分局有权报主管部门处理。</w:t>
      </w:r>
    </w:p>
    <w:p w14:paraId="5FDA9077">
      <w:pPr>
        <w:adjustRightInd w:val="0"/>
        <w:spacing w:line="360" w:lineRule="auto"/>
        <w:ind w:firstLine="0" w:firstLineChars="0"/>
        <w:jc w:val="both"/>
        <w:textAlignment w:val="baseline"/>
        <w:rPr>
          <w:rFonts w:ascii="宋体" w:hAnsi="宋体" w:eastAsia="宋体" w:cs="宋体"/>
          <w:sz w:val="21"/>
          <w:szCs w:val="21"/>
          <w:highlight w:val="none"/>
          <w:lang w:val="en-US" w:eastAsia="zh-CN" w:bidi="ar-SA"/>
        </w:rPr>
      </w:pPr>
    </w:p>
    <w:p w14:paraId="115B48E3">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p>
    <w:p w14:paraId="5D7C18A0">
      <w:pPr>
        <w:adjustRightInd w:val="0"/>
        <w:spacing w:line="360" w:lineRule="auto"/>
        <w:ind w:firstLine="420" w:firstLineChars="200"/>
        <w:jc w:val="both"/>
        <w:textAlignment w:val="baseline"/>
        <w:rPr>
          <w:rFonts w:ascii="宋体" w:hAnsi="宋体" w:eastAsia="宋体" w:cs="宋体"/>
          <w:sz w:val="21"/>
          <w:szCs w:val="21"/>
          <w:highlight w:val="none"/>
          <w:lang w:val="en-US" w:eastAsia="zh-CN" w:bidi="ar-SA"/>
        </w:rPr>
      </w:pPr>
    </w:p>
    <w:p w14:paraId="17AC9DDB">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附：《深圳市公安局光明公安分局食堂物资配送供应商考核管理办法》</w:t>
      </w:r>
    </w:p>
    <w:p w14:paraId="1B8E91E0">
      <w:pPr>
        <w:rPr>
          <w:rFonts w:ascii="宋体" w:hAnsi="宋体" w:eastAsia="宋体" w:cs="宋体"/>
          <w:b/>
          <w:bCs/>
          <w:sz w:val="28"/>
          <w:szCs w:val="28"/>
          <w:highlight w:val="none"/>
          <w:lang w:val="en-US" w:eastAsia="zh-CN" w:bidi="ar-SA"/>
        </w:rPr>
      </w:pPr>
    </w:p>
    <w:p w14:paraId="69388DB0">
      <w:pPr>
        <w:spacing w:after="312" w:afterLines="100" w:line="360" w:lineRule="exact"/>
        <w:ind w:firstLine="422" w:firstLineChars="200"/>
        <w:jc w:val="center"/>
        <w:rPr>
          <w:rFonts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食堂物资配送供应商考核管理办法</w:t>
      </w:r>
    </w:p>
    <w:p w14:paraId="40E7040F">
      <w:pPr>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为进一步建立健全分局各伙食单位食堂物资配送供应商管理机制，规范食堂物资配送行为，加强对供应商的日常管理和质量、服务的考核工作，从而优化供应商结构，提高配送水平，有效防控风险。依据《中华人民共和国政府采购法》、《深圳经济特区政府采购条例》等有关规定，特制定本办法。</w:t>
      </w:r>
    </w:p>
    <w:p w14:paraId="67382673">
      <w:pPr>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 </w:t>
      </w:r>
    </w:p>
    <w:p w14:paraId="210B0CFF">
      <w:pPr>
        <w:spacing w:line="360" w:lineRule="exact"/>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第一条 适用范围</w:t>
      </w:r>
    </w:p>
    <w:p w14:paraId="043BEE02">
      <w:pPr>
        <w:spacing w:line="360" w:lineRule="exact"/>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 xml:space="preserve"> </w:t>
      </w:r>
    </w:p>
    <w:p w14:paraId="61C1144F">
      <w:pPr>
        <w:spacing w:line="360" w:lineRule="exact"/>
        <w:ind w:firstLine="420" w:firstLineChars="200"/>
        <w:rPr>
          <w:rFonts w:ascii="宋体" w:hAnsi="宋体" w:eastAsia="宋体" w:cs="宋体"/>
          <w:color w:val="FF0000"/>
          <w:sz w:val="21"/>
          <w:szCs w:val="21"/>
          <w:highlight w:val="none"/>
          <w:lang w:val="en-US" w:eastAsia="zh-CN" w:bidi="ar-SA"/>
        </w:rPr>
      </w:pPr>
      <w:r>
        <w:rPr>
          <w:rFonts w:hint="eastAsia" w:ascii="宋体" w:hAnsi="宋体" w:eastAsia="宋体" w:cs="宋体"/>
          <w:sz w:val="21"/>
          <w:szCs w:val="21"/>
          <w:highlight w:val="none"/>
          <w:lang w:val="en-US" w:eastAsia="zh-CN" w:bidi="ar-SA"/>
        </w:rPr>
        <w:t>本办法所涉及的供应商是指分局通过政府集中采购向社会公开招标的食堂物资配送供应商。</w:t>
      </w:r>
    </w:p>
    <w:p w14:paraId="25BDB480">
      <w:pPr>
        <w:spacing w:line="360" w:lineRule="exact"/>
        <w:ind w:firstLine="420" w:firstLineChars="200"/>
        <w:rPr>
          <w:rFonts w:ascii="宋体" w:hAnsi="宋体" w:eastAsia="宋体" w:cs="宋体"/>
          <w:b/>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       </w:t>
      </w:r>
      <w:r>
        <w:rPr>
          <w:rFonts w:hint="eastAsia" w:ascii="宋体" w:hAnsi="宋体" w:eastAsia="宋体" w:cs="宋体"/>
          <w:b/>
          <w:sz w:val="21"/>
          <w:szCs w:val="21"/>
          <w:highlight w:val="none"/>
          <w:lang w:val="en-US" w:eastAsia="zh-CN" w:bidi="ar-SA"/>
        </w:rPr>
        <w:t xml:space="preserve">      </w:t>
      </w:r>
    </w:p>
    <w:p w14:paraId="60F0E664">
      <w:pPr>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第二条 供应商使用方式</w:t>
      </w:r>
    </w:p>
    <w:p w14:paraId="3E1190AA">
      <w:pPr>
        <w:spacing w:line="360" w:lineRule="exact"/>
        <w:ind w:firstLine="420" w:firstLineChars="200"/>
        <w:jc w:val="center"/>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 </w:t>
      </w:r>
    </w:p>
    <w:p w14:paraId="7D1B46A1">
      <w:pPr>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按政府集中采购程序，通过公开招标，综合评审选出中标配送供应商，与其签订一年服务合同。</w:t>
      </w:r>
    </w:p>
    <w:p w14:paraId="25A3B550">
      <w:pPr>
        <w:spacing w:line="360" w:lineRule="exact"/>
        <w:ind w:firstLine="422" w:firstLineChars="200"/>
        <w:jc w:val="center"/>
        <w:rPr>
          <w:rFonts w:ascii="宋体" w:hAnsi="宋体" w:eastAsia="宋体" w:cs="宋体"/>
          <w:b/>
          <w:sz w:val="21"/>
          <w:szCs w:val="21"/>
          <w:highlight w:val="none"/>
          <w:lang w:val="en-US" w:eastAsia="zh-CN" w:bidi="ar-SA"/>
        </w:rPr>
      </w:pPr>
    </w:p>
    <w:p w14:paraId="66BCD4F1">
      <w:pPr>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第三条 考评小组的设置</w:t>
      </w:r>
    </w:p>
    <w:p w14:paraId="3821B744">
      <w:pPr>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 xml:space="preserve"> </w:t>
      </w:r>
    </w:p>
    <w:p w14:paraId="44E3BB1D">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采购方设立食堂物资配送供应商考核评价小组，具体负责供应商的考核评价工作。</w:t>
      </w:r>
    </w:p>
    <w:p w14:paraId="4C79FCCD">
      <w:pPr>
        <w:adjustRightInd w:val="0"/>
        <w:snapToGrid w:val="0"/>
        <w:spacing w:line="360" w:lineRule="exact"/>
        <w:ind w:firstLine="527" w:firstLineChars="250"/>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职  责：</w:t>
      </w:r>
    </w:p>
    <w:p w14:paraId="2D2CC733">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（1）监督供应商的物资配送行为；</w:t>
      </w:r>
    </w:p>
    <w:p w14:paraId="0B5D0155">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（2）建立供应商考评档案台账；</w:t>
      </w:r>
    </w:p>
    <w:p w14:paraId="1676EDAF">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（3）商讨本单位日常考核评价中遇到的问题，商定当月的考核评价结果。</w:t>
      </w:r>
    </w:p>
    <w:p w14:paraId="185F98AB">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（4）负责审核、商定供应商考核年度（合同期）考核结果。</w:t>
      </w:r>
    </w:p>
    <w:p w14:paraId="61CFC726">
      <w:pPr>
        <w:adjustRightInd w:val="0"/>
        <w:snapToGrid w:val="0"/>
        <w:spacing w:line="360" w:lineRule="exact"/>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 </w:t>
      </w:r>
    </w:p>
    <w:p w14:paraId="402AEEB3">
      <w:pPr>
        <w:adjustRightInd w:val="0"/>
        <w:snapToGrid w:val="0"/>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 xml:space="preserve"> </w:t>
      </w:r>
    </w:p>
    <w:p w14:paraId="273051AA">
      <w:pPr>
        <w:adjustRightInd w:val="0"/>
        <w:snapToGrid w:val="0"/>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第四条 考核内容及评分细则</w:t>
      </w:r>
    </w:p>
    <w:p w14:paraId="4C59D37A">
      <w:pPr>
        <w:adjustRightInd w:val="0"/>
        <w:snapToGrid w:val="0"/>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 xml:space="preserve"> </w:t>
      </w:r>
    </w:p>
    <w:p w14:paraId="7B08A9E3">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考核内容及评分细则按下表执行：</w:t>
      </w:r>
    </w:p>
    <w:p w14:paraId="2B9F6D88">
      <w:pPr>
        <w:spacing w:line="360" w:lineRule="exact"/>
        <w:rPr>
          <w:rFonts w:ascii="宋体" w:hAnsi="宋体" w:eastAsia="宋体" w:cs="宋体"/>
          <w:b/>
          <w:bCs/>
          <w:sz w:val="21"/>
          <w:szCs w:val="21"/>
          <w:highlight w:val="none"/>
          <w:lang w:val="en-US" w:eastAsia="zh-CN" w:bidi="ar-SA"/>
        </w:rPr>
      </w:pPr>
    </w:p>
    <w:tbl>
      <w:tblPr>
        <w:tblStyle w:val="17"/>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069"/>
        <w:gridCol w:w="1449"/>
        <w:gridCol w:w="4861"/>
        <w:gridCol w:w="772"/>
        <w:gridCol w:w="616"/>
      </w:tblGrid>
      <w:tr w14:paraId="0EA2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op w:val="single" w:color="auto" w:sz="4" w:space="0"/>
              <w:left w:val="single" w:color="auto" w:sz="4" w:space="0"/>
              <w:bottom w:val="single" w:color="auto" w:sz="4" w:space="0"/>
              <w:right w:val="single" w:color="auto" w:sz="4" w:space="0"/>
            </w:tcBorders>
            <w:vAlign w:val="center"/>
          </w:tcPr>
          <w:p w14:paraId="4013705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序号</w:t>
            </w:r>
          </w:p>
        </w:tc>
        <w:tc>
          <w:tcPr>
            <w:tcW w:w="972" w:type="dxa"/>
            <w:tcBorders>
              <w:top w:val="single" w:color="auto" w:sz="4" w:space="0"/>
              <w:left w:val="single" w:color="auto" w:sz="4" w:space="0"/>
              <w:bottom w:val="single" w:color="auto" w:sz="4" w:space="0"/>
              <w:right w:val="single" w:color="auto" w:sz="4" w:space="0"/>
            </w:tcBorders>
            <w:vAlign w:val="center"/>
          </w:tcPr>
          <w:p w14:paraId="210140D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类别</w:t>
            </w:r>
          </w:p>
        </w:tc>
        <w:tc>
          <w:tcPr>
            <w:tcW w:w="1317" w:type="dxa"/>
            <w:tcBorders>
              <w:top w:val="single" w:color="auto" w:sz="4" w:space="0"/>
              <w:left w:val="single" w:color="auto" w:sz="4" w:space="0"/>
              <w:bottom w:val="single" w:color="auto" w:sz="4" w:space="0"/>
              <w:right w:val="single" w:color="auto" w:sz="4" w:space="0"/>
            </w:tcBorders>
            <w:vAlign w:val="center"/>
          </w:tcPr>
          <w:p w14:paraId="5471FB8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内容</w:t>
            </w:r>
          </w:p>
        </w:tc>
        <w:tc>
          <w:tcPr>
            <w:tcW w:w="4419" w:type="dxa"/>
            <w:tcBorders>
              <w:top w:val="single" w:color="auto" w:sz="4" w:space="0"/>
              <w:left w:val="single" w:color="auto" w:sz="4" w:space="0"/>
              <w:bottom w:val="single" w:color="auto" w:sz="4" w:space="0"/>
              <w:right w:val="single" w:color="auto" w:sz="4" w:space="0"/>
            </w:tcBorders>
            <w:vAlign w:val="center"/>
          </w:tcPr>
          <w:p w14:paraId="0ED35C2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评分细则</w:t>
            </w:r>
          </w:p>
        </w:tc>
        <w:tc>
          <w:tcPr>
            <w:tcW w:w="702" w:type="dxa"/>
            <w:tcBorders>
              <w:top w:val="single" w:color="auto" w:sz="4" w:space="0"/>
              <w:left w:val="single" w:color="auto" w:sz="4" w:space="0"/>
              <w:bottom w:val="single" w:color="auto" w:sz="4" w:space="0"/>
              <w:right w:val="single" w:color="auto" w:sz="4" w:space="0"/>
            </w:tcBorders>
            <w:vAlign w:val="center"/>
          </w:tcPr>
          <w:p w14:paraId="37E0ECA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分值</w:t>
            </w:r>
          </w:p>
        </w:tc>
        <w:tc>
          <w:tcPr>
            <w:tcW w:w="560" w:type="dxa"/>
            <w:tcBorders>
              <w:top w:val="single" w:color="auto" w:sz="4" w:space="0"/>
              <w:left w:val="single" w:color="auto" w:sz="4" w:space="0"/>
              <w:bottom w:val="single" w:color="auto" w:sz="4" w:space="0"/>
              <w:right w:val="single" w:color="auto" w:sz="4" w:space="0"/>
            </w:tcBorders>
            <w:vAlign w:val="center"/>
          </w:tcPr>
          <w:p w14:paraId="79D91A8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得分</w:t>
            </w:r>
          </w:p>
        </w:tc>
      </w:tr>
      <w:tr w14:paraId="6ED4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restart"/>
            <w:tcBorders>
              <w:top w:val="single" w:color="auto" w:sz="4" w:space="0"/>
              <w:left w:val="single" w:color="auto" w:sz="4" w:space="0"/>
              <w:right w:val="single" w:color="auto" w:sz="4" w:space="0"/>
            </w:tcBorders>
            <w:vAlign w:val="center"/>
          </w:tcPr>
          <w:p w14:paraId="35CA93C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w:t>
            </w:r>
          </w:p>
        </w:tc>
        <w:tc>
          <w:tcPr>
            <w:tcW w:w="972" w:type="dxa"/>
            <w:vMerge w:val="restart"/>
            <w:tcBorders>
              <w:top w:val="single" w:color="auto" w:sz="4" w:space="0"/>
              <w:left w:val="single" w:color="auto" w:sz="4" w:space="0"/>
              <w:right w:val="single" w:color="auto" w:sz="4" w:space="0"/>
            </w:tcBorders>
            <w:vAlign w:val="center"/>
          </w:tcPr>
          <w:p w14:paraId="65C4793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企业管理</w:t>
            </w:r>
          </w:p>
        </w:tc>
        <w:tc>
          <w:tcPr>
            <w:tcW w:w="1317" w:type="dxa"/>
            <w:tcBorders>
              <w:top w:val="single" w:color="auto" w:sz="4" w:space="0"/>
              <w:left w:val="single" w:color="auto" w:sz="4" w:space="0"/>
              <w:bottom w:val="single" w:color="auto" w:sz="4" w:space="0"/>
              <w:right w:val="single" w:color="auto" w:sz="4" w:space="0"/>
            </w:tcBorders>
            <w:vAlign w:val="center"/>
          </w:tcPr>
          <w:p w14:paraId="58CF1F2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管理规范</w:t>
            </w:r>
          </w:p>
        </w:tc>
        <w:tc>
          <w:tcPr>
            <w:tcW w:w="4419" w:type="dxa"/>
            <w:tcBorders>
              <w:top w:val="single" w:color="auto" w:sz="4" w:space="0"/>
              <w:left w:val="single" w:color="auto" w:sz="4" w:space="0"/>
              <w:bottom w:val="single" w:color="auto" w:sz="4" w:space="0"/>
              <w:right w:val="single" w:color="auto" w:sz="4" w:space="0"/>
            </w:tcBorders>
            <w:vAlign w:val="center"/>
          </w:tcPr>
          <w:p w14:paraId="5B748C21">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具有完整详细的阶段性具体服务实施计划及应急预案，明确人员的分配、工作职责安排及管理制度，服务资料档案保存完整、建立供应台账，货源、采购渠道、供货保障、品质监控、日常管理组织、物流配送等符合本项目的整体需求，材料不齐全的每处扣1分，累计每月最高扣5分</w:t>
            </w:r>
          </w:p>
        </w:tc>
        <w:tc>
          <w:tcPr>
            <w:tcW w:w="702" w:type="dxa"/>
            <w:tcBorders>
              <w:top w:val="single" w:color="auto" w:sz="4" w:space="0"/>
              <w:left w:val="single" w:color="auto" w:sz="4" w:space="0"/>
              <w:bottom w:val="single" w:color="auto" w:sz="4" w:space="0"/>
              <w:right w:val="single" w:color="auto" w:sz="4" w:space="0"/>
            </w:tcBorders>
            <w:vAlign w:val="center"/>
          </w:tcPr>
          <w:p w14:paraId="21131E4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5</w:t>
            </w:r>
          </w:p>
        </w:tc>
        <w:tc>
          <w:tcPr>
            <w:tcW w:w="560" w:type="dxa"/>
            <w:tcBorders>
              <w:top w:val="single" w:color="auto" w:sz="4" w:space="0"/>
              <w:left w:val="single" w:color="auto" w:sz="4" w:space="0"/>
              <w:bottom w:val="single" w:color="auto" w:sz="4" w:space="0"/>
              <w:right w:val="single" w:color="auto" w:sz="4" w:space="0"/>
            </w:tcBorders>
            <w:vAlign w:val="center"/>
          </w:tcPr>
          <w:p w14:paraId="261B1DF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21FC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continue"/>
            <w:tcBorders>
              <w:left w:val="single" w:color="auto" w:sz="4" w:space="0"/>
              <w:bottom w:val="single" w:color="auto" w:sz="4" w:space="0"/>
              <w:right w:val="single" w:color="auto" w:sz="4" w:space="0"/>
            </w:tcBorders>
            <w:vAlign w:val="center"/>
          </w:tcPr>
          <w:p w14:paraId="6DD412F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972" w:type="dxa"/>
            <w:vMerge w:val="continue"/>
            <w:tcBorders>
              <w:left w:val="single" w:color="auto" w:sz="4" w:space="0"/>
              <w:bottom w:val="single" w:color="auto" w:sz="4" w:space="0"/>
              <w:right w:val="single" w:color="auto" w:sz="4" w:space="0"/>
            </w:tcBorders>
            <w:vAlign w:val="center"/>
          </w:tcPr>
          <w:p w14:paraId="0C3E8AE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317" w:type="dxa"/>
            <w:tcBorders>
              <w:top w:val="single" w:color="auto" w:sz="4" w:space="0"/>
              <w:left w:val="single" w:color="auto" w:sz="4" w:space="0"/>
              <w:bottom w:val="single" w:color="auto" w:sz="4" w:space="0"/>
              <w:right w:val="single" w:color="auto" w:sz="4" w:space="0"/>
            </w:tcBorders>
            <w:vAlign w:val="center"/>
          </w:tcPr>
          <w:p w14:paraId="6D9F03C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配合执行相关政策</w:t>
            </w:r>
          </w:p>
        </w:tc>
        <w:tc>
          <w:tcPr>
            <w:tcW w:w="4419" w:type="dxa"/>
            <w:tcBorders>
              <w:top w:val="single" w:color="auto" w:sz="4" w:space="0"/>
              <w:left w:val="single" w:color="auto" w:sz="4" w:space="0"/>
              <w:bottom w:val="single" w:color="auto" w:sz="4" w:space="0"/>
              <w:right w:val="single" w:color="auto" w:sz="4" w:space="0"/>
            </w:tcBorders>
            <w:vAlign w:val="center"/>
          </w:tcPr>
          <w:p w14:paraId="37AB402A">
            <w:pPr>
              <w:keepNext w:val="0"/>
              <w:keepLines w:val="0"/>
              <w:widowControl/>
              <w:suppressLineNumbers w:val="0"/>
              <w:wordWrap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投标人应无条件配合采购人落实上级及本单位食堂管理相关要求，包括但不限于：1.配合采购人落实上级关于消费扶贫农副产品采购的要求，完成从指定渠道供应扶贫产品的任务，不配合工作开展的，每次扣2分；买菜服务”中供菜价格应与本项目中标折扣率相同、供应价格相同，不配合开展的，供货不及时或价格不按要求执行的，每次扣2分。</w:t>
            </w:r>
          </w:p>
        </w:tc>
        <w:tc>
          <w:tcPr>
            <w:tcW w:w="702" w:type="dxa"/>
            <w:tcBorders>
              <w:top w:val="single" w:color="auto" w:sz="4" w:space="0"/>
              <w:left w:val="single" w:color="auto" w:sz="4" w:space="0"/>
              <w:bottom w:val="single" w:color="auto" w:sz="4" w:space="0"/>
              <w:right w:val="single" w:color="auto" w:sz="4" w:space="0"/>
            </w:tcBorders>
            <w:vAlign w:val="center"/>
          </w:tcPr>
          <w:p w14:paraId="74F223A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5</w:t>
            </w:r>
          </w:p>
        </w:tc>
        <w:tc>
          <w:tcPr>
            <w:tcW w:w="560" w:type="dxa"/>
            <w:tcBorders>
              <w:top w:val="single" w:color="auto" w:sz="4" w:space="0"/>
              <w:left w:val="single" w:color="auto" w:sz="4" w:space="0"/>
              <w:bottom w:val="single" w:color="auto" w:sz="4" w:space="0"/>
              <w:right w:val="single" w:color="auto" w:sz="4" w:space="0"/>
            </w:tcBorders>
            <w:vAlign w:val="center"/>
          </w:tcPr>
          <w:p w14:paraId="6CE49E4E">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1471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op w:val="single" w:color="auto" w:sz="4" w:space="0"/>
              <w:left w:val="single" w:color="auto" w:sz="4" w:space="0"/>
              <w:bottom w:val="single" w:color="auto" w:sz="4" w:space="0"/>
              <w:right w:val="single" w:color="auto" w:sz="4" w:space="0"/>
            </w:tcBorders>
            <w:vAlign w:val="center"/>
          </w:tcPr>
          <w:p w14:paraId="627EEDB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w:t>
            </w:r>
          </w:p>
        </w:tc>
        <w:tc>
          <w:tcPr>
            <w:tcW w:w="972" w:type="dxa"/>
            <w:tcBorders>
              <w:top w:val="single" w:color="auto" w:sz="4" w:space="0"/>
              <w:left w:val="single" w:color="auto" w:sz="4" w:space="0"/>
              <w:bottom w:val="single" w:color="auto" w:sz="4" w:space="0"/>
              <w:right w:val="single" w:color="auto" w:sz="4" w:space="0"/>
            </w:tcBorders>
            <w:vAlign w:val="center"/>
          </w:tcPr>
          <w:p w14:paraId="6D606AC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价格</w:t>
            </w:r>
          </w:p>
        </w:tc>
        <w:tc>
          <w:tcPr>
            <w:tcW w:w="1317" w:type="dxa"/>
            <w:tcBorders>
              <w:top w:val="single" w:color="auto" w:sz="4" w:space="0"/>
              <w:left w:val="single" w:color="auto" w:sz="4" w:space="0"/>
              <w:bottom w:val="single" w:color="auto" w:sz="4" w:space="0"/>
              <w:right w:val="single" w:color="auto" w:sz="4" w:space="0"/>
            </w:tcBorders>
            <w:vAlign w:val="center"/>
          </w:tcPr>
          <w:p w14:paraId="5F9362B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价格执行情况</w:t>
            </w:r>
          </w:p>
        </w:tc>
        <w:tc>
          <w:tcPr>
            <w:tcW w:w="4419" w:type="dxa"/>
            <w:tcBorders>
              <w:top w:val="single" w:color="auto" w:sz="4" w:space="0"/>
              <w:left w:val="single" w:color="auto" w:sz="4" w:space="0"/>
              <w:bottom w:val="single" w:color="auto" w:sz="4" w:space="0"/>
              <w:right w:val="single" w:color="auto" w:sz="4" w:space="0"/>
            </w:tcBorders>
            <w:vAlign w:val="center"/>
          </w:tcPr>
          <w:p w14:paraId="7F54E51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根据采购方的要求定期报价、建立完善的报价机制，价格合理、且符合采购单位实际需求。是否建立完善的报价机制；是否存在临时补货物品价格虚高的情况；</w:t>
            </w:r>
            <w:r>
              <w:rPr>
                <w:rFonts w:hint="eastAsia" w:ascii="宋体" w:hAnsi="宋体" w:eastAsia="宋体" w:cs="宋体"/>
                <w:sz w:val="21"/>
                <w:szCs w:val="21"/>
                <w:highlight w:val="none"/>
                <w:lang w:val="en-US" w:eastAsia="zh-CN" w:bidi="ar-SA"/>
              </w:rPr>
              <w:t>是否严格按照</w:t>
            </w:r>
            <w:r>
              <w:rPr>
                <w:rFonts w:hint="eastAsia" w:ascii="宋体" w:hAnsi="宋体" w:eastAsia="宋体" w:cs="宋体"/>
                <w:bCs/>
                <w:kern w:val="2"/>
                <w:sz w:val="21"/>
                <w:szCs w:val="21"/>
                <w:highlight w:val="none"/>
                <w:lang w:val="en-US" w:eastAsia="zh-CN" w:bidi="ar-SA"/>
              </w:rPr>
              <w:t>深圳市中农数据有限公司（天天采配服务平台）中有价格的产品，以深圳市中农数据有限公司（天天采配服务平台）（网址：www.chinaap.com）上个月整月公布的价格（非含费价）取平均值作为该项物资的基准价，结算时价格=折扣率*基准价。</w:t>
            </w:r>
            <w:r>
              <w:rPr>
                <w:rFonts w:hint="eastAsia" w:ascii="宋体" w:hAnsi="宋体" w:eastAsia="宋体" w:cs="宋体"/>
                <w:sz w:val="21"/>
                <w:szCs w:val="21"/>
                <w:highlight w:val="none"/>
                <w:lang w:val="zh-CN" w:eastAsia="zh-CN" w:bidi="ar-SA"/>
              </w:rPr>
              <w:t>是否存在</w:t>
            </w:r>
            <w:r>
              <w:rPr>
                <w:rFonts w:hint="eastAsia" w:ascii="宋体" w:hAnsi="宋体" w:eastAsia="宋体" w:cs="宋体"/>
                <w:sz w:val="21"/>
                <w:szCs w:val="21"/>
                <w:highlight w:val="none"/>
                <w:lang w:val="en-US" w:eastAsia="zh-CN" w:bidi="ar-SA"/>
              </w:rPr>
              <w:t>对食材</w:t>
            </w:r>
            <w:r>
              <w:rPr>
                <w:rFonts w:hint="eastAsia" w:ascii="宋体" w:hAnsi="宋体" w:eastAsia="宋体" w:cs="宋体"/>
                <w:sz w:val="21"/>
                <w:szCs w:val="21"/>
                <w:highlight w:val="none"/>
                <w:lang w:val="zh-CN" w:eastAsia="zh-CN" w:bidi="ar-SA"/>
              </w:rPr>
              <w:t>价格乱报、错报等的情况；是否存在月度结算对账不及时情况。每发现1次，扣2分，累计最高扣分5分。</w:t>
            </w:r>
          </w:p>
        </w:tc>
        <w:tc>
          <w:tcPr>
            <w:tcW w:w="702" w:type="dxa"/>
            <w:tcBorders>
              <w:top w:val="single" w:color="auto" w:sz="4" w:space="0"/>
              <w:left w:val="single" w:color="auto" w:sz="4" w:space="0"/>
              <w:bottom w:val="single" w:color="auto" w:sz="4" w:space="0"/>
              <w:right w:val="single" w:color="auto" w:sz="4" w:space="0"/>
            </w:tcBorders>
            <w:vAlign w:val="center"/>
          </w:tcPr>
          <w:p w14:paraId="2A3322E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5</w:t>
            </w:r>
          </w:p>
        </w:tc>
        <w:tc>
          <w:tcPr>
            <w:tcW w:w="560" w:type="dxa"/>
            <w:tcBorders>
              <w:top w:val="single" w:color="auto" w:sz="4" w:space="0"/>
              <w:left w:val="single" w:color="auto" w:sz="4" w:space="0"/>
              <w:bottom w:val="single" w:color="auto" w:sz="4" w:space="0"/>
              <w:right w:val="single" w:color="auto" w:sz="4" w:space="0"/>
            </w:tcBorders>
            <w:vAlign w:val="center"/>
          </w:tcPr>
          <w:p w14:paraId="6D29527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6CF2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52" w:type="dxa"/>
            <w:vMerge w:val="restart"/>
            <w:tcBorders>
              <w:top w:val="single" w:color="auto" w:sz="4" w:space="0"/>
              <w:left w:val="single" w:color="auto" w:sz="4" w:space="0"/>
              <w:bottom w:val="single" w:color="auto" w:sz="4" w:space="0"/>
              <w:right w:val="single" w:color="auto" w:sz="4" w:space="0"/>
            </w:tcBorders>
            <w:vAlign w:val="center"/>
          </w:tcPr>
          <w:p w14:paraId="7739E27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3</w:t>
            </w:r>
          </w:p>
        </w:tc>
        <w:tc>
          <w:tcPr>
            <w:tcW w:w="972" w:type="dxa"/>
            <w:vMerge w:val="restart"/>
            <w:tcBorders>
              <w:top w:val="single" w:color="auto" w:sz="4" w:space="0"/>
              <w:left w:val="single" w:color="auto" w:sz="4" w:space="0"/>
              <w:bottom w:val="single" w:color="auto" w:sz="4" w:space="0"/>
              <w:right w:val="single" w:color="auto" w:sz="4" w:space="0"/>
            </w:tcBorders>
            <w:vAlign w:val="center"/>
          </w:tcPr>
          <w:p w14:paraId="127C254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质量</w:t>
            </w:r>
          </w:p>
        </w:tc>
        <w:tc>
          <w:tcPr>
            <w:tcW w:w="1317" w:type="dxa"/>
            <w:tcBorders>
              <w:top w:val="single" w:color="auto" w:sz="4" w:space="0"/>
              <w:left w:val="single" w:color="auto" w:sz="4" w:space="0"/>
              <w:bottom w:val="single" w:color="auto" w:sz="4" w:space="0"/>
              <w:right w:val="single" w:color="auto" w:sz="4" w:space="0"/>
            </w:tcBorders>
            <w:vAlign w:val="center"/>
          </w:tcPr>
          <w:p w14:paraId="6AF107C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物品质量</w:t>
            </w:r>
          </w:p>
        </w:tc>
        <w:tc>
          <w:tcPr>
            <w:tcW w:w="4419" w:type="dxa"/>
            <w:tcBorders>
              <w:top w:val="single" w:color="auto" w:sz="4" w:space="0"/>
              <w:left w:val="single" w:color="auto" w:sz="4" w:space="0"/>
              <w:bottom w:val="single" w:color="auto" w:sz="4" w:space="0"/>
              <w:right w:val="single" w:color="auto" w:sz="4" w:space="0"/>
            </w:tcBorders>
            <w:vAlign w:val="center"/>
          </w:tcPr>
          <w:p w14:paraId="30D7EB60">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是否供应货物品种、品牌、规格或质量等级与合同要求不符，货不对板等；</w:t>
            </w:r>
            <w:r>
              <w:rPr>
                <w:rFonts w:hint="eastAsia" w:ascii="宋体" w:hAnsi="宋体" w:eastAsia="宋体" w:cs="宋体"/>
                <w:sz w:val="21"/>
                <w:szCs w:val="21"/>
                <w:highlight w:val="none"/>
                <w:lang w:val="zh-CN" w:eastAsia="zh-CN" w:bidi="ar-SA"/>
              </w:rPr>
              <w:t>配送物品是否存在霉烂、变质、过期、破损等不符质量要求的情况；是否存在以次充好达不到采购方要求的情况。及时更换，不影响供餐使用的每次扣一分，不及时改正的每发现1次扣</w:t>
            </w:r>
            <w:r>
              <w:rPr>
                <w:rFonts w:hint="eastAsia" w:ascii="宋体" w:hAnsi="宋体" w:eastAsia="宋体" w:cs="宋体"/>
                <w:sz w:val="21"/>
                <w:szCs w:val="21"/>
                <w:highlight w:val="none"/>
                <w:lang w:val="en-US" w:eastAsia="zh-CN" w:bidi="ar-SA"/>
              </w:rPr>
              <w:t>2</w:t>
            </w:r>
            <w:r>
              <w:rPr>
                <w:rFonts w:hint="eastAsia" w:ascii="宋体" w:hAnsi="宋体" w:eastAsia="宋体" w:cs="宋体"/>
                <w:sz w:val="21"/>
                <w:szCs w:val="21"/>
                <w:highlight w:val="none"/>
                <w:lang w:val="zh-CN" w:eastAsia="zh-CN" w:bidi="ar-SA"/>
              </w:rPr>
              <w:t>分，累计每月最高扣分10分。发现</w:t>
            </w:r>
            <w:r>
              <w:rPr>
                <w:rFonts w:hint="eastAsia" w:ascii="宋体" w:hAnsi="宋体" w:eastAsia="宋体" w:cs="宋体"/>
                <w:sz w:val="21"/>
                <w:szCs w:val="21"/>
                <w:highlight w:val="none"/>
                <w:lang w:val="en-US" w:eastAsia="zh-CN" w:bidi="ar-SA"/>
              </w:rPr>
              <w:t>把招标人验收不合格退货的货物重新配送给招标人的，</w:t>
            </w:r>
            <w:r>
              <w:rPr>
                <w:rFonts w:hint="eastAsia" w:ascii="宋体" w:hAnsi="宋体" w:eastAsia="宋体" w:cs="宋体"/>
                <w:sz w:val="21"/>
                <w:szCs w:val="21"/>
                <w:highlight w:val="none"/>
                <w:lang w:val="zh-CN" w:eastAsia="zh-CN" w:bidi="ar-SA"/>
              </w:rPr>
              <w:t>直接扣10分</w:t>
            </w:r>
            <w:r>
              <w:rPr>
                <w:rFonts w:hint="eastAsia" w:ascii="宋体" w:hAnsi="宋体" w:eastAsia="宋体" w:cs="宋体"/>
                <w:sz w:val="21"/>
                <w:szCs w:val="21"/>
                <w:highlight w:val="none"/>
                <w:lang w:val="en-US" w:eastAsia="zh-CN" w:bidi="ar-SA"/>
              </w:rPr>
              <w:t>；</w:t>
            </w:r>
          </w:p>
        </w:tc>
        <w:tc>
          <w:tcPr>
            <w:tcW w:w="702" w:type="dxa"/>
            <w:vMerge w:val="restart"/>
            <w:tcBorders>
              <w:top w:val="single" w:color="auto" w:sz="4" w:space="0"/>
              <w:left w:val="single" w:color="auto" w:sz="4" w:space="0"/>
              <w:bottom w:val="single" w:color="auto" w:sz="4" w:space="0"/>
              <w:right w:val="single" w:color="auto" w:sz="4" w:space="0"/>
            </w:tcBorders>
            <w:vAlign w:val="center"/>
          </w:tcPr>
          <w:p w14:paraId="6E94AA9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w:t>
            </w:r>
            <w:r>
              <w:rPr>
                <w:rFonts w:hint="eastAsia" w:ascii="宋体" w:hAnsi="宋体" w:eastAsia="宋体" w:cs="宋体"/>
                <w:sz w:val="21"/>
                <w:szCs w:val="21"/>
                <w:highlight w:val="none"/>
                <w:lang w:val="en-US" w:eastAsia="zh-CN" w:bidi="ar-SA"/>
              </w:rPr>
              <w:t>0</w:t>
            </w:r>
          </w:p>
        </w:tc>
        <w:tc>
          <w:tcPr>
            <w:tcW w:w="560" w:type="dxa"/>
            <w:vMerge w:val="restart"/>
            <w:tcBorders>
              <w:top w:val="single" w:color="auto" w:sz="4" w:space="0"/>
              <w:left w:val="single" w:color="auto" w:sz="4" w:space="0"/>
              <w:right w:val="single" w:color="auto" w:sz="4" w:space="0"/>
            </w:tcBorders>
            <w:vAlign w:val="center"/>
          </w:tcPr>
          <w:p w14:paraId="767A73B3">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1DC4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52" w:type="dxa"/>
            <w:vMerge w:val="continue"/>
            <w:tcBorders>
              <w:top w:val="single" w:color="auto" w:sz="4" w:space="0"/>
              <w:left w:val="single" w:color="auto" w:sz="4" w:space="0"/>
              <w:bottom w:val="single" w:color="auto" w:sz="4" w:space="0"/>
              <w:right w:val="single" w:color="auto" w:sz="4" w:space="0"/>
            </w:tcBorders>
            <w:vAlign w:val="center"/>
          </w:tcPr>
          <w:p w14:paraId="7F39E023">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14:paraId="283A25E5">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317" w:type="dxa"/>
            <w:tcBorders>
              <w:top w:val="single" w:color="auto" w:sz="4" w:space="0"/>
              <w:left w:val="single" w:color="auto" w:sz="4" w:space="0"/>
              <w:bottom w:val="single" w:color="auto" w:sz="4" w:space="0"/>
              <w:right w:val="single" w:color="auto" w:sz="4" w:space="0"/>
            </w:tcBorders>
            <w:vAlign w:val="center"/>
          </w:tcPr>
          <w:p w14:paraId="0197B46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供货响应率</w:t>
            </w:r>
          </w:p>
        </w:tc>
        <w:tc>
          <w:tcPr>
            <w:tcW w:w="4419" w:type="dxa"/>
            <w:tcBorders>
              <w:top w:val="single" w:color="auto" w:sz="4" w:space="0"/>
              <w:left w:val="single" w:color="auto" w:sz="4" w:space="0"/>
              <w:bottom w:val="single" w:color="auto" w:sz="4" w:space="0"/>
              <w:right w:val="single" w:color="auto" w:sz="4" w:space="0"/>
            </w:tcBorders>
            <w:vAlign w:val="center"/>
          </w:tcPr>
          <w:p w14:paraId="048BC1AC">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考核供应商的供货配送能力，是否能按照采购方在中农数据网下单的食材品种进行供货，评价缺货少货情况，采购方每日下单食材品种，缺货数量不得少于5种，如超过5种不能供应，每超出1种扣0.5分；</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127269E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560" w:type="dxa"/>
            <w:vMerge w:val="continue"/>
            <w:tcBorders>
              <w:left w:val="single" w:color="auto" w:sz="4" w:space="0"/>
              <w:right w:val="single" w:color="auto" w:sz="4" w:space="0"/>
            </w:tcBorders>
            <w:vAlign w:val="center"/>
          </w:tcPr>
          <w:p w14:paraId="74C3903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5139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52" w:type="dxa"/>
            <w:vMerge w:val="continue"/>
            <w:tcBorders>
              <w:top w:val="single" w:color="auto" w:sz="4" w:space="0"/>
              <w:left w:val="single" w:color="auto" w:sz="4" w:space="0"/>
              <w:bottom w:val="single" w:color="auto" w:sz="4" w:space="0"/>
              <w:right w:val="single" w:color="auto" w:sz="4" w:space="0"/>
            </w:tcBorders>
            <w:vAlign w:val="center"/>
          </w:tcPr>
          <w:p w14:paraId="55DB39FD">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14:paraId="1501060C">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317" w:type="dxa"/>
            <w:tcBorders>
              <w:top w:val="single" w:color="auto" w:sz="4" w:space="0"/>
              <w:left w:val="single" w:color="auto" w:sz="4" w:space="0"/>
              <w:bottom w:val="single" w:color="auto" w:sz="4" w:space="0"/>
              <w:right w:val="single" w:color="auto" w:sz="4" w:space="0"/>
            </w:tcBorders>
            <w:vAlign w:val="center"/>
          </w:tcPr>
          <w:p w14:paraId="7F95F0F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食品检测</w:t>
            </w:r>
          </w:p>
        </w:tc>
        <w:tc>
          <w:tcPr>
            <w:tcW w:w="4419" w:type="dxa"/>
            <w:tcBorders>
              <w:top w:val="single" w:color="auto" w:sz="4" w:space="0"/>
              <w:left w:val="single" w:color="auto" w:sz="4" w:space="0"/>
              <w:bottom w:val="single" w:color="auto" w:sz="4" w:space="0"/>
              <w:right w:val="single" w:color="auto" w:sz="4" w:space="0"/>
            </w:tcBorders>
            <w:vAlign w:val="center"/>
          </w:tcPr>
          <w:p w14:paraId="055AC6B3">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所供物资食品均符合《国家食品卫生标准》、《食品卫生法》和《动物检疫法》等相关规定，卫生安全，无毒、无害，配送车辆及人员的卫生、健康条件符合国家规定，未出现任何食品安全问题，采购方对配送物品进行食品安全检测，每发现1项不合格的，扣</w:t>
            </w:r>
            <w:r>
              <w:rPr>
                <w:rFonts w:hint="eastAsia" w:ascii="宋体" w:hAnsi="宋体" w:eastAsia="宋体" w:cs="宋体"/>
                <w:sz w:val="21"/>
                <w:szCs w:val="21"/>
                <w:highlight w:val="none"/>
                <w:lang w:val="en-US" w:eastAsia="zh-CN" w:bidi="ar-SA"/>
              </w:rPr>
              <w:t>5</w:t>
            </w:r>
            <w:r>
              <w:rPr>
                <w:rFonts w:hint="eastAsia" w:ascii="宋体" w:hAnsi="宋体" w:eastAsia="宋体" w:cs="宋体"/>
                <w:sz w:val="21"/>
                <w:szCs w:val="21"/>
                <w:highlight w:val="none"/>
                <w:lang w:val="zh-CN" w:eastAsia="zh-CN" w:bidi="ar-SA"/>
              </w:rPr>
              <w:t>分；发现</w:t>
            </w:r>
            <w:r>
              <w:rPr>
                <w:rFonts w:hint="eastAsia" w:ascii="宋体" w:hAnsi="宋体" w:eastAsia="宋体" w:cs="宋体"/>
                <w:sz w:val="21"/>
                <w:szCs w:val="21"/>
                <w:highlight w:val="none"/>
                <w:lang w:val="en-US" w:eastAsia="zh-CN" w:bidi="ar-SA"/>
              </w:rPr>
              <w:t>同一品种货物连续两次验收发现质量不合格产品并退货的，</w:t>
            </w:r>
            <w:r>
              <w:rPr>
                <w:rFonts w:hint="eastAsia" w:ascii="宋体" w:hAnsi="宋体" w:eastAsia="宋体" w:cs="宋体"/>
                <w:sz w:val="21"/>
                <w:szCs w:val="21"/>
                <w:highlight w:val="none"/>
                <w:lang w:val="zh-CN" w:eastAsia="zh-CN" w:bidi="ar-SA"/>
              </w:rPr>
              <w:t>直接扣10分</w:t>
            </w:r>
            <w:r>
              <w:rPr>
                <w:rFonts w:hint="eastAsia" w:ascii="宋体" w:hAnsi="宋体" w:eastAsia="宋体" w:cs="宋体"/>
                <w:sz w:val="21"/>
                <w:szCs w:val="21"/>
                <w:highlight w:val="none"/>
                <w:lang w:val="en-US" w:eastAsia="zh-CN" w:bidi="ar-SA"/>
              </w:rPr>
              <w:t>；</w:t>
            </w:r>
            <w:r>
              <w:rPr>
                <w:rFonts w:hint="eastAsia" w:ascii="宋体" w:hAnsi="宋体" w:eastAsia="宋体" w:cs="宋体"/>
                <w:sz w:val="21"/>
                <w:szCs w:val="21"/>
                <w:highlight w:val="none"/>
                <w:lang w:val="zh-CN" w:eastAsia="zh-CN" w:bidi="ar-SA"/>
              </w:rPr>
              <w:t xml:space="preserve"> </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3B76D748">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560" w:type="dxa"/>
            <w:vMerge w:val="continue"/>
            <w:tcBorders>
              <w:left w:val="single" w:color="auto" w:sz="4" w:space="0"/>
              <w:right w:val="single" w:color="auto" w:sz="4" w:space="0"/>
            </w:tcBorders>
            <w:vAlign w:val="center"/>
          </w:tcPr>
          <w:p w14:paraId="788342B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0D64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2" w:type="dxa"/>
            <w:vMerge w:val="continue"/>
            <w:tcBorders>
              <w:top w:val="single" w:color="auto" w:sz="4" w:space="0"/>
              <w:left w:val="single" w:color="auto" w:sz="4" w:space="0"/>
              <w:bottom w:val="single" w:color="auto" w:sz="4" w:space="0"/>
              <w:right w:val="single" w:color="auto" w:sz="4" w:space="0"/>
            </w:tcBorders>
            <w:vAlign w:val="center"/>
          </w:tcPr>
          <w:p w14:paraId="21A684C6">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14:paraId="4EF1F67E">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317" w:type="dxa"/>
            <w:tcBorders>
              <w:top w:val="single" w:color="auto" w:sz="4" w:space="0"/>
              <w:left w:val="single" w:color="auto" w:sz="4" w:space="0"/>
              <w:bottom w:val="single" w:color="auto" w:sz="4" w:space="0"/>
              <w:right w:val="single" w:color="auto" w:sz="4" w:space="0"/>
            </w:tcBorders>
            <w:vAlign w:val="center"/>
          </w:tcPr>
          <w:p w14:paraId="25B1703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索证制度</w:t>
            </w:r>
          </w:p>
        </w:tc>
        <w:tc>
          <w:tcPr>
            <w:tcW w:w="4419" w:type="dxa"/>
            <w:tcBorders>
              <w:top w:val="single" w:color="auto" w:sz="4" w:space="0"/>
              <w:left w:val="single" w:color="auto" w:sz="4" w:space="0"/>
              <w:bottom w:val="single" w:color="auto" w:sz="4" w:space="0"/>
              <w:right w:val="single" w:color="auto" w:sz="4" w:space="0"/>
            </w:tcBorders>
            <w:vAlign w:val="center"/>
          </w:tcPr>
          <w:p w14:paraId="08D05E2E">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是否建立相应的追踪深渊体系，专门台账档案；是否有清晰的货物来源或产地；是否及时提供</w:t>
            </w:r>
            <w:r>
              <w:rPr>
                <w:rFonts w:hint="eastAsia" w:ascii="宋体" w:hAnsi="宋体" w:eastAsia="宋体" w:cs="宋体"/>
                <w:sz w:val="21"/>
                <w:szCs w:val="21"/>
                <w:highlight w:val="none"/>
                <w:lang w:val="en-US" w:eastAsia="zh-CN" w:bidi="ar-SA"/>
              </w:rPr>
              <w:t>真实的</w:t>
            </w:r>
            <w:r>
              <w:rPr>
                <w:rFonts w:hint="eastAsia" w:ascii="宋体" w:hAnsi="宋体" w:eastAsia="宋体" w:cs="宋体"/>
                <w:sz w:val="21"/>
                <w:szCs w:val="21"/>
                <w:highlight w:val="none"/>
                <w:lang w:val="zh-CN" w:eastAsia="zh-CN" w:bidi="ar-SA"/>
              </w:rPr>
              <w:t>相关票、据、证等材料。每发现1次扣5分，累计每月最高扣分5分。</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3BEB90D4">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560" w:type="dxa"/>
            <w:vMerge w:val="continue"/>
            <w:tcBorders>
              <w:left w:val="single" w:color="auto" w:sz="4" w:space="0"/>
              <w:bottom w:val="single" w:color="auto" w:sz="4" w:space="0"/>
              <w:right w:val="single" w:color="auto" w:sz="4" w:space="0"/>
            </w:tcBorders>
            <w:vAlign w:val="center"/>
          </w:tcPr>
          <w:p w14:paraId="2F7BA22B">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r>
      <w:tr w14:paraId="3199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op w:val="single" w:color="auto" w:sz="4" w:space="0"/>
              <w:left w:val="single" w:color="auto" w:sz="4" w:space="0"/>
              <w:bottom w:val="single" w:color="auto" w:sz="4" w:space="0"/>
              <w:right w:val="single" w:color="auto" w:sz="4" w:space="0"/>
            </w:tcBorders>
            <w:vAlign w:val="center"/>
          </w:tcPr>
          <w:p w14:paraId="3F60DE3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3</w:t>
            </w:r>
          </w:p>
        </w:tc>
        <w:tc>
          <w:tcPr>
            <w:tcW w:w="972" w:type="dxa"/>
            <w:tcBorders>
              <w:top w:val="single" w:color="auto" w:sz="4" w:space="0"/>
              <w:left w:val="single" w:color="auto" w:sz="4" w:space="0"/>
              <w:bottom w:val="single" w:color="auto" w:sz="4" w:space="0"/>
              <w:right w:val="single" w:color="auto" w:sz="4" w:space="0"/>
            </w:tcBorders>
            <w:vAlign w:val="center"/>
          </w:tcPr>
          <w:p w14:paraId="12CC8B96">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数量方面</w:t>
            </w:r>
          </w:p>
        </w:tc>
        <w:tc>
          <w:tcPr>
            <w:tcW w:w="1317" w:type="dxa"/>
            <w:tcBorders>
              <w:top w:val="single" w:color="auto" w:sz="4" w:space="0"/>
              <w:left w:val="single" w:color="auto" w:sz="4" w:space="0"/>
              <w:bottom w:val="single" w:color="auto" w:sz="4" w:space="0"/>
              <w:right w:val="single" w:color="auto" w:sz="4" w:space="0"/>
            </w:tcBorders>
            <w:vAlign w:val="center"/>
          </w:tcPr>
          <w:p w14:paraId="515E0F8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物品数量</w:t>
            </w:r>
          </w:p>
        </w:tc>
        <w:tc>
          <w:tcPr>
            <w:tcW w:w="4419" w:type="dxa"/>
            <w:tcBorders>
              <w:top w:val="single" w:color="auto" w:sz="4" w:space="0"/>
              <w:left w:val="single" w:color="auto" w:sz="4" w:space="0"/>
              <w:bottom w:val="single" w:color="auto" w:sz="4" w:space="0"/>
              <w:right w:val="single" w:color="auto" w:sz="4" w:space="0"/>
            </w:tcBorders>
            <w:vAlign w:val="center"/>
          </w:tcPr>
          <w:p w14:paraId="719EBEEC">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所供货物品种和数量、重量准确，符合采购方要求，有建立供应台账，有专人（不少于两人）负责送货及查收，并附清单。与订单要求不符，数量、重量、或单一品种出现缺斤少两相差10%，扣2分；相差20%，扣5分；相差30%，扣10分；与订单品种每相差1个，扣1分；累计每月最高扣分10分。</w:t>
            </w:r>
          </w:p>
        </w:tc>
        <w:tc>
          <w:tcPr>
            <w:tcW w:w="702" w:type="dxa"/>
            <w:tcBorders>
              <w:top w:val="single" w:color="auto" w:sz="4" w:space="0"/>
              <w:left w:val="single" w:color="auto" w:sz="4" w:space="0"/>
              <w:bottom w:val="single" w:color="auto" w:sz="4" w:space="0"/>
              <w:right w:val="single" w:color="auto" w:sz="4" w:space="0"/>
            </w:tcBorders>
            <w:vAlign w:val="center"/>
          </w:tcPr>
          <w:p w14:paraId="13819AF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10</w:t>
            </w:r>
          </w:p>
        </w:tc>
        <w:tc>
          <w:tcPr>
            <w:tcW w:w="560" w:type="dxa"/>
            <w:tcBorders>
              <w:top w:val="single" w:color="auto" w:sz="4" w:space="0"/>
              <w:left w:val="single" w:color="auto" w:sz="4" w:space="0"/>
              <w:bottom w:val="single" w:color="auto" w:sz="4" w:space="0"/>
              <w:right w:val="single" w:color="auto" w:sz="4" w:space="0"/>
            </w:tcBorders>
            <w:vAlign w:val="center"/>
          </w:tcPr>
          <w:p w14:paraId="186F29F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09A0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restart"/>
            <w:tcBorders>
              <w:top w:val="single" w:color="auto" w:sz="4" w:space="0"/>
              <w:left w:val="single" w:color="auto" w:sz="4" w:space="0"/>
              <w:bottom w:val="single" w:color="auto" w:sz="4" w:space="0"/>
              <w:right w:val="single" w:color="auto" w:sz="4" w:space="0"/>
            </w:tcBorders>
            <w:vAlign w:val="center"/>
          </w:tcPr>
          <w:p w14:paraId="79517DE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4</w:t>
            </w:r>
          </w:p>
        </w:tc>
        <w:tc>
          <w:tcPr>
            <w:tcW w:w="972" w:type="dxa"/>
            <w:vMerge w:val="restart"/>
            <w:tcBorders>
              <w:top w:val="single" w:color="auto" w:sz="4" w:space="0"/>
              <w:left w:val="single" w:color="auto" w:sz="4" w:space="0"/>
              <w:bottom w:val="single" w:color="auto" w:sz="4" w:space="0"/>
              <w:right w:val="single" w:color="auto" w:sz="4" w:space="0"/>
            </w:tcBorders>
            <w:vAlign w:val="center"/>
          </w:tcPr>
          <w:p w14:paraId="6E17B5C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时间方面</w:t>
            </w:r>
          </w:p>
        </w:tc>
        <w:tc>
          <w:tcPr>
            <w:tcW w:w="1317" w:type="dxa"/>
            <w:tcBorders>
              <w:top w:val="single" w:color="auto" w:sz="4" w:space="0"/>
              <w:left w:val="single" w:color="auto" w:sz="4" w:space="0"/>
              <w:bottom w:val="single" w:color="auto" w:sz="4" w:space="0"/>
              <w:right w:val="single" w:color="auto" w:sz="4" w:space="0"/>
            </w:tcBorders>
            <w:vAlign w:val="center"/>
          </w:tcPr>
          <w:p w14:paraId="2C895DC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配送及时</w:t>
            </w:r>
          </w:p>
        </w:tc>
        <w:tc>
          <w:tcPr>
            <w:tcW w:w="4419" w:type="dxa"/>
            <w:tcBorders>
              <w:top w:val="single" w:color="auto" w:sz="4" w:space="0"/>
              <w:left w:val="single" w:color="auto" w:sz="4" w:space="0"/>
              <w:bottom w:val="single" w:color="auto" w:sz="4" w:space="0"/>
              <w:right w:val="single" w:color="auto" w:sz="4" w:space="0"/>
            </w:tcBorders>
            <w:vAlign w:val="center"/>
          </w:tcPr>
          <w:p w14:paraId="42EFC0B4">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按配送时间准时准点到达，有专人负责配送，并按要求及程序装卸物资，每发现一次未按要求及程序装卸物资的扣2分, 累计每月最高扣分10分; 迟于每天指定配送时间的，每迟到10分钟扣2分，累计每月最高扣分10分。</w:t>
            </w:r>
          </w:p>
        </w:tc>
        <w:tc>
          <w:tcPr>
            <w:tcW w:w="702" w:type="dxa"/>
            <w:vMerge w:val="restart"/>
            <w:tcBorders>
              <w:top w:val="single" w:color="auto" w:sz="4" w:space="0"/>
              <w:left w:val="single" w:color="auto" w:sz="4" w:space="0"/>
              <w:bottom w:val="single" w:color="auto" w:sz="4" w:space="0"/>
              <w:right w:val="single" w:color="auto" w:sz="4" w:space="0"/>
            </w:tcBorders>
            <w:vAlign w:val="center"/>
          </w:tcPr>
          <w:p w14:paraId="37FF291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20</w:t>
            </w:r>
          </w:p>
        </w:tc>
        <w:tc>
          <w:tcPr>
            <w:tcW w:w="560" w:type="dxa"/>
            <w:vMerge w:val="restart"/>
            <w:tcBorders>
              <w:top w:val="single" w:color="auto" w:sz="4" w:space="0"/>
              <w:left w:val="single" w:color="auto" w:sz="4" w:space="0"/>
              <w:right w:val="single" w:color="auto" w:sz="4" w:space="0"/>
            </w:tcBorders>
            <w:vAlign w:val="center"/>
          </w:tcPr>
          <w:p w14:paraId="478280D3">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0303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continue"/>
            <w:tcBorders>
              <w:top w:val="single" w:color="auto" w:sz="4" w:space="0"/>
              <w:left w:val="single" w:color="auto" w:sz="4" w:space="0"/>
              <w:bottom w:val="single" w:color="auto" w:sz="4" w:space="0"/>
              <w:right w:val="single" w:color="auto" w:sz="4" w:space="0"/>
            </w:tcBorders>
            <w:vAlign w:val="center"/>
          </w:tcPr>
          <w:p w14:paraId="484DB676">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14:paraId="57606DD5">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317" w:type="dxa"/>
            <w:tcBorders>
              <w:top w:val="single" w:color="auto" w:sz="4" w:space="0"/>
              <w:left w:val="single" w:color="auto" w:sz="4" w:space="0"/>
              <w:bottom w:val="single" w:color="auto" w:sz="4" w:space="0"/>
              <w:right w:val="single" w:color="auto" w:sz="4" w:space="0"/>
            </w:tcBorders>
            <w:vAlign w:val="center"/>
          </w:tcPr>
          <w:p w14:paraId="3F37075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应急响应</w:t>
            </w:r>
          </w:p>
        </w:tc>
        <w:tc>
          <w:tcPr>
            <w:tcW w:w="4419" w:type="dxa"/>
            <w:tcBorders>
              <w:top w:val="single" w:color="auto" w:sz="4" w:space="0"/>
              <w:left w:val="single" w:color="auto" w:sz="4" w:space="0"/>
              <w:bottom w:val="single" w:color="auto" w:sz="4" w:space="0"/>
              <w:right w:val="single" w:color="auto" w:sz="4" w:space="0"/>
            </w:tcBorders>
            <w:vAlign w:val="center"/>
          </w:tcPr>
          <w:p w14:paraId="153F23D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是否按照采购方的要求，按照招标时的承诺进行应急配送处理。未达标1次扣5分，累计每月最高扣分10分。</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5C0CDE20">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560" w:type="dxa"/>
            <w:vMerge w:val="continue"/>
            <w:tcBorders>
              <w:left w:val="single" w:color="auto" w:sz="4" w:space="0"/>
              <w:bottom w:val="single" w:color="auto" w:sz="4" w:space="0"/>
              <w:right w:val="single" w:color="auto" w:sz="4" w:space="0"/>
            </w:tcBorders>
            <w:vAlign w:val="center"/>
          </w:tcPr>
          <w:p w14:paraId="780144C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3848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restart"/>
            <w:tcBorders>
              <w:top w:val="single" w:color="auto" w:sz="4" w:space="0"/>
              <w:left w:val="single" w:color="auto" w:sz="4" w:space="0"/>
              <w:bottom w:val="single" w:color="auto" w:sz="4" w:space="0"/>
              <w:right w:val="single" w:color="auto" w:sz="4" w:space="0"/>
            </w:tcBorders>
            <w:vAlign w:val="center"/>
          </w:tcPr>
          <w:p w14:paraId="7D931B6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5</w:t>
            </w:r>
          </w:p>
        </w:tc>
        <w:tc>
          <w:tcPr>
            <w:tcW w:w="972" w:type="dxa"/>
            <w:vMerge w:val="restart"/>
            <w:tcBorders>
              <w:top w:val="single" w:color="auto" w:sz="4" w:space="0"/>
              <w:left w:val="single" w:color="auto" w:sz="4" w:space="0"/>
              <w:bottom w:val="single" w:color="auto" w:sz="4" w:space="0"/>
              <w:right w:val="single" w:color="auto" w:sz="4" w:space="0"/>
            </w:tcBorders>
            <w:vAlign w:val="center"/>
          </w:tcPr>
          <w:p w14:paraId="1A8F3A9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卫生方面</w:t>
            </w:r>
          </w:p>
        </w:tc>
        <w:tc>
          <w:tcPr>
            <w:tcW w:w="1317" w:type="dxa"/>
            <w:tcBorders>
              <w:top w:val="single" w:color="auto" w:sz="4" w:space="0"/>
              <w:left w:val="single" w:color="auto" w:sz="4" w:space="0"/>
              <w:bottom w:val="single" w:color="auto" w:sz="4" w:space="0"/>
              <w:right w:val="single" w:color="auto" w:sz="4" w:space="0"/>
            </w:tcBorders>
            <w:vAlign w:val="center"/>
          </w:tcPr>
          <w:p w14:paraId="0418082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配送人员</w:t>
            </w:r>
          </w:p>
        </w:tc>
        <w:tc>
          <w:tcPr>
            <w:tcW w:w="4419" w:type="dxa"/>
            <w:tcBorders>
              <w:top w:val="single" w:color="auto" w:sz="4" w:space="0"/>
              <w:left w:val="single" w:color="auto" w:sz="4" w:space="0"/>
              <w:bottom w:val="single" w:color="auto" w:sz="4" w:space="0"/>
              <w:right w:val="single" w:color="auto" w:sz="4" w:space="0"/>
            </w:tcBorders>
            <w:vAlign w:val="center"/>
          </w:tcPr>
          <w:p w14:paraId="59DCC43C">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配送人员是否按要求数量配备在岗，每缺岗1人扣3分；是否有健康证，是否统一穿工服，是否存在盗取货物等情况，不达标1次扣2分，累计每月最高扣分9分。</w:t>
            </w:r>
          </w:p>
        </w:tc>
        <w:tc>
          <w:tcPr>
            <w:tcW w:w="702" w:type="dxa"/>
            <w:vMerge w:val="restart"/>
            <w:tcBorders>
              <w:top w:val="single" w:color="auto" w:sz="4" w:space="0"/>
              <w:left w:val="single" w:color="auto" w:sz="4" w:space="0"/>
              <w:bottom w:val="single" w:color="auto" w:sz="4" w:space="0"/>
              <w:right w:val="single" w:color="auto" w:sz="4" w:space="0"/>
            </w:tcBorders>
            <w:vAlign w:val="center"/>
          </w:tcPr>
          <w:p w14:paraId="250D94D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15</w:t>
            </w:r>
          </w:p>
        </w:tc>
        <w:tc>
          <w:tcPr>
            <w:tcW w:w="560" w:type="dxa"/>
            <w:vMerge w:val="restart"/>
            <w:tcBorders>
              <w:top w:val="single" w:color="auto" w:sz="4" w:space="0"/>
              <w:left w:val="single" w:color="auto" w:sz="4" w:space="0"/>
              <w:right w:val="single" w:color="auto" w:sz="4" w:space="0"/>
            </w:tcBorders>
            <w:vAlign w:val="center"/>
          </w:tcPr>
          <w:p w14:paraId="5B763E9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5479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continue"/>
            <w:tcBorders>
              <w:top w:val="single" w:color="auto" w:sz="4" w:space="0"/>
              <w:left w:val="single" w:color="auto" w:sz="4" w:space="0"/>
              <w:bottom w:val="single" w:color="auto" w:sz="4" w:space="0"/>
              <w:right w:val="single" w:color="auto" w:sz="4" w:space="0"/>
            </w:tcBorders>
            <w:vAlign w:val="center"/>
          </w:tcPr>
          <w:p w14:paraId="03520439">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14:paraId="0C57A9B8">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317" w:type="dxa"/>
            <w:tcBorders>
              <w:top w:val="single" w:color="auto" w:sz="4" w:space="0"/>
              <w:left w:val="single" w:color="auto" w:sz="4" w:space="0"/>
              <w:bottom w:val="single" w:color="auto" w:sz="4" w:space="0"/>
              <w:right w:val="single" w:color="auto" w:sz="4" w:space="0"/>
            </w:tcBorders>
            <w:vAlign w:val="center"/>
          </w:tcPr>
          <w:p w14:paraId="74B8137E">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初加工</w:t>
            </w:r>
          </w:p>
        </w:tc>
        <w:tc>
          <w:tcPr>
            <w:tcW w:w="4419" w:type="dxa"/>
            <w:tcBorders>
              <w:top w:val="single" w:color="auto" w:sz="4" w:space="0"/>
              <w:left w:val="single" w:color="auto" w:sz="4" w:space="0"/>
              <w:bottom w:val="single" w:color="auto" w:sz="4" w:space="0"/>
              <w:right w:val="single" w:color="auto" w:sz="4" w:space="0"/>
            </w:tcBorders>
            <w:vAlign w:val="center"/>
          </w:tcPr>
          <w:p w14:paraId="76CDA37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按要求派驻配送员进行洗切配工作，工作是否保质保量完成。是否严格按照《国家食品卫生标准》、《食品卫生法》等相关规定，对食品进行卫生安全初加工；是否初加工完成后将加工场所垃圾清理干净。不达标1次扣2分，累计每月最高扣分6分。</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0D944E4F">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560" w:type="dxa"/>
            <w:vMerge w:val="continue"/>
            <w:tcBorders>
              <w:left w:val="single" w:color="auto" w:sz="4" w:space="0"/>
              <w:bottom w:val="single" w:color="auto" w:sz="4" w:space="0"/>
              <w:right w:val="single" w:color="auto" w:sz="4" w:space="0"/>
            </w:tcBorders>
            <w:vAlign w:val="center"/>
          </w:tcPr>
          <w:p w14:paraId="770663A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04A4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restart"/>
            <w:tcBorders>
              <w:top w:val="single" w:color="auto" w:sz="4" w:space="0"/>
              <w:left w:val="single" w:color="auto" w:sz="4" w:space="0"/>
              <w:right w:val="single" w:color="auto" w:sz="4" w:space="0"/>
            </w:tcBorders>
            <w:vAlign w:val="center"/>
          </w:tcPr>
          <w:p w14:paraId="73580CD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6</w:t>
            </w:r>
          </w:p>
        </w:tc>
        <w:tc>
          <w:tcPr>
            <w:tcW w:w="972" w:type="dxa"/>
            <w:vMerge w:val="restart"/>
            <w:tcBorders>
              <w:top w:val="single" w:color="auto" w:sz="4" w:space="0"/>
              <w:left w:val="single" w:color="auto" w:sz="4" w:space="0"/>
              <w:right w:val="single" w:color="auto" w:sz="4" w:space="0"/>
            </w:tcBorders>
            <w:vAlign w:val="center"/>
          </w:tcPr>
          <w:p w14:paraId="5AA6C65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态度方面</w:t>
            </w:r>
          </w:p>
        </w:tc>
        <w:tc>
          <w:tcPr>
            <w:tcW w:w="1317" w:type="dxa"/>
            <w:vMerge w:val="restart"/>
            <w:tcBorders>
              <w:top w:val="single" w:color="auto" w:sz="4" w:space="0"/>
              <w:left w:val="single" w:color="auto" w:sz="4" w:space="0"/>
              <w:right w:val="single" w:color="auto" w:sz="4" w:space="0"/>
            </w:tcBorders>
            <w:vAlign w:val="center"/>
          </w:tcPr>
          <w:p w14:paraId="0521D6C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服务态度</w:t>
            </w:r>
          </w:p>
        </w:tc>
        <w:tc>
          <w:tcPr>
            <w:tcW w:w="4419" w:type="dxa"/>
            <w:tcBorders>
              <w:top w:val="single" w:color="auto" w:sz="4" w:space="0"/>
              <w:left w:val="single" w:color="auto" w:sz="4" w:space="0"/>
              <w:bottom w:val="single" w:color="auto" w:sz="4" w:space="0"/>
              <w:right w:val="single" w:color="auto" w:sz="4" w:space="0"/>
            </w:tcBorders>
            <w:vAlign w:val="center"/>
          </w:tcPr>
          <w:p w14:paraId="5FCA6345">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供应商服务态度是否良好；采购方不定期向食堂、用餐等相关人员进行随机调查，每接到1次有效投诉扣5分，累计每月最高扣分10分。</w:t>
            </w:r>
          </w:p>
        </w:tc>
        <w:tc>
          <w:tcPr>
            <w:tcW w:w="702" w:type="dxa"/>
            <w:vMerge w:val="restart"/>
            <w:tcBorders>
              <w:top w:val="single" w:color="auto" w:sz="4" w:space="0"/>
              <w:left w:val="single" w:color="auto" w:sz="4" w:space="0"/>
              <w:bottom w:val="single" w:color="auto" w:sz="4" w:space="0"/>
              <w:right w:val="single" w:color="auto" w:sz="4" w:space="0"/>
            </w:tcBorders>
            <w:vAlign w:val="center"/>
          </w:tcPr>
          <w:p w14:paraId="2BAFE33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20</w:t>
            </w:r>
          </w:p>
        </w:tc>
        <w:tc>
          <w:tcPr>
            <w:tcW w:w="560" w:type="dxa"/>
            <w:vMerge w:val="restart"/>
            <w:tcBorders>
              <w:top w:val="single" w:color="auto" w:sz="4" w:space="0"/>
              <w:left w:val="single" w:color="auto" w:sz="4" w:space="0"/>
              <w:right w:val="single" w:color="auto" w:sz="4" w:space="0"/>
            </w:tcBorders>
            <w:vAlign w:val="center"/>
          </w:tcPr>
          <w:p w14:paraId="4E1730B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1B8C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continue"/>
            <w:tcBorders>
              <w:left w:val="single" w:color="auto" w:sz="4" w:space="0"/>
              <w:right w:val="single" w:color="auto" w:sz="4" w:space="0"/>
            </w:tcBorders>
            <w:vAlign w:val="center"/>
          </w:tcPr>
          <w:p w14:paraId="5F1C790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972" w:type="dxa"/>
            <w:vMerge w:val="continue"/>
            <w:tcBorders>
              <w:left w:val="single" w:color="auto" w:sz="4" w:space="0"/>
              <w:right w:val="single" w:color="auto" w:sz="4" w:space="0"/>
            </w:tcBorders>
            <w:vAlign w:val="center"/>
          </w:tcPr>
          <w:p w14:paraId="19A029D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317" w:type="dxa"/>
            <w:vMerge w:val="continue"/>
            <w:tcBorders>
              <w:left w:val="single" w:color="auto" w:sz="4" w:space="0"/>
              <w:right w:val="single" w:color="auto" w:sz="4" w:space="0"/>
            </w:tcBorders>
            <w:vAlign w:val="center"/>
          </w:tcPr>
          <w:p w14:paraId="7C40D66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4419" w:type="dxa"/>
            <w:tcBorders>
              <w:top w:val="single" w:color="auto" w:sz="4" w:space="0"/>
              <w:left w:val="single" w:color="auto" w:sz="4" w:space="0"/>
              <w:bottom w:val="single" w:color="auto" w:sz="4" w:space="0"/>
              <w:right w:val="single" w:color="auto" w:sz="4" w:space="0"/>
            </w:tcBorders>
            <w:vAlign w:val="center"/>
          </w:tcPr>
          <w:p w14:paraId="4B897489">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出现质量问题，供应商不积极配合查找原因，不及时反馈处理结果，</w:t>
            </w:r>
            <w:r>
              <w:rPr>
                <w:rFonts w:hint="eastAsia" w:ascii="宋体" w:hAnsi="宋体" w:eastAsia="宋体" w:cs="宋体"/>
                <w:sz w:val="21"/>
                <w:szCs w:val="21"/>
                <w:highlight w:val="none"/>
                <w:lang w:val="zh-CN" w:eastAsia="zh-CN" w:bidi="ar-SA"/>
              </w:rPr>
              <w:t>每接到1次有效投诉扣5分，累计每月最高扣分10分。</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1769A44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560" w:type="dxa"/>
            <w:vMerge w:val="continue"/>
            <w:tcBorders>
              <w:top w:val="single" w:color="auto" w:sz="4" w:space="0"/>
              <w:left w:val="single" w:color="auto" w:sz="4" w:space="0"/>
              <w:right w:val="single" w:color="auto" w:sz="4" w:space="0"/>
            </w:tcBorders>
            <w:vAlign w:val="center"/>
          </w:tcPr>
          <w:p w14:paraId="61C9126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4F17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continue"/>
            <w:tcBorders>
              <w:left w:val="single" w:color="auto" w:sz="4" w:space="0"/>
              <w:right w:val="single" w:color="auto" w:sz="4" w:space="0"/>
            </w:tcBorders>
            <w:vAlign w:val="center"/>
          </w:tcPr>
          <w:p w14:paraId="0AE6B2F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972" w:type="dxa"/>
            <w:vMerge w:val="continue"/>
            <w:tcBorders>
              <w:left w:val="single" w:color="auto" w:sz="4" w:space="0"/>
              <w:right w:val="single" w:color="auto" w:sz="4" w:space="0"/>
            </w:tcBorders>
            <w:vAlign w:val="center"/>
          </w:tcPr>
          <w:p w14:paraId="42BFF34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317" w:type="dxa"/>
            <w:vMerge w:val="continue"/>
            <w:tcBorders>
              <w:left w:val="single" w:color="auto" w:sz="4" w:space="0"/>
              <w:right w:val="single" w:color="auto" w:sz="4" w:space="0"/>
            </w:tcBorders>
            <w:vAlign w:val="center"/>
          </w:tcPr>
          <w:p w14:paraId="5ACB60E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4419" w:type="dxa"/>
            <w:tcBorders>
              <w:top w:val="single" w:color="auto" w:sz="4" w:space="0"/>
              <w:left w:val="single" w:color="auto" w:sz="4" w:space="0"/>
              <w:bottom w:val="single" w:color="auto" w:sz="4" w:space="0"/>
              <w:right w:val="single" w:color="auto" w:sz="4" w:space="0"/>
            </w:tcBorders>
            <w:vAlign w:val="center"/>
          </w:tcPr>
          <w:p w14:paraId="4E191520">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工作人员不遵守招标人各项管理规定，</w:t>
            </w:r>
            <w:r>
              <w:rPr>
                <w:rFonts w:hint="eastAsia" w:ascii="宋体" w:hAnsi="宋体" w:eastAsia="宋体" w:cs="宋体"/>
                <w:sz w:val="21"/>
                <w:szCs w:val="21"/>
                <w:highlight w:val="none"/>
                <w:lang w:val="zh-CN" w:eastAsia="zh-CN" w:bidi="ar-SA"/>
              </w:rPr>
              <w:t>每接到1次有效投诉扣5分，累计每月最高扣分10分。</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16CBB2D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560" w:type="dxa"/>
            <w:vMerge w:val="continue"/>
            <w:tcBorders>
              <w:top w:val="single" w:color="auto" w:sz="4" w:space="0"/>
              <w:left w:val="single" w:color="auto" w:sz="4" w:space="0"/>
              <w:right w:val="single" w:color="auto" w:sz="4" w:space="0"/>
            </w:tcBorders>
            <w:vAlign w:val="center"/>
          </w:tcPr>
          <w:p w14:paraId="5E6D096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378E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continue"/>
            <w:tcBorders>
              <w:left w:val="single" w:color="auto" w:sz="4" w:space="0"/>
              <w:right w:val="single" w:color="auto" w:sz="4" w:space="0"/>
            </w:tcBorders>
            <w:vAlign w:val="center"/>
          </w:tcPr>
          <w:p w14:paraId="277A3B0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972" w:type="dxa"/>
            <w:vMerge w:val="continue"/>
            <w:tcBorders>
              <w:left w:val="single" w:color="auto" w:sz="4" w:space="0"/>
              <w:right w:val="single" w:color="auto" w:sz="4" w:space="0"/>
            </w:tcBorders>
            <w:vAlign w:val="center"/>
          </w:tcPr>
          <w:p w14:paraId="779F70D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317" w:type="dxa"/>
            <w:vMerge w:val="continue"/>
            <w:tcBorders>
              <w:left w:val="single" w:color="auto" w:sz="4" w:space="0"/>
              <w:bottom w:val="single" w:color="auto" w:sz="4" w:space="0"/>
              <w:right w:val="single" w:color="auto" w:sz="4" w:space="0"/>
            </w:tcBorders>
            <w:vAlign w:val="center"/>
          </w:tcPr>
          <w:p w14:paraId="4723F15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4419" w:type="dxa"/>
            <w:tcBorders>
              <w:top w:val="single" w:color="auto" w:sz="4" w:space="0"/>
              <w:left w:val="single" w:color="auto" w:sz="4" w:space="0"/>
              <w:bottom w:val="single" w:color="auto" w:sz="4" w:space="0"/>
              <w:right w:val="single" w:color="auto" w:sz="4" w:space="0"/>
            </w:tcBorders>
            <w:vAlign w:val="center"/>
          </w:tcPr>
          <w:p w14:paraId="2D2AFAFD">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组织机构发生调整，或经营场所、联系人、联系方式变更，未及时通知招标人，造成无法及时联系的，</w:t>
            </w:r>
            <w:r>
              <w:rPr>
                <w:rFonts w:hint="eastAsia" w:ascii="宋体" w:hAnsi="宋体" w:eastAsia="宋体" w:cs="宋体"/>
                <w:sz w:val="21"/>
                <w:szCs w:val="21"/>
                <w:highlight w:val="none"/>
                <w:lang w:val="zh-CN" w:eastAsia="zh-CN" w:bidi="ar-SA"/>
              </w:rPr>
              <w:t>每接到1次有效投诉扣5分，累计每月最高扣分10分</w:t>
            </w:r>
            <w:r>
              <w:rPr>
                <w:rFonts w:hint="eastAsia" w:ascii="宋体" w:hAnsi="宋体" w:eastAsia="宋体" w:cs="宋体"/>
                <w:sz w:val="21"/>
                <w:szCs w:val="21"/>
                <w:highlight w:val="none"/>
                <w:lang w:val="en-US" w:eastAsia="zh-CN" w:bidi="ar-SA"/>
              </w:rPr>
              <w:t>；</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2279888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560" w:type="dxa"/>
            <w:vMerge w:val="continue"/>
            <w:tcBorders>
              <w:top w:val="single" w:color="auto" w:sz="4" w:space="0"/>
              <w:left w:val="single" w:color="auto" w:sz="4" w:space="0"/>
              <w:right w:val="single" w:color="auto" w:sz="4" w:space="0"/>
            </w:tcBorders>
            <w:vAlign w:val="center"/>
          </w:tcPr>
          <w:p w14:paraId="131610C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5A26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Merge w:val="continue"/>
            <w:tcBorders>
              <w:left w:val="single" w:color="auto" w:sz="4" w:space="0"/>
              <w:right w:val="single" w:color="auto" w:sz="4" w:space="0"/>
            </w:tcBorders>
            <w:vAlign w:val="center"/>
          </w:tcPr>
          <w:p w14:paraId="757C9C71">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972" w:type="dxa"/>
            <w:vMerge w:val="continue"/>
            <w:tcBorders>
              <w:left w:val="single" w:color="auto" w:sz="4" w:space="0"/>
              <w:right w:val="single" w:color="auto" w:sz="4" w:space="0"/>
            </w:tcBorders>
            <w:vAlign w:val="center"/>
          </w:tcPr>
          <w:p w14:paraId="6F2F2C78">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317" w:type="dxa"/>
            <w:tcBorders>
              <w:top w:val="single" w:color="auto" w:sz="4" w:space="0"/>
              <w:left w:val="single" w:color="auto" w:sz="4" w:space="0"/>
              <w:bottom w:val="single" w:color="auto" w:sz="4" w:space="0"/>
              <w:right w:val="single" w:color="auto" w:sz="4" w:space="0"/>
            </w:tcBorders>
            <w:vAlign w:val="center"/>
          </w:tcPr>
          <w:p w14:paraId="202C9C0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反馈整改情况</w:t>
            </w:r>
          </w:p>
        </w:tc>
        <w:tc>
          <w:tcPr>
            <w:tcW w:w="4419" w:type="dxa"/>
            <w:tcBorders>
              <w:top w:val="single" w:color="auto" w:sz="4" w:space="0"/>
              <w:left w:val="single" w:color="auto" w:sz="4" w:space="0"/>
              <w:bottom w:val="single" w:color="auto" w:sz="4" w:space="0"/>
              <w:right w:val="single" w:color="auto" w:sz="4" w:space="0"/>
            </w:tcBorders>
            <w:vAlign w:val="center"/>
          </w:tcPr>
          <w:p w14:paraId="4B734FDA">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是否对采购方的反馈意见进行认真及时的整改，不达标1次扣5分，累计每月最高扣分10分。</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14:paraId="7400BD8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560" w:type="dxa"/>
            <w:vMerge w:val="continue"/>
            <w:tcBorders>
              <w:left w:val="single" w:color="auto" w:sz="4" w:space="0"/>
              <w:bottom w:val="single" w:color="auto" w:sz="4" w:space="0"/>
              <w:right w:val="single" w:color="auto" w:sz="4" w:space="0"/>
            </w:tcBorders>
            <w:vAlign w:val="center"/>
          </w:tcPr>
          <w:p w14:paraId="64BA090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2312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841" w:type="dxa"/>
            <w:gridSpan w:val="3"/>
            <w:tcBorders>
              <w:top w:val="single" w:color="auto" w:sz="4" w:space="0"/>
              <w:left w:val="single" w:color="auto" w:sz="4" w:space="0"/>
              <w:bottom w:val="single" w:color="auto" w:sz="4" w:space="0"/>
              <w:right w:val="single" w:color="auto" w:sz="4" w:space="0"/>
            </w:tcBorders>
            <w:vAlign w:val="center"/>
          </w:tcPr>
          <w:p w14:paraId="3A5AC3A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总分</w:t>
            </w:r>
          </w:p>
        </w:tc>
        <w:tc>
          <w:tcPr>
            <w:tcW w:w="4419" w:type="dxa"/>
            <w:tcBorders>
              <w:top w:val="single" w:color="auto" w:sz="4" w:space="0"/>
              <w:left w:val="single" w:color="auto" w:sz="4" w:space="0"/>
              <w:bottom w:val="single" w:color="auto" w:sz="4" w:space="0"/>
              <w:right w:val="single" w:color="auto" w:sz="4" w:space="0"/>
            </w:tcBorders>
            <w:vAlign w:val="center"/>
          </w:tcPr>
          <w:p w14:paraId="51FD704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702" w:type="dxa"/>
            <w:tcBorders>
              <w:top w:val="single" w:color="auto" w:sz="4" w:space="0"/>
              <w:left w:val="single" w:color="auto" w:sz="4" w:space="0"/>
              <w:bottom w:val="single" w:color="auto" w:sz="4" w:space="0"/>
              <w:right w:val="single" w:color="auto" w:sz="4" w:space="0"/>
            </w:tcBorders>
            <w:vAlign w:val="center"/>
          </w:tcPr>
          <w:p w14:paraId="41E03AE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100</w:t>
            </w:r>
          </w:p>
        </w:tc>
        <w:tc>
          <w:tcPr>
            <w:tcW w:w="560" w:type="dxa"/>
            <w:tcBorders>
              <w:top w:val="single" w:color="auto" w:sz="4" w:space="0"/>
              <w:left w:val="single" w:color="auto" w:sz="4" w:space="0"/>
              <w:bottom w:val="single" w:color="auto" w:sz="4" w:space="0"/>
              <w:right w:val="single" w:color="auto" w:sz="4" w:space="0"/>
            </w:tcBorders>
            <w:vAlign w:val="center"/>
          </w:tcPr>
          <w:p w14:paraId="1C32F6A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bl>
    <w:p w14:paraId="767E8BC9">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备注：</w:t>
      </w:r>
    </w:p>
    <w:p w14:paraId="3B32D9FD">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1、采购单位对食品安全问题采取零容忍态度，若供应商因配送食材具有严重质量问题，造成严重影响的，一票否决，并追究相应法律责任。</w:t>
      </w:r>
    </w:p>
    <w:p w14:paraId="0E6981DC">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2、供应商月度考核表得分与月度实际支付金额挂钩，扣除金额按差额定率累进法计算，由对应服务的食堂单位进行考核：</w:t>
      </w:r>
    </w:p>
    <w:p w14:paraId="5240B8C1">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（1）供应商月度考核表得分≥95分的，每扣1分，对应扣除每月实付金额的5‰。（每月应收费用=每月食材费用-扣得分数*每月食材费用*5‰）</w:t>
      </w:r>
    </w:p>
    <w:p w14:paraId="36F9AEBE">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（2）供应商月度考核表得分于90（含90）-95分区间的，每扣1分，对应扣除每月实付金额的1%。【每月应收费用=每月食材费用-每月食材费用*5*5‰-（扣得分数-5）*每月食材费用*1%】</w:t>
      </w:r>
    </w:p>
    <w:p w14:paraId="0C553619">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（3）供应商月度考核表得分于80（含80）-89分区间的，每扣1分，对应扣除每月实付金额的2%。【每月应收费用=每月食材费用-每月食材费用*5*5‰-每月食材费用*5*1%-（扣得分数-10）*每月食材费用*2%】</w:t>
      </w:r>
    </w:p>
    <w:p w14:paraId="1A2C1FA0">
      <w:pPr>
        <w:adjustRightInd/>
        <w:snapToGrid/>
        <w:spacing w:line="360" w:lineRule="exact"/>
        <w:ind w:firstLine="0" w:firstLineChars="0"/>
        <w:jc w:val="lef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（4）供应商月度考核表低于80分的，月度支付金额一律按实际支付额的50%结算，且根据本项目监督管理办法规定，采购方有权决定与该供应商解除合同。（每月应收服务费用=每月的服务费用*50%）</w:t>
      </w:r>
    </w:p>
    <w:p w14:paraId="20073702">
      <w:pPr>
        <w:pStyle w:val="2"/>
        <w:rPr>
          <w:lang w:val="en-US" w:eastAsia="zh-CN"/>
        </w:rPr>
      </w:pPr>
    </w:p>
    <w:p w14:paraId="2236E4C6">
      <w:pPr>
        <w:adjustRightInd w:val="0"/>
        <w:snapToGrid w:val="0"/>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第五条 考核方式</w:t>
      </w:r>
    </w:p>
    <w:p w14:paraId="411A44E7">
      <w:pPr>
        <w:adjustRightInd w:val="0"/>
        <w:snapToGrid w:val="0"/>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 xml:space="preserve"> </w:t>
      </w:r>
    </w:p>
    <w:p w14:paraId="5216FFB6">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对供应商采用日常考核、月度考核及年度考核的动态考核评价机制。</w:t>
      </w:r>
    </w:p>
    <w:p w14:paraId="54C9AB71">
      <w:pPr>
        <w:adjustRightInd w:val="0"/>
        <w:snapToGrid w:val="0"/>
        <w:spacing w:line="360" w:lineRule="exact"/>
        <w:ind w:firstLine="316" w:firstLineChars="150"/>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（一）日常考核</w:t>
      </w:r>
    </w:p>
    <w:p w14:paraId="4A1B18D3">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各单位食堂管理办公室根据供应商的每日配送情况进行日常考核，仓管员和验收员按照《食堂物资供应商供货异常情况登记表》的要求，对供货异常情况（分为质量、时间、服务、价格、其他共五大类）进行逐一登记。日常考核将作为月度考核和年度考核的重要依据。</w:t>
      </w:r>
    </w:p>
    <w:p w14:paraId="035A210C">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日常考核由仓管员和验收员具体负责，评价小组成员负责监督。</w:t>
      </w:r>
    </w:p>
    <w:p w14:paraId="23F40CF5">
      <w:pPr>
        <w:adjustRightInd w:val="0"/>
        <w:snapToGrid w:val="0"/>
        <w:spacing w:line="360" w:lineRule="exact"/>
        <w:ind w:firstLine="316" w:firstLineChars="150"/>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（二）月度考评</w:t>
      </w:r>
    </w:p>
    <w:p w14:paraId="53F5B3D9">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月度考评采用量化评分方式进行。每月5日前根据上月的日常考核结果进行汇总，按照《服务供应商考核评分细则》进行月度考评。考评采用百分制。</w:t>
      </w:r>
    </w:p>
    <w:p w14:paraId="1BDEB0A9">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月度考核由评价小组负责。</w:t>
      </w:r>
    </w:p>
    <w:p w14:paraId="218FEE75">
      <w:pPr>
        <w:adjustRightInd w:val="0"/>
        <w:snapToGrid w:val="0"/>
        <w:spacing w:line="360" w:lineRule="exact"/>
        <w:ind w:firstLine="316" w:firstLineChars="150"/>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（三）年度考评（合同期考评）</w:t>
      </w:r>
    </w:p>
    <w:p w14:paraId="31C0771E">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考评小组根据日常考核及月度考评的结果，对合同期内月度考核评分进行汇总统计，对供应商每年进行一次总评。并将考核评价结果报单位领导批准后进行公示。</w:t>
      </w:r>
    </w:p>
    <w:p w14:paraId="2D7C7541">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年度考核由评价小组负责。</w:t>
      </w:r>
    </w:p>
    <w:p w14:paraId="2CDC776E">
      <w:pPr>
        <w:spacing w:line="360" w:lineRule="exact"/>
        <w:rPr>
          <w:rFonts w:ascii="宋体" w:hAnsi="宋体" w:eastAsia="宋体" w:cs="宋体"/>
          <w:b/>
          <w:bCs/>
          <w:sz w:val="21"/>
          <w:szCs w:val="21"/>
          <w:highlight w:val="none"/>
          <w:lang w:val="en-US" w:eastAsia="zh-CN" w:bidi="ar-SA"/>
        </w:rPr>
      </w:pPr>
    </w:p>
    <w:p w14:paraId="37EAFD46">
      <w:pPr>
        <w:adjustRightInd w:val="0"/>
        <w:snapToGrid w:val="0"/>
        <w:spacing w:line="360" w:lineRule="exact"/>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第六条 供应商退出</w:t>
      </w:r>
    </w:p>
    <w:p w14:paraId="31528571">
      <w:pPr>
        <w:adjustRightInd w:val="0"/>
        <w:snapToGrid w:val="0"/>
        <w:spacing w:line="360" w:lineRule="exact"/>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 xml:space="preserve"> </w:t>
      </w:r>
    </w:p>
    <w:p w14:paraId="4007A430">
      <w:pPr>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一）为加强中标供应商的管理，提高中标供应商质量，鼓励优秀供应商，淘汰不良供应商，对中标供应商的价格水平、服务质量和履约情况进行管理。供应商在合同执行期间，出现以下行为情况之一者，经查属实的，甲方有权依法依规解除服务合作关系：</w:t>
      </w:r>
    </w:p>
    <w:p w14:paraId="1039A171">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1、弄虚作假、隐瞒真实情况骗取中标资格的；</w:t>
      </w:r>
    </w:p>
    <w:p w14:paraId="0A427964">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2、因行贿、受贿、串通投标、转包、挂靠受到有关政府部门处罚的；</w:t>
      </w:r>
    </w:p>
    <w:p w14:paraId="39177C2D">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3、造成严重后果或恶劣影响的行为；</w:t>
      </w:r>
    </w:p>
    <w:p w14:paraId="3A8F76AB">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4、有商业贿赂行为的；</w:t>
      </w:r>
    </w:p>
    <w:p w14:paraId="36234F9B">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5、全国范围内发生配送食品安全事故的；</w:t>
      </w:r>
    </w:p>
    <w:p w14:paraId="24AA7192">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6、选定后无正当理由不与甲方签订合同的；</w:t>
      </w:r>
    </w:p>
    <w:p w14:paraId="0F6A4BE1">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7、擅自变更或者中止采购服务合同的；</w:t>
      </w:r>
    </w:p>
    <w:p w14:paraId="439203D4">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8、经采购人食堂所在单位每月对《服务供应商月度考核评价表》进行打分，得分低于80（不含80）分、或连续三个月得分低于85（不含85）分的；</w:t>
      </w:r>
    </w:p>
    <w:p w14:paraId="5C202CE6">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9、违背《服务承诺函》承诺事项的；</w:t>
      </w:r>
    </w:p>
    <w:p w14:paraId="4B179504">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10、中标人无正当理由在接到中标人开票通知之日起单次累计超过30日未提供付款资料的，影响财政资金支付进度的；</w:t>
      </w:r>
    </w:p>
    <w:p w14:paraId="7E14B2E2">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11、采购人随机抽查发现累计2次/月、或合同期内累计5次，中标供应商配备的专职配送员无健康证的；</w:t>
      </w:r>
    </w:p>
    <w:p w14:paraId="4A1A6EE2">
      <w:pPr>
        <w:spacing w:line="360" w:lineRule="exact"/>
        <w:ind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12、采购人随机抽查发现累计2次/月、或合同期内累计5次，中标供应商配备的配送车辆非冷藏车（或冷冻车）的；</w:t>
      </w:r>
    </w:p>
    <w:p w14:paraId="31364A75">
      <w:pPr>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13、其他违反法律、法规和协议规定的行为。</w:t>
      </w:r>
    </w:p>
    <w:p w14:paraId="1531CF7D">
      <w:pPr>
        <w:adjustRightInd w:val="0"/>
        <w:snapToGrid w:val="0"/>
        <w:spacing w:line="360" w:lineRule="exact"/>
        <w:ind w:firstLine="422" w:firstLineChars="200"/>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第七条 供应商考评资料存档</w:t>
      </w:r>
    </w:p>
    <w:p w14:paraId="13C4E783">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供应商考评完成后，由各单位食堂对相关供应商档案（包括基础资料、交易记录和考核资料等）进行建立、收集、整理和归档，以备日后查阅。</w:t>
      </w:r>
    </w:p>
    <w:p w14:paraId="061385EA">
      <w:pPr>
        <w:adjustRightInd w:val="0"/>
        <w:snapToGrid w:val="0"/>
        <w:spacing w:line="360" w:lineRule="exact"/>
        <w:ind w:firstLine="422" w:firstLineChars="200"/>
        <w:jc w:val="center"/>
        <w:rPr>
          <w:rFonts w:ascii="宋体" w:hAnsi="宋体" w:eastAsia="宋体" w:cs="宋体"/>
          <w:b/>
          <w:sz w:val="21"/>
          <w:szCs w:val="21"/>
          <w:highlight w:val="none"/>
          <w:lang w:val="en-US" w:eastAsia="zh-CN" w:bidi="ar-SA"/>
        </w:rPr>
      </w:pPr>
    </w:p>
    <w:p w14:paraId="6E93B742">
      <w:pPr>
        <w:adjustRightInd w:val="0"/>
        <w:snapToGrid w:val="0"/>
        <w:spacing w:line="360" w:lineRule="exact"/>
        <w:ind w:firstLine="3373" w:firstLineChars="1600"/>
        <w:jc w:val="both"/>
        <w:rPr>
          <w:rFonts w:ascii="宋体" w:hAnsi="宋体" w:eastAsia="宋体" w:cs="宋体"/>
          <w:sz w:val="21"/>
          <w:szCs w:val="21"/>
          <w:highlight w:val="none"/>
          <w:lang w:val="en-US" w:eastAsia="zh-CN" w:bidi="ar-SA"/>
        </w:rPr>
      </w:pPr>
      <w:r>
        <w:rPr>
          <w:rFonts w:hint="eastAsia" w:ascii="宋体" w:hAnsi="宋体" w:eastAsia="宋体" w:cs="宋体"/>
          <w:b/>
          <w:sz w:val="21"/>
          <w:szCs w:val="21"/>
          <w:highlight w:val="none"/>
          <w:lang w:val="en-US" w:eastAsia="zh-CN" w:bidi="ar-SA"/>
        </w:rPr>
        <w:t>第八条 实施日期</w:t>
      </w:r>
    </w:p>
    <w:p w14:paraId="7BA338CA">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本办法自公布之日起实施，最终解释权归深圳市公安局光明公安分局所有。</w:t>
      </w:r>
    </w:p>
    <w:p w14:paraId="53F6C07F">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附件1：食堂物资供应商供货异常情况登记表</w:t>
      </w:r>
    </w:p>
    <w:p w14:paraId="14625DC6">
      <w:pPr>
        <w:adjustRightInd w:val="0"/>
        <w:snapToGrid w:val="0"/>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附件2：服务供应商考核评分细则</w:t>
      </w:r>
    </w:p>
    <w:p w14:paraId="57654431">
      <w:pPr>
        <w:spacing w:line="360" w:lineRule="exact"/>
        <w:ind w:left="630" w:hanging="630" w:hangingChars="3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 </w:t>
      </w:r>
    </w:p>
    <w:p w14:paraId="26DBF6C7">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附件1：食堂物资供应商供货异常情况登记表</w:t>
      </w:r>
    </w:p>
    <w:p w14:paraId="2EC44996">
      <w:pPr>
        <w:spacing w:line="360" w:lineRule="exact"/>
        <w:ind w:firstLine="420" w:firstLineChars="200"/>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说明：履约异常情况分为质量、时间、服务、价格、其他共五类，请首先在对应的类别前打“√”，然后在“具体情况”一栏详细说明情况。本表格一式两联，供应商及收货方各执一联。</w:t>
      </w:r>
    </w:p>
    <w:tbl>
      <w:tblPr>
        <w:tblStyle w:val="17"/>
        <w:tblW w:w="55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45"/>
        <w:gridCol w:w="2251"/>
        <w:gridCol w:w="2531"/>
        <w:gridCol w:w="2447"/>
      </w:tblGrid>
      <w:tr w14:paraId="73FD93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558584D3">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供应商名称</w:t>
            </w:r>
          </w:p>
        </w:tc>
        <w:tc>
          <w:tcPr>
            <w:tcW w:w="2015" w:type="dxa"/>
            <w:tcBorders>
              <w:top w:val="single" w:color="auto" w:sz="4" w:space="0"/>
              <w:left w:val="single" w:color="auto" w:sz="4" w:space="0"/>
              <w:bottom w:val="single" w:color="auto" w:sz="4" w:space="0"/>
              <w:right w:val="single" w:color="auto" w:sz="4" w:space="0"/>
            </w:tcBorders>
            <w:vAlign w:val="center"/>
          </w:tcPr>
          <w:p w14:paraId="62ADA804">
            <w:pPr>
              <w:keepNext w:val="0"/>
              <w:keepLines w:val="0"/>
              <w:widowControl/>
              <w:suppressLineNumbers w:val="0"/>
              <w:spacing w:before="0" w:beforeAutospacing="0" w:after="0" w:afterAutospacing="0" w:line="360" w:lineRule="exact"/>
              <w:ind w:left="0" w:right="0"/>
              <w:jc w:val="both"/>
              <w:rPr>
                <w:rFonts w:hint="default" w:ascii="宋体" w:hAnsi="宋体" w:eastAsia="宋体" w:cs="宋体"/>
                <w:sz w:val="21"/>
                <w:szCs w:val="21"/>
                <w:highlight w:val="none"/>
                <w:lang w:val="en-US" w:eastAsia="zh-CN" w:bidi="ar-SA"/>
              </w:rPr>
            </w:pPr>
          </w:p>
        </w:tc>
        <w:tc>
          <w:tcPr>
            <w:tcW w:w="2265" w:type="dxa"/>
            <w:tcBorders>
              <w:top w:val="single" w:color="auto" w:sz="4" w:space="0"/>
              <w:left w:val="single" w:color="auto" w:sz="4" w:space="0"/>
              <w:bottom w:val="single" w:color="auto" w:sz="4" w:space="0"/>
              <w:right w:val="single" w:color="auto" w:sz="4" w:space="0"/>
            </w:tcBorders>
            <w:vAlign w:val="center"/>
          </w:tcPr>
          <w:p w14:paraId="6918FCB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联系人及电话</w:t>
            </w:r>
          </w:p>
        </w:tc>
        <w:tc>
          <w:tcPr>
            <w:tcW w:w="2190" w:type="dxa"/>
            <w:tcBorders>
              <w:top w:val="single" w:color="auto" w:sz="4" w:space="0"/>
              <w:left w:val="single" w:color="auto" w:sz="4" w:space="0"/>
              <w:bottom w:val="single" w:color="auto" w:sz="4" w:space="0"/>
              <w:right w:val="single" w:color="auto" w:sz="4" w:space="0"/>
            </w:tcBorders>
            <w:vAlign w:val="center"/>
          </w:tcPr>
          <w:p w14:paraId="79A6F6F1">
            <w:pPr>
              <w:keepNext w:val="0"/>
              <w:keepLines w:val="0"/>
              <w:widowControl/>
              <w:suppressLineNumbers w:val="0"/>
              <w:spacing w:before="0" w:beforeAutospacing="0" w:after="0" w:afterAutospacing="0" w:line="360" w:lineRule="exact"/>
              <w:ind w:left="0" w:right="0"/>
              <w:jc w:val="both"/>
              <w:rPr>
                <w:rFonts w:hint="default" w:ascii="宋体" w:hAnsi="宋体" w:eastAsia="宋体" w:cs="宋体"/>
                <w:sz w:val="21"/>
                <w:szCs w:val="21"/>
                <w:highlight w:val="none"/>
                <w:lang w:val="en-US" w:eastAsia="zh-CN" w:bidi="ar-SA"/>
              </w:rPr>
            </w:pPr>
          </w:p>
        </w:tc>
      </w:tr>
      <w:tr w14:paraId="497C7C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6BC952A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送货地点</w:t>
            </w:r>
          </w:p>
        </w:tc>
        <w:tc>
          <w:tcPr>
            <w:tcW w:w="2015" w:type="dxa"/>
            <w:tcBorders>
              <w:top w:val="single" w:color="auto" w:sz="4" w:space="0"/>
              <w:left w:val="single" w:color="auto" w:sz="4" w:space="0"/>
              <w:bottom w:val="single" w:color="auto" w:sz="4" w:space="0"/>
              <w:right w:val="single" w:color="auto" w:sz="4" w:space="0"/>
            </w:tcBorders>
            <w:vAlign w:val="center"/>
          </w:tcPr>
          <w:p w14:paraId="5E3775F8">
            <w:pPr>
              <w:keepNext w:val="0"/>
              <w:keepLines w:val="0"/>
              <w:widowControl/>
              <w:suppressLineNumbers w:val="0"/>
              <w:spacing w:before="0" w:beforeAutospacing="0" w:after="0" w:afterAutospacing="0" w:line="360" w:lineRule="exact"/>
              <w:ind w:left="0" w:right="0"/>
              <w:jc w:val="both"/>
              <w:rPr>
                <w:rFonts w:hint="default" w:ascii="宋体" w:hAnsi="宋体" w:eastAsia="宋体" w:cs="宋体"/>
                <w:sz w:val="21"/>
                <w:szCs w:val="21"/>
                <w:highlight w:val="none"/>
                <w:lang w:val="en-US" w:eastAsia="zh-CN" w:bidi="ar-SA"/>
              </w:rPr>
            </w:pPr>
          </w:p>
        </w:tc>
        <w:tc>
          <w:tcPr>
            <w:tcW w:w="2265" w:type="dxa"/>
            <w:tcBorders>
              <w:top w:val="single" w:color="auto" w:sz="4" w:space="0"/>
              <w:left w:val="single" w:color="auto" w:sz="4" w:space="0"/>
              <w:bottom w:val="single" w:color="auto" w:sz="4" w:space="0"/>
              <w:right w:val="single" w:color="auto" w:sz="4" w:space="0"/>
            </w:tcBorders>
            <w:vAlign w:val="center"/>
          </w:tcPr>
          <w:p w14:paraId="0A5F4A7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送货时间</w:t>
            </w:r>
          </w:p>
        </w:tc>
        <w:tc>
          <w:tcPr>
            <w:tcW w:w="2190" w:type="dxa"/>
            <w:tcBorders>
              <w:top w:val="single" w:color="auto" w:sz="4" w:space="0"/>
              <w:left w:val="single" w:color="auto" w:sz="4" w:space="0"/>
              <w:bottom w:val="single" w:color="auto" w:sz="4" w:space="0"/>
              <w:right w:val="single" w:color="auto" w:sz="4" w:space="0"/>
            </w:tcBorders>
            <w:vAlign w:val="center"/>
          </w:tcPr>
          <w:p w14:paraId="6EAFBA0E">
            <w:pPr>
              <w:keepNext w:val="0"/>
              <w:keepLines w:val="0"/>
              <w:widowControl/>
              <w:suppressLineNumbers w:val="0"/>
              <w:spacing w:before="0" w:beforeAutospacing="0" w:after="0" w:afterAutospacing="0" w:line="360" w:lineRule="exact"/>
              <w:ind w:left="0" w:right="0" w:firstLine="630" w:firstLineChars="300"/>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年  月  日</w:t>
            </w:r>
          </w:p>
        </w:tc>
      </w:tr>
      <w:tr w14:paraId="5A9970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221BF06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异常情况类别</w:t>
            </w:r>
          </w:p>
        </w:tc>
        <w:tc>
          <w:tcPr>
            <w:tcW w:w="6470" w:type="dxa"/>
            <w:gridSpan w:val="3"/>
            <w:tcBorders>
              <w:top w:val="single" w:color="auto" w:sz="4" w:space="0"/>
              <w:left w:val="single" w:color="auto" w:sz="4" w:space="0"/>
              <w:bottom w:val="single" w:color="auto" w:sz="4" w:space="0"/>
              <w:right w:val="single" w:color="auto" w:sz="4" w:space="0"/>
            </w:tcBorders>
            <w:vAlign w:val="center"/>
          </w:tcPr>
          <w:p w14:paraId="45B014AA">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£质量      £时间       £服务       £价格      £其他</w:t>
            </w:r>
          </w:p>
        </w:tc>
      </w:tr>
      <w:tr w14:paraId="3E7126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06B20BA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具体情况</w:t>
            </w:r>
          </w:p>
        </w:tc>
        <w:tc>
          <w:tcPr>
            <w:tcW w:w="6470" w:type="dxa"/>
            <w:gridSpan w:val="3"/>
            <w:tcBorders>
              <w:top w:val="single" w:color="auto" w:sz="4" w:space="0"/>
              <w:left w:val="single" w:color="auto" w:sz="4" w:space="0"/>
              <w:bottom w:val="single" w:color="auto" w:sz="4" w:space="0"/>
              <w:right w:val="single" w:color="auto" w:sz="4" w:space="0"/>
            </w:tcBorders>
          </w:tcPr>
          <w:p w14:paraId="504FDC31">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p>
          <w:p w14:paraId="5F2BBF7B">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p>
          <w:p w14:paraId="39E175B0">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p>
          <w:p w14:paraId="431198C4">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p>
          <w:p w14:paraId="6A1288B5">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p>
        </w:tc>
      </w:tr>
      <w:tr w14:paraId="463624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3711D05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收货方签名</w:t>
            </w:r>
          </w:p>
        </w:tc>
        <w:tc>
          <w:tcPr>
            <w:tcW w:w="2015" w:type="dxa"/>
            <w:tcBorders>
              <w:top w:val="single" w:color="auto" w:sz="4" w:space="0"/>
              <w:left w:val="single" w:color="auto" w:sz="4" w:space="0"/>
              <w:bottom w:val="single" w:color="auto" w:sz="4" w:space="0"/>
              <w:right w:val="single" w:color="auto" w:sz="4" w:space="0"/>
            </w:tcBorders>
            <w:vAlign w:val="center"/>
          </w:tcPr>
          <w:p w14:paraId="332208A1">
            <w:pPr>
              <w:keepNext w:val="0"/>
              <w:keepLines w:val="0"/>
              <w:widowControl/>
              <w:suppressLineNumbers w:val="0"/>
              <w:spacing w:before="0" w:beforeAutospacing="0" w:after="0" w:afterAutospacing="0" w:line="360" w:lineRule="exact"/>
              <w:ind w:left="0" w:right="0" w:firstLine="3780" w:firstLineChars="1800"/>
              <w:rPr>
                <w:rFonts w:hint="default" w:ascii="宋体" w:hAnsi="宋体" w:eastAsia="宋体" w:cs="宋体"/>
                <w:sz w:val="21"/>
                <w:szCs w:val="21"/>
                <w:highlight w:val="none"/>
                <w:lang w:val="en-US" w:eastAsia="zh-CN" w:bidi="ar-SA"/>
              </w:rPr>
            </w:pPr>
          </w:p>
        </w:tc>
        <w:tc>
          <w:tcPr>
            <w:tcW w:w="2265" w:type="dxa"/>
            <w:tcBorders>
              <w:top w:val="single" w:color="auto" w:sz="4" w:space="0"/>
              <w:left w:val="single" w:color="auto" w:sz="4" w:space="0"/>
              <w:bottom w:val="single" w:color="auto" w:sz="4" w:space="0"/>
              <w:right w:val="single" w:color="auto" w:sz="4" w:space="0"/>
            </w:tcBorders>
            <w:vAlign w:val="center"/>
          </w:tcPr>
          <w:p w14:paraId="6C829AA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供货负责人签名</w:t>
            </w:r>
          </w:p>
        </w:tc>
        <w:tc>
          <w:tcPr>
            <w:tcW w:w="2190" w:type="dxa"/>
            <w:tcBorders>
              <w:top w:val="single" w:color="auto" w:sz="4" w:space="0"/>
              <w:left w:val="single" w:color="auto" w:sz="4" w:space="0"/>
              <w:bottom w:val="single" w:color="auto" w:sz="4" w:space="0"/>
              <w:right w:val="single" w:color="auto" w:sz="4" w:space="0"/>
            </w:tcBorders>
            <w:vAlign w:val="center"/>
          </w:tcPr>
          <w:p w14:paraId="644BC484">
            <w:pPr>
              <w:keepNext w:val="0"/>
              <w:keepLines w:val="0"/>
              <w:widowControl/>
              <w:suppressLineNumbers w:val="0"/>
              <w:spacing w:before="0" w:beforeAutospacing="0" w:after="0" w:afterAutospacing="0" w:line="360" w:lineRule="exact"/>
              <w:ind w:left="0" w:right="0" w:firstLine="3780" w:firstLineChars="1800"/>
              <w:rPr>
                <w:rFonts w:hint="default" w:ascii="宋体" w:hAnsi="宋体" w:eastAsia="宋体" w:cs="宋体"/>
                <w:sz w:val="21"/>
                <w:szCs w:val="21"/>
                <w:highlight w:val="none"/>
                <w:lang w:val="en-US" w:eastAsia="zh-CN" w:bidi="ar-SA"/>
              </w:rPr>
            </w:pPr>
          </w:p>
        </w:tc>
      </w:tr>
    </w:tbl>
    <w:p w14:paraId="536268A1">
      <w:pPr>
        <w:adjustRightInd w:val="0"/>
        <w:snapToGrid w:val="0"/>
        <w:spacing w:line="360" w:lineRule="exact"/>
        <w:rPr>
          <w:rFonts w:ascii="宋体" w:hAnsi="宋体" w:eastAsia="宋体" w:cs="宋体"/>
          <w:sz w:val="21"/>
          <w:szCs w:val="21"/>
          <w:highlight w:val="none"/>
          <w:lang w:val="en-US" w:eastAsia="zh-CN" w:bidi="ar-SA"/>
        </w:rPr>
      </w:pPr>
    </w:p>
    <w:p w14:paraId="1EE2E2ED">
      <w:pPr>
        <w:adjustRightInd w:val="0"/>
        <w:snapToGrid w:val="0"/>
        <w:spacing w:line="360" w:lineRule="exact"/>
        <w:rPr>
          <w:rFonts w:ascii="宋体" w:hAnsi="宋体" w:eastAsia="宋体" w:cs="宋体"/>
          <w:sz w:val="21"/>
          <w:szCs w:val="21"/>
          <w:highlight w:val="none"/>
          <w:lang w:val="en-US" w:eastAsia="zh-CN" w:bidi="ar-SA"/>
        </w:rPr>
      </w:pPr>
    </w:p>
    <w:p w14:paraId="0D1F296A">
      <w:pPr>
        <w:adjustRightInd w:val="0"/>
        <w:snapToGrid w:val="0"/>
        <w:spacing w:line="360" w:lineRule="exact"/>
        <w:rPr>
          <w:rFonts w:ascii="宋体" w:hAnsi="宋体" w:eastAsia="宋体" w:cs="宋体"/>
          <w:sz w:val="21"/>
          <w:szCs w:val="21"/>
          <w:highlight w:val="none"/>
          <w:lang w:val="en-US" w:eastAsia="zh-CN" w:bidi="ar-SA"/>
        </w:rPr>
      </w:pPr>
    </w:p>
    <w:p w14:paraId="10FA31DB">
      <w:pPr>
        <w:widowControl w:val="0"/>
        <w:spacing w:before="156" w:beforeLines="50" w:after="156" w:afterLines="50" w:line="276" w:lineRule="auto"/>
        <w:ind w:left="0" w:leftChars="0" w:firstLine="422" w:firstLineChars="200"/>
        <w:jc w:val="both"/>
        <w:outlineLvl w:val="4"/>
        <w:rPr>
          <w:rFonts w:ascii="宋体" w:hAnsi="宋体" w:eastAsia="宋体" w:cs="Arial"/>
          <w:b/>
          <w:kern w:val="2"/>
          <w:sz w:val="21"/>
          <w:szCs w:val="21"/>
          <w:highlight w:val="none"/>
          <w:lang w:val="en-US" w:eastAsia="zh-CN" w:bidi="ar-SA"/>
        </w:rPr>
      </w:pPr>
      <w:r>
        <w:rPr>
          <w:rFonts w:hint="eastAsia" w:ascii="宋体" w:hAnsi="宋体" w:eastAsia="宋体" w:cs="Arial"/>
          <w:b/>
          <w:kern w:val="2"/>
          <w:sz w:val="21"/>
          <w:szCs w:val="21"/>
          <w:highlight w:val="none"/>
          <w:lang w:val="en-US" w:eastAsia="zh-CN" w:bidi="ar-SA"/>
        </w:rPr>
        <w:t>附件2：服务供应商月度考核得分表</w:t>
      </w:r>
    </w:p>
    <w:p w14:paraId="31A5778F">
      <w:pPr>
        <w:adjustRightInd w:val="0"/>
        <w:snapToGrid w:val="0"/>
        <w:spacing w:line="360" w:lineRule="exact"/>
        <w:rPr>
          <w:rFonts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 xml:space="preserve"> </w:t>
      </w:r>
    </w:p>
    <w:p w14:paraId="1F7FCBB8">
      <w:pPr>
        <w:spacing w:line="360" w:lineRule="exact"/>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服务供应商月度考核得分表</w:t>
      </w:r>
    </w:p>
    <w:p w14:paraId="2213C89E">
      <w:pPr>
        <w:spacing w:line="360" w:lineRule="exact"/>
        <w:rPr>
          <w:rFonts w:ascii="宋体" w:hAnsi="宋体" w:eastAsia="宋体" w:cs="宋体"/>
          <w:b/>
          <w:bCs/>
          <w:sz w:val="21"/>
          <w:szCs w:val="21"/>
          <w:highlight w:val="none"/>
          <w:lang w:val="en-US" w:eastAsia="zh-CN" w:bidi="ar-SA"/>
        </w:rPr>
      </w:pPr>
    </w:p>
    <w:p w14:paraId="0D3C5B9C">
      <w:pPr>
        <w:spacing w:line="360" w:lineRule="exact"/>
        <w:jc w:val="center"/>
        <w:rPr>
          <w:rFonts w:ascii="宋体" w:hAnsi="宋体" w:eastAsia="宋体" w:cs="宋体"/>
          <w:b/>
          <w:sz w:val="21"/>
          <w:szCs w:val="21"/>
          <w:highlight w:val="none"/>
          <w:lang w:val="en-US" w:eastAsia="zh-CN" w:bidi="ar-SA"/>
        </w:rPr>
      </w:pPr>
      <w:r>
        <w:rPr>
          <w:rFonts w:hint="eastAsia" w:ascii="宋体" w:hAnsi="宋体" w:eastAsia="宋体" w:cs="宋体"/>
          <w:b/>
          <w:sz w:val="21"/>
          <w:szCs w:val="21"/>
          <w:highlight w:val="none"/>
          <w:lang w:val="en-US" w:eastAsia="zh-CN" w:bidi="ar-SA"/>
        </w:rPr>
        <w:t>月度考核评价表</w:t>
      </w:r>
    </w:p>
    <w:tbl>
      <w:tblPr>
        <w:tblStyle w:val="17"/>
        <w:tblW w:w="5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061"/>
        <w:gridCol w:w="1447"/>
        <w:gridCol w:w="4916"/>
        <w:gridCol w:w="759"/>
        <w:gridCol w:w="600"/>
      </w:tblGrid>
      <w:tr w14:paraId="153F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vAlign w:val="center"/>
          </w:tcPr>
          <w:p w14:paraId="3A4CF9D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序号</w:t>
            </w:r>
          </w:p>
        </w:tc>
        <w:tc>
          <w:tcPr>
            <w:tcW w:w="1061" w:type="dxa"/>
            <w:tcBorders>
              <w:top w:val="single" w:color="auto" w:sz="4" w:space="0"/>
              <w:left w:val="single" w:color="auto" w:sz="4" w:space="0"/>
              <w:bottom w:val="single" w:color="auto" w:sz="4" w:space="0"/>
              <w:right w:val="single" w:color="auto" w:sz="4" w:space="0"/>
            </w:tcBorders>
            <w:vAlign w:val="center"/>
          </w:tcPr>
          <w:p w14:paraId="792D727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类别</w:t>
            </w:r>
          </w:p>
        </w:tc>
        <w:tc>
          <w:tcPr>
            <w:tcW w:w="1447" w:type="dxa"/>
            <w:tcBorders>
              <w:top w:val="single" w:color="auto" w:sz="4" w:space="0"/>
              <w:left w:val="single" w:color="auto" w:sz="4" w:space="0"/>
              <w:bottom w:val="single" w:color="auto" w:sz="4" w:space="0"/>
              <w:right w:val="single" w:color="auto" w:sz="4" w:space="0"/>
            </w:tcBorders>
            <w:vAlign w:val="center"/>
          </w:tcPr>
          <w:p w14:paraId="5161158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内容</w:t>
            </w:r>
          </w:p>
        </w:tc>
        <w:tc>
          <w:tcPr>
            <w:tcW w:w="4917" w:type="dxa"/>
            <w:tcBorders>
              <w:top w:val="single" w:color="auto" w:sz="4" w:space="0"/>
              <w:left w:val="single" w:color="auto" w:sz="4" w:space="0"/>
              <w:bottom w:val="single" w:color="auto" w:sz="4" w:space="0"/>
              <w:right w:val="single" w:color="auto" w:sz="4" w:space="0"/>
            </w:tcBorders>
            <w:vAlign w:val="center"/>
          </w:tcPr>
          <w:p w14:paraId="3949F933">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评分细则</w:t>
            </w:r>
          </w:p>
        </w:tc>
        <w:tc>
          <w:tcPr>
            <w:tcW w:w="759" w:type="dxa"/>
            <w:tcBorders>
              <w:top w:val="single" w:color="auto" w:sz="4" w:space="0"/>
              <w:left w:val="single" w:color="auto" w:sz="4" w:space="0"/>
              <w:bottom w:val="single" w:color="auto" w:sz="4" w:space="0"/>
              <w:right w:val="single" w:color="auto" w:sz="4" w:space="0"/>
            </w:tcBorders>
            <w:vAlign w:val="center"/>
          </w:tcPr>
          <w:p w14:paraId="20DFA94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分值</w:t>
            </w:r>
          </w:p>
        </w:tc>
        <w:tc>
          <w:tcPr>
            <w:tcW w:w="600" w:type="dxa"/>
            <w:tcBorders>
              <w:top w:val="single" w:color="auto" w:sz="4" w:space="0"/>
              <w:left w:val="single" w:color="auto" w:sz="4" w:space="0"/>
              <w:bottom w:val="single" w:color="auto" w:sz="4" w:space="0"/>
              <w:right w:val="single" w:color="auto" w:sz="4" w:space="0"/>
            </w:tcBorders>
            <w:vAlign w:val="center"/>
          </w:tcPr>
          <w:p w14:paraId="76C08D8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b/>
                <w:sz w:val="21"/>
                <w:szCs w:val="21"/>
                <w:highlight w:val="none"/>
                <w:lang w:val="zh-CN" w:eastAsia="zh-CN" w:bidi="ar-SA"/>
              </w:rPr>
            </w:pPr>
            <w:r>
              <w:rPr>
                <w:rFonts w:hint="eastAsia" w:ascii="宋体" w:hAnsi="宋体" w:eastAsia="宋体" w:cs="宋体"/>
                <w:b/>
                <w:sz w:val="21"/>
                <w:szCs w:val="21"/>
                <w:highlight w:val="none"/>
                <w:lang w:val="zh-CN" w:eastAsia="zh-CN" w:bidi="ar-SA"/>
              </w:rPr>
              <w:t>得分</w:t>
            </w:r>
          </w:p>
        </w:tc>
      </w:tr>
      <w:tr w14:paraId="0E72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restart"/>
            <w:tcBorders>
              <w:top w:val="single" w:color="auto" w:sz="4" w:space="0"/>
              <w:left w:val="single" w:color="auto" w:sz="4" w:space="0"/>
              <w:right w:val="single" w:color="auto" w:sz="4" w:space="0"/>
            </w:tcBorders>
            <w:vAlign w:val="center"/>
          </w:tcPr>
          <w:p w14:paraId="5FAE04F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w:t>
            </w:r>
          </w:p>
        </w:tc>
        <w:tc>
          <w:tcPr>
            <w:tcW w:w="1061" w:type="dxa"/>
            <w:vMerge w:val="restart"/>
            <w:tcBorders>
              <w:top w:val="single" w:color="auto" w:sz="4" w:space="0"/>
              <w:left w:val="single" w:color="auto" w:sz="4" w:space="0"/>
              <w:right w:val="single" w:color="auto" w:sz="4" w:space="0"/>
            </w:tcBorders>
            <w:vAlign w:val="center"/>
          </w:tcPr>
          <w:p w14:paraId="73C7313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企业管理</w:t>
            </w:r>
          </w:p>
        </w:tc>
        <w:tc>
          <w:tcPr>
            <w:tcW w:w="1447" w:type="dxa"/>
            <w:tcBorders>
              <w:top w:val="single" w:color="auto" w:sz="4" w:space="0"/>
              <w:left w:val="single" w:color="auto" w:sz="4" w:space="0"/>
              <w:bottom w:val="single" w:color="auto" w:sz="4" w:space="0"/>
              <w:right w:val="single" w:color="auto" w:sz="4" w:space="0"/>
            </w:tcBorders>
            <w:vAlign w:val="center"/>
          </w:tcPr>
          <w:p w14:paraId="4128C72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管理规范</w:t>
            </w:r>
          </w:p>
        </w:tc>
        <w:tc>
          <w:tcPr>
            <w:tcW w:w="4917" w:type="dxa"/>
            <w:tcBorders>
              <w:top w:val="single" w:color="auto" w:sz="4" w:space="0"/>
              <w:left w:val="single" w:color="auto" w:sz="4" w:space="0"/>
              <w:bottom w:val="single" w:color="auto" w:sz="4" w:space="0"/>
              <w:right w:val="single" w:color="auto" w:sz="4" w:space="0"/>
            </w:tcBorders>
            <w:vAlign w:val="center"/>
          </w:tcPr>
          <w:p w14:paraId="6BDFF198">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具有完整详细的阶段性具体服务实施计划及应急预案，明确人员的分配、工作职责安排及管理制度，服务资料档案保存完整、建立供应台账，货源、采购渠道、供货保障、品质监控、日常管理组织、物流配送等符合本项目的整体需求，材料不齐全的每处扣1分，累计每月最高扣5分</w:t>
            </w:r>
          </w:p>
        </w:tc>
        <w:tc>
          <w:tcPr>
            <w:tcW w:w="759" w:type="dxa"/>
            <w:tcBorders>
              <w:top w:val="single" w:color="auto" w:sz="4" w:space="0"/>
              <w:left w:val="single" w:color="auto" w:sz="4" w:space="0"/>
              <w:bottom w:val="single" w:color="auto" w:sz="4" w:space="0"/>
              <w:right w:val="single" w:color="auto" w:sz="4" w:space="0"/>
            </w:tcBorders>
            <w:vAlign w:val="center"/>
          </w:tcPr>
          <w:p w14:paraId="05F4745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5</w:t>
            </w:r>
          </w:p>
        </w:tc>
        <w:tc>
          <w:tcPr>
            <w:tcW w:w="600" w:type="dxa"/>
            <w:tcBorders>
              <w:top w:val="single" w:color="auto" w:sz="4" w:space="0"/>
              <w:left w:val="single" w:color="auto" w:sz="4" w:space="0"/>
              <w:bottom w:val="single" w:color="auto" w:sz="4" w:space="0"/>
              <w:right w:val="single" w:color="auto" w:sz="4" w:space="0"/>
            </w:tcBorders>
            <w:vAlign w:val="center"/>
          </w:tcPr>
          <w:p w14:paraId="37D03E4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62DD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continue"/>
            <w:tcBorders>
              <w:left w:val="single" w:color="auto" w:sz="4" w:space="0"/>
              <w:bottom w:val="single" w:color="auto" w:sz="4" w:space="0"/>
              <w:right w:val="single" w:color="auto" w:sz="4" w:space="0"/>
            </w:tcBorders>
            <w:vAlign w:val="center"/>
          </w:tcPr>
          <w:p w14:paraId="4372044E">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061" w:type="dxa"/>
            <w:vMerge w:val="continue"/>
            <w:tcBorders>
              <w:left w:val="single" w:color="auto" w:sz="4" w:space="0"/>
              <w:bottom w:val="single" w:color="auto" w:sz="4" w:space="0"/>
              <w:right w:val="single" w:color="auto" w:sz="4" w:space="0"/>
            </w:tcBorders>
            <w:vAlign w:val="center"/>
          </w:tcPr>
          <w:p w14:paraId="4DB7654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447" w:type="dxa"/>
            <w:tcBorders>
              <w:top w:val="single" w:color="auto" w:sz="4" w:space="0"/>
              <w:left w:val="single" w:color="auto" w:sz="4" w:space="0"/>
              <w:bottom w:val="single" w:color="auto" w:sz="4" w:space="0"/>
              <w:right w:val="single" w:color="auto" w:sz="4" w:space="0"/>
            </w:tcBorders>
            <w:vAlign w:val="center"/>
          </w:tcPr>
          <w:p w14:paraId="0EAEBB1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配合执行相关政策</w:t>
            </w:r>
          </w:p>
        </w:tc>
        <w:tc>
          <w:tcPr>
            <w:tcW w:w="4917" w:type="dxa"/>
            <w:tcBorders>
              <w:top w:val="single" w:color="auto" w:sz="4" w:space="0"/>
              <w:left w:val="single" w:color="auto" w:sz="4" w:space="0"/>
              <w:bottom w:val="single" w:color="auto" w:sz="4" w:space="0"/>
              <w:right w:val="single" w:color="auto" w:sz="4" w:space="0"/>
            </w:tcBorders>
            <w:vAlign w:val="center"/>
          </w:tcPr>
          <w:p w14:paraId="5A8A6707">
            <w:pPr>
              <w:keepNext w:val="0"/>
              <w:keepLines w:val="0"/>
              <w:widowControl/>
              <w:suppressLineNumbers w:val="0"/>
              <w:wordWrap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投标人应无条件配合采购人落实上级及本单位食堂管理相关要求，包括但不限于：1.配合采购人落实上级关于消费扶贫农副产品采购的要求，完成从指定渠道供应扶贫产品的任务，不配合工作开展的，每次扣2分；买菜服务”中供菜价格应与本项目中标折扣率相同、供应价格相同，不配合开展的，供货不及时或价格不按要求执行的，每次扣2分。</w:t>
            </w:r>
          </w:p>
        </w:tc>
        <w:tc>
          <w:tcPr>
            <w:tcW w:w="759" w:type="dxa"/>
            <w:tcBorders>
              <w:top w:val="single" w:color="auto" w:sz="4" w:space="0"/>
              <w:left w:val="single" w:color="auto" w:sz="4" w:space="0"/>
              <w:bottom w:val="single" w:color="auto" w:sz="4" w:space="0"/>
              <w:right w:val="single" w:color="auto" w:sz="4" w:space="0"/>
            </w:tcBorders>
            <w:vAlign w:val="center"/>
          </w:tcPr>
          <w:p w14:paraId="604A6FF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5</w:t>
            </w:r>
          </w:p>
        </w:tc>
        <w:tc>
          <w:tcPr>
            <w:tcW w:w="600" w:type="dxa"/>
            <w:tcBorders>
              <w:top w:val="single" w:color="auto" w:sz="4" w:space="0"/>
              <w:left w:val="single" w:color="auto" w:sz="4" w:space="0"/>
              <w:bottom w:val="single" w:color="auto" w:sz="4" w:space="0"/>
              <w:right w:val="single" w:color="auto" w:sz="4" w:space="0"/>
            </w:tcBorders>
            <w:vAlign w:val="center"/>
          </w:tcPr>
          <w:p w14:paraId="550F510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3D3F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vAlign w:val="center"/>
          </w:tcPr>
          <w:p w14:paraId="396A579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w:t>
            </w:r>
          </w:p>
        </w:tc>
        <w:tc>
          <w:tcPr>
            <w:tcW w:w="1061" w:type="dxa"/>
            <w:tcBorders>
              <w:top w:val="single" w:color="auto" w:sz="4" w:space="0"/>
              <w:left w:val="single" w:color="auto" w:sz="4" w:space="0"/>
              <w:bottom w:val="single" w:color="auto" w:sz="4" w:space="0"/>
              <w:right w:val="single" w:color="auto" w:sz="4" w:space="0"/>
            </w:tcBorders>
            <w:vAlign w:val="center"/>
          </w:tcPr>
          <w:p w14:paraId="244F0013">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价格</w:t>
            </w:r>
          </w:p>
        </w:tc>
        <w:tc>
          <w:tcPr>
            <w:tcW w:w="1447" w:type="dxa"/>
            <w:tcBorders>
              <w:top w:val="single" w:color="auto" w:sz="4" w:space="0"/>
              <w:left w:val="single" w:color="auto" w:sz="4" w:space="0"/>
              <w:bottom w:val="single" w:color="auto" w:sz="4" w:space="0"/>
              <w:right w:val="single" w:color="auto" w:sz="4" w:space="0"/>
            </w:tcBorders>
            <w:vAlign w:val="center"/>
          </w:tcPr>
          <w:p w14:paraId="56D5125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价格执行情况</w:t>
            </w:r>
          </w:p>
        </w:tc>
        <w:tc>
          <w:tcPr>
            <w:tcW w:w="4917" w:type="dxa"/>
            <w:tcBorders>
              <w:top w:val="single" w:color="auto" w:sz="4" w:space="0"/>
              <w:left w:val="single" w:color="auto" w:sz="4" w:space="0"/>
              <w:bottom w:val="single" w:color="auto" w:sz="4" w:space="0"/>
              <w:right w:val="single" w:color="auto" w:sz="4" w:space="0"/>
            </w:tcBorders>
            <w:vAlign w:val="center"/>
          </w:tcPr>
          <w:p w14:paraId="219AFD5E">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根据采购方的要求定期报价、建立完善的报价机制，价格合理、且符合采购单位实际需求。是否建立完善的报价机制；是否存在临时补货物品价格虚高的情况；</w:t>
            </w:r>
            <w:r>
              <w:rPr>
                <w:rFonts w:hint="eastAsia" w:ascii="宋体" w:hAnsi="宋体" w:eastAsia="宋体" w:cs="宋体"/>
                <w:sz w:val="21"/>
                <w:szCs w:val="21"/>
                <w:highlight w:val="none"/>
                <w:lang w:val="en-US" w:eastAsia="zh-CN" w:bidi="ar-SA"/>
              </w:rPr>
              <w:t>是否严格按照</w:t>
            </w:r>
            <w:r>
              <w:rPr>
                <w:rFonts w:hint="eastAsia" w:ascii="宋体" w:hAnsi="宋体" w:eastAsia="宋体" w:cs="宋体"/>
                <w:bCs/>
                <w:kern w:val="2"/>
                <w:sz w:val="21"/>
                <w:szCs w:val="21"/>
                <w:highlight w:val="none"/>
                <w:lang w:val="en-US" w:eastAsia="zh-CN" w:bidi="ar-SA"/>
              </w:rPr>
              <w:t>深圳市中农数据有限公司（天天采配服务平台）中有价格的产品，以深圳市中农数据有限公司（天天采配服务平台）（网址：www.chinaap.com）上个月整月公布的价格（非含费价）取平均值作为该项物资的基准价，投标人结合企业自己的实力报出折扣率。结算时价格=折扣率*基准价。</w:t>
            </w:r>
            <w:r>
              <w:rPr>
                <w:rFonts w:hint="eastAsia" w:ascii="宋体" w:hAnsi="宋体" w:eastAsia="宋体" w:cs="宋体"/>
                <w:sz w:val="21"/>
                <w:szCs w:val="21"/>
                <w:highlight w:val="none"/>
                <w:lang w:val="en-US" w:eastAsia="zh-CN" w:bidi="ar-SA"/>
              </w:rPr>
              <w:t>及结算，</w:t>
            </w:r>
            <w:r>
              <w:rPr>
                <w:rFonts w:hint="eastAsia" w:ascii="宋体" w:hAnsi="宋体" w:eastAsia="宋体" w:cs="宋体"/>
                <w:sz w:val="21"/>
                <w:szCs w:val="21"/>
                <w:highlight w:val="none"/>
                <w:lang w:val="zh-CN" w:eastAsia="zh-CN" w:bidi="ar-SA"/>
              </w:rPr>
              <w:t>是否存在</w:t>
            </w:r>
            <w:r>
              <w:rPr>
                <w:rFonts w:hint="eastAsia" w:ascii="宋体" w:hAnsi="宋体" w:eastAsia="宋体" w:cs="宋体"/>
                <w:sz w:val="21"/>
                <w:szCs w:val="21"/>
                <w:highlight w:val="none"/>
                <w:lang w:val="en-US" w:eastAsia="zh-CN" w:bidi="ar-SA"/>
              </w:rPr>
              <w:t>对食材</w:t>
            </w:r>
            <w:r>
              <w:rPr>
                <w:rFonts w:hint="eastAsia" w:ascii="宋体" w:hAnsi="宋体" w:eastAsia="宋体" w:cs="宋体"/>
                <w:sz w:val="21"/>
                <w:szCs w:val="21"/>
                <w:highlight w:val="none"/>
                <w:lang w:val="zh-CN" w:eastAsia="zh-CN" w:bidi="ar-SA"/>
              </w:rPr>
              <w:t>价格乱报、错报等的情况；是否存在月度结算对账不及时情况。每发现1次，扣2分，累计最高扣分5分。</w:t>
            </w:r>
          </w:p>
        </w:tc>
        <w:tc>
          <w:tcPr>
            <w:tcW w:w="759" w:type="dxa"/>
            <w:tcBorders>
              <w:top w:val="single" w:color="auto" w:sz="4" w:space="0"/>
              <w:left w:val="single" w:color="auto" w:sz="4" w:space="0"/>
              <w:bottom w:val="single" w:color="auto" w:sz="4" w:space="0"/>
              <w:right w:val="single" w:color="auto" w:sz="4" w:space="0"/>
            </w:tcBorders>
            <w:vAlign w:val="center"/>
          </w:tcPr>
          <w:p w14:paraId="77F8E59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5</w:t>
            </w:r>
          </w:p>
        </w:tc>
        <w:tc>
          <w:tcPr>
            <w:tcW w:w="600" w:type="dxa"/>
            <w:tcBorders>
              <w:top w:val="single" w:color="auto" w:sz="4" w:space="0"/>
              <w:left w:val="single" w:color="auto" w:sz="4" w:space="0"/>
              <w:bottom w:val="single" w:color="auto" w:sz="4" w:space="0"/>
              <w:right w:val="single" w:color="auto" w:sz="4" w:space="0"/>
            </w:tcBorders>
            <w:vAlign w:val="center"/>
          </w:tcPr>
          <w:p w14:paraId="5EE484D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53A0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90" w:type="dxa"/>
            <w:vMerge w:val="restart"/>
            <w:tcBorders>
              <w:top w:val="single" w:color="auto" w:sz="4" w:space="0"/>
              <w:left w:val="single" w:color="auto" w:sz="4" w:space="0"/>
              <w:bottom w:val="single" w:color="auto" w:sz="4" w:space="0"/>
              <w:right w:val="single" w:color="auto" w:sz="4" w:space="0"/>
            </w:tcBorders>
            <w:vAlign w:val="center"/>
          </w:tcPr>
          <w:p w14:paraId="5089CD5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3</w:t>
            </w:r>
          </w:p>
        </w:tc>
        <w:tc>
          <w:tcPr>
            <w:tcW w:w="1061" w:type="dxa"/>
            <w:vMerge w:val="restart"/>
            <w:tcBorders>
              <w:top w:val="single" w:color="auto" w:sz="4" w:space="0"/>
              <w:left w:val="single" w:color="auto" w:sz="4" w:space="0"/>
              <w:bottom w:val="single" w:color="auto" w:sz="4" w:space="0"/>
              <w:right w:val="single" w:color="auto" w:sz="4" w:space="0"/>
            </w:tcBorders>
            <w:vAlign w:val="center"/>
          </w:tcPr>
          <w:p w14:paraId="7380661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质量</w:t>
            </w:r>
          </w:p>
        </w:tc>
        <w:tc>
          <w:tcPr>
            <w:tcW w:w="1447" w:type="dxa"/>
            <w:tcBorders>
              <w:top w:val="single" w:color="auto" w:sz="4" w:space="0"/>
              <w:left w:val="single" w:color="auto" w:sz="4" w:space="0"/>
              <w:bottom w:val="single" w:color="auto" w:sz="4" w:space="0"/>
              <w:right w:val="single" w:color="auto" w:sz="4" w:space="0"/>
            </w:tcBorders>
            <w:vAlign w:val="center"/>
          </w:tcPr>
          <w:p w14:paraId="44DD696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物品质量</w:t>
            </w:r>
          </w:p>
        </w:tc>
        <w:tc>
          <w:tcPr>
            <w:tcW w:w="4917" w:type="dxa"/>
            <w:tcBorders>
              <w:top w:val="single" w:color="auto" w:sz="4" w:space="0"/>
              <w:left w:val="single" w:color="auto" w:sz="4" w:space="0"/>
              <w:bottom w:val="single" w:color="auto" w:sz="4" w:space="0"/>
              <w:right w:val="single" w:color="auto" w:sz="4" w:space="0"/>
            </w:tcBorders>
            <w:vAlign w:val="center"/>
          </w:tcPr>
          <w:p w14:paraId="7D77571A">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是否供应货物品种、品牌、规格或质量等级与合同要求不符，货不对板等；</w:t>
            </w:r>
            <w:r>
              <w:rPr>
                <w:rFonts w:hint="eastAsia" w:ascii="宋体" w:hAnsi="宋体" w:eastAsia="宋体" w:cs="宋体"/>
                <w:sz w:val="21"/>
                <w:szCs w:val="21"/>
                <w:highlight w:val="none"/>
                <w:lang w:val="zh-CN" w:eastAsia="zh-CN" w:bidi="ar-SA"/>
              </w:rPr>
              <w:t>配送物品是否存在霉烂、变质、过期、破损等不符质量要求的情况；是否存在以次充好达不到采购方要求的情况。及时更换，不影响供餐使用的每次扣一分，不及时改正的每发现1次扣</w:t>
            </w:r>
            <w:r>
              <w:rPr>
                <w:rFonts w:hint="eastAsia" w:ascii="宋体" w:hAnsi="宋体" w:eastAsia="宋体" w:cs="宋体"/>
                <w:sz w:val="21"/>
                <w:szCs w:val="21"/>
                <w:highlight w:val="none"/>
                <w:lang w:val="en-US" w:eastAsia="zh-CN" w:bidi="ar-SA"/>
              </w:rPr>
              <w:t>2</w:t>
            </w:r>
            <w:r>
              <w:rPr>
                <w:rFonts w:hint="eastAsia" w:ascii="宋体" w:hAnsi="宋体" w:eastAsia="宋体" w:cs="宋体"/>
                <w:sz w:val="21"/>
                <w:szCs w:val="21"/>
                <w:highlight w:val="none"/>
                <w:lang w:val="zh-CN" w:eastAsia="zh-CN" w:bidi="ar-SA"/>
              </w:rPr>
              <w:t>分，累计每月最高扣分10分。发现</w:t>
            </w:r>
            <w:r>
              <w:rPr>
                <w:rFonts w:hint="eastAsia" w:ascii="宋体" w:hAnsi="宋体" w:eastAsia="宋体" w:cs="宋体"/>
                <w:sz w:val="21"/>
                <w:szCs w:val="21"/>
                <w:highlight w:val="none"/>
                <w:lang w:val="en-US" w:eastAsia="zh-CN" w:bidi="ar-SA"/>
              </w:rPr>
              <w:t>把招标人验收不合格退货的货物重新配送给招标人的，</w:t>
            </w:r>
            <w:r>
              <w:rPr>
                <w:rFonts w:hint="eastAsia" w:ascii="宋体" w:hAnsi="宋体" w:eastAsia="宋体" w:cs="宋体"/>
                <w:sz w:val="21"/>
                <w:szCs w:val="21"/>
                <w:highlight w:val="none"/>
                <w:lang w:val="zh-CN" w:eastAsia="zh-CN" w:bidi="ar-SA"/>
              </w:rPr>
              <w:t>直接扣10分</w:t>
            </w:r>
            <w:r>
              <w:rPr>
                <w:rFonts w:hint="eastAsia" w:ascii="宋体" w:hAnsi="宋体" w:eastAsia="宋体" w:cs="宋体"/>
                <w:sz w:val="21"/>
                <w:szCs w:val="21"/>
                <w:highlight w:val="none"/>
                <w:lang w:val="en-US" w:eastAsia="zh-CN" w:bidi="ar-SA"/>
              </w:rPr>
              <w:t>；</w:t>
            </w:r>
          </w:p>
        </w:tc>
        <w:tc>
          <w:tcPr>
            <w:tcW w:w="759" w:type="dxa"/>
            <w:vMerge w:val="restart"/>
            <w:tcBorders>
              <w:top w:val="single" w:color="auto" w:sz="4" w:space="0"/>
              <w:left w:val="single" w:color="auto" w:sz="4" w:space="0"/>
              <w:bottom w:val="single" w:color="auto" w:sz="4" w:space="0"/>
              <w:right w:val="single" w:color="auto" w:sz="4" w:space="0"/>
            </w:tcBorders>
            <w:vAlign w:val="center"/>
          </w:tcPr>
          <w:p w14:paraId="2195534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w:t>
            </w:r>
            <w:r>
              <w:rPr>
                <w:rFonts w:hint="eastAsia" w:ascii="宋体" w:hAnsi="宋体" w:eastAsia="宋体" w:cs="宋体"/>
                <w:sz w:val="21"/>
                <w:szCs w:val="21"/>
                <w:highlight w:val="none"/>
                <w:lang w:val="en-US" w:eastAsia="zh-CN" w:bidi="ar-SA"/>
              </w:rPr>
              <w:t>0</w:t>
            </w:r>
          </w:p>
        </w:tc>
        <w:tc>
          <w:tcPr>
            <w:tcW w:w="600" w:type="dxa"/>
            <w:vMerge w:val="restart"/>
            <w:tcBorders>
              <w:top w:val="single" w:color="auto" w:sz="4" w:space="0"/>
              <w:left w:val="single" w:color="auto" w:sz="4" w:space="0"/>
              <w:right w:val="single" w:color="auto" w:sz="4" w:space="0"/>
            </w:tcBorders>
            <w:vAlign w:val="center"/>
          </w:tcPr>
          <w:p w14:paraId="4A8A7DF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3526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90" w:type="dxa"/>
            <w:vMerge w:val="continue"/>
            <w:tcBorders>
              <w:top w:val="single" w:color="auto" w:sz="4" w:space="0"/>
              <w:left w:val="single" w:color="auto" w:sz="4" w:space="0"/>
              <w:bottom w:val="single" w:color="auto" w:sz="4" w:space="0"/>
              <w:right w:val="single" w:color="auto" w:sz="4" w:space="0"/>
            </w:tcBorders>
            <w:vAlign w:val="center"/>
          </w:tcPr>
          <w:p w14:paraId="22AFB4F1">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14:paraId="484B7586">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447" w:type="dxa"/>
            <w:tcBorders>
              <w:top w:val="single" w:color="auto" w:sz="4" w:space="0"/>
              <w:left w:val="single" w:color="auto" w:sz="4" w:space="0"/>
              <w:bottom w:val="single" w:color="auto" w:sz="4" w:space="0"/>
              <w:right w:val="single" w:color="auto" w:sz="4" w:space="0"/>
            </w:tcBorders>
            <w:vAlign w:val="center"/>
          </w:tcPr>
          <w:p w14:paraId="710E3A5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供货响应率</w:t>
            </w:r>
          </w:p>
        </w:tc>
        <w:tc>
          <w:tcPr>
            <w:tcW w:w="4917" w:type="dxa"/>
            <w:tcBorders>
              <w:top w:val="single" w:color="auto" w:sz="4" w:space="0"/>
              <w:left w:val="single" w:color="auto" w:sz="4" w:space="0"/>
              <w:bottom w:val="single" w:color="auto" w:sz="4" w:space="0"/>
              <w:right w:val="single" w:color="auto" w:sz="4" w:space="0"/>
            </w:tcBorders>
            <w:vAlign w:val="center"/>
          </w:tcPr>
          <w:p w14:paraId="246673C8">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考核供应商的供货配送能力，是否能按照采购方在中农数据网下单的食材品种进行供货，评价缺货少货情况，采购方每日下单食材品种，缺货数量不得少于5种，如超过5种不能供应，每超出1种扣0.5分；</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192E4339">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600" w:type="dxa"/>
            <w:vMerge w:val="continue"/>
            <w:tcBorders>
              <w:left w:val="single" w:color="auto" w:sz="4" w:space="0"/>
              <w:right w:val="single" w:color="auto" w:sz="4" w:space="0"/>
            </w:tcBorders>
            <w:vAlign w:val="center"/>
          </w:tcPr>
          <w:p w14:paraId="3B4F32E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0572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90" w:type="dxa"/>
            <w:vMerge w:val="continue"/>
            <w:tcBorders>
              <w:top w:val="single" w:color="auto" w:sz="4" w:space="0"/>
              <w:left w:val="single" w:color="auto" w:sz="4" w:space="0"/>
              <w:bottom w:val="single" w:color="auto" w:sz="4" w:space="0"/>
              <w:right w:val="single" w:color="auto" w:sz="4" w:space="0"/>
            </w:tcBorders>
            <w:vAlign w:val="center"/>
          </w:tcPr>
          <w:p w14:paraId="63DA4340">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14:paraId="3C937616">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447" w:type="dxa"/>
            <w:tcBorders>
              <w:top w:val="single" w:color="auto" w:sz="4" w:space="0"/>
              <w:left w:val="single" w:color="auto" w:sz="4" w:space="0"/>
              <w:bottom w:val="single" w:color="auto" w:sz="4" w:space="0"/>
              <w:right w:val="single" w:color="auto" w:sz="4" w:space="0"/>
            </w:tcBorders>
            <w:vAlign w:val="center"/>
          </w:tcPr>
          <w:p w14:paraId="7F87E49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食品检测</w:t>
            </w:r>
          </w:p>
        </w:tc>
        <w:tc>
          <w:tcPr>
            <w:tcW w:w="4917" w:type="dxa"/>
            <w:tcBorders>
              <w:top w:val="single" w:color="auto" w:sz="4" w:space="0"/>
              <w:left w:val="single" w:color="auto" w:sz="4" w:space="0"/>
              <w:bottom w:val="single" w:color="auto" w:sz="4" w:space="0"/>
              <w:right w:val="single" w:color="auto" w:sz="4" w:space="0"/>
            </w:tcBorders>
            <w:vAlign w:val="center"/>
          </w:tcPr>
          <w:p w14:paraId="41BD4716">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所供物资食品均符合《国家食品卫生标准》、《食品卫生法》和《动物检疫法》等相关规定，卫生安全，无毒、无害，配送车辆及人员的卫生、健康条件符合国家规定，未出现任何食品安全问题，采购方对配送物品进行食品安全检测，每发现1项不合格的，扣</w:t>
            </w:r>
            <w:r>
              <w:rPr>
                <w:rFonts w:hint="eastAsia" w:ascii="宋体" w:hAnsi="宋体" w:eastAsia="宋体" w:cs="宋体"/>
                <w:sz w:val="21"/>
                <w:szCs w:val="21"/>
                <w:highlight w:val="none"/>
                <w:lang w:val="en-US" w:eastAsia="zh-CN" w:bidi="ar-SA"/>
              </w:rPr>
              <w:t>5</w:t>
            </w:r>
            <w:r>
              <w:rPr>
                <w:rFonts w:hint="eastAsia" w:ascii="宋体" w:hAnsi="宋体" w:eastAsia="宋体" w:cs="宋体"/>
                <w:sz w:val="21"/>
                <w:szCs w:val="21"/>
                <w:highlight w:val="none"/>
                <w:lang w:val="zh-CN" w:eastAsia="zh-CN" w:bidi="ar-SA"/>
              </w:rPr>
              <w:t>分；发现</w:t>
            </w:r>
            <w:r>
              <w:rPr>
                <w:rFonts w:hint="eastAsia" w:ascii="宋体" w:hAnsi="宋体" w:eastAsia="宋体" w:cs="宋体"/>
                <w:sz w:val="21"/>
                <w:szCs w:val="21"/>
                <w:highlight w:val="none"/>
                <w:lang w:val="en-US" w:eastAsia="zh-CN" w:bidi="ar-SA"/>
              </w:rPr>
              <w:t>同一品种货物连续两次验收发现质量不合格产品并退货的，</w:t>
            </w:r>
            <w:r>
              <w:rPr>
                <w:rFonts w:hint="eastAsia" w:ascii="宋体" w:hAnsi="宋体" w:eastAsia="宋体" w:cs="宋体"/>
                <w:sz w:val="21"/>
                <w:szCs w:val="21"/>
                <w:highlight w:val="none"/>
                <w:lang w:val="zh-CN" w:eastAsia="zh-CN" w:bidi="ar-SA"/>
              </w:rPr>
              <w:t>直接扣10分</w:t>
            </w:r>
            <w:r>
              <w:rPr>
                <w:rFonts w:hint="eastAsia" w:ascii="宋体" w:hAnsi="宋体" w:eastAsia="宋体" w:cs="宋体"/>
                <w:sz w:val="21"/>
                <w:szCs w:val="21"/>
                <w:highlight w:val="none"/>
                <w:lang w:val="en-US" w:eastAsia="zh-CN" w:bidi="ar-SA"/>
              </w:rPr>
              <w:t>；</w:t>
            </w:r>
            <w:r>
              <w:rPr>
                <w:rFonts w:hint="eastAsia" w:ascii="宋体" w:hAnsi="宋体" w:eastAsia="宋体" w:cs="宋体"/>
                <w:sz w:val="21"/>
                <w:szCs w:val="21"/>
                <w:highlight w:val="none"/>
                <w:lang w:val="zh-CN" w:eastAsia="zh-CN" w:bidi="ar-SA"/>
              </w:rPr>
              <w:t xml:space="preserve"> </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28AB3DF4">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600" w:type="dxa"/>
            <w:vMerge w:val="continue"/>
            <w:tcBorders>
              <w:left w:val="single" w:color="auto" w:sz="4" w:space="0"/>
              <w:right w:val="single" w:color="auto" w:sz="4" w:space="0"/>
            </w:tcBorders>
            <w:vAlign w:val="center"/>
          </w:tcPr>
          <w:p w14:paraId="38810CD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2903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0" w:type="dxa"/>
            <w:vMerge w:val="continue"/>
            <w:tcBorders>
              <w:top w:val="single" w:color="auto" w:sz="4" w:space="0"/>
              <w:left w:val="single" w:color="auto" w:sz="4" w:space="0"/>
              <w:bottom w:val="single" w:color="auto" w:sz="4" w:space="0"/>
              <w:right w:val="single" w:color="auto" w:sz="4" w:space="0"/>
            </w:tcBorders>
            <w:vAlign w:val="center"/>
          </w:tcPr>
          <w:p w14:paraId="7CF9B441">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14:paraId="1450754E">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447" w:type="dxa"/>
            <w:tcBorders>
              <w:top w:val="single" w:color="auto" w:sz="4" w:space="0"/>
              <w:left w:val="single" w:color="auto" w:sz="4" w:space="0"/>
              <w:bottom w:val="single" w:color="auto" w:sz="4" w:space="0"/>
              <w:right w:val="single" w:color="auto" w:sz="4" w:space="0"/>
            </w:tcBorders>
            <w:vAlign w:val="center"/>
          </w:tcPr>
          <w:p w14:paraId="7A85AE3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索证制度</w:t>
            </w:r>
          </w:p>
        </w:tc>
        <w:tc>
          <w:tcPr>
            <w:tcW w:w="4917" w:type="dxa"/>
            <w:tcBorders>
              <w:top w:val="single" w:color="auto" w:sz="4" w:space="0"/>
              <w:left w:val="single" w:color="auto" w:sz="4" w:space="0"/>
              <w:bottom w:val="single" w:color="auto" w:sz="4" w:space="0"/>
              <w:right w:val="single" w:color="auto" w:sz="4" w:space="0"/>
            </w:tcBorders>
            <w:vAlign w:val="center"/>
          </w:tcPr>
          <w:p w14:paraId="2302DFAD">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是否建立相应的追踪深渊体系，专门台账档案；是否有清晰的货物来源或产地；是否及时提供</w:t>
            </w:r>
            <w:r>
              <w:rPr>
                <w:rFonts w:hint="eastAsia" w:ascii="宋体" w:hAnsi="宋体" w:eastAsia="宋体" w:cs="宋体"/>
                <w:sz w:val="21"/>
                <w:szCs w:val="21"/>
                <w:highlight w:val="none"/>
                <w:lang w:val="en-US" w:eastAsia="zh-CN" w:bidi="ar-SA"/>
              </w:rPr>
              <w:t>真实的</w:t>
            </w:r>
            <w:r>
              <w:rPr>
                <w:rFonts w:hint="eastAsia" w:ascii="宋体" w:hAnsi="宋体" w:eastAsia="宋体" w:cs="宋体"/>
                <w:sz w:val="21"/>
                <w:szCs w:val="21"/>
                <w:highlight w:val="none"/>
                <w:lang w:val="zh-CN" w:eastAsia="zh-CN" w:bidi="ar-SA"/>
              </w:rPr>
              <w:t>相关票、据、证等材料。每发现1次扣5分，累计每月最高扣分5分。</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1508D409">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600" w:type="dxa"/>
            <w:vMerge w:val="continue"/>
            <w:tcBorders>
              <w:left w:val="single" w:color="auto" w:sz="4" w:space="0"/>
              <w:bottom w:val="single" w:color="auto" w:sz="4" w:space="0"/>
              <w:right w:val="single" w:color="auto" w:sz="4" w:space="0"/>
            </w:tcBorders>
            <w:vAlign w:val="center"/>
          </w:tcPr>
          <w:p w14:paraId="728C389F">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r>
      <w:tr w14:paraId="7872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vAlign w:val="center"/>
          </w:tcPr>
          <w:p w14:paraId="16A1808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3</w:t>
            </w:r>
          </w:p>
        </w:tc>
        <w:tc>
          <w:tcPr>
            <w:tcW w:w="1061" w:type="dxa"/>
            <w:tcBorders>
              <w:top w:val="single" w:color="auto" w:sz="4" w:space="0"/>
              <w:left w:val="single" w:color="auto" w:sz="4" w:space="0"/>
              <w:bottom w:val="single" w:color="auto" w:sz="4" w:space="0"/>
              <w:right w:val="single" w:color="auto" w:sz="4" w:space="0"/>
            </w:tcBorders>
            <w:vAlign w:val="center"/>
          </w:tcPr>
          <w:p w14:paraId="651D16F9">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数量方面</w:t>
            </w:r>
          </w:p>
        </w:tc>
        <w:tc>
          <w:tcPr>
            <w:tcW w:w="1447" w:type="dxa"/>
            <w:tcBorders>
              <w:top w:val="single" w:color="auto" w:sz="4" w:space="0"/>
              <w:left w:val="single" w:color="auto" w:sz="4" w:space="0"/>
              <w:bottom w:val="single" w:color="auto" w:sz="4" w:space="0"/>
              <w:right w:val="single" w:color="auto" w:sz="4" w:space="0"/>
            </w:tcBorders>
            <w:vAlign w:val="center"/>
          </w:tcPr>
          <w:p w14:paraId="75B047F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物品数量</w:t>
            </w:r>
          </w:p>
        </w:tc>
        <w:tc>
          <w:tcPr>
            <w:tcW w:w="4917" w:type="dxa"/>
            <w:tcBorders>
              <w:top w:val="single" w:color="auto" w:sz="4" w:space="0"/>
              <w:left w:val="single" w:color="auto" w:sz="4" w:space="0"/>
              <w:bottom w:val="single" w:color="auto" w:sz="4" w:space="0"/>
              <w:right w:val="single" w:color="auto" w:sz="4" w:space="0"/>
            </w:tcBorders>
            <w:vAlign w:val="center"/>
          </w:tcPr>
          <w:p w14:paraId="5FFBD633">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所供货物品种和数量、重量准确，符合采购方要求，有建立供应台账，有专人（不少于两人）负责送货及查收，并附清单。与订单要求不符，数量、重量、或单一品种出现缺斤少两相差10%，扣2分；相差20%，扣5分；相差30%，扣10分；与订单品种每相差1个，扣1分；累计每月最高扣分10分。</w:t>
            </w:r>
          </w:p>
        </w:tc>
        <w:tc>
          <w:tcPr>
            <w:tcW w:w="759" w:type="dxa"/>
            <w:tcBorders>
              <w:top w:val="single" w:color="auto" w:sz="4" w:space="0"/>
              <w:left w:val="single" w:color="auto" w:sz="4" w:space="0"/>
              <w:bottom w:val="single" w:color="auto" w:sz="4" w:space="0"/>
              <w:right w:val="single" w:color="auto" w:sz="4" w:space="0"/>
            </w:tcBorders>
            <w:vAlign w:val="center"/>
          </w:tcPr>
          <w:p w14:paraId="2669E2B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10</w:t>
            </w:r>
          </w:p>
        </w:tc>
        <w:tc>
          <w:tcPr>
            <w:tcW w:w="600" w:type="dxa"/>
            <w:tcBorders>
              <w:top w:val="single" w:color="auto" w:sz="4" w:space="0"/>
              <w:left w:val="single" w:color="auto" w:sz="4" w:space="0"/>
              <w:bottom w:val="single" w:color="auto" w:sz="4" w:space="0"/>
              <w:right w:val="single" w:color="auto" w:sz="4" w:space="0"/>
            </w:tcBorders>
            <w:vAlign w:val="center"/>
          </w:tcPr>
          <w:p w14:paraId="2565886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16FF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restart"/>
            <w:tcBorders>
              <w:top w:val="single" w:color="auto" w:sz="4" w:space="0"/>
              <w:left w:val="single" w:color="auto" w:sz="4" w:space="0"/>
              <w:bottom w:val="single" w:color="auto" w:sz="4" w:space="0"/>
              <w:right w:val="single" w:color="auto" w:sz="4" w:space="0"/>
            </w:tcBorders>
            <w:vAlign w:val="center"/>
          </w:tcPr>
          <w:p w14:paraId="0890150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4</w:t>
            </w:r>
          </w:p>
        </w:tc>
        <w:tc>
          <w:tcPr>
            <w:tcW w:w="1061" w:type="dxa"/>
            <w:vMerge w:val="restart"/>
            <w:tcBorders>
              <w:top w:val="single" w:color="auto" w:sz="4" w:space="0"/>
              <w:left w:val="single" w:color="auto" w:sz="4" w:space="0"/>
              <w:bottom w:val="single" w:color="auto" w:sz="4" w:space="0"/>
              <w:right w:val="single" w:color="auto" w:sz="4" w:space="0"/>
            </w:tcBorders>
            <w:vAlign w:val="center"/>
          </w:tcPr>
          <w:p w14:paraId="5DFD092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时间方面</w:t>
            </w:r>
          </w:p>
        </w:tc>
        <w:tc>
          <w:tcPr>
            <w:tcW w:w="1447" w:type="dxa"/>
            <w:tcBorders>
              <w:top w:val="single" w:color="auto" w:sz="4" w:space="0"/>
              <w:left w:val="single" w:color="auto" w:sz="4" w:space="0"/>
              <w:bottom w:val="single" w:color="auto" w:sz="4" w:space="0"/>
              <w:right w:val="single" w:color="auto" w:sz="4" w:space="0"/>
            </w:tcBorders>
            <w:vAlign w:val="center"/>
          </w:tcPr>
          <w:p w14:paraId="435161D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配送及时</w:t>
            </w:r>
          </w:p>
        </w:tc>
        <w:tc>
          <w:tcPr>
            <w:tcW w:w="4917" w:type="dxa"/>
            <w:tcBorders>
              <w:top w:val="single" w:color="auto" w:sz="4" w:space="0"/>
              <w:left w:val="single" w:color="auto" w:sz="4" w:space="0"/>
              <w:bottom w:val="single" w:color="auto" w:sz="4" w:space="0"/>
              <w:right w:val="single" w:color="auto" w:sz="4" w:space="0"/>
            </w:tcBorders>
            <w:vAlign w:val="center"/>
          </w:tcPr>
          <w:p w14:paraId="4BFCF348">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按配送时间准时准点到达，有专人负责配送，并按要求及程序装卸物资，每发现一次未按要求及程序装卸物资的扣2分, 累计每月最高扣分10分; 迟于每天指定配送时间的，每迟到10分钟扣2分，累计每月最高扣分10分。</w:t>
            </w:r>
          </w:p>
        </w:tc>
        <w:tc>
          <w:tcPr>
            <w:tcW w:w="759" w:type="dxa"/>
            <w:vMerge w:val="restart"/>
            <w:tcBorders>
              <w:top w:val="single" w:color="auto" w:sz="4" w:space="0"/>
              <w:left w:val="single" w:color="auto" w:sz="4" w:space="0"/>
              <w:bottom w:val="single" w:color="auto" w:sz="4" w:space="0"/>
              <w:right w:val="single" w:color="auto" w:sz="4" w:space="0"/>
            </w:tcBorders>
            <w:vAlign w:val="center"/>
          </w:tcPr>
          <w:p w14:paraId="2A45569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20</w:t>
            </w:r>
          </w:p>
        </w:tc>
        <w:tc>
          <w:tcPr>
            <w:tcW w:w="600" w:type="dxa"/>
            <w:vMerge w:val="restart"/>
            <w:tcBorders>
              <w:top w:val="single" w:color="auto" w:sz="4" w:space="0"/>
              <w:left w:val="single" w:color="auto" w:sz="4" w:space="0"/>
              <w:right w:val="single" w:color="auto" w:sz="4" w:space="0"/>
            </w:tcBorders>
            <w:vAlign w:val="center"/>
          </w:tcPr>
          <w:p w14:paraId="59F25184">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78AF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continue"/>
            <w:tcBorders>
              <w:top w:val="single" w:color="auto" w:sz="4" w:space="0"/>
              <w:left w:val="single" w:color="auto" w:sz="4" w:space="0"/>
              <w:bottom w:val="single" w:color="auto" w:sz="4" w:space="0"/>
              <w:right w:val="single" w:color="auto" w:sz="4" w:space="0"/>
            </w:tcBorders>
            <w:vAlign w:val="center"/>
          </w:tcPr>
          <w:p w14:paraId="645A59F0">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14:paraId="14FC8006">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447" w:type="dxa"/>
            <w:tcBorders>
              <w:top w:val="single" w:color="auto" w:sz="4" w:space="0"/>
              <w:left w:val="single" w:color="auto" w:sz="4" w:space="0"/>
              <w:bottom w:val="single" w:color="auto" w:sz="4" w:space="0"/>
              <w:right w:val="single" w:color="auto" w:sz="4" w:space="0"/>
            </w:tcBorders>
            <w:vAlign w:val="center"/>
          </w:tcPr>
          <w:p w14:paraId="0ADC7E9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应急响应</w:t>
            </w:r>
          </w:p>
        </w:tc>
        <w:tc>
          <w:tcPr>
            <w:tcW w:w="4917" w:type="dxa"/>
            <w:tcBorders>
              <w:top w:val="single" w:color="auto" w:sz="4" w:space="0"/>
              <w:left w:val="single" w:color="auto" w:sz="4" w:space="0"/>
              <w:bottom w:val="single" w:color="auto" w:sz="4" w:space="0"/>
              <w:right w:val="single" w:color="auto" w:sz="4" w:space="0"/>
            </w:tcBorders>
            <w:vAlign w:val="center"/>
          </w:tcPr>
          <w:p w14:paraId="23C9A02B">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是否按照采购方的要求，按照招标时的承诺进行应急配送处理。未达标1次扣5分，累计每月最高扣分10分。</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56147CB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600" w:type="dxa"/>
            <w:vMerge w:val="continue"/>
            <w:tcBorders>
              <w:left w:val="single" w:color="auto" w:sz="4" w:space="0"/>
              <w:bottom w:val="single" w:color="auto" w:sz="4" w:space="0"/>
              <w:right w:val="single" w:color="auto" w:sz="4" w:space="0"/>
            </w:tcBorders>
            <w:vAlign w:val="center"/>
          </w:tcPr>
          <w:p w14:paraId="39C43C1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7683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restart"/>
            <w:tcBorders>
              <w:top w:val="single" w:color="auto" w:sz="4" w:space="0"/>
              <w:left w:val="single" w:color="auto" w:sz="4" w:space="0"/>
              <w:bottom w:val="single" w:color="auto" w:sz="4" w:space="0"/>
              <w:right w:val="single" w:color="auto" w:sz="4" w:space="0"/>
            </w:tcBorders>
            <w:vAlign w:val="center"/>
          </w:tcPr>
          <w:p w14:paraId="60DB8875">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5</w:t>
            </w:r>
          </w:p>
        </w:tc>
        <w:tc>
          <w:tcPr>
            <w:tcW w:w="1061" w:type="dxa"/>
            <w:vMerge w:val="restart"/>
            <w:tcBorders>
              <w:top w:val="single" w:color="auto" w:sz="4" w:space="0"/>
              <w:left w:val="single" w:color="auto" w:sz="4" w:space="0"/>
              <w:bottom w:val="single" w:color="auto" w:sz="4" w:space="0"/>
              <w:right w:val="single" w:color="auto" w:sz="4" w:space="0"/>
            </w:tcBorders>
            <w:vAlign w:val="center"/>
          </w:tcPr>
          <w:p w14:paraId="4253CBE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卫生方面</w:t>
            </w:r>
          </w:p>
        </w:tc>
        <w:tc>
          <w:tcPr>
            <w:tcW w:w="1447" w:type="dxa"/>
            <w:tcBorders>
              <w:top w:val="single" w:color="auto" w:sz="4" w:space="0"/>
              <w:left w:val="single" w:color="auto" w:sz="4" w:space="0"/>
              <w:bottom w:val="single" w:color="auto" w:sz="4" w:space="0"/>
              <w:right w:val="single" w:color="auto" w:sz="4" w:space="0"/>
            </w:tcBorders>
            <w:vAlign w:val="center"/>
          </w:tcPr>
          <w:p w14:paraId="7757FEC3">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配送人员</w:t>
            </w:r>
          </w:p>
        </w:tc>
        <w:tc>
          <w:tcPr>
            <w:tcW w:w="4917" w:type="dxa"/>
            <w:tcBorders>
              <w:top w:val="single" w:color="auto" w:sz="4" w:space="0"/>
              <w:left w:val="single" w:color="auto" w:sz="4" w:space="0"/>
              <w:bottom w:val="single" w:color="auto" w:sz="4" w:space="0"/>
              <w:right w:val="single" w:color="auto" w:sz="4" w:space="0"/>
            </w:tcBorders>
            <w:vAlign w:val="center"/>
          </w:tcPr>
          <w:p w14:paraId="0B166C8F">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配送人员是否按要求数量配备在岗，每缺岗1人扣3分；是否有健康证，是否统一穿工服，是否存在盗取货物等情况，不达标1次扣2分，累计每月最高扣分9分。</w:t>
            </w:r>
          </w:p>
        </w:tc>
        <w:tc>
          <w:tcPr>
            <w:tcW w:w="759" w:type="dxa"/>
            <w:vMerge w:val="restart"/>
            <w:tcBorders>
              <w:top w:val="single" w:color="auto" w:sz="4" w:space="0"/>
              <w:left w:val="single" w:color="auto" w:sz="4" w:space="0"/>
              <w:bottom w:val="single" w:color="auto" w:sz="4" w:space="0"/>
              <w:right w:val="single" w:color="auto" w:sz="4" w:space="0"/>
            </w:tcBorders>
            <w:vAlign w:val="center"/>
          </w:tcPr>
          <w:p w14:paraId="1B1A862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15</w:t>
            </w:r>
          </w:p>
        </w:tc>
        <w:tc>
          <w:tcPr>
            <w:tcW w:w="600" w:type="dxa"/>
            <w:vMerge w:val="restart"/>
            <w:tcBorders>
              <w:top w:val="single" w:color="auto" w:sz="4" w:space="0"/>
              <w:left w:val="single" w:color="auto" w:sz="4" w:space="0"/>
              <w:right w:val="single" w:color="auto" w:sz="4" w:space="0"/>
            </w:tcBorders>
            <w:vAlign w:val="center"/>
          </w:tcPr>
          <w:p w14:paraId="2E00AA3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35E5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continue"/>
            <w:tcBorders>
              <w:top w:val="single" w:color="auto" w:sz="4" w:space="0"/>
              <w:left w:val="single" w:color="auto" w:sz="4" w:space="0"/>
              <w:bottom w:val="single" w:color="auto" w:sz="4" w:space="0"/>
              <w:right w:val="single" w:color="auto" w:sz="4" w:space="0"/>
            </w:tcBorders>
            <w:vAlign w:val="center"/>
          </w:tcPr>
          <w:p w14:paraId="698FCED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14:paraId="4ED4E085">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447" w:type="dxa"/>
            <w:tcBorders>
              <w:top w:val="single" w:color="auto" w:sz="4" w:space="0"/>
              <w:left w:val="single" w:color="auto" w:sz="4" w:space="0"/>
              <w:bottom w:val="single" w:color="auto" w:sz="4" w:space="0"/>
              <w:right w:val="single" w:color="auto" w:sz="4" w:space="0"/>
            </w:tcBorders>
            <w:vAlign w:val="center"/>
          </w:tcPr>
          <w:p w14:paraId="1CF07A7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初加工</w:t>
            </w:r>
          </w:p>
        </w:tc>
        <w:tc>
          <w:tcPr>
            <w:tcW w:w="4917" w:type="dxa"/>
            <w:tcBorders>
              <w:top w:val="single" w:color="auto" w:sz="4" w:space="0"/>
              <w:left w:val="single" w:color="auto" w:sz="4" w:space="0"/>
              <w:bottom w:val="single" w:color="auto" w:sz="4" w:space="0"/>
              <w:right w:val="single" w:color="auto" w:sz="4" w:space="0"/>
            </w:tcBorders>
            <w:vAlign w:val="center"/>
          </w:tcPr>
          <w:p w14:paraId="1DAEBD4B">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按要求派驻配送员进行洗切配工作，工作是否保质保量完成。是否严格按照《国家食品卫生标准》、《食品卫生法》等相关规定，对食品进行卫生安全初加工；是否初加工完成后将加工场所垃圾清理干净。不达标1次扣2分，累计每月最高扣分6分。</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4E97965D">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600" w:type="dxa"/>
            <w:vMerge w:val="continue"/>
            <w:tcBorders>
              <w:left w:val="single" w:color="auto" w:sz="4" w:space="0"/>
              <w:bottom w:val="single" w:color="auto" w:sz="4" w:space="0"/>
              <w:right w:val="single" w:color="auto" w:sz="4" w:space="0"/>
            </w:tcBorders>
            <w:vAlign w:val="center"/>
          </w:tcPr>
          <w:p w14:paraId="3A14518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3CC8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restart"/>
            <w:tcBorders>
              <w:top w:val="single" w:color="auto" w:sz="4" w:space="0"/>
              <w:left w:val="single" w:color="auto" w:sz="4" w:space="0"/>
              <w:right w:val="single" w:color="auto" w:sz="4" w:space="0"/>
            </w:tcBorders>
            <w:vAlign w:val="center"/>
          </w:tcPr>
          <w:p w14:paraId="5FD6B93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6</w:t>
            </w:r>
          </w:p>
        </w:tc>
        <w:tc>
          <w:tcPr>
            <w:tcW w:w="1061" w:type="dxa"/>
            <w:vMerge w:val="restart"/>
            <w:tcBorders>
              <w:top w:val="single" w:color="auto" w:sz="4" w:space="0"/>
              <w:left w:val="single" w:color="auto" w:sz="4" w:space="0"/>
              <w:right w:val="single" w:color="auto" w:sz="4" w:space="0"/>
            </w:tcBorders>
            <w:vAlign w:val="center"/>
          </w:tcPr>
          <w:p w14:paraId="0A86EE7E">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态度方面</w:t>
            </w:r>
          </w:p>
        </w:tc>
        <w:tc>
          <w:tcPr>
            <w:tcW w:w="1447" w:type="dxa"/>
            <w:vMerge w:val="restart"/>
            <w:tcBorders>
              <w:top w:val="single" w:color="auto" w:sz="4" w:space="0"/>
              <w:left w:val="single" w:color="auto" w:sz="4" w:space="0"/>
              <w:right w:val="single" w:color="auto" w:sz="4" w:space="0"/>
            </w:tcBorders>
            <w:vAlign w:val="center"/>
          </w:tcPr>
          <w:p w14:paraId="2130CCA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服务态度</w:t>
            </w:r>
          </w:p>
        </w:tc>
        <w:tc>
          <w:tcPr>
            <w:tcW w:w="4917" w:type="dxa"/>
            <w:tcBorders>
              <w:top w:val="single" w:color="auto" w:sz="4" w:space="0"/>
              <w:left w:val="single" w:color="auto" w:sz="4" w:space="0"/>
              <w:bottom w:val="single" w:color="auto" w:sz="4" w:space="0"/>
              <w:right w:val="single" w:color="auto" w:sz="4" w:space="0"/>
            </w:tcBorders>
            <w:vAlign w:val="center"/>
          </w:tcPr>
          <w:p w14:paraId="1ED167EC">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供应商服务态度是否良好；采购方不定期向食堂、用餐等相关人员进行随机调查，每接到1次有效投诉扣5分，累计每月最高扣分10分。</w:t>
            </w:r>
          </w:p>
        </w:tc>
        <w:tc>
          <w:tcPr>
            <w:tcW w:w="759" w:type="dxa"/>
            <w:vMerge w:val="restart"/>
            <w:tcBorders>
              <w:top w:val="single" w:color="auto" w:sz="4" w:space="0"/>
              <w:left w:val="single" w:color="auto" w:sz="4" w:space="0"/>
              <w:bottom w:val="single" w:color="auto" w:sz="4" w:space="0"/>
              <w:right w:val="single" w:color="auto" w:sz="4" w:space="0"/>
            </w:tcBorders>
            <w:vAlign w:val="center"/>
          </w:tcPr>
          <w:p w14:paraId="7F4CBAB2">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20</w:t>
            </w:r>
          </w:p>
        </w:tc>
        <w:tc>
          <w:tcPr>
            <w:tcW w:w="600" w:type="dxa"/>
            <w:vMerge w:val="restart"/>
            <w:tcBorders>
              <w:top w:val="single" w:color="auto" w:sz="4" w:space="0"/>
              <w:left w:val="single" w:color="auto" w:sz="4" w:space="0"/>
              <w:right w:val="single" w:color="auto" w:sz="4" w:space="0"/>
            </w:tcBorders>
            <w:vAlign w:val="center"/>
          </w:tcPr>
          <w:p w14:paraId="4239CCAD">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7B6C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continue"/>
            <w:tcBorders>
              <w:left w:val="single" w:color="auto" w:sz="4" w:space="0"/>
              <w:right w:val="single" w:color="auto" w:sz="4" w:space="0"/>
            </w:tcBorders>
            <w:vAlign w:val="center"/>
          </w:tcPr>
          <w:p w14:paraId="652600F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061" w:type="dxa"/>
            <w:vMerge w:val="continue"/>
            <w:tcBorders>
              <w:left w:val="single" w:color="auto" w:sz="4" w:space="0"/>
              <w:right w:val="single" w:color="auto" w:sz="4" w:space="0"/>
            </w:tcBorders>
            <w:vAlign w:val="center"/>
          </w:tcPr>
          <w:p w14:paraId="584FA75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447" w:type="dxa"/>
            <w:vMerge w:val="continue"/>
            <w:tcBorders>
              <w:left w:val="single" w:color="auto" w:sz="4" w:space="0"/>
              <w:right w:val="single" w:color="auto" w:sz="4" w:space="0"/>
            </w:tcBorders>
            <w:vAlign w:val="center"/>
          </w:tcPr>
          <w:p w14:paraId="5E5A027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4917" w:type="dxa"/>
            <w:tcBorders>
              <w:top w:val="single" w:color="auto" w:sz="4" w:space="0"/>
              <w:left w:val="single" w:color="auto" w:sz="4" w:space="0"/>
              <w:bottom w:val="single" w:color="auto" w:sz="4" w:space="0"/>
              <w:right w:val="single" w:color="auto" w:sz="4" w:space="0"/>
            </w:tcBorders>
            <w:vAlign w:val="center"/>
          </w:tcPr>
          <w:p w14:paraId="7A418367">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出现质量问题，供应商不积极配合查找原因，不及时反馈处理结果，</w:t>
            </w:r>
            <w:r>
              <w:rPr>
                <w:rFonts w:hint="eastAsia" w:ascii="宋体" w:hAnsi="宋体" w:eastAsia="宋体" w:cs="宋体"/>
                <w:sz w:val="21"/>
                <w:szCs w:val="21"/>
                <w:highlight w:val="none"/>
                <w:lang w:val="zh-CN" w:eastAsia="zh-CN" w:bidi="ar-SA"/>
              </w:rPr>
              <w:t>每接到1次有效投诉扣5分，累计每月最高扣分10分。</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4F7F1ABE">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600" w:type="dxa"/>
            <w:vMerge w:val="continue"/>
            <w:tcBorders>
              <w:top w:val="single" w:color="auto" w:sz="4" w:space="0"/>
              <w:left w:val="single" w:color="auto" w:sz="4" w:space="0"/>
              <w:right w:val="single" w:color="auto" w:sz="4" w:space="0"/>
            </w:tcBorders>
            <w:vAlign w:val="center"/>
          </w:tcPr>
          <w:p w14:paraId="01FCBC9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029C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continue"/>
            <w:tcBorders>
              <w:left w:val="single" w:color="auto" w:sz="4" w:space="0"/>
              <w:right w:val="single" w:color="auto" w:sz="4" w:space="0"/>
            </w:tcBorders>
            <w:vAlign w:val="center"/>
          </w:tcPr>
          <w:p w14:paraId="5DAA719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061" w:type="dxa"/>
            <w:vMerge w:val="continue"/>
            <w:tcBorders>
              <w:left w:val="single" w:color="auto" w:sz="4" w:space="0"/>
              <w:right w:val="single" w:color="auto" w:sz="4" w:space="0"/>
            </w:tcBorders>
            <w:vAlign w:val="center"/>
          </w:tcPr>
          <w:p w14:paraId="527BAD4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447" w:type="dxa"/>
            <w:vMerge w:val="continue"/>
            <w:tcBorders>
              <w:left w:val="single" w:color="auto" w:sz="4" w:space="0"/>
              <w:right w:val="single" w:color="auto" w:sz="4" w:space="0"/>
            </w:tcBorders>
            <w:vAlign w:val="center"/>
          </w:tcPr>
          <w:p w14:paraId="6C47911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4917" w:type="dxa"/>
            <w:tcBorders>
              <w:top w:val="single" w:color="auto" w:sz="4" w:space="0"/>
              <w:left w:val="single" w:color="auto" w:sz="4" w:space="0"/>
              <w:bottom w:val="single" w:color="auto" w:sz="4" w:space="0"/>
              <w:right w:val="single" w:color="auto" w:sz="4" w:space="0"/>
            </w:tcBorders>
            <w:vAlign w:val="center"/>
          </w:tcPr>
          <w:p w14:paraId="083A2BFF">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en-US" w:eastAsia="zh-CN" w:bidi="ar-SA"/>
              </w:rPr>
              <w:t>工作人员不遵守招标人各项管理规定，</w:t>
            </w:r>
            <w:r>
              <w:rPr>
                <w:rFonts w:hint="eastAsia" w:ascii="宋体" w:hAnsi="宋体" w:eastAsia="宋体" w:cs="宋体"/>
                <w:sz w:val="21"/>
                <w:szCs w:val="21"/>
                <w:highlight w:val="none"/>
                <w:lang w:val="zh-CN" w:eastAsia="zh-CN" w:bidi="ar-SA"/>
              </w:rPr>
              <w:t>每接到1次有效投诉扣5分，累计每月最高扣分10分。</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21CDA1D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600" w:type="dxa"/>
            <w:vMerge w:val="continue"/>
            <w:tcBorders>
              <w:top w:val="single" w:color="auto" w:sz="4" w:space="0"/>
              <w:left w:val="single" w:color="auto" w:sz="4" w:space="0"/>
              <w:right w:val="single" w:color="auto" w:sz="4" w:space="0"/>
            </w:tcBorders>
            <w:vAlign w:val="center"/>
          </w:tcPr>
          <w:p w14:paraId="4A74792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0974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continue"/>
            <w:tcBorders>
              <w:left w:val="single" w:color="auto" w:sz="4" w:space="0"/>
              <w:right w:val="single" w:color="auto" w:sz="4" w:space="0"/>
            </w:tcBorders>
            <w:vAlign w:val="center"/>
          </w:tcPr>
          <w:p w14:paraId="449ECB19">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061" w:type="dxa"/>
            <w:vMerge w:val="continue"/>
            <w:tcBorders>
              <w:left w:val="single" w:color="auto" w:sz="4" w:space="0"/>
              <w:right w:val="single" w:color="auto" w:sz="4" w:space="0"/>
            </w:tcBorders>
            <w:vAlign w:val="center"/>
          </w:tcPr>
          <w:p w14:paraId="141ECEBF">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1447" w:type="dxa"/>
            <w:vMerge w:val="continue"/>
            <w:tcBorders>
              <w:left w:val="single" w:color="auto" w:sz="4" w:space="0"/>
              <w:bottom w:val="single" w:color="auto" w:sz="4" w:space="0"/>
              <w:right w:val="single" w:color="auto" w:sz="4" w:space="0"/>
            </w:tcBorders>
            <w:vAlign w:val="center"/>
          </w:tcPr>
          <w:p w14:paraId="529E6AB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4917" w:type="dxa"/>
            <w:tcBorders>
              <w:top w:val="single" w:color="auto" w:sz="4" w:space="0"/>
              <w:left w:val="single" w:color="auto" w:sz="4" w:space="0"/>
              <w:bottom w:val="single" w:color="auto" w:sz="4" w:space="0"/>
              <w:right w:val="single" w:color="auto" w:sz="4" w:space="0"/>
            </w:tcBorders>
            <w:vAlign w:val="center"/>
          </w:tcPr>
          <w:p w14:paraId="6AB4813B">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组织机构发生调整，或经营场所、联系人、联系方式变更，未及时通知招标人，造成无法及时联系的，</w:t>
            </w:r>
            <w:r>
              <w:rPr>
                <w:rFonts w:hint="eastAsia" w:ascii="宋体" w:hAnsi="宋体" w:eastAsia="宋体" w:cs="宋体"/>
                <w:sz w:val="21"/>
                <w:szCs w:val="21"/>
                <w:highlight w:val="none"/>
                <w:lang w:val="zh-CN" w:eastAsia="zh-CN" w:bidi="ar-SA"/>
              </w:rPr>
              <w:t>每接到1次有效投诉扣5分，累计每月最高扣分10分</w:t>
            </w:r>
            <w:r>
              <w:rPr>
                <w:rFonts w:hint="eastAsia" w:ascii="宋体" w:hAnsi="宋体" w:eastAsia="宋体" w:cs="宋体"/>
                <w:sz w:val="21"/>
                <w:szCs w:val="21"/>
                <w:highlight w:val="none"/>
                <w:lang w:val="en-US" w:eastAsia="zh-CN" w:bidi="ar-SA"/>
              </w:rPr>
              <w:t>；</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66B7FE5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600" w:type="dxa"/>
            <w:vMerge w:val="continue"/>
            <w:tcBorders>
              <w:top w:val="single" w:color="auto" w:sz="4" w:space="0"/>
              <w:left w:val="single" w:color="auto" w:sz="4" w:space="0"/>
              <w:right w:val="single" w:color="auto" w:sz="4" w:space="0"/>
            </w:tcBorders>
            <w:vAlign w:val="center"/>
          </w:tcPr>
          <w:p w14:paraId="5B9A01A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20CF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vMerge w:val="continue"/>
            <w:tcBorders>
              <w:left w:val="single" w:color="auto" w:sz="4" w:space="0"/>
              <w:right w:val="single" w:color="auto" w:sz="4" w:space="0"/>
            </w:tcBorders>
            <w:vAlign w:val="center"/>
          </w:tcPr>
          <w:p w14:paraId="4D2770F4">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061" w:type="dxa"/>
            <w:vMerge w:val="continue"/>
            <w:tcBorders>
              <w:left w:val="single" w:color="auto" w:sz="4" w:space="0"/>
              <w:right w:val="single" w:color="auto" w:sz="4" w:space="0"/>
            </w:tcBorders>
            <w:vAlign w:val="center"/>
          </w:tcPr>
          <w:p w14:paraId="2B8D1438">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1447" w:type="dxa"/>
            <w:tcBorders>
              <w:top w:val="single" w:color="auto" w:sz="4" w:space="0"/>
              <w:left w:val="single" w:color="auto" w:sz="4" w:space="0"/>
              <w:bottom w:val="single" w:color="auto" w:sz="4" w:space="0"/>
              <w:right w:val="single" w:color="auto" w:sz="4" w:space="0"/>
            </w:tcBorders>
            <w:vAlign w:val="center"/>
          </w:tcPr>
          <w:p w14:paraId="3E1C046C">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反馈整改情况</w:t>
            </w:r>
          </w:p>
        </w:tc>
        <w:tc>
          <w:tcPr>
            <w:tcW w:w="4917" w:type="dxa"/>
            <w:tcBorders>
              <w:top w:val="single" w:color="auto" w:sz="4" w:space="0"/>
              <w:left w:val="single" w:color="auto" w:sz="4" w:space="0"/>
              <w:bottom w:val="single" w:color="auto" w:sz="4" w:space="0"/>
              <w:right w:val="single" w:color="auto" w:sz="4" w:space="0"/>
            </w:tcBorders>
            <w:vAlign w:val="center"/>
          </w:tcPr>
          <w:p w14:paraId="0355304D">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是否对采购方的反馈意见进行认真及时的整改，不达标1次扣5分，累计每月最高扣分10分。</w:t>
            </w: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49B68E4A">
            <w:pPr>
              <w:keepNext w:val="0"/>
              <w:keepLines w:val="0"/>
              <w:widowControl/>
              <w:suppressLineNumbers w:val="0"/>
              <w:spacing w:before="0" w:beforeAutospacing="0" w:after="0" w:afterAutospacing="0" w:line="360" w:lineRule="exact"/>
              <w:ind w:left="0" w:right="0"/>
              <w:rPr>
                <w:rFonts w:hint="default" w:ascii="宋体" w:hAnsi="宋体" w:eastAsia="宋体" w:cs="宋体"/>
                <w:sz w:val="21"/>
                <w:szCs w:val="21"/>
                <w:highlight w:val="none"/>
                <w:lang w:val="zh-CN" w:eastAsia="zh-CN" w:bidi="ar-SA"/>
              </w:rPr>
            </w:pPr>
          </w:p>
        </w:tc>
        <w:tc>
          <w:tcPr>
            <w:tcW w:w="600" w:type="dxa"/>
            <w:vMerge w:val="continue"/>
            <w:tcBorders>
              <w:left w:val="single" w:color="auto" w:sz="4" w:space="0"/>
              <w:bottom w:val="single" w:color="auto" w:sz="4" w:space="0"/>
              <w:right w:val="single" w:color="auto" w:sz="4" w:space="0"/>
            </w:tcBorders>
            <w:vAlign w:val="center"/>
          </w:tcPr>
          <w:p w14:paraId="278B2D78">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r w14:paraId="563E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098" w:type="dxa"/>
            <w:gridSpan w:val="3"/>
            <w:tcBorders>
              <w:top w:val="single" w:color="auto" w:sz="4" w:space="0"/>
              <w:left w:val="single" w:color="auto" w:sz="4" w:space="0"/>
              <w:bottom w:val="single" w:color="auto" w:sz="4" w:space="0"/>
              <w:right w:val="single" w:color="auto" w:sz="4" w:space="0"/>
            </w:tcBorders>
            <w:vAlign w:val="center"/>
          </w:tcPr>
          <w:p w14:paraId="26341A96">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总分</w:t>
            </w:r>
          </w:p>
        </w:tc>
        <w:tc>
          <w:tcPr>
            <w:tcW w:w="4917" w:type="dxa"/>
            <w:tcBorders>
              <w:top w:val="single" w:color="auto" w:sz="4" w:space="0"/>
              <w:left w:val="single" w:color="auto" w:sz="4" w:space="0"/>
              <w:bottom w:val="single" w:color="auto" w:sz="4" w:space="0"/>
              <w:right w:val="single" w:color="auto" w:sz="4" w:space="0"/>
            </w:tcBorders>
            <w:vAlign w:val="center"/>
          </w:tcPr>
          <w:p w14:paraId="1BAE89DA">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c>
          <w:tcPr>
            <w:tcW w:w="759" w:type="dxa"/>
            <w:tcBorders>
              <w:top w:val="single" w:color="auto" w:sz="4" w:space="0"/>
              <w:left w:val="single" w:color="auto" w:sz="4" w:space="0"/>
              <w:bottom w:val="single" w:color="auto" w:sz="4" w:space="0"/>
              <w:right w:val="single" w:color="auto" w:sz="4" w:space="0"/>
            </w:tcBorders>
            <w:vAlign w:val="center"/>
          </w:tcPr>
          <w:p w14:paraId="65DCC087">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r>
              <w:rPr>
                <w:rFonts w:hint="eastAsia" w:ascii="宋体" w:hAnsi="宋体" w:eastAsia="宋体" w:cs="宋体"/>
                <w:sz w:val="21"/>
                <w:szCs w:val="21"/>
                <w:highlight w:val="none"/>
                <w:lang w:val="zh-CN" w:eastAsia="zh-CN" w:bidi="ar-SA"/>
              </w:rPr>
              <w:t>100</w:t>
            </w:r>
          </w:p>
        </w:tc>
        <w:tc>
          <w:tcPr>
            <w:tcW w:w="600" w:type="dxa"/>
            <w:tcBorders>
              <w:top w:val="single" w:color="auto" w:sz="4" w:space="0"/>
              <w:left w:val="single" w:color="auto" w:sz="4" w:space="0"/>
              <w:bottom w:val="single" w:color="auto" w:sz="4" w:space="0"/>
              <w:right w:val="single" w:color="auto" w:sz="4" w:space="0"/>
            </w:tcBorders>
            <w:vAlign w:val="center"/>
          </w:tcPr>
          <w:p w14:paraId="7DD735BB">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sz w:val="21"/>
                <w:szCs w:val="21"/>
                <w:highlight w:val="none"/>
                <w:lang w:val="zh-CN" w:eastAsia="zh-CN" w:bidi="ar-SA"/>
              </w:rPr>
            </w:pPr>
          </w:p>
        </w:tc>
      </w:tr>
    </w:tbl>
    <w:p w14:paraId="268A0E5C">
      <w:pPr>
        <w:spacing w:line="360" w:lineRule="exact"/>
        <w:rPr>
          <w:rFonts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备注：</w:t>
      </w:r>
    </w:p>
    <w:p w14:paraId="25BB22F1">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1、采购单位对食品安全问题采取零容忍态度，若供应商因配送食材具有严重质量问题，造成严重影响的，一票否决，并追究相应法律责任。</w:t>
      </w:r>
    </w:p>
    <w:p w14:paraId="2329BEEC">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2、供应商月度考核表得分与月度实际支付金额挂钩，扣除金额按差额定率累进法计算，由对应服务的食堂单位进行考核：</w:t>
      </w:r>
    </w:p>
    <w:p w14:paraId="443A01B2">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（1）供应商月度考核表得分≥95分的，每扣1分，对应扣除每月实付金额的5‰。（每月应收费用=每月食材费用-扣得分数*每月食材费用*5‰）</w:t>
      </w:r>
    </w:p>
    <w:p w14:paraId="45102C5A">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（2）供应商月度考核表得分于90（含90）-95分区间的，每扣1分，对应扣除每月实付金额的1%。【每月应收费用=每月食材费用-每月食材费用*5*5‰-（扣得分数-5）*每月食材费用*1%】</w:t>
      </w:r>
    </w:p>
    <w:p w14:paraId="58599D12">
      <w:pPr>
        <w:spacing w:line="360" w:lineRule="exact"/>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（3）供应商月度考核表得分于80（含80）-89分区间的，每扣1分，对应扣除每月实付金额的2%。【每月应收费用=每月食材费用-每月食材费用*5*5‰-每月食材费用*5*1%-（扣得分数-10）*每月食材费用*2%】</w:t>
      </w:r>
    </w:p>
    <w:p w14:paraId="5BA891D8">
      <w:pPr>
        <w:ind w:firstLine="422" w:firstLineChars="200"/>
        <w:rPr>
          <w:rFonts w:ascii="宋体" w:hAnsi="宋体"/>
          <w:b/>
          <w:bCs/>
        </w:rPr>
      </w:pPr>
      <w:r>
        <w:rPr>
          <w:rFonts w:hint="eastAsia" w:ascii="宋体" w:hAnsi="宋体" w:eastAsia="宋体" w:cs="宋体"/>
          <w:b/>
          <w:bCs/>
          <w:sz w:val="21"/>
          <w:szCs w:val="21"/>
          <w:highlight w:val="none"/>
          <w:lang w:val="en-US" w:eastAsia="zh-CN" w:bidi="ar-SA"/>
        </w:rPr>
        <w:t>（4）供应商月度考核表低于80分的，月度支付金额一律按实际支付额的50%结算，且根据本项目监督管理办法规定，采购方有权决定与该供应商解除合同。（每月应收服务费用=每月的服务费用*50%）</w:t>
      </w:r>
    </w:p>
    <w:p w14:paraId="2E10AD84"/>
    <w:p w14:paraId="660140EB">
      <w:pPr>
        <w:pStyle w:val="4"/>
        <w:jc w:val="center"/>
        <w:rPr>
          <w:rFonts w:asciiTheme="minorEastAsia" w:hAnsiTheme="minorEastAsia" w:eastAsiaTheme="minorEastAsia"/>
          <w:szCs w:val="21"/>
        </w:rPr>
      </w:pPr>
      <w:r>
        <w:rPr>
          <w:rFonts w:hint="eastAsia" w:asciiTheme="minorEastAsia" w:hAnsiTheme="minorEastAsia" w:eastAsiaTheme="minorEastAsia"/>
          <w:szCs w:val="21"/>
        </w:rPr>
        <w:t>六、其他重要条款</w:t>
      </w:r>
    </w:p>
    <w:p w14:paraId="1C37D435">
      <w:pPr>
        <w:ind w:firstLine="420" w:firstLineChars="200"/>
        <w:rPr>
          <w:rFonts w:asciiTheme="minorEastAsia" w:hAnsiTheme="minorEastAsia"/>
          <w:bCs/>
          <w:sz w:val="21"/>
          <w:szCs w:val="21"/>
        </w:rPr>
      </w:pPr>
      <w:bookmarkStart w:id="33" w:name="_Hlk72257111"/>
      <w:r>
        <w:rPr>
          <w:rFonts w:hint="eastAsia" w:asciiTheme="minorEastAsia" w:hAnsiTheme="minorEastAsia"/>
          <w:bCs/>
          <w:sz w:val="21"/>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37E80559">
      <w:pPr>
        <w:pStyle w:val="7"/>
        <w:spacing w:before="60" w:beforeLines="25" w:after="60" w:afterLines="25"/>
        <w:ind w:firstLine="392" w:firstLineChars="187"/>
        <w:rPr>
          <w:rFonts w:asciiTheme="minorEastAsia" w:hAnsiTheme="minorEastAsia"/>
          <w:sz w:val="21"/>
          <w:szCs w:val="21"/>
        </w:rPr>
      </w:pPr>
      <w:r>
        <w:rPr>
          <w:rFonts w:asciiTheme="minorEastAsia" w:hAnsiTheme="minorEastAsia"/>
          <w:bCs/>
          <w:sz w:val="21"/>
          <w:szCs w:val="21"/>
        </w:rPr>
        <w:t>2</w:t>
      </w:r>
      <w:r>
        <w:rPr>
          <w:rFonts w:hint="eastAsia" w:asciiTheme="minorEastAsia" w:hAnsiTheme="minorEastAsia"/>
          <w:bCs/>
          <w:sz w:val="21"/>
          <w:szCs w:val="21"/>
        </w:rPr>
        <w:t>、投标人应充分了解项目的位置、情况、道路及任何其它足以影响投标报价的情况，任何因忽视或误解项目情况而导致的索赔或服务期限延长申请将不获批准。</w:t>
      </w:r>
    </w:p>
    <w:p w14:paraId="2855A7C1">
      <w:pPr>
        <w:ind w:firstLine="420" w:firstLineChars="200"/>
        <w:rPr>
          <w:rFonts w:asciiTheme="minorEastAsia" w:hAnsiTheme="minorEastAsia"/>
          <w:bCs/>
          <w:sz w:val="21"/>
          <w:szCs w:val="21"/>
        </w:rPr>
      </w:pPr>
      <w:r>
        <w:rPr>
          <w:rFonts w:asciiTheme="minorEastAsia" w:hAnsiTheme="minorEastAsia"/>
          <w:bCs/>
          <w:sz w:val="21"/>
          <w:szCs w:val="21"/>
        </w:rPr>
        <w:t>3</w:t>
      </w:r>
      <w:r>
        <w:rPr>
          <w:rFonts w:hint="eastAsia" w:asciiTheme="minorEastAsia" w:hAnsiTheme="minorEastAsia"/>
          <w:bCs/>
          <w:sz w:val="21"/>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07E02F71">
      <w:pPr>
        <w:ind w:firstLine="420" w:firstLineChars="200"/>
        <w:rPr>
          <w:rFonts w:asciiTheme="minorEastAsia" w:hAnsiTheme="minorEastAsia"/>
          <w:bCs/>
          <w:color w:val="auto"/>
          <w:sz w:val="21"/>
          <w:szCs w:val="21"/>
        </w:rPr>
      </w:pPr>
      <w:r>
        <w:rPr>
          <w:rFonts w:asciiTheme="minorEastAsia" w:hAnsiTheme="minorEastAsia"/>
          <w:bCs/>
          <w:color w:val="auto"/>
          <w:sz w:val="21"/>
          <w:szCs w:val="21"/>
        </w:rPr>
        <w:t>4</w:t>
      </w:r>
      <w:r>
        <w:rPr>
          <w:rFonts w:hint="eastAsia" w:asciiTheme="minorEastAsia" w:hAnsiTheme="minorEastAsia"/>
          <w:bCs/>
          <w:color w:val="auto"/>
          <w:sz w:val="21"/>
          <w:szCs w:val="21"/>
        </w:rPr>
        <w:t>、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14:paraId="27EDE3B4">
      <w:pPr>
        <w:ind w:firstLine="420" w:firstLineChars="200"/>
        <w:rPr>
          <w:rFonts w:asciiTheme="minorEastAsia" w:hAnsiTheme="minorEastAsia"/>
          <w:bCs/>
          <w:sz w:val="21"/>
          <w:szCs w:val="21"/>
        </w:rPr>
      </w:pPr>
      <w:r>
        <w:rPr>
          <w:rFonts w:asciiTheme="minorEastAsia" w:hAnsiTheme="minorEastAsia"/>
          <w:bCs/>
          <w:sz w:val="21"/>
          <w:szCs w:val="21"/>
        </w:rPr>
        <w:t>5</w:t>
      </w:r>
      <w:r>
        <w:rPr>
          <w:rFonts w:hint="eastAsia" w:asciiTheme="minorEastAsia" w:hAnsiTheme="minorEastAsia"/>
          <w:bCs/>
          <w:sz w:val="21"/>
          <w:szCs w:val="21"/>
        </w:rPr>
        <w:t>、除政府采购合同继续履行将损害国家利益和社会公共利益外，双方当事人不得擅自变更、中止或者终止合同。</w:t>
      </w:r>
    </w:p>
    <w:p w14:paraId="064E1695">
      <w:pPr>
        <w:ind w:firstLine="420" w:firstLineChars="200"/>
        <w:rPr>
          <w:rFonts w:asciiTheme="minorEastAsia" w:hAnsiTheme="minorEastAsia"/>
          <w:bCs/>
          <w:sz w:val="18"/>
          <w:szCs w:val="21"/>
        </w:rPr>
      </w:pPr>
      <w:r>
        <w:rPr>
          <w:rFonts w:asciiTheme="minorEastAsia" w:hAnsiTheme="minorEastAsia"/>
          <w:bCs/>
          <w:sz w:val="21"/>
          <w:szCs w:val="21"/>
        </w:rPr>
        <w:t>6</w:t>
      </w:r>
      <w:r>
        <w:rPr>
          <w:rFonts w:hint="eastAsia" w:asciiTheme="minorEastAsia" w:hAnsiTheme="minorEastAsia"/>
          <w:bCs/>
          <w:sz w:val="21"/>
          <w:szCs w:val="21"/>
        </w:rPr>
        <w:t>、“信用中国”、“中国政府采购网”、“深圳信用网”以及“深圳市政府采购监管网”为供应商信用信息的查询渠道，相关信息以开标当日的查询结果为准。</w:t>
      </w:r>
      <w:bookmarkEnd w:id="33"/>
    </w:p>
    <w:bookmarkEnd w:id="32"/>
    <w:p w14:paraId="291D5AAB">
      <w:pPr>
        <w:pStyle w:val="7"/>
        <w:spacing w:before="60" w:beforeLines="25" w:after="60" w:afterLines="25"/>
        <w:ind w:firstLine="0"/>
        <w:rPr>
          <w:rFonts w:asciiTheme="minorEastAsia" w:hAnsiTheme="minorEastAsia"/>
          <w:sz w:val="21"/>
          <w:szCs w:val="21"/>
        </w:rPr>
      </w:pPr>
      <w:r>
        <w:rPr>
          <w:rFonts w:asciiTheme="minorEastAsia" w:hAnsiTheme="minorEastAsia"/>
          <w:sz w:val="21"/>
          <w:szCs w:val="21"/>
        </w:rPr>
        <w:br w:type="page"/>
      </w:r>
    </w:p>
    <w:p w14:paraId="76A43BA8">
      <w:pPr>
        <w:pStyle w:val="6"/>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第四章 投标文件组成要求及格式</w:t>
      </w:r>
    </w:p>
    <w:p w14:paraId="05EDAC89">
      <w:pPr>
        <w:spacing w:line="360" w:lineRule="auto"/>
        <w:rPr>
          <w:rStyle w:val="32"/>
          <w:rFonts w:ascii="宋体" w:hAnsi="宋体" w:eastAsia="宋体" w:cs="宋体"/>
          <w:b/>
          <w:bCs w:val="0"/>
          <w:color w:val="000000" w:themeColor="text1"/>
          <w:sz w:val="24"/>
          <w14:textFill>
            <w14:solidFill>
              <w14:schemeClr w14:val="tx1"/>
            </w14:solidFill>
          </w14:textFill>
        </w:rPr>
      </w:pPr>
      <w:r>
        <w:rPr>
          <w:rStyle w:val="32"/>
          <w:rFonts w:hint="eastAsia" w:ascii="宋体" w:hAnsi="宋体" w:eastAsia="宋体" w:cs="宋体"/>
          <w:b/>
          <w:bCs w:val="0"/>
          <w:color w:val="000000" w:themeColor="text1"/>
          <w:sz w:val="24"/>
          <w14:textFill>
            <w14:solidFill>
              <w14:schemeClr w14:val="tx1"/>
            </w14:solidFill>
          </w14:textFill>
        </w:rPr>
        <w:t>特别提醒：</w:t>
      </w:r>
    </w:p>
    <w:p w14:paraId="47483691">
      <w:pPr>
        <w:spacing w:line="360" w:lineRule="auto"/>
        <w:ind w:firstLine="48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02302CC0">
      <w:pPr>
        <w:spacing w:line="360" w:lineRule="auto"/>
        <w:ind w:firstLine="48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投标文件正文（信息公开部分）必须编制于“投标书目录”部分，投标文件附件（非信息公开部分）必须编制于“投标书附件”部分，如下图所示。</w:t>
      </w:r>
    </w:p>
    <w:p w14:paraId="4E52830B">
      <w:pPr>
        <w:rPr>
          <w:rFonts w:ascii="宋体" w:hAnsi="宋体" w:cs="宋体"/>
          <w:color w:val="000000" w:themeColor="text1"/>
          <w14:textFill>
            <w14:solidFill>
              <w14:schemeClr w14:val="tx1"/>
            </w14:solidFill>
          </w14:textFill>
        </w:rPr>
      </w:pPr>
      <w:r>
        <w:rPr>
          <w:rFonts w:ascii="仿宋_GB2312" w:eastAsia="仿宋_GB2312"/>
          <w:color w:val="000000" w:themeColor="text1"/>
          <w14:textFill>
            <w14:solidFill>
              <w14:schemeClr w14:val="tx1"/>
            </w14:solidFill>
          </w14:textFill>
        </w:rPr>
        <w:drawing>
          <wp:inline distT="0" distB="0" distL="0" distR="0">
            <wp:extent cx="5278755" cy="412623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755" cy="4126230"/>
                    </a:xfrm>
                    <a:prstGeom prst="rect">
                      <a:avLst/>
                    </a:prstGeom>
                    <a:noFill/>
                    <a:ln>
                      <a:noFill/>
                    </a:ln>
                  </pic:spPr>
                </pic:pic>
              </a:graphicData>
            </a:graphic>
          </wp:inline>
        </w:drawing>
      </w:r>
    </w:p>
    <w:p w14:paraId="55BF9EB8">
      <w:pPr>
        <w:rPr>
          <w:rFonts w:ascii="仿宋_GB2312" w:eastAsia="仿宋_GB2312"/>
          <w:color w:val="000000" w:themeColor="text1"/>
          <w14:textFill>
            <w14:solidFill>
              <w14:schemeClr w14:val="tx1"/>
            </w14:solidFill>
          </w14:textFill>
        </w:rPr>
      </w:pPr>
    </w:p>
    <w:p w14:paraId="20BBC8E2">
      <w:pPr>
        <w:pStyle w:val="7"/>
        <w:rPr>
          <w:rFonts w:eastAsia="仿宋_GB2312"/>
        </w:rPr>
      </w:pPr>
    </w:p>
    <w:p w14:paraId="0A3DECFF">
      <w:pPr>
        <w:rPr>
          <w:rFonts w:eastAsia="仿宋_GB2312"/>
        </w:rPr>
      </w:pPr>
    </w:p>
    <w:p w14:paraId="3ACE001A">
      <w:pPr>
        <w:pStyle w:val="7"/>
        <w:rPr>
          <w:rFonts w:eastAsia="仿宋_GB2312"/>
        </w:rPr>
      </w:pPr>
    </w:p>
    <w:p w14:paraId="3A34E37D">
      <w:pPr>
        <w:rPr>
          <w:rFonts w:eastAsia="仿宋_GB2312"/>
        </w:rPr>
      </w:pPr>
    </w:p>
    <w:p w14:paraId="4AB49C0D">
      <w:pPr>
        <w:pStyle w:val="7"/>
        <w:rPr>
          <w:rFonts w:eastAsia="仿宋_GB2312"/>
        </w:rPr>
      </w:pPr>
    </w:p>
    <w:p w14:paraId="49B23F3D">
      <w:pPr>
        <w:rPr>
          <w:rFonts w:eastAsia="仿宋_GB2312"/>
        </w:rPr>
      </w:pPr>
    </w:p>
    <w:p w14:paraId="3D98305F">
      <w:pPr>
        <w:pStyle w:val="7"/>
        <w:rPr>
          <w:rFonts w:eastAsia="仿宋_GB2312"/>
        </w:rPr>
      </w:pPr>
    </w:p>
    <w:p w14:paraId="10BB79FC">
      <w:pPr>
        <w:rPr>
          <w:rFonts w:eastAsia="仿宋_GB2312"/>
        </w:rPr>
      </w:pPr>
    </w:p>
    <w:p w14:paraId="61482D67">
      <w:pPr>
        <w:pStyle w:val="7"/>
        <w:rPr>
          <w:rFonts w:eastAsia="仿宋_GB2312"/>
        </w:rPr>
      </w:pPr>
    </w:p>
    <w:p w14:paraId="3F2871F6">
      <w:pPr>
        <w:rPr>
          <w:rFonts w:eastAsia="仿宋_GB2312"/>
        </w:rPr>
      </w:pPr>
    </w:p>
    <w:p w14:paraId="03A9EF4B">
      <w:pPr>
        <w:pStyle w:val="7"/>
        <w:rPr>
          <w:rFonts w:eastAsia="仿宋_GB2312"/>
        </w:rPr>
      </w:pPr>
    </w:p>
    <w:p w14:paraId="403EEC1C">
      <w:pPr>
        <w:rPr>
          <w:rFonts w:eastAsia="仿宋_GB2312"/>
        </w:rPr>
      </w:pPr>
    </w:p>
    <w:p w14:paraId="445BD8A8">
      <w:pPr>
        <w:pStyle w:val="7"/>
        <w:ind w:firstLine="0"/>
        <w:rPr>
          <w:rFonts w:eastAsia="仿宋_GB2312"/>
        </w:rPr>
      </w:pPr>
    </w:p>
    <w:p w14:paraId="16092FFB">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ascii="仿宋_GB2312" w:eastAsia="仿宋_GB2312"/>
          <w:color w:val="000000" w:themeColor="text1"/>
          <w14:textFill>
            <w14:solidFill>
              <w14:schemeClr w14:val="tx1"/>
            </w14:solidFill>
          </w14:textFill>
        </w:rPr>
      </w:pPr>
      <w:bookmarkStart w:id="34" w:name="_Hlk72257167"/>
      <w:r>
        <w:rPr>
          <w:rFonts w:hint="eastAsia" w:ascii="宋体" w:hAnsi="宋体" w:cs="宋体"/>
          <w:color w:val="000000" w:themeColor="text1"/>
          <w14:textFill>
            <w14:solidFill>
              <w14:schemeClr w14:val="tx1"/>
            </w14:solidFill>
          </w14:textFill>
        </w:rPr>
        <w:t>招标机构公布投标文件正文（信息公开部分）时为计算机截取信息自动公布，</w:t>
      </w:r>
      <w:r>
        <w:rPr>
          <w:rFonts w:hint="eastAsia" w:ascii="宋体" w:hAnsi="宋体" w:cs="宋体"/>
          <w:b/>
          <w:bCs/>
          <w:color w:val="000000" w:themeColor="text1"/>
          <w14:textFill>
            <w14:solidFill>
              <w14:schemeClr w14:val="tx1"/>
            </w14:solidFill>
          </w14:textFill>
        </w:rPr>
        <w:t>如投标人误将涉及个人隐私的信息放入投标文件正文，相关后果由投标人自负；</w:t>
      </w:r>
      <w:r>
        <w:rPr>
          <w:rFonts w:hint="eastAsia" w:ascii="宋体" w:hAnsi="宋体" w:cs="宋体"/>
          <w:color w:val="000000" w:themeColor="text1"/>
          <w14:textFill>
            <w14:solidFill>
              <w14:schemeClr w14:val="tx1"/>
            </w14:solidFill>
          </w14:textFill>
        </w:rPr>
        <w:t>如投标人将必须放于投标文件正文（信息公开部分）的内容放入投标文件附件（非信息公开部分），将作投标无效处理。</w:t>
      </w:r>
      <w:bookmarkEnd w:id="34"/>
    </w:p>
    <w:p w14:paraId="51904620">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投标文件组成：</w:t>
      </w:r>
    </w:p>
    <w:p w14:paraId="23E4E90D">
      <w:pPr>
        <w:ind w:firstLine="480" w:firstLineChars="200"/>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1.投标文件正文（信息公开部分），主要包括以下内容：</w:t>
      </w:r>
    </w:p>
    <w:p w14:paraId="4023D7FE">
      <w:pPr>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（1）投标函</w:t>
      </w:r>
    </w:p>
    <w:p w14:paraId="69EE112F">
      <w:pPr>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（2）政府采购投标及履约承诺函</w:t>
      </w:r>
    </w:p>
    <w:p w14:paraId="3FAC6581">
      <w:pPr>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（3）投标人情况及资格证明文件</w:t>
      </w:r>
    </w:p>
    <w:p w14:paraId="1E0ACA08">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（4）项目详细报价</w:t>
      </w:r>
    </w:p>
    <w:p w14:paraId="77A92D42">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种植基地面积</w:t>
      </w:r>
    </w:p>
    <w:p w14:paraId="666F0658">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配送场所面积</w:t>
      </w:r>
    </w:p>
    <w:p w14:paraId="76202499">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冷库面积</w:t>
      </w:r>
    </w:p>
    <w:p w14:paraId="4BF7CDFB">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8</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检测实验室情况</w:t>
      </w:r>
    </w:p>
    <w:p w14:paraId="3E0AB8E6">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食品检测保障能力（定量检测）</w:t>
      </w:r>
    </w:p>
    <w:p w14:paraId="5BBD9924">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10</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投保情况</w:t>
      </w:r>
    </w:p>
    <w:p w14:paraId="72001A42">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认证体系</w:t>
      </w:r>
    </w:p>
    <w:p w14:paraId="4EF896CB">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12</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类似项目业绩</w:t>
      </w:r>
    </w:p>
    <w:p w14:paraId="6694711F">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信息化能力</w:t>
      </w:r>
    </w:p>
    <w:p w14:paraId="0D40DFE8">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投标人认为需要加以说明的其他</w:t>
      </w:r>
      <w:r>
        <w:rPr>
          <w:rFonts w:hint="eastAsia" w:ascii="宋体" w:hAnsi="宋体" w:eastAsia="宋体" w:cs="宋体"/>
          <w:color w:val="000000" w:themeColor="text1"/>
          <w:lang w:val="en-US" w:eastAsia="zh-CN"/>
          <w14:textFill>
            <w14:solidFill>
              <w14:schemeClr w14:val="tx1"/>
            </w14:solidFill>
          </w14:textFill>
        </w:rPr>
        <w:t>公开</w:t>
      </w:r>
      <w:r>
        <w:rPr>
          <w:rFonts w:hint="eastAsia" w:ascii="宋体" w:hAnsi="宋体" w:cs="宋体"/>
          <w:color w:val="000000" w:themeColor="text1"/>
          <w14:textFill>
            <w14:solidFill>
              <w14:schemeClr w14:val="tx1"/>
            </w14:solidFill>
          </w14:textFill>
        </w:rPr>
        <w:t>内容（格式自定）</w:t>
      </w:r>
    </w:p>
    <w:p w14:paraId="3FEF9573">
      <w:pPr>
        <w:ind w:firstLine="480" w:firstLineChars="200"/>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2.投标文件附件（信息不公开部分）：主要包括以下内容：</w:t>
      </w:r>
    </w:p>
    <w:p w14:paraId="2472E51D">
      <w:pPr>
        <w:ind w:firstLine="484" w:firstLineChars="202"/>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法定代表人（负责人或执行事务合伙人）资格证明书</w:t>
      </w:r>
    </w:p>
    <w:p w14:paraId="6770B3F6">
      <w:pPr>
        <w:ind w:firstLine="484" w:firstLineChars="202"/>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（2）投标文件签署授权委托书</w:t>
      </w:r>
    </w:p>
    <w:p w14:paraId="2EF08FE7">
      <w:pPr>
        <w:ind w:firstLine="484" w:firstLineChars="202"/>
        <w:rPr>
          <w:rFonts w:hint="default"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（3）供应商基本情况表</w:t>
      </w:r>
    </w:p>
    <w:p w14:paraId="62AAE3DB">
      <w:pPr>
        <w:ind w:firstLine="484" w:firstLineChars="202"/>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cs="宋体"/>
          <w:color w:val="000000" w:themeColor="text1"/>
          <w14:textFill>
            <w14:solidFill>
              <w14:schemeClr w14:val="tx1"/>
            </w14:solidFill>
          </w14:textFill>
        </w:rPr>
        <w:t>）实质性条款响应情况表</w:t>
      </w:r>
    </w:p>
    <w:p w14:paraId="59AF4F02">
      <w:pPr>
        <w:ind w:firstLine="484" w:firstLineChars="202"/>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cs="宋体"/>
          <w:color w:val="000000" w:themeColor="text1"/>
          <w14:textFill>
            <w14:solidFill>
              <w14:schemeClr w14:val="tx1"/>
            </w14:solidFill>
          </w14:textFill>
        </w:rPr>
        <w:t>）商务、</w:t>
      </w:r>
      <w:r>
        <w:rPr>
          <w:rFonts w:hint="eastAsia" w:ascii="宋体" w:hAnsi="宋体" w:cs="宋体"/>
          <w:color w:val="000000" w:themeColor="text1"/>
          <w:lang w:eastAsia="zh-CN"/>
          <w14:textFill>
            <w14:solidFill>
              <w14:schemeClr w14:val="tx1"/>
            </w14:solidFill>
          </w14:textFill>
        </w:rPr>
        <w:t>服务</w:t>
      </w:r>
      <w:r>
        <w:rPr>
          <w:rFonts w:hint="eastAsia" w:ascii="宋体" w:hAnsi="宋体" w:cs="宋体"/>
          <w:color w:val="000000" w:themeColor="text1"/>
          <w14:textFill>
            <w14:solidFill>
              <w14:schemeClr w14:val="tx1"/>
            </w14:solidFill>
          </w14:textFill>
        </w:rPr>
        <w:t>条款偏离表</w:t>
      </w:r>
    </w:p>
    <w:p w14:paraId="171F5EDC">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cs="宋体"/>
          <w:color w:val="000000" w:themeColor="text1"/>
          <w14:textFill>
            <w14:solidFill>
              <w14:schemeClr w14:val="tx1"/>
            </w14:solidFill>
          </w14:textFill>
        </w:rPr>
        <w:t>）拟派项目负责人情况</w:t>
      </w:r>
    </w:p>
    <w:p w14:paraId="482B042C">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14:textFill>
            <w14:solidFill>
              <w14:schemeClr w14:val="tx1"/>
            </w14:solidFill>
          </w14:textFill>
        </w:rPr>
        <w:t>）项目整体设想及规划方案（格式自定）</w:t>
      </w:r>
    </w:p>
    <w:p w14:paraId="3E1B5528">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8</w:t>
      </w:r>
      <w:r>
        <w:rPr>
          <w:rFonts w:hint="eastAsia" w:ascii="宋体" w:hAnsi="宋体" w:cs="宋体"/>
          <w:color w:val="000000" w:themeColor="text1"/>
          <w14:textFill>
            <w14:solidFill>
              <w14:schemeClr w14:val="tx1"/>
            </w14:solidFill>
          </w14:textFill>
        </w:rPr>
        <w:t>）规章管理制度、工作流程（格式自定）</w:t>
      </w:r>
    </w:p>
    <w:p w14:paraId="158BBE68">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cs="宋体"/>
          <w:color w:val="000000" w:themeColor="text1"/>
          <w14:textFill>
            <w14:solidFill>
              <w14:schemeClr w14:val="tx1"/>
            </w14:solidFill>
          </w14:textFill>
        </w:rPr>
        <w:t>）应急方案（格式自定）</w:t>
      </w:r>
    </w:p>
    <w:p w14:paraId="0D0005D9">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10</w:t>
      </w:r>
      <w:r>
        <w:rPr>
          <w:rFonts w:hint="eastAsia" w:ascii="宋体" w:hAnsi="宋体" w:cs="宋体"/>
          <w:color w:val="000000" w:themeColor="text1"/>
          <w14:textFill>
            <w14:solidFill>
              <w14:schemeClr w14:val="tx1"/>
            </w14:solidFill>
          </w14:textFill>
        </w:rPr>
        <w:t>）投标人认为需要加以说明的其他</w:t>
      </w:r>
      <w:r>
        <w:rPr>
          <w:rFonts w:hint="eastAsia" w:ascii="宋体" w:hAnsi="宋体" w:eastAsia="宋体" w:cs="宋体"/>
          <w:color w:val="000000" w:themeColor="text1"/>
          <w:lang w:val="en-US" w:eastAsia="zh-CN"/>
          <w14:textFill>
            <w14:solidFill>
              <w14:schemeClr w14:val="tx1"/>
            </w14:solidFill>
          </w14:textFill>
        </w:rPr>
        <w:t>非公开</w:t>
      </w:r>
      <w:r>
        <w:rPr>
          <w:rFonts w:hint="eastAsia" w:ascii="宋体" w:hAnsi="宋体" w:cs="宋体"/>
          <w:color w:val="000000" w:themeColor="text1"/>
          <w14:textFill>
            <w14:solidFill>
              <w14:schemeClr w14:val="tx1"/>
            </w14:solidFill>
          </w14:textFill>
        </w:rPr>
        <w:t>内容（格式自定）</w:t>
      </w:r>
    </w:p>
    <w:p w14:paraId="25319F0F">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w:t>
      </w:r>
    </w:p>
    <w:p w14:paraId="7738C714">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1.本项目为网上电子投标项目，投标文件不需法人或授权委托人另行签字，无需加盖单位公章，招标文件专用条款另有规定的除外。</w:t>
      </w:r>
    </w:p>
    <w:p w14:paraId="3E26699C">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2.关于填写“开标一览表”的说明：“开标一览表”中除“投标报价”外，其他信息不作评审依据。</w:t>
      </w:r>
    </w:p>
    <w:p w14:paraId="42946A04"/>
    <w:p w14:paraId="3A66018B">
      <w:pPr>
        <w:pStyle w:val="7"/>
      </w:pPr>
    </w:p>
    <w:p w14:paraId="55BD53EE"/>
    <w:p w14:paraId="21AADE3B">
      <w:pPr>
        <w:pStyle w:val="7"/>
      </w:pPr>
    </w:p>
    <w:p w14:paraId="6DAFF441"/>
    <w:p w14:paraId="051CFD7B">
      <w:pPr>
        <w:pStyle w:val="7"/>
      </w:pPr>
      <w:r>
        <w:br w:type="page"/>
      </w:r>
    </w:p>
    <w:p w14:paraId="5D8B6CF7">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10926A55">
      <w:pPr>
        <w:pStyle w:val="4"/>
        <w:jc w:val="center"/>
        <w:rPr>
          <w:rFonts w:ascii="黑体" w:eastAsia="黑体"/>
          <w:b w:val="0"/>
          <w:color w:val="000000" w:themeColor="text1"/>
          <w:sz w:val="24"/>
          <w14:textFill>
            <w14:solidFill>
              <w14:schemeClr w14:val="tx1"/>
            </w14:solidFill>
          </w14:textFill>
        </w:rPr>
      </w:pPr>
      <w:r>
        <w:rPr>
          <w:rFonts w:hint="eastAsia" w:ascii="黑体" w:eastAsia="黑体"/>
          <w:b w:val="0"/>
          <w:color w:val="000000" w:themeColor="text1"/>
          <w:sz w:val="24"/>
          <w14:textFill>
            <w14:solidFill>
              <w14:schemeClr w14:val="tx1"/>
            </w14:solidFill>
          </w14:textFill>
        </w:rPr>
        <w:t>一、投标函</w:t>
      </w:r>
    </w:p>
    <w:p w14:paraId="469E9BA4">
      <w:pPr>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致：</w:t>
      </w:r>
      <w:r>
        <w:rPr>
          <w:rFonts w:hint="eastAsia" w:ascii="宋体" w:hAnsi="宋体" w:eastAsia="宋体"/>
          <w:color w:val="000000" w:themeColor="text1"/>
          <w:u w:val="single"/>
          <w14:textFill>
            <w14:solidFill>
              <w14:schemeClr w14:val="tx1"/>
            </w14:solidFill>
          </w14:textFill>
        </w:rPr>
        <w:t xml:space="preserve">友和保险经纪有限公司 </w:t>
      </w:r>
    </w:p>
    <w:p w14:paraId="46C35E92">
      <w:pPr>
        <w:ind w:firstLine="480" w:firstLineChars="200"/>
        <w:rPr>
          <w:rFonts w:ascii="宋体" w:hAnsi="宋体" w:eastAsia="宋体"/>
          <w:color w:val="000000" w:themeColor="text1"/>
          <w14:textFill>
            <w14:solidFill>
              <w14:schemeClr w14:val="tx1"/>
            </w14:solidFill>
          </w14:textFill>
        </w:rPr>
      </w:pPr>
      <w:bookmarkStart w:id="35" w:name="_Hlk73818812"/>
      <w:r>
        <w:rPr>
          <w:rFonts w:hint="eastAsia" w:ascii="宋体" w:hAnsi="宋体" w:eastAsia="宋体"/>
          <w:color w:val="000000" w:themeColor="text1"/>
          <w14:textFill>
            <w14:solidFill>
              <w14:schemeClr w14:val="tx1"/>
            </w14:solidFill>
          </w14:textFill>
        </w:rPr>
        <w:t>1、根据已收到贵单位的项目编号为</w:t>
      </w:r>
      <w:r>
        <w:rPr>
          <w:rFonts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u w:val="single"/>
          <w:lang w:eastAsia="zh-CN"/>
          <w14:textFill>
            <w14:solidFill>
              <w14:schemeClr w14:val="tx1"/>
            </w14:solidFill>
          </w14:textFill>
        </w:rPr>
        <w:t>GMDL2025000017</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的</w:t>
      </w:r>
      <w:r>
        <w:rPr>
          <w:rFonts w:hint="eastAsia" w:ascii="宋体" w:hAnsi="宋体" w:eastAsia="宋体"/>
          <w:color w:val="000000" w:themeColor="text1"/>
          <w:u w:val="single"/>
          <w14:textFill>
            <w14:solidFill>
              <w14:schemeClr w14:val="tx1"/>
            </w14:solidFill>
          </w14:textFill>
        </w:rPr>
        <w:t xml:space="preserve"> 深圳公安局光明分局下属单位食堂食材配送服务项目 </w:t>
      </w:r>
      <w:r>
        <w:rPr>
          <w:rFonts w:hint="eastAsia" w:ascii="宋体" w:hAnsi="宋体" w:eastAsia="宋体"/>
          <w:color w:val="000000" w:themeColor="text1"/>
          <w14:textFill>
            <w14:solidFill>
              <w14:schemeClr w14:val="tx1"/>
            </w14:solidFill>
          </w14:textFill>
        </w:rPr>
        <w:t>项目的招标文件，遵照《深圳经济特区政府采购条例》和《深圳网上政府采购管理暂行办法》等有关规定，我单位经研究上述招标文件的专用条款及通用条款后，</w:t>
      </w:r>
      <w:bookmarkStart w:id="36" w:name="_Hlk72263588"/>
      <w:r>
        <w:rPr>
          <w:rFonts w:hint="eastAsia" w:ascii="宋体" w:hAnsi="宋体" w:eastAsia="宋体"/>
          <w:color w:val="000000" w:themeColor="text1"/>
          <w14:textFill>
            <w14:solidFill>
              <w14:schemeClr w14:val="tx1"/>
            </w14:solidFill>
          </w14:textFill>
        </w:rPr>
        <w:t>愿意按照招标文件要求承包上述项目并修补其任何缺陷。</w:t>
      </w:r>
      <w:bookmarkEnd w:id="36"/>
    </w:p>
    <w:p w14:paraId="10B7DA3E">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、投标价格见投标书编制软件中《开标一览表》中填写的投标总价。</w:t>
      </w:r>
    </w:p>
    <w:p w14:paraId="626B1068">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3、如果我单位中标，我单位将按照招标文件的要求足额提交履约担保。</w:t>
      </w:r>
    </w:p>
    <w:p w14:paraId="663514C7">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4、我单位同意所递交的投标文件在“对通用条款的补充内容”中明确的投标有效期内有效，在此期间内我单位的投标有可能中标，我方将受此约束。</w:t>
      </w:r>
    </w:p>
    <w:p w14:paraId="510E9C03">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5、除非另外达成协议并生效，贵单位的中标通知书和本投标文件将构成合同的重要内容。</w:t>
      </w:r>
    </w:p>
    <w:p w14:paraId="3BEB458F">
      <w:pPr>
        <w:ind w:left="600" w:leftChars="200" w:hanging="120" w:hangingChars="5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6、我单位理解贵单位将不受必须接受所收到的最低报价或其它任何投标文件的约束。</w:t>
      </w:r>
      <w:bookmarkEnd w:id="35"/>
    </w:p>
    <w:p w14:paraId="1FE0A5B8">
      <w:pPr>
        <w:ind w:left="600" w:leftChars="200" w:hanging="120" w:hangingChars="50"/>
        <w:rPr>
          <w:rFonts w:hint="eastAsia" w:ascii="宋体" w:hAnsi="宋体" w:eastAsia="宋体"/>
          <w:color w:val="000000" w:themeColor="text1"/>
          <w14:textFill>
            <w14:solidFill>
              <w14:schemeClr w14:val="tx1"/>
            </w14:solidFill>
          </w14:textFill>
        </w:rPr>
      </w:pPr>
    </w:p>
    <w:p w14:paraId="3A5EF36D">
      <w:pPr>
        <w:ind w:left="600" w:leftChars="200" w:hanging="120" w:hangingChars="50"/>
        <w:rPr>
          <w:rFonts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投标人：</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单位地址：</w:t>
      </w:r>
      <w:r>
        <w:rPr>
          <w:rFonts w:hint="eastAsia" w:ascii="宋体" w:hAnsi="宋体" w:eastAsia="宋体"/>
          <w:color w:val="000000" w:themeColor="text1"/>
          <w:u w:val="single"/>
          <w14:textFill>
            <w14:solidFill>
              <w14:schemeClr w14:val="tx1"/>
            </w14:solidFill>
          </w14:textFill>
        </w:rPr>
        <w:t xml:space="preserve">               </w:t>
      </w:r>
    </w:p>
    <w:p w14:paraId="7D76555B">
      <w:pPr>
        <w:ind w:firstLine="480" w:firstLineChars="200"/>
        <w:rPr>
          <w:rFonts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法定代表人（负责人）或其委托代理人：</w:t>
      </w:r>
      <w:r>
        <w:rPr>
          <w:rFonts w:hint="eastAsia" w:ascii="宋体" w:hAnsi="宋体" w:eastAsia="宋体"/>
          <w:color w:val="000000" w:themeColor="text1"/>
          <w:u w:val="single"/>
          <w14:textFill>
            <w14:solidFill>
              <w14:schemeClr w14:val="tx1"/>
            </w14:solidFill>
          </w14:textFill>
        </w:rPr>
        <w:t xml:space="preserve">                   </w:t>
      </w:r>
    </w:p>
    <w:p w14:paraId="2F5E1E87">
      <w:pPr>
        <w:ind w:firstLine="480" w:firstLineChars="200"/>
        <w:rPr>
          <w:rFonts w:hint="eastAsia"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邮政编码：</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电话：</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传真：</w:t>
      </w:r>
      <w:r>
        <w:rPr>
          <w:rFonts w:hint="eastAsia" w:ascii="宋体" w:hAnsi="宋体" w:eastAsia="宋体"/>
          <w:color w:val="000000" w:themeColor="text1"/>
          <w:u w:val="single"/>
          <w14:textFill>
            <w14:solidFill>
              <w14:schemeClr w14:val="tx1"/>
            </w14:solidFill>
          </w14:textFill>
        </w:rPr>
        <w:t xml:space="preserve">            </w:t>
      </w:r>
    </w:p>
    <w:p w14:paraId="4AABF145">
      <w:pPr>
        <w:pStyle w:val="7"/>
        <w:ind w:left="0" w:leftChars="0" w:firstLine="480" w:firstLineChars="200"/>
        <w:rPr>
          <w:rFonts w:hint="eastAsia"/>
          <w:lang w:val="en-US" w:eastAsia="zh-CN"/>
        </w:rPr>
      </w:pPr>
      <w:r>
        <w:rPr>
          <w:rFonts w:hint="eastAsia" w:ascii="宋体" w:hAnsi="宋体" w:eastAsia="宋体"/>
          <w:color w:val="000000" w:themeColor="text1"/>
          <w:lang w:val="en-US" w:eastAsia="zh-CN"/>
          <w14:textFill>
            <w14:solidFill>
              <w14:schemeClr w14:val="tx1"/>
            </w14:solidFill>
          </w14:textFill>
        </w:rPr>
        <w:t>邮箱</w:t>
      </w:r>
      <w:r>
        <w:rPr>
          <w:rFonts w:hint="eastAsia" w:ascii="宋体" w:hAnsi="宋体" w:eastAsia="宋体"/>
          <w:color w:val="000000" w:themeColor="text1"/>
          <w14:textFill>
            <w14:solidFill>
              <w14:schemeClr w14:val="tx1"/>
            </w14:solidFill>
          </w14:textFill>
        </w:rPr>
        <w:t>：</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u w:val="single"/>
          <w:lang w:val="en-US" w:eastAsia="zh-CN"/>
          <w14:textFill>
            <w14:solidFill>
              <w14:schemeClr w14:val="tx1"/>
            </w14:solidFill>
          </w14:textFill>
        </w:rPr>
        <w:t xml:space="preserve">                      </w:t>
      </w:r>
      <w:r>
        <w:rPr>
          <w:rFonts w:hint="eastAsia" w:ascii="宋体" w:hAnsi="宋体" w:eastAsia="宋体"/>
          <w:color w:val="000000" w:themeColor="text1"/>
          <w:u w:val="single"/>
          <w14:textFill>
            <w14:solidFill>
              <w14:schemeClr w14:val="tx1"/>
            </w14:solidFill>
          </w14:textFill>
        </w:rPr>
        <w:t xml:space="preserve">     </w:t>
      </w:r>
    </w:p>
    <w:p w14:paraId="106E457A">
      <w:pPr>
        <w:ind w:firstLine="480" w:firstLineChars="20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开户银行名称：</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14:textFill>
            <w14:solidFill>
              <w14:schemeClr w14:val="tx1"/>
            </w14:solidFill>
          </w14:textFill>
        </w:rPr>
        <w:tab/>
      </w:r>
    </w:p>
    <w:p w14:paraId="1E2BBC46">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开户银行账号：</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p>
    <w:p w14:paraId="0B2D1F3B">
      <w:pPr>
        <w:ind w:firstLine="480" w:firstLineChars="20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开户银行地址：</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14:textFill>
            <w14:solidFill>
              <w14:schemeClr w14:val="tx1"/>
            </w14:solidFill>
          </w14:textFill>
        </w:rPr>
        <w:tab/>
      </w:r>
    </w:p>
    <w:p w14:paraId="15083F0C">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开户银行电话：</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p>
    <w:p w14:paraId="47EEB08A">
      <w:pPr>
        <w:ind w:firstLine="480" w:firstLineChars="200"/>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日期：</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年</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月</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日    </w:t>
      </w:r>
      <w:r>
        <w:rPr>
          <w:rFonts w:hint="eastAsia"/>
          <w:color w:val="000000" w:themeColor="text1"/>
          <w14:textFill>
            <w14:solidFill>
              <w14:schemeClr w14:val="tx1"/>
            </w14:solidFill>
          </w14:textFill>
        </w:rPr>
        <w:t xml:space="preserve">                            </w:t>
      </w:r>
    </w:p>
    <w:p w14:paraId="27969046">
      <w:pPr>
        <w:rPr>
          <w:rFonts w:ascii="黑体" w:hAnsi="宋体" w:eastAsia="黑体"/>
          <w:color w:val="000000" w:themeColor="text1"/>
          <w14:textFill>
            <w14:solidFill>
              <w14:schemeClr w14:val="tx1"/>
            </w14:solidFill>
          </w14:textFill>
        </w:rPr>
      </w:pPr>
    </w:p>
    <w:p w14:paraId="2D54017D">
      <w:pPr>
        <w:rPr>
          <w:rFonts w:ascii="宋体" w:hAnsi="宋体"/>
          <w:color w:val="000000" w:themeColor="text1"/>
          <w:szCs w:val="21"/>
          <w14:textFill>
            <w14:solidFill>
              <w14:schemeClr w14:val="tx1"/>
            </w14:solidFill>
          </w14:textFill>
        </w:rPr>
      </w:pPr>
    </w:p>
    <w:p w14:paraId="5D37A88F">
      <w:pPr>
        <w:rPr>
          <w:rFonts w:ascii="黑体" w:hAnsi="宋体" w:eastAsia="黑体"/>
          <w:color w:val="000000" w:themeColor="text1"/>
          <w14:textFill>
            <w14:solidFill>
              <w14:schemeClr w14:val="tx1"/>
            </w14:solidFill>
          </w14:textFill>
        </w:rPr>
      </w:pPr>
    </w:p>
    <w:p w14:paraId="099BE9FA">
      <w:pPr>
        <w:rPr>
          <w:rFonts w:ascii="黑体" w:hAnsi="宋体" w:eastAsia="黑体"/>
          <w:color w:val="000000" w:themeColor="text1"/>
          <w14:textFill>
            <w14:solidFill>
              <w14:schemeClr w14:val="tx1"/>
            </w14:solidFill>
          </w14:textFill>
        </w:rPr>
      </w:pPr>
    </w:p>
    <w:p w14:paraId="6FCB77F0">
      <w:pPr>
        <w:rPr>
          <w:rFonts w:ascii="黑体" w:hAnsi="宋体" w:eastAsia="黑体"/>
          <w:color w:val="000000" w:themeColor="text1"/>
          <w14:textFill>
            <w14:solidFill>
              <w14:schemeClr w14:val="tx1"/>
            </w14:solidFill>
          </w14:textFill>
        </w:rPr>
      </w:pPr>
    </w:p>
    <w:p w14:paraId="473193C8">
      <w:pPr>
        <w:pStyle w:val="4"/>
        <w:jc w:val="center"/>
        <w:rPr>
          <w:rFonts w:ascii="黑体" w:eastAsia="黑体"/>
          <w:b w:val="0"/>
          <w:color w:val="000000" w:themeColor="text1"/>
          <w:sz w:val="24"/>
          <w14:textFill>
            <w14:solidFill>
              <w14:schemeClr w14:val="tx1"/>
            </w14:solidFill>
          </w14:textFill>
        </w:rPr>
      </w:pPr>
      <w:r>
        <w:rPr>
          <w:rFonts w:hint="eastAsia" w:ascii="黑体" w:eastAsia="黑体"/>
          <w:b w:val="0"/>
          <w:color w:val="000000" w:themeColor="text1"/>
          <w:sz w:val="24"/>
          <w14:textFill>
            <w14:solidFill>
              <w14:schemeClr w14:val="tx1"/>
            </w14:solidFill>
          </w14:textFill>
        </w:rPr>
        <w:br w:type="page"/>
      </w:r>
      <w:r>
        <w:rPr>
          <w:rFonts w:hint="eastAsia" w:ascii="黑体" w:eastAsia="黑体"/>
          <w:b w:val="0"/>
          <w:color w:val="000000" w:themeColor="text1"/>
          <w:sz w:val="24"/>
          <w14:textFill>
            <w14:solidFill>
              <w14:schemeClr w14:val="tx1"/>
            </w14:solidFill>
          </w14:textFill>
        </w:rPr>
        <w:t>二、政府采购投标及履约承诺函</w:t>
      </w:r>
    </w:p>
    <w:p w14:paraId="5B8850A1">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致：</w:t>
      </w:r>
      <w:r>
        <w:rPr>
          <w:rFonts w:hint="eastAsia" w:ascii="宋体" w:hAnsi="宋体" w:eastAsia="宋体"/>
          <w:color w:val="000000" w:themeColor="text1"/>
          <w:u w:val="single"/>
          <w14:textFill>
            <w14:solidFill>
              <w14:schemeClr w14:val="tx1"/>
            </w14:solidFill>
          </w14:textFill>
        </w:rPr>
        <w:t>友和保险经纪有限公司</w:t>
      </w:r>
    </w:p>
    <w:p w14:paraId="128A5E46">
      <w:pPr>
        <w:ind w:right="-815"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我单位承诺：</w:t>
      </w:r>
    </w:p>
    <w:p w14:paraId="311918CA">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hint="eastAsia" w:ascii="宋体" w:hAnsi="宋体"/>
          <w:szCs w:val="21"/>
        </w:rPr>
        <w:t>我单位参与本项目所投标（响应）的货物、工程或服务，不存在侵犯知识产权的情况；已知悉并同意中标（成交）结果信息公示（公开）的内容。</w:t>
      </w:r>
    </w:p>
    <w:p w14:paraId="6CD28754">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lang w:eastAsia="zh-CN"/>
        </w:rPr>
      </w:pPr>
      <w:r>
        <w:rPr>
          <w:rFonts w:hint="eastAsia" w:ascii="宋体" w:hAnsi="宋体" w:eastAsia="宋体"/>
          <w:color w:val="000000" w:themeColor="text1"/>
          <w14:textFill>
            <w14:solidFill>
              <w14:schemeClr w14:val="tx1"/>
            </w14:solidFill>
          </w14:textFill>
        </w:rPr>
        <w:t>2.</w:t>
      </w:r>
      <w:r>
        <w:rPr>
          <w:rFonts w:hint="eastAsia" w:ascii="宋体" w:hAnsi="宋体"/>
          <w:szCs w:val="21"/>
        </w:rPr>
        <w:t>我单位参与该项目投标，</w:t>
      </w:r>
      <w:r>
        <w:rPr>
          <w:rFonts w:hint="eastAsia" w:ascii="宋体" w:hAnsi="宋体" w:eastAsia="宋体"/>
        </w:rPr>
        <w:t>不</w:t>
      </w:r>
      <w:r>
        <w:rPr>
          <w:rFonts w:hint="eastAsia" w:ascii="宋体" w:hAnsi="宋体" w:eastAsia="宋体"/>
          <w:lang w:eastAsia="zh-CN"/>
        </w:rPr>
        <w:t>采用</w:t>
      </w:r>
      <w:r>
        <w:rPr>
          <w:rFonts w:hint="eastAsia" w:ascii="宋体" w:hAnsi="宋体" w:eastAsia="宋体"/>
        </w:rPr>
        <w:t>联合体投标</w:t>
      </w:r>
      <w:r>
        <w:rPr>
          <w:rFonts w:hint="eastAsia" w:ascii="宋体" w:hAnsi="宋体" w:eastAsia="宋体"/>
          <w:lang w:eastAsia="zh-CN"/>
        </w:rPr>
        <w:t>，</w:t>
      </w:r>
      <w:r>
        <w:rPr>
          <w:rFonts w:hint="eastAsia" w:ascii="宋体" w:hAnsi="宋体" w:eastAsia="宋体"/>
        </w:rPr>
        <w:t>不</w:t>
      </w:r>
      <w:r>
        <w:rPr>
          <w:rFonts w:hint="eastAsia" w:ascii="宋体" w:hAnsi="宋体" w:eastAsia="宋体"/>
          <w:lang w:eastAsia="zh-CN"/>
        </w:rPr>
        <w:t>使用</w:t>
      </w:r>
      <w:r>
        <w:rPr>
          <w:rFonts w:hint="eastAsia" w:ascii="宋体" w:hAnsi="宋体" w:eastAsia="宋体"/>
        </w:rPr>
        <w:t>进口产品参与投标</w:t>
      </w:r>
      <w:r>
        <w:rPr>
          <w:rFonts w:hint="eastAsia" w:ascii="宋体" w:hAnsi="宋体" w:eastAsia="宋体"/>
          <w:lang w:eastAsia="zh-CN"/>
        </w:rPr>
        <w:t>。</w:t>
      </w:r>
    </w:p>
    <w:p w14:paraId="7EEBA300">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3.我单位参与本项目政府采购活动时不存在被有关部门禁止参与政府采购活动且在有效期内的情况。</w:t>
      </w:r>
    </w:p>
    <w:p w14:paraId="51BDF4A2">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4.我单位具备《中华人民共和国政府采购法》第二十二条第一款规定的六项条件。</w:t>
      </w:r>
    </w:p>
    <w:p w14:paraId="66246042">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5.我单位未被列入失信被执行人、</w:t>
      </w:r>
      <w:r>
        <w:rPr>
          <w:rFonts w:hint="eastAsia" w:ascii="宋体" w:hAnsi="宋体" w:eastAsia="宋体"/>
          <w:color w:val="000000" w:themeColor="text1"/>
          <w:lang w:eastAsia="zh-CN"/>
          <w14:textFill>
            <w14:solidFill>
              <w14:schemeClr w14:val="tx1"/>
            </w14:solidFill>
          </w14:textFill>
        </w:rPr>
        <w:t>重大税收违法失信主体</w:t>
      </w:r>
      <w:r>
        <w:rPr>
          <w:rFonts w:hint="eastAsia" w:ascii="宋体" w:hAnsi="宋体" w:eastAsia="宋体"/>
          <w:color w:val="000000" w:themeColor="text1"/>
          <w14:textFill>
            <w14:solidFill>
              <w14:schemeClr w14:val="tx1"/>
            </w14:solidFill>
          </w14:textFill>
        </w:rPr>
        <w:t>、政府采购严重违法失信行为记录名单</w:t>
      </w:r>
      <w:r>
        <w:rPr>
          <w:rFonts w:hint="eastAsia" w:ascii="宋体" w:hAnsi="宋体" w:eastAsia="宋体"/>
          <w:color w:val="000000" w:themeColor="text1"/>
          <w:lang w:eastAsia="zh-CN"/>
          <w14:textFill>
            <w14:solidFill>
              <w14:schemeClr w14:val="tx1"/>
            </w14:solidFill>
          </w14:textFill>
        </w:rPr>
        <w:t>；不存在《深圳市财政局政府采购供应商信用信息管理办法》（深财规〔2023〕3号）列明的严重违法失信行为。</w:t>
      </w:r>
    </w:p>
    <w:p w14:paraId="1F8E10F3">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我单位参与该项目投标，严格遵守政府采购相关法律，不造假，不围标、串标、陪标。我单位已清楚，如违反上述要求，投标将作无效处理，被列入不良记录名单并在网上曝光，同时将被提请政府采购主管部门给予一定年限</w:t>
      </w:r>
      <w:r>
        <w:rPr>
          <w:rFonts w:ascii="宋体" w:hAnsi="宋体" w:eastAsia="宋体"/>
          <w:color w:val="000000" w:themeColor="text1"/>
          <w14:textFill>
            <w14:solidFill>
              <w14:schemeClr w14:val="tx1"/>
            </w14:solidFill>
          </w14:textFill>
        </w:rPr>
        <w:t>内禁止参与政府采购活动或其他处罚。</w:t>
      </w:r>
    </w:p>
    <w:p w14:paraId="789AC09C">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7.</w:t>
      </w:r>
      <w:r>
        <w:rPr>
          <w:rFonts w:hint="eastAsia" w:ascii="宋体" w:hAnsi="宋体" w:eastAsia="宋体"/>
          <w:color w:val="000000" w:themeColor="text1"/>
          <w14:textFill>
            <w14:solidFill>
              <w14:schemeClr w14:val="tx1"/>
            </w14:solidFill>
          </w14:textFill>
        </w:rPr>
        <w:t>我单位不存在“单位负责人为同一人或者存在直接控股、管理关系的不同供应商，参加同一合同项下的政府采购活动”的情形。</w:t>
      </w:r>
    </w:p>
    <w:p w14:paraId="20A6AC78">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8</w:t>
      </w:r>
      <w:r>
        <w:rPr>
          <w:rFonts w:ascii="宋体" w:hAnsi="宋体" w:eastAsia="宋体"/>
          <w:color w:val="000000" w:themeColor="text1"/>
          <w14:textFill>
            <w14:solidFill>
              <w14:schemeClr w14:val="tx1"/>
            </w14:solidFill>
          </w14:textFill>
        </w:rPr>
        <w:t>.我单位如果中标，做到守信，不偷工减料，依</w:t>
      </w:r>
      <w:r>
        <w:rPr>
          <w:rFonts w:hint="eastAsia" w:ascii="宋体" w:hAnsi="宋体" w:eastAsia="宋体"/>
          <w:color w:val="000000" w:themeColor="text1"/>
          <w14:textFill>
            <w14:solidFill>
              <w14:schemeClr w14:val="tx1"/>
            </w14:solidFill>
          </w14:textFill>
        </w:rPr>
        <w:t>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C8C45C7">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9</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我单位清楚，若以</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报价太低而无法履约</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为理由放弃本项目中标资格时，愿意接受主管部门的处理处罚。若我单位中标本项目，我单位的报价明显低于其他通过符合性审查投标人的报价时，我单位清楚，本项目将成为重点监管、重点验收项目，我单位将按时保质保量完成，并全力配合有关监管、验收工作；若我单位未按上述要求履约，我单位愿意接受主管部门的处理处罚。</w:t>
      </w:r>
    </w:p>
    <w:p w14:paraId="7BEB9B9B">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10.</w:t>
      </w:r>
      <w:r>
        <w:rPr>
          <w:rFonts w:hint="eastAsia" w:ascii="宋体" w:hAnsi="宋体" w:eastAsia="宋体"/>
          <w:color w:val="000000" w:themeColor="text1"/>
          <w14:textFill>
            <w14:solidFill>
              <w14:schemeClr w14:val="tx1"/>
            </w14:solidFill>
          </w14:textFill>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839A6AF">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1</w:t>
      </w:r>
      <w:r>
        <w:rPr>
          <w:rFonts w:hint="eastAsia" w:ascii="宋体" w:hAnsi="宋体" w:eastAsia="宋体"/>
          <w:color w:val="000000" w:themeColor="text1"/>
          <w14:textFill>
            <w14:solidFill>
              <w14:schemeClr w14:val="tx1"/>
            </w14:solidFill>
          </w14:textFill>
        </w:rPr>
        <w:t>.我</w:t>
      </w:r>
      <w:r>
        <w:rPr>
          <w:rFonts w:hint="eastAsia" w:ascii="宋体" w:hAnsi="宋体" w:eastAsia="宋体"/>
          <w:color w:val="000000" w:themeColor="text1"/>
          <w:lang w:val="en-US" w:eastAsia="zh-CN"/>
          <w14:textFill>
            <w14:solidFill>
              <w14:schemeClr w14:val="tx1"/>
            </w14:solidFill>
          </w14:textFill>
        </w:rPr>
        <w:t>单位</w:t>
      </w:r>
      <w:r>
        <w:rPr>
          <w:rFonts w:hint="eastAsia" w:ascii="宋体" w:hAnsi="宋体" w:eastAsia="宋体"/>
          <w:color w:val="000000" w:themeColor="text1"/>
          <w14:textFill>
            <w14:solidFill>
              <w14:schemeClr w14:val="tx1"/>
            </w14:solidFill>
          </w14:textFill>
        </w:rPr>
        <w:t>承诺中标后项目不转包，未经采购人同意不进行分包。</w:t>
      </w:r>
    </w:p>
    <w:p w14:paraId="045052A5">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18FB11">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13.</w:t>
      </w:r>
      <w:r>
        <w:rPr>
          <w:rFonts w:hint="eastAsia" w:ascii="宋体" w:hAnsi="宋体" w:eastAsia="宋体"/>
          <w:color w:val="000000" w:themeColor="text1"/>
          <w14:textFill>
            <w14:solidFill>
              <w14:schemeClr w14:val="tx1"/>
            </w14:solidFill>
          </w14:textFill>
        </w:rPr>
        <w:t>我单位保证，若所投货物涉及</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财政部生态环境部关于印发节能产品政府采购品目清单的通知》（财库〔20</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号）列明的政府采购强制产品，则所投该产品符合节能产品的认证要求。</w:t>
      </w:r>
    </w:p>
    <w:p w14:paraId="345CC076">
      <w:pPr>
        <w:pStyle w:val="7"/>
        <w:rPr>
          <w:rFonts w:ascii="宋体" w:hAnsi="宋体" w:eastAsia="宋体" w:cs="宋体"/>
          <w:color w:val="000000" w:themeColor="text1"/>
          <w:szCs w:val="24"/>
          <w14:textFill>
            <w14:solidFill>
              <w14:schemeClr w14:val="tx1"/>
            </w14:solidFill>
          </w14:textFill>
        </w:rPr>
      </w:pPr>
      <w:r>
        <w:rPr>
          <w:rFonts w:hint="eastAsia" w:ascii="宋体" w:hAnsi="宋体" w:eastAsia="宋体"/>
          <w:szCs w:val="24"/>
        </w:rPr>
        <w:t>1</w:t>
      </w:r>
      <w:r>
        <w:rPr>
          <w:rFonts w:ascii="宋体" w:hAnsi="宋体" w:eastAsia="宋体"/>
          <w:szCs w:val="24"/>
        </w:rPr>
        <w:t>4.</w:t>
      </w:r>
      <w:r>
        <w:rPr>
          <w:rFonts w:hint="eastAsia" w:ascii="宋体" w:hAnsi="宋体" w:eastAsia="宋体" w:cs="宋体"/>
          <w:color w:val="000000" w:themeColor="text1"/>
          <w:szCs w:val="24"/>
          <w14:textFill>
            <w14:solidFill>
              <w14:schemeClr w14:val="tx1"/>
            </w14:solidFill>
          </w14:textFill>
        </w:rPr>
        <w:t xml:space="preserve"> 我单位承诺未为本项目提供整体设计、规范编制或者管理、监理、检测等服务。</w:t>
      </w:r>
    </w:p>
    <w:p w14:paraId="70170689">
      <w:pPr>
        <w:pStyle w:val="7"/>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5.</w:t>
      </w:r>
      <w:r>
        <w:rPr>
          <w:rFonts w:hint="eastAsia" w:ascii="宋体" w:hAnsi="宋体" w:eastAsia="宋体" w:cs="宋体"/>
          <w:color w:val="000000" w:themeColor="text1"/>
          <w:szCs w:val="24"/>
          <w14:textFill>
            <w14:solidFill>
              <w14:schemeClr w14:val="tx1"/>
            </w14:solidFill>
          </w14:textFill>
        </w:rPr>
        <w:t>我单位承诺，参与本项目投标前三年内，未受过环境监测行政主管部门行政处罚或未有被政府相关部门（如质检部门等）、媒体通报弄虚作假等情形。</w:t>
      </w:r>
      <w:r>
        <w:rPr>
          <w:rFonts w:ascii="宋体" w:hAnsi="宋体" w:eastAsia="宋体" w:cs="宋体"/>
          <w:color w:val="000000" w:themeColor="text1"/>
          <w:szCs w:val="24"/>
          <w14:textFill>
            <w14:solidFill>
              <w14:schemeClr w14:val="tx1"/>
            </w14:solidFill>
          </w14:textFill>
        </w:rPr>
        <w:t xml:space="preserve"> </w:t>
      </w:r>
    </w:p>
    <w:p w14:paraId="58B9F411">
      <w:pPr>
        <w:pStyle w:val="7"/>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16.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r>
        <w:rPr>
          <w:rFonts w:ascii="宋体" w:hAnsi="宋体" w:eastAsia="宋体" w:cs="宋体"/>
          <w:color w:val="000000" w:themeColor="text1"/>
          <w:szCs w:val="24"/>
          <w14:textFill>
            <w14:solidFill>
              <w14:schemeClr w14:val="tx1"/>
            </w14:solidFill>
          </w14:textFill>
        </w:rPr>
        <w:t xml:space="preserve"> </w:t>
      </w:r>
    </w:p>
    <w:p w14:paraId="21859EF0">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以上承诺，如有违反，愿依照国家相关法律法规处理，并承担由此给采购人带来的损失。</w:t>
      </w:r>
    </w:p>
    <w:p w14:paraId="2941BA0A">
      <w:pPr>
        <w:spacing w:before="60" w:beforeLines="25" w:after="60" w:afterLines="25"/>
        <w:ind w:firstLine="6240" w:firstLineChars="26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p>
    <w:p w14:paraId="4497EB8D">
      <w:pPr>
        <w:spacing w:before="60" w:beforeLines="25" w:after="60" w:afterLines="25"/>
        <w:ind w:firstLine="6240" w:firstLineChars="26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投标人：</w:t>
      </w:r>
      <w:r>
        <w:rPr>
          <w:rFonts w:hint="eastAsia" w:ascii="宋体" w:hAnsi="宋体" w:eastAsia="宋体"/>
          <w:color w:val="000000" w:themeColor="text1"/>
          <w:u w:val="single"/>
          <w14:textFill>
            <w14:solidFill>
              <w14:schemeClr w14:val="tx1"/>
            </w14:solidFill>
          </w14:textFill>
        </w:rPr>
        <w:t xml:space="preserve">              </w:t>
      </w:r>
    </w:p>
    <w:p w14:paraId="5E0CCF82">
      <w:pPr>
        <w:ind w:firstLine="645"/>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日期：</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年</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月</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日</w:t>
      </w:r>
    </w:p>
    <w:p w14:paraId="0B63E173">
      <w:pPr>
        <w:rPr>
          <w:rFonts w:ascii="宋体" w:hAnsi="宋体" w:eastAsia="宋体"/>
          <w:color w:val="000000" w:themeColor="text1"/>
          <w14:textFill>
            <w14:solidFill>
              <w14:schemeClr w14:val="tx1"/>
            </w14:solidFill>
          </w14:textFill>
        </w:rPr>
      </w:pPr>
    </w:p>
    <w:p w14:paraId="18A24D2B">
      <w:pPr>
        <w:rPr>
          <w:rFonts w:ascii="宋体" w:hAnsi="宋体" w:eastAsia="宋体" w:cs="宋体"/>
          <w:color w:val="000000" w:themeColor="text1"/>
          <w:szCs w:val="21"/>
          <w14:textFill>
            <w14:solidFill>
              <w14:schemeClr w14:val="tx1"/>
            </w14:solidFill>
          </w14:textFill>
        </w:rPr>
      </w:pPr>
    </w:p>
    <w:p w14:paraId="5B1C2996">
      <w:pPr>
        <w:pStyle w:val="7"/>
      </w:pPr>
    </w:p>
    <w:p w14:paraId="5DD562F9"/>
    <w:p w14:paraId="43D2D716">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0700AD2B">
      <w:pPr>
        <w:pStyle w:val="4"/>
        <w:jc w:val="center"/>
      </w:pPr>
      <w:r>
        <w:rPr>
          <w:rFonts w:hint="eastAsia" w:ascii="黑体" w:eastAsia="黑体"/>
          <w:b w:val="0"/>
          <w:color w:val="000000" w:themeColor="text1"/>
          <w:sz w:val="24"/>
          <w14:textFill>
            <w14:solidFill>
              <w14:schemeClr w14:val="tx1"/>
            </w14:solidFill>
          </w14:textFill>
        </w:rPr>
        <w:t>三、投标人情况及资格证明文件</w:t>
      </w:r>
    </w:p>
    <w:p w14:paraId="17DE9C41">
      <w:pPr>
        <w:ind w:firstLine="480" w:firstLineChars="200"/>
        <w:outlineLvl w:val="3"/>
        <w:rPr>
          <w:rFonts w:hint="eastAsia" w:ascii="宋体" w:hAnsi="宋体" w:eastAsia="宋体"/>
          <w:bCs/>
          <w:szCs w:val="32"/>
          <w:lang w:val="en-US" w:eastAsia="zh-CN" w:bidi="ar-SA"/>
        </w:rPr>
      </w:pPr>
      <w:r>
        <w:rPr>
          <w:rFonts w:hint="eastAsia" w:ascii="宋体" w:hAnsi="宋体" w:eastAsia="宋体"/>
          <w:bCs/>
          <w:szCs w:val="32"/>
          <w:lang w:val="en-US" w:eastAsia="zh-CN" w:bidi="ar-SA"/>
        </w:rPr>
        <w:t>（一）投标人资格证明文件</w:t>
      </w:r>
    </w:p>
    <w:p w14:paraId="7C49E515">
      <w:pPr>
        <w:spacing w:before="120" w:beforeLines="50"/>
        <w:ind w:firstLine="480"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p>
    <w:p w14:paraId="4011CDC9">
      <w:pPr>
        <w:spacing w:line="360" w:lineRule="auto"/>
        <w:ind w:firstLine="480" w:firstLineChars="200"/>
        <w:rPr>
          <w:b/>
          <w:color w:val="000000" w:themeColor="text1"/>
          <w14:textFill>
            <w14:solidFill>
              <w14:schemeClr w14:val="tx1"/>
            </w14:solidFill>
          </w14:textFill>
        </w:rPr>
      </w:pPr>
    </w:p>
    <w:p w14:paraId="006B2091">
      <w:pPr>
        <w:spacing w:line="360" w:lineRule="auto"/>
        <w:rPr>
          <w:rFonts w:eastAsia="黑体"/>
        </w:rPr>
      </w:pPr>
    </w:p>
    <w:p w14:paraId="4E71E59E">
      <w:pPr>
        <w:ind w:firstLine="480" w:firstLineChars="200"/>
        <w:outlineLvl w:val="3"/>
        <w:rPr>
          <w:rFonts w:hint="eastAsia" w:ascii="宋体" w:hAnsi="宋体" w:eastAsia="宋体"/>
          <w:bCs/>
          <w:szCs w:val="32"/>
          <w:lang w:val="en-US" w:eastAsia="zh-CN" w:bidi="ar-SA"/>
        </w:rPr>
      </w:pPr>
      <w:r>
        <w:rPr>
          <w:rFonts w:hint="eastAsia" w:ascii="宋体" w:hAnsi="宋体" w:eastAsia="宋体"/>
          <w:bCs/>
          <w:szCs w:val="32"/>
          <w:lang w:val="en-US" w:eastAsia="zh-CN" w:bidi="ar-SA"/>
        </w:rPr>
        <w:t>（二）中小企业声明函、残疾人福利性单位声明函及监狱企业声明函</w:t>
      </w:r>
    </w:p>
    <w:p w14:paraId="51DBC415">
      <w:pPr>
        <w:spacing w:before="120" w:beforeLines="50"/>
        <w:ind w:firstLine="482" w:firstLineChars="200"/>
        <w:rPr>
          <w:rFonts w:hint="eastAsia" w:ascii="宋体" w:hAnsi="宋体" w:eastAsia="宋体"/>
          <w:b/>
          <w:bCs/>
          <w:color w:val="FF0000"/>
          <w:lang w:val="en-US" w:eastAsia="zh-CN"/>
        </w:rPr>
      </w:pPr>
      <w:r>
        <w:rPr>
          <w:rFonts w:hint="eastAsia" w:ascii="宋体" w:hAnsi="宋体" w:eastAsia="宋体"/>
          <w:b/>
          <w:bCs/>
          <w:color w:val="FF0000"/>
          <w:lang w:val="en-US" w:eastAsia="zh-CN"/>
        </w:rPr>
        <w:t>注：采购人、采购代理机构、评标委员会（评审小组）在依法进行资格审查、评审过程中，发现《中小企业声明函》存在明显笔误或者含义不明确的，按照政府采购相关规定要求供应商进行澄清、说明或补正。澄清、说明或补正后符合小微企业条件的供应商，可以享受小微企业扶持政策。（参照《广东省政府采购促进中小企业发展实施细则》第十八条精神）</w:t>
      </w:r>
    </w:p>
    <w:p w14:paraId="534BF4D5">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b/>
          <w:color w:val="000000" w:themeColor="text1"/>
          <w14:textFill>
            <w14:solidFill>
              <w14:schemeClr w14:val="tx1"/>
            </w14:solidFill>
          </w14:textFill>
        </w:rPr>
      </w:pPr>
    </w:p>
    <w:p w14:paraId="0922F2F0">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1、</w:t>
      </w:r>
      <w:r>
        <w:rPr>
          <w:rFonts w:hint="eastAsia" w:eastAsia="宋体"/>
          <w:b/>
          <w:color w:val="000000" w:themeColor="text1"/>
          <w:lang w:eastAsia="zh-CN"/>
          <w14:textFill>
            <w14:solidFill>
              <w14:schemeClr w14:val="tx1"/>
            </w14:solidFill>
          </w14:textFill>
        </w:rPr>
        <w:t>中小</w:t>
      </w:r>
      <w:r>
        <w:rPr>
          <w:b/>
          <w:color w:val="000000" w:themeColor="text1"/>
          <w14:textFill>
            <w14:solidFill>
              <w14:schemeClr w14:val="tx1"/>
            </w14:solidFill>
          </w14:textFill>
        </w:rPr>
        <w:t>企业声明函（</w:t>
      </w:r>
      <w:r>
        <w:rPr>
          <w:rFonts w:hint="eastAsia"/>
          <w:b/>
          <w:color w:val="000000" w:themeColor="text1"/>
          <w14:textFill>
            <w14:solidFill>
              <w14:schemeClr w14:val="tx1"/>
            </w14:solidFill>
          </w14:textFill>
        </w:rPr>
        <w:t>服务</w:t>
      </w:r>
      <w:r>
        <w:rPr>
          <w:b/>
          <w:color w:val="000000" w:themeColor="text1"/>
          <w14:textFill>
            <w14:solidFill>
              <w14:schemeClr w14:val="tx1"/>
            </w14:solidFill>
          </w14:textFill>
        </w:rPr>
        <w:t xml:space="preserve">） </w:t>
      </w:r>
    </w:p>
    <w:p w14:paraId="06DD8436">
      <w:pPr>
        <w:spacing w:after="60" w:afterLines="25" w:line="300" w:lineRule="auto"/>
        <w:ind w:firstLine="480" w:firstLineChars="200"/>
        <w:rPr>
          <w:rFonts w:ascii="宋体" w:hAnsi="宋体" w:eastAsia="宋体"/>
          <w:szCs w:val="21"/>
        </w:rPr>
      </w:pPr>
      <w:r>
        <w:rPr>
          <w:rFonts w:hint="eastAsia" w:ascii="宋体" w:hAnsi="宋体" w:eastAsia="宋体"/>
          <w:szCs w:val="21"/>
        </w:rPr>
        <w:t>本投标人郑重声明，根据《政府采购促进中小企业发展管理办法》（财库﹝2020﹞46 号）的规定，本投标人参加</w:t>
      </w:r>
      <w:r>
        <w:rPr>
          <w:rFonts w:hint="eastAsia" w:ascii="宋体" w:hAnsi="宋体" w:eastAsia="宋体"/>
          <w:b/>
          <w:bCs/>
          <w:szCs w:val="21"/>
          <w:u w:val="single"/>
        </w:rPr>
        <w:t>深圳公安局光明分局</w:t>
      </w:r>
      <w:r>
        <w:rPr>
          <w:rFonts w:hint="eastAsia" w:ascii="宋体" w:hAnsi="宋体" w:eastAsia="宋体"/>
          <w:szCs w:val="21"/>
        </w:rPr>
        <w:t>的</w:t>
      </w:r>
      <w:r>
        <w:rPr>
          <w:rFonts w:hint="eastAsia" w:ascii="宋体" w:hAnsi="宋体" w:eastAsia="宋体"/>
          <w:b/>
          <w:bCs/>
          <w:szCs w:val="21"/>
          <w:u w:val="single"/>
        </w:rPr>
        <w:t>深圳公安局光明分局下属单位食堂食材配送服务项目</w:t>
      </w:r>
      <w:r>
        <w:rPr>
          <w:rFonts w:hint="eastAsia" w:ascii="宋体" w:hAnsi="宋体" w:eastAsia="宋体"/>
          <w:szCs w:val="21"/>
        </w:rPr>
        <w:t>采购活动，服务全部由符合政策要求的</w:t>
      </w:r>
      <w:r>
        <w:rPr>
          <w:rFonts w:hint="eastAsia" w:ascii="宋体" w:hAnsi="宋体" w:eastAsia="宋体"/>
          <w:szCs w:val="21"/>
          <w:lang w:eastAsia="zh-CN"/>
        </w:rPr>
        <w:t>中小</w:t>
      </w:r>
      <w:r>
        <w:rPr>
          <w:rFonts w:hint="eastAsia" w:ascii="宋体" w:hAnsi="宋体" w:eastAsia="宋体"/>
          <w:szCs w:val="21"/>
        </w:rPr>
        <w:t>企业承接。相关企业的具体情况如下：</w:t>
      </w:r>
    </w:p>
    <w:p w14:paraId="6D3D2B67">
      <w:pPr>
        <w:spacing w:after="60" w:afterLines="25" w:line="300" w:lineRule="auto"/>
        <w:ind w:firstLine="480" w:firstLineChars="200"/>
        <w:rPr>
          <w:rFonts w:ascii="宋体" w:hAnsi="宋体" w:eastAsia="宋体"/>
          <w:szCs w:val="21"/>
        </w:rPr>
      </w:pPr>
      <w:r>
        <w:rPr>
          <w:rFonts w:hint="eastAsia" w:ascii="宋体" w:hAnsi="宋体" w:eastAsia="宋体"/>
          <w:szCs w:val="21"/>
        </w:rPr>
        <w:t>1.</w:t>
      </w:r>
      <w:r>
        <w:rPr>
          <w:rFonts w:hint="eastAsia" w:ascii="宋体" w:hAnsi="宋体" w:eastAsia="宋体"/>
          <w:b/>
          <w:bCs/>
          <w:szCs w:val="21"/>
          <w:u w:val="single"/>
        </w:rPr>
        <w:t xml:space="preserve"> 深圳公安局光明分局下属单位食堂食材配送服务项目</w:t>
      </w:r>
      <w:r>
        <w:rPr>
          <w:rFonts w:hint="eastAsia" w:ascii="宋体" w:hAnsi="宋体" w:eastAsia="宋体"/>
          <w:szCs w:val="21"/>
        </w:rPr>
        <w:t xml:space="preserve"> ，属于</w:t>
      </w:r>
      <w:r>
        <w:rPr>
          <w:rFonts w:hint="eastAsia" w:ascii="宋体" w:hAnsi="宋体" w:eastAsia="宋体"/>
          <w:szCs w:val="21"/>
          <w:lang w:val="en-US" w:eastAsia="zh-CN"/>
        </w:rPr>
        <w:t>批发业</w:t>
      </w:r>
      <w:r>
        <w:rPr>
          <w:rFonts w:hint="eastAsia" w:ascii="宋体" w:hAnsi="宋体" w:eastAsia="宋体"/>
          <w:szCs w:val="21"/>
        </w:rPr>
        <w:t>行业；承接企业为</w:t>
      </w:r>
      <w:r>
        <w:rPr>
          <w:rFonts w:hint="eastAsia" w:ascii="宋体" w:hAnsi="宋体" w:eastAsia="宋体"/>
          <w:b/>
          <w:bCs/>
          <w:szCs w:val="21"/>
          <w:u w:val="single"/>
        </w:rPr>
        <w:t>（企业名称）</w:t>
      </w:r>
      <w:r>
        <w:rPr>
          <w:rFonts w:hint="eastAsia" w:ascii="宋体" w:hAnsi="宋体" w:eastAsia="宋体"/>
          <w:szCs w:val="21"/>
        </w:rPr>
        <w:t>，从业人员</w:t>
      </w:r>
      <w:r>
        <w:rPr>
          <w:rFonts w:hint="eastAsia" w:ascii="宋体" w:hAnsi="宋体" w:eastAsia="宋体"/>
          <w:szCs w:val="21"/>
          <w:u w:val="single"/>
          <w:lang w:val="en-US" w:eastAsia="zh-CN"/>
        </w:rPr>
        <w:t xml:space="preserve">    </w:t>
      </w:r>
      <w:r>
        <w:rPr>
          <w:rFonts w:hint="eastAsia" w:ascii="宋体" w:hAnsi="宋体" w:eastAsia="宋体"/>
          <w:szCs w:val="21"/>
        </w:rPr>
        <w:t>人，营业收入为</w:t>
      </w:r>
      <w:r>
        <w:rPr>
          <w:rFonts w:hint="eastAsia" w:ascii="宋体" w:hAnsi="宋体" w:eastAsia="宋体"/>
          <w:szCs w:val="21"/>
          <w:u w:val="single"/>
          <w:lang w:val="en-US" w:eastAsia="zh-CN"/>
        </w:rPr>
        <w:t xml:space="preserve">   </w:t>
      </w:r>
      <w:r>
        <w:rPr>
          <w:rFonts w:hint="eastAsia" w:ascii="宋体" w:hAnsi="宋体" w:eastAsia="宋体"/>
          <w:szCs w:val="21"/>
        </w:rPr>
        <w:t>万元，资产总额为</w:t>
      </w:r>
      <w:r>
        <w:rPr>
          <w:rFonts w:hint="eastAsia" w:ascii="宋体" w:hAnsi="宋体" w:eastAsia="宋体"/>
          <w:szCs w:val="21"/>
          <w:u w:val="single"/>
          <w:lang w:val="en-US" w:eastAsia="zh-CN"/>
        </w:rPr>
        <w:t xml:space="preserve">   </w:t>
      </w:r>
      <w:r>
        <w:rPr>
          <w:rFonts w:hint="eastAsia" w:ascii="宋体" w:hAnsi="宋体" w:eastAsia="宋体"/>
          <w:szCs w:val="21"/>
        </w:rPr>
        <w:t>万元 ，属于</w:t>
      </w:r>
      <w:r>
        <w:rPr>
          <w:rFonts w:hint="eastAsia" w:ascii="宋体" w:hAnsi="宋体" w:eastAsia="宋体"/>
          <w:b/>
          <w:bCs/>
          <w:szCs w:val="21"/>
          <w:u w:val="single"/>
        </w:rPr>
        <w:t>（中型企业、小型企业、微型企业）</w:t>
      </w:r>
      <w:r>
        <w:rPr>
          <w:rFonts w:hint="eastAsia" w:ascii="宋体" w:hAnsi="宋体" w:eastAsia="宋体"/>
          <w:szCs w:val="21"/>
        </w:rPr>
        <w:t xml:space="preserve">； </w:t>
      </w:r>
    </w:p>
    <w:p w14:paraId="6DF4A855">
      <w:pPr>
        <w:spacing w:after="60" w:afterLines="25" w:line="300" w:lineRule="auto"/>
        <w:ind w:firstLine="480" w:firstLineChars="200"/>
        <w:rPr>
          <w:rFonts w:ascii="宋体" w:hAnsi="宋体" w:eastAsia="宋体"/>
          <w:szCs w:val="21"/>
        </w:rPr>
      </w:pPr>
      <w:r>
        <w:rPr>
          <w:rFonts w:hint="eastAsia" w:ascii="宋体" w:hAnsi="宋体" w:eastAsia="宋体"/>
          <w:szCs w:val="21"/>
        </w:rPr>
        <w:t>以上企业，不属于大企业的分支机构，不存在控股股东为大企业的情形，也不存在与大企业的负责人为同一人的情形。</w:t>
      </w:r>
    </w:p>
    <w:p w14:paraId="33987F88">
      <w:pPr>
        <w:spacing w:after="60" w:afterLines="25" w:line="300" w:lineRule="auto"/>
        <w:ind w:firstLine="480" w:firstLineChars="200"/>
        <w:rPr>
          <w:rFonts w:ascii="宋体" w:hAnsi="宋体" w:eastAsia="宋体"/>
          <w:szCs w:val="21"/>
        </w:rPr>
      </w:pPr>
      <w:bookmarkStart w:id="37" w:name="_Hlk73562275"/>
      <w:r>
        <w:rPr>
          <w:rFonts w:hint="eastAsia" w:ascii="宋体" w:hAnsi="宋体" w:eastAsia="宋体"/>
          <w:szCs w:val="21"/>
        </w:rPr>
        <w:t>本投标人已知悉《政府采购促进中小企业发展管理办法》（财库〔2020〕46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37"/>
    </w:p>
    <w:p w14:paraId="12E07E5E">
      <w:pPr>
        <w:wordWrap w:val="0"/>
        <w:spacing w:after="60" w:afterLines="25" w:line="300" w:lineRule="auto"/>
        <w:ind w:firstLine="480" w:firstLineChars="200"/>
        <w:jc w:val="right"/>
        <w:rPr>
          <w:rFonts w:ascii="宋体" w:hAnsi="宋体" w:eastAsia="宋体"/>
          <w:szCs w:val="21"/>
        </w:rPr>
      </w:pPr>
      <w:r>
        <w:rPr>
          <w:rFonts w:hint="eastAsia" w:ascii="宋体" w:hAnsi="宋体" w:eastAsia="宋体"/>
          <w:szCs w:val="21"/>
        </w:rPr>
        <w:t xml:space="preserve">     投标人（投标单位）：       </w:t>
      </w:r>
    </w:p>
    <w:p w14:paraId="1B55106B">
      <w:pPr>
        <w:ind w:firstLine="6720" w:firstLineChars="2800"/>
        <w:rPr>
          <w:rFonts w:ascii="宋体" w:hAnsi="宋体"/>
          <w:color w:val="000000" w:themeColor="text1"/>
          <w:szCs w:val="21"/>
          <w14:textFill>
            <w14:solidFill>
              <w14:schemeClr w14:val="tx1"/>
            </w14:solidFill>
          </w14:textFill>
        </w:rPr>
      </w:pPr>
      <w:r>
        <w:rPr>
          <w:rFonts w:hint="eastAsia" w:ascii="宋体" w:hAnsi="宋体" w:eastAsia="宋体"/>
          <w:szCs w:val="21"/>
        </w:rPr>
        <w:t>日期：</w:t>
      </w:r>
    </w:p>
    <w:p w14:paraId="3E9722FF">
      <w:pPr>
        <w:spacing w:after="60" w:afterLines="25" w:line="300" w:lineRule="auto"/>
        <w:ind w:firstLine="482" w:firstLineChars="200"/>
        <w:rPr>
          <w:rFonts w:ascii="Arial" w:hAnsi="Arial" w:eastAsia="宋体"/>
          <w:b/>
          <w:color w:val="FF0000"/>
          <w:highlight w:val="yellow"/>
        </w:rPr>
      </w:pPr>
    </w:p>
    <w:p w14:paraId="77A6258B">
      <w:pPr>
        <w:pStyle w:val="7"/>
      </w:pPr>
    </w:p>
    <w:p w14:paraId="65B10E77"/>
    <w:p w14:paraId="5FFF7317">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b/>
          <w:color w:val="000000" w:themeColor="text1"/>
          <w14:textFill>
            <w14:solidFill>
              <w14:schemeClr w14:val="tx1"/>
            </w14:solidFill>
          </w14:textFill>
        </w:rPr>
      </w:pPr>
    </w:p>
    <w:p w14:paraId="3A9F9D8C">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2、残疾人福利性单位声明函（服务类）</w:t>
      </w:r>
    </w:p>
    <w:p w14:paraId="7121206F">
      <w:pPr>
        <w:rPr>
          <w:b/>
          <w:bCs/>
          <w:color w:val="000000" w:themeColor="text1"/>
          <w14:textFill>
            <w14:solidFill>
              <w14:schemeClr w14:val="tx1"/>
            </w14:solidFill>
          </w14:textFill>
        </w:rPr>
      </w:pPr>
    </w:p>
    <w:p w14:paraId="7A073389">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本投标人郑重声明，根据《财政部民政部中国残疾人联合会关于促进残疾人就业政府采购政策的通知》（财库〔2017〕141 号）的规定，本投标人参加</w:t>
      </w:r>
      <w:r>
        <w:rPr>
          <w:rFonts w:hint="eastAsia" w:asciiTheme="minorEastAsia" w:hAnsiTheme="minorEastAsia"/>
          <w:b/>
          <w:bCs/>
          <w:szCs w:val="21"/>
          <w:u w:val="single"/>
        </w:rPr>
        <w:t>深圳公安局光明分局</w:t>
      </w:r>
      <w:r>
        <w:rPr>
          <w:rFonts w:hint="eastAsia" w:asciiTheme="minorEastAsia" w:hAnsiTheme="minorEastAsia"/>
          <w:szCs w:val="21"/>
        </w:rPr>
        <w:t>的</w:t>
      </w:r>
      <w:r>
        <w:rPr>
          <w:rFonts w:hint="eastAsia" w:asciiTheme="minorEastAsia" w:hAnsiTheme="minorEastAsia"/>
          <w:b/>
          <w:bCs/>
          <w:szCs w:val="21"/>
          <w:u w:val="single"/>
        </w:rPr>
        <w:t>深圳公安局光明分局下属单位食堂食材配送服务项目</w:t>
      </w:r>
      <w:r>
        <w:rPr>
          <w:rFonts w:hint="eastAsia" w:asciiTheme="minorEastAsia" w:hAnsiTheme="minorEastAsia"/>
          <w:szCs w:val="21"/>
        </w:rPr>
        <w:t>采购活动，服务全部由符合政策要求的残疾人福利性单位承接。相关残疾人福利性单位的具体情况如下：</w:t>
      </w:r>
    </w:p>
    <w:p w14:paraId="0FE5E76A">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1.</w:t>
      </w:r>
      <w:r>
        <w:rPr>
          <w:rFonts w:hint="eastAsia" w:asciiTheme="minorEastAsia" w:hAnsiTheme="minorEastAsia"/>
          <w:b/>
          <w:bCs/>
          <w:szCs w:val="21"/>
          <w:u w:val="single"/>
        </w:rPr>
        <w:t xml:space="preserve"> 深圳公安局光明分局下属单位食堂食材配送服务项目</w:t>
      </w:r>
      <w:r>
        <w:rPr>
          <w:rFonts w:hint="eastAsia" w:asciiTheme="minorEastAsia" w:hAnsiTheme="minorEastAsia"/>
          <w:szCs w:val="21"/>
        </w:rPr>
        <w:t>，承接企业为</w:t>
      </w:r>
      <w:r>
        <w:rPr>
          <w:rFonts w:hint="eastAsia" w:asciiTheme="minorEastAsia" w:hAnsiTheme="minorEastAsia"/>
          <w:b/>
          <w:bCs/>
          <w:szCs w:val="21"/>
          <w:u w:val="single"/>
        </w:rPr>
        <w:t>（单位名称）</w:t>
      </w:r>
      <w:r>
        <w:rPr>
          <w:rFonts w:hint="eastAsia" w:asciiTheme="minorEastAsia" w:hAnsiTheme="minorEastAsia"/>
          <w:szCs w:val="21"/>
        </w:rPr>
        <w:t>，属于</w:t>
      </w:r>
      <w:r>
        <w:rPr>
          <w:rFonts w:hint="eastAsia" w:asciiTheme="minorEastAsia" w:hAnsiTheme="minorEastAsia"/>
          <w:b/>
          <w:bCs/>
          <w:szCs w:val="21"/>
          <w:u w:val="single"/>
        </w:rPr>
        <w:t>残疾人福利性单位</w:t>
      </w:r>
      <w:r>
        <w:rPr>
          <w:rFonts w:hint="eastAsia" w:asciiTheme="minorEastAsia" w:hAnsiTheme="minorEastAsia"/>
          <w:szCs w:val="21"/>
        </w:rPr>
        <w:t>；</w:t>
      </w:r>
    </w:p>
    <w:p w14:paraId="5F4C70A9">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本投标人已知悉《财政部民政部中国残疾人联合会关于促进残疾人就业政府采购政策的通知》（财库〔2017〕141 号）的规定，承诺提供的声明函内容是真实的，如提供声明函内容不实，则依法追究相关法律责任。</w:t>
      </w:r>
    </w:p>
    <w:p w14:paraId="62B7EBAA">
      <w:pPr>
        <w:spacing w:after="60" w:afterLines="25" w:line="560" w:lineRule="exact"/>
        <w:ind w:firstLine="480" w:firstLineChars="200"/>
        <w:jc w:val="center"/>
        <w:rPr>
          <w:rFonts w:asciiTheme="minorEastAsia" w:hAnsiTheme="minorEastAsia"/>
        </w:rPr>
      </w:pPr>
    </w:p>
    <w:p w14:paraId="263094EB">
      <w:pPr>
        <w:wordWrap w:val="0"/>
        <w:spacing w:after="60" w:afterLines="25" w:line="300" w:lineRule="auto"/>
        <w:ind w:firstLine="480" w:firstLineChars="200"/>
        <w:jc w:val="right"/>
        <w:rPr>
          <w:rFonts w:asciiTheme="minorEastAsia" w:hAnsiTheme="minorEastAsia"/>
          <w:szCs w:val="21"/>
        </w:rPr>
      </w:pPr>
      <w:r>
        <w:rPr>
          <w:rFonts w:hint="eastAsia" w:asciiTheme="minorEastAsia" w:hAnsiTheme="minorEastAsia"/>
          <w:szCs w:val="21"/>
        </w:rPr>
        <w:t xml:space="preserve">投标人（投标单位）：       </w:t>
      </w:r>
    </w:p>
    <w:p w14:paraId="4575C6B5">
      <w:pPr>
        <w:ind w:firstLine="6720" w:firstLineChars="2800"/>
        <w:rPr>
          <w:rFonts w:ascii="宋体" w:hAnsi="宋体"/>
          <w:color w:val="000000" w:themeColor="text1"/>
          <w:szCs w:val="21"/>
          <w14:textFill>
            <w14:solidFill>
              <w14:schemeClr w14:val="tx1"/>
            </w14:solidFill>
          </w14:textFill>
        </w:rPr>
      </w:pPr>
      <w:r>
        <w:rPr>
          <w:rFonts w:hint="eastAsia" w:asciiTheme="minorEastAsia" w:hAnsiTheme="minorEastAsia"/>
          <w:szCs w:val="21"/>
        </w:rPr>
        <w:t>日期：</w:t>
      </w:r>
    </w:p>
    <w:p w14:paraId="09DB2833">
      <w:pPr>
        <w:ind w:firstLine="480" w:firstLineChars="200"/>
        <w:rPr>
          <w:rFonts w:ascii="宋体" w:hAnsi="宋体"/>
          <w:color w:val="000000" w:themeColor="text1"/>
          <w:szCs w:val="21"/>
          <w14:textFill>
            <w14:solidFill>
              <w14:schemeClr w14:val="tx1"/>
            </w14:solidFill>
          </w14:textFill>
        </w:rPr>
      </w:pPr>
    </w:p>
    <w:p w14:paraId="503E238B">
      <w:pPr>
        <w:ind w:firstLine="480" w:firstLineChars="200"/>
        <w:rPr>
          <w:rFonts w:ascii="宋体" w:hAnsi="宋体"/>
          <w:color w:val="000000" w:themeColor="text1"/>
          <w:szCs w:val="21"/>
          <w14:textFill>
            <w14:solidFill>
              <w14:schemeClr w14:val="tx1"/>
            </w14:solidFill>
          </w14:textFill>
        </w:rPr>
      </w:pPr>
    </w:p>
    <w:p w14:paraId="093EA4B4">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3、监狱企业声明函【服务类，监狱企业如需享受优惠政策，还须另行提供省级以上监狱管理局、戒毒管理局（含新疆生产建设兵团）出具的监狱企业证明文件】</w:t>
      </w:r>
    </w:p>
    <w:p w14:paraId="4D692630">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本投标人郑重声明，根据《财政部司法部关于政府采购支持监狱企业发展有关问题的通知》（财库〔</w:t>
      </w:r>
      <w:r>
        <w:rPr>
          <w:rFonts w:ascii="宋体" w:hAnsi="宋体"/>
          <w:color w:val="000000" w:themeColor="text1"/>
          <w:szCs w:val="21"/>
          <w14:textFill>
            <w14:solidFill>
              <w14:schemeClr w14:val="tx1"/>
            </w14:solidFill>
          </w14:textFill>
        </w:rPr>
        <w:t>2014</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68</w:t>
      </w:r>
      <w:r>
        <w:rPr>
          <w:rFonts w:hint="eastAsia" w:ascii="宋体" w:hAnsi="宋体"/>
          <w:color w:val="000000" w:themeColor="text1"/>
          <w:szCs w:val="21"/>
          <w14:textFill>
            <w14:solidFill>
              <w14:schemeClr w14:val="tx1"/>
            </w14:solidFill>
          </w14:textFill>
        </w:rPr>
        <w:t>号）的规定，本投标人</w:t>
      </w:r>
      <w:r>
        <w:rPr>
          <w:rFonts w:ascii="宋体" w:hAnsi="宋体" w:cstheme="minorBidi"/>
          <w:color w:val="000000" w:themeColor="text1"/>
          <w:szCs w:val="21"/>
          <w14:textFill>
            <w14:solidFill>
              <w14:schemeClr w14:val="tx1"/>
            </w14:solidFill>
          </w14:textFill>
        </w:rPr>
        <w:t>参加</w:t>
      </w:r>
      <w:r>
        <w:rPr>
          <w:rFonts w:hint="eastAsia" w:ascii="宋体" w:hAnsi="宋体"/>
          <w:b/>
          <w:bCs/>
          <w:color w:val="000000" w:themeColor="text1"/>
          <w:szCs w:val="21"/>
          <w:u w:val="single"/>
          <w14:textFill>
            <w14:solidFill>
              <w14:schemeClr w14:val="tx1"/>
            </w14:solidFill>
          </w14:textFill>
        </w:rPr>
        <w:t>深圳公安局光明分局</w:t>
      </w:r>
      <w:r>
        <w:rPr>
          <w:rFonts w:ascii="宋体" w:hAnsi="宋体"/>
          <w:color w:val="000000" w:themeColor="text1"/>
          <w:szCs w:val="21"/>
          <w14:textFill>
            <w14:solidFill>
              <w14:schemeClr w14:val="tx1"/>
            </w14:solidFill>
          </w14:textFill>
        </w:rPr>
        <w:t>的</w:t>
      </w:r>
      <w:r>
        <w:rPr>
          <w:rFonts w:hint="eastAsia" w:ascii="宋体" w:hAnsi="宋体"/>
          <w:b/>
          <w:bCs/>
          <w:color w:val="000000" w:themeColor="text1"/>
          <w:szCs w:val="21"/>
          <w:u w:val="single"/>
          <w14:textFill>
            <w14:solidFill>
              <w14:schemeClr w14:val="tx1"/>
            </w14:solidFill>
          </w14:textFill>
        </w:rPr>
        <w:t>深圳公安局光明分局下属单位食堂食材配送服务项目</w:t>
      </w:r>
      <w:r>
        <w:rPr>
          <w:rFonts w:ascii="宋体" w:hAnsi="宋体"/>
          <w:color w:val="000000" w:themeColor="text1"/>
          <w:szCs w:val="21"/>
          <w14:textFill>
            <w14:solidFill>
              <w14:schemeClr w14:val="tx1"/>
            </w14:solidFill>
          </w14:textFill>
        </w:rPr>
        <w:t>采购活动，</w:t>
      </w:r>
      <w:r>
        <w:rPr>
          <w:rFonts w:hint="eastAsia" w:ascii="宋体" w:hAnsi="宋体"/>
          <w:color w:val="000000" w:themeColor="text1"/>
          <w:szCs w:val="21"/>
          <w14:textFill>
            <w14:solidFill>
              <w14:schemeClr w14:val="tx1"/>
            </w14:solidFill>
          </w14:textFill>
        </w:rPr>
        <w:t>服务</w:t>
      </w:r>
      <w:r>
        <w:rPr>
          <w:rFonts w:ascii="宋体" w:hAnsi="宋体"/>
          <w:color w:val="000000" w:themeColor="text1"/>
          <w:szCs w:val="21"/>
          <w14:textFill>
            <w14:solidFill>
              <w14:schemeClr w14:val="tx1"/>
            </w14:solidFill>
          </w14:textFill>
        </w:rPr>
        <w:t>全部由符合政策要求的</w:t>
      </w:r>
      <w:r>
        <w:rPr>
          <w:rFonts w:hint="eastAsia" w:ascii="宋体" w:hAnsi="宋体"/>
          <w:color w:val="000000" w:themeColor="text1"/>
          <w:szCs w:val="21"/>
          <w14:textFill>
            <w14:solidFill>
              <w14:schemeClr w14:val="tx1"/>
            </w14:solidFill>
          </w14:textFill>
        </w:rPr>
        <w:t>监狱企业承接</w:t>
      </w:r>
      <w:r>
        <w:rPr>
          <w:rFonts w:ascii="宋体" w:hAnsi="宋体"/>
          <w:color w:val="000000" w:themeColor="text1"/>
          <w:szCs w:val="21"/>
          <w14:textFill>
            <w14:solidFill>
              <w14:schemeClr w14:val="tx1"/>
            </w14:solidFill>
          </w14:textFill>
        </w:rPr>
        <w:t>。相关</w:t>
      </w:r>
      <w:r>
        <w:rPr>
          <w:rFonts w:hint="eastAsia" w:ascii="宋体" w:hAnsi="宋体"/>
          <w:color w:val="000000" w:themeColor="text1"/>
          <w:szCs w:val="21"/>
          <w14:textFill>
            <w14:solidFill>
              <w14:schemeClr w14:val="tx1"/>
            </w14:solidFill>
          </w14:textFill>
        </w:rPr>
        <w:t>监狱企业</w:t>
      </w:r>
      <w:r>
        <w:rPr>
          <w:rFonts w:ascii="宋体" w:hAnsi="宋体"/>
          <w:color w:val="000000" w:themeColor="text1"/>
          <w:szCs w:val="21"/>
          <w14:textFill>
            <w14:solidFill>
              <w14:schemeClr w14:val="tx1"/>
            </w14:solidFill>
          </w14:textFill>
        </w:rPr>
        <w:t>的具体情况如下：</w:t>
      </w:r>
    </w:p>
    <w:p w14:paraId="7505A448">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ascii="宋体" w:hAnsi="宋体"/>
          <w:b/>
          <w:bCs/>
          <w:color w:val="000000" w:themeColor="text1"/>
          <w:szCs w:val="21"/>
          <w:u w:val="single"/>
          <w14:textFill>
            <w14:solidFill>
              <w14:schemeClr w14:val="tx1"/>
            </w14:solidFill>
          </w14:textFill>
        </w:rPr>
        <w:t xml:space="preserve"> （标的名称）</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，承接单位</w:t>
      </w:r>
      <w:r>
        <w:rPr>
          <w:rFonts w:ascii="宋体" w:hAnsi="宋体"/>
          <w:color w:val="000000" w:themeColor="text1"/>
          <w:szCs w:val="21"/>
          <w14:textFill>
            <w14:solidFill>
              <w14:schemeClr w14:val="tx1"/>
            </w14:solidFill>
          </w14:textFill>
        </w:rPr>
        <w:t>为</w:t>
      </w:r>
      <w:r>
        <w:rPr>
          <w:rFonts w:ascii="宋体" w:hAnsi="宋体"/>
          <w:b/>
          <w:bCs/>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企业</w:t>
      </w:r>
      <w:r>
        <w:rPr>
          <w:rFonts w:ascii="宋体" w:hAnsi="宋体"/>
          <w:b/>
          <w:bCs/>
          <w:color w:val="000000" w:themeColor="text1"/>
          <w:szCs w:val="21"/>
          <w:u w:val="single"/>
          <w14:textFill>
            <w14:solidFill>
              <w14:schemeClr w14:val="tx1"/>
            </w14:solidFill>
          </w14:textFill>
        </w:rPr>
        <w:t>名称）</w:t>
      </w:r>
      <w:r>
        <w:rPr>
          <w:rFonts w:ascii="宋体" w:hAnsi="宋体"/>
          <w:color w:val="000000" w:themeColor="text1"/>
          <w:szCs w:val="21"/>
          <w14:textFill>
            <w14:solidFill>
              <w14:schemeClr w14:val="tx1"/>
            </w14:solidFill>
          </w14:textFill>
        </w:rPr>
        <w:t>，属于</w:t>
      </w:r>
      <w:r>
        <w:rPr>
          <w:rFonts w:hint="eastAsia" w:ascii="宋体" w:hAnsi="宋体"/>
          <w:b/>
          <w:bCs/>
          <w:color w:val="000000" w:themeColor="text1"/>
          <w:szCs w:val="21"/>
          <w:u w:val="single"/>
          <w14:textFill>
            <w14:solidFill>
              <w14:schemeClr w14:val="tx1"/>
            </w14:solidFill>
          </w14:textFill>
        </w:rPr>
        <w:t>监狱企业</w:t>
      </w:r>
      <w:r>
        <w:rPr>
          <w:rFonts w:ascii="宋体" w:hAnsi="宋体"/>
          <w:color w:val="000000" w:themeColor="text1"/>
          <w:szCs w:val="21"/>
          <w14:textFill>
            <w14:solidFill>
              <w14:schemeClr w14:val="tx1"/>
            </w14:solidFill>
          </w14:textFill>
        </w:rPr>
        <w:t>；</w:t>
      </w:r>
    </w:p>
    <w:p w14:paraId="3141796C">
      <w:pPr>
        <w:ind w:firstLine="480" w:firstLineChars="200"/>
        <w:rPr>
          <w:rFonts w:ascii="宋体" w:hAnsi="宋体"/>
          <w:color w:val="000000" w:themeColor="text1"/>
          <w:szCs w:val="21"/>
          <w14:textFill>
            <w14:solidFill>
              <w14:schemeClr w14:val="tx1"/>
            </w14:solidFill>
          </w14:textFill>
        </w:rPr>
      </w:pPr>
      <w:r>
        <w:rPr>
          <w:rFonts w:ascii="宋体" w:hAnsi="宋体" w:cstheme="minorBidi"/>
          <w:color w:val="000000" w:themeColor="text1"/>
          <w:szCs w:val="21"/>
          <w14:textFill>
            <w14:solidFill>
              <w14:schemeClr w14:val="tx1"/>
            </w14:solidFill>
          </w14:textFill>
        </w:rPr>
        <w:t>本</w:t>
      </w:r>
      <w:r>
        <w:rPr>
          <w:rFonts w:hint="eastAsia" w:ascii="宋体" w:hAnsi="宋体" w:cstheme="minorBidi"/>
          <w:color w:val="000000" w:themeColor="text1"/>
          <w:szCs w:val="21"/>
          <w14:textFill>
            <w14:solidFill>
              <w14:schemeClr w14:val="tx1"/>
            </w14:solidFill>
          </w14:textFill>
        </w:rPr>
        <w:t>投标人</w:t>
      </w:r>
      <w:r>
        <w:rPr>
          <w:rFonts w:ascii="宋体" w:hAnsi="宋体"/>
          <w:color w:val="000000" w:themeColor="text1"/>
          <w:szCs w:val="21"/>
          <w14:textFill>
            <w14:solidFill>
              <w14:schemeClr w14:val="tx1"/>
            </w14:solidFill>
          </w14:textFill>
        </w:rPr>
        <w:t>对上述声明内容的真实性负责。如有虚假，将依法承担相应责任。</w:t>
      </w:r>
    </w:p>
    <w:p w14:paraId="35CE359B">
      <w:pPr>
        <w:ind w:firstLine="480" w:firstLineChars="200"/>
        <w:rPr>
          <w:rFonts w:ascii="宋体" w:hAnsi="宋体"/>
          <w:color w:val="FF0000"/>
          <w:szCs w:val="21"/>
        </w:rPr>
      </w:pPr>
      <w:r>
        <w:rPr>
          <w:rFonts w:hint="eastAsia" w:ascii="宋体" w:hAnsi="宋体"/>
          <w:color w:val="FF0000"/>
          <w:szCs w:val="21"/>
        </w:rPr>
        <w:t>附：省级以上监狱管理局、戒毒管理局（含新疆生产建设兵团）出具的监狱企业证明文件。</w:t>
      </w:r>
    </w:p>
    <w:p w14:paraId="4DAA3C3F">
      <w:pPr>
        <w:ind w:left="723" w:hanging="720" w:hangingChars="300"/>
        <w:rPr>
          <w:b/>
          <w:color w:val="000000" w:themeColor="text1"/>
          <w14:textFill>
            <w14:solidFill>
              <w14:schemeClr w14:val="tx1"/>
            </w14:solidFill>
          </w14:textFill>
        </w:rPr>
      </w:pPr>
    </w:p>
    <w:p w14:paraId="024EE966">
      <w:pPr>
        <w:wordWrap w:val="0"/>
        <w:spacing w:after="60" w:afterLines="25" w:line="300" w:lineRule="auto"/>
        <w:ind w:firstLine="480" w:firstLineChars="200"/>
        <w:jc w:val="right"/>
        <w:rPr>
          <w:rFonts w:asciiTheme="minorEastAsia" w:hAnsiTheme="minorEastAsia"/>
          <w:szCs w:val="21"/>
        </w:rPr>
      </w:pPr>
      <w:r>
        <w:rPr>
          <w:rFonts w:hint="eastAsia" w:asciiTheme="minorEastAsia" w:hAnsiTheme="minorEastAsia"/>
          <w:szCs w:val="21"/>
        </w:rPr>
        <w:t xml:space="preserve">投标人（投标单位）：       </w:t>
      </w:r>
    </w:p>
    <w:p w14:paraId="0D0D891A">
      <w:pPr>
        <w:ind w:firstLine="6720" w:firstLineChars="2800"/>
        <w:rPr>
          <w:rFonts w:ascii="宋体" w:hAnsi="宋体"/>
          <w:color w:val="000000" w:themeColor="text1"/>
          <w:szCs w:val="21"/>
          <w14:textFill>
            <w14:solidFill>
              <w14:schemeClr w14:val="tx1"/>
            </w14:solidFill>
          </w14:textFill>
        </w:rPr>
      </w:pPr>
      <w:r>
        <w:rPr>
          <w:rFonts w:hint="eastAsia" w:asciiTheme="minorEastAsia" w:hAnsiTheme="minorEastAsia"/>
          <w:szCs w:val="21"/>
        </w:rPr>
        <w:t>日期：</w:t>
      </w:r>
    </w:p>
    <w:p w14:paraId="598DBDE1">
      <w:pPr>
        <w:ind w:left="723" w:hanging="720" w:hangingChars="300"/>
        <w:rPr>
          <w:b/>
          <w:color w:val="000000" w:themeColor="text1"/>
          <w14:textFill>
            <w14:solidFill>
              <w14:schemeClr w14:val="tx1"/>
            </w14:solidFill>
          </w14:textFill>
        </w:rPr>
      </w:pPr>
    </w:p>
    <w:p w14:paraId="01469E41">
      <w:pPr>
        <w:rPr>
          <w:rFonts w:eastAsia="黑体"/>
        </w:rPr>
      </w:pPr>
    </w:p>
    <w:p w14:paraId="7541D9FD">
      <w:pPr>
        <w:rPr>
          <w:rFonts w:hint="eastAsia" w:ascii="黑体" w:eastAsia="黑体"/>
          <w:b w:val="0"/>
          <w:sz w:val="24"/>
          <w:szCs w:val="24"/>
        </w:rPr>
      </w:pPr>
      <w:r>
        <w:rPr>
          <w:rFonts w:hint="eastAsia" w:ascii="黑体" w:eastAsia="黑体"/>
          <w:b w:val="0"/>
          <w:sz w:val="24"/>
          <w:szCs w:val="24"/>
        </w:rPr>
        <w:br w:type="page"/>
      </w:r>
    </w:p>
    <w:p w14:paraId="4C55FD37">
      <w:pPr>
        <w:pStyle w:val="4"/>
        <w:jc w:val="center"/>
        <w:rPr>
          <w:rFonts w:ascii="黑体" w:eastAsia="黑体"/>
          <w:b w:val="0"/>
          <w:sz w:val="24"/>
          <w:szCs w:val="24"/>
        </w:rPr>
      </w:pPr>
      <w:r>
        <w:rPr>
          <w:rFonts w:hint="eastAsia" w:ascii="黑体" w:eastAsia="黑体"/>
          <w:b w:val="0"/>
          <w:sz w:val="24"/>
          <w:szCs w:val="24"/>
        </w:rPr>
        <w:t>四、项目详细报价</w:t>
      </w:r>
    </w:p>
    <w:p w14:paraId="16E9A6D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项目名称：深圳公安局光明分局下属单位食堂食材配送服务项目 </w:t>
      </w:r>
    </w:p>
    <w:p w14:paraId="410E059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项目编号：</w:t>
      </w:r>
      <w:r>
        <w:rPr>
          <w:rFonts w:hint="eastAsia" w:ascii="宋体" w:hAnsi="宋体" w:eastAsia="宋体" w:cs="宋体"/>
          <w:color w:val="000000"/>
          <w:sz w:val="21"/>
          <w:szCs w:val="21"/>
          <w:lang w:eastAsia="zh-CN"/>
        </w:rPr>
        <w:t>GMDL2025000017</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3568"/>
        <w:gridCol w:w="1936"/>
        <w:gridCol w:w="1968"/>
      </w:tblGrid>
      <w:tr w14:paraId="198E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2BA5708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094" w:type="pct"/>
            <w:noWrap w:val="0"/>
            <w:vAlign w:val="center"/>
          </w:tcPr>
          <w:p w14:paraId="4965D610">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项目内容</w:t>
            </w:r>
          </w:p>
        </w:tc>
        <w:tc>
          <w:tcPr>
            <w:tcW w:w="1135" w:type="pct"/>
            <w:noWrap w:val="0"/>
            <w:vAlign w:val="center"/>
          </w:tcPr>
          <w:p w14:paraId="35A6C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金额（元）</w:t>
            </w:r>
          </w:p>
        </w:tc>
        <w:tc>
          <w:tcPr>
            <w:tcW w:w="1155" w:type="pct"/>
            <w:noWrap w:val="0"/>
            <w:vAlign w:val="center"/>
          </w:tcPr>
          <w:p w14:paraId="425E3FD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备注</w:t>
            </w:r>
          </w:p>
        </w:tc>
      </w:tr>
      <w:tr w14:paraId="56B8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73F2D45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2094" w:type="pct"/>
            <w:noWrap w:val="0"/>
            <w:vAlign w:val="top"/>
          </w:tcPr>
          <w:p w14:paraId="1E149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35" w:type="pct"/>
            <w:noWrap w:val="0"/>
            <w:vAlign w:val="center"/>
          </w:tcPr>
          <w:p w14:paraId="6CBE450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55" w:type="pct"/>
            <w:noWrap w:val="0"/>
            <w:vAlign w:val="center"/>
          </w:tcPr>
          <w:p w14:paraId="126609D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r>
      <w:tr w14:paraId="06C0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2080462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2094" w:type="pct"/>
            <w:noWrap w:val="0"/>
            <w:vAlign w:val="top"/>
          </w:tcPr>
          <w:p w14:paraId="58D8C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35" w:type="pct"/>
            <w:noWrap w:val="0"/>
            <w:vAlign w:val="center"/>
          </w:tcPr>
          <w:p w14:paraId="12B2F19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55" w:type="pct"/>
            <w:noWrap w:val="0"/>
            <w:vAlign w:val="center"/>
          </w:tcPr>
          <w:p w14:paraId="4425EBF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r>
      <w:tr w14:paraId="7544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4690C29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094" w:type="pct"/>
            <w:noWrap w:val="0"/>
            <w:vAlign w:val="top"/>
          </w:tcPr>
          <w:p w14:paraId="33D6A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35" w:type="pct"/>
            <w:noWrap w:val="0"/>
            <w:vAlign w:val="center"/>
          </w:tcPr>
          <w:p w14:paraId="0D3E2B50">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55" w:type="pct"/>
            <w:noWrap w:val="0"/>
            <w:vAlign w:val="center"/>
          </w:tcPr>
          <w:p w14:paraId="082AF4E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r>
      <w:tr w14:paraId="6D1D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42B7E88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2094" w:type="pct"/>
            <w:noWrap w:val="0"/>
            <w:vAlign w:val="top"/>
          </w:tcPr>
          <w:p w14:paraId="4C869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35" w:type="pct"/>
            <w:noWrap w:val="0"/>
            <w:vAlign w:val="center"/>
          </w:tcPr>
          <w:p w14:paraId="609F599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155" w:type="pct"/>
            <w:noWrap w:val="0"/>
            <w:vAlign w:val="center"/>
          </w:tcPr>
          <w:p w14:paraId="1D5D869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r>
      <w:tr w14:paraId="1924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44" w:type="pct"/>
            <w:gridSpan w:val="3"/>
            <w:noWrap w:val="0"/>
            <w:vAlign w:val="center"/>
          </w:tcPr>
          <w:p w14:paraId="36B222D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000000"/>
                <w:sz w:val="21"/>
                <w:szCs w:val="21"/>
              </w:rPr>
            </w:pPr>
            <w:r>
              <w:rPr>
                <w:rFonts w:hint="eastAsia" w:ascii="宋体" w:hAnsi="宋体" w:eastAsia="宋体" w:cs="宋体"/>
                <w:bCs/>
                <w:color w:val="000000"/>
                <w:sz w:val="21"/>
                <w:szCs w:val="21"/>
              </w:rPr>
              <w:t>投标总价（元）</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ab/>
            </w:r>
          </w:p>
        </w:tc>
        <w:tc>
          <w:tcPr>
            <w:tcW w:w="1155" w:type="pct"/>
            <w:noWrap w:val="0"/>
            <w:vAlign w:val="center"/>
          </w:tcPr>
          <w:p w14:paraId="5C06AFF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000000"/>
                <w:sz w:val="21"/>
                <w:szCs w:val="21"/>
              </w:rPr>
            </w:pPr>
          </w:p>
        </w:tc>
      </w:tr>
    </w:tbl>
    <w:p w14:paraId="004EFB1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注：</w:t>
      </w:r>
    </w:p>
    <w:p w14:paraId="0AFA3F1D">
      <w:pPr>
        <w:keepNext w:val="0"/>
        <w:keepLines w:val="0"/>
        <w:pageBreakBefore w:val="0"/>
        <w:widowControl/>
        <w:tabs>
          <w:tab w:val="left" w:pos="424"/>
        </w:tabs>
        <w:kinsoku/>
        <w:wordWrap/>
        <w:overflowPunct/>
        <w:topLinePunct w:val="0"/>
        <w:autoSpaceDE/>
        <w:autoSpaceDN/>
        <w:bidi w:val="0"/>
        <w:adjustRightInd/>
        <w:snapToGrid/>
        <w:spacing w:line="240" w:lineRule="auto"/>
        <w:jc w:val="left"/>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1.本表格仅为指导性范本，供应商应根据项目具体情况对各分项内容进行调整提供详细分项报价。</w:t>
      </w:r>
    </w:p>
    <w:p w14:paraId="1C47855F">
      <w:pPr>
        <w:keepNext w:val="0"/>
        <w:keepLines w:val="0"/>
        <w:pageBreakBefore w:val="0"/>
        <w:widowControl/>
        <w:tabs>
          <w:tab w:val="left" w:pos="424"/>
        </w:tabs>
        <w:kinsoku/>
        <w:wordWrap/>
        <w:overflowPunct/>
        <w:topLinePunct w:val="0"/>
        <w:autoSpaceDE/>
        <w:autoSpaceDN/>
        <w:bidi w:val="0"/>
        <w:adjustRightInd/>
        <w:snapToGrid/>
        <w:spacing w:line="24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000000"/>
          <w:sz w:val="21"/>
          <w:szCs w:val="21"/>
        </w:rPr>
        <w:t>2.分项报价的汇总价等于“开标一览表”中的</w:t>
      </w:r>
      <w:r>
        <w:rPr>
          <w:rFonts w:hint="eastAsia" w:ascii="宋体" w:hAnsi="宋体" w:eastAsia="宋体" w:cs="宋体"/>
          <w:b/>
          <w:color w:val="auto"/>
          <w:sz w:val="21"/>
          <w:szCs w:val="21"/>
        </w:rPr>
        <w:t>报价总价。</w:t>
      </w:r>
    </w:p>
    <w:p w14:paraId="5BC25D3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
          <w:color w:val="auto"/>
          <w:sz w:val="21"/>
          <w:szCs w:val="21"/>
        </w:rPr>
      </w:pPr>
      <w:r>
        <w:rPr>
          <w:rFonts w:hint="eastAsia" w:ascii="宋体" w:hAnsi="宋体" w:eastAsia="宋体" w:cs="宋体"/>
          <w:b/>
          <w:bCs/>
          <w:color w:val="auto"/>
          <w:sz w:val="21"/>
          <w:szCs w:val="21"/>
        </w:rPr>
        <w:t>3.</w:t>
      </w:r>
      <w:r>
        <w:rPr>
          <w:rFonts w:hint="eastAsia" w:ascii="宋体" w:hAnsi="宋体" w:eastAsia="宋体" w:cs="宋体"/>
          <w:b/>
          <w:color w:val="auto"/>
          <w:sz w:val="21"/>
          <w:szCs w:val="21"/>
        </w:rPr>
        <w:t>如果以上内容无法满足投标人对报价描述，可自行添加包含在价格因素内的一切内容，但不提供详细分项报价将视为没有实质性响应招标文件</w:t>
      </w:r>
      <w:r>
        <w:rPr>
          <w:rFonts w:hint="eastAsia" w:ascii="宋体" w:hAnsi="宋体" w:eastAsia="宋体" w:cs="宋体"/>
          <w:b w:val="0"/>
          <w:color w:val="auto"/>
          <w:sz w:val="21"/>
          <w:szCs w:val="21"/>
        </w:rPr>
        <w:t>。</w:t>
      </w:r>
    </w:p>
    <w:p w14:paraId="1C019B36"/>
    <w:p w14:paraId="3FF50CD4">
      <w:pPr>
        <w:pStyle w:val="4"/>
        <w:jc w:val="center"/>
        <w:rPr>
          <w:bCs w:val="0"/>
          <w:color w:val="000000" w:themeColor="text1"/>
          <w:sz w:val="24"/>
          <w:szCs w:val="24"/>
          <w14:textFill>
            <w14:solidFill>
              <w14:schemeClr w14:val="tx1"/>
            </w14:solidFill>
          </w14:textFill>
        </w:rPr>
      </w:pPr>
      <w:r>
        <w:rPr>
          <w:rFonts w:hint="eastAsia"/>
          <w:bCs w:val="0"/>
          <w:color w:val="000000" w:themeColor="text1"/>
          <w:sz w:val="24"/>
          <w:szCs w:val="24"/>
          <w14:textFill>
            <w14:solidFill>
              <w14:schemeClr w14:val="tx1"/>
            </w14:solidFill>
          </w14:textFill>
        </w:rPr>
        <w:t>五、种植基地面积</w:t>
      </w:r>
    </w:p>
    <w:p w14:paraId="74A8165A">
      <w:pPr>
        <w:pStyle w:val="4"/>
        <w:jc w:val="center"/>
        <w:rPr>
          <w:bCs w:val="0"/>
          <w:color w:val="000000" w:themeColor="text1"/>
          <w:sz w:val="24"/>
          <w:szCs w:val="24"/>
          <w14:textFill>
            <w14:solidFill>
              <w14:schemeClr w14:val="tx1"/>
            </w14:solidFill>
          </w14:textFill>
        </w:rPr>
      </w:pPr>
      <w:r>
        <w:rPr>
          <w:rFonts w:hint="eastAsia"/>
          <w:bCs w:val="0"/>
          <w:sz w:val="24"/>
          <w:szCs w:val="24"/>
        </w:rPr>
        <w:t>六、配送场所面积</w:t>
      </w:r>
    </w:p>
    <w:p w14:paraId="167E9610">
      <w:pPr>
        <w:pStyle w:val="4"/>
        <w:jc w:val="center"/>
        <w:rPr>
          <w:rFonts w:hint="eastAsia"/>
          <w:bCs w:val="0"/>
          <w:sz w:val="24"/>
          <w:szCs w:val="24"/>
        </w:rPr>
      </w:pPr>
      <w:r>
        <w:rPr>
          <w:rFonts w:hint="eastAsia"/>
          <w:bCs w:val="0"/>
          <w:sz w:val="24"/>
          <w:szCs w:val="24"/>
          <w:lang w:val="en-US" w:eastAsia="zh-CN"/>
        </w:rPr>
        <w:t>七、冷库面积</w:t>
      </w:r>
    </w:p>
    <w:p w14:paraId="5B5FE91C">
      <w:pPr>
        <w:pStyle w:val="4"/>
        <w:jc w:val="center"/>
        <w:rPr>
          <w:bCs w:val="0"/>
          <w:sz w:val="24"/>
          <w:szCs w:val="24"/>
        </w:rPr>
      </w:pPr>
      <w:r>
        <w:rPr>
          <w:rFonts w:hint="eastAsia"/>
          <w:bCs w:val="0"/>
          <w:sz w:val="24"/>
          <w:szCs w:val="24"/>
          <w:lang w:val="en-US" w:eastAsia="zh-CN"/>
        </w:rPr>
        <w:t>八</w:t>
      </w:r>
      <w:r>
        <w:rPr>
          <w:rFonts w:hint="eastAsia"/>
          <w:bCs w:val="0"/>
          <w:sz w:val="24"/>
          <w:szCs w:val="24"/>
        </w:rPr>
        <w:t>、</w:t>
      </w:r>
      <w:r>
        <w:rPr>
          <w:rFonts w:hint="eastAsia"/>
          <w:bCs w:val="0"/>
          <w:color w:val="000000" w:themeColor="text1"/>
          <w:sz w:val="24"/>
          <w:szCs w:val="24"/>
          <w14:textFill>
            <w14:solidFill>
              <w14:schemeClr w14:val="tx1"/>
            </w14:solidFill>
          </w14:textFill>
        </w:rPr>
        <w:t>检测实验室情况</w:t>
      </w:r>
    </w:p>
    <w:p w14:paraId="0BFD4A66">
      <w:pPr>
        <w:pStyle w:val="4"/>
        <w:jc w:val="center"/>
        <w:rPr>
          <w:rFonts w:hint="eastAsia"/>
          <w:bCs w:val="0"/>
          <w:sz w:val="24"/>
          <w:szCs w:val="24"/>
          <w:lang w:val="en-US" w:eastAsia="zh-CN"/>
        </w:rPr>
      </w:pPr>
      <w:r>
        <w:rPr>
          <w:rFonts w:hint="eastAsia"/>
          <w:bCs w:val="0"/>
          <w:sz w:val="24"/>
          <w:szCs w:val="24"/>
          <w:lang w:val="en-US" w:eastAsia="zh-CN"/>
        </w:rPr>
        <w:t>九、食品检测保障能力（定量检测）</w:t>
      </w:r>
    </w:p>
    <w:p w14:paraId="4BDCE393">
      <w:pPr>
        <w:pStyle w:val="4"/>
        <w:jc w:val="center"/>
        <w:rPr>
          <w:rFonts w:hint="eastAsia"/>
          <w:bCs w:val="0"/>
          <w:color w:val="000000" w:themeColor="text1"/>
          <w:sz w:val="24"/>
          <w:szCs w:val="24"/>
          <w:lang w:val="en-US" w:eastAsia="zh-CN"/>
          <w14:textFill>
            <w14:solidFill>
              <w14:schemeClr w14:val="tx1"/>
            </w14:solidFill>
          </w14:textFill>
        </w:rPr>
      </w:pPr>
      <w:r>
        <w:rPr>
          <w:rFonts w:hint="eastAsia"/>
          <w:bCs w:val="0"/>
          <w:color w:val="000000" w:themeColor="text1"/>
          <w:sz w:val="24"/>
          <w:szCs w:val="24"/>
          <w:lang w:val="en-US" w:eastAsia="zh-CN"/>
          <w14:textFill>
            <w14:solidFill>
              <w14:schemeClr w14:val="tx1"/>
            </w14:solidFill>
          </w14:textFill>
        </w:rPr>
        <w:t>十、投保情况</w:t>
      </w:r>
    </w:p>
    <w:p w14:paraId="761925A3">
      <w:pPr>
        <w:pStyle w:val="4"/>
        <w:jc w:val="center"/>
        <w:rPr>
          <w:rFonts w:hint="eastAsia"/>
          <w:bCs w:val="0"/>
          <w:color w:val="000000" w:themeColor="text1"/>
          <w:sz w:val="24"/>
          <w:szCs w:val="24"/>
          <w:lang w:val="en-US" w:eastAsia="zh-CN"/>
          <w14:textFill>
            <w14:solidFill>
              <w14:schemeClr w14:val="tx1"/>
            </w14:solidFill>
          </w14:textFill>
        </w:rPr>
      </w:pPr>
      <w:r>
        <w:rPr>
          <w:rFonts w:hint="eastAsia"/>
          <w:bCs w:val="0"/>
          <w:color w:val="000000" w:themeColor="text1"/>
          <w:sz w:val="24"/>
          <w:szCs w:val="24"/>
          <w:lang w:val="en-US" w:eastAsia="zh-CN"/>
          <w14:textFill>
            <w14:solidFill>
              <w14:schemeClr w14:val="tx1"/>
            </w14:solidFill>
          </w14:textFill>
        </w:rPr>
        <w:t>十一、认证体系</w:t>
      </w:r>
    </w:p>
    <w:p w14:paraId="5D4812EB">
      <w:pPr>
        <w:pStyle w:val="4"/>
        <w:jc w:val="center"/>
        <w:rPr>
          <w:rFonts w:hint="eastAsia"/>
          <w:bCs w:val="0"/>
          <w:color w:val="000000" w:themeColor="text1"/>
          <w:sz w:val="24"/>
          <w:szCs w:val="24"/>
          <w:lang w:val="en-US" w:eastAsia="zh-CN"/>
          <w14:textFill>
            <w14:solidFill>
              <w14:schemeClr w14:val="tx1"/>
            </w14:solidFill>
          </w14:textFill>
        </w:rPr>
      </w:pPr>
      <w:r>
        <w:rPr>
          <w:rFonts w:hint="eastAsia"/>
          <w:bCs w:val="0"/>
          <w:color w:val="000000" w:themeColor="text1"/>
          <w:sz w:val="24"/>
          <w:szCs w:val="24"/>
          <w:lang w:val="en-US" w:eastAsia="zh-CN"/>
          <w14:textFill>
            <w14:solidFill>
              <w14:schemeClr w14:val="tx1"/>
            </w14:solidFill>
          </w14:textFill>
        </w:rPr>
        <w:t>十二、类似项目业绩</w:t>
      </w:r>
    </w:p>
    <w:p w14:paraId="3DC9A622">
      <w:pPr>
        <w:pStyle w:val="4"/>
        <w:jc w:val="center"/>
        <w:rPr>
          <w:rFonts w:hint="eastAsia"/>
          <w:bCs w:val="0"/>
          <w:color w:val="000000" w:themeColor="text1"/>
          <w:sz w:val="24"/>
          <w:szCs w:val="24"/>
          <w:lang w:val="en-US" w:eastAsia="zh-CN"/>
          <w14:textFill>
            <w14:solidFill>
              <w14:schemeClr w14:val="tx1"/>
            </w14:solidFill>
          </w14:textFill>
        </w:rPr>
      </w:pPr>
      <w:r>
        <w:rPr>
          <w:rFonts w:hint="eastAsia"/>
          <w:bCs w:val="0"/>
          <w:color w:val="000000" w:themeColor="text1"/>
          <w:sz w:val="24"/>
          <w:szCs w:val="24"/>
          <w:lang w:val="en-US" w:eastAsia="zh-CN"/>
          <w14:textFill>
            <w14:solidFill>
              <w14:schemeClr w14:val="tx1"/>
            </w14:solidFill>
          </w14:textFill>
        </w:rPr>
        <w:t>十三、信息化能力</w:t>
      </w:r>
    </w:p>
    <w:p w14:paraId="14A70B2B">
      <w:pPr>
        <w:pStyle w:val="4"/>
        <w:jc w:val="center"/>
        <w:rPr>
          <w:bCs w:val="0"/>
          <w:color w:val="000000" w:themeColor="text1"/>
          <w:sz w:val="24"/>
          <w:szCs w:val="24"/>
          <w14:textFill>
            <w14:solidFill>
              <w14:schemeClr w14:val="tx1"/>
            </w14:solidFill>
          </w14:textFill>
        </w:rPr>
      </w:pPr>
      <w:r>
        <w:rPr>
          <w:rFonts w:hint="eastAsia"/>
          <w:bCs w:val="0"/>
          <w:color w:val="000000" w:themeColor="text1"/>
          <w:sz w:val="24"/>
          <w:szCs w:val="24"/>
          <w:lang w:val="en-US" w:eastAsia="zh-CN"/>
          <w14:textFill>
            <w14:solidFill>
              <w14:schemeClr w14:val="tx1"/>
            </w14:solidFill>
          </w14:textFill>
        </w:rPr>
        <w:t>十四、</w:t>
      </w:r>
      <w:r>
        <w:rPr>
          <w:rFonts w:hint="eastAsia"/>
          <w:bCs w:val="0"/>
          <w:color w:val="000000" w:themeColor="text1"/>
          <w:sz w:val="24"/>
          <w:szCs w:val="24"/>
          <w14:textFill>
            <w14:solidFill>
              <w14:schemeClr w14:val="tx1"/>
            </w14:solidFill>
          </w14:textFill>
        </w:rPr>
        <w:t>投标人认为需要加以说明的其他公开内容（格式自定）</w:t>
      </w:r>
    </w:p>
    <w:p w14:paraId="42A1D24A">
      <w:pPr>
        <w:rPr>
          <w:rFonts w:eastAsia="黑体"/>
          <w:bCs/>
        </w:rPr>
      </w:pPr>
    </w:p>
    <w:p w14:paraId="3A918AD7">
      <w:pPr>
        <w:rPr>
          <w:color w:val="000000" w:themeColor="text1"/>
          <w14:textFill>
            <w14:solidFill>
              <w14:schemeClr w14:val="tx1"/>
            </w14:solidFill>
          </w14:textFill>
        </w:rPr>
      </w:pPr>
    </w:p>
    <w:p w14:paraId="22B1B989">
      <w:pPr>
        <w:rPr>
          <w:color w:val="000000" w:themeColor="text1"/>
          <w14:textFill>
            <w14:solidFill>
              <w14:schemeClr w14:val="tx1"/>
            </w14:solidFill>
          </w14:textFill>
        </w:rPr>
      </w:pPr>
    </w:p>
    <w:p w14:paraId="0D211DF9">
      <w:pPr>
        <w:ind w:firstLine="1441" w:firstLineChars="600"/>
        <w:rPr>
          <w:b/>
          <w:color w:val="FF0000"/>
        </w:rPr>
      </w:pPr>
      <w:r>
        <w:rPr>
          <w:rFonts w:hint="eastAsia"/>
          <w:b/>
          <w:color w:val="FF0000"/>
        </w:rPr>
        <w:t>（信息公开部分的内容到此为止！以下为信息不公开部分。）</w:t>
      </w:r>
    </w:p>
    <w:p w14:paraId="3B07ABED">
      <w:pPr>
        <w:ind w:firstLine="1441" w:firstLineChars="600"/>
        <w:rPr>
          <w:b/>
          <w:color w:val="FF0000"/>
        </w:rPr>
      </w:pPr>
    </w:p>
    <w:p w14:paraId="744FF4D3">
      <w:pPr>
        <w:ind w:firstLine="1441" w:firstLineChars="600"/>
        <w:rPr>
          <w:b/>
          <w:color w:val="FF0000"/>
        </w:rPr>
      </w:pPr>
    </w:p>
    <w:p w14:paraId="1BFC4D67">
      <w:pPr>
        <w:rPr>
          <w:b/>
          <w:color w:val="FF0000"/>
        </w:rPr>
      </w:pPr>
      <w:r>
        <w:rPr>
          <w:b/>
          <w:color w:val="FF0000"/>
        </w:rPr>
        <w:br w:type="page"/>
      </w:r>
    </w:p>
    <w:p w14:paraId="6EB93AC6">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0160FA66">
      <w:pPr>
        <w:pStyle w:val="4"/>
        <w:jc w:val="center"/>
        <w:rPr>
          <w:rFonts w:ascii="黑体" w:eastAsia="黑体"/>
          <w:b w:val="0"/>
          <w:sz w:val="24"/>
          <w:highlight w:val="none"/>
        </w:rPr>
      </w:pPr>
      <w:r>
        <w:rPr>
          <w:rFonts w:hint="eastAsia" w:ascii="黑体" w:eastAsia="黑体"/>
          <w:bCs w:val="0"/>
          <w:color w:val="000000" w:themeColor="text1"/>
          <w:sz w:val="24"/>
          <w14:textFill>
            <w14:solidFill>
              <w14:schemeClr w14:val="tx1"/>
            </w14:solidFill>
          </w14:textFill>
        </w:rPr>
        <w:t>一、</w:t>
      </w:r>
      <w:bookmarkStart w:id="38" w:name="_Hlk72092499"/>
      <w:r>
        <w:rPr>
          <w:rFonts w:hint="eastAsia" w:ascii="黑体" w:eastAsia="黑体"/>
          <w:b w:val="0"/>
          <w:sz w:val="24"/>
          <w:highlight w:val="none"/>
        </w:rPr>
        <w:t>法定代表人（负责人或</w:t>
      </w:r>
      <w:r>
        <w:rPr>
          <w:rFonts w:hint="eastAsia" w:ascii="黑体" w:eastAsia="黑体"/>
          <w:b w:val="0"/>
          <w:color w:val="4F81BD" w:themeColor="accent1"/>
          <w:sz w:val="24"/>
          <w:highlight w:val="none"/>
          <w14:textFill>
            <w14:solidFill>
              <w14:schemeClr w14:val="accent1"/>
            </w14:solidFill>
          </w14:textFill>
        </w:rPr>
        <w:t>执行事务合伙人</w:t>
      </w:r>
      <w:r>
        <w:rPr>
          <w:rFonts w:hint="eastAsia" w:ascii="黑体" w:eastAsia="黑体"/>
          <w:b w:val="0"/>
          <w:sz w:val="24"/>
          <w:highlight w:val="none"/>
        </w:rPr>
        <w:t>）资格证明书</w:t>
      </w:r>
      <w:bookmarkEnd w:id="38"/>
    </w:p>
    <w:p w14:paraId="774E55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致友和保险经纪有限公司：</w:t>
      </w:r>
    </w:p>
    <w:p w14:paraId="697B0AC1">
      <w:pPr>
        <w:spacing w:line="480" w:lineRule="exact"/>
        <w:rPr>
          <w:rFonts w:hint="eastAsia" w:asciiTheme="minorEastAsia" w:hAnsiTheme="minorEastAsia" w:eastAsiaTheme="minorEastAsia" w:cstheme="minorEastAsia"/>
          <w:sz w:val="24"/>
        </w:rPr>
      </w:pPr>
    </w:p>
    <w:p w14:paraId="4A534C3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单位名称：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p>
    <w:p w14:paraId="7DBD67A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地    址：</w:t>
      </w:r>
      <w:r>
        <w:rPr>
          <w:rFonts w:hint="eastAsia" w:asciiTheme="minorEastAsia" w:hAnsiTheme="minorEastAsia" w:eastAsiaTheme="minorEastAsia" w:cstheme="minorEastAsia"/>
          <w:color w:val="000000"/>
          <w:sz w:val="24"/>
          <w:u w:val="single"/>
          <w:lang w:val="en-US" w:eastAsia="zh-CN"/>
        </w:rPr>
        <w:t xml:space="preserve">                   </w:t>
      </w:r>
    </w:p>
    <w:p w14:paraId="15C5E88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姓    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性别：</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年龄：</w:t>
      </w:r>
      <w:r>
        <w:rPr>
          <w:rFonts w:hint="eastAsia" w:asciiTheme="minorEastAsia" w:hAnsiTheme="minorEastAsia" w:eastAsiaTheme="minorEastAsia" w:cstheme="minorEastAsia"/>
          <w:color w:val="000000"/>
          <w:sz w:val="24"/>
          <w:u w:val="single"/>
          <w:lang w:val="en-US" w:eastAsia="zh-CN"/>
        </w:rPr>
        <w:t xml:space="preserve">          </w:t>
      </w:r>
    </w:p>
    <w:p w14:paraId="16E6D7A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身份证号码：</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职务：</w:t>
      </w:r>
      <w:r>
        <w:rPr>
          <w:rFonts w:hint="eastAsia" w:asciiTheme="minorEastAsia" w:hAnsiTheme="minorEastAsia" w:eastAsiaTheme="minorEastAsia" w:cstheme="minorEastAsia"/>
          <w:color w:val="000000"/>
          <w:sz w:val="24"/>
          <w:u w:val="single"/>
          <w:lang w:val="en-US" w:eastAsia="zh-CN"/>
        </w:rPr>
        <w:t xml:space="preserve">                   </w:t>
      </w:r>
    </w:p>
    <w:p w14:paraId="241FFD5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联系电话或手机号码</w:t>
      </w:r>
      <w:r>
        <w:rPr>
          <w:rFonts w:hint="eastAsia" w:asciiTheme="minorEastAsia" w:hAnsiTheme="minorEastAsia" w:eastAsiaTheme="minorEastAsia" w:cstheme="minorEastAsia"/>
          <w:color w:val="000000"/>
          <w:sz w:val="24"/>
          <w:highlight w:val="yellow"/>
          <w:u w:val="single"/>
          <w:lang w:val="en-US" w:eastAsia="zh-CN"/>
        </w:rPr>
        <w:t>：（如法定代表人为投标人代表，则必须需填写此项）</w:t>
      </w:r>
      <w:r>
        <w:rPr>
          <w:rFonts w:hint="eastAsia" w:asciiTheme="minorEastAsia" w:hAnsiTheme="minorEastAsia" w:eastAsiaTheme="minorEastAsia" w:cstheme="minorEastAsia"/>
          <w:color w:val="000000"/>
          <w:sz w:val="24"/>
          <w:highlight w:val="yellow"/>
          <w:lang w:val="en-US" w:eastAsia="zh-CN"/>
        </w:rPr>
        <w:t>。</w:t>
      </w:r>
    </w:p>
    <w:p w14:paraId="06205DB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我系</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投标人名称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的法定代表人（</w:t>
      </w:r>
      <w:r>
        <w:rPr>
          <w:rFonts w:hint="eastAsia" w:asciiTheme="minorEastAsia" w:hAnsiTheme="minorEastAsia" w:eastAsiaTheme="minorEastAsia" w:cstheme="minorEastAsia"/>
          <w:color w:val="000000"/>
          <w:sz w:val="24"/>
          <w:lang w:eastAsia="zh-CN"/>
        </w:rPr>
        <w:t>负责人或执行事务合伙人</w:t>
      </w:r>
      <w:r>
        <w:rPr>
          <w:rFonts w:hint="eastAsia" w:asciiTheme="minorEastAsia" w:hAnsiTheme="minorEastAsia" w:eastAsiaTheme="minorEastAsia" w:cstheme="minorEastAsia"/>
          <w:color w:val="000000"/>
          <w:sz w:val="24"/>
        </w:rPr>
        <w:t>）。本证明书用于</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lang w:eastAsia="zh-CN"/>
        </w:rPr>
        <w:t>投标人</w:t>
      </w:r>
      <w:r>
        <w:rPr>
          <w:rFonts w:hint="eastAsia" w:asciiTheme="minorEastAsia" w:hAnsiTheme="minorEastAsia" w:eastAsiaTheme="minorEastAsia" w:cstheme="minorEastAsia"/>
          <w:color w:val="000000"/>
          <w:sz w:val="24"/>
          <w:u w:val="single"/>
        </w:rPr>
        <w:t>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签署</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lang w:eastAsia="zh-CN"/>
        </w:rPr>
        <w:t>深圳公安局光明分局下属单位食堂食材配送服务项目</w:t>
      </w:r>
      <w:r>
        <w:rPr>
          <w:rFonts w:hint="eastAsia" w:asciiTheme="minorEastAsia" w:hAnsiTheme="minorEastAsia" w:eastAsiaTheme="minorEastAsia" w:cstheme="minorEastAsia"/>
          <w:color w:val="000000"/>
          <w:sz w:val="24"/>
          <w:u w:val="single"/>
        </w:rPr>
        <w:t>（项目编号</w:t>
      </w:r>
      <w:r>
        <w:rPr>
          <w:rFonts w:hint="eastAsia" w:asciiTheme="minorEastAsia" w:hAnsiTheme="minorEastAsia" w:eastAsiaTheme="minorEastAsia" w:cstheme="minorEastAsia"/>
          <w:color w:val="000000"/>
          <w:sz w:val="24"/>
          <w:u w:val="single"/>
          <w:lang w:eastAsia="zh-CN"/>
        </w:rPr>
        <w:t>：GMDL2025000017</w:t>
      </w:r>
      <w:r>
        <w:rPr>
          <w:rFonts w:hint="eastAsia" w:asciiTheme="minorEastAsia" w:hAnsiTheme="minorEastAsia" w:eastAsiaTheme="minorEastAsia" w:cstheme="minorEastAsia"/>
          <w:color w:val="000000"/>
          <w:sz w:val="24"/>
          <w:u w:val="single"/>
        </w:rPr>
        <w:t>）</w:t>
      </w:r>
      <w:r>
        <w:rPr>
          <w:rFonts w:hint="eastAsia" w:asciiTheme="minorEastAsia" w:hAnsiTheme="minorEastAsia" w:eastAsiaTheme="minorEastAsia" w:cstheme="minorEastAsia"/>
          <w:color w:val="000000"/>
          <w:sz w:val="24"/>
        </w:rPr>
        <w:t>项目的投标文件、进行合同投标、签署合同和处理与之有关的一切事务。</w:t>
      </w:r>
    </w:p>
    <w:p w14:paraId="79A99C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特此证明。</w:t>
      </w:r>
    </w:p>
    <w:p w14:paraId="5979DE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  期：</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p>
    <w:p w14:paraId="39BEE31F">
      <w:pPr>
        <w:spacing w:line="360" w:lineRule="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109855</wp:posOffset>
                </wp:positionV>
                <wp:extent cx="2830830" cy="1920875"/>
                <wp:effectExtent l="5080" t="4445" r="21590" b="17780"/>
                <wp:wrapNone/>
                <wp:docPr id="5" name="文本框 5"/>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A4B23D">
                            <w:pPr>
                              <w:widowControl/>
                              <w:jc w:val="left"/>
                              <w:rPr>
                                <w:rFonts w:ascii="宋体" w:hAnsi="宋体" w:cs="宋体"/>
                                <w:kern w:val="0"/>
                                <w:sz w:val="24"/>
                              </w:rPr>
                            </w:pPr>
                          </w:p>
                          <w:p w14:paraId="61E16A8C">
                            <w:pPr>
                              <w:widowControl/>
                              <w:jc w:val="left"/>
                            </w:pPr>
                          </w:p>
                          <w:p w14:paraId="17A69E73">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14DF2BFB">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8.65pt;height:151.25pt;width:222.9pt;z-index:251659264;mso-width-relative:page;mso-height-relative:page;" fillcolor="#FFFFFF" filled="t" stroked="t" coordsize="21600,21600" o:gfxdata="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Mnmr1QAAAAcBAAAPAAAAAAAAAAEAIAAAACIAAABkcnMvZG93bnJldi54bWxQSwEC&#10;FAAUAAAACACHTuJAFt58ZDACAAB4BAAADgAAAAAAAAABACAAAAAkAQAAZHJzL2Uyb0RvYy54bWxQ&#10;SwUGAAAAAAYABgBZAQAAxgUAAAAA&#10;">
                <v:fill on="t" focussize="0,0"/>
                <v:stroke color="#000000" joinstyle="miter"/>
                <v:imagedata o:title=""/>
                <o:lock v:ext="edit" aspectratio="f"/>
                <v:textbox>
                  <w:txbxContent>
                    <w:p w14:paraId="4BA4B23D">
                      <w:pPr>
                        <w:widowControl/>
                        <w:jc w:val="left"/>
                        <w:rPr>
                          <w:rFonts w:ascii="宋体" w:hAnsi="宋体" w:cs="宋体"/>
                          <w:kern w:val="0"/>
                          <w:sz w:val="24"/>
                        </w:rPr>
                      </w:pPr>
                    </w:p>
                    <w:p w14:paraId="61E16A8C">
                      <w:pPr>
                        <w:widowControl/>
                        <w:jc w:val="left"/>
                      </w:pPr>
                    </w:p>
                    <w:p w14:paraId="17A69E73">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14DF2BFB">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v:textbox>
              </v:shape>
            </w:pict>
          </mc:Fallback>
        </mc:AlternateContent>
      </w:r>
    </w:p>
    <w:p w14:paraId="6698D4B3">
      <w:pPr>
        <w:spacing w:line="360" w:lineRule="auto"/>
        <w:rPr>
          <w:rFonts w:hint="eastAsia" w:asciiTheme="minorEastAsia" w:hAnsiTheme="minorEastAsia" w:eastAsiaTheme="minorEastAsia" w:cstheme="minorEastAsia"/>
          <w:bCs/>
          <w:color w:val="000000"/>
          <w:sz w:val="24"/>
        </w:rPr>
      </w:pPr>
    </w:p>
    <w:p w14:paraId="31A7281E">
      <w:pPr>
        <w:spacing w:line="360" w:lineRule="auto"/>
        <w:rPr>
          <w:rFonts w:hint="eastAsia" w:asciiTheme="minorEastAsia" w:hAnsiTheme="minorEastAsia" w:eastAsiaTheme="minorEastAsia" w:cstheme="minorEastAsia"/>
          <w:bCs/>
          <w:color w:val="000000"/>
          <w:sz w:val="24"/>
        </w:rPr>
      </w:pPr>
    </w:p>
    <w:p w14:paraId="4C076DB9">
      <w:pPr>
        <w:spacing w:line="360" w:lineRule="auto"/>
        <w:rPr>
          <w:rFonts w:hint="eastAsia" w:asciiTheme="minorEastAsia" w:hAnsiTheme="minorEastAsia" w:eastAsiaTheme="minorEastAsia" w:cstheme="minorEastAsia"/>
          <w:bCs/>
          <w:color w:val="000000"/>
          <w:sz w:val="24"/>
        </w:rPr>
      </w:pPr>
    </w:p>
    <w:p w14:paraId="47539C24">
      <w:pPr>
        <w:rPr>
          <w:rFonts w:hint="eastAsia" w:asciiTheme="minorEastAsia" w:hAnsiTheme="minorEastAsia" w:eastAsiaTheme="minorEastAsia" w:cstheme="minorEastAsia"/>
          <w:color w:val="000000"/>
          <w:sz w:val="24"/>
        </w:rPr>
      </w:pPr>
    </w:p>
    <w:p w14:paraId="6FA9B9E0">
      <w:pPr>
        <w:rPr>
          <w:rFonts w:hint="eastAsia" w:asciiTheme="minorEastAsia" w:hAnsiTheme="minorEastAsia" w:eastAsiaTheme="minorEastAsia" w:cstheme="minorEastAsia"/>
          <w:color w:val="000000"/>
          <w:sz w:val="24"/>
        </w:rPr>
      </w:pPr>
    </w:p>
    <w:p w14:paraId="52837E55">
      <w:pPr>
        <w:spacing w:after="60"/>
        <w:rPr>
          <w:rFonts w:hint="eastAsia" w:asciiTheme="minorEastAsia" w:hAnsiTheme="minorEastAsia" w:eastAsiaTheme="minorEastAsia" w:cstheme="minorEastAsia"/>
          <w:color w:val="000000"/>
          <w:sz w:val="24"/>
        </w:rPr>
      </w:pPr>
    </w:p>
    <w:p w14:paraId="69A24D83">
      <w:pPr>
        <w:rPr>
          <w:rFonts w:hint="eastAsia" w:asciiTheme="minorEastAsia" w:hAnsiTheme="minorEastAsia" w:eastAsiaTheme="minorEastAsia" w:cstheme="minorEastAsia"/>
          <w:color w:val="000000"/>
          <w:sz w:val="24"/>
        </w:rPr>
      </w:pPr>
    </w:p>
    <w:p w14:paraId="536E3FE1">
      <w:pPr>
        <w:jc w:val="center"/>
        <w:rPr>
          <w:rFonts w:hint="eastAsia" w:asciiTheme="minorEastAsia" w:hAnsiTheme="minorEastAsia" w:eastAsiaTheme="minorEastAsia" w:cstheme="minorEastAsia"/>
          <w:b/>
          <w:bCs/>
          <w:color w:val="000000"/>
          <w:sz w:val="24"/>
        </w:rPr>
      </w:pP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60288" behindDoc="0" locked="0" layoutInCell="1" allowOverlap="1">
                <wp:simplePos x="0" y="0"/>
                <wp:positionH relativeFrom="column">
                  <wp:posOffset>2999740</wp:posOffset>
                </wp:positionH>
                <wp:positionV relativeFrom="paragraph">
                  <wp:posOffset>-1909445</wp:posOffset>
                </wp:positionV>
                <wp:extent cx="2782570" cy="1920875"/>
                <wp:effectExtent l="5080" t="4445" r="12700" b="17780"/>
                <wp:wrapNone/>
                <wp:docPr id="2" name="文本框 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7AFEFE">
                            <w:pPr>
                              <w:widowControl/>
                              <w:jc w:val="left"/>
                              <w:rPr>
                                <w:rFonts w:ascii="宋体" w:hAnsi="宋体" w:cs="宋体"/>
                                <w:kern w:val="0"/>
                                <w:sz w:val="24"/>
                              </w:rPr>
                            </w:pPr>
                          </w:p>
                          <w:p w14:paraId="1DD07E6B">
                            <w:pPr>
                              <w:widowControl/>
                              <w:jc w:val="left"/>
                            </w:pPr>
                          </w:p>
                          <w:p w14:paraId="72FA4A9B">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4CBAC21B">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150.35pt;height:151.25pt;width:219.1pt;z-index:251660288;mso-width-relative:page;mso-height-relative:page;" fillcolor="#FFFFFF" filled="t" stroked="t" coordsize="21600,21600" o:gfxdata="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OIGl2QAAAAoBAAAPAAAAAAAAAAEAIAAAACIAAABkcnMvZG93bnJldi54bWxQ&#10;SwECFAAUAAAACACHTuJA0Ql06i8CAAB4BAAADgAAAAAAAAABACAAAAAoAQAAZHJzL2Uyb0RvYy54&#10;bWxQSwUGAAAAAAYABgBZAQAAyQUAAAAA&#10;">
                <v:fill on="t" focussize="0,0"/>
                <v:stroke color="#000000" joinstyle="miter"/>
                <v:imagedata o:title=""/>
                <o:lock v:ext="edit" aspectratio="f"/>
                <v:textbox>
                  <w:txbxContent>
                    <w:p w14:paraId="097AFEFE">
                      <w:pPr>
                        <w:widowControl/>
                        <w:jc w:val="left"/>
                        <w:rPr>
                          <w:rFonts w:ascii="宋体" w:hAnsi="宋体" w:cs="宋体"/>
                          <w:kern w:val="0"/>
                          <w:sz w:val="24"/>
                        </w:rPr>
                      </w:pPr>
                    </w:p>
                    <w:p w14:paraId="1DD07E6B">
                      <w:pPr>
                        <w:widowControl/>
                        <w:jc w:val="left"/>
                      </w:pPr>
                    </w:p>
                    <w:p w14:paraId="72FA4A9B">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4CBAC21B">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v:textbox>
              </v:shape>
            </w:pict>
          </mc:Fallback>
        </mc:AlternateContent>
      </w:r>
    </w:p>
    <w:p w14:paraId="06D1FFE4">
      <w:pPr>
        <w:snapToGrid w:val="0"/>
        <w:ind w:left="840" w:hanging="840" w:hangingChars="3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说明：</w:t>
      </w:r>
    </w:p>
    <w:p w14:paraId="0A48C4EB">
      <w:pPr>
        <w:snapToGrid w:val="0"/>
        <w:ind w:firstLine="480" w:firstLineChars="200"/>
        <w:rPr>
          <w:rFonts w:hint="eastAsia" w:asciiTheme="minorEastAsia" w:hAnsiTheme="minorEastAsia" w:eastAsiaTheme="minorEastAsia" w:cstheme="minorEastAsia"/>
          <w:bCs/>
          <w:color w:val="000000"/>
          <w:sz w:val="24"/>
          <w:lang w:eastAsia="zh-CN"/>
        </w:rPr>
      </w:pPr>
      <w:r>
        <w:rPr>
          <w:rFonts w:hint="eastAsia" w:asciiTheme="minorEastAsia" w:hAnsiTheme="minorEastAsia" w:eastAsiaTheme="minorEastAsia" w:cstheme="minorEastAsia"/>
          <w:bCs/>
          <w:color w:val="000000"/>
          <w:sz w:val="24"/>
        </w:rPr>
        <w:t>1.</w:t>
      </w:r>
      <w:r>
        <w:rPr>
          <w:rFonts w:hint="eastAsia"/>
          <w:szCs w:val="21"/>
          <w:highlight w:val="none"/>
        </w:rPr>
        <w:t>法定代表人（负责人或</w:t>
      </w:r>
      <w:r>
        <w:rPr>
          <w:rFonts w:hint="eastAsia"/>
          <w:color w:val="4F81BD" w:themeColor="accent1"/>
          <w:szCs w:val="21"/>
          <w:highlight w:val="none"/>
          <w14:textFill>
            <w14:solidFill>
              <w14:schemeClr w14:val="accent1"/>
            </w14:solidFill>
          </w14:textFill>
        </w:rPr>
        <w:t>执行事务合伙人</w:t>
      </w:r>
      <w:r>
        <w:rPr>
          <w:rFonts w:hint="eastAsia"/>
          <w:szCs w:val="21"/>
          <w:highlight w:val="none"/>
        </w:rPr>
        <w:t>）为投标人（企业事业单位、国家机关、社会团体）的主要行政负责人。</w:t>
      </w:r>
      <w:r>
        <w:rPr>
          <w:rFonts w:hint="eastAsia" w:asciiTheme="minorEastAsia" w:hAnsiTheme="minorEastAsia" w:eastAsiaTheme="minorEastAsia" w:cstheme="minorEastAsia"/>
          <w:bCs/>
          <w:color w:val="000000"/>
          <w:sz w:val="24"/>
        </w:rPr>
        <w:t>须提供法定代表人（</w:t>
      </w:r>
      <w:r>
        <w:rPr>
          <w:rFonts w:hint="eastAsia" w:asciiTheme="minorEastAsia" w:hAnsiTheme="minorEastAsia" w:eastAsiaTheme="minorEastAsia" w:cstheme="minorEastAsia"/>
          <w:bCs/>
          <w:color w:val="000000"/>
          <w:sz w:val="24"/>
          <w:lang w:eastAsia="zh-CN"/>
        </w:rPr>
        <w:t>负责人或执行事务合伙人</w:t>
      </w:r>
      <w:r>
        <w:rPr>
          <w:rFonts w:hint="eastAsia" w:asciiTheme="minorEastAsia" w:hAnsiTheme="minorEastAsia" w:eastAsiaTheme="minorEastAsia" w:cstheme="minorEastAsia"/>
          <w:bCs/>
          <w:color w:val="000000"/>
          <w:sz w:val="24"/>
        </w:rPr>
        <w:t>）的身份证</w:t>
      </w:r>
      <w:r>
        <w:rPr>
          <w:rFonts w:hint="eastAsia" w:asciiTheme="minorEastAsia" w:hAnsiTheme="minorEastAsia" w:eastAsiaTheme="minorEastAsia" w:cstheme="minorEastAsia"/>
          <w:bCs/>
          <w:color w:val="000000"/>
          <w:sz w:val="24"/>
          <w:lang w:eastAsia="zh-CN"/>
        </w:rPr>
        <w:t>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；港澳台居民可提供来往通行证扫描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；非中国国籍管辖范围人员，可提供公安部门认可的身份证明材料扫描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w:t>
      </w:r>
    </w:p>
    <w:p w14:paraId="696B5D56">
      <w:pPr>
        <w:snapToGrid w:val="0"/>
        <w:ind w:firstLine="480" w:firstLineChars="200"/>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2.招投标文件中涉及需法定代表人之处，非法人组织可由负责人或执行事务合伙人执行。</w:t>
      </w:r>
    </w:p>
    <w:p w14:paraId="5EA5E8F2">
      <w:pPr>
        <w:snapToGrid w:val="0"/>
        <w:ind w:firstLine="480" w:firstLineChars="200"/>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3.如是法定代表人（负责人或执行事务合伙人）直接参与投标，必须填写《法定代表人（负责人或执行事务合伙人）资格证明书》，可不用填写《法定代表人（负责人或执行事务合伙人）授权书》。</w:t>
      </w:r>
    </w:p>
    <w:p w14:paraId="42168BF9">
      <w:pPr>
        <w:pStyle w:val="7"/>
        <w:rPr>
          <w:rFonts w:hint="eastAsia"/>
          <w:szCs w:val="21"/>
          <w:highlight w:val="none"/>
          <w:lang w:val="en-US" w:eastAsia="zh-CN"/>
        </w:rPr>
      </w:pPr>
      <w:r>
        <w:rPr>
          <w:rFonts w:hint="eastAsia" w:eastAsia="宋体"/>
          <w:szCs w:val="21"/>
          <w:highlight w:val="none"/>
          <w:lang w:val="en-US" w:eastAsia="zh-CN"/>
        </w:rPr>
        <w:t>4.</w:t>
      </w:r>
      <w:r>
        <w:rPr>
          <w:rFonts w:hint="eastAsia"/>
          <w:szCs w:val="21"/>
          <w:highlight w:val="none"/>
        </w:rPr>
        <w:t>内容必须填写真实、清</w:t>
      </w:r>
      <w:r>
        <w:rPr>
          <w:rFonts w:hint="eastAsia"/>
          <w:szCs w:val="21"/>
          <w:highlight w:val="none"/>
          <w:lang w:val="en-US" w:eastAsia="zh-CN"/>
        </w:rPr>
        <w:t>楚，涂改无效，不得转让、买卖。</w:t>
      </w:r>
    </w:p>
    <w:p w14:paraId="19196A00">
      <w:pPr>
        <w:pStyle w:val="7"/>
        <w:rPr>
          <w:b/>
          <w:bCs/>
          <w:color w:val="FF0000"/>
        </w:rPr>
      </w:pPr>
      <w:r>
        <w:rPr>
          <w:rFonts w:hint="eastAsia"/>
          <w:b/>
          <w:bCs/>
          <w:color w:val="FF0000"/>
        </w:rPr>
        <w:t>温馨提示</w:t>
      </w:r>
      <w:r>
        <w:rPr>
          <w:rFonts w:hint="eastAsia" w:eastAsia="宋体"/>
          <w:b/>
          <w:bCs/>
          <w:color w:val="FF0000"/>
          <w:lang w:eastAsia="zh-CN"/>
        </w:rPr>
        <w:t>：</w:t>
      </w:r>
      <w:r>
        <w:rPr>
          <w:rFonts w:hint="eastAsia"/>
          <w:b/>
          <w:bCs/>
          <w:color w:val="FF0000"/>
        </w:rPr>
        <w:t>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5710BE81"/>
    <w:p w14:paraId="1296C14B">
      <w:pPr>
        <w:rPr>
          <w:rFonts w:hint="eastAsia" w:ascii="黑体" w:eastAsia="黑体"/>
          <w:b w:val="0"/>
          <w:sz w:val="24"/>
          <w:highlight w:val="none"/>
        </w:rPr>
      </w:pPr>
      <w:r>
        <w:rPr>
          <w:rFonts w:hint="eastAsia" w:ascii="黑体" w:eastAsia="黑体"/>
          <w:b w:val="0"/>
          <w:sz w:val="24"/>
          <w:highlight w:val="none"/>
        </w:rPr>
        <w:br w:type="page"/>
      </w:r>
    </w:p>
    <w:p w14:paraId="50E1EA7B">
      <w:pPr>
        <w:pStyle w:val="4"/>
        <w:spacing w:before="120" w:after="120"/>
        <w:jc w:val="center"/>
        <w:rPr>
          <w:rFonts w:ascii="黑体" w:eastAsia="黑体"/>
          <w:b w:val="0"/>
          <w:sz w:val="24"/>
          <w:highlight w:val="none"/>
        </w:rPr>
      </w:pPr>
      <w:r>
        <w:rPr>
          <w:rFonts w:hint="eastAsia" w:ascii="黑体" w:eastAsia="黑体"/>
          <w:b w:val="0"/>
          <w:sz w:val="24"/>
          <w:highlight w:val="none"/>
        </w:rPr>
        <w:t>二、投标文件签署授权委托书</w:t>
      </w:r>
    </w:p>
    <w:p w14:paraId="1628C5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致友和保险经纪有限公司：</w:t>
      </w:r>
    </w:p>
    <w:p w14:paraId="65E4146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本授权委托书声明：我</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姓名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系</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投标人名称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的法定代表人（</w:t>
      </w:r>
      <w:r>
        <w:rPr>
          <w:rFonts w:hint="eastAsia" w:asciiTheme="minorEastAsia" w:hAnsiTheme="minorEastAsia" w:eastAsiaTheme="minorEastAsia" w:cstheme="minorEastAsia"/>
          <w:color w:val="000000"/>
          <w:sz w:val="24"/>
          <w:lang w:eastAsia="zh-CN"/>
        </w:rPr>
        <w:t>负责人或执行事务合伙人</w:t>
      </w:r>
      <w:r>
        <w:rPr>
          <w:rFonts w:hint="eastAsia" w:asciiTheme="minorEastAsia" w:hAnsiTheme="minorEastAsia" w:eastAsiaTheme="minorEastAsia" w:cstheme="minorEastAsia"/>
          <w:color w:val="000000"/>
          <w:sz w:val="24"/>
        </w:rPr>
        <w:t>），现授权委托</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姓名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为我公司签署本项目已递交的投标文件的法定代表人的授权委托代理人，代理人全权代表我所签署的本项目已递交的投标文件内容我均承认。</w:t>
      </w:r>
    </w:p>
    <w:p w14:paraId="1C5182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代理人无转委托权，特此委托。</w:t>
      </w:r>
    </w:p>
    <w:p w14:paraId="0DA0D02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p>
    <w:p w14:paraId="2B85DD2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代理人：</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性别：</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年龄：</w:t>
      </w:r>
      <w:r>
        <w:rPr>
          <w:rFonts w:hint="eastAsia"/>
          <w:szCs w:val="21"/>
          <w:highlight w:val="none"/>
          <w:u w:val="single"/>
        </w:rPr>
        <w:t xml:space="preserve">                  </w:t>
      </w:r>
    </w:p>
    <w:p w14:paraId="5ABDD1C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联系电话：</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手机：</w:t>
      </w:r>
      <w:r>
        <w:rPr>
          <w:rFonts w:hint="eastAsia"/>
          <w:szCs w:val="21"/>
          <w:highlight w:val="none"/>
          <w:u w:val="single"/>
        </w:rPr>
        <w:t xml:space="preserve">                  </w:t>
      </w:r>
    </w:p>
    <w:p w14:paraId="2A7D56F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身份证号码：</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职务：</w:t>
      </w:r>
      <w:r>
        <w:rPr>
          <w:rFonts w:hint="eastAsia"/>
          <w:szCs w:val="21"/>
          <w:highlight w:val="none"/>
          <w:u w:val="single"/>
        </w:rPr>
        <w:t xml:space="preserve">                  </w:t>
      </w:r>
    </w:p>
    <w:p w14:paraId="0014731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p>
    <w:p w14:paraId="0AF704D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kern w:val="0"/>
          <w:sz w:val="24"/>
          <w:lang w:eastAsia="zh-CN"/>
        </w:rPr>
      </w:pPr>
      <w:r>
        <w:rPr>
          <w:rFonts w:hint="eastAsia" w:asciiTheme="minorEastAsia" w:hAnsiTheme="minorEastAsia" w:eastAsiaTheme="minorEastAsia" w:cstheme="minorEastAsia"/>
          <w:color w:val="000000"/>
          <w:sz w:val="24"/>
        </w:rPr>
        <w:t>授权委托日期：</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r>
        <w:rPr>
          <w:rFonts w:hint="eastAsia" w:asciiTheme="minorEastAsia" w:hAnsiTheme="minorEastAsia" w:eastAsiaTheme="minorEastAsia" w:cstheme="minorEastAsia"/>
          <w:color w:val="000000"/>
          <w:sz w:val="24"/>
          <w:lang w:eastAsia="zh-CN"/>
        </w:rPr>
        <w:t>，有效期至</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r>
        <w:rPr>
          <w:rFonts w:hint="eastAsia" w:asciiTheme="minorEastAsia" w:hAnsiTheme="minorEastAsia" w:eastAsiaTheme="minorEastAsia" w:cstheme="minorEastAsia"/>
          <w:color w:val="000000"/>
          <w:sz w:val="24"/>
          <w:lang w:eastAsia="zh-CN"/>
        </w:rPr>
        <w:t>。</w:t>
      </w:r>
    </w:p>
    <w:p w14:paraId="6DDF1E50">
      <w:pPr>
        <w:spacing w:line="360" w:lineRule="auto"/>
        <w:rPr>
          <w:rFonts w:ascii="仿宋" w:hAnsi="仿宋" w:eastAsia="仿宋" w:cs="仿宋"/>
          <w:bCs/>
          <w:color w:val="000000"/>
          <w:sz w:val="24"/>
        </w:rPr>
      </w:pPr>
      <w:r>
        <w:rPr>
          <w:color w:val="000000"/>
        </w:rPr>
        <mc:AlternateContent>
          <mc:Choice Requires="wps">
            <w:drawing>
              <wp:anchor distT="0" distB="0" distL="114300" distR="114300" simplePos="0" relativeHeight="251662336" behindDoc="0" locked="0" layoutInCell="1" allowOverlap="1">
                <wp:simplePos x="0" y="0"/>
                <wp:positionH relativeFrom="column">
                  <wp:posOffset>2999740</wp:posOffset>
                </wp:positionH>
                <wp:positionV relativeFrom="paragraph">
                  <wp:posOffset>20955</wp:posOffset>
                </wp:positionV>
                <wp:extent cx="2782570" cy="1920875"/>
                <wp:effectExtent l="5080" t="4445" r="12700" b="17780"/>
                <wp:wrapNone/>
                <wp:docPr id="12" name="文本框 1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A9C50A">
                            <w:pPr>
                              <w:widowControl/>
                              <w:jc w:val="left"/>
                              <w:rPr>
                                <w:rFonts w:ascii="宋体" w:hAnsi="宋体" w:cs="宋体"/>
                                <w:kern w:val="0"/>
                                <w:sz w:val="24"/>
                              </w:rPr>
                            </w:pPr>
                          </w:p>
                          <w:p w14:paraId="644055D5">
                            <w:pPr>
                              <w:widowControl/>
                              <w:jc w:val="left"/>
                            </w:pPr>
                          </w:p>
                          <w:p w14:paraId="302FD226">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1.65pt;height:151.25pt;width:219.1pt;z-index:251662336;mso-width-relative:page;mso-height-relative:page;" fillcolor="#FFFFFF" filled="t" stroked="t" coordsize="21600,21600" o:gfxdata="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Z41nYAAAACQEAAA8AAAAAAAAAAQAgAAAAIgAAAGRycy9kb3ducmV2LnhtbFBL&#10;AQIUABQAAAAIAIdO4kBZsc1XLwIAAHoEAAAOAAAAAAAAAAEAIAAAACcBAABkcnMvZTJvRG9jLnht&#10;bFBLBQYAAAAABgAGAFkBAADIBQAAAAA=&#10;">
                <v:fill on="t" focussize="0,0"/>
                <v:stroke color="#000000" joinstyle="miter"/>
                <v:imagedata o:title=""/>
                <o:lock v:ext="edit" aspectratio="f"/>
                <v:textbox>
                  <w:txbxContent>
                    <w:p w14:paraId="76A9C50A">
                      <w:pPr>
                        <w:widowControl/>
                        <w:jc w:val="left"/>
                        <w:rPr>
                          <w:rFonts w:ascii="宋体" w:hAnsi="宋体" w:cs="宋体"/>
                          <w:kern w:val="0"/>
                          <w:sz w:val="24"/>
                        </w:rPr>
                      </w:pPr>
                    </w:p>
                    <w:p w14:paraId="644055D5">
                      <w:pPr>
                        <w:widowControl/>
                        <w:jc w:val="left"/>
                      </w:pPr>
                    </w:p>
                    <w:p w14:paraId="302FD226">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v:textbox>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20955</wp:posOffset>
                </wp:positionV>
                <wp:extent cx="2830830" cy="1920875"/>
                <wp:effectExtent l="5080" t="4445" r="21590" b="17780"/>
                <wp:wrapNone/>
                <wp:docPr id="11" name="文本框 11"/>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7305FC">
                            <w:pPr>
                              <w:widowControl/>
                              <w:jc w:val="left"/>
                              <w:rPr>
                                <w:rFonts w:ascii="宋体" w:hAnsi="宋体" w:cs="宋体"/>
                                <w:kern w:val="0"/>
                                <w:sz w:val="24"/>
                              </w:rPr>
                            </w:pPr>
                          </w:p>
                          <w:p w14:paraId="133EA086">
                            <w:pPr>
                              <w:widowControl/>
                              <w:jc w:val="left"/>
                            </w:pPr>
                          </w:p>
                          <w:p w14:paraId="122718D0">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1.65pt;height:151.25pt;width:222.9pt;z-index:251661312;mso-width-relative:page;mso-height-relative:page;" fillcolor="#FFFFFF" filled="t" stroked="t" coordsize="21600,21600" o:gfxdata="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dNwDVAAAABgEAAA8AAAAAAAAAAQAgAAAAIgAAAGRycy9kb3ducmV2LnhtbFBLAQIU&#10;ABQAAAAIAIdO4kDplZsDLwIAAHoEAAAOAAAAAAAAAAEAIAAAACQBAABkcnMvZTJvRG9jLnhtbFBL&#10;BQYAAAAABgAGAFkBAADFBQAAAAA=&#10;">
                <v:fill on="t" focussize="0,0"/>
                <v:stroke color="#000000" joinstyle="miter"/>
                <v:imagedata o:title=""/>
                <o:lock v:ext="edit" aspectratio="f"/>
                <v:textbox>
                  <w:txbxContent>
                    <w:p w14:paraId="517305FC">
                      <w:pPr>
                        <w:widowControl/>
                        <w:jc w:val="left"/>
                        <w:rPr>
                          <w:rFonts w:ascii="宋体" w:hAnsi="宋体" w:cs="宋体"/>
                          <w:kern w:val="0"/>
                          <w:sz w:val="24"/>
                        </w:rPr>
                      </w:pPr>
                    </w:p>
                    <w:p w14:paraId="133EA086">
                      <w:pPr>
                        <w:widowControl/>
                        <w:jc w:val="left"/>
                      </w:pPr>
                    </w:p>
                    <w:p w14:paraId="122718D0">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v:textbox>
              </v:shape>
            </w:pict>
          </mc:Fallback>
        </mc:AlternateContent>
      </w:r>
    </w:p>
    <w:p w14:paraId="1279E1E2">
      <w:pPr>
        <w:spacing w:line="360" w:lineRule="auto"/>
        <w:rPr>
          <w:rFonts w:ascii="仿宋" w:hAnsi="仿宋" w:eastAsia="仿宋" w:cs="仿宋"/>
          <w:bCs/>
          <w:color w:val="000000"/>
          <w:sz w:val="24"/>
        </w:rPr>
      </w:pPr>
    </w:p>
    <w:p w14:paraId="413FEFFB">
      <w:pPr>
        <w:spacing w:line="360" w:lineRule="auto"/>
        <w:rPr>
          <w:rFonts w:ascii="仿宋" w:hAnsi="仿宋" w:eastAsia="仿宋" w:cs="仿宋"/>
          <w:bCs/>
          <w:color w:val="000000"/>
          <w:sz w:val="24"/>
        </w:rPr>
      </w:pPr>
    </w:p>
    <w:p w14:paraId="4D2CDC26">
      <w:pPr>
        <w:spacing w:line="360" w:lineRule="auto"/>
        <w:rPr>
          <w:rFonts w:ascii="仿宋" w:hAnsi="仿宋" w:eastAsia="仿宋" w:cs="仿宋"/>
          <w:bCs/>
          <w:color w:val="000000"/>
          <w:sz w:val="24"/>
        </w:rPr>
      </w:pPr>
    </w:p>
    <w:p w14:paraId="6AAA3502">
      <w:pPr>
        <w:rPr>
          <w:rFonts w:ascii="仿宋" w:hAnsi="仿宋" w:eastAsia="仿宋" w:cs="仿宋"/>
          <w:color w:val="000000"/>
          <w:sz w:val="24"/>
        </w:rPr>
      </w:pPr>
    </w:p>
    <w:p w14:paraId="4A468183">
      <w:pPr>
        <w:rPr>
          <w:rFonts w:ascii="仿宋" w:hAnsi="仿宋" w:eastAsia="仿宋" w:cs="仿宋"/>
          <w:color w:val="000000"/>
          <w:sz w:val="24"/>
        </w:rPr>
      </w:pPr>
    </w:p>
    <w:p w14:paraId="3257CD2D">
      <w:pPr>
        <w:spacing w:after="60"/>
        <w:rPr>
          <w:rFonts w:ascii="仿宋" w:hAnsi="仿宋" w:eastAsia="仿宋" w:cs="仿宋"/>
          <w:color w:val="000000"/>
          <w:sz w:val="24"/>
        </w:rPr>
      </w:pPr>
    </w:p>
    <w:p w14:paraId="3CB7A949">
      <w:pPr>
        <w:rPr>
          <w:rFonts w:ascii="仿宋" w:hAnsi="仿宋" w:eastAsia="仿宋" w:cs="仿宋"/>
          <w:color w:val="000000"/>
          <w:sz w:val="24"/>
        </w:rPr>
      </w:pPr>
    </w:p>
    <w:p w14:paraId="0271CC52">
      <w:pPr>
        <w:spacing w:line="360" w:lineRule="auto"/>
        <w:jc w:val="both"/>
        <w:rPr>
          <w:rFonts w:hint="eastAsia"/>
          <w:szCs w:val="21"/>
          <w:highlight w:val="none"/>
          <w:lang w:val="en-US" w:eastAsia="zh-CN"/>
        </w:rPr>
      </w:pPr>
      <w:r>
        <w:rPr>
          <w:rFonts w:hint="eastAsia"/>
          <w:szCs w:val="21"/>
          <w:highlight w:val="none"/>
          <w:lang w:val="en-US" w:eastAsia="zh-CN"/>
        </w:rPr>
        <w:t>说明：</w:t>
      </w:r>
    </w:p>
    <w:p w14:paraId="777A3016">
      <w:pPr>
        <w:spacing w:line="360" w:lineRule="auto"/>
        <w:jc w:val="both"/>
        <w:rPr>
          <w:rFonts w:hint="default"/>
          <w:szCs w:val="21"/>
          <w:highlight w:val="none"/>
          <w:lang w:val="en-US" w:eastAsia="zh-CN"/>
        </w:rPr>
      </w:pPr>
      <w:r>
        <w:rPr>
          <w:rFonts w:hint="eastAsia"/>
          <w:szCs w:val="21"/>
          <w:highlight w:val="none"/>
          <w:lang w:val="en-US" w:eastAsia="zh-CN"/>
        </w:rPr>
        <w:t>1.如是代理人（受托人）参与投标，则必须提供《法定代表人（负责人或执行事务合伙人）证明书》和《投标文件签署授权委托书》，且《投标函》的委托代理人与《投标文件签署授权委托书》的代理人（受托人）必须一致。</w:t>
      </w:r>
    </w:p>
    <w:p w14:paraId="447877D0">
      <w:pPr>
        <w:spacing w:line="360" w:lineRule="auto"/>
        <w:jc w:val="both"/>
        <w:rPr>
          <w:rFonts w:hint="eastAsia"/>
          <w:szCs w:val="21"/>
          <w:highlight w:val="none"/>
          <w:lang w:val="en-US" w:eastAsia="zh-CN"/>
        </w:rPr>
      </w:pPr>
      <w:r>
        <w:rPr>
          <w:rFonts w:hint="eastAsia"/>
          <w:szCs w:val="21"/>
          <w:highlight w:val="none"/>
          <w:lang w:val="en-US" w:eastAsia="zh-CN"/>
        </w:rPr>
        <w:t>2.请提供代理人身份证扫描件（正反两面）；港澳台居民可提供来往通行证扫描件；非中国国籍管辖范围人员，可提供公安部门认可的身份证明材料扫描件。</w:t>
      </w:r>
    </w:p>
    <w:p w14:paraId="05ADAE13">
      <w:pPr>
        <w:pStyle w:val="7"/>
        <w:rPr>
          <w:b/>
          <w:bCs/>
          <w:color w:val="FF0000"/>
        </w:rPr>
      </w:pPr>
      <w:r>
        <w:rPr>
          <w:rFonts w:hint="eastAsia"/>
          <w:b/>
          <w:bCs/>
          <w:color w:val="FF0000"/>
        </w:rPr>
        <w:t>温馨提示</w:t>
      </w:r>
      <w:r>
        <w:rPr>
          <w:rFonts w:hint="eastAsia" w:eastAsia="宋体"/>
          <w:b/>
          <w:bCs/>
          <w:color w:val="FF0000"/>
          <w:lang w:eastAsia="zh-CN"/>
        </w:rPr>
        <w:t>：</w:t>
      </w:r>
      <w:r>
        <w:rPr>
          <w:rFonts w:hint="eastAsia"/>
          <w:b/>
          <w:bCs/>
          <w:color w:val="FF0000"/>
        </w:rPr>
        <w:t>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09A70DB2">
      <w:pPr>
        <w:rPr>
          <w:rFonts w:ascii="黑体" w:hAnsi="宋体" w:eastAsia="黑体"/>
          <w:color w:val="000000" w:themeColor="text1"/>
          <w:szCs w:val="20"/>
          <w14:textFill>
            <w14:solidFill>
              <w14:schemeClr w14:val="tx1"/>
            </w14:solidFill>
          </w14:textFill>
        </w:rPr>
      </w:pPr>
    </w:p>
    <w:p w14:paraId="29150BFE">
      <w:pPr>
        <w:rPr>
          <w:rFonts w:ascii="黑体" w:hAnsi="宋体" w:eastAsia="黑体"/>
          <w:color w:val="000000" w:themeColor="text1"/>
          <w:szCs w:val="20"/>
          <w14:textFill>
            <w14:solidFill>
              <w14:schemeClr w14:val="tx1"/>
            </w14:solidFill>
          </w14:textFill>
        </w:rPr>
      </w:pPr>
    </w:p>
    <w:p w14:paraId="25962B81">
      <w:pPr>
        <w:rPr>
          <w:rFonts w:ascii="黑体" w:hAnsi="宋体" w:eastAsia="黑体"/>
          <w:color w:val="000000" w:themeColor="text1"/>
          <w:szCs w:val="20"/>
          <w14:textFill>
            <w14:solidFill>
              <w14:schemeClr w14:val="tx1"/>
            </w14:solidFill>
          </w14:textFill>
        </w:rPr>
      </w:pPr>
    </w:p>
    <w:p w14:paraId="5864AD26">
      <w:pPr>
        <w:rPr>
          <w:rFonts w:ascii="黑体" w:hAnsi="宋体" w:eastAsia="黑体"/>
          <w:color w:val="000000" w:themeColor="text1"/>
          <w:szCs w:val="20"/>
          <w14:textFill>
            <w14:solidFill>
              <w14:schemeClr w14:val="tx1"/>
            </w14:solidFill>
          </w14:textFill>
        </w:rPr>
      </w:pPr>
    </w:p>
    <w:p w14:paraId="3B1E62B7">
      <w:pPr>
        <w:rPr>
          <w:rFonts w:ascii="黑体" w:hAnsi="宋体" w:eastAsia="黑体"/>
          <w:color w:val="000000" w:themeColor="text1"/>
          <w:szCs w:val="20"/>
          <w14:textFill>
            <w14:solidFill>
              <w14:schemeClr w14:val="tx1"/>
            </w14:solidFill>
          </w14:textFill>
        </w:rPr>
      </w:pPr>
    </w:p>
    <w:p w14:paraId="6AD1A603">
      <w:pPr>
        <w:pStyle w:val="4"/>
        <w:spacing w:before="120" w:after="120"/>
        <w:jc w:val="center"/>
        <w:rPr>
          <w:rFonts w:hint="eastAsia" w:ascii="黑体" w:hAnsi="宋体" w:eastAsia="黑体" w:cs="Times New Roman"/>
          <w:b w:val="0"/>
          <w:sz w:val="24"/>
          <w:highlight w:val="none"/>
          <w:lang w:eastAsia="zh-CN"/>
        </w:rPr>
      </w:pPr>
      <w:r>
        <w:rPr>
          <w:rFonts w:hint="eastAsia" w:ascii="黑体" w:hAnsi="宋体" w:eastAsia="黑体" w:cs="Times New Roman"/>
          <w:b w:val="0"/>
          <w:sz w:val="24"/>
          <w:highlight w:val="none"/>
          <w:lang w:eastAsia="zh-CN"/>
        </w:rPr>
        <w:t>三、供应商</w:t>
      </w:r>
      <w:r>
        <w:rPr>
          <w:rFonts w:hint="eastAsia" w:ascii="黑体" w:eastAsia="黑体" w:cs="Times New Roman"/>
          <w:b w:val="0"/>
          <w:sz w:val="24"/>
          <w:highlight w:val="none"/>
          <w:lang w:val="en-US" w:eastAsia="zh-CN"/>
        </w:rPr>
        <w:t>基本</w:t>
      </w:r>
      <w:r>
        <w:rPr>
          <w:rFonts w:hint="eastAsia" w:ascii="黑体" w:hAnsi="宋体" w:eastAsia="黑体" w:cs="Times New Roman"/>
          <w:b w:val="0"/>
          <w:sz w:val="24"/>
          <w:highlight w:val="none"/>
          <w:lang w:eastAsia="zh-CN"/>
        </w:rPr>
        <w:t>情况表</w:t>
      </w:r>
    </w:p>
    <w:p w14:paraId="70580ED7">
      <w:pPr>
        <w:keepNext w:val="0"/>
        <w:keepLines w:val="0"/>
        <w:pageBreakBefore w:val="0"/>
        <w:widowControl/>
        <w:numPr>
          <w:ilvl w:val="0"/>
          <w:numId w:val="0"/>
        </w:numPr>
        <w:kinsoku/>
        <w:wordWrap/>
        <w:overflowPunct/>
        <w:topLinePunct w:val="0"/>
        <w:autoSpaceDE/>
        <w:autoSpaceDN/>
        <w:bidi w:val="0"/>
        <w:adjustRightInd/>
        <w:snapToGrid w:val="0"/>
        <w:ind w:firstLine="482" w:firstLineChars="200"/>
        <w:textAlignment w:val="auto"/>
        <w:outlineLvl w:val="9"/>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根据《深圳经济特区政府采购条例实施细则》第七十五条第一款（二）规定，存在“不同投标供应商的法定代表人、主要经营负责人、项目投标授权代表人、项目负责人、主要技术人员为同一人、属同一单位或者在同一单位缴纳社会保险”情形的，属于串通投标行为。</w:t>
      </w:r>
    </w:p>
    <w:p w14:paraId="75BEF9D5">
      <w:pPr>
        <w:keepNext w:val="0"/>
        <w:keepLines w:val="0"/>
        <w:pageBreakBefore w:val="0"/>
        <w:widowControl/>
        <w:numPr>
          <w:ilvl w:val="0"/>
          <w:numId w:val="0"/>
        </w:numPr>
        <w:kinsoku/>
        <w:wordWrap/>
        <w:overflowPunct/>
        <w:topLinePunct w:val="0"/>
        <w:autoSpaceDE/>
        <w:autoSpaceDN/>
        <w:bidi w:val="0"/>
        <w:adjustRightInd/>
        <w:snapToGrid w:val="0"/>
        <w:ind w:firstLine="482" w:firstLineChars="200"/>
        <w:textAlignment w:val="auto"/>
        <w:outlineLvl w:val="9"/>
        <w:rPr>
          <w:rFonts w:hint="eastAsia" w:ascii="宋体" w:hAnsi="宋体" w:eastAsia="宋体" w:cs="宋体"/>
          <w:b/>
          <w:bCs w:val="0"/>
          <w:color w:val="auto"/>
          <w:sz w:val="24"/>
          <w:szCs w:val="24"/>
          <w:highlight w:val="yellow"/>
          <w:lang w:eastAsia="zh-CN"/>
        </w:rPr>
      </w:pPr>
      <w:r>
        <w:rPr>
          <w:rFonts w:hint="eastAsia" w:ascii="宋体" w:hAnsi="宋体" w:eastAsia="宋体" w:cs="宋体"/>
          <w:b/>
          <w:bCs w:val="0"/>
          <w:color w:val="auto"/>
          <w:sz w:val="24"/>
          <w:szCs w:val="24"/>
          <w:lang w:eastAsia="zh-CN"/>
        </w:rPr>
        <w:t>请供应商按以下格式提供上述法规涉及人员情况。（注：以下内容将作为评审委员会和主管部门判定本项目不同投标供应商是否涉嫌、属于串通投标的重要依据，请供应商认真填报，并保证所填信息的真实、准确和完整。）</w:t>
      </w:r>
    </w:p>
    <w:p w14:paraId="0E669E4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p>
    <w:p w14:paraId="4FBDC2F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1.情况一览表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223"/>
        <w:gridCol w:w="830"/>
        <w:gridCol w:w="900"/>
        <w:gridCol w:w="956"/>
        <w:gridCol w:w="937"/>
        <w:gridCol w:w="1428"/>
        <w:gridCol w:w="1440"/>
      </w:tblGrid>
      <w:tr w14:paraId="2E3A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pct"/>
            <w:gridSpan w:val="2"/>
            <w:noWrap w:val="0"/>
            <w:vAlign w:val="center"/>
          </w:tcPr>
          <w:p w14:paraId="0769EF9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投标（响应）供应商</w:t>
            </w:r>
            <w:r>
              <w:rPr>
                <w:rFonts w:hint="eastAsia" w:ascii="宋体" w:hAnsi="宋体" w:eastAsia="宋体" w:cs="宋体"/>
                <w:b/>
                <w:bCs/>
                <w:color w:val="FF0000"/>
                <w:spacing w:val="-4"/>
                <w:sz w:val="24"/>
                <w:szCs w:val="24"/>
              </w:rPr>
              <w:t>（必填项）</w:t>
            </w:r>
          </w:p>
        </w:tc>
        <w:tc>
          <w:tcPr>
            <w:tcW w:w="1015" w:type="pct"/>
            <w:gridSpan w:val="2"/>
            <w:noWrap w:val="0"/>
            <w:vAlign w:val="center"/>
          </w:tcPr>
          <w:p w14:paraId="23F1DE7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1111" w:type="pct"/>
            <w:gridSpan w:val="2"/>
            <w:noWrap w:val="0"/>
            <w:vAlign w:val="center"/>
          </w:tcPr>
          <w:p w14:paraId="7CE3628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供应商统一社会信用代码</w:t>
            </w:r>
            <w:r>
              <w:rPr>
                <w:rFonts w:hint="eastAsia" w:ascii="宋体" w:hAnsi="宋体" w:eastAsia="宋体" w:cs="宋体"/>
                <w:b/>
                <w:bCs/>
                <w:color w:val="FF0000"/>
                <w:spacing w:val="-4"/>
                <w:sz w:val="24"/>
                <w:szCs w:val="24"/>
              </w:rPr>
              <w:t>（必填项）</w:t>
            </w:r>
          </w:p>
        </w:tc>
        <w:tc>
          <w:tcPr>
            <w:tcW w:w="1682" w:type="pct"/>
            <w:gridSpan w:val="2"/>
            <w:noWrap w:val="0"/>
            <w:vAlign w:val="center"/>
          </w:tcPr>
          <w:p w14:paraId="7DE5A6A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r>
      <w:tr w14:paraId="6CCC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2FC02CA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投标（响应）供应商相关人员情况</w:t>
            </w:r>
          </w:p>
        </w:tc>
      </w:tr>
      <w:tr w14:paraId="5F35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bottom w:val="single" w:color="auto" w:sz="4" w:space="0"/>
            </w:tcBorders>
            <w:noWrap w:val="0"/>
            <w:vAlign w:val="center"/>
          </w:tcPr>
          <w:p w14:paraId="41C5D29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序号</w:t>
            </w:r>
          </w:p>
        </w:tc>
        <w:tc>
          <w:tcPr>
            <w:tcW w:w="1205" w:type="pct"/>
            <w:gridSpan w:val="2"/>
            <w:tcBorders>
              <w:bottom w:val="single" w:color="auto" w:sz="4" w:space="0"/>
            </w:tcBorders>
            <w:noWrap w:val="0"/>
            <w:vAlign w:val="center"/>
          </w:tcPr>
          <w:p w14:paraId="3540A92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职务</w:t>
            </w:r>
          </w:p>
        </w:tc>
        <w:tc>
          <w:tcPr>
            <w:tcW w:w="528" w:type="pct"/>
            <w:tcBorders>
              <w:bottom w:val="single" w:color="auto" w:sz="4" w:space="0"/>
            </w:tcBorders>
            <w:noWrap w:val="0"/>
            <w:vAlign w:val="center"/>
          </w:tcPr>
          <w:p w14:paraId="37F0C7E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姓名</w:t>
            </w:r>
          </w:p>
        </w:tc>
        <w:tc>
          <w:tcPr>
            <w:tcW w:w="1111" w:type="pct"/>
            <w:gridSpan w:val="2"/>
            <w:tcBorders>
              <w:bottom w:val="single" w:color="auto" w:sz="4" w:space="0"/>
            </w:tcBorders>
            <w:noWrap w:val="0"/>
            <w:vAlign w:val="center"/>
          </w:tcPr>
          <w:p w14:paraId="2BAEAAD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身份证号码</w:t>
            </w:r>
          </w:p>
        </w:tc>
        <w:tc>
          <w:tcPr>
            <w:tcW w:w="838" w:type="pct"/>
            <w:tcBorders>
              <w:bottom w:val="single" w:color="auto" w:sz="4" w:space="0"/>
            </w:tcBorders>
            <w:noWrap w:val="0"/>
            <w:vAlign w:val="center"/>
          </w:tcPr>
          <w:p w14:paraId="2AD8852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劳动合同</w:t>
            </w:r>
          </w:p>
          <w:p w14:paraId="4C6F3C6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关系单位</w:t>
            </w:r>
          </w:p>
        </w:tc>
        <w:tc>
          <w:tcPr>
            <w:tcW w:w="843" w:type="pct"/>
            <w:tcBorders>
              <w:bottom w:val="single" w:color="auto" w:sz="4" w:space="0"/>
            </w:tcBorders>
            <w:noWrap w:val="0"/>
            <w:vAlign w:val="center"/>
          </w:tcPr>
          <w:p w14:paraId="1921DEC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缴纳社会</w:t>
            </w:r>
          </w:p>
          <w:p w14:paraId="0396519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保险单位</w:t>
            </w:r>
          </w:p>
        </w:tc>
      </w:tr>
      <w:tr w14:paraId="6122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top w:val="single" w:color="auto" w:sz="4" w:space="0"/>
              <w:left w:val="single" w:color="auto" w:sz="4" w:space="0"/>
              <w:bottom w:val="single" w:color="auto" w:sz="4" w:space="0"/>
              <w:right w:val="single" w:color="auto" w:sz="4" w:space="0"/>
            </w:tcBorders>
            <w:noWrap w:val="0"/>
            <w:vAlign w:val="center"/>
          </w:tcPr>
          <w:p w14:paraId="505BF9E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p>
        </w:tc>
        <w:tc>
          <w:tcPr>
            <w:tcW w:w="1205" w:type="pct"/>
            <w:gridSpan w:val="2"/>
            <w:tcBorders>
              <w:top w:val="single" w:color="auto" w:sz="4" w:space="0"/>
              <w:left w:val="single" w:color="auto" w:sz="4" w:space="0"/>
              <w:bottom w:val="single" w:color="auto" w:sz="4" w:space="0"/>
              <w:right w:val="single" w:color="auto" w:sz="4" w:space="0"/>
            </w:tcBorders>
            <w:noWrap w:val="0"/>
            <w:vAlign w:val="center"/>
          </w:tcPr>
          <w:p w14:paraId="2C946F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法定代表人/单位负责人/主要经营负责人</w:t>
            </w:r>
            <w:r>
              <w:rPr>
                <w:rFonts w:hint="eastAsia" w:ascii="宋体" w:hAnsi="宋体" w:eastAsia="宋体" w:cs="宋体"/>
                <w:b/>
                <w:bCs/>
                <w:color w:val="FF0000"/>
                <w:spacing w:val="-4"/>
                <w:sz w:val="24"/>
                <w:szCs w:val="24"/>
              </w:rPr>
              <w:t>（必填项）</w:t>
            </w:r>
          </w:p>
        </w:tc>
        <w:tc>
          <w:tcPr>
            <w:tcW w:w="528" w:type="pct"/>
            <w:tcBorders>
              <w:top w:val="single" w:color="auto" w:sz="4" w:space="0"/>
              <w:left w:val="single" w:color="auto" w:sz="4" w:space="0"/>
              <w:bottom w:val="single" w:color="auto" w:sz="4" w:space="0"/>
              <w:right w:val="single" w:color="auto" w:sz="4" w:space="0"/>
            </w:tcBorders>
            <w:noWrap w:val="0"/>
            <w:vAlign w:val="center"/>
          </w:tcPr>
          <w:p w14:paraId="312E6C0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1111" w:type="pct"/>
            <w:gridSpan w:val="2"/>
            <w:tcBorders>
              <w:top w:val="single" w:color="auto" w:sz="4" w:space="0"/>
              <w:left w:val="single" w:color="auto" w:sz="4" w:space="0"/>
              <w:bottom w:val="single" w:color="auto" w:sz="4" w:space="0"/>
              <w:right w:val="single" w:color="auto" w:sz="4" w:space="0"/>
            </w:tcBorders>
            <w:noWrap w:val="0"/>
            <w:vAlign w:val="center"/>
          </w:tcPr>
          <w:p w14:paraId="6B54A2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12434D7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43" w:type="pct"/>
            <w:tcBorders>
              <w:top w:val="single" w:color="auto" w:sz="4" w:space="0"/>
              <w:left w:val="single" w:color="auto" w:sz="4" w:space="0"/>
              <w:bottom w:val="single" w:color="auto" w:sz="4" w:space="0"/>
              <w:right w:val="single" w:color="auto" w:sz="4" w:space="0"/>
            </w:tcBorders>
            <w:noWrap w:val="0"/>
            <w:vAlign w:val="center"/>
          </w:tcPr>
          <w:p w14:paraId="6015ECD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r>
      <w:tr w14:paraId="5811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top w:val="single" w:color="auto" w:sz="4" w:space="0"/>
              <w:left w:val="single" w:color="auto" w:sz="4" w:space="0"/>
              <w:bottom w:val="single" w:color="auto" w:sz="4" w:space="0"/>
              <w:right w:val="single" w:color="auto" w:sz="4" w:space="0"/>
            </w:tcBorders>
            <w:noWrap w:val="0"/>
            <w:vAlign w:val="center"/>
          </w:tcPr>
          <w:p w14:paraId="614500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c>
          <w:tcPr>
            <w:tcW w:w="1205" w:type="pct"/>
            <w:gridSpan w:val="2"/>
            <w:tcBorders>
              <w:top w:val="single" w:color="auto" w:sz="4" w:space="0"/>
              <w:left w:val="single" w:color="auto" w:sz="4" w:space="0"/>
              <w:bottom w:val="single" w:color="auto" w:sz="4" w:space="0"/>
              <w:right w:val="single" w:color="auto" w:sz="4" w:space="0"/>
            </w:tcBorders>
            <w:noWrap w:val="0"/>
            <w:vAlign w:val="center"/>
          </w:tcPr>
          <w:p w14:paraId="4355E9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项目投标授权代表人</w:t>
            </w:r>
            <w:r>
              <w:rPr>
                <w:rFonts w:hint="eastAsia" w:ascii="宋体" w:hAnsi="宋体" w:eastAsia="宋体" w:cs="宋体"/>
                <w:b/>
                <w:bCs/>
                <w:color w:val="FF0000"/>
                <w:spacing w:val="-4"/>
                <w:sz w:val="24"/>
                <w:szCs w:val="24"/>
              </w:rPr>
              <w:t>（必填项）</w:t>
            </w:r>
          </w:p>
        </w:tc>
        <w:tc>
          <w:tcPr>
            <w:tcW w:w="528" w:type="pct"/>
            <w:tcBorders>
              <w:top w:val="single" w:color="auto" w:sz="4" w:space="0"/>
              <w:left w:val="single" w:color="auto" w:sz="4" w:space="0"/>
              <w:bottom w:val="single" w:color="auto" w:sz="4" w:space="0"/>
              <w:right w:val="single" w:color="auto" w:sz="4" w:space="0"/>
            </w:tcBorders>
            <w:noWrap w:val="0"/>
            <w:vAlign w:val="center"/>
          </w:tcPr>
          <w:p w14:paraId="51CD479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1111" w:type="pct"/>
            <w:gridSpan w:val="2"/>
            <w:tcBorders>
              <w:top w:val="single" w:color="auto" w:sz="4" w:space="0"/>
              <w:left w:val="single" w:color="auto" w:sz="4" w:space="0"/>
              <w:bottom w:val="single" w:color="auto" w:sz="4" w:space="0"/>
              <w:right w:val="single" w:color="auto" w:sz="4" w:space="0"/>
            </w:tcBorders>
            <w:noWrap w:val="0"/>
            <w:vAlign w:val="center"/>
          </w:tcPr>
          <w:p w14:paraId="07BB968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32BD99D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43" w:type="pct"/>
            <w:tcBorders>
              <w:top w:val="single" w:color="auto" w:sz="4" w:space="0"/>
              <w:left w:val="single" w:color="auto" w:sz="4" w:space="0"/>
              <w:bottom w:val="single" w:color="auto" w:sz="4" w:space="0"/>
              <w:right w:val="single" w:color="auto" w:sz="4" w:space="0"/>
            </w:tcBorders>
            <w:noWrap w:val="0"/>
            <w:vAlign w:val="center"/>
          </w:tcPr>
          <w:p w14:paraId="3D9CE8B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r>
      <w:tr w14:paraId="5CB9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top w:val="single" w:color="auto" w:sz="4" w:space="0"/>
            </w:tcBorders>
            <w:noWrap w:val="0"/>
            <w:vAlign w:val="center"/>
          </w:tcPr>
          <w:p w14:paraId="3C7F2D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w:t>
            </w:r>
          </w:p>
        </w:tc>
        <w:tc>
          <w:tcPr>
            <w:tcW w:w="1205" w:type="pct"/>
            <w:gridSpan w:val="2"/>
            <w:tcBorders>
              <w:top w:val="single" w:color="auto" w:sz="4" w:space="0"/>
            </w:tcBorders>
            <w:noWrap w:val="0"/>
            <w:vAlign w:val="center"/>
          </w:tcPr>
          <w:p w14:paraId="0A44191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项目负责人（如有）</w:t>
            </w:r>
          </w:p>
        </w:tc>
        <w:tc>
          <w:tcPr>
            <w:tcW w:w="528" w:type="pct"/>
            <w:tcBorders>
              <w:top w:val="single" w:color="auto" w:sz="4" w:space="0"/>
            </w:tcBorders>
            <w:noWrap w:val="0"/>
            <w:vAlign w:val="center"/>
          </w:tcPr>
          <w:p w14:paraId="08EB831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1111" w:type="pct"/>
            <w:gridSpan w:val="2"/>
            <w:tcBorders>
              <w:top w:val="single" w:color="auto" w:sz="4" w:space="0"/>
            </w:tcBorders>
            <w:noWrap w:val="0"/>
            <w:vAlign w:val="center"/>
          </w:tcPr>
          <w:p w14:paraId="74740BF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38" w:type="pct"/>
            <w:tcBorders>
              <w:top w:val="single" w:color="auto" w:sz="4" w:space="0"/>
            </w:tcBorders>
            <w:noWrap w:val="0"/>
            <w:vAlign w:val="center"/>
          </w:tcPr>
          <w:p w14:paraId="2B325D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43" w:type="pct"/>
            <w:tcBorders>
              <w:top w:val="single" w:color="auto" w:sz="4" w:space="0"/>
            </w:tcBorders>
            <w:noWrap w:val="0"/>
            <w:vAlign w:val="center"/>
          </w:tcPr>
          <w:p w14:paraId="6D278BB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r>
      <w:tr w14:paraId="6BEB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1EB60CB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w:t>
            </w:r>
          </w:p>
        </w:tc>
        <w:tc>
          <w:tcPr>
            <w:tcW w:w="1205" w:type="pct"/>
            <w:gridSpan w:val="2"/>
            <w:noWrap w:val="0"/>
            <w:vAlign w:val="center"/>
          </w:tcPr>
          <w:p w14:paraId="2DA748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主要技术人员（如有）</w:t>
            </w:r>
          </w:p>
        </w:tc>
        <w:tc>
          <w:tcPr>
            <w:tcW w:w="528" w:type="pct"/>
            <w:noWrap w:val="0"/>
            <w:vAlign w:val="center"/>
          </w:tcPr>
          <w:p w14:paraId="3500FFB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1111" w:type="pct"/>
            <w:gridSpan w:val="2"/>
            <w:noWrap w:val="0"/>
            <w:vAlign w:val="center"/>
          </w:tcPr>
          <w:p w14:paraId="476045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38" w:type="pct"/>
            <w:noWrap w:val="0"/>
            <w:vAlign w:val="center"/>
          </w:tcPr>
          <w:p w14:paraId="551A68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43" w:type="pct"/>
            <w:noWrap w:val="0"/>
            <w:vAlign w:val="center"/>
          </w:tcPr>
          <w:p w14:paraId="3978CCB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r>
      <w:tr w14:paraId="06FB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295679C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w:t>
            </w:r>
          </w:p>
        </w:tc>
        <w:tc>
          <w:tcPr>
            <w:tcW w:w="1205" w:type="pct"/>
            <w:gridSpan w:val="2"/>
            <w:noWrap w:val="0"/>
            <w:vAlign w:val="center"/>
          </w:tcPr>
          <w:p w14:paraId="16F1906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投标文件编制人员</w:t>
            </w:r>
            <w:r>
              <w:rPr>
                <w:rFonts w:hint="eastAsia" w:ascii="宋体" w:hAnsi="宋体" w:eastAsia="宋体" w:cs="宋体"/>
                <w:b/>
                <w:bCs/>
                <w:color w:val="FF0000"/>
                <w:spacing w:val="-4"/>
                <w:sz w:val="24"/>
                <w:szCs w:val="24"/>
              </w:rPr>
              <w:t>（必填项）</w:t>
            </w:r>
          </w:p>
        </w:tc>
        <w:tc>
          <w:tcPr>
            <w:tcW w:w="528" w:type="pct"/>
            <w:noWrap w:val="0"/>
            <w:vAlign w:val="center"/>
          </w:tcPr>
          <w:p w14:paraId="4068C71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1111" w:type="pct"/>
            <w:gridSpan w:val="2"/>
            <w:noWrap w:val="0"/>
            <w:vAlign w:val="center"/>
          </w:tcPr>
          <w:p w14:paraId="172446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38" w:type="pct"/>
            <w:noWrap w:val="0"/>
            <w:vAlign w:val="center"/>
          </w:tcPr>
          <w:p w14:paraId="50F438F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843" w:type="pct"/>
            <w:noWrap w:val="0"/>
            <w:vAlign w:val="center"/>
          </w:tcPr>
          <w:p w14:paraId="42AAAB5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r>
      <w:tr w14:paraId="4CB4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46925EF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说明：</w:t>
            </w:r>
          </w:p>
          <w:p w14:paraId="08D6403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bidi="ar-SA"/>
              </w:rPr>
              <w:t>1.</w:t>
            </w:r>
            <w:r>
              <w:rPr>
                <w:rFonts w:hint="eastAsia" w:ascii="宋体" w:hAnsi="宋体" w:eastAsia="宋体" w:cs="宋体"/>
                <w:b w:val="0"/>
                <w:bCs/>
                <w:color w:val="auto"/>
                <w:sz w:val="24"/>
                <w:szCs w:val="24"/>
                <w:lang w:val="en-US" w:eastAsia="zh-CN"/>
              </w:rPr>
              <w:t>同一职务有多人担任（如主要技术人员），应分行填写。</w:t>
            </w:r>
          </w:p>
          <w:p w14:paraId="4722C568">
            <w:pPr>
              <w:pStyle w:val="2"/>
              <w:keepNext w:val="0"/>
              <w:keepLines w:val="0"/>
              <w:widowControl w:val="0"/>
              <w:numPr>
                <w:ilvl w:val="0"/>
                <w:numId w:val="0"/>
              </w:numPr>
              <w:suppressLineNumbers w:val="0"/>
              <w:spacing w:before="0" w:beforeAutospacing="0" w:after="0" w:afterAutospacing="0"/>
              <w:ind w:left="0" w:right="0"/>
              <w:jc w:val="both"/>
              <w:rPr>
                <w:rFonts w:hint="eastAsia"/>
                <w:lang w:val="en-US" w:eastAsia="zh-CN"/>
              </w:rPr>
            </w:pPr>
            <w:r>
              <w:rPr>
                <w:rFonts w:hint="eastAsia" w:ascii="Times New Roman" w:hAnsi="Times New Roman" w:eastAsia="Times New Roman" w:cs="Times New Roman"/>
                <w:sz w:val="24"/>
                <w:szCs w:val="24"/>
                <w:lang w:val="en-US" w:eastAsia="zh-CN" w:bidi="ar-SA"/>
              </w:rPr>
              <w:t>2.</w:t>
            </w:r>
            <w:r>
              <w:rPr>
                <w:rFonts w:hint="eastAsia"/>
              </w:rPr>
              <w:t>上述项目负责人、主要技术人员必须为供应商本单位人员</w:t>
            </w:r>
            <w:r>
              <w:rPr>
                <w:rFonts w:hint="eastAsia" w:eastAsia="宋体"/>
                <w:lang w:eastAsia="zh-CN"/>
              </w:rPr>
              <w:t>。</w:t>
            </w:r>
          </w:p>
        </w:tc>
      </w:tr>
      <w:tr w14:paraId="72F3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000" w:type="pct"/>
            <w:gridSpan w:val="8"/>
            <w:noWrap w:val="0"/>
            <w:vAlign w:val="center"/>
          </w:tcPr>
          <w:p w14:paraId="129B7E9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投标（响应）供应商关联关系情况</w:t>
            </w:r>
          </w:p>
        </w:tc>
      </w:tr>
      <w:tr w14:paraId="0259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bottom w:val="single" w:color="auto" w:sz="4" w:space="0"/>
            </w:tcBorders>
            <w:noWrap w:val="0"/>
            <w:vAlign w:val="center"/>
          </w:tcPr>
          <w:p w14:paraId="2680E8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序号</w:t>
            </w:r>
          </w:p>
        </w:tc>
        <w:tc>
          <w:tcPr>
            <w:tcW w:w="1205" w:type="pct"/>
            <w:gridSpan w:val="2"/>
            <w:tcBorders>
              <w:bottom w:val="single" w:color="auto" w:sz="4" w:space="0"/>
            </w:tcBorders>
            <w:noWrap w:val="0"/>
            <w:vAlign w:val="center"/>
          </w:tcPr>
          <w:p w14:paraId="577EEBC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关联关系类型</w:t>
            </w:r>
          </w:p>
        </w:tc>
        <w:tc>
          <w:tcPr>
            <w:tcW w:w="1089" w:type="pct"/>
            <w:gridSpan w:val="2"/>
            <w:tcBorders>
              <w:bottom w:val="single" w:color="auto" w:sz="4" w:space="0"/>
            </w:tcBorders>
            <w:noWrap w:val="0"/>
            <w:vAlign w:val="center"/>
          </w:tcPr>
          <w:p w14:paraId="3EDF1E3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关联主体名称</w:t>
            </w:r>
          </w:p>
        </w:tc>
        <w:tc>
          <w:tcPr>
            <w:tcW w:w="2232" w:type="pct"/>
            <w:gridSpan w:val="3"/>
            <w:tcBorders>
              <w:bottom w:val="single" w:color="auto" w:sz="4" w:space="0"/>
            </w:tcBorders>
            <w:noWrap w:val="0"/>
            <w:vAlign w:val="center"/>
          </w:tcPr>
          <w:p w14:paraId="03A3FF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备注</w:t>
            </w:r>
          </w:p>
        </w:tc>
      </w:tr>
      <w:tr w14:paraId="5420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top w:val="single" w:color="auto" w:sz="4" w:space="0"/>
              <w:left w:val="single" w:color="auto" w:sz="4" w:space="0"/>
              <w:bottom w:val="single" w:color="auto" w:sz="4" w:space="0"/>
              <w:right w:val="single" w:color="auto" w:sz="4" w:space="0"/>
            </w:tcBorders>
            <w:noWrap w:val="0"/>
            <w:vAlign w:val="center"/>
          </w:tcPr>
          <w:p w14:paraId="0858726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p>
        </w:tc>
        <w:tc>
          <w:tcPr>
            <w:tcW w:w="1205" w:type="pct"/>
            <w:gridSpan w:val="2"/>
            <w:tcBorders>
              <w:top w:val="single" w:color="auto" w:sz="4" w:space="0"/>
              <w:left w:val="single" w:color="auto" w:sz="4" w:space="0"/>
              <w:bottom w:val="single" w:color="auto" w:sz="4" w:space="0"/>
              <w:right w:val="single" w:color="auto" w:sz="4" w:space="0"/>
            </w:tcBorders>
            <w:noWrap w:val="0"/>
            <w:vAlign w:val="center"/>
          </w:tcPr>
          <w:p w14:paraId="54F16BA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控股股东</w:t>
            </w:r>
            <w:r>
              <w:rPr>
                <w:rFonts w:hint="eastAsia" w:ascii="宋体" w:hAnsi="宋体" w:eastAsia="宋体" w:cs="宋体"/>
                <w:b/>
                <w:bCs/>
                <w:color w:val="FF0000"/>
                <w:spacing w:val="-4"/>
                <w:sz w:val="24"/>
                <w:szCs w:val="24"/>
              </w:rPr>
              <w:t>（必填项）</w:t>
            </w:r>
          </w:p>
        </w:tc>
        <w:tc>
          <w:tcPr>
            <w:tcW w:w="1089" w:type="pct"/>
            <w:gridSpan w:val="2"/>
            <w:tcBorders>
              <w:top w:val="single" w:color="auto" w:sz="4" w:space="0"/>
              <w:left w:val="single" w:color="auto" w:sz="4" w:space="0"/>
              <w:bottom w:val="single" w:color="auto" w:sz="4" w:space="0"/>
              <w:right w:val="single" w:color="auto" w:sz="4" w:space="0"/>
            </w:tcBorders>
            <w:noWrap w:val="0"/>
            <w:vAlign w:val="center"/>
          </w:tcPr>
          <w:p w14:paraId="22F420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2232" w:type="pct"/>
            <w:gridSpan w:val="3"/>
            <w:tcBorders>
              <w:top w:val="single" w:color="auto" w:sz="4" w:space="0"/>
              <w:left w:val="single" w:color="auto" w:sz="4" w:space="0"/>
              <w:bottom w:val="single" w:color="auto" w:sz="4" w:space="0"/>
              <w:right w:val="single" w:color="auto" w:sz="4" w:space="0"/>
            </w:tcBorders>
            <w:noWrap w:val="0"/>
            <w:vAlign w:val="center"/>
          </w:tcPr>
          <w:p w14:paraId="618E487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2A8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top w:val="single" w:color="auto" w:sz="4" w:space="0"/>
              <w:left w:val="single" w:color="auto" w:sz="4" w:space="0"/>
              <w:bottom w:val="single" w:color="auto" w:sz="4" w:space="0"/>
              <w:right w:val="single" w:color="auto" w:sz="4" w:space="0"/>
            </w:tcBorders>
            <w:noWrap w:val="0"/>
            <w:vAlign w:val="center"/>
          </w:tcPr>
          <w:p w14:paraId="6FBDB09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c>
          <w:tcPr>
            <w:tcW w:w="1205" w:type="pct"/>
            <w:gridSpan w:val="2"/>
            <w:tcBorders>
              <w:top w:val="single" w:color="auto" w:sz="4" w:space="0"/>
              <w:left w:val="single" w:color="auto" w:sz="4" w:space="0"/>
              <w:bottom w:val="single" w:color="auto" w:sz="4" w:space="0"/>
              <w:right w:val="single" w:color="auto" w:sz="4" w:space="0"/>
            </w:tcBorders>
            <w:noWrap w:val="0"/>
            <w:vAlign w:val="center"/>
          </w:tcPr>
          <w:p w14:paraId="03A4C57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管理关系</w:t>
            </w:r>
          </w:p>
        </w:tc>
        <w:tc>
          <w:tcPr>
            <w:tcW w:w="1089" w:type="pct"/>
            <w:gridSpan w:val="2"/>
            <w:tcBorders>
              <w:top w:val="single" w:color="auto" w:sz="4" w:space="0"/>
              <w:left w:val="single" w:color="auto" w:sz="4" w:space="0"/>
              <w:bottom w:val="single" w:color="auto" w:sz="4" w:space="0"/>
              <w:right w:val="single" w:color="auto" w:sz="4" w:space="0"/>
            </w:tcBorders>
            <w:noWrap w:val="0"/>
            <w:vAlign w:val="center"/>
          </w:tcPr>
          <w:p w14:paraId="1E38D9A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p>
        </w:tc>
        <w:tc>
          <w:tcPr>
            <w:tcW w:w="2232" w:type="pct"/>
            <w:gridSpan w:val="3"/>
            <w:tcBorders>
              <w:top w:val="single" w:color="auto" w:sz="4" w:space="0"/>
              <w:left w:val="single" w:color="auto" w:sz="4" w:space="0"/>
              <w:bottom w:val="single" w:color="auto" w:sz="4" w:space="0"/>
              <w:right w:val="single" w:color="auto" w:sz="4" w:space="0"/>
            </w:tcBorders>
            <w:noWrap w:val="0"/>
            <w:vAlign w:val="center"/>
          </w:tcPr>
          <w:p w14:paraId="6B9EC62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指对投标（响应）供应商不具有出资持股关系，但对其存在管理关系的主体。</w:t>
            </w:r>
          </w:p>
        </w:tc>
      </w:tr>
      <w:tr w14:paraId="12E2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2A231B6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说明：</w:t>
            </w:r>
          </w:p>
          <w:p w14:paraId="279F015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1.同一关联关系类型有多个主体的，应分行填写。</w:t>
            </w:r>
          </w:p>
          <w:p w14:paraId="4488CA0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lang w:val="en-US" w:eastAsia="zh-CN"/>
              </w:rPr>
            </w:pPr>
            <w:r>
              <w:rPr>
                <w:rFonts w:hint="eastAsia" w:ascii="宋体" w:hAnsi="宋体" w:eastAsia="宋体" w:cs="宋体"/>
                <w:b/>
                <w:color w:val="auto"/>
                <w:sz w:val="24"/>
                <w:szCs w:val="24"/>
                <w:lang w:val="en-US" w:eastAsia="zh-CN"/>
              </w:rPr>
              <w:t>2.上述规定的控股、管理关系仅限于直接控股、直接管理关系，不包括间接的控股或管理关系。</w:t>
            </w:r>
          </w:p>
        </w:tc>
      </w:tr>
    </w:tbl>
    <w:p w14:paraId="5240A30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bCs/>
          <w:color w:val="FF0000"/>
          <w:spacing w:val="-4"/>
          <w:sz w:val="24"/>
          <w:szCs w:val="24"/>
          <w:lang w:val="en-US" w:eastAsia="zh-CN"/>
        </w:rPr>
      </w:pPr>
      <w:r>
        <w:rPr>
          <w:rFonts w:hint="eastAsia" w:ascii="宋体" w:hAnsi="宋体" w:eastAsia="宋体" w:cs="宋体"/>
          <w:b/>
          <w:bCs/>
          <w:color w:val="FF0000"/>
          <w:spacing w:val="-4"/>
          <w:sz w:val="24"/>
          <w:szCs w:val="24"/>
          <w:lang w:val="en-US" w:eastAsia="zh-CN"/>
        </w:rPr>
        <w:t>备注：注明“必填项”的必须填写；未注明“必填项”的，如供应商未填写则视为未安排（或无）。</w:t>
      </w:r>
    </w:p>
    <w:p w14:paraId="4DACBF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p>
    <w:p w14:paraId="1340E5E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2.社保证明材料：</w:t>
      </w:r>
    </w:p>
    <w:p w14:paraId="77555AC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（1）法定代表人/单位负责人/主要经营负责人</w:t>
      </w:r>
    </w:p>
    <w:p w14:paraId="30A6785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w:t>
      </w:r>
    </w:p>
    <w:p w14:paraId="622DC80F">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1F3219B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（2）投标授权代表人</w:t>
      </w:r>
    </w:p>
    <w:p w14:paraId="41E3ABA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身份证复印件（正反面）：</w:t>
      </w:r>
    </w:p>
    <w:p w14:paraId="5BD27FB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w:t>
      </w:r>
    </w:p>
    <w:p w14:paraId="3DDFC371">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3F144DC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（3）项目负责人（如本项目未安排，可不提供）</w:t>
      </w:r>
    </w:p>
    <w:p w14:paraId="6F90FF7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w:t>
      </w:r>
    </w:p>
    <w:p w14:paraId="0528A136">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1D0C42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（4）主要技术人员（如本项目未安排，可不提供）</w:t>
      </w:r>
    </w:p>
    <w:p w14:paraId="0E658AC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身份证复印件（正反面）：</w:t>
      </w:r>
    </w:p>
    <w:p w14:paraId="7F1CA31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w:t>
      </w:r>
    </w:p>
    <w:p w14:paraId="04259BDE">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7632F921">
      <w:pPr>
        <w:keepNext w:val="0"/>
        <w:keepLines w:val="0"/>
        <w:pageBreakBefore w:val="0"/>
        <w:widowControl/>
        <w:numPr>
          <w:ilvl w:val="0"/>
          <w:numId w:val="3"/>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投标文件编制人员</w:t>
      </w:r>
    </w:p>
    <w:p w14:paraId="693515C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身份证复印件（正反面）：</w:t>
      </w:r>
    </w:p>
    <w:p w14:paraId="711F8CA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w:t>
      </w:r>
    </w:p>
    <w:p w14:paraId="1D4CE094">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lang w:val="en-US" w:eastAsia="zh-CN"/>
        </w:rPr>
      </w:pPr>
    </w:p>
    <w:p w14:paraId="575FD5F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注：</w:t>
      </w:r>
    </w:p>
    <w:p w14:paraId="6019CBB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1）如开标前近一个月的社保材料因社保部门原因暂时无法取得，则可以往前顺延一个月。其中项目负责人及主要技术人员社保证明须由供应商缴纳。</w:t>
      </w:r>
    </w:p>
    <w:p w14:paraId="4563909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2）供应商的项目投标授权代表人与法定代表人为同一人的，则须提供法定代表人的社保证明；本项目未安排项目负责人的，则无须提供项目负责人的社保证明。</w:t>
      </w:r>
    </w:p>
    <w:p w14:paraId="3990F4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3）如无法按上述要求提供人员社会保险证明材料的，提交以下材料亦视为符合：</w:t>
      </w:r>
    </w:p>
    <w:p w14:paraId="71B6434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若供应商为新成立企业且成立时间不足一个月，提供加盖投标人公章的情况说明或者证明材料。若为退休人员，提供退休证明。如依法不需要缴纳社会保险的，应提供相应文件证明。若因为社保部门原因无法提供的，需提供劳动合同及社保部门官方通知证明(或官网公告截图)。</w:t>
      </w:r>
    </w:p>
    <w:p w14:paraId="59C6B2B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3D426E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3.股权关系证明材料：</w:t>
      </w:r>
    </w:p>
    <w:p w14:paraId="182DAFD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（1）股权（或管理）关系证明材料：</w:t>
      </w:r>
    </w:p>
    <w:p w14:paraId="209305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通过国家企业信用信息公示系统(https://www.gsxt.gov.cn/index.html）、或机关赋码和事业单位登记管理网（http://gjsy.gov.cn/sydwfrxxcx/)、或全国社会组织信用信息公示平台（https://xxgs.chinanpo.mca.gov.cn/gsxt/newList)等网站查询的最新股权（或管理）关系截图）</w:t>
      </w:r>
    </w:p>
    <w:p w14:paraId="51B67CE2">
      <w:pPr>
        <w:jc w:val="left"/>
        <w:rPr>
          <w:rFonts w:hint="eastAsia" w:ascii="宋体" w:hAnsi="宋体" w:eastAsia="宋体" w:cs="宋体"/>
          <w:color w:val="auto"/>
          <w:sz w:val="24"/>
          <w:szCs w:val="24"/>
          <w:highlight w:val="none"/>
          <w:lang w:eastAsia="zh-CN"/>
        </w:rPr>
      </w:pPr>
    </w:p>
    <w:p w14:paraId="4142240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（2）《股权关系情况承诺函》</w:t>
      </w:r>
    </w:p>
    <w:p w14:paraId="4FA75FF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致：深圳公安局光明分局、友和保险经纪有限公司</w:t>
      </w:r>
    </w:p>
    <w:p w14:paraId="228CE390">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我公司申请参加深圳公安局光明分局下属单位食堂食材配送服务项目，项目编号为GMDL2025000017的项目投标，并作出如下承诺：</w:t>
      </w:r>
    </w:p>
    <w:p w14:paraId="25B729D0">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我公司承诺所填的股权关系情况真实、准确、完整。</w:t>
      </w:r>
    </w:p>
    <w:p w14:paraId="2CC16EFB">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75660E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特此承诺！</w:t>
      </w:r>
    </w:p>
    <w:p w14:paraId="6039A98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71D4325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                                供应商名称： </w:t>
      </w:r>
    </w:p>
    <w:p w14:paraId="4438A191">
      <w:pPr>
        <w:keepNext w:val="0"/>
        <w:keepLines w:val="0"/>
        <w:pageBreakBefore w:val="0"/>
        <w:widowControl/>
        <w:numPr>
          <w:ilvl w:val="0"/>
          <w:numId w:val="0"/>
        </w:numPr>
        <w:kinsoku/>
        <w:wordWrap/>
        <w:overflowPunct/>
        <w:topLinePunct w:val="0"/>
        <w:autoSpaceDE/>
        <w:autoSpaceDN/>
        <w:bidi w:val="0"/>
        <w:adjustRightInd/>
        <w:snapToGrid w:val="0"/>
        <w:ind w:firstLine="3840" w:firstLineChars="16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日  期：       年    月   日</w:t>
      </w:r>
    </w:p>
    <w:p w14:paraId="3B1A3E4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1F35FB0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注：代理机构将于截标当日同步通过上述网站进行查询，查询结果与供应商填报信息不一致的，以代理机构于截标当日的查询结果为准。</w:t>
      </w:r>
    </w:p>
    <w:p w14:paraId="0A2D5049">
      <w:pPr>
        <w:rPr>
          <w:rFonts w:hint="default"/>
          <w:lang w:val="en-US" w:eastAsia="zh-CN"/>
        </w:rPr>
      </w:pPr>
    </w:p>
    <w:p w14:paraId="63411AE9">
      <w:pPr>
        <w:rPr>
          <w:rFonts w:hint="eastAsia"/>
          <w:b w:val="0"/>
          <w:sz w:val="24"/>
          <w:szCs w:val="24"/>
          <w:lang w:eastAsia="zh-CN"/>
        </w:rPr>
      </w:pPr>
      <w:r>
        <w:rPr>
          <w:rFonts w:hint="eastAsia"/>
          <w:b w:val="0"/>
          <w:sz w:val="24"/>
          <w:szCs w:val="24"/>
          <w:lang w:eastAsia="zh-CN"/>
        </w:rPr>
        <w:br w:type="page"/>
      </w:r>
    </w:p>
    <w:p w14:paraId="131F1076">
      <w:pPr>
        <w:pStyle w:val="4"/>
        <w:jc w:val="center"/>
        <w:rPr>
          <w:b w:val="0"/>
          <w:sz w:val="24"/>
          <w:szCs w:val="24"/>
        </w:rPr>
      </w:pPr>
      <w:r>
        <w:rPr>
          <w:rFonts w:hint="eastAsia"/>
          <w:b w:val="0"/>
          <w:sz w:val="24"/>
          <w:szCs w:val="24"/>
          <w:lang w:eastAsia="zh-CN"/>
        </w:rPr>
        <w:t>四</w:t>
      </w:r>
      <w:r>
        <w:rPr>
          <w:rFonts w:hint="eastAsia"/>
          <w:b w:val="0"/>
          <w:sz w:val="24"/>
          <w:szCs w:val="24"/>
        </w:rPr>
        <w:t>、</w:t>
      </w:r>
      <w:bookmarkStart w:id="39" w:name="_Hlk72092634"/>
      <w:r>
        <w:rPr>
          <w:rFonts w:hint="eastAsia"/>
          <w:b w:val="0"/>
          <w:sz w:val="24"/>
          <w:szCs w:val="24"/>
        </w:rPr>
        <w:t>实质性条款响应情况表</w:t>
      </w:r>
      <w:bookmarkEnd w:id="39"/>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5058"/>
        <w:gridCol w:w="1817"/>
        <w:gridCol w:w="494"/>
        <w:gridCol w:w="457"/>
      </w:tblGrid>
      <w:tr w14:paraId="77F2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08" w:type="pct"/>
            <w:vAlign w:val="center"/>
          </w:tcPr>
          <w:p w14:paraId="2D02C14E">
            <w:pPr>
              <w:keepNext w:val="0"/>
              <w:keepLines w:val="0"/>
              <w:widowControl/>
              <w:suppressLineNumbers w:val="0"/>
              <w:adjustRightInd w:val="0"/>
              <w:snapToGrid w:val="0"/>
              <w:spacing w:before="0" w:beforeAutospacing="0" w:after="0" w:afterAutospacing="0" w:line="360" w:lineRule="auto"/>
              <w:ind w:left="0" w:right="0"/>
              <w:jc w:val="center"/>
              <w:rPr>
                <w:rFonts w:hint="default" w:ascii="宋体" w:hAnsi="宋体" w:eastAsia="宋体"/>
                <w:szCs w:val="21"/>
              </w:rPr>
            </w:pPr>
            <w:bookmarkStart w:id="40" w:name="_Hlk72092651"/>
            <w:r>
              <w:rPr>
                <w:rFonts w:hint="eastAsia" w:ascii="宋体" w:hAnsi="宋体" w:eastAsia="宋体"/>
                <w:szCs w:val="21"/>
              </w:rPr>
              <w:t>序号</w:t>
            </w:r>
          </w:p>
        </w:tc>
        <w:tc>
          <w:tcPr>
            <w:tcW w:w="2967" w:type="pct"/>
            <w:vAlign w:val="center"/>
          </w:tcPr>
          <w:p w14:paraId="18003A37">
            <w:pPr>
              <w:keepNext w:val="0"/>
              <w:keepLines w:val="0"/>
              <w:widowControl/>
              <w:suppressLineNumbers w:val="0"/>
              <w:adjustRightInd w:val="0"/>
              <w:snapToGrid w:val="0"/>
              <w:spacing w:before="0" w:beforeAutospacing="0" w:after="0" w:afterAutospacing="0" w:line="360" w:lineRule="auto"/>
              <w:ind w:left="0" w:right="0"/>
              <w:jc w:val="center"/>
              <w:rPr>
                <w:rFonts w:hint="default" w:ascii="宋体" w:hAnsi="宋体" w:eastAsia="宋体"/>
                <w:szCs w:val="21"/>
              </w:rPr>
            </w:pPr>
            <w:r>
              <w:rPr>
                <w:rFonts w:hint="eastAsia" w:ascii="宋体" w:hAnsi="宋体" w:eastAsia="宋体"/>
                <w:szCs w:val="21"/>
              </w:rPr>
              <w:t>实质性条款具体内容</w:t>
            </w:r>
          </w:p>
        </w:tc>
        <w:tc>
          <w:tcPr>
            <w:tcW w:w="1066" w:type="pct"/>
            <w:vAlign w:val="center"/>
          </w:tcPr>
          <w:p w14:paraId="63FC415B">
            <w:pPr>
              <w:keepNext w:val="0"/>
              <w:keepLines w:val="0"/>
              <w:widowControl/>
              <w:suppressLineNumbers w:val="0"/>
              <w:adjustRightInd w:val="0"/>
              <w:snapToGrid w:val="0"/>
              <w:spacing w:before="0" w:beforeAutospacing="0" w:after="0" w:afterAutospacing="0" w:line="360" w:lineRule="auto"/>
              <w:ind w:left="0" w:right="0"/>
              <w:jc w:val="center"/>
              <w:rPr>
                <w:rFonts w:hint="default" w:ascii="宋体" w:hAnsi="宋体" w:eastAsia="宋体"/>
                <w:szCs w:val="21"/>
              </w:rPr>
            </w:pPr>
            <w:r>
              <w:rPr>
                <w:rFonts w:hint="eastAsia" w:ascii="宋体" w:hAnsi="宋体" w:eastAsia="宋体"/>
              </w:rPr>
              <w:t>投标响应</w:t>
            </w:r>
          </w:p>
        </w:tc>
        <w:tc>
          <w:tcPr>
            <w:tcW w:w="290" w:type="pct"/>
            <w:vAlign w:val="center"/>
          </w:tcPr>
          <w:p w14:paraId="5502E284">
            <w:pPr>
              <w:keepNext w:val="0"/>
              <w:keepLines w:val="0"/>
              <w:widowControl/>
              <w:suppressLineNumbers w:val="0"/>
              <w:adjustRightInd w:val="0"/>
              <w:snapToGrid w:val="0"/>
              <w:spacing w:before="0" w:beforeAutospacing="0" w:after="0" w:afterAutospacing="0" w:line="360" w:lineRule="auto"/>
              <w:ind w:left="0" w:right="0"/>
              <w:jc w:val="center"/>
              <w:rPr>
                <w:rFonts w:hint="default" w:ascii="宋体" w:hAnsi="宋体" w:eastAsia="宋体"/>
                <w:szCs w:val="21"/>
              </w:rPr>
            </w:pPr>
            <w:r>
              <w:rPr>
                <w:rFonts w:hint="eastAsia" w:ascii="宋体" w:hAnsi="宋体" w:eastAsia="宋体"/>
              </w:rPr>
              <w:t>偏离情况</w:t>
            </w:r>
          </w:p>
        </w:tc>
        <w:tc>
          <w:tcPr>
            <w:tcW w:w="268" w:type="pct"/>
            <w:vAlign w:val="center"/>
          </w:tcPr>
          <w:p w14:paraId="10FD5742">
            <w:pPr>
              <w:keepNext w:val="0"/>
              <w:keepLines w:val="0"/>
              <w:widowControl/>
              <w:suppressLineNumbers w:val="0"/>
              <w:adjustRightInd w:val="0"/>
              <w:snapToGrid w:val="0"/>
              <w:spacing w:before="0" w:beforeAutospacing="0" w:after="0" w:afterAutospacing="0" w:line="360" w:lineRule="auto"/>
              <w:ind w:left="0" w:right="0"/>
              <w:jc w:val="center"/>
              <w:rPr>
                <w:rFonts w:hint="default" w:ascii="宋体" w:hAnsi="宋体" w:eastAsia="宋体"/>
                <w:szCs w:val="21"/>
              </w:rPr>
            </w:pPr>
            <w:r>
              <w:rPr>
                <w:rFonts w:hint="eastAsia" w:ascii="宋体" w:hAnsi="宋体" w:eastAsia="宋体"/>
              </w:rPr>
              <w:t>说明</w:t>
            </w:r>
          </w:p>
        </w:tc>
      </w:tr>
      <w:bookmarkEnd w:id="40"/>
      <w:tr w14:paraId="4BA8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3A355AC">
            <w:pPr>
              <w:keepNext w:val="0"/>
              <w:keepLines w:val="0"/>
              <w:widowControl/>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szCs w:val="21"/>
              </w:rPr>
            </w:pPr>
            <w:r>
              <w:rPr>
                <w:rFonts w:hint="eastAsia" w:ascii="宋体" w:hAnsi="宋体" w:eastAsia="宋体" w:cs="宋体"/>
                <w:kern w:val="0"/>
                <w:sz w:val="24"/>
                <w:szCs w:val="24"/>
                <w:lang w:val="en-US" w:eastAsia="zh-CN" w:bidi="ar"/>
              </w:rPr>
              <w:t>1</w:t>
            </w:r>
          </w:p>
        </w:tc>
        <w:tc>
          <w:tcPr>
            <w:tcW w:w="5058" w:type="dxa"/>
            <w:vAlign w:val="top"/>
          </w:tcPr>
          <w:p w14:paraId="611143AC">
            <w:pPr>
              <w:keepNext w:val="0"/>
              <w:keepLines w:val="0"/>
              <w:widowControl/>
              <w:suppressLineNumbers w:val="0"/>
              <w:tabs>
                <w:tab w:val="left" w:pos="720"/>
              </w:tabs>
              <w:autoSpaceDE w:val="0"/>
              <w:autoSpaceDN/>
              <w:spacing w:before="0" w:beforeAutospacing="0" w:after="0" w:afterAutospacing="0"/>
              <w:ind w:left="0" w:leftChars="0" w:right="0" w:rightChars="0" w:firstLine="0" w:firstLineChars="0"/>
              <w:jc w:val="left"/>
              <w:rPr>
                <w:rFonts w:hint="eastAsia" w:ascii="宋体" w:hAnsi="宋体" w:eastAsia="宋体"/>
                <w:color w:val="4F81BD" w:themeColor="accent1"/>
                <w:szCs w:val="21"/>
                <w:lang w:eastAsia="zh-CN"/>
                <w14:textFill>
                  <w14:solidFill>
                    <w14:schemeClr w14:val="accent1"/>
                  </w14:solidFill>
                </w14:textFill>
              </w:rPr>
            </w:pPr>
            <w:r>
              <w:rPr>
                <w:rFonts w:hint="eastAsia" w:ascii="宋体" w:hAnsi="宋体" w:eastAsia="宋体" w:cs="宋体"/>
                <w:kern w:val="0"/>
                <w:sz w:val="21"/>
                <w:szCs w:val="21"/>
                <w:lang w:val="en-US" w:eastAsia="zh-CN" w:bidi="ar"/>
              </w:rPr>
              <w:t>(1)</w:t>
            </w:r>
            <w:r>
              <w:rPr>
                <w:rFonts w:hint="default" w:ascii="Times New Roman" w:hAnsi="Times New Roman" w:eastAsia="Times New Roman" w:cs="Times New Roman"/>
                <w:kern w:val="0"/>
                <w:sz w:val="21"/>
                <w:szCs w:val="21"/>
                <w:lang w:val="en-US" w:eastAsia="zh-CN" w:bidi="ar"/>
              </w:rPr>
              <w:t>★配送食品全部经过国家规定的职能部门检验并有检测报告，确保安全可靠。中标人在全国范围内从未出现或舆论关注的配送食品安全事故，一经查实或合同签订期间出现上述情况，采购人将立即解除合同，中标人应赔偿相关损失。</w:t>
            </w:r>
          </w:p>
        </w:tc>
        <w:tc>
          <w:tcPr>
            <w:tcW w:w="1066" w:type="pct"/>
          </w:tcPr>
          <w:p w14:paraId="67AD5527">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90" w:type="pct"/>
          </w:tcPr>
          <w:p w14:paraId="53B20C1A">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68" w:type="pct"/>
          </w:tcPr>
          <w:p w14:paraId="6321ED2B">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r>
      <w:tr w14:paraId="5B5A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22D6E75">
            <w:pPr>
              <w:keepNext w:val="0"/>
              <w:keepLines w:val="0"/>
              <w:widowControl/>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szCs w:val="21"/>
              </w:rPr>
            </w:pPr>
            <w:r>
              <w:rPr>
                <w:rFonts w:hint="eastAsia" w:ascii="宋体" w:hAnsi="宋体" w:eastAsia="宋体" w:cs="宋体"/>
                <w:kern w:val="0"/>
                <w:sz w:val="24"/>
                <w:szCs w:val="24"/>
                <w:lang w:val="en-US" w:eastAsia="zh-CN" w:bidi="ar"/>
              </w:rPr>
              <w:t>2</w:t>
            </w:r>
          </w:p>
        </w:tc>
        <w:tc>
          <w:tcPr>
            <w:tcW w:w="5058" w:type="dxa"/>
            <w:vAlign w:val="top"/>
          </w:tcPr>
          <w:p w14:paraId="5098D516">
            <w:pPr>
              <w:keepNext w:val="0"/>
              <w:keepLines w:val="0"/>
              <w:widowControl/>
              <w:suppressLineNumbers w:val="0"/>
              <w:tabs>
                <w:tab w:val="left" w:pos="720"/>
              </w:tabs>
              <w:autoSpaceDE w:val="0"/>
              <w:autoSpaceDN/>
              <w:spacing w:before="0" w:beforeAutospacing="0" w:after="0" w:afterAutospacing="0"/>
              <w:ind w:left="0" w:leftChars="0" w:right="0" w:firstLine="0" w:firstLineChars="0"/>
              <w:jc w:val="both"/>
              <w:rPr>
                <w:rFonts w:hint="default" w:ascii="宋体" w:hAnsi="宋体" w:cs="Times New Roman"/>
                <w:sz w:val="21"/>
                <w:szCs w:val="21"/>
              </w:rPr>
            </w:pPr>
            <w:r>
              <w:rPr>
                <w:rFonts w:hint="default" w:ascii="Times New Roman" w:hAnsi="Times New Roman" w:eastAsia="Times New Roman" w:cs="Times New Roman"/>
                <w:kern w:val="0"/>
                <w:sz w:val="21"/>
                <w:szCs w:val="21"/>
                <w:lang w:val="en-US" w:eastAsia="zh-CN" w:bidi="ar"/>
              </w:rPr>
              <w:t>（一）★服务期限</w:t>
            </w:r>
          </w:p>
          <w:p w14:paraId="7BAF5C7F">
            <w:pPr>
              <w:keepNext w:val="0"/>
              <w:keepLines w:val="0"/>
              <w:widowControl/>
              <w:suppressLineNumbers w:val="0"/>
              <w:tabs>
                <w:tab w:val="left" w:pos="720"/>
              </w:tabs>
              <w:autoSpaceDE w:val="0"/>
              <w:autoSpaceDN/>
              <w:spacing w:before="0" w:beforeAutospacing="0" w:after="0" w:afterAutospacing="0"/>
              <w:ind w:left="0" w:leftChars="0" w:right="0" w:rightChars="0" w:firstLine="0" w:firstLineChars="0"/>
              <w:jc w:val="both"/>
              <w:rPr>
                <w:rFonts w:hint="default" w:ascii="宋体" w:hAnsi="宋体" w:eastAsia="宋体"/>
                <w:color w:val="4F81BD" w:themeColor="accent1"/>
                <w:szCs w:val="21"/>
                <w14:textFill>
                  <w14:solidFill>
                    <w14:schemeClr w14:val="accent1"/>
                  </w14:solidFill>
                </w14:textFill>
              </w:rPr>
            </w:pPr>
            <w:r>
              <w:rPr>
                <w:rFonts w:hint="default" w:ascii="Times New Roman" w:hAnsi="Times New Roman" w:eastAsia="Times New Roman" w:cs="Times New Roman"/>
                <w:kern w:val="0"/>
                <w:sz w:val="21"/>
                <w:szCs w:val="21"/>
                <w:lang w:val="en-US" w:eastAsia="zh-CN" w:bidi="ar"/>
              </w:rPr>
              <w:t>本项目服务期限为自合同签订之日起一年。本项目为长期服务类项目，第一年为本次招标的中标服务期限，采购单位可根据项目需要和中标人的履约情况确定合同期限是否延长，但最长不超过三十六个月。若政府采购主管部门发现项目有异常情况，以主管部门意见为准。</w:t>
            </w:r>
          </w:p>
        </w:tc>
        <w:tc>
          <w:tcPr>
            <w:tcW w:w="1066" w:type="pct"/>
          </w:tcPr>
          <w:p w14:paraId="1E3568E2">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90" w:type="pct"/>
          </w:tcPr>
          <w:p w14:paraId="334A45D9">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68" w:type="pct"/>
          </w:tcPr>
          <w:p w14:paraId="2C587F0A">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r>
      <w:tr w14:paraId="0973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5918C6C">
            <w:pPr>
              <w:keepNext w:val="0"/>
              <w:keepLines w:val="0"/>
              <w:widowControl/>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szCs w:val="21"/>
              </w:rPr>
            </w:pPr>
            <w:r>
              <w:rPr>
                <w:rFonts w:hint="eastAsia" w:ascii="宋体" w:hAnsi="宋体" w:eastAsia="宋体" w:cs="宋体"/>
                <w:kern w:val="0"/>
                <w:sz w:val="24"/>
                <w:szCs w:val="24"/>
                <w:lang w:val="en-US" w:eastAsia="zh-CN" w:bidi="ar"/>
              </w:rPr>
              <w:t>3</w:t>
            </w:r>
          </w:p>
        </w:tc>
        <w:tc>
          <w:tcPr>
            <w:tcW w:w="5058" w:type="dxa"/>
            <w:vAlign w:val="center"/>
          </w:tcPr>
          <w:p w14:paraId="2FD573BA">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default" w:ascii="Times New Roman" w:hAnsi="Times New Roman" w:cs="Times New Roman"/>
                <w:sz w:val="21"/>
                <w:szCs w:val="21"/>
              </w:rPr>
              <w:t>（三）★报价要求及结算方式</w:t>
            </w:r>
          </w:p>
          <w:p w14:paraId="0C8C04D7">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eastAsia" w:ascii="宋体" w:hAnsi="宋体" w:eastAsia="宋体" w:cs="宋体"/>
                <w:sz w:val="21"/>
                <w:szCs w:val="21"/>
              </w:rPr>
              <w:t>1.</w:t>
            </w:r>
            <w:r>
              <w:rPr>
                <w:rFonts w:hint="default" w:ascii="Times New Roman" w:hAnsi="Times New Roman" w:cs="Times New Roman"/>
                <w:sz w:val="21"/>
                <w:szCs w:val="21"/>
              </w:rPr>
              <w:t>深圳市中农数据有限公司（天天采配服务平台）中有价格的产品，以深圳市中农数据有限公司（天天采配服务平台）（网址：</w:t>
            </w:r>
            <w:r>
              <w:rPr>
                <w:rFonts w:hint="eastAsia" w:ascii="宋体" w:hAnsi="宋体" w:eastAsia="宋体" w:cs="宋体"/>
                <w:sz w:val="21"/>
                <w:szCs w:val="21"/>
              </w:rPr>
              <w:t>www.chinaap.com</w:t>
            </w:r>
            <w:r>
              <w:rPr>
                <w:rFonts w:hint="default" w:ascii="Times New Roman" w:hAnsi="Times New Roman" w:cs="Times New Roman"/>
                <w:sz w:val="21"/>
                <w:szCs w:val="21"/>
              </w:rPr>
              <w:t>）上个月整月公布的价格（非含费价）取平均值作为该项物资的基准价，投标人结合企业自己的实力报出折扣率。结算时价格</w:t>
            </w:r>
            <w:r>
              <w:rPr>
                <w:rFonts w:hint="eastAsia" w:ascii="宋体" w:hAnsi="宋体" w:eastAsia="宋体" w:cs="宋体"/>
                <w:sz w:val="21"/>
                <w:szCs w:val="21"/>
              </w:rPr>
              <w:t>=</w:t>
            </w:r>
            <w:r>
              <w:rPr>
                <w:rFonts w:hint="default" w:ascii="Times New Roman" w:hAnsi="Times New Roman" w:cs="Times New Roman"/>
                <w:sz w:val="21"/>
                <w:szCs w:val="21"/>
              </w:rPr>
              <w:t>折扣率</w:t>
            </w:r>
            <w:r>
              <w:rPr>
                <w:rFonts w:hint="eastAsia" w:ascii="宋体" w:hAnsi="宋体" w:eastAsia="宋体" w:cs="宋体"/>
                <w:sz w:val="21"/>
                <w:szCs w:val="21"/>
              </w:rPr>
              <w:t>*</w:t>
            </w:r>
            <w:r>
              <w:rPr>
                <w:rFonts w:hint="default" w:ascii="Times New Roman" w:hAnsi="Times New Roman" w:cs="Times New Roman"/>
                <w:sz w:val="21"/>
                <w:szCs w:val="21"/>
              </w:rPr>
              <w:t>基准价。</w:t>
            </w:r>
          </w:p>
          <w:p w14:paraId="19CADD9C">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eastAsia" w:ascii="宋体" w:hAnsi="宋体" w:eastAsia="宋体" w:cs="宋体"/>
                <w:sz w:val="21"/>
                <w:szCs w:val="21"/>
              </w:rPr>
              <w:t>2.</w:t>
            </w:r>
            <w:r>
              <w:rPr>
                <w:rFonts w:hint="default" w:ascii="Times New Roman" w:hAnsi="Times New Roman" w:cs="Times New Roman"/>
                <w:sz w:val="21"/>
                <w:szCs w:val="21"/>
              </w:rPr>
              <w:t>深圳市中农数据有限公司（天天采购平台）中无价格的产品，则结算时价格</w:t>
            </w:r>
            <w:r>
              <w:rPr>
                <w:rFonts w:hint="eastAsia" w:ascii="宋体" w:hAnsi="宋体" w:eastAsia="宋体" w:cs="宋体"/>
                <w:sz w:val="21"/>
                <w:szCs w:val="21"/>
              </w:rPr>
              <w:t>=</w:t>
            </w:r>
            <w:r>
              <w:rPr>
                <w:rFonts w:hint="default" w:ascii="Times New Roman" w:hAnsi="Times New Roman" w:cs="Times New Roman"/>
                <w:sz w:val="21"/>
                <w:szCs w:val="21"/>
              </w:rPr>
              <w:t>折扣率</w:t>
            </w:r>
            <w:r>
              <w:rPr>
                <w:rFonts w:hint="eastAsia" w:ascii="宋体" w:hAnsi="宋体" w:eastAsia="宋体" w:cs="宋体"/>
                <w:sz w:val="21"/>
                <w:szCs w:val="21"/>
              </w:rPr>
              <w:t>*</w:t>
            </w:r>
            <w:r>
              <w:rPr>
                <w:rFonts w:hint="default" w:ascii="Times New Roman" w:hAnsi="Times New Roman" w:cs="Times New Roman"/>
                <w:sz w:val="21"/>
                <w:szCs w:val="21"/>
              </w:rPr>
              <w:t>市场价（市场价由采购人组织调查小组到大型超市或农贸市场进行考察后确定合理的市场价）。</w:t>
            </w:r>
          </w:p>
          <w:p w14:paraId="46290CFD">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eastAsia" w:ascii="宋体" w:hAnsi="宋体" w:eastAsia="宋体" w:cs="宋体"/>
                <w:sz w:val="21"/>
                <w:szCs w:val="21"/>
              </w:rPr>
              <w:t>3.</w:t>
            </w:r>
            <w:r>
              <w:rPr>
                <w:rFonts w:hint="default" w:ascii="Times New Roman" w:hAnsi="Times New Roman" w:cs="Times New Roman"/>
                <w:sz w:val="21"/>
                <w:szCs w:val="21"/>
              </w:rPr>
              <w:t>报价包括供应货物和货物运输到采购单位的服务费、运费、装卸费、检测费、人工费、管理费、保险、税金等一切将可能发生的费用。以人民币为报价和结算单位，并开具国家正规发票。</w:t>
            </w:r>
          </w:p>
          <w:p w14:paraId="4575E8F4">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default" w:ascii="Times New Roman" w:hAnsi="Times New Roman" w:cs="Times New Roman"/>
                <w:sz w:val="21"/>
                <w:szCs w:val="21"/>
              </w:rPr>
              <w:t>备注：</w:t>
            </w:r>
          </w:p>
          <w:p w14:paraId="6073F8AF">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default" w:ascii="Times New Roman" w:hAnsi="Times New Roman" w:cs="Times New Roman"/>
                <w:sz w:val="21"/>
                <w:szCs w:val="21"/>
              </w:rPr>
              <w:t>（</w:t>
            </w:r>
            <w:r>
              <w:rPr>
                <w:rFonts w:hint="eastAsia" w:ascii="宋体" w:hAnsi="宋体" w:eastAsia="宋体" w:cs="宋体"/>
                <w:sz w:val="21"/>
                <w:szCs w:val="21"/>
              </w:rPr>
              <w:t>1</w:t>
            </w:r>
            <w:r>
              <w:rPr>
                <w:rFonts w:hint="default" w:ascii="Times New Roman" w:hAnsi="Times New Roman" w:cs="Times New Roman"/>
                <w:sz w:val="21"/>
                <w:szCs w:val="21"/>
              </w:rPr>
              <w:t>）本次招标不涉及具体投标金额（无须投标人在投标文件中填报具体投标金额），投标人只需在投标文件中就《开标一览表》和《项目详细报价》填报唯一的“折扣率”作为投标报价，折扣率等于结算价占基准价的比例，即折扣率</w:t>
            </w:r>
            <w:r>
              <w:rPr>
                <w:rFonts w:hint="eastAsia" w:ascii="宋体" w:hAnsi="宋体" w:eastAsia="宋体" w:cs="宋体"/>
                <w:sz w:val="21"/>
                <w:szCs w:val="21"/>
              </w:rPr>
              <w:t>=</w:t>
            </w:r>
            <w:r>
              <w:rPr>
                <w:rFonts w:hint="default" w:ascii="Times New Roman" w:hAnsi="Times New Roman" w:cs="Times New Roman"/>
                <w:sz w:val="21"/>
                <w:szCs w:val="21"/>
              </w:rPr>
              <w:t>结算价</w:t>
            </w:r>
            <w:r>
              <w:rPr>
                <w:rFonts w:hint="eastAsia" w:ascii="宋体" w:hAnsi="宋体" w:eastAsia="宋体" w:cs="宋体"/>
                <w:sz w:val="21"/>
                <w:szCs w:val="21"/>
              </w:rPr>
              <w:t>/</w:t>
            </w:r>
            <w:r>
              <w:rPr>
                <w:rFonts w:hint="default" w:ascii="Times New Roman" w:hAnsi="Times New Roman" w:cs="Times New Roman"/>
                <w:sz w:val="21"/>
                <w:szCs w:val="21"/>
              </w:rPr>
              <w:t>基准价。投标人应根据自身成本自行填报“折扣率”，但不得以低于其成本的报价竞标。</w:t>
            </w:r>
          </w:p>
          <w:p w14:paraId="1421718B">
            <w:pPr>
              <w:pStyle w:val="8"/>
              <w:keepNext w:val="0"/>
              <w:keepLines w:val="0"/>
              <w:widowControl/>
              <w:suppressLineNumbers w:val="0"/>
              <w:spacing w:before="0" w:beforeAutospacing="0" w:after="0" w:afterAutospacing="0"/>
              <w:ind w:left="0" w:leftChars="0" w:right="0" w:rightChars="0"/>
              <w:jc w:val="both"/>
              <w:rPr>
                <w:rFonts w:hint="default" w:ascii="宋体" w:hAnsi="宋体" w:eastAsia="宋体"/>
                <w:color w:val="4F81BD" w:themeColor="accent1"/>
                <w:szCs w:val="21"/>
                <w14:textFill>
                  <w14:solidFill>
                    <w14:schemeClr w14:val="accent1"/>
                  </w14:solidFill>
                </w14:textFill>
              </w:rPr>
            </w:pPr>
            <w:r>
              <w:rPr>
                <w:rFonts w:hint="default" w:ascii="Times New Roman" w:hAnsi="Times New Roman" w:cs="Times New Roman"/>
                <w:sz w:val="21"/>
                <w:szCs w:val="21"/>
              </w:rPr>
              <w:t>（</w:t>
            </w:r>
            <w:r>
              <w:rPr>
                <w:rFonts w:hint="eastAsia" w:ascii="宋体" w:hAnsi="宋体" w:eastAsia="宋体" w:cs="宋体"/>
                <w:sz w:val="21"/>
                <w:szCs w:val="21"/>
              </w:rPr>
              <w:t>2</w:t>
            </w:r>
            <w:r>
              <w:rPr>
                <w:rFonts w:hint="default" w:ascii="Times New Roman" w:hAnsi="Times New Roman" w:cs="Times New Roman"/>
                <w:sz w:val="21"/>
                <w:szCs w:val="21"/>
              </w:rPr>
              <w:t>）报价要求：</w:t>
            </w:r>
            <w:r>
              <w:rPr>
                <w:rFonts w:hint="eastAsia" w:ascii="宋体" w:hAnsi="宋体" w:eastAsia="宋体" w:cs="宋体"/>
                <w:sz w:val="21"/>
                <w:szCs w:val="21"/>
              </w:rPr>
              <w:t>0</w:t>
            </w:r>
            <w:r>
              <w:rPr>
                <w:rFonts w:hint="default" w:ascii="Times New Roman" w:hAnsi="Times New Roman" w:cs="Times New Roman"/>
                <w:sz w:val="21"/>
                <w:szCs w:val="21"/>
              </w:rPr>
              <w:t>＜折扣率≤</w:t>
            </w:r>
            <w:r>
              <w:rPr>
                <w:rFonts w:hint="eastAsia" w:ascii="宋体" w:hAnsi="宋体" w:eastAsia="宋体" w:cs="宋体"/>
                <w:sz w:val="21"/>
                <w:szCs w:val="21"/>
              </w:rPr>
              <w:t>1</w:t>
            </w:r>
            <w:r>
              <w:rPr>
                <w:rFonts w:hint="default" w:ascii="Times New Roman" w:hAnsi="Times New Roman" w:cs="Times New Roman"/>
                <w:sz w:val="21"/>
                <w:szCs w:val="21"/>
              </w:rPr>
              <w:t>，并且是固定唯一值，填写的折扣率应为小数，且只填报到小数点后两位（如折扣率为九折填写</w:t>
            </w:r>
            <w:r>
              <w:rPr>
                <w:rFonts w:hint="eastAsia" w:ascii="宋体" w:hAnsi="宋体" w:eastAsia="宋体" w:cs="宋体"/>
                <w:sz w:val="21"/>
                <w:szCs w:val="21"/>
              </w:rPr>
              <w:t>0.90</w:t>
            </w:r>
            <w:r>
              <w:rPr>
                <w:rFonts w:hint="default" w:ascii="Times New Roman" w:hAnsi="Times New Roman" w:cs="Times New Roman"/>
                <w:sz w:val="21"/>
                <w:szCs w:val="21"/>
              </w:rPr>
              <w:t>，八八折填写</w:t>
            </w:r>
            <w:r>
              <w:rPr>
                <w:rFonts w:hint="eastAsia" w:ascii="宋体" w:hAnsi="宋体" w:eastAsia="宋体" w:cs="宋体"/>
                <w:sz w:val="21"/>
                <w:szCs w:val="21"/>
              </w:rPr>
              <w:t>0.88</w:t>
            </w:r>
            <w:r>
              <w:rPr>
                <w:rFonts w:hint="default" w:ascii="Times New Roman" w:hAnsi="Times New Roman" w:cs="Times New Roman"/>
                <w:sz w:val="21"/>
                <w:szCs w:val="21"/>
              </w:rPr>
              <w:t>）。投标折扣率不满足招标文件报价要求的，将作投标无效处理。折扣率在服务期限内保持不变。请投标人在开标一览表中填写投标折扣率的值。（如：折扣率为</w:t>
            </w:r>
            <w:r>
              <w:rPr>
                <w:rFonts w:hint="eastAsia" w:ascii="宋体" w:hAnsi="宋体" w:eastAsia="宋体" w:cs="宋体"/>
                <w:sz w:val="21"/>
                <w:szCs w:val="21"/>
              </w:rPr>
              <w:t>0.95</w:t>
            </w:r>
            <w:r>
              <w:rPr>
                <w:rFonts w:hint="default" w:ascii="Times New Roman" w:hAnsi="Times New Roman" w:cs="Times New Roman"/>
                <w:sz w:val="21"/>
                <w:szCs w:val="21"/>
              </w:rPr>
              <w:t>，则投标人在填报开标一览表时，投标报价须填报：</w:t>
            </w:r>
            <w:r>
              <w:rPr>
                <w:rFonts w:hint="eastAsia" w:ascii="宋体" w:hAnsi="宋体" w:eastAsia="宋体" w:cs="宋体"/>
                <w:sz w:val="21"/>
                <w:szCs w:val="21"/>
              </w:rPr>
              <w:t>0.95</w:t>
            </w:r>
            <w:r>
              <w:rPr>
                <w:rFonts w:hint="default" w:ascii="Times New Roman" w:hAnsi="Times New Roman" w:cs="Times New Roman"/>
                <w:sz w:val="21"/>
                <w:szCs w:val="21"/>
              </w:rPr>
              <w:t>）</w:t>
            </w:r>
          </w:p>
        </w:tc>
        <w:tc>
          <w:tcPr>
            <w:tcW w:w="1066" w:type="pct"/>
          </w:tcPr>
          <w:p w14:paraId="38221121">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90" w:type="pct"/>
          </w:tcPr>
          <w:p w14:paraId="439DCD88">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68" w:type="pct"/>
          </w:tcPr>
          <w:p w14:paraId="40EC66F2">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r>
      <w:tr w14:paraId="151D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351394C">
            <w:pPr>
              <w:keepNext w:val="0"/>
              <w:keepLines w:val="0"/>
              <w:widowControl/>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szCs w:val="21"/>
                <w:lang w:val="en-US" w:eastAsia="zh-CN"/>
              </w:rPr>
            </w:pPr>
            <w:r>
              <w:rPr>
                <w:rFonts w:hint="eastAsia" w:ascii="宋体" w:hAnsi="宋体" w:eastAsia="宋体" w:cs="宋体"/>
                <w:kern w:val="0"/>
                <w:sz w:val="24"/>
                <w:szCs w:val="24"/>
                <w:lang w:val="en-US" w:eastAsia="zh-CN" w:bidi="ar"/>
              </w:rPr>
              <w:t>4</w:t>
            </w:r>
          </w:p>
        </w:tc>
        <w:tc>
          <w:tcPr>
            <w:tcW w:w="5058" w:type="dxa"/>
            <w:vAlign w:val="center"/>
          </w:tcPr>
          <w:p w14:paraId="6CC01DB6">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default" w:ascii="Times New Roman" w:hAnsi="Times New Roman" w:cs="Times New Roman"/>
                <w:sz w:val="21"/>
                <w:szCs w:val="21"/>
              </w:rPr>
              <w:t>（四）★付款方式</w:t>
            </w:r>
          </w:p>
          <w:p w14:paraId="0DDB7ED9">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eastAsia" w:ascii="宋体" w:hAnsi="宋体" w:eastAsia="宋体" w:cs="宋体"/>
                <w:sz w:val="21"/>
                <w:szCs w:val="21"/>
              </w:rPr>
              <w:t>1.</w:t>
            </w:r>
            <w:r>
              <w:rPr>
                <w:rFonts w:hint="default" w:ascii="Times New Roman" w:hAnsi="Times New Roman" w:cs="Times New Roman"/>
                <w:sz w:val="21"/>
                <w:szCs w:val="21"/>
              </w:rPr>
              <w:t>结算货款时，应由采购人财务人员严格审核送货清单，按双方事先确定的结算折扣率每月予以结算。采购人凭采购合同、发票按需结算款项。</w:t>
            </w:r>
          </w:p>
          <w:p w14:paraId="766D4845">
            <w:pPr>
              <w:pStyle w:val="8"/>
              <w:keepNext w:val="0"/>
              <w:keepLines w:val="0"/>
              <w:widowControl/>
              <w:suppressLineNumbers w:val="0"/>
              <w:spacing w:before="0" w:beforeAutospacing="0" w:after="0" w:afterAutospacing="0"/>
              <w:ind w:left="0" w:right="0"/>
              <w:jc w:val="both"/>
              <w:rPr>
                <w:rFonts w:hint="default" w:ascii="宋体" w:hAnsi="宋体" w:cs="Times New Roman"/>
                <w:sz w:val="21"/>
                <w:szCs w:val="21"/>
              </w:rPr>
            </w:pPr>
            <w:r>
              <w:rPr>
                <w:rFonts w:hint="eastAsia" w:ascii="宋体" w:hAnsi="宋体" w:eastAsia="宋体" w:cs="宋体"/>
                <w:sz w:val="21"/>
                <w:szCs w:val="21"/>
              </w:rPr>
              <w:t>2.</w:t>
            </w:r>
            <w:r>
              <w:rPr>
                <w:rFonts w:hint="default" w:ascii="Times New Roman" w:hAnsi="Times New Roman" w:cs="Times New Roman"/>
                <w:sz w:val="21"/>
                <w:szCs w:val="21"/>
              </w:rPr>
              <w:t>中标人若配送本项目服务内容规定范围之外的产品或服务（与食材配送无关的产品或服务）的，采购人将不予支付相关货款。</w:t>
            </w:r>
          </w:p>
          <w:p w14:paraId="7680EFDA">
            <w:pPr>
              <w:pStyle w:val="8"/>
              <w:keepNext w:val="0"/>
              <w:keepLines w:val="0"/>
              <w:widowControl/>
              <w:suppressLineNumbers w:val="0"/>
              <w:spacing w:before="0" w:beforeAutospacing="0" w:after="0" w:afterAutospacing="0"/>
              <w:ind w:left="0" w:leftChars="0" w:right="0" w:rightChars="0"/>
              <w:jc w:val="both"/>
              <w:rPr>
                <w:rFonts w:hint="eastAsia"/>
              </w:rPr>
            </w:pPr>
            <w:r>
              <w:rPr>
                <w:rFonts w:hint="eastAsia" w:ascii="宋体" w:hAnsi="宋体" w:eastAsia="宋体" w:cs="宋体"/>
                <w:sz w:val="21"/>
                <w:szCs w:val="21"/>
              </w:rPr>
              <w:t>3.</w:t>
            </w:r>
            <w:r>
              <w:rPr>
                <w:rFonts w:hint="default" w:ascii="Times New Roman" w:hAnsi="Times New Roman" w:cs="Times New Roman"/>
                <w:sz w:val="21"/>
                <w:szCs w:val="21"/>
              </w:rPr>
              <w:t>中标人无正当理由在接到中标人开票通知之日起单次累计超过</w:t>
            </w:r>
            <w:r>
              <w:rPr>
                <w:rFonts w:hint="eastAsia" w:ascii="宋体" w:hAnsi="宋体" w:eastAsia="宋体" w:cs="宋体"/>
                <w:sz w:val="21"/>
                <w:szCs w:val="21"/>
              </w:rPr>
              <w:t>30</w:t>
            </w:r>
            <w:r>
              <w:rPr>
                <w:rFonts w:hint="default" w:ascii="Times New Roman" w:hAnsi="Times New Roman" w:cs="Times New Roman"/>
                <w:sz w:val="21"/>
                <w:szCs w:val="21"/>
              </w:rPr>
              <w:t>日未提供付款资料的，采购人将不予支付剩余对应费用并上报主管部门。</w:t>
            </w:r>
          </w:p>
        </w:tc>
        <w:tc>
          <w:tcPr>
            <w:tcW w:w="1066" w:type="pct"/>
          </w:tcPr>
          <w:p w14:paraId="7A6806AB">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90" w:type="pct"/>
          </w:tcPr>
          <w:p w14:paraId="5AE3D518">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c>
          <w:tcPr>
            <w:tcW w:w="268" w:type="pct"/>
          </w:tcPr>
          <w:p w14:paraId="3747440D">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宋体"/>
                <w:szCs w:val="21"/>
              </w:rPr>
            </w:pPr>
          </w:p>
        </w:tc>
      </w:tr>
    </w:tbl>
    <w:p w14:paraId="545577B1">
      <w:pPr>
        <w:ind w:firstLine="482" w:firstLineChars="200"/>
        <w:rPr>
          <w:rFonts w:ascii="宋体" w:hAnsi="宋体" w:eastAsia="宋体"/>
          <w:b/>
          <w:szCs w:val="22"/>
        </w:rPr>
      </w:pPr>
    </w:p>
    <w:p w14:paraId="3C4CED3C">
      <w:pPr>
        <w:ind w:firstLine="482" w:firstLineChars="200"/>
        <w:rPr>
          <w:rFonts w:ascii="宋体" w:hAnsi="宋体" w:eastAsia="宋体"/>
          <w:b/>
          <w:szCs w:val="22"/>
        </w:rPr>
      </w:pPr>
      <w:r>
        <w:rPr>
          <w:rFonts w:hint="eastAsia" w:ascii="宋体" w:hAnsi="宋体" w:eastAsia="宋体"/>
          <w:b/>
          <w:szCs w:val="22"/>
        </w:rPr>
        <w:t>注：1. 上表所列各项均为不可负偏离条款。</w:t>
      </w:r>
    </w:p>
    <w:p w14:paraId="5361BF69">
      <w:pPr>
        <w:ind w:firstLine="482" w:firstLineChars="200"/>
        <w:rPr>
          <w:rFonts w:ascii="宋体" w:hAnsi="宋体" w:eastAsia="宋体"/>
          <w:b/>
          <w:szCs w:val="22"/>
        </w:rPr>
      </w:pPr>
      <w:r>
        <w:rPr>
          <w:rFonts w:hint="eastAsia" w:ascii="宋体" w:hAnsi="宋体" w:eastAsia="宋体"/>
          <w:b/>
          <w:szCs w:val="22"/>
        </w:rPr>
        <w:t>2.“投标响应”一栏应当详细填写投标人自身响应情况，而不能不合理照搬照抄招实质性条款具体内容。</w:t>
      </w:r>
    </w:p>
    <w:p w14:paraId="2F22AA5A">
      <w:pPr>
        <w:ind w:firstLine="482" w:firstLineChars="200"/>
        <w:rPr>
          <w:rFonts w:ascii="宋体" w:hAnsi="宋体" w:eastAsia="宋体"/>
          <w:b/>
          <w:szCs w:val="22"/>
        </w:rPr>
      </w:pPr>
      <w:r>
        <w:rPr>
          <w:rFonts w:hint="eastAsia" w:ascii="宋体" w:hAnsi="宋体" w:eastAsia="宋体"/>
          <w:b/>
          <w:szCs w:val="22"/>
        </w:rPr>
        <w:t>3</w:t>
      </w:r>
      <w:r>
        <w:rPr>
          <w:rFonts w:ascii="宋体" w:hAnsi="宋体" w:eastAsia="宋体"/>
          <w:b/>
          <w:szCs w:val="22"/>
        </w:rPr>
        <w:t>.</w:t>
      </w:r>
      <w:r>
        <w:rPr>
          <w:rFonts w:hint="eastAsia" w:ascii="宋体" w:hAnsi="宋体" w:eastAsia="宋体"/>
          <w:b/>
          <w:szCs w:val="22"/>
        </w:rPr>
        <w:t>“偏离情况”一栏应填写“正偏离”、“负偏离”或“无偏离”，</w:t>
      </w:r>
      <w:r>
        <w:rPr>
          <w:rFonts w:hint="eastAsia" w:ascii="宋体" w:hAnsi="宋体" w:eastAsia="宋体"/>
          <w:b/>
        </w:rPr>
        <w:t>“正偏离”表示“投标响应优于实质性条款具体内容要求”，“负偏离”表示“投标响应不满足实质性条款具体内容要求”，“无偏离”表示“投标响应与实质性条款具体内容要求一致”。</w:t>
      </w:r>
    </w:p>
    <w:p w14:paraId="7F5C3DD1">
      <w:pPr>
        <w:ind w:firstLine="482" w:firstLineChars="200"/>
        <w:rPr>
          <w:rFonts w:ascii="宋体" w:hAnsi="宋体" w:eastAsia="宋体"/>
          <w:b/>
        </w:rPr>
      </w:pPr>
      <w:r>
        <w:rPr>
          <w:rFonts w:ascii="宋体" w:hAnsi="宋体" w:eastAsia="宋体"/>
          <w:b/>
        </w:rPr>
        <w:t>4.</w:t>
      </w:r>
      <w:r>
        <w:rPr>
          <w:rFonts w:hint="eastAsia" w:ascii="宋体" w:hAnsi="宋体" w:eastAsia="宋体"/>
          <w:b/>
        </w:rPr>
        <w:t>评审委员会有权对投标响应情况作出判断（作出评审结论）。</w:t>
      </w:r>
    </w:p>
    <w:p w14:paraId="4CC36323">
      <w:pPr>
        <w:ind w:firstLine="482" w:firstLineChars="200"/>
        <w:rPr>
          <w:color w:val="000000" w:themeColor="text1"/>
          <w14:textFill>
            <w14:solidFill>
              <w14:schemeClr w14:val="tx1"/>
            </w14:solidFill>
          </w14:textFill>
        </w:rPr>
      </w:pPr>
      <w:r>
        <w:rPr>
          <w:rFonts w:ascii="宋体" w:hAnsi="宋体" w:eastAsia="宋体"/>
          <w:b/>
          <w:szCs w:val="22"/>
        </w:rPr>
        <w:t>5</w:t>
      </w:r>
      <w:r>
        <w:rPr>
          <w:rFonts w:hint="eastAsia" w:ascii="宋体" w:hAnsi="宋体" w:eastAsia="宋体"/>
          <w:b/>
          <w:szCs w:val="22"/>
        </w:rPr>
        <w:t>.实质性响应条款“投标响应情况”与投标文件其它内容冲突的，以实质性响应条款“投标响应情况”为准。</w:t>
      </w:r>
    </w:p>
    <w:p w14:paraId="5531066B">
      <w:pPr>
        <w:rPr>
          <w:rFonts w:eastAsia="黑体"/>
        </w:rPr>
      </w:pPr>
    </w:p>
    <w:p w14:paraId="136E0613">
      <w:pPr>
        <w:rPr>
          <w:rFonts w:hint="eastAsia" w:ascii="黑体" w:eastAsia="黑体"/>
          <w:bCs w:val="0"/>
          <w:color w:val="000000" w:themeColor="text1"/>
          <w:sz w:val="24"/>
          <w:lang w:eastAsia="zh-CN"/>
          <w14:textFill>
            <w14:solidFill>
              <w14:schemeClr w14:val="tx1"/>
            </w14:solidFill>
          </w14:textFill>
        </w:rPr>
      </w:pPr>
      <w:r>
        <w:rPr>
          <w:rFonts w:hint="eastAsia" w:ascii="黑体" w:eastAsia="黑体"/>
          <w:bCs w:val="0"/>
          <w:color w:val="000000" w:themeColor="text1"/>
          <w:sz w:val="24"/>
          <w:lang w:eastAsia="zh-CN"/>
          <w14:textFill>
            <w14:solidFill>
              <w14:schemeClr w14:val="tx1"/>
            </w14:solidFill>
          </w14:textFill>
        </w:rPr>
        <w:br w:type="page"/>
      </w:r>
    </w:p>
    <w:p w14:paraId="24F9CD44">
      <w:pPr>
        <w:pStyle w:val="4"/>
        <w:jc w:val="center"/>
        <w:rPr>
          <w:rFonts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eastAsia="zh-CN"/>
          <w14:textFill>
            <w14:solidFill>
              <w14:schemeClr w14:val="tx1"/>
            </w14:solidFill>
          </w14:textFill>
        </w:rPr>
        <w:t>五</w:t>
      </w:r>
      <w:r>
        <w:rPr>
          <w:rFonts w:hint="eastAsia" w:ascii="黑体" w:eastAsia="黑体"/>
          <w:bCs w:val="0"/>
          <w:color w:val="000000" w:themeColor="text1"/>
          <w:sz w:val="24"/>
          <w14:textFill>
            <w14:solidFill>
              <w14:schemeClr w14:val="tx1"/>
            </w14:solidFill>
          </w14:textFill>
        </w:rPr>
        <w:t>、商务、</w:t>
      </w:r>
      <w:r>
        <w:rPr>
          <w:rFonts w:hint="eastAsia" w:ascii="黑体" w:eastAsia="黑体"/>
          <w:bCs w:val="0"/>
          <w:color w:val="000000" w:themeColor="text1"/>
          <w:sz w:val="24"/>
          <w:lang w:eastAsia="zh-CN"/>
          <w14:textFill>
            <w14:solidFill>
              <w14:schemeClr w14:val="tx1"/>
            </w14:solidFill>
          </w14:textFill>
        </w:rPr>
        <w:t>服务</w:t>
      </w:r>
      <w:r>
        <w:rPr>
          <w:rFonts w:hint="eastAsia" w:ascii="黑体" w:eastAsia="黑体"/>
          <w:bCs w:val="0"/>
          <w:color w:val="000000" w:themeColor="text1"/>
          <w:sz w:val="24"/>
          <w14:textFill>
            <w14:solidFill>
              <w14:schemeClr w14:val="tx1"/>
            </w14:solidFill>
          </w14:textFill>
        </w:rPr>
        <w:t>条款偏离表</w:t>
      </w:r>
    </w:p>
    <w:p w14:paraId="76C6E523">
      <w:pPr>
        <w:snapToGrid w:val="0"/>
        <w:spacing w:line="360" w:lineRule="auto"/>
        <w:rPr>
          <w:rFonts w:ascii="Arial" w:hAnsi="Arial" w:eastAsia="宋体" w:cs="Arial"/>
          <w:color w:val="000000"/>
          <w:u w:val="single"/>
        </w:rPr>
      </w:pPr>
      <w:r>
        <w:rPr>
          <w:rFonts w:hint="eastAsia" w:ascii="Arial" w:hAnsi="Arial" w:eastAsia="宋体" w:cs="Arial"/>
          <w:color w:val="000000"/>
        </w:rPr>
        <w:t>投标单位（投标人）名称：</w:t>
      </w:r>
    </w:p>
    <w:tbl>
      <w:tblPr>
        <w:tblStyle w:val="17"/>
        <w:tblW w:w="9687"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40"/>
        <w:gridCol w:w="4732"/>
        <w:gridCol w:w="3053"/>
        <w:gridCol w:w="1262"/>
      </w:tblGrid>
      <w:tr w14:paraId="6909F57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61" w:hRule="atLeast"/>
          <w:jc w:val="center"/>
        </w:trPr>
        <w:tc>
          <w:tcPr>
            <w:tcW w:w="640" w:type="dxa"/>
            <w:vAlign w:val="center"/>
          </w:tcPr>
          <w:p w14:paraId="3D8C2882">
            <w:pPr>
              <w:keepNext w:val="0"/>
              <w:keepLines w:val="0"/>
              <w:widowControl/>
              <w:suppressLineNumbers w:val="0"/>
              <w:spacing w:before="0" w:beforeAutospacing="0" w:after="0" w:afterAutospacing="0" w:line="360" w:lineRule="auto"/>
              <w:ind w:left="0" w:right="0"/>
              <w:jc w:val="center"/>
              <w:rPr>
                <w:rFonts w:hint="default" w:cs="Arial" w:asciiTheme="minorEastAsia" w:hAnsiTheme="minorEastAsia"/>
                <w:b/>
                <w:sz w:val="21"/>
                <w:szCs w:val="21"/>
              </w:rPr>
            </w:pPr>
            <w:r>
              <w:rPr>
                <w:rFonts w:hint="eastAsia" w:cs="Arial" w:asciiTheme="minorEastAsia" w:hAnsiTheme="minorEastAsia"/>
                <w:b/>
                <w:sz w:val="21"/>
                <w:szCs w:val="21"/>
              </w:rPr>
              <w:t>序号</w:t>
            </w:r>
          </w:p>
        </w:tc>
        <w:tc>
          <w:tcPr>
            <w:tcW w:w="4732" w:type="dxa"/>
            <w:vAlign w:val="center"/>
          </w:tcPr>
          <w:p w14:paraId="35629533">
            <w:pPr>
              <w:keepNext w:val="0"/>
              <w:keepLines w:val="0"/>
              <w:widowControl/>
              <w:suppressLineNumbers w:val="0"/>
              <w:spacing w:before="0" w:beforeAutospacing="0" w:after="0" w:afterAutospacing="0" w:line="360" w:lineRule="auto"/>
              <w:ind w:left="0" w:right="0"/>
              <w:jc w:val="center"/>
              <w:rPr>
                <w:rFonts w:hint="default" w:cs="Arial" w:asciiTheme="minorEastAsia" w:hAnsiTheme="minorEastAsia"/>
                <w:b/>
                <w:sz w:val="21"/>
                <w:szCs w:val="21"/>
              </w:rPr>
            </w:pPr>
            <w:r>
              <w:rPr>
                <w:rFonts w:hint="eastAsia" w:cs="Arial" w:asciiTheme="minorEastAsia" w:hAnsiTheme="minorEastAsia"/>
                <w:b/>
                <w:sz w:val="21"/>
                <w:szCs w:val="21"/>
              </w:rPr>
              <w:t>招标文件要求</w:t>
            </w:r>
          </w:p>
        </w:tc>
        <w:tc>
          <w:tcPr>
            <w:tcW w:w="3053" w:type="dxa"/>
            <w:vAlign w:val="center"/>
          </w:tcPr>
          <w:p w14:paraId="1392FA2A">
            <w:pPr>
              <w:keepNext w:val="0"/>
              <w:keepLines w:val="0"/>
              <w:widowControl/>
              <w:suppressLineNumbers w:val="0"/>
              <w:spacing w:before="0" w:beforeAutospacing="0" w:after="0" w:afterAutospacing="0" w:line="360" w:lineRule="auto"/>
              <w:ind w:left="0" w:right="0"/>
              <w:jc w:val="center"/>
              <w:rPr>
                <w:rFonts w:hint="default" w:cs="Arial" w:asciiTheme="minorEastAsia" w:hAnsiTheme="minorEastAsia"/>
                <w:b/>
                <w:sz w:val="21"/>
                <w:szCs w:val="21"/>
              </w:rPr>
            </w:pPr>
            <w:r>
              <w:rPr>
                <w:rFonts w:hint="eastAsia" w:cs="Arial" w:asciiTheme="minorEastAsia" w:hAnsiTheme="minorEastAsia"/>
                <w:b/>
                <w:sz w:val="21"/>
                <w:szCs w:val="21"/>
              </w:rPr>
              <w:t>投标文件响应</w:t>
            </w:r>
          </w:p>
        </w:tc>
        <w:tc>
          <w:tcPr>
            <w:tcW w:w="1262" w:type="dxa"/>
            <w:vAlign w:val="center"/>
          </w:tcPr>
          <w:p w14:paraId="78C6A492">
            <w:pPr>
              <w:keepNext w:val="0"/>
              <w:keepLines w:val="0"/>
              <w:widowControl/>
              <w:suppressLineNumbers w:val="0"/>
              <w:spacing w:before="0" w:beforeAutospacing="0" w:after="0" w:afterAutospacing="0" w:line="360" w:lineRule="auto"/>
              <w:ind w:left="0" w:right="0"/>
              <w:jc w:val="center"/>
              <w:rPr>
                <w:rFonts w:hint="default" w:cs="Arial" w:asciiTheme="minorEastAsia" w:hAnsiTheme="minorEastAsia"/>
                <w:b/>
                <w:sz w:val="21"/>
                <w:szCs w:val="21"/>
              </w:rPr>
            </w:pPr>
            <w:r>
              <w:rPr>
                <w:rFonts w:hint="eastAsia" w:cs="Arial" w:asciiTheme="minorEastAsia" w:hAnsiTheme="minorEastAsia"/>
                <w:b/>
                <w:sz w:val="21"/>
                <w:szCs w:val="21"/>
              </w:rPr>
              <w:t>说明</w:t>
            </w:r>
          </w:p>
        </w:tc>
      </w:tr>
      <w:tr w14:paraId="7A8AA61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41" w:hRule="atLeast"/>
          <w:jc w:val="center"/>
        </w:trPr>
        <w:tc>
          <w:tcPr>
            <w:tcW w:w="640" w:type="dxa"/>
            <w:vAlign w:val="center"/>
          </w:tcPr>
          <w:p w14:paraId="1BF2547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sz w:val="21"/>
                <w:szCs w:val="21"/>
              </w:rPr>
            </w:pPr>
            <w:r>
              <w:rPr>
                <w:rFonts w:hint="eastAsia" w:asciiTheme="minorEastAsia" w:hAnsiTheme="minorEastAsia"/>
                <w:sz w:val="21"/>
                <w:szCs w:val="21"/>
              </w:rPr>
              <w:t>1</w:t>
            </w:r>
          </w:p>
        </w:tc>
        <w:tc>
          <w:tcPr>
            <w:tcW w:w="4732" w:type="dxa"/>
            <w:vAlign w:val="center"/>
          </w:tcPr>
          <w:p w14:paraId="2176D23B">
            <w:pPr>
              <w:keepNext w:val="0"/>
              <w:keepLines w:val="0"/>
              <w:widowControl/>
              <w:suppressLineNumbers w:val="0"/>
              <w:spacing w:before="0" w:beforeAutospacing="0" w:after="0" w:afterAutospacing="0" w:line="360" w:lineRule="auto"/>
              <w:ind w:left="0" w:right="0"/>
              <w:rPr>
                <w:rFonts w:hint="default" w:asciiTheme="minorEastAsia" w:hAnsiTheme="minorEastAsia"/>
                <w:b/>
                <w:color w:val="FF0000"/>
                <w:sz w:val="21"/>
                <w:szCs w:val="21"/>
              </w:rPr>
            </w:pPr>
            <w:r>
              <w:rPr>
                <w:rFonts w:hint="eastAsia" w:asciiTheme="minorEastAsia" w:hAnsiTheme="minorEastAsia"/>
                <w:b/>
                <w:color w:val="FF0000"/>
                <w:sz w:val="21"/>
                <w:szCs w:val="21"/>
              </w:rPr>
              <w:t>《第三章 用户需求书：四、项目服务要求》中所有条款要求。</w:t>
            </w:r>
          </w:p>
        </w:tc>
        <w:tc>
          <w:tcPr>
            <w:tcW w:w="3053" w:type="dxa"/>
            <w:vAlign w:val="center"/>
          </w:tcPr>
          <w:p w14:paraId="047342E3">
            <w:pPr>
              <w:keepNext w:val="0"/>
              <w:keepLines w:val="0"/>
              <w:widowControl/>
              <w:suppressLineNumbers w:val="0"/>
              <w:spacing w:before="0" w:beforeAutospacing="0" w:after="0" w:afterAutospacing="0" w:line="360" w:lineRule="auto"/>
              <w:ind w:left="0" w:right="0"/>
              <w:rPr>
                <w:rFonts w:hint="default" w:cs="Arial" w:asciiTheme="minorEastAsia" w:hAnsiTheme="minorEastAsia"/>
                <w:sz w:val="21"/>
                <w:szCs w:val="21"/>
              </w:rPr>
            </w:pPr>
            <w:r>
              <w:rPr>
                <w:rFonts w:hint="eastAsia" w:cs="Arial" w:asciiTheme="minorEastAsia" w:hAnsiTheme="minorEastAsia"/>
                <w:sz w:val="21"/>
                <w:szCs w:val="21"/>
              </w:rPr>
              <w:t>我公司完全响应满足招标文件中此项要求。</w:t>
            </w:r>
          </w:p>
        </w:tc>
        <w:tc>
          <w:tcPr>
            <w:tcW w:w="1262" w:type="dxa"/>
            <w:vAlign w:val="center"/>
          </w:tcPr>
          <w:p w14:paraId="1AC94310">
            <w:pPr>
              <w:keepNext w:val="0"/>
              <w:keepLines w:val="0"/>
              <w:widowControl/>
              <w:suppressLineNumbers w:val="0"/>
              <w:spacing w:before="0" w:beforeAutospacing="0" w:after="0" w:afterAutospacing="0" w:line="360" w:lineRule="auto"/>
              <w:ind w:left="0" w:right="0"/>
              <w:jc w:val="center"/>
              <w:rPr>
                <w:rFonts w:hint="default" w:cs="Arial" w:asciiTheme="minorEastAsia" w:hAnsiTheme="minorEastAsia"/>
                <w:sz w:val="21"/>
                <w:szCs w:val="21"/>
              </w:rPr>
            </w:pPr>
            <w:r>
              <w:rPr>
                <w:rFonts w:hint="eastAsia" w:cs="Arial" w:asciiTheme="minorEastAsia" w:hAnsiTheme="minorEastAsia"/>
                <w:sz w:val="21"/>
                <w:szCs w:val="21"/>
              </w:rPr>
              <w:t>无偏离</w:t>
            </w:r>
          </w:p>
        </w:tc>
      </w:tr>
      <w:tr w14:paraId="3F08A89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904" w:hRule="atLeast"/>
          <w:jc w:val="center"/>
        </w:trPr>
        <w:tc>
          <w:tcPr>
            <w:tcW w:w="640" w:type="dxa"/>
            <w:vAlign w:val="center"/>
          </w:tcPr>
          <w:p w14:paraId="2E074CC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sz w:val="21"/>
                <w:szCs w:val="21"/>
              </w:rPr>
            </w:pPr>
            <w:r>
              <w:rPr>
                <w:rFonts w:hint="eastAsia" w:asciiTheme="minorEastAsia" w:hAnsiTheme="minorEastAsia"/>
                <w:sz w:val="21"/>
                <w:szCs w:val="21"/>
              </w:rPr>
              <w:t>2</w:t>
            </w:r>
          </w:p>
        </w:tc>
        <w:tc>
          <w:tcPr>
            <w:tcW w:w="4732" w:type="dxa"/>
          </w:tcPr>
          <w:p w14:paraId="36B65418">
            <w:pPr>
              <w:keepNext w:val="0"/>
              <w:keepLines w:val="0"/>
              <w:widowControl/>
              <w:suppressLineNumbers w:val="0"/>
              <w:spacing w:before="0" w:beforeAutospacing="0" w:after="0" w:afterAutospacing="0" w:line="360" w:lineRule="auto"/>
              <w:ind w:left="0" w:right="0"/>
              <w:rPr>
                <w:rFonts w:hint="default" w:asciiTheme="minorEastAsia" w:hAnsiTheme="minorEastAsia"/>
                <w:b/>
                <w:color w:val="FF0000"/>
                <w:sz w:val="21"/>
                <w:szCs w:val="21"/>
                <w:highlight w:val="green"/>
              </w:rPr>
            </w:pPr>
            <w:r>
              <w:rPr>
                <w:rFonts w:hint="eastAsia" w:asciiTheme="minorEastAsia" w:hAnsiTheme="minorEastAsia"/>
                <w:b/>
                <w:color w:val="FF0000"/>
                <w:sz w:val="21"/>
                <w:szCs w:val="21"/>
              </w:rPr>
              <w:t>《第三章 用户需求书：五、项目商务要求》中所有条款要求。</w:t>
            </w:r>
          </w:p>
        </w:tc>
        <w:tc>
          <w:tcPr>
            <w:tcW w:w="3053" w:type="dxa"/>
            <w:vAlign w:val="center"/>
          </w:tcPr>
          <w:p w14:paraId="170A27E9">
            <w:pPr>
              <w:keepNext w:val="0"/>
              <w:keepLines w:val="0"/>
              <w:widowControl/>
              <w:suppressLineNumbers w:val="0"/>
              <w:spacing w:before="0" w:beforeAutospacing="0" w:after="0" w:afterAutospacing="0" w:line="360" w:lineRule="auto"/>
              <w:ind w:left="0" w:right="0"/>
              <w:rPr>
                <w:rFonts w:hint="default" w:cs="Arial" w:asciiTheme="minorEastAsia" w:hAnsiTheme="minorEastAsia"/>
                <w:sz w:val="21"/>
                <w:szCs w:val="21"/>
              </w:rPr>
            </w:pPr>
            <w:r>
              <w:rPr>
                <w:rFonts w:hint="eastAsia" w:cs="Arial" w:asciiTheme="minorEastAsia" w:hAnsiTheme="minorEastAsia"/>
                <w:sz w:val="21"/>
                <w:szCs w:val="21"/>
              </w:rPr>
              <w:t>我公司完全响应满足招标文件中此项要求。</w:t>
            </w:r>
          </w:p>
        </w:tc>
        <w:tc>
          <w:tcPr>
            <w:tcW w:w="1262" w:type="dxa"/>
            <w:vAlign w:val="center"/>
          </w:tcPr>
          <w:p w14:paraId="6576D3FB">
            <w:pPr>
              <w:keepNext w:val="0"/>
              <w:keepLines w:val="0"/>
              <w:widowControl/>
              <w:suppressLineNumbers w:val="0"/>
              <w:spacing w:before="0" w:beforeAutospacing="0" w:after="0" w:afterAutospacing="0" w:line="360" w:lineRule="auto"/>
              <w:ind w:left="0" w:right="0"/>
              <w:jc w:val="center"/>
              <w:rPr>
                <w:rFonts w:hint="default" w:cs="Arial" w:asciiTheme="minorEastAsia" w:hAnsiTheme="minorEastAsia"/>
                <w:sz w:val="21"/>
                <w:szCs w:val="21"/>
              </w:rPr>
            </w:pPr>
            <w:r>
              <w:rPr>
                <w:rFonts w:hint="eastAsia" w:cs="Arial" w:asciiTheme="minorEastAsia" w:hAnsiTheme="minorEastAsia"/>
                <w:sz w:val="21"/>
                <w:szCs w:val="21"/>
              </w:rPr>
              <w:t>无偏离</w:t>
            </w:r>
          </w:p>
        </w:tc>
      </w:tr>
    </w:tbl>
    <w:p w14:paraId="08101261">
      <w:pPr>
        <w:snapToGrid w:val="0"/>
        <w:spacing w:line="360" w:lineRule="auto"/>
        <w:rPr>
          <w:rFonts w:asciiTheme="minorEastAsia" w:hAnsiTheme="minorEastAsia"/>
          <w:b/>
        </w:rPr>
      </w:pPr>
    </w:p>
    <w:p w14:paraId="4143A75F">
      <w:pPr>
        <w:snapToGrid w:val="0"/>
        <w:spacing w:line="360" w:lineRule="auto"/>
        <w:rPr>
          <w:rFonts w:asciiTheme="minorEastAsia" w:hAnsiTheme="minorEastAsia"/>
          <w:b/>
        </w:rPr>
      </w:pPr>
      <w:r>
        <w:rPr>
          <w:rFonts w:hint="eastAsia" w:ascii="宋体" w:hAnsi="宋体" w:eastAsia="宋体"/>
          <w:b/>
        </w:rPr>
        <w:t>填写说明：</w:t>
      </w:r>
    </w:p>
    <w:p w14:paraId="239797A1">
      <w:pPr>
        <w:numPr>
          <w:ilvl w:val="0"/>
          <w:numId w:val="4"/>
        </w:numPr>
        <w:snapToGrid w:val="0"/>
        <w:spacing w:after="60" w:afterLines="25" w:line="360" w:lineRule="auto"/>
        <w:ind w:left="360" w:hanging="360"/>
        <w:rPr>
          <w:rFonts w:asciiTheme="majorEastAsia" w:hAnsiTheme="majorEastAsia" w:eastAsiaTheme="majorEastAsia"/>
        </w:rPr>
      </w:pPr>
      <w:r>
        <w:rPr>
          <w:rFonts w:hint="eastAsia" w:asciiTheme="majorEastAsia" w:hAnsiTheme="majorEastAsia" w:eastAsiaTheme="majorEastAsia"/>
        </w:rPr>
        <w:t>如投标人完全响应满足本表【招标文件要求】栏中内容的，建议投标人在对应的【投标文件响应】栏中填写“我公司完全响应满足招标文件中此项要求”即可，除招标文件另有注明外，不强制要求逐条列出响应；</w:t>
      </w:r>
    </w:p>
    <w:p w14:paraId="3C962475">
      <w:pPr>
        <w:numPr>
          <w:ilvl w:val="0"/>
          <w:numId w:val="4"/>
        </w:numPr>
        <w:snapToGrid w:val="0"/>
        <w:spacing w:after="60" w:afterLines="25" w:line="360" w:lineRule="auto"/>
        <w:ind w:left="360" w:hanging="360"/>
        <w:rPr>
          <w:rFonts w:asciiTheme="majorEastAsia" w:hAnsiTheme="majorEastAsia" w:eastAsiaTheme="majorEastAsia"/>
        </w:rPr>
      </w:pPr>
      <w:r>
        <w:rPr>
          <w:rFonts w:hint="eastAsia" w:asciiTheme="majorEastAsia" w:hAnsiTheme="majorEastAsia" w:eastAsiaTheme="majorEastAsia"/>
        </w:rPr>
        <w:t>如投标人响应情况优于或低于招标要求的，应在【投标文件响应】栏中作详细说明，如完全满足或符合招标文件要求的则无需说明，参照上一条填写内容即可，</w:t>
      </w:r>
      <w:r>
        <w:rPr>
          <w:rFonts w:hint="eastAsia" w:asciiTheme="majorEastAsia" w:hAnsiTheme="majorEastAsia" w:eastAsiaTheme="majorEastAsia"/>
          <w:lang w:eastAsia="zh-CN"/>
        </w:rPr>
        <w:t>评审委员会</w:t>
      </w:r>
      <w:r>
        <w:rPr>
          <w:rFonts w:asciiTheme="majorEastAsia" w:hAnsiTheme="majorEastAsia" w:eastAsiaTheme="majorEastAsia"/>
        </w:rPr>
        <w:t>将根据具体情况给予是否偏离的认定，并以此认定</w:t>
      </w:r>
      <w:r>
        <w:rPr>
          <w:rFonts w:hint="eastAsia" w:asciiTheme="majorEastAsia" w:hAnsiTheme="majorEastAsia" w:eastAsiaTheme="majorEastAsia"/>
        </w:rPr>
        <w:t>标准</w:t>
      </w:r>
      <w:r>
        <w:rPr>
          <w:rFonts w:asciiTheme="majorEastAsia" w:hAnsiTheme="majorEastAsia" w:eastAsiaTheme="majorEastAsia"/>
        </w:rPr>
        <w:t>为最终评判标准</w:t>
      </w:r>
      <w:r>
        <w:rPr>
          <w:rFonts w:hint="eastAsia" w:asciiTheme="majorEastAsia" w:hAnsiTheme="majorEastAsia" w:eastAsiaTheme="majorEastAsia"/>
        </w:rPr>
        <w:t>；</w:t>
      </w:r>
    </w:p>
    <w:p w14:paraId="1CBC6DF7">
      <w:pPr>
        <w:rPr>
          <w:rFonts w:hint="eastAsia" w:ascii="黑体" w:eastAsia="黑体"/>
          <w:bCs w:val="0"/>
          <w:color w:val="000000" w:themeColor="text1"/>
          <w:sz w:val="24"/>
          <w:lang w:eastAsia="zh-CN"/>
          <w14:textFill>
            <w14:solidFill>
              <w14:schemeClr w14:val="tx1"/>
            </w14:solidFill>
          </w14:textFill>
        </w:rPr>
      </w:pPr>
      <w:r>
        <w:rPr>
          <w:rFonts w:hint="eastAsia" w:ascii="黑体" w:eastAsia="黑体"/>
          <w:bCs w:val="0"/>
          <w:color w:val="000000" w:themeColor="text1"/>
          <w:sz w:val="24"/>
          <w:lang w:eastAsia="zh-CN"/>
          <w14:textFill>
            <w14:solidFill>
              <w14:schemeClr w14:val="tx1"/>
            </w14:solidFill>
          </w14:textFill>
        </w:rPr>
        <w:br w:type="page"/>
      </w:r>
    </w:p>
    <w:p w14:paraId="0F11D2AF">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eastAsia="zh-CN"/>
          <w14:textFill>
            <w14:solidFill>
              <w14:schemeClr w14:val="tx1"/>
            </w14:solidFill>
          </w14:textFill>
        </w:rPr>
        <w:t>六</w:t>
      </w:r>
      <w:r>
        <w:rPr>
          <w:rFonts w:hint="eastAsia" w:ascii="黑体" w:eastAsia="黑体"/>
          <w:bCs w:val="0"/>
          <w:color w:val="000000" w:themeColor="text1"/>
          <w:sz w:val="24"/>
          <w14:textFill>
            <w14:solidFill>
              <w14:schemeClr w14:val="tx1"/>
            </w14:solidFill>
          </w14:textFill>
        </w:rPr>
        <w:t>、拟派项目负责人情况</w:t>
      </w:r>
    </w:p>
    <w:p w14:paraId="5618DDD5">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七、项目整体设想及规划方案</w:t>
      </w:r>
      <w:r>
        <w:rPr>
          <w:rFonts w:hint="eastAsia" w:ascii="黑体" w:eastAsia="黑体"/>
          <w:bCs w:val="0"/>
          <w:color w:val="000000" w:themeColor="text1"/>
          <w:sz w:val="24"/>
          <w14:textFill>
            <w14:solidFill>
              <w14:schemeClr w14:val="tx1"/>
            </w14:solidFill>
          </w14:textFill>
        </w:rPr>
        <w:t>（格式自定）</w:t>
      </w:r>
    </w:p>
    <w:p w14:paraId="70E73ADE">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八、规章管理制度、工作流程（格式自定）</w:t>
      </w:r>
    </w:p>
    <w:p w14:paraId="2FD72F71">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九、应急方案（格式自定）</w:t>
      </w:r>
    </w:p>
    <w:p w14:paraId="71A50473">
      <w:pPr>
        <w:keepNext/>
        <w:keepLines/>
        <w:pageBreakBefore w:val="0"/>
        <w:widowControl/>
        <w:kinsoku/>
        <w:wordWrap/>
        <w:overflowPunct/>
        <w:topLinePunct w:val="0"/>
        <w:autoSpaceDE/>
        <w:autoSpaceDN/>
        <w:bidi w:val="0"/>
        <w:adjustRightInd/>
        <w:snapToGrid/>
        <w:jc w:val="center"/>
        <w:textAlignment w:val="auto"/>
        <w:outlineLvl w:val="9"/>
        <w:rPr>
          <w:rFonts w:hint="eastAsia" w:ascii="黑体" w:eastAsia="黑体"/>
          <w:bCs w:val="0"/>
          <w:color w:val="000000" w:themeColor="text1"/>
          <w:sz w:val="24"/>
          <w:lang w:val="en-US" w:eastAsia="zh-CN"/>
          <w14:textFill>
            <w14:solidFill>
              <w14:schemeClr w14:val="tx1"/>
            </w14:solidFill>
          </w14:textFill>
        </w:rPr>
      </w:pPr>
    </w:p>
    <w:p w14:paraId="475DC968">
      <w:pPr>
        <w:rPr>
          <w:rFonts w:hint="eastAsia" w:ascii="黑体" w:eastAsia="黑体"/>
          <w:bCs w:val="0"/>
          <w:color w:val="000000" w:themeColor="text1"/>
          <w:sz w:val="24"/>
          <w:lang w:val="en-US" w:eastAsia="zh-CN"/>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br w:type="page"/>
      </w:r>
    </w:p>
    <w:p w14:paraId="26C3B899">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w:t>
      </w:r>
      <w:r>
        <w:rPr>
          <w:rFonts w:ascii="黑体" w:eastAsia="黑体"/>
          <w:bCs w:val="0"/>
          <w:color w:val="000000" w:themeColor="text1"/>
          <w:sz w:val="24"/>
          <w14:textFill>
            <w14:solidFill>
              <w14:schemeClr w14:val="tx1"/>
            </w14:solidFill>
          </w14:textFill>
        </w:rPr>
        <w:t>、</w:t>
      </w:r>
      <w:r>
        <w:rPr>
          <w:rFonts w:hint="eastAsia" w:ascii="黑体" w:eastAsia="黑体"/>
          <w:bCs w:val="0"/>
          <w:color w:val="000000" w:themeColor="text1"/>
          <w:sz w:val="24"/>
          <w14:textFill>
            <w14:solidFill>
              <w14:schemeClr w14:val="tx1"/>
            </w14:solidFill>
          </w14:textFill>
        </w:rPr>
        <w:t>投标人认为需要加以说明的其他非公开内容（格式自定）</w:t>
      </w:r>
    </w:p>
    <w:p w14:paraId="59F0392A">
      <w:pPr>
        <w:rPr>
          <w:rFonts w:hint="eastAsia" w:asciiTheme="majorEastAsia" w:hAnsiTheme="majorEastAsia" w:eastAsiaTheme="majorEastAsia" w:cstheme="majorEastAsia"/>
          <w:b/>
          <w:bCs/>
          <w:sz w:val="24"/>
          <w:szCs w:val="20"/>
          <w:lang w:eastAsia="zh-CN"/>
        </w:rPr>
      </w:pP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lang w:val="en-US" w:eastAsia="zh-CN"/>
        </w:rPr>
        <w:t>1</w:t>
      </w:r>
      <w:r>
        <w:rPr>
          <w:rFonts w:hint="eastAsia" w:asciiTheme="majorEastAsia" w:hAnsiTheme="majorEastAsia" w:eastAsiaTheme="majorEastAsia" w:cstheme="majorEastAsia"/>
          <w:b/>
          <w:bCs/>
          <w:sz w:val="24"/>
          <w:szCs w:val="20"/>
          <w:lang w:eastAsia="zh-CN"/>
        </w:rPr>
        <w:t>）政府采购违法行为风险知悉确认书</w:t>
      </w:r>
    </w:p>
    <w:p w14:paraId="219EED4A">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7B2A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1ABA7A1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序号</w:t>
            </w:r>
          </w:p>
        </w:tc>
        <w:tc>
          <w:tcPr>
            <w:tcW w:w="7811" w:type="dxa"/>
          </w:tcPr>
          <w:p w14:paraId="3BF37A6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b/>
                <w:bCs/>
                <w:sz w:val="21"/>
                <w:szCs w:val="18"/>
                <w:highlight w:val="yellow"/>
              </w:rPr>
              <w:t>供应商参与投标禁止情形</w:t>
            </w:r>
          </w:p>
        </w:tc>
      </w:tr>
      <w:tr w14:paraId="178C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4485DF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1</w:t>
            </w:r>
          </w:p>
        </w:tc>
        <w:tc>
          <w:tcPr>
            <w:tcW w:w="7811" w:type="dxa"/>
            <w:vAlign w:val="center"/>
          </w:tcPr>
          <w:p w14:paraId="7D98E99A">
            <w:pPr>
              <w:keepNext w:val="0"/>
              <w:keepLines w:val="0"/>
              <w:widowControl w:val="0"/>
              <w:suppressLineNumbers w:val="0"/>
              <w:spacing w:before="0" w:beforeAutospacing="0" w:after="0" w:afterAutospacing="0" w:line="400" w:lineRule="exact"/>
              <w:ind w:left="0" w:right="0"/>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与其他投标供应商的法定代表人、主要经营负责人、投标授权代表人、项目负责人、主要技术人员为</w:t>
            </w:r>
            <w:r>
              <w:rPr>
                <w:rFonts w:hint="eastAsia" w:ascii="宋体" w:hAnsi="宋体" w:eastAsia="宋体" w:cs="宋体"/>
                <w:b/>
                <w:bCs/>
                <w:sz w:val="21"/>
                <w:szCs w:val="18"/>
                <w:highlight w:val="yellow"/>
              </w:rPr>
              <w:t>同一人、属同一单位或者在同一单位缴纳社会保险</w:t>
            </w:r>
            <w:r>
              <w:rPr>
                <w:rFonts w:hint="eastAsia" w:ascii="宋体" w:hAnsi="宋体" w:eastAsia="宋体" w:cs="宋体"/>
                <w:sz w:val="21"/>
                <w:szCs w:val="18"/>
                <w:highlight w:val="yellow"/>
              </w:rPr>
              <w:t>。</w:t>
            </w:r>
          </w:p>
        </w:tc>
      </w:tr>
      <w:tr w14:paraId="2D55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2FDC9B5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2</w:t>
            </w:r>
          </w:p>
        </w:tc>
        <w:tc>
          <w:tcPr>
            <w:tcW w:w="7811" w:type="dxa"/>
            <w:vAlign w:val="center"/>
          </w:tcPr>
          <w:p w14:paraId="36E9AA7D">
            <w:pPr>
              <w:keepNext w:val="0"/>
              <w:keepLines w:val="0"/>
              <w:widowControl w:val="0"/>
              <w:suppressLineNumbers w:val="0"/>
              <w:spacing w:before="0" w:beforeAutospacing="0" w:after="0" w:afterAutospacing="0" w:line="400" w:lineRule="exact"/>
              <w:ind w:left="0" w:right="0"/>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参与本项目政府采购活动时，与其他投标供应商存在单位负责人为</w:t>
            </w:r>
            <w:r>
              <w:rPr>
                <w:rFonts w:hint="eastAsia" w:ascii="宋体" w:hAnsi="宋体" w:eastAsia="宋体" w:cs="宋体"/>
                <w:b/>
                <w:bCs/>
                <w:sz w:val="21"/>
                <w:szCs w:val="18"/>
                <w:highlight w:val="yellow"/>
              </w:rPr>
              <w:t>同一人或直接控股、管理关系</w:t>
            </w:r>
            <w:r>
              <w:rPr>
                <w:rFonts w:hint="eastAsia" w:ascii="宋体" w:hAnsi="宋体" w:eastAsia="宋体" w:cs="宋体"/>
                <w:sz w:val="21"/>
                <w:szCs w:val="18"/>
                <w:highlight w:val="yellow"/>
              </w:rPr>
              <w:t>。</w:t>
            </w:r>
          </w:p>
        </w:tc>
      </w:tr>
      <w:tr w14:paraId="56D6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04354B6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3</w:t>
            </w:r>
          </w:p>
        </w:tc>
        <w:tc>
          <w:tcPr>
            <w:tcW w:w="7811" w:type="dxa"/>
            <w:vAlign w:val="center"/>
          </w:tcPr>
          <w:p w14:paraId="676EDAD2">
            <w:pPr>
              <w:keepNext w:val="0"/>
              <w:keepLines w:val="0"/>
              <w:widowControl w:val="0"/>
              <w:suppressLineNumbers w:val="0"/>
              <w:spacing w:before="0" w:beforeAutospacing="0" w:after="0" w:afterAutospacing="0" w:line="400" w:lineRule="exact"/>
              <w:ind w:left="0" w:right="0"/>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与其他投标供应商的投标文件或部分投标文件</w:t>
            </w:r>
            <w:r>
              <w:rPr>
                <w:rFonts w:hint="eastAsia" w:ascii="宋体" w:hAnsi="宋体" w:eastAsia="宋体" w:cs="宋体"/>
                <w:b/>
                <w:bCs/>
                <w:sz w:val="21"/>
                <w:szCs w:val="18"/>
                <w:highlight w:val="yellow"/>
              </w:rPr>
              <w:t>相互混装或存在非正常一致</w:t>
            </w:r>
            <w:r>
              <w:rPr>
                <w:rFonts w:hint="eastAsia" w:ascii="宋体" w:hAnsi="宋体" w:eastAsia="宋体" w:cs="宋体"/>
                <w:sz w:val="21"/>
                <w:szCs w:val="18"/>
                <w:highlight w:val="yellow"/>
              </w:rPr>
              <w:t>。</w:t>
            </w:r>
          </w:p>
        </w:tc>
      </w:tr>
      <w:tr w14:paraId="229A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2E5BA0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4</w:t>
            </w:r>
          </w:p>
        </w:tc>
        <w:tc>
          <w:tcPr>
            <w:tcW w:w="7811" w:type="dxa"/>
            <w:vAlign w:val="center"/>
          </w:tcPr>
          <w:p w14:paraId="006E00D3">
            <w:pPr>
              <w:keepNext w:val="0"/>
              <w:keepLines w:val="0"/>
              <w:widowControl w:val="0"/>
              <w:suppressLineNumbers w:val="0"/>
              <w:spacing w:before="0" w:beforeAutospacing="0" w:after="0" w:afterAutospacing="0" w:line="400" w:lineRule="exact"/>
              <w:ind w:left="0" w:right="0"/>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与其他投标供应商的投标文件由</w:t>
            </w:r>
            <w:r>
              <w:rPr>
                <w:rFonts w:hint="eastAsia" w:ascii="宋体" w:hAnsi="宋体" w:eastAsia="宋体" w:cs="宋体"/>
                <w:b/>
                <w:bCs/>
                <w:sz w:val="21"/>
                <w:szCs w:val="18"/>
                <w:highlight w:val="yellow"/>
              </w:rPr>
              <w:t>同一单位或者同一人编制</w:t>
            </w:r>
            <w:r>
              <w:rPr>
                <w:rFonts w:hint="eastAsia" w:ascii="宋体" w:hAnsi="宋体" w:eastAsia="宋体" w:cs="宋体"/>
                <w:sz w:val="21"/>
                <w:szCs w:val="18"/>
                <w:highlight w:val="yellow"/>
              </w:rPr>
              <w:t>，或者使用</w:t>
            </w:r>
            <w:r>
              <w:rPr>
                <w:rFonts w:hint="eastAsia" w:ascii="宋体" w:hAnsi="宋体" w:eastAsia="宋体" w:cs="宋体"/>
                <w:b/>
                <w:bCs/>
                <w:sz w:val="21"/>
                <w:szCs w:val="18"/>
                <w:highlight w:val="yellow"/>
              </w:rPr>
              <w:t>同一设备编制</w:t>
            </w:r>
            <w:r>
              <w:rPr>
                <w:rFonts w:hint="eastAsia" w:ascii="宋体" w:hAnsi="宋体" w:eastAsia="宋体" w:cs="宋体"/>
                <w:sz w:val="21"/>
                <w:szCs w:val="18"/>
                <w:highlight w:val="yellow"/>
              </w:rPr>
              <w:t>（“文件制作机器码”“文件创建标识码”一致）。</w:t>
            </w:r>
          </w:p>
        </w:tc>
      </w:tr>
      <w:tr w14:paraId="020D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5ED1DB9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5</w:t>
            </w:r>
          </w:p>
        </w:tc>
        <w:tc>
          <w:tcPr>
            <w:tcW w:w="7811" w:type="dxa"/>
            <w:vAlign w:val="center"/>
          </w:tcPr>
          <w:p w14:paraId="1034EDAD">
            <w:pPr>
              <w:keepNext w:val="0"/>
              <w:keepLines w:val="0"/>
              <w:widowControl w:val="0"/>
              <w:suppressLineNumbers w:val="0"/>
              <w:spacing w:before="0" w:beforeAutospacing="0" w:after="0" w:afterAutospacing="0" w:line="400" w:lineRule="exact"/>
              <w:ind w:left="0" w:right="0"/>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提供</w:t>
            </w:r>
            <w:r>
              <w:rPr>
                <w:rFonts w:hint="eastAsia" w:ascii="宋体" w:hAnsi="宋体" w:eastAsia="宋体" w:cs="宋体"/>
                <w:b/>
                <w:bCs/>
                <w:sz w:val="21"/>
                <w:szCs w:val="18"/>
                <w:highlight w:val="yellow"/>
              </w:rPr>
              <w:t>未经出具机构核实</w:t>
            </w:r>
            <w:r>
              <w:rPr>
                <w:rFonts w:hint="eastAsia" w:ascii="宋体" w:hAnsi="宋体" w:eastAsia="宋体" w:cs="宋体"/>
                <w:sz w:val="21"/>
                <w:szCs w:val="18"/>
                <w:highlight w:val="yellow"/>
              </w:rPr>
              <w:t>的虚假的检验检测报告、业绩材料、社保缴纳证明、学历学位证书、职称认证证书等材料。</w:t>
            </w:r>
          </w:p>
        </w:tc>
      </w:tr>
      <w:tr w14:paraId="2C6E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39F6A1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6</w:t>
            </w:r>
          </w:p>
        </w:tc>
        <w:tc>
          <w:tcPr>
            <w:tcW w:w="7811" w:type="dxa"/>
            <w:vAlign w:val="center"/>
          </w:tcPr>
          <w:p w14:paraId="601A51EC">
            <w:pPr>
              <w:keepNext w:val="0"/>
              <w:keepLines w:val="0"/>
              <w:widowControl w:val="0"/>
              <w:suppressLineNumbers w:val="0"/>
              <w:spacing w:before="0" w:beforeAutospacing="0" w:after="0" w:afterAutospacing="0" w:line="400" w:lineRule="exact"/>
              <w:ind w:left="0" w:right="0"/>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擅自将投标密钥或电子营业执照出借他人使用或未妥善保管。</w:t>
            </w:r>
          </w:p>
        </w:tc>
      </w:tr>
    </w:tbl>
    <w:p w14:paraId="104DF8C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本公司在投标前已充分知悉以下情形为参与政府采购活动时的重大风险事项，并承诺已对下述风险提示事项重点排查，做到严谨、诚信、依法依规参与政府采购活动。</w:t>
      </w:r>
    </w:p>
    <w:p w14:paraId="43F4EE63">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一、本公司已充分知悉“隐瞒真实情况，提供虚假资料”的法定情形，相关情形包括但不限于：</w:t>
      </w:r>
    </w:p>
    <w:p w14:paraId="586A5F1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（一）通过转让或者租借等方式从其他单位获取资格或者资质证书投标的。</w:t>
      </w:r>
    </w:p>
    <w:p w14:paraId="21F9038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（二）由其他单位或者其他单位负责人在投标供应商编制的投标文件上加盖印章或者签字的。</w:t>
      </w:r>
    </w:p>
    <w:p w14:paraId="2A4D41C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（三）项目负责人或者主要技术人员不是本单位人员的。</w:t>
      </w:r>
    </w:p>
    <w:p w14:paraId="73202F2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（四）投标保证金不是从投标供应商基本账户转出的。</w:t>
      </w:r>
    </w:p>
    <w:p w14:paraId="0C2A2C7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（五）其他隐瞒真实情况、提供虚假资料的行为。</w:t>
      </w:r>
    </w:p>
    <w:p w14:paraId="65706FFF">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二、本公司已充分知悉“与其他采购参加人串通投标”的法定情形，相关情形包括但不限于：</w:t>
      </w:r>
    </w:p>
    <w:p w14:paraId="0619BF0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（一）投标供应商之间相互约定给予未中标的供应商利益补偿。</w:t>
      </w:r>
    </w:p>
    <w:p w14:paraId="5E9956F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（二）不同投标供应商的法定代表人、主要经营负责人、项目投标授权代表人、项目负责人、主要技术人员为同一人、属同一单位或者在同一单位缴纳社会保险。</w:t>
      </w:r>
    </w:p>
    <w:p w14:paraId="6E1DC37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（三）不同投标供应商的投标文件由同一单位或者同一人编制，或者由同一人分阶段参与编制的。</w:t>
      </w:r>
    </w:p>
    <w:p w14:paraId="79CA0FF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（四）不同投标供应商的投标文件或部分投标文件相互混装。</w:t>
      </w:r>
    </w:p>
    <w:p w14:paraId="3E3FB29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（五）不同投标供应商的投标文件内容存在非正常一致。</w:t>
      </w:r>
    </w:p>
    <w:p w14:paraId="5280311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（六）由同一单位工作人员为两家以上（含两家）供应商进行同一项投标活动的。</w:t>
      </w:r>
    </w:p>
    <w:p w14:paraId="4CD2EAE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（七）不同投标人的投标报价呈规律性差异。</w:t>
      </w:r>
    </w:p>
    <w:p w14:paraId="66BCA57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（八）不同投标人的投标保证金从同一单位或者个人的账户转出。</w:t>
      </w:r>
    </w:p>
    <w:p w14:paraId="55E176F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（九）主管部门依照法律、法规认定的其他情形。</w:t>
      </w:r>
    </w:p>
    <w:p w14:paraId="48604C47">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三、本公司已充分知悉下列情形所对应的法律风险，并在投标前已对相关风险事项进行排查。</w:t>
      </w:r>
    </w:p>
    <w:p w14:paraId="6E37972B">
      <w:pPr>
        <w:keepNext w:val="0"/>
        <w:keepLines w:val="0"/>
        <w:pageBreakBefore w:val="0"/>
        <w:kinsoku/>
        <w:wordWrap/>
        <w:overflowPunct/>
        <w:topLinePunct w:val="0"/>
        <w:autoSpaceDE w:val="0"/>
        <w:autoSpaceDN w:val="0"/>
        <w:bidi w:val="0"/>
        <w:adjustRightInd/>
        <w:snapToGrid/>
        <w:spacing w:beforeAutospacing="0" w:afterAutospacing="0" w:line="240" w:lineRule="auto"/>
        <w:ind w:right="0" w:rightChars="0" w:firstLine="404" w:firstLineChars="200"/>
        <w:textAlignment w:val="auto"/>
        <w:rPr>
          <w:rFonts w:hint="eastAsia" w:ascii="宋体" w:hAnsi="宋体" w:eastAsia="宋体" w:cs="宋体"/>
          <w:b/>
          <w:bCs/>
          <w:spacing w:val="-4"/>
          <w:kern w:val="0"/>
          <w:sz w:val="21"/>
          <w:szCs w:val="21"/>
          <w:highlight w:val="yellow"/>
        </w:rPr>
      </w:pPr>
      <w:r>
        <w:rPr>
          <w:rFonts w:hint="eastAsia" w:ascii="宋体" w:hAnsi="宋体" w:eastAsia="宋体" w:cs="宋体"/>
          <w:spacing w:val="-4"/>
          <w:kern w:val="0"/>
          <w:sz w:val="21"/>
          <w:szCs w:val="21"/>
          <w:highlight w:val="yellow"/>
        </w:rPr>
        <w:t>（一）对于从其他主体获取的投标资料，供应商应审慎核查，确保投标资料的真实性。</w:t>
      </w:r>
      <w:r>
        <w:rPr>
          <w:rFonts w:hint="eastAsia" w:ascii="宋体" w:hAnsi="宋体" w:eastAsia="宋体" w:cs="宋体"/>
          <w:b/>
          <w:bCs/>
          <w:spacing w:val="-4"/>
          <w:kern w:val="0"/>
          <w:sz w:val="21"/>
          <w:szCs w:val="21"/>
          <w:highlight w:val="yellow"/>
        </w:rPr>
        <w:t>如主管部门查实投标文件中存在虚假资料的，无论相关资料是否由第三方或本公司员工提供，均不影响主管部门对供应商存在“隐瞒真实情况，提供虚假资料”违法行为的认定。</w:t>
      </w:r>
    </w:p>
    <w:p w14:paraId="325FB6D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（二）对于涉及国家机关出具的公文、证件、证明材料等文件，一旦涉嫌虚假，经查实，主管部门将依法从严处理，并移送有关部门追究法律责任；涉嫌犯罪的，主管部门将一并移送司法机关追究法律责任。</w:t>
      </w:r>
    </w:p>
    <w:p w14:paraId="62CF5D1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（三）对于涉及安全生产、特种作业、抢险救灾、防疫等政府采购项目，供应商实施提供虚假资料、串通投标等违法行为的，主管部门将依法从严处理。</w:t>
      </w:r>
    </w:p>
    <w:p w14:paraId="1DA7E09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185544A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681BE6B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1927B70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22" w:firstLineChars="200"/>
        <w:jc w:val="left"/>
        <w:textAlignment w:val="auto"/>
        <w:rPr>
          <w:rFonts w:hint="eastAsia" w:ascii="宋体" w:hAnsi="宋体" w:eastAsia="宋体" w:cs="宋体"/>
          <w:b/>
          <w:bCs/>
          <w:kern w:val="0"/>
          <w:sz w:val="21"/>
          <w:szCs w:val="21"/>
          <w:highlight w:val="yellow"/>
          <w:lang w:val="en-US" w:eastAsia="zh-CN" w:bidi="ar-SA"/>
        </w:rPr>
      </w:pPr>
      <w:r>
        <w:rPr>
          <w:rFonts w:hint="eastAsia" w:ascii="宋体" w:hAnsi="宋体" w:eastAsia="宋体" w:cs="宋体"/>
          <w:b/>
          <w:bCs/>
          <w:kern w:val="0"/>
          <w:sz w:val="21"/>
          <w:szCs w:val="21"/>
          <w:highlight w:val="yellow"/>
          <w:lang w:val="en-US" w:eastAsia="zh-CN" w:bidi="ar-SA"/>
        </w:rPr>
        <w:t>四、本公司已充分知悉政府采购违法、违规行为的法律后果。</w:t>
      </w:r>
    </w:p>
    <w:p w14:paraId="6EB8F2B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b/>
          <w:bCs/>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宋体" w:hAnsi="宋体" w:eastAsia="宋体" w:cs="宋体"/>
          <w:b/>
          <w:bCs/>
          <w:spacing w:val="-4"/>
          <w:kern w:val="0"/>
          <w:sz w:val="21"/>
          <w:szCs w:val="21"/>
          <w:highlight w:val="yellow"/>
          <w:lang w:val="en-US" w:eastAsia="zh-CN" w:bidi="ar-SA"/>
        </w:rPr>
        <w:t>以下文字请投标供应商抄写并确认：“本公司已仔细阅读《政府采购违法行为风险知悉确认书》，充分知悉违法行为的法律后果，并承诺将严谨、诚信、依法依规参与政府采购活动”。</w:t>
      </w:r>
    </w:p>
    <w:tbl>
      <w:tblPr>
        <w:tblStyle w:val="18"/>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2D7E3FBD">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6B920E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6CCACB1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0DF881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2C115AB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4D017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2AA6905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18ACEDE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bl>
    <w:p w14:paraId="40EE7B42">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6" w:firstLineChars="200"/>
        <w:jc w:val="left"/>
        <w:textAlignment w:val="auto"/>
        <w:rPr>
          <w:rFonts w:hint="eastAsia" w:ascii="宋体" w:hAnsi="宋体" w:eastAsia="宋体" w:cs="宋体"/>
          <w:b/>
          <w:bCs/>
          <w:color w:val="FF0000"/>
          <w:spacing w:val="-4"/>
          <w:kern w:val="0"/>
          <w:sz w:val="21"/>
          <w:szCs w:val="21"/>
          <w:highlight w:val="yellow"/>
          <w:lang w:val="en-US" w:eastAsia="zh-CN" w:bidi="ar-SA"/>
        </w:rPr>
      </w:pPr>
      <w:r>
        <w:rPr>
          <w:rFonts w:hint="eastAsia" w:ascii="宋体" w:hAnsi="宋体" w:eastAsia="宋体" w:cs="宋体"/>
          <w:b/>
          <w:bCs/>
          <w:color w:val="FF0000"/>
          <w:spacing w:val="-4"/>
          <w:kern w:val="0"/>
          <w:sz w:val="21"/>
          <w:szCs w:val="21"/>
          <w:highlight w:val="yellow"/>
          <w:lang w:val="en-US" w:eastAsia="zh-CN" w:bidi="ar-SA"/>
        </w:rPr>
        <w:t>注：1.政府采购违法行为风险知悉确认书不作为资格性审查及符合性审查条件。</w:t>
      </w:r>
    </w:p>
    <w:p w14:paraId="3BE7097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6" w:firstLineChars="200"/>
        <w:jc w:val="left"/>
        <w:textAlignment w:val="auto"/>
        <w:rPr>
          <w:rFonts w:hint="eastAsia" w:ascii="宋体" w:hAnsi="宋体" w:eastAsia="宋体" w:cs="宋体"/>
          <w:color w:val="FF0000"/>
          <w:spacing w:val="-4"/>
          <w:kern w:val="0"/>
          <w:sz w:val="21"/>
          <w:szCs w:val="21"/>
          <w:highlight w:val="yellow"/>
          <w:lang w:val="en-US" w:eastAsia="zh-CN" w:bidi="ar-SA"/>
        </w:rPr>
      </w:pPr>
      <w:r>
        <w:rPr>
          <w:rFonts w:hint="eastAsia" w:ascii="宋体" w:hAnsi="宋体" w:eastAsia="宋体" w:cs="宋体"/>
          <w:b/>
          <w:bCs/>
          <w:color w:val="FF0000"/>
          <w:spacing w:val="-4"/>
          <w:kern w:val="0"/>
          <w:sz w:val="21"/>
          <w:szCs w:val="21"/>
          <w:highlight w:val="yellow"/>
          <w:lang w:val="en-US" w:eastAsia="zh-CN" w:bidi="ar-SA"/>
        </w:rPr>
        <w:t>2.投标供应商负责人或投标授权代表签字并加盖单位公章后，扫描上传至投标文件一并提交。</w:t>
      </w:r>
    </w:p>
    <w:p w14:paraId="2B7DAE45">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负责人/投标授权代表签名：     </w:t>
      </w:r>
    </w:p>
    <w:p w14:paraId="69E8D703">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知悉人（公章）：     </w:t>
      </w:r>
    </w:p>
    <w:p w14:paraId="4E4C937B">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日期：     </w:t>
      </w:r>
    </w:p>
    <w:p w14:paraId="78D44553">
      <w:pPr>
        <w:widowControl w:val="0"/>
        <w:spacing w:line="360" w:lineRule="auto"/>
        <w:jc w:val="both"/>
        <w:rPr>
          <w:rFonts w:hint="eastAsia" w:ascii="Times New Roman" w:hAnsi="Times New Roman" w:eastAsia="宋体" w:cs="Times New Roman"/>
          <w:b/>
          <w:bCs/>
          <w:kern w:val="2"/>
          <w:sz w:val="24"/>
          <w:szCs w:val="24"/>
          <w:lang w:val="en-US" w:eastAsia="zh-CN" w:bidi="ar-SA"/>
        </w:rPr>
      </w:pPr>
    </w:p>
    <w:p w14:paraId="41BF84ED">
      <w:pPr>
        <w:rPr>
          <w:rFonts w:hint="eastAsia" w:ascii="黑体" w:hAnsi="宋体" w:eastAsia="黑体" w:cs="Times New Roman"/>
          <w:sz w:val="24"/>
          <w:szCs w:val="20"/>
          <w:lang w:eastAsia="zh-CN"/>
        </w:rPr>
      </w:pPr>
    </w:p>
    <w:p w14:paraId="7675BD32">
      <w:pP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lang w:val="en-US" w:eastAsia="zh-CN"/>
        </w:rPr>
        <w:t>2</w:t>
      </w: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rPr>
        <w:t>投标人认为需要加以说明的其他内容</w:t>
      </w:r>
    </w:p>
    <w:p w14:paraId="3BED5B74">
      <w:pPr>
        <w:pStyle w:val="7"/>
      </w:pPr>
    </w:p>
    <w:p w14:paraId="5570A54C"/>
    <w:p w14:paraId="3ECB2DA5">
      <w:pPr>
        <w:pStyle w:val="7"/>
      </w:pPr>
    </w:p>
    <w:p w14:paraId="5A374FC1"/>
    <w:p w14:paraId="3720A33D">
      <w:pPr>
        <w:pStyle w:val="7"/>
      </w:pPr>
    </w:p>
    <w:p w14:paraId="2CE7543B">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r>
        <w:rPr>
          <w:rFonts w:hint="eastAsia"/>
          <w:color w:val="000000" w:themeColor="text1"/>
          <w14:textFill>
            <w14:solidFill>
              <w14:schemeClr w14:val="tx1"/>
            </w14:solidFill>
          </w14:textFill>
        </w:rPr>
        <w:t>第五章  合同条款及格式</w:t>
      </w:r>
    </w:p>
    <w:p w14:paraId="3BEF22DB">
      <w:pPr>
        <w:spacing w:line="360" w:lineRule="auto"/>
        <w:jc w:val="center"/>
        <w:rPr>
          <w:rFonts w:ascii="宋体" w:hAnsi="宋体" w:eastAsia="黑体"/>
          <w:bCs/>
          <w:kern w:val="44"/>
          <w:sz w:val="28"/>
          <w:szCs w:val="44"/>
        </w:rPr>
      </w:pPr>
      <w:bookmarkStart w:id="41" w:name="_Hlk72574405"/>
      <w:r>
        <w:rPr>
          <w:rFonts w:hint="eastAsia" w:ascii="宋体" w:hAnsi="宋体" w:eastAsia="宋体" w:cs="宋体"/>
          <w:b/>
        </w:rPr>
        <w:t>（仅供参考，具体以项目需求及采购结果为准）</w:t>
      </w:r>
      <w:bookmarkEnd w:id="41"/>
    </w:p>
    <w:p w14:paraId="36CE720F">
      <w:pPr>
        <w:snapToGrid w:val="0"/>
        <w:spacing w:line="300" w:lineRule="auto"/>
        <w:rPr>
          <w:rFonts w:ascii="宋体" w:hAnsi="宋体" w:eastAsia="宋体"/>
          <w:u w:val="single"/>
        </w:rPr>
      </w:pPr>
      <w:r>
        <w:rPr>
          <w:rFonts w:hint="eastAsia" w:ascii="宋体" w:hAnsi="宋体" w:eastAsia="宋体"/>
        </w:rPr>
        <w:t>甲方：</w:t>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乙方: </w:t>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 xml:space="preserve">  </w:t>
      </w:r>
    </w:p>
    <w:p w14:paraId="1E7D9483">
      <w:pPr>
        <w:snapToGrid w:val="0"/>
        <w:spacing w:line="300" w:lineRule="auto"/>
        <w:rPr>
          <w:rFonts w:ascii="宋体" w:hAnsi="宋体" w:eastAsia="宋体"/>
        </w:rPr>
      </w:pPr>
      <w:r>
        <w:rPr>
          <w:rFonts w:hint="eastAsia" w:ascii="宋体" w:hAnsi="宋体" w:eastAsia="宋体"/>
        </w:rPr>
        <w:t>住所地：</w:t>
      </w:r>
      <w:r>
        <w:rPr>
          <w:rFonts w:hint="eastAsia" w:ascii="宋体" w:hAnsi="宋体" w:eastAsia="宋体"/>
          <w:u w:val="single"/>
        </w:rPr>
        <w:t xml:space="preserve">                    </w:t>
      </w:r>
      <w:r>
        <w:rPr>
          <w:rFonts w:hint="eastAsia" w:ascii="宋体" w:hAnsi="宋体" w:eastAsia="宋体"/>
        </w:rPr>
        <w:t xml:space="preserve">   住所地：</w:t>
      </w:r>
      <w:r>
        <w:rPr>
          <w:rFonts w:hint="eastAsia" w:ascii="宋体" w:hAnsi="宋体" w:eastAsia="宋体"/>
          <w:u w:val="single"/>
        </w:rPr>
        <w:t xml:space="preserve">                    </w:t>
      </w:r>
    </w:p>
    <w:p w14:paraId="742A2082">
      <w:pPr>
        <w:snapToGrid w:val="0"/>
        <w:spacing w:line="300" w:lineRule="auto"/>
        <w:rPr>
          <w:rFonts w:ascii="宋体" w:hAnsi="宋体" w:eastAsia="宋体"/>
        </w:rPr>
      </w:pPr>
      <w:r>
        <w:rPr>
          <w:rFonts w:hint="eastAsia" w:ascii="宋体" w:hAnsi="宋体" w:eastAsia="宋体"/>
        </w:rPr>
        <w:t>法定代表人：</w:t>
      </w:r>
      <w:r>
        <w:rPr>
          <w:rFonts w:hint="eastAsia" w:ascii="宋体" w:hAnsi="宋体" w:eastAsia="宋体"/>
          <w:u w:val="single"/>
        </w:rPr>
        <w:t xml:space="preserve">                </w:t>
      </w:r>
      <w:r>
        <w:rPr>
          <w:rFonts w:hint="eastAsia" w:ascii="宋体" w:hAnsi="宋体" w:eastAsia="宋体"/>
        </w:rPr>
        <w:t xml:space="preserve">   法定代表人：</w:t>
      </w:r>
      <w:r>
        <w:rPr>
          <w:rFonts w:hint="eastAsia" w:ascii="宋体" w:hAnsi="宋体" w:eastAsia="宋体"/>
          <w:u w:val="single"/>
        </w:rPr>
        <w:t xml:space="preserve">                </w:t>
      </w:r>
    </w:p>
    <w:p w14:paraId="09EFD6D0">
      <w:pPr>
        <w:snapToGrid w:val="0"/>
        <w:spacing w:line="300" w:lineRule="auto"/>
        <w:rPr>
          <w:rFonts w:ascii="宋体" w:hAnsi="宋体" w:eastAsia="宋体"/>
        </w:rPr>
      </w:pPr>
      <w:r>
        <w:rPr>
          <w:rFonts w:hint="eastAsia" w:ascii="宋体" w:hAnsi="宋体" w:eastAsia="宋体"/>
        </w:rPr>
        <w:t>联系人：</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联系人：</w:t>
      </w:r>
      <w:r>
        <w:rPr>
          <w:rFonts w:hint="eastAsia" w:ascii="宋体" w:hAnsi="宋体" w:eastAsia="宋体"/>
          <w:u w:val="single"/>
        </w:rPr>
        <w:t xml:space="preserve">                    </w:t>
      </w:r>
    </w:p>
    <w:p w14:paraId="6A07F79B">
      <w:pPr>
        <w:snapToGrid w:val="0"/>
        <w:spacing w:line="300" w:lineRule="auto"/>
        <w:rPr>
          <w:rFonts w:ascii="宋体" w:hAnsi="宋体" w:eastAsia="宋体"/>
        </w:rPr>
      </w:pPr>
      <w:r>
        <w:rPr>
          <w:rFonts w:hint="eastAsia" w:ascii="宋体" w:hAnsi="宋体" w:eastAsia="宋体"/>
        </w:rPr>
        <w:t>电话：</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电话：</w:t>
      </w:r>
      <w:r>
        <w:rPr>
          <w:rFonts w:hint="eastAsia" w:ascii="宋体" w:hAnsi="宋体" w:eastAsia="宋体"/>
          <w:u w:val="single"/>
        </w:rPr>
        <w:t xml:space="preserve">                      </w:t>
      </w:r>
    </w:p>
    <w:p w14:paraId="10BAAA47">
      <w:pPr>
        <w:snapToGrid w:val="0"/>
        <w:spacing w:line="300" w:lineRule="auto"/>
        <w:rPr>
          <w:rFonts w:ascii="宋体" w:hAnsi="宋体" w:eastAsia="宋体"/>
        </w:rPr>
      </w:pPr>
      <w:r>
        <w:rPr>
          <w:rFonts w:hint="eastAsia" w:ascii="宋体" w:hAnsi="宋体" w:eastAsia="宋体"/>
        </w:rPr>
        <w:t>传真：</w:t>
      </w:r>
      <w:r>
        <w:rPr>
          <w:rFonts w:hint="eastAsia" w:ascii="宋体" w:hAnsi="宋体" w:eastAsia="宋体"/>
          <w:u w:val="single"/>
        </w:rPr>
        <w:t xml:space="preserve">                      </w:t>
      </w:r>
      <w:r>
        <w:rPr>
          <w:rFonts w:hint="eastAsia" w:ascii="宋体" w:hAnsi="宋体" w:eastAsia="宋体"/>
        </w:rPr>
        <w:t xml:space="preserve">   传真：</w:t>
      </w:r>
      <w:r>
        <w:rPr>
          <w:rFonts w:hint="eastAsia" w:ascii="宋体" w:hAnsi="宋体" w:eastAsia="宋体"/>
          <w:u w:val="single"/>
        </w:rPr>
        <w:t xml:space="preserve">                      </w:t>
      </w:r>
    </w:p>
    <w:p w14:paraId="374DABBB">
      <w:pPr>
        <w:snapToGrid w:val="0"/>
        <w:spacing w:line="360" w:lineRule="auto"/>
        <w:rPr>
          <w:rFonts w:ascii="宋体" w:hAnsi="宋体" w:eastAsia="宋体"/>
        </w:rPr>
      </w:pPr>
    </w:p>
    <w:p w14:paraId="7CD7558D">
      <w:pPr>
        <w:tabs>
          <w:tab w:val="left" w:pos="0"/>
        </w:tabs>
        <w:snapToGrid w:val="0"/>
        <w:spacing w:line="360" w:lineRule="auto"/>
        <w:rPr>
          <w:rFonts w:ascii="宋体" w:hAnsi="宋体" w:eastAsia="宋体"/>
          <w:b/>
        </w:rPr>
      </w:pPr>
      <w:r>
        <w:rPr>
          <w:rFonts w:hint="eastAsia" w:ascii="宋体" w:hAnsi="宋体" w:eastAsia="宋体"/>
          <w:b/>
        </w:rPr>
        <w:t>第一条 项目基本情况</w:t>
      </w:r>
    </w:p>
    <w:p w14:paraId="4E4DB96D">
      <w:pPr>
        <w:tabs>
          <w:tab w:val="left" w:pos="0"/>
        </w:tabs>
        <w:snapToGrid w:val="0"/>
        <w:spacing w:line="300" w:lineRule="auto"/>
        <w:ind w:firstLine="555"/>
        <w:rPr>
          <w:rFonts w:ascii="宋体" w:hAnsi="宋体" w:eastAsia="宋体"/>
        </w:rPr>
      </w:pPr>
      <w:r>
        <w:rPr>
          <w:rFonts w:hint="eastAsia" w:ascii="宋体" w:hAnsi="宋体" w:eastAsia="宋体"/>
        </w:rPr>
        <w:t>根据友和保险经纪有限公司</w:t>
      </w:r>
      <w:r>
        <w:rPr>
          <w:rFonts w:hint="eastAsia" w:ascii="宋体" w:hAnsi="宋体" w:eastAsia="宋体"/>
          <w:u w:val="single"/>
        </w:rPr>
        <w:t xml:space="preserve">      </w:t>
      </w:r>
      <w:r>
        <w:rPr>
          <w:rFonts w:ascii="宋体" w:hAnsi="宋体" w:eastAsia="宋体"/>
          <w:u w:val="single"/>
        </w:rPr>
        <w:t xml:space="preserve">    </w:t>
      </w:r>
      <w:r>
        <w:rPr>
          <w:rFonts w:hint="eastAsia" w:ascii="宋体" w:hAnsi="宋体" w:eastAsia="宋体"/>
          <w:u w:val="single"/>
        </w:rPr>
        <w:t xml:space="preserve">  </w:t>
      </w:r>
      <w:r>
        <w:rPr>
          <w:rFonts w:hint="eastAsia" w:ascii="宋体" w:hAnsi="宋体" w:eastAsia="宋体"/>
        </w:rPr>
        <w:t>项目（招标编号：</w:t>
      </w:r>
      <w:r>
        <w:rPr>
          <w:rFonts w:ascii="宋体" w:hAnsi="宋体" w:eastAsia="宋体"/>
          <w:u w:val="single"/>
        </w:rPr>
        <w:t xml:space="preserve"> </w:t>
      </w:r>
      <w:r>
        <w:rPr>
          <w:rFonts w:hint="eastAsia" w:ascii="宋体" w:hAnsi="宋体" w:eastAsia="宋体"/>
          <w:u w:val="single"/>
          <w:lang w:eastAsia="zh-CN"/>
        </w:rPr>
        <w:t>GMDL2025000017</w:t>
      </w:r>
      <w:r>
        <w:rPr>
          <w:rFonts w:hint="eastAsia" w:ascii="宋体" w:hAnsi="宋体" w:eastAsia="宋体"/>
          <w:u w:val="single"/>
        </w:rPr>
        <w:t xml:space="preserve"> </w:t>
      </w:r>
      <w:r>
        <w:rPr>
          <w:rFonts w:hint="eastAsia" w:ascii="宋体" w:hAnsi="宋体" w:eastAsia="宋体"/>
        </w:rPr>
        <w:t>）结果，</w:t>
      </w:r>
      <w:r>
        <w:rPr>
          <w:rFonts w:hint="eastAsia" w:ascii="宋体" w:hAnsi="宋体" w:eastAsia="宋体"/>
          <w:u w:val="single"/>
        </w:rPr>
        <w:t xml:space="preserve">        </w:t>
      </w:r>
      <w:r>
        <w:rPr>
          <w:rFonts w:hint="eastAsia" w:ascii="宋体" w:hAnsi="宋体" w:eastAsia="宋体"/>
        </w:rPr>
        <w:t>为中标人。按照《中华人民共和国民法典》（第三编 合同）》和《深圳经济特区政府采购条例》，经</w:t>
      </w:r>
      <w:r>
        <w:rPr>
          <w:rFonts w:hint="eastAsia" w:ascii="宋体" w:hAnsi="宋体" w:eastAsia="宋体"/>
          <w:u w:val="single"/>
        </w:rPr>
        <w:t xml:space="preserve">        </w:t>
      </w:r>
      <w:r>
        <w:rPr>
          <w:rFonts w:hint="eastAsia" w:ascii="宋体" w:hAnsi="宋体" w:eastAsia="宋体"/>
        </w:rPr>
        <w:t>（以下简称甲方）和</w:t>
      </w:r>
      <w:r>
        <w:rPr>
          <w:rFonts w:hint="eastAsia" w:ascii="宋体" w:hAnsi="宋体" w:eastAsia="宋体"/>
          <w:u w:val="single"/>
        </w:rPr>
        <w:t xml:space="preserve">        </w:t>
      </w:r>
      <w:r>
        <w:rPr>
          <w:rFonts w:hint="eastAsia" w:ascii="宋体" w:hAnsi="宋体" w:eastAsia="宋体"/>
        </w:rPr>
        <w:t>（以下简称乙方）协商，达成本合同条款。</w:t>
      </w:r>
    </w:p>
    <w:p w14:paraId="4E268AAC">
      <w:pPr>
        <w:tabs>
          <w:tab w:val="left" w:pos="0"/>
        </w:tabs>
        <w:snapToGrid w:val="0"/>
        <w:spacing w:line="360" w:lineRule="auto"/>
        <w:rPr>
          <w:rFonts w:ascii="宋体" w:hAnsi="宋体" w:eastAsia="宋体"/>
        </w:rPr>
      </w:pPr>
      <w:r>
        <w:rPr>
          <w:rFonts w:hint="eastAsia" w:ascii="宋体" w:hAnsi="宋体" w:eastAsia="宋体"/>
          <w:b/>
        </w:rPr>
        <w:t>第二条 合同标的内容（标的数量或质量等）</w:t>
      </w:r>
    </w:p>
    <w:p w14:paraId="62AFB6A4">
      <w:pPr>
        <w:tabs>
          <w:tab w:val="left" w:pos="0"/>
        </w:tabs>
        <w:snapToGrid w:val="0"/>
        <w:spacing w:line="360" w:lineRule="auto"/>
        <w:rPr>
          <w:rFonts w:ascii="宋体" w:hAnsi="宋体" w:eastAsia="宋体"/>
          <w:b/>
        </w:rPr>
      </w:pPr>
      <w:r>
        <w:rPr>
          <w:rFonts w:hint="eastAsia" w:ascii="宋体" w:hAnsi="宋体" w:eastAsia="宋体"/>
          <w:b/>
        </w:rPr>
        <w:t>第三条 合同价款（金额）</w:t>
      </w:r>
    </w:p>
    <w:p w14:paraId="5A21B0CE">
      <w:pPr>
        <w:tabs>
          <w:tab w:val="left" w:pos="0"/>
        </w:tabs>
        <w:snapToGrid w:val="0"/>
        <w:spacing w:line="360" w:lineRule="auto"/>
        <w:rPr>
          <w:rFonts w:ascii="宋体" w:hAnsi="宋体" w:eastAsia="宋体"/>
          <w:b/>
        </w:rPr>
      </w:pPr>
      <w:r>
        <w:rPr>
          <w:rFonts w:hint="eastAsia" w:ascii="宋体" w:hAnsi="宋体" w:eastAsia="宋体"/>
          <w:b/>
        </w:rPr>
        <w:t>第四条 项目履约（交付、交货）地点</w:t>
      </w:r>
    </w:p>
    <w:p w14:paraId="30DA34D6">
      <w:pPr>
        <w:tabs>
          <w:tab w:val="left" w:pos="0"/>
        </w:tabs>
        <w:snapToGrid w:val="0"/>
        <w:spacing w:line="360" w:lineRule="auto"/>
        <w:ind w:left="-1" w:firstLine="480" w:firstLineChars="200"/>
        <w:rPr>
          <w:rFonts w:ascii="宋体" w:hAnsi="宋体" w:eastAsia="宋体"/>
        </w:rPr>
      </w:pPr>
      <w:r>
        <w:rPr>
          <w:rFonts w:hint="eastAsia" w:ascii="宋体" w:hAnsi="宋体" w:eastAsia="宋体"/>
        </w:rPr>
        <w:t>深圳市</w:t>
      </w:r>
      <w:r>
        <w:rPr>
          <w:rFonts w:hint="eastAsia" w:ascii="宋体" w:hAnsi="宋体" w:eastAsia="宋体"/>
          <w:u w:val="single"/>
        </w:rPr>
        <w:t xml:space="preserve">      </w:t>
      </w:r>
      <w:r>
        <w:rPr>
          <w:rFonts w:hint="eastAsia" w:ascii="宋体" w:hAnsi="宋体" w:eastAsia="宋体"/>
        </w:rPr>
        <w:t>区。</w:t>
      </w:r>
    </w:p>
    <w:p w14:paraId="696C88AF">
      <w:pPr>
        <w:tabs>
          <w:tab w:val="left" w:pos="0"/>
        </w:tabs>
        <w:snapToGrid w:val="0"/>
        <w:spacing w:line="360" w:lineRule="auto"/>
        <w:rPr>
          <w:rFonts w:ascii="宋体" w:hAnsi="宋体" w:eastAsia="宋体"/>
          <w:b/>
        </w:rPr>
      </w:pPr>
      <w:r>
        <w:rPr>
          <w:rFonts w:hint="eastAsia" w:ascii="宋体" w:hAnsi="宋体" w:eastAsia="宋体"/>
          <w:b/>
        </w:rPr>
        <w:t>第五条 项目服务期（完工期、履约时间、交货时间）</w:t>
      </w:r>
    </w:p>
    <w:p w14:paraId="24E8B49F">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0315E360">
      <w:pPr>
        <w:tabs>
          <w:tab w:val="left" w:pos="0"/>
        </w:tabs>
        <w:snapToGrid w:val="0"/>
        <w:spacing w:line="360" w:lineRule="auto"/>
        <w:rPr>
          <w:rFonts w:ascii="宋体" w:hAnsi="宋体" w:eastAsia="宋体"/>
          <w:b/>
        </w:rPr>
      </w:pPr>
      <w:r>
        <w:rPr>
          <w:rFonts w:hint="eastAsia" w:ascii="宋体" w:hAnsi="宋体" w:eastAsia="宋体"/>
          <w:b/>
        </w:rPr>
        <w:t>第六条 付款期限及方式</w:t>
      </w:r>
    </w:p>
    <w:p w14:paraId="23BCA107">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54FFE716">
      <w:pPr>
        <w:tabs>
          <w:tab w:val="left" w:pos="0"/>
        </w:tabs>
        <w:snapToGrid w:val="0"/>
        <w:spacing w:line="360" w:lineRule="auto"/>
        <w:rPr>
          <w:rFonts w:ascii="宋体" w:hAnsi="宋体" w:eastAsia="宋体"/>
          <w:b/>
        </w:rPr>
      </w:pPr>
      <w:r>
        <w:rPr>
          <w:rFonts w:hint="eastAsia" w:ascii="宋体" w:hAnsi="宋体" w:eastAsia="宋体"/>
          <w:b/>
        </w:rPr>
        <w:t>第七条 项目验收标准及方式</w:t>
      </w:r>
    </w:p>
    <w:p w14:paraId="55AD9E2B">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093F7565">
      <w:pPr>
        <w:tabs>
          <w:tab w:val="left" w:pos="0"/>
        </w:tabs>
        <w:snapToGrid w:val="0"/>
        <w:spacing w:line="360" w:lineRule="auto"/>
        <w:rPr>
          <w:rFonts w:ascii="宋体" w:hAnsi="宋体" w:eastAsia="宋体"/>
          <w:b/>
        </w:rPr>
      </w:pPr>
      <w:r>
        <w:rPr>
          <w:rFonts w:hint="eastAsia" w:ascii="宋体" w:hAnsi="宋体" w:eastAsia="宋体"/>
          <w:b/>
        </w:rPr>
        <w:t>第八条 甲方的权利和义务</w:t>
      </w:r>
    </w:p>
    <w:p w14:paraId="56EE4B40">
      <w:pPr>
        <w:tabs>
          <w:tab w:val="left" w:pos="0"/>
        </w:tabs>
        <w:snapToGrid w:val="0"/>
        <w:spacing w:line="360" w:lineRule="auto"/>
        <w:rPr>
          <w:rFonts w:ascii="宋体" w:hAnsi="宋体" w:eastAsia="宋体"/>
          <w:b/>
        </w:rPr>
      </w:pPr>
      <w:r>
        <w:rPr>
          <w:rFonts w:hint="eastAsia" w:ascii="宋体" w:hAnsi="宋体" w:eastAsia="宋体"/>
          <w:b/>
        </w:rPr>
        <w:t>第九条 乙方的权利和义务</w:t>
      </w:r>
    </w:p>
    <w:p w14:paraId="19C70D8A">
      <w:pPr>
        <w:tabs>
          <w:tab w:val="left" w:pos="0"/>
        </w:tabs>
        <w:snapToGrid w:val="0"/>
        <w:spacing w:line="360" w:lineRule="auto"/>
        <w:rPr>
          <w:rFonts w:ascii="宋体" w:hAnsi="宋体" w:eastAsia="宋体"/>
          <w:b/>
        </w:rPr>
      </w:pPr>
      <w:r>
        <w:rPr>
          <w:rFonts w:hint="eastAsia" w:ascii="宋体" w:hAnsi="宋体" w:eastAsia="宋体"/>
          <w:b/>
        </w:rPr>
        <w:t>第十条 违约责任与争议解决办法</w:t>
      </w:r>
    </w:p>
    <w:p w14:paraId="61010D3C">
      <w:pPr>
        <w:tabs>
          <w:tab w:val="left" w:pos="0"/>
        </w:tabs>
        <w:snapToGrid w:val="0"/>
        <w:spacing w:line="360" w:lineRule="auto"/>
        <w:ind w:firstLine="480" w:firstLineChars="200"/>
        <w:rPr>
          <w:rFonts w:ascii="宋体" w:hAnsi="宋体" w:eastAsia="宋体"/>
        </w:rPr>
      </w:pPr>
      <w:r>
        <w:rPr>
          <w:rFonts w:hint="eastAsia" w:ascii="宋体" w:hAnsi="宋体" w:eastAsia="宋体"/>
        </w:rPr>
        <w:t>1、合同双方之任何一方不能全面履行合同条款，均属违约。违约所造成的经济损失概由违约方承担赔偿。违约造成工期延误责任分担：甲方违约，工期相应顺延；乙方违约，工期不得顺延。</w:t>
      </w:r>
    </w:p>
    <w:p w14:paraId="4572F7E7">
      <w:pPr>
        <w:tabs>
          <w:tab w:val="left" w:pos="0"/>
        </w:tabs>
        <w:snapToGrid w:val="0"/>
        <w:spacing w:line="360" w:lineRule="auto"/>
        <w:ind w:firstLine="480" w:firstLineChars="200"/>
        <w:rPr>
          <w:rFonts w:ascii="宋体" w:hAnsi="宋体" w:eastAsia="宋体"/>
        </w:rPr>
      </w:pPr>
      <w:r>
        <w:rPr>
          <w:rFonts w:hint="eastAsia" w:ascii="宋体" w:hAnsi="宋体" w:eastAsia="宋体"/>
        </w:rPr>
        <w:t>2、协商或仲裁：如果发生与本合同的解释或执行中的有关争议，双方首先应通过友好协商解决，否则任何一方可将该争议提交仲裁。仲裁事项应提交深圳仲裁委员会进行裁决。</w:t>
      </w:r>
    </w:p>
    <w:p w14:paraId="2F88CEBF">
      <w:pPr>
        <w:tabs>
          <w:tab w:val="left" w:pos="0"/>
        </w:tabs>
        <w:snapToGrid w:val="0"/>
        <w:spacing w:line="360" w:lineRule="auto"/>
        <w:rPr>
          <w:rFonts w:ascii="宋体" w:hAnsi="宋体" w:eastAsia="宋体"/>
        </w:rPr>
      </w:pPr>
      <w:r>
        <w:rPr>
          <w:rFonts w:hint="eastAsia" w:ascii="宋体" w:hAnsi="宋体" w:eastAsia="宋体"/>
        </w:rPr>
        <w:t>……。</w:t>
      </w:r>
    </w:p>
    <w:p w14:paraId="700B8EBD">
      <w:pPr>
        <w:tabs>
          <w:tab w:val="left" w:pos="0"/>
        </w:tabs>
        <w:snapToGrid w:val="0"/>
        <w:spacing w:line="360" w:lineRule="auto"/>
        <w:rPr>
          <w:rFonts w:ascii="宋体" w:hAnsi="宋体" w:eastAsia="宋体"/>
          <w:b/>
        </w:rPr>
      </w:pPr>
      <w:r>
        <w:rPr>
          <w:rFonts w:hint="eastAsia" w:ascii="宋体" w:hAnsi="宋体" w:eastAsia="宋体"/>
          <w:b/>
        </w:rPr>
        <w:t>第十一条 知识产权、保密或其他事项要求</w:t>
      </w:r>
    </w:p>
    <w:p w14:paraId="67DD7559">
      <w:pPr>
        <w:tabs>
          <w:tab w:val="left" w:pos="0"/>
        </w:tabs>
        <w:snapToGrid w:val="0"/>
        <w:spacing w:line="360" w:lineRule="auto"/>
        <w:ind w:firstLine="480" w:firstLineChars="200"/>
        <w:rPr>
          <w:rFonts w:ascii="宋体" w:hAnsi="宋体" w:eastAsia="宋体"/>
        </w:rPr>
      </w:pPr>
      <w:r>
        <w:rPr>
          <w:rFonts w:hint="eastAsia" w:ascii="宋体" w:hAnsi="宋体" w:eastAsia="宋体"/>
        </w:rPr>
        <w:t>1、除政府采购合同继续履行将损害国家利益和社会公共利益外，双方不得擅自变更、中止或者终止合同。</w:t>
      </w:r>
    </w:p>
    <w:p w14:paraId="59049335">
      <w:pPr>
        <w:tabs>
          <w:tab w:val="left" w:pos="0"/>
        </w:tabs>
        <w:snapToGrid w:val="0"/>
        <w:spacing w:line="360" w:lineRule="auto"/>
        <w:ind w:firstLine="480" w:firstLineChars="200"/>
        <w:rPr>
          <w:rFonts w:ascii="宋体" w:hAnsi="宋体" w:eastAsia="宋体"/>
        </w:rPr>
      </w:pPr>
      <w:r>
        <w:rPr>
          <w:rFonts w:hint="eastAsia" w:ascii="宋体" w:hAnsi="宋体" w:eastAsia="宋体"/>
        </w:rPr>
        <w:t>2、乙方所提供的货物或服务未侵犯知识产权，不会产生因第三方提出的包括但不限于侵犯其专利权、商标权、工业设计权等知识产权和侵犯其所有权、抵押权等物权及其他权利而引发的纠纷。如有纠纷，乙方应承担全部责任。</w:t>
      </w:r>
    </w:p>
    <w:p w14:paraId="16C53600">
      <w:pPr>
        <w:tabs>
          <w:tab w:val="left" w:pos="0"/>
        </w:tabs>
        <w:snapToGrid w:val="0"/>
        <w:spacing w:line="360" w:lineRule="auto"/>
        <w:rPr>
          <w:rFonts w:ascii="宋体" w:hAnsi="宋体" w:eastAsia="宋体"/>
        </w:rPr>
      </w:pPr>
      <w:r>
        <w:rPr>
          <w:rFonts w:hint="eastAsia" w:ascii="宋体" w:hAnsi="宋体" w:eastAsia="宋体"/>
        </w:rPr>
        <w:t>……。</w:t>
      </w:r>
    </w:p>
    <w:p w14:paraId="77F476C6">
      <w:pPr>
        <w:tabs>
          <w:tab w:val="left" w:pos="0"/>
        </w:tabs>
        <w:snapToGrid w:val="0"/>
        <w:spacing w:line="360" w:lineRule="auto"/>
        <w:rPr>
          <w:rFonts w:ascii="宋体" w:hAnsi="宋体" w:eastAsia="宋体"/>
          <w:b/>
        </w:rPr>
      </w:pPr>
      <w:r>
        <w:rPr>
          <w:rFonts w:hint="eastAsia" w:ascii="宋体" w:hAnsi="宋体" w:eastAsia="宋体"/>
          <w:b/>
        </w:rPr>
        <w:t>第十二条 附件（附录）</w:t>
      </w:r>
      <w:r>
        <w:rPr>
          <w:rFonts w:hint="eastAsia" w:ascii="宋体" w:hAnsi="宋体" w:eastAsia="宋体"/>
        </w:rPr>
        <w:t>（如有，可填写，并附相关内容）</w:t>
      </w:r>
    </w:p>
    <w:p w14:paraId="52515310">
      <w:pPr>
        <w:tabs>
          <w:tab w:val="left" w:pos="0"/>
        </w:tabs>
        <w:snapToGrid w:val="0"/>
        <w:spacing w:line="360" w:lineRule="auto"/>
        <w:rPr>
          <w:rFonts w:ascii="宋体" w:hAnsi="宋体" w:eastAsia="宋体"/>
        </w:rPr>
      </w:pPr>
      <w:r>
        <w:rPr>
          <w:rFonts w:hint="eastAsia" w:ascii="宋体" w:hAnsi="宋体" w:eastAsia="宋体"/>
        </w:rPr>
        <w:t>……。</w:t>
      </w:r>
    </w:p>
    <w:p w14:paraId="66391142">
      <w:pPr>
        <w:snapToGrid w:val="0"/>
        <w:spacing w:line="360" w:lineRule="auto"/>
        <w:ind w:firstLine="200"/>
        <w:rPr>
          <w:rFonts w:ascii="宋体" w:hAnsi="宋体" w:eastAsia="宋体"/>
        </w:rPr>
      </w:pPr>
    </w:p>
    <w:p w14:paraId="17F63586">
      <w:pPr>
        <w:snapToGrid w:val="0"/>
        <w:spacing w:line="360" w:lineRule="auto"/>
        <w:rPr>
          <w:rFonts w:ascii="宋体" w:hAnsi="宋体" w:eastAsia="宋体"/>
        </w:rPr>
      </w:pPr>
      <w:r>
        <w:rPr>
          <w:rFonts w:ascii="宋体" w:hAnsi="宋体" w:eastAsia="宋体"/>
        </w:rPr>
        <w:t>甲方（公章）</w:t>
      </w:r>
      <w:r>
        <w:rPr>
          <w:rFonts w:hint="eastAsia" w:ascii="宋体" w:hAnsi="宋体" w:eastAsia="宋体"/>
        </w:rPr>
        <w:t xml:space="preserve">： </w:t>
      </w:r>
      <w:r>
        <w:rPr>
          <w:rFonts w:ascii="宋体" w:hAnsi="宋体" w:eastAsia="宋体"/>
        </w:rPr>
        <w:t xml:space="preserve">                           乙方（公章）</w:t>
      </w:r>
      <w:r>
        <w:rPr>
          <w:rFonts w:hint="eastAsia" w:ascii="宋体" w:hAnsi="宋体" w:eastAsia="宋体"/>
        </w:rPr>
        <w:t>：</w:t>
      </w:r>
    </w:p>
    <w:p w14:paraId="1EA0E5D9">
      <w:pPr>
        <w:snapToGrid w:val="0"/>
        <w:spacing w:line="360" w:lineRule="auto"/>
        <w:rPr>
          <w:rFonts w:ascii="宋体" w:hAnsi="宋体" w:eastAsia="宋体"/>
        </w:rPr>
      </w:pPr>
      <w:r>
        <w:rPr>
          <w:rFonts w:ascii="宋体" w:hAnsi="宋体" w:eastAsia="宋体"/>
        </w:rPr>
        <w:t>法定代表人（签章）</w:t>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法定代表人（签章）</w:t>
      </w:r>
    </w:p>
    <w:p w14:paraId="709F27E9">
      <w:pPr>
        <w:snapToGrid w:val="0"/>
        <w:spacing w:line="360" w:lineRule="auto"/>
        <w:rPr>
          <w:rFonts w:ascii="宋体" w:hAnsi="宋体" w:eastAsia="宋体"/>
        </w:rPr>
      </w:pPr>
      <w:r>
        <w:rPr>
          <w:rFonts w:ascii="宋体" w:hAnsi="宋体" w:eastAsia="宋体"/>
        </w:rPr>
        <w:t>或授权代表：</w:t>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或授权代表：</w:t>
      </w:r>
    </w:p>
    <w:p w14:paraId="15B136FD">
      <w:pPr>
        <w:snapToGrid w:val="0"/>
        <w:spacing w:line="360" w:lineRule="auto"/>
        <w:rPr>
          <w:rFonts w:ascii="宋体" w:hAnsi="宋体" w:eastAsia="宋体"/>
        </w:rPr>
      </w:pPr>
      <w:r>
        <w:rPr>
          <w:rFonts w:hint="eastAsia" w:ascii="宋体" w:hAnsi="宋体" w:eastAsia="宋体"/>
        </w:rPr>
        <w:t xml:space="preserve">日期： </w:t>
      </w:r>
      <w:r>
        <w:rPr>
          <w:rFonts w:ascii="宋体" w:hAnsi="宋体" w:eastAsia="宋体"/>
        </w:rPr>
        <w:t xml:space="preserve">   年   月   日     </w:t>
      </w:r>
      <w:r>
        <w:rPr>
          <w:rFonts w:ascii="宋体" w:hAnsi="宋体" w:eastAsia="宋体"/>
        </w:rPr>
        <w:tab/>
      </w:r>
      <w:r>
        <w:rPr>
          <w:rFonts w:ascii="宋体" w:hAnsi="宋体" w:eastAsia="宋体"/>
        </w:rPr>
        <w:tab/>
      </w:r>
      <w:r>
        <w:rPr>
          <w:rFonts w:ascii="宋体" w:hAnsi="宋体" w:eastAsia="宋体"/>
        </w:rPr>
        <w:tab/>
      </w:r>
      <w:r>
        <w:rPr>
          <w:rFonts w:hint="eastAsia" w:ascii="宋体" w:hAnsi="宋体" w:eastAsia="宋体"/>
        </w:rPr>
        <w:t xml:space="preserve">日期： </w:t>
      </w:r>
      <w:r>
        <w:rPr>
          <w:rFonts w:ascii="宋体" w:hAnsi="宋体" w:eastAsia="宋体"/>
        </w:rPr>
        <w:t xml:space="preserve">   年   月   日</w:t>
      </w:r>
    </w:p>
    <w:p w14:paraId="1CD896B3">
      <w:pPr>
        <w:rPr>
          <w:rFonts w:ascii="宋体" w:hAnsi="宋体"/>
          <w:color w:val="000000" w:themeColor="text1"/>
          <w:szCs w:val="21"/>
          <w14:textFill>
            <w14:solidFill>
              <w14:schemeClr w14:val="tx1"/>
            </w14:solidFill>
          </w14:textFill>
        </w:rPr>
      </w:pPr>
    </w:p>
    <w:p w14:paraId="3C0F9442">
      <w:pPr>
        <w:pStyle w:val="7"/>
      </w:pPr>
    </w:p>
    <w:p w14:paraId="3E773506"/>
    <w:p w14:paraId="7BFA7E5C">
      <w:pPr>
        <w:pStyle w:val="7"/>
      </w:pPr>
    </w:p>
    <w:p w14:paraId="2B1F7895"/>
    <w:p w14:paraId="77919B5E">
      <w:pPr>
        <w:pStyle w:val="7"/>
      </w:pPr>
    </w:p>
    <w:p w14:paraId="3446888A"/>
    <w:p w14:paraId="2EB7ECFB">
      <w:pPr>
        <w:pStyle w:val="7"/>
      </w:pPr>
    </w:p>
    <w:p w14:paraId="7F008D20"/>
    <w:p w14:paraId="4C186E90">
      <w:pPr>
        <w:pStyle w:val="7"/>
      </w:pPr>
    </w:p>
    <w:p w14:paraId="1FB25C97"/>
    <w:p w14:paraId="5F5CC9DF">
      <w:pPr>
        <w:pStyle w:val="7"/>
      </w:pPr>
    </w:p>
    <w:p w14:paraId="0C04875A"/>
    <w:p w14:paraId="50868D45">
      <w:pPr>
        <w:pStyle w:val="7"/>
      </w:pPr>
    </w:p>
    <w:p w14:paraId="0157D9A0"/>
    <w:p w14:paraId="7296F2A6"/>
    <w:p w14:paraId="44ED3B1F">
      <w:pPr>
        <w:pStyle w:val="7"/>
      </w:pPr>
    </w:p>
    <w:p w14:paraId="2319A870">
      <w:pPr>
        <w:pStyle w:val="6"/>
        <w:spacing w:before="120" w:beforeLines="50" w:after="120" w:afterLines="50"/>
        <w:ind w:left="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第二册  通用条款（公开招标）</w:t>
      </w:r>
    </w:p>
    <w:p w14:paraId="0E4AFC9A">
      <w:pPr>
        <w:pStyle w:val="6"/>
        <w:numPr>
          <w:ilvl w:val="0"/>
          <w:numId w:val="5"/>
        </w:numPr>
        <w:spacing w:before="120" w:beforeLines="50" w:after="120" w:afterLines="50"/>
        <w:ind w:left="562" w:hanging="562"/>
        <w:rPr>
          <w:color w:val="000000" w:themeColor="text1"/>
          <w:sz w:val="28"/>
          <w:szCs w:val="28"/>
          <w14:textFill>
            <w14:solidFill>
              <w14:schemeClr w14:val="tx1"/>
            </w14:solidFill>
          </w14:textFill>
        </w:rPr>
      </w:pPr>
      <w:bookmarkStart w:id="42" w:name="_Hlk72399513"/>
      <w:r>
        <w:rPr>
          <w:rFonts w:hint="eastAsia"/>
          <w:color w:val="000000" w:themeColor="text1"/>
          <w:sz w:val="28"/>
          <w:szCs w:val="28"/>
          <w14:textFill>
            <w14:solidFill>
              <w14:schemeClr w14:val="tx1"/>
            </w14:solidFill>
          </w14:textFill>
        </w:rPr>
        <w:t>总则</w:t>
      </w:r>
    </w:p>
    <w:bookmarkEnd w:id="42"/>
    <w:p w14:paraId="47621AE4">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 通用条款说明</w:t>
      </w:r>
    </w:p>
    <w:p w14:paraId="1E81BA5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w:t>
      </w:r>
      <w:bookmarkStart w:id="43" w:name="_Hlk72399729"/>
      <w:r>
        <w:rPr>
          <w:rFonts w:hint="eastAsia" w:ascii="宋体" w:hAnsi="宋体"/>
          <w:color w:val="000000" w:themeColor="text1"/>
          <w:szCs w:val="21"/>
          <w14:textFill>
            <w14:solidFill>
              <w14:schemeClr w14:val="tx1"/>
            </w14:solidFill>
          </w14:textFill>
        </w:rPr>
        <w:t>采购机构可以对通用条款的内容进行补充。</w:t>
      </w:r>
      <w:bookmarkEnd w:id="43"/>
    </w:p>
    <w:p w14:paraId="0277317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1.2招标文件分为第一册“专用条款”和第二册“通用条款”。</w:t>
      </w:r>
    </w:p>
    <w:p w14:paraId="5413C8D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1.3“专用条款”是对本次采购项目的具体要求，包含招标公告、对通用条款的补充内容及其他关键信息、用户需求书、投标文件格式及附件、合同条款及格式等内容。</w:t>
      </w:r>
    </w:p>
    <w:p w14:paraId="11BE61B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1.4“通用条款”是适用于政府采购公开招标项目的基础性条款，具有普遍性和通用性。</w:t>
      </w:r>
    </w:p>
    <w:p w14:paraId="74EA31F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 “专用条款”和“通用条款”表述不一致或有冲突时，以“专用条款”为准。</w:t>
      </w:r>
    </w:p>
    <w:p w14:paraId="6F5CFE5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w:t>
      </w:r>
      <w:r>
        <w:rPr>
          <w:rFonts w:ascii="黑体" w:hAnsi="宋体" w:eastAsia="黑体"/>
          <w:color w:val="000000" w:themeColor="text1"/>
          <w14:textFill>
            <w14:solidFill>
              <w14:schemeClr w14:val="tx1"/>
            </w14:solidFill>
          </w14:textFill>
        </w:rPr>
        <w:t>．</w:t>
      </w:r>
      <w:r>
        <w:rPr>
          <w:rFonts w:hint="eastAsia" w:ascii="黑体" w:hAnsi="宋体" w:eastAsia="黑体"/>
          <w:color w:val="000000" w:themeColor="text1"/>
          <w14:textFill>
            <w14:solidFill>
              <w14:schemeClr w14:val="tx1"/>
            </w14:solidFill>
          </w14:textFill>
        </w:rPr>
        <w:t>招标说明</w:t>
      </w:r>
    </w:p>
    <w:p w14:paraId="455AE7F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本项目按照《深圳经济特区政府采购条例》、《深圳经济特区政府采购条例实施细则》及政府采购其他法律法规，通过公开招标方式确定中标供应商。</w:t>
      </w:r>
    </w:p>
    <w:p w14:paraId="10C668C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3．定义</w:t>
      </w:r>
    </w:p>
    <w:p w14:paraId="707BD4D1">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招标文件中下列术语应解释为：</w:t>
      </w:r>
    </w:p>
    <w:p w14:paraId="63890F5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“采购人”：指利用财政性资金依法进行政府采购的国家机关、事业单位、团体组织；</w:t>
      </w:r>
    </w:p>
    <w:p w14:paraId="26C588B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 “</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”系指根据采购人的委托，代理政府采购事宜的机构，在此特指拥有采购代理资格的</w:t>
      </w:r>
      <w:r>
        <w:rPr>
          <w:rFonts w:hint="eastAsia" w:ascii="宋体" w:hAnsi="宋体"/>
          <w:b/>
          <w:bCs/>
          <w:color w:val="000000" w:themeColor="text1"/>
          <w:szCs w:val="21"/>
          <w14:textFill>
            <w14:solidFill>
              <w14:schemeClr w14:val="tx1"/>
            </w14:solidFill>
          </w14:textFill>
        </w:rPr>
        <w:t>友和保险经纪有限公司</w:t>
      </w:r>
      <w:r>
        <w:rPr>
          <w:rFonts w:hint="eastAsia" w:ascii="宋体" w:hAnsi="宋体"/>
          <w:color w:val="000000" w:themeColor="text1"/>
          <w:szCs w:val="21"/>
          <w14:textFill>
            <w14:solidFill>
              <w14:schemeClr w14:val="tx1"/>
            </w14:solidFill>
          </w14:textFill>
        </w:rPr>
        <w:t>；</w:t>
      </w:r>
    </w:p>
    <w:p w14:paraId="11D2CFD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3.3“投标人”，即供应商，指参加投标竞争并愿意按照招标文件要求向采购人提供货物、工程或者服务的依法成立的法人、其他组织或者自然人；</w:t>
      </w:r>
    </w:p>
    <w:p w14:paraId="163E450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3.4“评审委员会”是依据《深圳经济特区政府采购条例》、《深圳经济特区政府采购条例实施细则》等有关规定组建的专门负责本次招标其评审工作的临时性机构；</w:t>
      </w:r>
    </w:p>
    <w:p w14:paraId="6D5FD09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3.5“日期”</w:t>
      </w:r>
      <w:r>
        <w:rPr>
          <w:rFonts w:ascii="宋体" w:hAnsi="宋体"/>
          <w:color w:val="000000" w:themeColor="text1"/>
          <w:szCs w:val="21"/>
          <w14:textFill>
            <w14:solidFill>
              <w14:schemeClr w14:val="tx1"/>
            </w14:solidFill>
          </w14:textFill>
        </w:rPr>
        <w:t>指</w:t>
      </w:r>
      <w:r>
        <w:rPr>
          <w:rFonts w:hint="eastAsia" w:ascii="宋体" w:hAnsi="宋体"/>
          <w:color w:val="000000" w:themeColor="text1"/>
          <w:szCs w:val="21"/>
          <w14:textFill>
            <w14:solidFill>
              <w14:schemeClr w14:val="tx1"/>
            </w14:solidFill>
          </w14:textFill>
        </w:rPr>
        <w:t>公历日；</w:t>
      </w:r>
    </w:p>
    <w:p w14:paraId="431FF74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3.6“合同”指由本次招标所产生的合同或合约文件；</w:t>
      </w:r>
    </w:p>
    <w:p w14:paraId="1FA2C85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3.7“电子投标文件”指利用</w:t>
      </w:r>
      <w:r>
        <w:rPr>
          <w:rFonts w:hint="eastAsia" w:ascii="宋体" w:hAnsi="宋体"/>
          <w:b/>
          <w:bCs/>
          <w:color w:val="000000" w:themeColor="text1"/>
          <w:szCs w:val="21"/>
          <w14:textFill>
            <w14:solidFill>
              <w14:schemeClr w14:val="tx1"/>
            </w14:solidFill>
          </w14:textFill>
        </w:rPr>
        <w:t>深圳公共资源交易中心（深圳交易集团有限公司政府采购业务分公司）</w:t>
      </w:r>
      <w:r>
        <w:rPr>
          <w:rFonts w:hint="eastAsia" w:ascii="宋体" w:hAnsi="宋体"/>
          <w:color w:val="000000" w:themeColor="text1"/>
          <w:szCs w:val="21"/>
          <w14:textFill>
            <w14:solidFill>
              <w14:schemeClr w14:val="tx1"/>
            </w14:solidFill>
          </w14:textFill>
        </w:rPr>
        <w:t>网站提供的</w:t>
      </w:r>
      <w:r>
        <w:rPr>
          <w:rFonts w:hint="eastAsia" w:ascii="宋体" w:hAnsi="宋体"/>
          <w:color w:val="000000" w:themeColor="text1"/>
          <w14:textFill>
            <w14:solidFill>
              <w14:schemeClr w14:val="tx1"/>
            </w14:solidFill>
          </w14:textFill>
        </w:rPr>
        <w:t>深圳智慧采购平台投标文件制作专用软件（以下简称：投标文件制作软件）制作并</w:t>
      </w:r>
      <w:r>
        <w:rPr>
          <w:rFonts w:hint="eastAsia" w:ascii="宋体" w:hAnsi="宋体"/>
          <w:color w:val="000000" w:themeColor="text1"/>
          <w:szCs w:val="21"/>
          <w14:textFill>
            <w14:solidFill>
              <w14:schemeClr w14:val="tx1"/>
            </w14:solidFill>
          </w14:textFill>
        </w:rPr>
        <w:t>加密的投标文件,适用于网上投标；（投标文件制作软件可从</w:t>
      </w:r>
      <w:r>
        <w:rPr>
          <w:rFonts w:hint="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下载）；</w:t>
      </w:r>
    </w:p>
    <w:p w14:paraId="5E37197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3.8“网上投标”指通过</w:t>
      </w:r>
      <w:r>
        <w:rPr>
          <w:rFonts w:hint="eastAsia" w:ascii="宋体" w:hAnsi="宋体"/>
          <w:b/>
          <w:bCs/>
          <w:color w:val="000000" w:themeColor="text1"/>
          <w:szCs w:val="21"/>
          <w14:textFill>
            <w14:solidFill>
              <w14:schemeClr w14:val="tx1"/>
            </w14:solidFill>
          </w14:textFill>
        </w:rPr>
        <w:t>深圳公共资源交易中心（深圳交易集团有限公司政府采购业务分公司）</w:t>
      </w:r>
      <w:r>
        <w:rPr>
          <w:rFonts w:hint="eastAsia" w:ascii="宋体" w:hAnsi="宋体"/>
          <w:color w:val="000000" w:themeColor="text1"/>
          <w:szCs w:val="21"/>
          <w14:textFill>
            <w14:solidFill>
              <w14:schemeClr w14:val="tx1"/>
            </w14:solidFill>
          </w14:textFill>
        </w:rPr>
        <w:t>网站上传电子投标文件；</w:t>
      </w:r>
    </w:p>
    <w:p w14:paraId="52CA99E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3.9招标文件中的标题或题名仅起引导作用，而不应视为对招标文件内容的理解和解释。</w:t>
      </w:r>
    </w:p>
    <w:p w14:paraId="3C0FBA74">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 xml:space="preserve">4. </w:t>
      </w:r>
      <w:bookmarkStart w:id="44" w:name="_Hlk72398643"/>
      <w:r>
        <w:rPr>
          <w:rFonts w:hint="eastAsia" w:ascii="黑体" w:hAnsi="宋体" w:eastAsia="黑体"/>
          <w:color w:val="000000" w:themeColor="text1"/>
          <w14:textFill>
            <w14:solidFill>
              <w14:schemeClr w14:val="tx1"/>
            </w14:solidFill>
          </w14:textFill>
        </w:rPr>
        <w:t>政府采购供应商责任</w:t>
      </w:r>
    </w:p>
    <w:p w14:paraId="3348902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4.1欢迎诚信、有实力和有社会责任心的供应商参与政府采购事业。</w:t>
      </w:r>
    </w:p>
    <w:p w14:paraId="18C668F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4.2投标人应当遵循公平竞争的原则，不得恶意串通，不得妨碍其他投标人的竞争行为，不得损害采购人或者其他投标人的合法权益。如违反上述要求，经核实后，供应商的投标无效。</w:t>
      </w:r>
    </w:p>
    <w:p w14:paraId="386850E0">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5．投标人参加政府采购的条件</w:t>
      </w:r>
    </w:p>
    <w:p w14:paraId="3BC75BA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5.1投标人应在投标前到</w:t>
      </w:r>
      <w:r>
        <w:rPr>
          <w:rFonts w:hint="eastAsia" w:ascii="宋体" w:hAnsi="宋体"/>
          <w:b/>
          <w:bCs/>
          <w:color w:val="000000" w:themeColor="text1"/>
          <w:szCs w:val="21"/>
          <w14:textFill>
            <w14:solidFill>
              <w14:schemeClr w14:val="tx1"/>
            </w14:solidFill>
          </w14:textFill>
        </w:rPr>
        <w:t>深圳公共资源交易中心（具体在深圳交易集团有限公司政府采购业务分公司进行办理）</w:t>
      </w:r>
      <w:r>
        <w:rPr>
          <w:rFonts w:hint="eastAsia" w:ascii="宋体" w:hAnsi="宋体"/>
          <w:color w:val="000000" w:themeColor="text1"/>
          <w:szCs w:val="21"/>
          <w14:textFill>
            <w14:solidFill>
              <w14:schemeClr w14:val="tx1"/>
            </w14:solidFill>
          </w14:textFill>
        </w:rPr>
        <w:t>进行注册并办理电子密钥。《</w:t>
      </w:r>
      <w:r>
        <w:fldChar w:fldCharType="begin"/>
      </w:r>
      <w:r>
        <w:instrText xml:space="preserve"> HYPERLINK "http://www.szzfcg.cn/viewer.do?id=2455258" \t "documentViewer2455258" </w:instrText>
      </w:r>
      <w:r>
        <w:fldChar w:fldCharType="separate"/>
      </w:r>
      <w:r>
        <w:rPr>
          <w:rFonts w:ascii="宋体" w:hAnsi="宋体"/>
          <w:color w:val="000000" w:themeColor="text1"/>
          <w:szCs w:val="21"/>
          <w14:textFill>
            <w14:solidFill>
              <w14:schemeClr w14:val="tx1"/>
            </w14:solidFill>
          </w14:textFill>
        </w:rPr>
        <w:t>供应商注册及电子密钥新申请指引</w:t>
      </w:r>
      <w:r>
        <w:rPr>
          <w:rFonts w:ascii="宋体" w:hAnsi="宋体"/>
          <w:color w:val="000000" w:themeColor="text1"/>
          <w:szCs w:val="21"/>
          <w14:textFill>
            <w14:solidFill>
              <w14:schemeClr w14:val="tx1"/>
            </w14:solidFill>
          </w14:textFill>
        </w:rPr>
        <w:fldChar w:fldCharType="end"/>
      </w:r>
      <w:r>
        <w:rPr>
          <w:rFonts w:hint="eastAsia" w:ascii="宋体" w:hAnsi="宋体"/>
          <w:color w:val="000000" w:themeColor="text1"/>
          <w:szCs w:val="21"/>
          <w14:textFill>
            <w14:solidFill>
              <w14:schemeClr w14:val="tx1"/>
            </w14:solidFill>
          </w14:textFill>
        </w:rPr>
        <w:t>》详见http://zfcg.szggzy.com:8081/。</w:t>
      </w:r>
    </w:p>
    <w:p w14:paraId="6428F11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5.2投标人资格要求</w:t>
      </w:r>
    </w:p>
    <w:p w14:paraId="76D95DD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参加本项目的投标人应具备的资格条件详见本项目招标公告中 “投标人资格要求”（即申请人的资格要求）的内容。</w:t>
      </w:r>
    </w:p>
    <w:p w14:paraId="2964571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5.3联合体投标</w:t>
      </w:r>
    </w:p>
    <w:p w14:paraId="0B3294D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5.3.1以下有关联合体投标的条款仅适用于允许投标人组成联合体投标的项目。</w:t>
      </w:r>
    </w:p>
    <w:p w14:paraId="17603BE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5.3.2由两个或两个以上的自然人、法人或者其他组织可以组成一个联合体，以一个供应商的身份共同投标时，应符合以下原则：</w:t>
      </w:r>
    </w:p>
    <w:p w14:paraId="3029EB30">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（1）投标联合体各方参加政府采购活动应当具备下列条件：</w:t>
      </w:r>
    </w:p>
    <w:p w14:paraId="350CFF86">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1、具有独立承担民事责任的能力；</w:t>
      </w:r>
    </w:p>
    <w:p w14:paraId="7518322E">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2、有良好的商业信誉和健全的财务会计制度；</w:t>
      </w:r>
    </w:p>
    <w:p w14:paraId="21087922">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3、具有履行合同所必需的设备和专业技术能力；</w:t>
      </w:r>
    </w:p>
    <w:p w14:paraId="5DE58BC4">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4、有依法缴纳税收和社会保障资金的良好记录；</w:t>
      </w:r>
    </w:p>
    <w:p w14:paraId="2CE5FFF5">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5、参加政府采购活动前三年内，在经营活动中没有重大违法记录；</w:t>
      </w:r>
    </w:p>
    <w:p w14:paraId="6D72F0A2">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6、法律、行政法规规定的其他条件。</w:t>
      </w:r>
    </w:p>
    <w:p w14:paraId="2DD5822D">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（2）在投标截止前，投标联合体各方均应注册成</w:t>
      </w:r>
      <w:r>
        <w:rPr>
          <w:rFonts w:hint="eastAsia" w:ascii="宋体" w:hAnsi="宋体" w:eastAsia="宋体"/>
          <w:color w:val="000000" w:themeColor="text1"/>
          <w:lang w:eastAsia="zh-CN"/>
          <w14:textFill>
            <w14:solidFill>
              <w14:schemeClr w14:val="tx1"/>
            </w14:solidFill>
          </w14:textFill>
        </w:rPr>
        <w:t>政府采购</w:t>
      </w:r>
      <w:r>
        <w:rPr>
          <w:rFonts w:hint="eastAsia" w:ascii="宋体" w:hAnsi="宋体"/>
          <w:color w:val="000000" w:themeColor="text1"/>
          <w14:textFill>
            <w14:solidFill>
              <w14:schemeClr w14:val="tx1"/>
            </w14:solidFill>
          </w14:textFill>
        </w:rPr>
        <w:t>供应商；</w:t>
      </w:r>
    </w:p>
    <w:p w14:paraId="62DF5B61">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（3）联合体中有同类资质的供应商按照联合体分工承担相同工作的，应当按照资质等级较低的供应商确定资质等级；</w:t>
      </w:r>
    </w:p>
    <w:p w14:paraId="5EF20CE9">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（4）是否允许联合体参加投标，应当由采购人和采购代理机构根据项目的实际情况和潜在供应商的数量自主决定，如果决定接受联合体投标则应当在招标公告中明示；</w:t>
      </w:r>
    </w:p>
    <w:p w14:paraId="3FDB1809">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（5）投标人的投标文件及中标后签署的合同协议对联合体各方均具法律约束力；</w:t>
      </w:r>
    </w:p>
    <w:p w14:paraId="559712E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（6）联合体各方应当签订联合体投标协议，明确约定各方拟承担的工作和责任，并将该协议随投标文件一并递交给</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w:t>
      </w:r>
    </w:p>
    <w:p w14:paraId="0741517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（7）联合体中标后，联合体各方应当共同与采购人签订合同，就中标项目向采购人承担连带责任；</w:t>
      </w:r>
    </w:p>
    <w:p w14:paraId="72FBCD5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6F67D5F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（9）本通用条款中“投标人”一词亦指联合体各方，专用条款另有规定或说明的除外。</w:t>
      </w:r>
    </w:p>
    <w:p w14:paraId="0945C55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6．政策导向</w:t>
      </w:r>
    </w:p>
    <w:p w14:paraId="6FD9256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6.1政府采购扶持贫困地区、中小企业、监狱企业和残疾人福利性单位发展，支持节能减排、环境保护。</w:t>
      </w:r>
    </w:p>
    <w:p w14:paraId="18A37C77">
      <w:pPr>
        <w:ind w:firstLine="405"/>
        <w:rPr>
          <w:color w:val="000000" w:themeColor="text1"/>
          <w:shd w:val="clear" w:color="auto" w:fill="FFFFFF"/>
          <w14:textFill>
            <w14:solidFill>
              <w14:schemeClr w14:val="tx1"/>
            </w14:solidFill>
          </w14:textFill>
        </w:rPr>
      </w:pPr>
      <w:r>
        <w:rPr>
          <w:rFonts w:hint="eastAsia" w:ascii="宋体" w:hAnsi="宋体"/>
          <w:color w:val="000000" w:themeColor="text1"/>
          <w14:textFill>
            <w14:solidFill>
              <w14:schemeClr w14:val="tx1"/>
            </w14:solidFill>
          </w14:textFill>
        </w:rPr>
        <w:t>6.2本项目落实深圳市政府采购供应商诚信管理政策要求。</w:t>
      </w:r>
    </w:p>
    <w:p w14:paraId="566953B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7. 本项目若涉及采购货物，则合格的货物及相应服务应满足以下要求：</w:t>
      </w:r>
    </w:p>
    <w:p w14:paraId="0D4DE61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必须是全新、未使用过的原装合格正品（包括零部件），如安装或配置了软件的，须为正版软件。</w:t>
      </w:r>
    </w:p>
    <w:p w14:paraId="31935D19">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7.2国产的货物及其有关服务必须符合中华人民共和国的设计、制造生产标准及行业标准。招标公告有其他要求的，亦应符合其要求。</w:t>
      </w:r>
    </w:p>
    <w:p w14:paraId="5B1CBB2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5B33DF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4投标人</w:t>
      </w:r>
      <w:bookmarkStart w:id="45" w:name="_Hlk72152753"/>
      <w:r>
        <w:rPr>
          <w:rFonts w:hint="eastAsia" w:ascii="宋体" w:hAnsi="宋体"/>
          <w:color w:val="000000" w:themeColor="text1"/>
          <w14:textFill>
            <w14:solidFill>
              <w14:schemeClr w14:val="tx1"/>
            </w14:solidFill>
          </w14:textFill>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5"/>
    </w:p>
    <w:p w14:paraId="40B2563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7.5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467E30CC">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7.6工期要求：投标人在投标时对其所投项目应提交交货进度、交货计划等，在合同规定的时间内完成项目实施工作。</w:t>
      </w:r>
    </w:p>
    <w:p w14:paraId="579203B2">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7.7投标人必须承担的设备运输、安装调试、验收检测和提供设备操作说明书、图纸等其他相关及类似的义务。</w:t>
      </w:r>
    </w:p>
    <w:p w14:paraId="0F14933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8．投标费用</w:t>
      </w:r>
    </w:p>
    <w:p w14:paraId="003B607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不论投标结果如何，投标人应承担其编制投标文件与递交投标文件所涉及的一切费用。</w:t>
      </w:r>
    </w:p>
    <w:p w14:paraId="34E42AA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9．踏勘现场</w:t>
      </w:r>
    </w:p>
    <w:p w14:paraId="4CBDAC9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9.1如有需要（详见专用条款），采购人或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将组织投标人对项目现场及周围环境进行踏勘，以便投标人获取有关编制投标文件和签署合同所需的资料。踏勘现场所发生的费用由投标人自行承担。投标人应按招标文件所约定的时间、地点踏勘现场。</w:t>
      </w:r>
    </w:p>
    <w:p w14:paraId="79D9012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9.2投标人及其人员经过采购人的允许，可以进入采购人的项目现场踏勘。若招标文件要求投标人于统一时间地点踏勘现场的，投标人应当按时前往。</w:t>
      </w:r>
    </w:p>
    <w:p w14:paraId="779768BB">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9.3采购人应当通过</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向投标人提供有关现场的书面资料和数据。</w:t>
      </w:r>
    </w:p>
    <w:p w14:paraId="69A41BB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9.4任何人或任何组织在踏勘现场时向投标人提供的任何书面资料或口头承诺，未经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w:t>
      </w:r>
    </w:p>
    <w:p w14:paraId="18F2D631">
      <w:pPr>
        <w:ind w:firstLine="470" w:firstLineChars="196"/>
        <w:rPr>
          <w:rFonts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未参与踏勘现场不作为否定投标人资格的理由。</w:t>
      </w:r>
    </w:p>
    <w:p w14:paraId="4100BE35">
      <w:pPr>
        <w:rPr>
          <w:rFonts w:ascii="宋体" w:hAnsi="宋体"/>
          <w:color w:val="000000" w:themeColor="text1"/>
          <w:szCs w:val="2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0</w:t>
      </w:r>
      <w:r>
        <w:rPr>
          <w:rFonts w:hint="eastAsia" w:ascii="黑体" w:hAnsi="宋体" w:eastAsia="黑体"/>
          <w:color w:val="000000" w:themeColor="text1"/>
          <w14:textFill>
            <w14:solidFill>
              <w14:schemeClr w14:val="tx1"/>
            </w14:solidFill>
          </w14:textFill>
        </w:rPr>
        <w:t>．标前会议</w:t>
      </w:r>
    </w:p>
    <w:p w14:paraId="0D9AC80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如采购人或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认为有必要组织标前会议，投标人应按照招标文件规定的时间或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另行书面通知（包括</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网站发布方式，如更正公告等）的时间和地点，参与标前会议。</w:t>
      </w:r>
    </w:p>
    <w:p w14:paraId="446920E7">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14:textFill>
            <w14:solidFill>
              <w14:schemeClr w14:val="tx1"/>
            </w14:solidFill>
          </w14:textFill>
        </w:rPr>
        <w:t>10</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任何人或任何组织在标前会议时向投标人提供的任何书面资料或口头承诺，未经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w:t>
      </w:r>
    </w:p>
    <w:p w14:paraId="2514D5B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未参与标前会议不作为否定投标人资格的理由。</w:t>
      </w:r>
    </w:p>
    <w:p w14:paraId="4427E3D1">
      <w:pPr>
        <w:pStyle w:val="7"/>
      </w:pPr>
    </w:p>
    <w:p w14:paraId="24A2E8A5"/>
    <w:bookmarkEnd w:id="44"/>
    <w:p w14:paraId="0FB5836A">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招标文件</w:t>
      </w:r>
    </w:p>
    <w:p w14:paraId="68F9D9A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1</w:t>
      </w:r>
      <w:r>
        <w:rPr>
          <w:rFonts w:hint="eastAsia" w:ascii="黑体" w:hAnsi="宋体" w:eastAsia="黑体"/>
          <w:color w:val="000000" w:themeColor="text1"/>
          <w14:textFill>
            <w14:solidFill>
              <w14:schemeClr w14:val="tx1"/>
            </w14:solidFill>
          </w14:textFill>
        </w:rPr>
        <w:t>．</w:t>
      </w:r>
      <w:bookmarkStart w:id="46" w:name="_Hlk72399819"/>
      <w:r>
        <w:rPr>
          <w:rFonts w:hint="eastAsia" w:ascii="黑体" w:hAnsi="宋体" w:eastAsia="黑体"/>
          <w:color w:val="000000" w:themeColor="text1"/>
          <w14:textFill>
            <w14:solidFill>
              <w14:schemeClr w14:val="tx1"/>
            </w14:solidFill>
          </w14:textFill>
        </w:rPr>
        <w:t>招标文件的编制与组成</w:t>
      </w:r>
    </w:p>
    <w:p w14:paraId="6C067E74">
      <w:pPr>
        <w:snapToGrid w:val="0"/>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.1招标文件除以下内容外，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在招标期间发出的澄清或修改等相关公告或通知内容，均是招标文件的组成部分，对投标人起约束作用；</w:t>
      </w:r>
    </w:p>
    <w:p w14:paraId="44B7988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招标文件包括下列内容：</w:t>
      </w:r>
    </w:p>
    <w:p w14:paraId="6F63FAF9">
      <w:pPr>
        <w:ind w:left="480" w:leftChars="200" w:firstLine="471" w:firstLineChars="196"/>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第一册  专用条款</w:t>
      </w:r>
    </w:p>
    <w:p w14:paraId="2E5151D5">
      <w:pPr>
        <w:ind w:left="1234" w:leftChars="514"/>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关键信息</w:t>
      </w:r>
    </w:p>
    <w:p w14:paraId="5932BDBA">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招标公告</w:t>
      </w:r>
    </w:p>
    <w:p w14:paraId="5270DB43">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  对通用条款的补充内容及其他关键信息</w:t>
      </w:r>
    </w:p>
    <w:p w14:paraId="1A89ED99">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用户需求书</w:t>
      </w:r>
    </w:p>
    <w:p w14:paraId="064FF7B2">
      <w:pPr>
        <w:ind w:left="720" w:leftChars="300" w:firstLine="470" w:firstLineChars="196"/>
        <w:rPr>
          <w:rFonts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第四章 投标文件格式及附件</w:t>
      </w:r>
    </w:p>
    <w:p w14:paraId="0A3C97AA">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合同条款及格式</w:t>
      </w:r>
    </w:p>
    <w:p w14:paraId="296B2E4D">
      <w:pPr>
        <w:ind w:left="480" w:leftChars="200" w:firstLine="471" w:firstLineChars="196"/>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第二册  通用条款</w:t>
      </w:r>
    </w:p>
    <w:p w14:paraId="50C7FB47">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总则</w:t>
      </w:r>
    </w:p>
    <w:p w14:paraId="5877B0C4">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  招标文件</w:t>
      </w:r>
    </w:p>
    <w:p w14:paraId="71AEFAFE">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投标文件的编制</w:t>
      </w:r>
    </w:p>
    <w:p w14:paraId="0BF1AB8C">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第四章  投标文件的递交</w:t>
      </w:r>
    </w:p>
    <w:p w14:paraId="607DCF3C">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开标</w:t>
      </w:r>
    </w:p>
    <w:p w14:paraId="1A6FDAB2">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第六章  评审要求</w:t>
      </w:r>
    </w:p>
    <w:p w14:paraId="3A1000A6">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第七章  评审程序及评审方法</w:t>
      </w:r>
    </w:p>
    <w:p w14:paraId="1BAEC4F4">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第八章  定标及公示</w:t>
      </w:r>
    </w:p>
    <w:p w14:paraId="44C462B3">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第九章  公开招标失败的后续处理</w:t>
      </w:r>
    </w:p>
    <w:p w14:paraId="1D010666">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第十章  合同的授予与备案</w:t>
      </w:r>
    </w:p>
    <w:p w14:paraId="37B17CA8">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第十一章  质疑处理</w:t>
      </w:r>
    </w:p>
    <w:p w14:paraId="480E09A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.2投标人下载招标文件后，应仔细检查招标文件的所有内容，如有疑问应在答疑截止时间之前向</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57B8E56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14:textFill>
            <w14:solidFill>
              <w14:schemeClr w14:val="tx1"/>
            </w14:solidFill>
          </w14:textFill>
        </w:rPr>
        <w:t>任何人或任何组织向投标人提交的任何书面或口头资料，未经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在网上发布或书面通知，均作无效处理，不得作为招标文件的组成部分。</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对投标人由此而做出的推论、理解和结论概不负责。</w:t>
      </w:r>
    </w:p>
    <w:p w14:paraId="0792BC9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2</w:t>
      </w:r>
      <w:r>
        <w:rPr>
          <w:rFonts w:hint="eastAsia" w:ascii="黑体" w:hAnsi="宋体" w:eastAsia="黑体"/>
          <w:color w:val="000000" w:themeColor="text1"/>
          <w14:textFill>
            <w14:solidFill>
              <w14:schemeClr w14:val="tx1"/>
            </w14:solidFill>
          </w14:textFill>
        </w:rPr>
        <w:t>．招标文件的澄清</w:t>
      </w:r>
    </w:p>
    <w:p w14:paraId="4B09D25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.1招标文件澄清的目的是澄清、解答投标人在查阅招标文件后或现场踏勘中可能提出的与投标有关的疑问或询问。</w:t>
      </w:r>
    </w:p>
    <w:p w14:paraId="6D49D12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.2投标人如对招标文件内容有疑问，应当在招标公告规定的澄清（提问）截止时间前以网上提问的形式通过网上政府采购系统提交</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w:t>
      </w:r>
    </w:p>
    <w:p w14:paraId="4504C26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3不论是招标机构根据需要主动对招标文件进行必要的澄清或是根据投标人的要求对招标文件做出澄清，招标机构都将在投标截止日期前以书面形式（包括招标机构网站发布方式）答复或发送给所有投标人。答复内容是招标文件的组成部分，对投标人起约束作用，其有效性按照本通用条款第1</w:t>
      </w:r>
      <w:r>
        <w:rPr>
          <w:rFonts w:ascii="宋体" w:hAnsi="宋体"/>
          <w:color w:val="000000" w:themeColor="text1"/>
          <w:szCs w:val="21"/>
          <w14:textFill>
            <w14:solidFill>
              <w14:schemeClr w14:val="tx1"/>
            </w14:solidFill>
          </w14:textFill>
        </w:rPr>
        <w:t>3.3</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3.4</w:t>
      </w:r>
      <w:r>
        <w:rPr>
          <w:rFonts w:hint="eastAsia" w:ascii="宋体" w:hAnsi="宋体"/>
          <w:color w:val="000000" w:themeColor="text1"/>
          <w:szCs w:val="21"/>
          <w14:textFill>
            <w14:solidFill>
              <w14:schemeClr w14:val="tx1"/>
            </w14:solidFill>
          </w14:textFill>
        </w:rPr>
        <w:t>款规定执行。</w:t>
      </w:r>
    </w:p>
    <w:p w14:paraId="3DCD620C">
      <w:pPr>
        <w:rPr>
          <w:rFonts w:ascii="黑体" w:hAnsi="宋体" w:eastAsia="黑体"/>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1</w:t>
      </w:r>
      <w:r>
        <w:rPr>
          <w:rFonts w:hint="eastAsia" w:ascii="黑体" w:hAnsi="宋体" w:eastAsia="黑体"/>
          <w:color w:val="000000" w:themeColor="text1"/>
          <w14:textFill>
            <w14:solidFill>
              <w14:schemeClr w14:val="tx1"/>
            </w14:solidFill>
          </w14:textFill>
        </w:rPr>
        <w:t>3．招标文件的修改</w:t>
      </w:r>
    </w:p>
    <w:p w14:paraId="456F806B">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3.1招标文件发出后，在投标截止日期前任何时候，确需要变更招标文件内容的，招标机构可主动或在解答投标人提出的澄清问题时对招标文件进行修改。</w:t>
      </w:r>
    </w:p>
    <w:p w14:paraId="461AD929">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3.2招标文件的修改以书面形式（包括招标机构网站发布方式，如更正公告等）发送给所有投标人，招标文件的修改内容作为招标文件的组成部分，并具有约束力。</w:t>
      </w:r>
    </w:p>
    <w:p w14:paraId="59FA99E6">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3.3招标文件、招标文件澄清答复内容、招标文件修改补充内容均以书面形式（包括招标机构网站公开发布方式，如更正公告等）明确的内容为准。当招标文件、修改补充通知、招标文件澄清答复内容相互矛盾时，以最后发出的内容为准。</w:t>
      </w:r>
    </w:p>
    <w:p w14:paraId="349E9C18">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3.4招标机构保证招标文件澄清答复内容和招标文件修改补充内容在投标截止时间前以书面形式（包括招标机构网站发布方式，如更正公告等）发送给所有投标人。为使投标人在编制投标文件时有充分时间对招标文件的修改部分进行研究，招标机构可以酌情延长递交投标文件的截止日期。</w:t>
      </w:r>
      <w:bookmarkEnd w:id="46"/>
    </w:p>
    <w:p w14:paraId="35042EC1">
      <w:pPr>
        <w:pStyle w:val="7"/>
      </w:pPr>
    </w:p>
    <w:p w14:paraId="37314136">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投标文件的编制</w:t>
      </w:r>
    </w:p>
    <w:p w14:paraId="294531F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14．</w:t>
      </w:r>
      <w:bookmarkStart w:id="47" w:name="_Hlk72400236"/>
      <w:r>
        <w:rPr>
          <w:rFonts w:hint="eastAsia" w:ascii="黑体" w:hAnsi="宋体" w:eastAsia="黑体"/>
          <w:color w:val="000000" w:themeColor="text1"/>
          <w14:textFill>
            <w14:solidFill>
              <w14:schemeClr w14:val="tx1"/>
            </w14:solidFill>
          </w14:textFill>
        </w:rPr>
        <w:t>投标文件的语言及度量单位</w:t>
      </w:r>
    </w:p>
    <w:p w14:paraId="749ABCA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14.1投标人与招标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5044700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14.2除技术规范另有规定外，投标文件使用的度量单位，均采用中华人民共和国法定计量单位。</w:t>
      </w:r>
    </w:p>
    <w:bookmarkEnd w:id="47"/>
    <w:p w14:paraId="429A457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15．</w:t>
      </w:r>
      <w:bookmarkStart w:id="48" w:name="_Hlk72401567"/>
      <w:r>
        <w:rPr>
          <w:rFonts w:hint="eastAsia" w:ascii="黑体" w:hAnsi="宋体" w:eastAsia="黑体"/>
          <w:color w:val="000000" w:themeColor="text1"/>
          <w14:textFill>
            <w14:solidFill>
              <w14:schemeClr w14:val="tx1"/>
            </w14:solidFill>
          </w14:textFill>
        </w:rPr>
        <w:t>投标文件的组成</w:t>
      </w:r>
    </w:p>
    <w:p w14:paraId="0BA9039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具体内容在招标文件专用条款中进行规定。</w:t>
      </w:r>
    </w:p>
    <w:p w14:paraId="240B5D44">
      <w:pPr>
        <w:rPr>
          <w:rFonts w:ascii="黑体" w:hAnsi="宋体" w:eastAsia="黑体"/>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16．投标文件格式</w:t>
      </w:r>
    </w:p>
    <w:p w14:paraId="48BF992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投标文件包括本通用条款第</w:t>
      </w:r>
      <w:r>
        <w:rPr>
          <w:rFonts w:ascii="宋体" w:hAnsi="宋体"/>
          <w:color w:val="000000" w:themeColor="text1"/>
          <w:szCs w:val="21"/>
          <w14:textFill>
            <w14:solidFill>
              <w14:schemeClr w14:val="tx1"/>
            </w14:solidFill>
          </w14:textFill>
        </w:rPr>
        <w:t>15条中规定的内容。如招标文件提供了投标文件格式，则</w:t>
      </w:r>
      <w:r>
        <w:rPr>
          <w:rFonts w:hint="eastAsia" w:ascii="宋体" w:hAnsi="宋体"/>
          <w:b/>
          <w:bCs/>
          <w:color w:val="000000" w:themeColor="text1"/>
          <w:szCs w:val="21"/>
          <w14:textFill>
            <w14:solidFill>
              <w14:schemeClr w14:val="tx1"/>
            </w14:solidFill>
          </w14:textFill>
        </w:rPr>
        <w:t>投标人提交的投标文件应毫无例外地使用招标文件所提供的相应格式</w:t>
      </w:r>
      <w:r>
        <w:rPr>
          <w:rFonts w:hint="eastAsia" w:ascii="宋体" w:hAnsi="宋体"/>
          <w:color w:val="000000" w:themeColor="text1"/>
          <w:szCs w:val="21"/>
          <w14:textFill>
            <w14:solidFill>
              <w14:schemeClr w14:val="tx1"/>
            </w14:solidFill>
          </w14:textFill>
        </w:rPr>
        <w:t>（表格均可按同样格式扩展）。</w:t>
      </w:r>
    </w:p>
    <w:p w14:paraId="5E2BE39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17．投标货币</w:t>
      </w:r>
    </w:p>
    <w:p w14:paraId="10633E4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本项目的投标报价应以人民币计。</w:t>
      </w:r>
    </w:p>
    <w:bookmarkEnd w:id="48"/>
    <w:p w14:paraId="74F617EB">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18．</w:t>
      </w:r>
      <w:bookmarkStart w:id="49" w:name="_Hlk72401735"/>
      <w:r>
        <w:rPr>
          <w:rFonts w:hint="eastAsia" w:ascii="黑体" w:hAnsi="宋体" w:eastAsia="黑体"/>
          <w:color w:val="000000" w:themeColor="text1"/>
          <w14:textFill>
            <w14:solidFill>
              <w14:schemeClr w14:val="tx1"/>
            </w14:solidFill>
          </w14:textFill>
        </w:rPr>
        <w:t>证明投标文件投标技术方案的合格性和符合招标文件规定的文件要求</w:t>
      </w:r>
    </w:p>
    <w:p w14:paraId="1F49DCD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投标人应提交证明文件，证明其投标技术方案项下的货物和服务的合格性符合招标文件规定。该投标技术方案及其证明文件均作为投标文件组成部分。</w:t>
      </w:r>
    </w:p>
    <w:p w14:paraId="1662FEA2">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E04DDC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18.2.1主要技术指标和性能的详细说明。</w:t>
      </w:r>
    </w:p>
    <w:p w14:paraId="1945BA4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投标产品从采购人开始使用至招标文件中规定的周期内正常、连续地使用所必须的备件和专用工具清单，包括备件和专用工具的货源及现行价格。</w:t>
      </w:r>
    </w:p>
    <w:p w14:paraId="0151475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DE4F88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color w:val="000000" w:themeColor="text1"/>
          <w14:textFill>
            <w14:solidFill>
              <w14:schemeClr w14:val="tx1"/>
            </w14:solidFill>
          </w14:textFill>
        </w:rPr>
        <w:t>清晰度要求能够使用电脑阅读、识别和判断</w:t>
      </w:r>
      <w:r>
        <w:rPr>
          <w:rFonts w:hint="eastAsia" w:ascii="宋体" w:hAnsi="宋体"/>
          <w:color w:val="000000" w:themeColor="text1"/>
          <w:szCs w:val="21"/>
          <w14:textFill>
            <w14:solidFill>
              <w14:schemeClr w14:val="tx1"/>
            </w14:solidFill>
          </w14:textFill>
        </w:rPr>
        <w:t>；</w:t>
      </w:r>
    </w:p>
    <w:p w14:paraId="7B62C17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18.2.5我国政府机构出具的产品检验和核准证件应为证件正面、背面和附件标注的全部具体内容；产品检验和核准证件的尺寸和清晰度应该能够在电脑上被阅读、识别和判断，提供原件扫描件。</w:t>
      </w:r>
    </w:p>
    <w:p w14:paraId="0C80F46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18.3相关资料不符合18.2款要求的，评审委员会有权认定为投标技术方案不合格响应，其相关分数予以扣减或作投标无效处理。</w:t>
      </w:r>
    </w:p>
    <w:p w14:paraId="6E7636BC">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color w:val="000000" w:themeColor="text1"/>
          <w14:textFill>
            <w14:solidFill>
              <w14:schemeClr w14:val="tx1"/>
            </w14:solidFill>
          </w14:textFill>
        </w:rPr>
        <w:t>满足要求</w:t>
      </w:r>
      <w:r>
        <w:rPr>
          <w:rFonts w:hint="eastAsia" w:ascii="宋体" w:hAnsi="宋体"/>
          <w:color w:val="000000" w:themeColor="text1"/>
          <w:szCs w:val="21"/>
          <w14:textFill>
            <w14:solidFill>
              <w14:schemeClr w14:val="tx1"/>
            </w14:solidFill>
          </w14:textFill>
        </w:rPr>
        <w:t>，由评审委员会来评判。</w:t>
      </w:r>
    </w:p>
    <w:p w14:paraId="7B71216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18.5除非另有规定或说明，投标人对同一项目投标时，不得同时提供两套或两套以上的投标方案。</w:t>
      </w:r>
    </w:p>
    <w:bookmarkEnd w:id="49"/>
    <w:p w14:paraId="053D384E">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19．</w:t>
      </w:r>
      <w:bookmarkStart w:id="50" w:name="_Hlk72402034"/>
      <w:r>
        <w:rPr>
          <w:rFonts w:hint="eastAsia" w:ascii="黑体" w:hAnsi="宋体" w:eastAsia="黑体"/>
          <w:color w:val="000000" w:themeColor="text1"/>
          <w14:textFill>
            <w14:solidFill>
              <w14:schemeClr w14:val="tx1"/>
            </w14:solidFill>
          </w14:textFill>
        </w:rPr>
        <w:t>投标文件其他证明文件的要求</w:t>
      </w:r>
    </w:p>
    <w:p w14:paraId="695B747F">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1" w:name="_Hlk71407299"/>
    </w:p>
    <w:bookmarkEnd w:id="51"/>
    <w:p w14:paraId="22E4A58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516DDD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20．投标有效期</w:t>
      </w:r>
    </w:p>
    <w:bookmarkEnd w:id="50"/>
    <w:p w14:paraId="3E89A990">
      <w:pPr>
        <w:ind w:firstLine="470" w:firstLineChars="196"/>
        <w:rPr>
          <w:rFonts w:ascii="宋体" w:hAnsi="宋体"/>
          <w:color w:val="000000" w:themeColor="text1"/>
          <w:szCs w:val="21"/>
          <w14:textFill>
            <w14:solidFill>
              <w14:schemeClr w14:val="tx1"/>
            </w14:solidFill>
          </w14:textFill>
        </w:rPr>
      </w:pPr>
      <w:bookmarkStart w:id="52" w:name="_Hlk72402214"/>
      <w:r>
        <w:rPr>
          <w:rFonts w:hint="eastAsia" w:ascii="宋体" w:hAnsi="宋体"/>
          <w:color w:val="000000" w:themeColor="text1"/>
          <w:szCs w:val="21"/>
          <w14:textFill>
            <w14:solidFill>
              <w14:schemeClr w14:val="tx1"/>
            </w14:solidFill>
          </w14:textFill>
        </w:rPr>
        <w:t>20.1投标有效期为从投标截止之日算起的日历天数。在此期限内，所有投标文件均保持有效。</w:t>
      </w:r>
    </w:p>
    <w:p w14:paraId="110E3CE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 在特殊情况下，</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在原定的投标有效期满之前，</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可以根据需要以书面形式（包括</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网站公开发布方式）向投标人提出延长投标有效期的要求，对此要求投标人须以书面形式予以答复，投标人可以拒绝</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此项要求，其投标在原投标有效期满后不再有效。同意延长投标有效期的投标人不能要求也不允许修改其投标文件。</w:t>
      </w:r>
    </w:p>
    <w:p w14:paraId="5D6C61C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中标供应商的投标文件有效期，截止于完成本招标文件规定的全部项目内容，并通过竣工验收及保修期结束。</w:t>
      </w:r>
    </w:p>
    <w:bookmarkEnd w:id="52"/>
    <w:p w14:paraId="5973915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21．</w:t>
      </w:r>
      <w:bookmarkStart w:id="53" w:name="_Hlk72402325"/>
      <w:r>
        <w:rPr>
          <w:rFonts w:hint="eastAsia" w:ascii="黑体" w:hAnsi="宋体" w:eastAsia="黑体"/>
          <w:color w:val="000000" w:themeColor="text1"/>
          <w14:textFill>
            <w14:solidFill>
              <w14:schemeClr w14:val="tx1"/>
            </w14:solidFill>
          </w14:textFill>
        </w:rPr>
        <w:t xml:space="preserve">关于投标保证金 </w:t>
      </w:r>
    </w:p>
    <w:p w14:paraId="02CB8EA8">
      <w:pPr>
        <w:rPr>
          <w:rFonts w:ascii="宋体" w:hAnsi="宋体" w:eastAsia="宋体"/>
          <w:szCs w:val="21"/>
        </w:rPr>
      </w:pPr>
      <w:r>
        <w:rPr>
          <w:rFonts w:hint="eastAsia" w:ascii="宋体" w:hAnsi="宋体"/>
          <w:color w:val="000000" w:themeColor="text1"/>
          <w:szCs w:val="21"/>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 xml:space="preserve"> </w:t>
      </w:r>
      <w:r>
        <w:rPr>
          <w:rFonts w:hint="eastAsia" w:ascii="宋体" w:hAnsi="宋体" w:eastAsia="宋体"/>
          <w:szCs w:val="21"/>
        </w:rPr>
        <w:t xml:space="preserve">21.1 </w:t>
      </w:r>
      <w:r>
        <w:rPr>
          <w:rFonts w:hint="eastAsia" w:ascii="宋体" w:hAnsi="宋体" w:eastAsia="宋体"/>
        </w:rPr>
        <w:t>根据《深圳市财政局关于明确政府采购保证金管理工作的通知》（深财购</w:t>
      </w:r>
      <w:r>
        <w:rPr>
          <w:rFonts w:ascii="宋体" w:hAnsi="宋体" w:eastAsia="宋体"/>
        </w:rPr>
        <w:t>[2019]42</w:t>
      </w:r>
      <w:r>
        <w:rPr>
          <w:rFonts w:hint="eastAsia" w:ascii="宋体" w:hAnsi="宋体" w:eastAsia="宋体"/>
        </w:rPr>
        <w:t>号）文的规定，本项目不收取投标保证金。</w:t>
      </w:r>
    </w:p>
    <w:p w14:paraId="513923B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22．投标人的替代方案</w:t>
      </w:r>
    </w:p>
    <w:p w14:paraId="5D2DF16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77B28D9">
      <w:pPr>
        <w:ind w:firstLine="48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53"/>
    <w:p w14:paraId="766DF2F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23．</w:t>
      </w:r>
      <w:bookmarkStart w:id="54" w:name="_Hlk72402860"/>
      <w:r>
        <w:rPr>
          <w:rFonts w:ascii="黑体" w:hAnsi="宋体" w:eastAsia="黑体"/>
          <w:color w:val="000000" w:themeColor="text1"/>
          <w14:textFill>
            <w14:solidFill>
              <w14:schemeClr w14:val="tx1"/>
            </w14:solidFill>
          </w14:textFill>
        </w:rPr>
        <w:t>投标文件的</w:t>
      </w:r>
      <w:r>
        <w:rPr>
          <w:rFonts w:hint="eastAsia" w:ascii="黑体" w:hAnsi="宋体" w:eastAsia="黑体"/>
          <w:color w:val="000000" w:themeColor="text1"/>
          <w14:textFill>
            <w14:solidFill>
              <w14:schemeClr w14:val="tx1"/>
            </w14:solidFill>
          </w14:textFill>
        </w:rPr>
        <w:t>制作</w:t>
      </w:r>
      <w:r>
        <w:rPr>
          <w:rFonts w:ascii="黑体" w:hAnsi="宋体" w:eastAsia="黑体"/>
          <w:color w:val="000000" w:themeColor="text1"/>
          <w14:textFill>
            <w14:solidFill>
              <w14:schemeClr w14:val="tx1"/>
            </w14:solidFill>
          </w14:textFill>
        </w:rPr>
        <w:t>要求</w:t>
      </w:r>
    </w:p>
    <w:p w14:paraId="7378BA1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23.1投标人应准备所投项目的电子投标文件一份。此电子投标文件须由投标人根据</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提供的后缀名为.szczf的电子招标文件，下载并使用相应的深圳智慧采购平台投标文件制作专用软件打开招标文件（.szczf格式）【下载地址：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ascii="宋体" w:hAnsi="宋体"/>
          <w:color w:val="000000" w:themeColor="text1"/>
          <w14:textFill>
            <w14:solidFill>
              <w14:schemeClr w14:val="tx1"/>
            </w14:solidFill>
          </w14:textFill>
        </w:rPr>
        <w:t>】。</w:t>
      </w:r>
    </w:p>
    <w:p w14:paraId="72018FF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23.2投标人在使用《投标文件制作软件》编制投标书时须注意：</w:t>
      </w:r>
    </w:p>
    <w:p w14:paraId="1DFF1F2C">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23.2.1导入《投标文件制作软件》的招标文件项目编号、包号应与以此制作的投标文件项目编号、包号一致。例如，不能将甲项目A包的招标书导入《投标文件制作软件》，制作乙项目B包的投标书。</w:t>
      </w:r>
    </w:p>
    <w:p w14:paraId="4ADE0C3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23.2.2不能用非本公司的电子密钥加密本公司的投标文件，或者用其它公司的登录用户上传本公司的投标文件。</w:t>
      </w:r>
    </w:p>
    <w:p w14:paraId="1782224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23.2.3要求用《投标文件制作软件》编制投标书的包，不能用其它方式编制投标书。编制投标文件时，电脑须连通互联网。</w:t>
      </w:r>
    </w:p>
    <w:p w14:paraId="582F646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23.2.4投标文件不能带病毒。招标机构将用专业杀毒软件对投标文件进行病毒检测，如果这两种软件均报告发现病毒，则招标机构认为该投标文件带病毒。</w:t>
      </w:r>
    </w:p>
    <w:p w14:paraId="5126085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23.2.5完整填写“投标关键信息”，如下图所示：</w:t>
      </w:r>
    </w:p>
    <w:p w14:paraId="18083FD8">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drawing>
          <wp:inline distT="0" distB="0" distL="0" distR="0">
            <wp:extent cx="5278755" cy="2721610"/>
            <wp:effectExtent l="0" t="0" r="0" b="254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567CAAFD">
      <w:pPr>
        <w:ind w:firstLine="471" w:firstLineChars="196"/>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备注：上述“开标一览表”中的“投标总价”将作为价格分计算依据；其它信息仅是对投标文件相关内容的概括性表述，不作为评审依据。</w:t>
      </w:r>
    </w:p>
    <w:p w14:paraId="4E314A5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23.2.6投标人在编辑投标文件时，</w:t>
      </w:r>
      <w:r>
        <w:rPr>
          <w:rFonts w:hint="eastAsia" w:ascii="宋体" w:hAnsi="宋体"/>
          <w:b/>
          <w:color w:val="000000" w:themeColor="text1"/>
          <w14:textFill>
            <w14:solidFill>
              <w14:schemeClr w14:val="tx1"/>
            </w14:solidFill>
          </w14:textFill>
        </w:rPr>
        <w:t>在投标文件目录中属于本节点内容的必须在本节点中填写，填写到其他节点或附件，</w:t>
      </w:r>
      <w:r>
        <w:rPr>
          <w:rFonts w:hint="eastAsia" w:ascii="宋体" w:hAnsi="宋体"/>
          <w:color w:val="000000" w:themeColor="text1"/>
          <w14:textFill>
            <w14:solidFill>
              <w14:schemeClr w14:val="tx1"/>
            </w14:solidFill>
          </w14:textFill>
        </w:rPr>
        <w:t>一切后果由供应商自行承担。</w:t>
      </w:r>
    </w:p>
    <w:p w14:paraId="78A4ABA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23.2.7投标文件编写完成后，</w:t>
      </w:r>
      <w:r>
        <w:rPr>
          <w:rFonts w:hint="eastAsia" w:ascii="宋体" w:hAnsi="宋体"/>
          <w:b/>
          <w:color w:val="000000" w:themeColor="text1"/>
          <w14:textFill>
            <w14:solidFill>
              <w14:schemeClr w14:val="tx1"/>
            </w14:solidFill>
          </w14:textFill>
        </w:rPr>
        <w:t>必须用属于投标人的电子密钥进行加密，否则视同未盖公章，将导致投标文件无效。</w:t>
      </w:r>
    </w:p>
    <w:p w14:paraId="0805B7D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23.2.8招标机构不接受投标截止时间后递交的纸质、电子、传真等所有形式的投标文件。由于对网上政府采购系统操作不熟悉或自身电脑、网络等原因导致不能在投标截止时间之前上传投标文件，招标机构概不负责。建议于开标前一个工作日完成投标文件的制作与上传，如上传确有困难，请及时咨询。</w:t>
      </w:r>
    </w:p>
    <w:p w14:paraId="036544C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23.2.9如果开标时出现网络故障、技术故障，影响了政府采购活动，招标机构有权采取措施如延期、接受无法从网上上传的投标书等，以保障政府采购活动的公开、公平和公正。</w:t>
      </w:r>
    </w:p>
    <w:p w14:paraId="102EFEB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23.3电报、电话、传真形式的投标概不接受。</w:t>
      </w:r>
    </w:p>
    <w:p w14:paraId="1542478A">
      <w:pPr>
        <w:ind w:firstLine="471" w:firstLineChars="196"/>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23.4经投标人电子密钥加密的投标文件无须盖章或签字，</w:t>
      </w:r>
      <w:r>
        <w:rPr>
          <w:rFonts w:hint="eastAsia" w:ascii="宋体" w:hAnsi="宋体"/>
          <w:color w:val="000000" w:themeColor="text1"/>
          <w14:textFill>
            <w14:solidFill>
              <w14:schemeClr w14:val="tx1"/>
            </w14:solidFill>
          </w14:textFill>
        </w:rPr>
        <w:t>专用条款另有要求的除外。</w:t>
      </w:r>
    </w:p>
    <w:p w14:paraId="371DDF47">
      <w:pPr>
        <w:ind w:firstLine="471" w:firstLineChars="196"/>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23.5</w:t>
      </w:r>
      <w:r>
        <w:rPr>
          <w:rFonts w:hint="eastAsia" w:ascii="宋体" w:hAnsi="宋体"/>
          <w:color w:val="000000" w:themeColor="text1"/>
          <w14:textFill>
            <w14:solidFill>
              <w14:schemeClr w14:val="tx1"/>
            </w14:solidFill>
          </w14:textFill>
        </w:rPr>
        <w:t xml:space="preserve"> 各类资格（资质）文件提供扫描件，专用条款另有要求的除外。</w:t>
      </w:r>
      <w:bookmarkEnd w:id="54"/>
    </w:p>
    <w:p w14:paraId="1547CC2C">
      <w:pPr>
        <w:pStyle w:val="7"/>
      </w:pPr>
    </w:p>
    <w:p w14:paraId="7B31BF34"/>
    <w:p w14:paraId="6D6CF82B">
      <w:pPr>
        <w:pStyle w:val="7"/>
      </w:pPr>
    </w:p>
    <w:p w14:paraId="045FDCF3"/>
    <w:p w14:paraId="557EA2AB">
      <w:pPr>
        <w:pStyle w:val="7"/>
      </w:pPr>
    </w:p>
    <w:p w14:paraId="73B6B52F"/>
    <w:p w14:paraId="089F94CE">
      <w:pPr>
        <w:pStyle w:val="7"/>
      </w:pPr>
    </w:p>
    <w:p w14:paraId="53C56799"/>
    <w:p w14:paraId="05FEDA8A">
      <w:pPr>
        <w:pStyle w:val="7"/>
      </w:pPr>
    </w:p>
    <w:p w14:paraId="1DBB18F5"/>
    <w:p w14:paraId="2AABB530">
      <w:pPr>
        <w:pStyle w:val="7"/>
      </w:pPr>
    </w:p>
    <w:p w14:paraId="62FEAC79"/>
    <w:p w14:paraId="35F22F56">
      <w:pPr>
        <w:pStyle w:val="7"/>
      </w:pPr>
    </w:p>
    <w:p w14:paraId="3121B88B">
      <w:pPr>
        <w:pStyle w:val="7"/>
      </w:pPr>
    </w:p>
    <w:p w14:paraId="6FD961A2">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投标文件的递交</w:t>
      </w:r>
      <w:bookmarkStart w:id="55" w:name="_Hlk72405459"/>
    </w:p>
    <w:p w14:paraId="620D4F1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24．投标书的保密</w:t>
      </w:r>
    </w:p>
    <w:p w14:paraId="31B39A69">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标文件自动进行加密，此加密程序确保投标文件在到达开标时间后才能解密查看。在加密过程中，请按照软件提示进行操作。加密操作界面如下图所示：</w:t>
      </w:r>
    </w:p>
    <w:p w14:paraId="1AD4384E">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drawing>
          <wp:inline distT="0" distB="0" distL="0" distR="0">
            <wp:extent cx="5278755" cy="2721610"/>
            <wp:effectExtent l="0" t="0" r="0" b="254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5C2F556B">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在投标文件制作软件点击【生成标书】按钮进入【填写开标一览表界面】界面，在该界面填写完开标一览表信息后点击【确定】，进入投标文件生成环节。</w:t>
      </w:r>
      <w:r>
        <w:rPr>
          <w:rFonts w:ascii="宋体" w:hAnsi="宋体"/>
          <w:color w:val="000000" w:themeColor="text1"/>
          <w14:textFill>
            <w14:solidFill>
              <w14:schemeClr w14:val="tx1"/>
            </w14:solidFill>
          </w14:textFill>
        </w:rPr>
        <w:drawing>
          <wp:inline distT="0" distB="0" distL="0" distR="0">
            <wp:extent cx="5278755" cy="2732405"/>
            <wp:effectExtent l="0" t="0" r="0" b="0"/>
            <wp:docPr id="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1C5B7DC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投标文件制作软件会在投标文件生成过程中，提示用户输入密码，输入密码后对标文件自动进行加密。</w:t>
      </w:r>
    </w:p>
    <w:p w14:paraId="5201FA98">
      <w:pPr>
        <w:ind w:firstLine="480" w:firstLineChars="20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24.2若采购项目出现延期情况：</w:t>
      </w:r>
    </w:p>
    <w:p w14:paraId="26207185">
      <w:pPr>
        <w:ind w:firstLine="480" w:firstLineChars="200"/>
        <w:rPr>
          <w:rFonts w:ascii="宋体" w:hAnsi="宋体" w:eastAsia="宋体" w:cs="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如果供下载的招标文件（后缀名为.</w:t>
      </w:r>
      <w:r>
        <w:rPr>
          <w:rFonts w:ascii="宋体" w:hAnsi="宋体"/>
          <w:b/>
          <w:color w:val="000000" w:themeColor="text1"/>
          <w14:textFill>
            <w14:solidFill>
              <w14:schemeClr w14:val="tx1"/>
            </w14:solidFill>
          </w14:textFill>
        </w:rPr>
        <w:t>szczf</w:t>
      </w:r>
      <w:r>
        <w:rPr>
          <w:rFonts w:hint="eastAsia" w:ascii="宋体" w:hAnsi="宋体"/>
          <w:b/>
          <w:color w:val="000000" w:themeColor="text1"/>
          <w14:textFill>
            <w14:solidFill>
              <w14:schemeClr w14:val="tx1"/>
            </w14:solidFill>
          </w14:textFill>
        </w:rPr>
        <w:t>）有更新，投标人必须重新下载招标文件、重新制作投标文件、重新加密投标文件、重新上传投标文件；如果供下载的招标文件（后缀名为.</w:t>
      </w:r>
      <w:r>
        <w:rPr>
          <w:rFonts w:ascii="宋体" w:hAnsi="宋体"/>
          <w:b/>
          <w:color w:val="000000" w:themeColor="text1"/>
          <w14:textFill>
            <w14:solidFill>
              <w14:schemeClr w14:val="tx1"/>
            </w14:solidFill>
          </w14:textFill>
        </w:rPr>
        <w:t>szczf</w:t>
      </w:r>
      <w:r>
        <w:rPr>
          <w:rFonts w:hint="eastAsia" w:ascii="宋体" w:hAnsi="宋体"/>
          <w:b/>
          <w:color w:val="000000" w:themeColor="text1"/>
          <w14:textFill>
            <w14:solidFill>
              <w14:schemeClr w14:val="tx1"/>
            </w14:solidFill>
          </w14:textFill>
        </w:rPr>
        <w:t>）没有更新，投标人必须重新加密投标文件、重新上传投标文件（是否重新制作投标文件根据项目实际情况定）。否则，投标人自行承担投标文件无法解密导致投标无效的后果。</w:t>
      </w:r>
    </w:p>
    <w:p w14:paraId="4EDB7DD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25．上传投标文件及投标截止日期</w:t>
      </w:r>
    </w:p>
    <w:p w14:paraId="16294BEF">
      <w:pPr>
        <w:ind w:firstLine="480" w:firstLineChars="20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25.1实行网上投标，投标人必须在招标文件规定的投标截止时间前用电子密钥登录“深圳政府采购智慧平台用户网上办事子系统（</w:t>
      </w:r>
      <w:r>
        <w:rPr>
          <w:rFonts w:hint="eastAsia" w:ascii="宋体" w:hAnsi="宋体" w:eastAsia="宋体" w:cs="宋体"/>
          <w:bCs/>
          <w:color w:val="000000" w:themeColor="text1"/>
          <w:highlight w:val="yellow"/>
          <w14:textFill>
            <w14:solidFill>
              <w14:schemeClr w14:val="tx1"/>
            </w14:solidFill>
          </w14:textFill>
        </w:rPr>
        <w:t>http://zfcg.szggzy.com:8081/TPBidder/memberLogin</w:t>
      </w:r>
      <w:r>
        <w:rPr>
          <w:rFonts w:hint="eastAsia" w:ascii="宋体" w:hAnsi="宋体" w:eastAsia="宋体" w:cs="宋体"/>
          <w:bCs/>
          <w:color w:val="000000" w:themeColor="text1"/>
          <w14:textFill>
            <w14:solidFill>
              <w14:schemeClr w14:val="tx1"/>
            </w14:solidFill>
          </w14:textFill>
        </w:rPr>
        <w:t>）”，用“【我的项目】→【项目流程】→【递交投标(应答)文件】”功能点上传投标文件。如上传过程中遇到问题，可拨打技术支持电话，联系方式：</w:t>
      </w:r>
      <w:r>
        <w:rPr>
          <w:rFonts w:hint="eastAsia" w:ascii="宋体" w:hAnsi="宋体"/>
          <w:highlight w:val="yellow"/>
          <w:lang w:eastAsia="zh-CN"/>
        </w:rPr>
        <w:t>0755-88653300</w:t>
      </w:r>
      <w:r>
        <w:rPr>
          <w:rFonts w:hint="eastAsia" w:ascii="宋体" w:hAnsi="宋体"/>
          <w:highlight w:val="yellow"/>
          <w:lang w:val="en-US" w:eastAsia="zh-CN"/>
        </w:rPr>
        <w:t>-</w:t>
      </w:r>
      <w:r>
        <w:rPr>
          <w:rFonts w:hint="eastAsia" w:ascii="宋体" w:hAnsi="宋体"/>
          <w:highlight w:val="yellow"/>
          <w:lang w:eastAsia="zh-CN"/>
        </w:rPr>
        <w:t>6</w:t>
      </w:r>
      <w:r>
        <w:rPr>
          <w:rFonts w:hint="eastAsia" w:ascii="宋体" w:hAnsi="宋体" w:eastAsia="宋体" w:cs="宋体"/>
          <w:bCs/>
          <w:color w:val="000000" w:themeColor="text1"/>
          <w14:textFill>
            <w14:solidFill>
              <w14:schemeClr w14:val="tx1"/>
            </w14:solidFill>
          </w14:textFill>
        </w:rPr>
        <w:t>。</w:t>
      </w:r>
    </w:p>
    <w:p w14:paraId="671C48EF">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25.2招标机构可以按本通用条款第13条规定，通过修改招标文件自行决定酌情延长投标截止期。在此情况下，招标机构、采购人和投标人受投标截止期制约的所有权利和义务均应延长至新的截止期。</w:t>
      </w:r>
    </w:p>
    <w:p w14:paraId="43C56447">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w:t>
      </w:r>
      <w:r>
        <w:rPr>
          <w:rFonts w:ascii="宋体" w:hAnsi="宋体" w:eastAsia="宋体" w:cs="宋体"/>
          <w:bCs/>
          <w:color w:val="000000" w:themeColor="text1"/>
          <w14:textFill>
            <w14:solidFill>
              <w14:schemeClr w14:val="tx1"/>
            </w14:solidFill>
          </w14:textFill>
        </w:rPr>
        <w:t>.</w:t>
      </w:r>
      <w:r>
        <w:rPr>
          <w:rFonts w:hint="eastAsia" w:ascii="宋体" w:hAnsi="宋体" w:eastAsia="宋体" w:cs="宋体"/>
          <w:bCs/>
          <w:color w:val="000000" w:themeColor="text1"/>
          <w14:textFill>
            <w14:solidFill>
              <w14:schemeClr w14:val="tx1"/>
            </w14:solidFill>
          </w14:textFill>
        </w:rPr>
        <w:t>3投标截止时间以后不得上传投标文件。</w:t>
      </w:r>
    </w:p>
    <w:p w14:paraId="5E3BAABD">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25.4.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bookmarkEnd w:id="55"/>
    <w:p w14:paraId="54083B94">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26. 样品、现场演示、方案讲解</w:t>
      </w:r>
    </w:p>
    <w:p w14:paraId="5B4B408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26.1 样品、现场演示、方案讲解等事项在招标文件专用条款中进行规定。</w:t>
      </w:r>
    </w:p>
    <w:p w14:paraId="66EC6F36">
      <w:pPr>
        <w:rPr>
          <w:rFonts w:ascii="黑体" w:hAnsi="宋体" w:eastAsia="黑体"/>
          <w:color w:val="000000" w:themeColor="text1"/>
          <w14:textFill>
            <w14:solidFill>
              <w14:schemeClr w14:val="tx1"/>
            </w14:solidFill>
          </w14:textFill>
        </w:rPr>
      </w:pPr>
      <w:bookmarkStart w:id="56" w:name="_Hlk72428346"/>
      <w:r>
        <w:rPr>
          <w:rFonts w:ascii="黑体" w:hAnsi="宋体" w:eastAsia="黑体"/>
          <w:color w:val="000000" w:themeColor="text1"/>
          <w14:textFill>
            <w14:solidFill>
              <w14:schemeClr w14:val="tx1"/>
            </w14:solidFill>
          </w14:textFill>
        </w:rPr>
        <w:t>2</w:t>
      </w:r>
      <w:r>
        <w:rPr>
          <w:rFonts w:hint="eastAsia" w:ascii="黑体" w:hAnsi="宋体" w:eastAsia="黑体"/>
          <w:color w:val="000000" w:themeColor="text1"/>
          <w14:textFill>
            <w14:solidFill>
              <w14:schemeClr w14:val="tx1"/>
            </w14:solidFill>
          </w14:textFill>
        </w:rPr>
        <w:t>7．</w:t>
      </w:r>
      <w:r>
        <w:rPr>
          <w:rFonts w:ascii="黑体" w:hAnsi="宋体" w:eastAsia="黑体"/>
          <w:color w:val="000000" w:themeColor="text1"/>
          <w14:textFill>
            <w14:solidFill>
              <w14:schemeClr w14:val="tx1"/>
            </w14:solidFill>
          </w14:textFill>
        </w:rPr>
        <w:t>投标文件的修改和撤销</w:t>
      </w:r>
    </w:p>
    <w:p w14:paraId="0B03DD73">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投标方在提交投标文件后可对其投标文件进行修改</w:t>
      </w:r>
      <w:r>
        <w:rPr>
          <w:rFonts w:hint="eastAsia" w:ascii="宋体" w:hAnsi="宋体"/>
          <w:color w:val="000000" w:themeColor="text1"/>
          <w14:textFill>
            <w14:solidFill>
              <w14:schemeClr w14:val="tx1"/>
            </w14:solidFill>
          </w14:textFill>
        </w:rPr>
        <w:t>并重新上传投标文件</w:t>
      </w:r>
      <w:r>
        <w:rPr>
          <w:rFonts w:ascii="宋体" w:hAnsi="宋体"/>
          <w:color w:val="000000" w:themeColor="text1"/>
          <w14:textFill>
            <w14:solidFill>
              <w14:schemeClr w14:val="tx1"/>
            </w14:solidFill>
          </w14:textFill>
        </w:rPr>
        <w:t>或</w:t>
      </w:r>
      <w:r>
        <w:rPr>
          <w:rFonts w:hint="eastAsia" w:ascii="宋体" w:hAnsi="宋体"/>
          <w:color w:val="000000" w:themeColor="text1"/>
          <w14:textFill>
            <w14:solidFill>
              <w14:schemeClr w14:val="tx1"/>
            </w14:solidFill>
          </w14:textFill>
        </w:rPr>
        <w:t>在网上进行</w:t>
      </w:r>
      <w:r>
        <w:rPr>
          <w:rFonts w:ascii="宋体" w:hAnsi="宋体"/>
          <w:color w:val="000000" w:themeColor="text1"/>
          <w14:textFill>
            <w14:solidFill>
              <w14:schemeClr w14:val="tx1"/>
            </w14:solidFill>
          </w14:textFill>
        </w:rPr>
        <w:t>撤销</w:t>
      </w:r>
      <w:r>
        <w:rPr>
          <w:rFonts w:hint="eastAsia" w:ascii="宋体" w:hAnsi="宋体"/>
          <w:color w:val="000000" w:themeColor="text1"/>
          <w14:textFill>
            <w14:solidFill>
              <w14:schemeClr w14:val="tx1"/>
            </w14:solidFill>
          </w14:textFill>
        </w:rPr>
        <w:t>投标的操作</w:t>
      </w:r>
      <w:r>
        <w:rPr>
          <w:rFonts w:ascii="宋体" w:hAnsi="宋体"/>
          <w:color w:val="000000" w:themeColor="text1"/>
          <w14:textFill>
            <w14:solidFill>
              <w14:schemeClr w14:val="tx1"/>
            </w14:solidFill>
          </w14:textFill>
        </w:rPr>
        <w:t>。</w:t>
      </w:r>
    </w:p>
    <w:p w14:paraId="40B36267">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投标截止时间以后不得修改投标文件。</w:t>
      </w:r>
    </w:p>
    <w:p w14:paraId="41636C7A">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3从投标截止期至投标人在投标文件中确定的投标有效期之间的这段时间内，投标人不得撤回其投标。</w:t>
      </w:r>
    </w:p>
    <w:p w14:paraId="6B793A4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27.4</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不退还投标文件，专用条款另有规定的除外。</w:t>
      </w:r>
    </w:p>
    <w:bookmarkEnd w:id="56"/>
    <w:p w14:paraId="09D75D61">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开标</w:t>
      </w:r>
    </w:p>
    <w:p w14:paraId="569A898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28．开标</w:t>
      </w:r>
    </w:p>
    <w:p w14:paraId="57EA77DF">
      <w:pPr>
        <w:ind w:firstLine="480" w:firstLineChars="200"/>
        <w:rPr>
          <w:rFonts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14:textFill>
            <w14:solidFill>
              <w14:schemeClr w14:val="tx1"/>
            </w14:solidFill>
          </w14:textFill>
        </w:rPr>
        <w:t>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52782093">
      <w:pPr>
        <w:ind w:firstLine="410" w:firstLineChars="171"/>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 xml:space="preserve">8.2 </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将在满足开标条件（</w:t>
      </w:r>
      <w:r>
        <w:rPr>
          <w:rFonts w:hint="eastAsia" w:ascii="宋体" w:hAnsi="宋体" w:cs="宋体"/>
          <w:color w:val="000000" w:themeColor="text1"/>
          <w:sz w:val="20"/>
          <w:szCs w:val="20"/>
          <w:shd w:val="clear" w:color="auto" w:fill="FFFFFF"/>
          <w14:textFill>
            <w14:solidFill>
              <w14:schemeClr w14:val="tx1"/>
            </w14:solidFill>
          </w14:textFill>
        </w:rPr>
        <w:t>①</w:t>
      </w:r>
      <w:r>
        <w:rPr>
          <w:rFonts w:hint="eastAsia" w:ascii="宋体" w:hAnsi="宋体"/>
          <w:color w:val="000000" w:themeColor="text1"/>
          <w:szCs w:val="21"/>
          <w14:textFill>
            <w14:solidFill>
              <w14:schemeClr w14:val="tx1"/>
            </w14:solidFill>
          </w14:textFill>
        </w:rPr>
        <w:t>解密时间结束，解密后的投标供应商数量满足开标要求或</w:t>
      </w:r>
      <w:r>
        <w:rPr>
          <w:rFonts w:hint="eastAsia" w:ascii="宋体" w:hAnsi="宋体" w:cs="宋体"/>
          <w:color w:val="000000" w:themeColor="text1"/>
          <w:sz w:val="20"/>
          <w:szCs w:val="20"/>
          <w:shd w:val="clear" w:color="auto" w:fill="FFFFFF"/>
          <w14:textFill>
            <w14:solidFill>
              <w14:schemeClr w14:val="tx1"/>
            </w14:solidFill>
          </w14:textFill>
        </w:rPr>
        <w:t>②</w:t>
      </w:r>
      <w:r>
        <w:rPr>
          <w:rFonts w:hint="eastAsia" w:ascii="宋体" w:hAnsi="宋体"/>
          <w:color w:val="000000" w:themeColor="text1"/>
          <w:szCs w:val="21"/>
          <w14:textFill>
            <w14:solidFill>
              <w14:schemeClr w14:val="tx1"/>
            </w14:solidFill>
          </w14:textFill>
        </w:rPr>
        <w:t>解密时间结束前所有投标供应商均完成投标文件解密）后，对投标文件进行开标，并在网上公布开标结果。</w:t>
      </w:r>
    </w:p>
    <w:p w14:paraId="2DADC016">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评审要求</w:t>
      </w:r>
    </w:p>
    <w:p w14:paraId="5B56085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29．评审委员会组成</w:t>
      </w:r>
    </w:p>
    <w:p w14:paraId="753E2AE1">
      <w:pPr>
        <w:ind w:firstLine="470" w:firstLineChars="196"/>
        <w:rPr>
          <w:rFonts w:ascii="宋体" w:hAnsi="宋体" w:eastAsia="宋体"/>
        </w:rPr>
      </w:pPr>
      <w:r>
        <w:rPr>
          <w:rFonts w:hint="eastAsia" w:ascii="宋体" w:hAnsi="宋体" w:eastAsia="宋体"/>
        </w:rPr>
        <w:t>29.1网上开标结束后召开评审会议，</w:t>
      </w:r>
      <w:r>
        <w:rPr>
          <w:rFonts w:hint="eastAsia" w:ascii="宋体" w:hAnsi="宋体" w:eastAsia="宋体"/>
          <w:szCs w:val="21"/>
        </w:rPr>
        <w:t>评审委员会</w:t>
      </w:r>
      <w:r>
        <w:rPr>
          <w:rFonts w:hint="eastAsia" w:ascii="宋体" w:hAnsi="宋体" w:eastAsia="宋体"/>
        </w:rPr>
        <w:t>由</w:t>
      </w:r>
      <w:r>
        <w:rPr>
          <w:rFonts w:hint="eastAsia" w:ascii="宋体" w:hAnsi="宋体" w:eastAsia="宋体"/>
          <w:lang w:eastAsia="zh-CN"/>
        </w:rPr>
        <w:t>政府采购代理机构</w:t>
      </w:r>
      <w:r>
        <w:rPr>
          <w:rFonts w:hint="eastAsia" w:ascii="宋体" w:hAnsi="宋体" w:eastAsia="宋体"/>
        </w:rPr>
        <w:t>依法组建，负责评审活动。</w:t>
      </w:r>
    </w:p>
    <w:p w14:paraId="6FFD85CD">
      <w:pPr>
        <w:ind w:firstLine="470" w:firstLineChars="196"/>
        <w:rPr>
          <w:rFonts w:ascii="宋体" w:hAnsi="宋体" w:eastAsia="宋体"/>
        </w:rPr>
      </w:pPr>
      <w:bookmarkStart w:id="57"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57"/>
      <w:r>
        <w:rPr>
          <w:rFonts w:hint="eastAsia" w:ascii="宋体" w:hAnsi="宋体" w:eastAsia="宋体"/>
        </w:rPr>
        <w:t>评定</w:t>
      </w:r>
      <w:r>
        <w:rPr>
          <w:rFonts w:hint="eastAsia" w:eastAsia="宋体"/>
        </w:rPr>
        <w:t>分离项目评审专家均由评审专家组成。</w:t>
      </w:r>
      <w:r>
        <w:rPr>
          <w:rFonts w:hint="eastAsia" w:ascii="宋体" w:hAnsi="宋体" w:eastAsia="宋体"/>
          <w:szCs w:val="21"/>
        </w:rPr>
        <w:t>评审专家一般是</w:t>
      </w:r>
      <w:r>
        <w:rPr>
          <w:rFonts w:hint="eastAsia" w:ascii="宋体" w:hAnsi="宋体" w:eastAsia="宋体"/>
        </w:rPr>
        <w:t>从深圳市政府采购评审专家库中随机抽取。采购人代表须持本单位签发的《评审授权书》参加评审。</w:t>
      </w:r>
    </w:p>
    <w:p w14:paraId="139C4CD1">
      <w:pPr>
        <w:ind w:firstLine="470" w:firstLineChars="196"/>
        <w:rPr>
          <w:rFonts w:ascii="宋体" w:hAnsi="宋体" w:eastAsia="宋体"/>
        </w:rPr>
      </w:pPr>
      <w:r>
        <w:rPr>
          <w:rFonts w:hint="eastAsia" w:ascii="宋体" w:hAnsi="宋体" w:eastAsia="宋体"/>
        </w:rPr>
        <w:t>29.2评审定标应当遵循公平、公正、科学、择优的原则。</w:t>
      </w:r>
    </w:p>
    <w:p w14:paraId="16677D6C">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14:paraId="22361059">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14:paraId="69B3A856">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eastAsia="宋体"/>
        </w:rPr>
        <w:t>信息公开的内容除外</w:t>
      </w:r>
      <w:r>
        <w:rPr>
          <w:rFonts w:hint="eastAsia" w:ascii="宋体" w:hAnsi="宋体" w:eastAsia="宋体"/>
          <w:bCs/>
        </w:rPr>
        <w:t>）。</w:t>
      </w:r>
    </w:p>
    <w:p w14:paraId="0FE335E0">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30．向评审委员会提供的资料</w:t>
      </w:r>
    </w:p>
    <w:p w14:paraId="410C956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30.1公开发布的招标文件，包括图纸、服务清单、答疑文件等；</w:t>
      </w:r>
    </w:p>
    <w:p w14:paraId="4DAEADB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30.2其他评标必须的资料。</w:t>
      </w:r>
    </w:p>
    <w:p w14:paraId="0A53E70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30.3</w:t>
      </w:r>
      <w:r>
        <w:rPr>
          <w:rFonts w:hint="eastAsia" w:ascii="宋体" w:hAnsi="宋体"/>
          <w:color w:val="000000" w:themeColor="text1"/>
          <w:szCs w:val="21"/>
          <w14:textFill>
            <w14:solidFill>
              <w14:schemeClr w14:val="tx1"/>
            </w14:solidFill>
          </w14:textFill>
        </w:rPr>
        <w:t>评审委员会</w:t>
      </w:r>
      <w:r>
        <w:rPr>
          <w:rFonts w:hint="eastAsia" w:ascii="宋体" w:hAnsi="宋体"/>
          <w:color w:val="000000" w:themeColor="text1"/>
          <w14:textFill>
            <w14:solidFill>
              <w14:schemeClr w14:val="tx1"/>
            </w14:solidFill>
          </w14:textFill>
        </w:rPr>
        <w:t>应当认真研究招标文件，至少应了解熟悉以下内容：</w:t>
      </w:r>
    </w:p>
    <w:p w14:paraId="2257681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（1）招标的目的；</w:t>
      </w:r>
    </w:p>
    <w:p w14:paraId="1E3CBE1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（2）招标项目需求的范围和性质；</w:t>
      </w:r>
    </w:p>
    <w:p w14:paraId="64FD263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（3）招标文件规定的投标人的资格、财政预算限额、商务条款；</w:t>
      </w:r>
    </w:p>
    <w:p w14:paraId="681BFF2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（4）招标文件规定的评标程序、评标方法和评标因素；</w:t>
      </w:r>
    </w:p>
    <w:p w14:paraId="2E0071C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（5）招标文件所列示的资格性审查表及符合性审查表。</w:t>
      </w:r>
    </w:p>
    <w:p w14:paraId="20FF7D4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31．独立评审</w:t>
      </w:r>
    </w:p>
    <w:p w14:paraId="06BAD464">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w:t>
      </w:r>
      <w:r>
        <w:rPr>
          <w:rFonts w:ascii="宋体" w:hAnsi="宋体"/>
          <w:bCs/>
          <w:color w:val="000000" w:themeColor="text1"/>
          <w14:textFill>
            <w14:solidFill>
              <w14:schemeClr w14:val="tx1"/>
            </w14:solidFill>
          </w14:textFill>
        </w:rPr>
        <w:t>1</w:t>
      </w:r>
      <w:r>
        <w:rPr>
          <w:rFonts w:hint="eastAsia" w:ascii="宋体" w:hAnsi="宋体"/>
          <w:bCs/>
          <w:color w:val="000000" w:themeColor="text1"/>
          <w14:textFill>
            <w14:solidFill>
              <w14:schemeClr w14:val="tx1"/>
            </w14:solidFill>
          </w14:textFill>
        </w:rPr>
        <w:t>.1</w:t>
      </w:r>
      <w:r>
        <w:rPr>
          <w:rFonts w:hint="eastAsia" w:ascii="宋体" w:hAnsi="宋体"/>
          <w:color w:val="000000" w:themeColor="text1"/>
          <w:szCs w:val="21"/>
          <w14:textFill>
            <w14:solidFill>
              <w14:schemeClr w14:val="tx1"/>
            </w14:solidFill>
          </w14:textFill>
        </w:rPr>
        <w:t>评审委员会</w:t>
      </w:r>
      <w:r>
        <w:rPr>
          <w:rFonts w:hint="eastAsia" w:ascii="宋体" w:hAnsi="宋体"/>
          <w:bCs/>
          <w:color w:val="000000" w:themeColor="text1"/>
          <w14:textFill>
            <w14:solidFill>
              <w14:schemeClr w14:val="tx1"/>
            </w14:solidFill>
          </w14:textFill>
        </w:rPr>
        <w:t>成员的评标活动应当独立进行，并应遵循投标文件初审、澄清有关问题、比较与评价、确定中标供应商、编写评审报告的工作程序。</w:t>
      </w:r>
    </w:p>
    <w:p w14:paraId="406DB79B">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评审程序及评审方法</w:t>
      </w:r>
    </w:p>
    <w:p w14:paraId="215CCFFE">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32．投标文件初审</w:t>
      </w:r>
    </w:p>
    <w:p w14:paraId="3ADA5822">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32.1投标文件初审包括资格性审查和符合性审查。</w:t>
      </w:r>
    </w:p>
    <w:p w14:paraId="7C9BDBF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资格性审查：依据法律法规和招标文件的规定，对投标文件中的资格证明等进行审查，以确定投标供应商是否具备投标资格。</w:t>
      </w:r>
    </w:p>
    <w:p w14:paraId="42E6925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符合性审查：依据招标文件的规定，对投标文件的有效性、完整性和对招标文件的响应程度进行审查，以确定是否满足符合性审查的要求。</w:t>
      </w:r>
    </w:p>
    <w:p w14:paraId="0A68E6A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32.2 投标文件初审内容请详见《资格性审查表》和《符合性审查表》部分。投标人若有一条审查不通过则按投标无效处理。</w:t>
      </w:r>
    </w:p>
    <w:p w14:paraId="19FF20F0">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 投标文件初审中关于供应商家数的计算:</w:t>
      </w:r>
    </w:p>
    <w:p w14:paraId="0D34D9BC">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53BE0FA3">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color w:val="000000" w:themeColor="text1"/>
          <w:szCs w:val="21"/>
          <w14:textFill>
            <w14:solidFill>
              <w14:schemeClr w14:val="tx1"/>
            </w14:solidFill>
          </w14:textFill>
        </w:rPr>
        <w:t>评审委员会</w:t>
      </w:r>
      <w:r>
        <w:rPr>
          <w:rFonts w:hint="eastAsia" w:ascii="宋体" w:hAnsi="宋体"/>
          <w:bCs/>
          <w:color w:val="000000" w:themeColor="text1"/>
          <w14:textFill>
            <w14:solidFill>
              <w14:schemeClr w14:val="tx1"/>
            </w14:solidFill>
          </w14:textFill>
        </w:rPr>
        <w:t>按照招标文件规定的方式确定一个投标人获得中标人推荐资格，招标文件未规定的采取随机抽取方式确定，其他同品牌投标人不作为中标候选人。</w:t>
      </w:r>
    </w:p>
    <w:p w14:paraId="0671F94B">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32.3.3非单一产品采购项目，采购人应当根据采购项目技术构成、产品价格比重等合理确定核心产品，并在招标文件中载明。多家投标人提供的核心产品品牌相同的，按前两款规定处理。</w:t>
      </w:r>
    </w:p>
    <w:p w14:paraId="3CC8E177">
      <w:pPr>
        <w:ind w:firstLine="470" w:firstLineChars="196"/>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hint="eastAsia" w:ascii="宋体" w:hAnsi="宋体" w:eastAsia="宋体"/>
          <w:color w:val="000000" w:themeColor="text1"/>
          <w14:textFill>
            <w14:solidFill>
              <w14:schemeClr w14:val="tx1"/>
            </w14:solidFill>
          </w14:textFill>
        </w:rPr>
        <w:t>2.4投标人投标文件作无效处理的情形，具体包括但不限于以下：</w:t>
      </w:r>
    </w:p>
    <w:p w14:paraId="5C7346DD">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32.4.1不同投标人的投标文件由同一单位或者同一个人编制，或者由同一个人分阶段参与编制；</w:t>
      </w:r>
    </w:p>
    <w:p w14:paraId="18981C3C">
      <w:pPr>
        <w:ind w:firstLine="470" w:firstLineChars="196"/>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32.4.</w:t>
      </w:r>
      <w:r>
        <w:rPr>
          <w:rFonts w:hint="eastAsia" w:ascii="宋体" w:hAnsi="宋体" w:eastAsia="宋体"/>
          <w:color w:val="000000" w:themeColor="text1"/>
          <w14:textFill>
            <w14:solidFill>
              <w14:schemeClr w14:val="tx1"/>
            </w14:solidFill>
          </w14:textFill>
        </w:rPr>
        <w:t>2不同投标人委托同一单位或者个人办理投标事宜；</w:t>
      </w:r>
    </w:p>
    <w:p w14:paraId="26D32AFA">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32.4.3不同投标人的投标文件载明的项目管理成员或者联系人员为同一人；</w:t>
      </w:r>
    </w:p>
    <w:p w14:paraId="537B1544">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32.4.4不同投标人的投标文件异常一致或者投标报价呈规律性差异；</w:t>
      </w:r>
    </w:p>
    <w:p w14:paraId="1E9A3F93">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32.4.5</w:t>
      </w:r>
      <w:r>
        <w:rPr>
          <w:rFonts w:ascii="宋体" w:hAnsi="宋体" w:eastAsia="宋体"/>
          <w:color w:val="000000" w:themeColor="text1"/>
          <w14:textFill>
            <w14:solidFill>
              <w14:schemeClr w14:val="tx1"/>
            </w14:solidFill>
          </w14:textFill>
        </w:rPr>
        <w:t>不同投标供应商的投标文件或部分投标文件相互混装</w:t>
      </w:r>
      <w:r>
        <w:rPr>
          <w:rFonts w:hint="eastAsia" w:ascii="宋体" w:hAnsi="宋体" w:eastAsia="宋体"/>
          <w:color w:val="000000" w:themeColor="text1"/>
          <w14:textFill>
            <w14:solidFill>
              <w14:schemeClr w14:val="tx1"/>
            </w14:solidFill>
          </w14:textFill>
        </w:rPr>
        <w:t>；</w:t>
      </w:r>
    </w:p>
    <w:p w14:paraId="730DC4D4">
      <w:pPr>
        <w:ind w:firstLine="470" w:firstLineChars="196"/>
        <w:rPr>
          <w:rFonts w:ascii="宋体" w:hAnsi="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32.4.6投标供应商之间相互约定给予未中标的供应商利</w:t>
      </w:r>
      <w:r>
        <w:rPr>
          <w:rFonts w:hint="eastAsia" w:ascii="宋体" w:hAnsi="宋体"/>
          <w:color w:val="000000" w:themeColor="text1"/>
          <w14:textFill>
            <w14:solidFill>
              <w14:schemeClr w14:val="tx1"/>
            </w14:solidFill>
          </w14:textFill>
        </w:rPr>
        <w:t>益补偿；</w:t>
      </w:r>
    </w:p>
    <w:p w14:paraId="3E85323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32.4.7不同投标供应商的法定代表人、主要经营负责人、项目投标授权代表人、项目负责人、主要技术人员为同一人、属同一单位或者同一单位缴纳社会保险；</w:t>
      </w:r>
    </w:p>
    <w:p w14:paraId="4D43033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32.4.8不同投标供应商的投标文件内容存在非正常一致；</w:t>
      </w:r>
    </w:p>
    <w:p w14:paraId="3AA43AB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32.4.9在同一单位工作人员为两家以上（含两家）供应商进行同一项投标活动；</w:t>
      </w:r>
    </w:p>
    <w:p w14:paraId="7A547A6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32.4.10主管部门依照法律、法规认定的其他情形。</w:t>
      </w:r>
    </w:p>
    <w:p w14:paraId="7E7B5E1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32.5对不属于《资格性审查表》和《符合性审查表》所列的其他情形，除专用条款另有规定和32.4条款所列情形外，不得作为投标无效的理由。</w:t>
      </w:r>
    </w:p>
    <w:p w14:paraId="5DADFB3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33．澄清有关问题</w:t>
      </w:r>
    </w:p>
    <w:p w14:paraId="750BF38E">
      <w:pPr>
        <w:ind w:firstLine="470" w:firstLineChars="196"/>
        <w:rPr>
          <w:rFonts w:ascii="宋体" w:hAnsi="宋体"/>
          <w:color w:val="000000" w:themeColor="text1"/>
          <w14:textFill>
            <w14:solidFill>
              <w14:schemeClr w14:val="tx1"/>
            </w14:solidFill>
          </w14:textFill>
        </w:rPr>
      </w:pPr>
      <w:bookmarkStart w:id="58" w:name="_Hlk71407321"/>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3.1</w:t>
      </w:r>
      <w:r>
        <w:rPr>
          <w:rFonts w:hint="eastAsia" w:ascii="宋体" w:hAnsi="宋体"/>
          <w:color w:val="000000" w:themeColor="text1"/>
          <w14:textFill>
            <w14:solidFill>
              <w14:schemeClr w14:val="tx1"/>
            </w14:solidFill>
          </w14:textFill>
        </w:rPr>
        <w:t>对招标文件中描述有歧义或前后不一致的地方（不含</w:t>
      </w:r>
      <w:r>
        <w:rPr>
          <w:color w:val="000000" w:themeColor="text1"/>
          <w:szCs w:val="21"/>
          <w14:textFill>
            <w14:solidFill>
              <w14:schemeClr w14:val="tx1"/>
            </w14:solidFill>
          </w14:textFill>
        </w:rPr>
        <w:t>招标文件存在歧义、重大缺陷导致评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工作无法进行</w:t>
      </w:r>
      <w:r>
        <w:rPr>
          <w:rFonts w:hint="eastAsia"/>
          <w:color w:val="000000" w:themeColor="text1"/>
          <w:szCs w:val="21"/>
          <w14:textFill>
            <w14:solidFill>
              <w14:schemeClr w14:val="tx1"/>
            </w14:solidFill>
          </w14:textFill>
        </w:rPr>
        <w:t>的情况）</w:t>
      </w:r>
      <w:r>
        <w:rPr>
          <w:rFonts w:hint="eastAsia" w:ascii="宋体" w:hAnsi="宋体"/>
          <w:color w:val="000000" w:themeColor="text1"/>
          <w14:textFill>
            <w14:solidFill>
              <w14:schemeClr w14:val="tx1"/>
            </w14:solidFill>
          </w14:textFill>
        </w:rPr>
        <w:t>，评审委员会有权进行评判，但对同一条款的评判应适用于每个投标人。</w:t>
      </w:r>
      <w:bookmarkEnd w:id="58"/>
    </w:p>
    <w:p w14:paraId="66E611D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3.2</w:t>
      </w:r>
      <w:r>
        <w:rPr>
          <w:color w:val="000000" w:themeColor="text1"/>
          <w:szCs w:val="21"/>
          <w14:textFill>
            <w14:solidFill>
              <w14:schemeClr w14:val="tx1"/>
            </w14:solidFill>
          </w14:textFill>
        </w:rPr>
        <w:t>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委员会发现招标文件存在歧义、重大缺陷导致评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工作无法进行，或者招标文件内容违反国家有关强制性规定的，应当停止评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工作，与</w:t>
      </w:r>
      <w:r>
        <w:rPr>
          <w:rFonts w:hint="eastAsia" w:eastAsia="宋体"/>
          <w:color w:val="000000" w:themeColor="text1"/>
          <w:szCs w:val="21"/>
          <w14:textFill>
            <w14:solidFill>
              <w14:schemeClr w14:val="tx1"/>
            </w14:solidFill>
          </w14:textFill>
        </w:rPr>
        <w:t>招标机构</w:t>
      </w:r>
      <w:r>
        <w:rPr>
          <w:color w:val="000000" w:themeColor="text1"/>
          <w:szCs w:val="21"/>
          <w14:textFill>
            <w14:solidFill>
              <w14:schemeClr w14:val="tx1"/>
            </w14:solidFill>
          </w14:textFill>
        </w:rPr>
        <w:t>沟通并作书面记录。</w:t>
      </w:r>
      <w:r>
        <w:rPr>
          <w:rFonts w:hint="eastAsia"/>
          <w:color w:val="000000" w:themeColor="text1"/>
          <w:szCs w:val="21"/>
          <w14:textFill>
            <w14:solidFill>
              <w14:schemeClr w14:val="tx1"/>
            </w14:solidFill>
          </w14:textFill>
        </w:rPr>
        <w:t>经</w:t>
      </w:r>
      <w:r>
        <w:rPr>
          <w:color w:val="000000" w:themeColor="text1"/>
          <w:szCs w:val="21"/>
          <w14:textFill>
            <w14:solidFill>
              <w14:schemeClr w14:val="tx1"/>
            </w14:solidFill>
          </w14:textFill>
        </w:rPr>
        <w:t>确认后，</w:t>
      </w: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应当修改招标文件，重新组织采购活动。</w:t>
      </w:r>
    </w:p>
    <w:p w14:paraId="0E51DAAE">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33.3</w:t>
      </w:r>
      <w:r>
        <w:rPr>
          <w:rFonts w:hint="eastAsia" w:ascii="宋体" w:hAnsi="宋体"/>
          <w:color w:val="000000" w:themeColor="text1"/>
          <w14:textFill>
            <w14:solidFill>
              <w14:schemeClr w14:val="tx1"/>
            </w14:solidFill>
          </w14:textFill>
        </w:rPr>
        <w:t>对于投标文件中含义不明确、同类问题表述不一致或者有明显文字和计算错误的内容，评审委员会应当以书面形式要求投标人作出必要的澄清、说明或者补正。</w:t>
      </w:r>
    </w:p>
    <w:p w14:paraId="640773C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6DE152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根据本通用条款第34条，凡属于评审委员会在评审中发现的算术错误进行核实的修改不在此列。</w:t>
      </w:r>
    </w:p>
    <w:p w14:paraId="52A4A523">
      <w:pPr>
        <w:rPr>
          <w:rFonts w:ascii="黑体" w:hAnsi="宋体" w:eastAsia="黑体"/>
          <w:color w:val="000000" w:themeColor="text1"/>
          <w14:textFill>
            <w14:solidFill>
              <w14:schemeClr w14:val="tx1"/>
            </w14:solidFill>
          </w14:textFill>
        </w:rPr>
      </w:pPr>
      <w:bookmarkStart w:id="59" w:name="_Toc73521669"/>
      <w:bookmarkStart w:id="60" w:name="_Toc100052400"/>
      <w:bookmarkStart w:id="61" w:name="_Toc73521581"/>
      <w:bookmarkStart w:id="62" w:name="_Toc73518151"/>
      <w:bookmarkStart w:id="63" w:name="_Toc73517673"/>
      <w:r>
        <w:rPr>
          <w:rFonts w:hint="eastAsia" w:ascii="黑体" w:hAnsi="宋体" w:eastAsia="黑体"/>
          <w:color w:val="000000" w:themeColor="text1"/>
          <w14:textFill>
            <w14:solidFill>
              <w14:schemeClr w14:val="tx1"/>
            </w14:solidFill>
          </w14:textFill>
        </w:rPr>
        <w:t>34．错误的修正</w:t>
      </w:r>
      <w:bookmarkEnd w:id="59"/>
      <w:bookmarkEnd w:id="60"/>
      <w:bookmarkEnd w:id="61"/>
      <w:bookmarkEnd w:id="62"/>
      <w:bookmarkEnd w:id="63"/>
    </w:p>
    <w:p w14:paraId="6CF8881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投标文件报价出现前后不一致的，除专用条款另有规定外，按照下列规定修正：</w:t>
      </w:r>
    </w:p>
    <w:p w14:paraId="5DDE537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34.1投标文件中开标一览表投标报价内容与投标文件中投标报价相应内容不一致的，以开标一览表为准；</w:t>
      </w:r>
    </w:p>
    <w:p w14:paraId="2C9EC58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34.2大写金额和小写金额不一致的，以大写金额为准；</w:t>
      </w:r>
    </w:p>
    <w:p w14:paraId="7221606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34.3单价金额小数点或者百分比有明显错位，以开标一览表的总价为准，并修改单价；</w:t>
      </w:r>
    </w:p>
    <w:p w14:paraId="00C08D8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34.4总价金额与按单价汇总金额不一致的，以单价金额计算结果为准。</w:t>
      </w:r>
    </w:p>
    <w:p w14:paraId="469F4C6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34.5同时出现两种以上不一致的，按照前款规定的顺序修正。修正后的报价按照本通用条款33条的规定，经投标人确认后产生约束力，投标人不确认的，其投标无效。</w:t>
      </w:r>
    </w:p>
    <w:p w14:paraId="02B9E57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35．投标文件的比较与评价</w:t>
      </w:r>
    </w:p>
    <w:p w14:paraId="2EE4F8A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A3E1A8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评审委员会成员对需要共同认定的事项存在争议的，应当按照少数服从多数的原则作出结论。持不同意见的评审委员会成员应当书面作出说明，否则视为无异议。</w:t>
      </w:r>
    </w:p>
    <w:p w14:paraId="6611210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36. 实地考察或资料查验</w:t>
      </w:r>
    </w:p>
    <w:p w14:paraId="0815DEE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36.1在评审过程中，评审委员会有权决定是否对本项目投标人进行实地考察或资料查验（原件）。投标人应随时做好接受实地考察或资料查验的准备。</w:t>
      </w:r>
    </w:p>
    <w:p w14:paraId="69AF155A">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37．评审方法</w:t>
      </w:r>
    </w:p>
    <w:p w14:paraId="6D420A34">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37.1.1最低价法</w:t>
      </w:r>
    </w:p>
    <w:p w14:paraId="6A3ACFEC">
      <w:pPr>
        <w:ind w:firstLine="470" w:firstLineChars="196"/>
        <w:rPr>
          <w:rFonts w:hint="eastAsia" w:ascii="ˎ̥" w:hAnsi="ˎ̥"/>
          <w:color w:val="000000" w:themeColor="text1"/>
          <w14:textFill>
            <w14:solidFill>
              <w14:schemeClr w14:val="tx1"/>
            </w14:solidFill>
          </w14:textFill>
        </w:rPr>
      </w:pPr>
      <w:bookmarkStart w:id="64" w:name="_Hlk72438142"/>
      <w:r>
        <w:rPr>
          <w:rFonts w:ascii="ˎ̥" w:hAnsi="ˎ̥"/>
          <w:color w:val="000000" w:themeColor="text1"/>
          <w14:textFill>
            <w14:solidFill>
              <w14:schemeClr w14:val="tx1"/>
            </w14:solidFill>
          </w14:textFill>
        </w:rPr>
        <w:t>最低价法，是指</w:t>
      </w:r>
      <w:r>
        <w:rPr>
          <w:rFonts w:hint="eastAsia" w:ascii="ˎ̥" w:hAnsi="ˎ̥"/>
          <w:color w:val="000000" w:themeColor="text1"/>
          <w14:textFill>
            <w14:solidFill>
              <w14:schemeClr w14:val="tx1"/>
            </w14:solidFill>
          </w14:textFill>
        </w:rPr>
        <w:t>完全</w:t>
      </w:r>
      <w:r>
        <w:rPr>
          <w:rFonts w:ascii="ˎ̥" w:hAnsi="ˎ̥"/>
          <w:color w:val="000000" w:themeColor="text1"/>
          <w14:textFill>
            <w14:solidFill>
              <w14:schemeClr w14:val="tx1"/>
            </w14:solidFill>
          </w14:textFill>
        </w:rPr>
        <w:t>满足招标文件实质性要求，</w:t>
      </w:r>
      <w:r>
        <w:rPr>
          <w:rFonts w:hint="eastAsia" w:ascii="ˎ̥" w:hAnsi="ˎ̥"/>
          <w:color w:val="000000" w:themeColor="text1"/>
          <w14:textFill>
            <w14:solidFill>
              <w14:schemeClr w14:val="tx1"/>
            </w14:solidFill>
          </w14:textFill>
        </w:rPr>
        <w:t>按照报价由低到高的顺序，依据招标文件中规定的数量或者比例推荐候选中标供应商。</w:t>
      </w:r>
    </w:p>
    <w:p w14:paraId="775A544B">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37.1.2综合评分法</w:t>
      </w:r>
    </w:p>
    <w:p w14:paraId="0377B02C">
      <w:pPr>
        <w:ind w:firstLine="470" w:firstLineChars="196"/>
        <w:rPr>
          <w:rFonts w:hint="eastAsia" w:ascii="ˎ̥" w:hAnsi="ˎ̥"/>
          <w:color w:val="000000" w:themeColor="text1"/>
          <w14:textFill>
            <w14:solidFill>
              <w14:schemeClr w14:val="tx1"/>
            </w14:solidFill>
          </w14:textFill>
        </w:rPr>
      </w:pPr>
      <w:r>
        <w:rPr>
          <w:rFonts w:ascii="ˎ̥" w:hAnsi="ˎ̥"/>
          <w:color w:val="000000" w:themeColor="text1"/>
          <w14:textFill>
            <w14:solidFill>
              <w14:schemeClr w14:val="tx1"/>
            </w14:solidFill>
          </w14:textFill>
        </w:rPr>
        <w:t>综合评分法，是指</w:t>
      </w:r>
      <w:r>
        <w:rPr>
          <w:rFonts w:hint="eastAsia" w:ascii="ˎ̥" w:hAnsi="ˎ̥"/>
          <w:color w:val="000000" w:themeColor="text1"/>
          <w14:textFill>
            <w14:solidFill>
              <w14:schemeClr w14:val="tx1"/>
            </w14:solidFill>
          </w14:textFill>
        </w:rPr>
        <w:t>在</w:t>
      </w:r>
      <w:r>
        <w:rPr>
          <w:rFonts w:ascii="ˎ̥" w:hAnsi="ˎ̥"/>
          <w:color w:val="000000" w:themeColor="text1"/>
          <w14:textFill>
            <w14:solidFill>
              <w14:schemeClr w14:val="tx1"/>
            </w14:solidFill>
          </w14:textFill>
        </w:rPr>
        <w:t>满足招标文件全部实质性要求</w:t>
      </w:r>
      <w:r>
        <w:rPr>
          <w:rFonts w:hint="eastAsia" w:ascii="ˎ̥" w:hAnsi="ˎ̥"/>
          <w:color w:val="000000" w:themeColor="text1"/>
          <w14:textFill>
            <w14:solidFill>
              <w14:schemeClr w14:val="tx1"/>
            </w14:solidFill>
          </w14:textFill>
        </w:rPr>
        <w:t>的前提下</w:t>
      </w:r>
      <w:r>
        <w:rPr>
          <w:rFonts w:ascii="ˎ̥" w:hAnsi="ˎ̥"/>
          <w:color w:val="000000" w:themeColor="text1"/>
          <w14:textFill>
            <w14:solidFill>
              <w14:schemeClr w14:val="tx1"/>
            </w14:solidFill>
          </w14:textFill>
        </w:rPr>
        <w:t>，</w:t>
      </w:r>
      <w:r>
        <w:rPr>
          <w:rFonts w:hint="eastAsia" w:ascii="ˎ̥" w:hAnsi="ˎ̥"/>
          <w:color w:val="000000" w:themeColor="text1"/>
          <w14:textFill>
            <w14:solidFill>
              <w14:schemeClr w14:val="tx1"/>
            </w14:solidFill>
          </w14:textFill>
        </w:rPr>
        <w:t>按照招标文件中规定的各项因素进行综合评审，评审总得分排名前列的投标人，作为推荐的候选中标供应商。</w:t>
      </w:r>
      <w:bookmarkEnd w:id="64"/>
    </w:p>
    <w:p w14:paraId="42F51EEC">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37.2 本项目采用的评审方法见本项目招标文件第一册“专用条款”的相关内容。</w:t>
      </w:r>
    </w:p>
    <w:p w14:paraId="5F21B94E">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37.3重新评审的情形</w:t>
      </w:r>
    </w:p>
    <w:p w14:paraId="59A284C0">
      <w:pPr>
        <w:ind w:firstLine="470" w:firstLineChars="196"/>
        <w:rPr>
          <w:rFonts w:ascii="宋体" w:hAnsi="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评审结果汇总完成后，除下列情形外，任何人不得修改评审结果：</w:t>
      </w:r>
    </w:p>
    <w:p w14:paraId="2D167770">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37.3.1分值汇总计算错误的；</w:t>
      </w:r>
    </w:p>
    <w:p w14:paraId="48AF8918">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37.3.2分项评分超出评分标准范围的；</w:t>
      </w:r>
    </w:p>
    <w:p w14:paraId="31CBC211">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37.3.3评审委员会成员对客观评审因素评分不一致的；</w:t>
      </w:r>
    </w:p>
    <w:p w14:paraId="1AA78AE9">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37.3.4经评审委员会认定评分畸高、畸低的。</w:t>
      </w:r>
    </w:p>
    <w:p w14:paraId="57B97909">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75F98ACD">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投标人对本条第一款情形提出质疑的，采购人或者采购代理机构可以组织原评审委员会进行重新评审，重新评审改变评审结果的，应当书面报告本级财政部门。</w:t>
      </w:r>
    </w:p>
    <w:p w14:paraId="6910D5CA">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 37.4重新组建评审委员会的情形</w:t>
      </w:r>
    </w:p>
    <w:p w14:paraId="03724408">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评审委员会或者其成员存在下列情形导致评审结果无效的，重新组建评审委员会进行评标，并书面报告本级财政部门：</w:t>
      </w:r>
    </w:p>
    <w:p w14:paraId="4B14B65B">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37.4.1评审委员会组成不符合《政府采购货物和服务招标投标管理办法》规定的；</w:t>
      </w:r>
    </w:p>
    <w:p w14:paraId="014E46AB">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37.4.2有《政府采购货物和服务招标投标管理办法》第六十二条第一至五项情形的；</w:t>
      </w:r>
    </w:p>
    <w:p w14:paraId="0B2C04AC">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37.4.3评审委员会及其成员独立评标受到非法干预的；</w:t>
      </w:r>
    </w:p>
    <w:p w14:paraId="596EBA43">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37.4.4有政府采购法实施条例第七十五条规定的违法行为的。</w:t>
      </w:r>
    </w:p>
    <w:p w14:paraId="5D3B599F">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有违法违规行为的原评审委员会成员不得参加重新组建的评审委员会。</w:t>
      </w:r>
    </w:p>
    <w:p w14:paraId="4652A392">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定标及公示</w:t>
      </w:r>
    </w:p>
    <w:p w14:paraId="394E790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38．定标方法</w:t>
      </w:r>
    </w:p>
    <w:p w14:paraId="06F313DA">
      <w:pPr>
        <w:ind w:firstLine="470" w:firstLineChars="196"/>
        <w:rPr>
          <w:rFonts w:ascii="宋体" w:hAnsi="宋体" w:eastAsia="宋体"/>
          <w:szCs w:val="21"/>
        </w:rPr>
      </w:pPr>
      <w:bookmarkStart w:id="65" w:name="_Hlk73782795"/>
      <w:r>
        <w:rPr>
          <w:rFonts w:hint="eastAsia" w:ascii="宋体" w:hAnsi="宋体" w:eastAsia="宋体"/>
          <w:szCs w:val="21"/>
        </w:rPr>
        <w:t>38.1非评定分离项目定标方法</w:t>
      </w:r>
    </w:p>
    <w:p w14:paraId="10556A0E">
      <w:pPr>
        <w:ind w:firstLine="470" w:firstLineChars="196"/>
        <w:rPr>
          <w:rFonts w:ascii="宋体" w:hAnsi="宋体" w:eastAsia="宋体"/>
          <w:szCs w:val="21"/>
        </w:rPr>
      </w:pPr>
      <w:r>
        <w:rPr>
          <w:rFonts w:hint="eastAsia" w:ascii="宋体" w:hAnsi="宋体" w:eastAsia="宋体"/>
          <w:szCs w:val="21"/>
        </w:rPr>
        <w:t>38.1.1评审委员会依据本项目招标文件所约定的评审方法进行评审和比较，向</w:t>
      </w:r>
      <w:r>
        <w:rPr>
          <w:rFonts w:hint="eastAsia" w:ascii="宋体" w:hAnsi="宋体" w:eastAsia="宋体"/>
          <w:szCs w:val="21"/>
          <w:lang w:eastAsia="zh-CN"/>
        </w:rPr>
        <w:t>政府采购代理机构</w:t>
      </w:r>
      <w:r>
        <w:rPr>
          <w:rFonts w:hint="eastAsia" w:ascii="宋体" w:hAnsi="宋体" w:eastAsia="宋体"/>
          <w:szCs w:val="21"/>
        </w:rPr>
        <w:t>提交书面评审报告，并根据评审方法比较评价结果从优到劣进行排序，确定候选中标供应商。</w:t>
      </w:r>
    </w:p>
    <w:p w14:paraId="279CED72">
      <w:pPr>
        <w:ind w:firstLine="470" w:firstLineChars="196"/>
        <w:rPr>
          <w:rFonts w:hint="eastAsia" w:ascii="ˎ̥" w:hAnsi="ˎ̥" w:eastAsia="宋体"/>
        </w:rPr>
      </w:pPr>
      <w:r>
        <w:rPr>
          <w:rFonts w:hint="eastAsia" w:ascii="宋体" w:hAnsi="宋体" w:eastAsia="宋体"/>
          <w:szCs w:val="21"/>
        </w:rPr>
        <w:t>38.1.2</w:t>
      </w:r>
      <w:r>
        <w:rPr>
          <w:rFonts w:hint="eastAsia" w:ascii="ˎ̥" w:hAnsi="ˎ̥" w:eastAsia="宋体"/>
        </w:rPr>
        <w:t>采用最低价法的，评审结果按投标报价由低到高顺序排列。投标报价相同的并列。投标文件满足招标文件全部实质性要求且投标报价最低的投标人为</w:t>
      </w:r>
      <w:bookmarkStart w:id="66" w:name="_Hlk73821177"/>
      <w:r>
        <w:rPr>
          <w:rFonts w:hint="eastAsia" w:ascii="ˎ̥" w:hAnsi="ˎ̥" w:eastAsia="宋体"/>
        </w:rPr>
        <w:t>中标供应商（排名第二的投标人为第一替补中标候选人、排名第三的投标人为第二替补中标候选人</w:t>
      </w:r>
      <w:bookmarkEnd w:id="66"/>
      <w:r>
        <w:rPr>
          <w:rFonts w:hint="eastAsia" w:ascii="ˎ̥" w:hAnsi="ˎ̥" w:eastAsia="宋体"/>
        </w:rPr>
        <w:t>）。</w:t>
      </w:r>
    </w:p>
    <w:p w14:paraId="0D4DA8E2">
      <w:pPr>
        <w:ind w:firstLine="470" w:firstLineChars="196"/>
        <w:rPr>
          <w:rFonts w:hint="eastAsia" w:ascii="ˎ̥" w:hAnsi="ˎ̥" w:eastAsia="宋体"/>
        </w:rPr>
      </w:pPr>
      <w:r>
        <w:rPr>
          <w:rFonts w:hint="eastAsia" w:ascii="宋体" w:hAnsi="宋体" w:eastAsia="宋体"/>
          <w:szCs w:val="21"/>
        </w:rPr>
        <w:t>38.1.3采</w:t>
      </w:r>
      <w:r>
        <w:rPr>
          <w:rFonts w:hint="eastAsia" w:ascii="ˎ̥" w:hAnsi="ˎ̥"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供应商（排名第二的投标人为第一替补中标候选人、排名第三的投标人为第二替补中标候选人）。出现得分且投标报价相同的并列情况时，采取随机抽取的方式确定，具体操作办法及流程由评审委员会确定。</w:t>
      </w:r>
    </w:p>
    <w:p w14:paraId="474E829F">
      <w:pPr>
        <w:ind w:firstLine="470" w:firstLineChars="196"/>
        <w:rPr>
          <w:rFonts w:ascii="宋体" w:hAnsi="宋体" w:eastAsia="宋体"/>
          <w:szCs w:val="21"/>
        </w:rPr>
      </w:pPr>
      <w:r>
        <w:rPr>
          <w:rFonts w:hint="eastAsia" w:ascii="宋体" w:hAnsi="宋体" w:eastAsia="宋体"/>
          <w:szCs w:val="21"/>
        </w:rPr>
        <w:t>38.2评定分离项目定标方法</w:t>
      </w:r>
    </w:p>
    <w:p w14:paraId="77DA98ED">
      <w:pPr>
        <w:ind w:firstLine="470" w:firstLineChars="196"/>
        <w:rPr>
          <w:rFonts w:ascii="宋体" w:hAnsi="宋体" w:eastAsia="宋体"/>
          <w:szCs w:val="21"/>
        </w:rPr>
      </w:pPr>
      <w:r>
        <w:rPr>
          <w:rFonts w:hint="eastAsia" w:ascii="宋体" w:hAnsi="宋体" w:eastAsia="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11AC0393">
      <w:pPr>
        <w:ind w:firstLine="470" w:firstLineChars="196"/>
        <w:rPr>
          <w:rFonts w:ascii="宋体" w:hAnsi="宋体" w:eastAsia="宋体"/>
          <w:szCs w:val="21"/>
        </w:rPr>
      </w:pPr>
      <w:r>
        <w:rPr>
          <w:rFonts w:hint="eastAsia" w:ascii="宋体" w:hAnsi="宋体" w:eastAsia="宋体"/>
          <w:szCs w:val="21"/>
        </w:rPr>
        <w:t xml:space="preserve">38.2.2 </w:t>
      </w:r>
      <w:bookmarkStart w:id="67" w:name="_Hlk71469733"/>
      <w:r>
        <w:rPr>
          <w:rFonts w:hint="eastAsia" w:eastAsia="宋体"/>
        </w:rPr>
        <w:t>适用评定分离的政府采购项目，采用综合评分法评审。</w:t>
      </w:r>
      <w:r>
        <w:rPr>
          <w:rFonts w:hint="eastAsia" w:ascii="宋体" w:hAnsi="宋体" w:eastAsia="宋体"/>
          <w:szCs w:val="21"/>
        </w:rPr>
        <w:t>评审委员会按照评审结果，推荐</w:t>
      </w:r>
      <w:r>
        <w:rPr>
          <w:rFonts w:hint="eastAsia" w:eastAsia="宋体"/>
        </w:rPr>
        <w:t>三个合格的候选中标供应商。</w:t>
      </w:r>
    </w:p>
    <w:p w14:paraId="2F19D7FD">
      <w:pPr>
        <w:ind w:firstLine="470" w:firstLineChars="196"/>
        <w:rPr>
          <w:rFonts w:ascii="宋体" w:hAnsi="宋体" w:eastAsia="宋体"/>
          <w:szCs w:val="21"/>
        </w:rPr>
      </w:pPr>
      <w:r>
        <w:rPr>
          <w:rFonts w:hint="eastAsia" w:ascii="宋体" w:hAnsi="宋体" w:eastAsia="宋体"/>
          <w:szCs w:val="21"/>
        </w:rPr>
        <w:t>38.2.3</w:t>
      </w:r>
      <w:bookmarkStart w:id="68" w:name="_Hlk71469688"/>
      <w:r>
        <w:rPr>
          <w:rFonts w:hint="eastAsia" w:eastAsia="宋体"/>
        </w:rPr>
        <w:t>适用评定分离的政府采购项目，</w:t>
      </w:r>
      <w:r>
        <w:rPr>
          <w:rFonts w:hint="eastAsia" w:ascii="宋体" w:hAnsi="宋体" w:eastAsia="宋体"/>
          <w:szCs w:val="21"/>
        </w:rPr>
        <w:t>按照自定法确定中标供应商：自定法是指采购人组织定标委员会，由定标委员会在三家候选中标供应商中确定中标供应商。</w:t>
      </w:r>
      <w:bookmarkEnd w:id="67"/>
      <w:bookmarkEnd w:id="68"/>
    </w:p>
    <w:p w14:paraId="2855615C">
      <w:pPr>
        <w:ind w:firstLine="470" w:firstLineChars="196"/>
        <w:rPr>
          <w:rFonts w:ascii="宋体" w:hAnsi="宋体" w:eastAsia="宋体"/>
          <w:szCs w:val="21"/>
        </w:rPr>
      </w:pPr>
      <w:r>
        <w:rPr>
          <w:rFonts w:hint="eastAsia" w:ascii="宋体" w:hAnsi="宋体" w:eastAsia="宋体"/>
          <w:szCs w:val="21"/>
        </w:rPr>
        <w:t>38.2.4</w:t>
      </w:r>
      <w:r>
        <w:rPr>
          <w:rFonts w:hint="eastAsia" w:ascii="宋体" w:hAnsi="宋体" w:eastAsia="宋体"/>
          <w:szCs w:val="21"/>
          <w:lang w:eastAsia="zh-CN"/>
        </w:rPr>
        <w:t>政府采购代理机构</w:t>
      </w:r>
      <w:r>
        <w:rPr>
          <w:rFonts w:hint="eastAsia" w:eastAsia="宋体"/>
        </w:rPr>
        <w:t>应当自评审结束之日起两个工作日内将候选中标供应商名单及其投标文件、评审报告送交采购人</w:t>
      </w:r>
      <w:r>
        <w:rPr>
          <w:rFonts w:hint="eastAsia" w:ascii="宋体" w:hAnsi="宋体" w:eastAsia="宋体"/>
          <w:szCs w:val="21"/>
        </w:rPr>
        <w:t>。</w:t>
      </w:r>
      <w:r>
        <w:rPr>
          <w:rFonts w:hint="eastAsia" w:eastAsia="宋体"/>
        </w:rPr>
        <w:t>采购人应当安排专人对定标过程进行书面记录，形成定标报告，作为采购文件的组成部分存档，并及时将定标结果反馈</w:t>
      </w:r>
      <w:r>
        <w:rPr>
          <w:rFonts w:hint="eastAsia" w:eastAsia="宋体"/>
          <w:lang w:eastAsia="zh-CN"/>
        </w:rPr>
        <w:t>政府采购代理机构</w:t>
      </w:r>
      <w:r>
        <w:rPr>
          <w:rFonts w:hint="eastAsia" w:eastAsia="宋体"/>
        </w:rPr>
        <w:t>。具体定标程序及相关要求以按照《深圳市财政局关于印发</w:t>
      </w:r>
      <w:r>
        <w:rPr>
          <w:rFonts w:hint="eastAsia" w:ascii="宋体" w:hAnsi="宋体" w:eastAsia="宋体"/>
        </w:rPr>
        <w:t>〈</w:t>
      </w:r>
      <w:r>
        <w:rPr>
          <w:rFonts w:hint="eastAsia" w:eastAsia="宋体"/>
        </w:rPr>
        <w:t>深圳市政府采购评标定标分离管理办法</w:t>
      </w:r>
      <w:r>
        <w:rPr>
          <w:rFonts w:hint="eastAsia" w:ascii="宋体" w:hAnsi="宋体" w:eastAsia="宋体"/>
        </w:rPr>
        <w:t>〉</w:t>
      </w:r>
      <w:r>
        <w:rPr>
          <w:rFonts w:hint="eastAsia" w:eastAsia="宋体"/>
        </w:rPr>
        <w:t>的通知》（深财规【</w:t>
      </w:r>
      <w:r>
        <w:rPr>
          <w:rFonts w:eastAsia="宋体"/>
        </w:rPr>
        <w:t>2020</w:t>
      </w:r>
      <w:r>
        <w:rPr>
          <w:rFonts w:hint="eastAsia" w:eastAsia="宋体"/>
        </w:rPr>
        <w:t>】</w:t>
      </w:r>
      <w:r>
        <w:rPr>
          <w:rFonts w:eastAsia="宋体"/>
        </w:rPr>
        <w:t>1</w:t>
      </w:r>
      <w:r>
        <w:rPr>
          <w:rFonts w:hint="eastAsia" w:eastAsia="宋体"/>
        </w:rPr>
        <w:t>号）执行。</w:t>
      </w:r>
    </w:p>
    <w:p w14:paraId="4A3D4A0E">
      <w:pPr>
        <w:ind w:firstLine="470" w:firstLineChars="196"/>
        <w:rPr>
          <w:rFonts w:ascii="宋体" w:hAnsi="宋体" w:eastAsia="宋体"/>
          <w:szCs w:val="21"/>
        </w:rPr>
      </w:pPr>
      <w:r>
        <w:rPr>
          <w:rFonts w:hint="eastAsia" w:ascii="宋体" w:hAnsi="宋体" w:eastAsia="宋体"/>
          <w:szCs w:val="21"/>
        </w:rPr>
        <w:t>说明：采购人及投标供应商应按照上述方法提前做好相关准备。</w:t>
      </w:r>
    </w:p>
    <w:p w14:paraId="4BEA5719">
      <w:pPr>
        <w:ind w:firstLine="470" w:firstLineChars="196"/>
        <w:rPr>
          <w:rFonts w:ascii="宋体" w:hAnsi="宋体" w:eastAsia="宋体"/>
          <w:szCs w:val="21"/>
        </w:rPr>
      </w:pPr>
      <w:r>
        <w:rPr>
          <w:rFonts w:hint="eastAsia" w:ascii="宋体" w:hAnsi="宋体" w:eastAsia="宋体"/>
          <w:szCs w:val="21"/>
        </w:rPr>
        <w:t>38.3专用条款另有规定的，按专用条款相关要求定标。</w:t>
      </w:r>
      <w:bookmarkEnd w:id="65"/>
    </w:p>
    <w:p w14:paraId="33E1CEA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39．编写评审报告</w:t>
      </w:r>
    </w:p>
    <w:p w14:paraId="3D359FA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12B7F7A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40．中标公告</w:t>
      </w:r>
    </w:p>
    <w:p w14:paraId="5BD8CD9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40.1</w:t>
      </w:r>
      <w:bookmarkStart w:id="69" w:name="_Hlk72438709"/>
      <w:r>
        <w:rPr>
          <w:rFonts w:hint="eastAsia" w:ascii="宋体" w:hAnsi="宋体"/>
          <w:color w:val="000000" w:themeColor="text1"/>
          <w:szCs w:val="21"/>
          <w14:textFill>
            <w14:solidFill>
              <w14:schemeClr w14:val="tx1"/>
            </w14:solidFill>
          </w14:textFill>
        </w:rPr>
        <w:t>为体现“公开、公平、公正”的原则，评审结束后经采购人确认（确定）评审结果，招标机构将在“深圳政府采购智慧平台（http://zfcg.szggzy.com:8081/）”上发布中标结果公告。</w:t>
      </w:r>
      <w:bookmarkEnd w:id="69"/>
      <w:bookmarkStart w:id="70" w:name="_Hlk72438751"/>
      <w:r>
        <w:rPr>
          <w:rFonts w:hint="eastAsia" w:ascii="宋体" w:hAnsi="宋体"/>
          <w:color w:val="000000" w:themeColor="text1"/>
          <w:szCs w:val="21"/>
          <w14:textFill>
            <w14:solidFill>
              <w14:schemeClr w14:val="tx1"/>
            </w14:solidFill>
          </w14:textFill>
        </w:rPr>
        <w:t>供应商如对评审结果有异议，</w:t>
      </w:r>
      <w:r>
        <w:rPr>
          <w:rFonts w:ascii="宋体" w:hAnsi="宋体"/>
          <w:color w:val="000000" w:themeColor="text1"/>
          <w:szCs w:val="21"/>
          <w14:textFill>
            <w14:solidFill>
              <w14:schemeClr w14:val="tx1"/>
            </w14:solidFill>
          </w14:textFill>
        </w:rPr>
        <w:t>可在发布公示日期起</w:t>
      </w:r>
      <w:r>
        <w:rPr>
          <w:rFonts w:hint="eastAsia" w:ascii="宋体" w:hAnsi="宋体"/>
          <w:color w:val="000000" w:themeColor="text1"/>
          <w:szCs w:val="21"/>
          <w14:textFill>
            <w14:solidFill>
              <w14:schemeClr w14:val="tx1"/>
            </w14:solidFill>
          </w14:textFill>
        </w:rPr>
        <w:t>七</w:t>
      </w:r>
      <w:r>
        <w:rPr>
          <w:rFonts w:ascii="宋体" w:hAnsi="宋体"/>
          <w:color w:val="000000" w:themeColor="text1"/>
          <w:szCs w:val="21"/>
          <w14:textFill>
            <w14:solidFill>
              <w14:schemeClr w14:val="tx1"/>
            </w14:solidFill>
          </w14:textFill>
        </w:rPr>
        <w:t>个工作日内向</w:t>
      </w:r>
      <w:r>
        <w:rPr>
          <w:rFonts w:hint="eastAsia" w:ascii="宋体" w:hAnsi="宋体"/>
          <w:color w:val="000000" w:themeColor="text1"/>
          <w:szCs w:val="21"/>
          <w14:textFill>
            <w14:solidFill>
              <w14:schemeClr w14:val="tx1"/>
            </w14:solidFill>
          </w14:textFill>
        </w:rPr>
        <w:t>招标机构</w:t>
      </w:r>
      <w:r>
        <w:rPr>
          <w:rFonts w:ascii="宋体" w:hAnsi="宋体"/>
          <w:color w:val="000000" w:themeColor="text1"/>
          <w:szCs w:val="21"/>
          <w14:textFill>
            <w14:solidFill>
              <w14:schemeClr w14:val="tx1"/>
            </w14:solidFill>
          </w14:textFill>
        </w:rPr>
        <w:t>提出。电话：0755</w:t>
      </w:r>
      <w:r>
        <w:rPr>
          <w:rFonts w:hint="eastAsia" w:ascii="宋体" w:hAnsi="宋体"/>
          <w:color w:val="000000" w:themeColor="text1"/>
          <w:szCs w:val="21"/>
          <w:lang w:val="en-US"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8388</w:t>
      </w:r>
      <w:r>
        <w:rPr>
          <w:rFonts w:ascii="宋体" w:hAnsi="宋体"/>
          <w:color w:val="000000" w:themeColor="text1"/>
          <w:szCs w:val="21"/>
          <w14:textFill>
            <w14:solidFill>
              <w14:schemeClr w14:val="tx1"/>
            </w14:solidFill>
          </w14:textFill>
        </w:rPr>
        <w:t>1111。</w:t>
      </w:r>
      <w:r>
        <w:rPr>
          <w:rFonts w:hint="eastAsia" w:ascii="宋体" w:hAnsi="宋体"/>
          <w:color w:val="000000" w:themeColor="text1"/>
          <w:szCs w:val="21"/>
          <w14:textFill>
            <w14:solidFill>
              <w14:schemeClr w14:val="tx1"/>
            </w14:solidFill>
          </w14:textFill>
        </w:rPr>
        <w:t>若在公示期内未提出质疑，则视为认同该评审结果。</w:t>
      </w:r>
    </w:p>
    <w:bookmarkEnd w:id="70"/>
    <w:p w14:paraId="4E43634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40.2质疑、投诉供应商应保证质疑、投诉内容的真实性和可靠性，并承担相应的法律责任。</w:t>
      </w:r>
    </w:p>
    <w:p w14:paraId="2B59E83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41．中标通知书、招标代理服务费</w:t>
      </w:r>
    </w:p>
    <w:p w14:paraId="7485E0F0">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41.1</w:t>
      </w:r>
      <w:bookmarkStart w:id="71" w:name="_Hlk72438863"/>
      <w:r>
        <w:rPr>
          <w:rFonts w:ascii="宋体" w:hAnsi="宋体"/>
          <w:color w:val="000000" w:themeColor="text1"/>
          <w:szCs w:val="21"/>
          <w14:textFill>
            <w14:solidFill>
              <w14:schemeClr w14:val="tx1"/>
            </w14:solidFill>
          </w14:textFill>
        </w:rPr>
        <w:t>中标公告公布以后无异常的情况下,中标供应商和采购人可自行在“深圳政府采购智慧平台（</w:t>
      </w:r>
      <w:r>
        <w:rPr>
          <w:rFonts w:hint="eastAsia" w:ascii="宋体" w:hAnsi="宋体"/>
          <w:color w:val="000000" w:themeColor="text1"/>
          <w:szCs w:val="21"/>
          <w14:textFill>
            <w14:solidFill>
              <w14:schemeClr w14:val="tx1"/>
            </w14:solidFill>
          </w14:textFill>
        </w:rPr>
        <w:t>http://zfcg.szggzy.com:8081/</w:t>
      </w:r>
      <w:r>
        <w:rPr>
          <w:rFonts w:ascii="宋体" w:hAnsi="宋体"/>
          <w:color w:val="000000" w:themeColor="text1"/>
          <w:szCs w:val="21"/>
          <w14:textFill>
            <w14:solidFill>
              <w14:schemeClr w14:val="tx1"/>
            </w14:solidFill>
          </w14:textFill>
        </w:rPr>
        <w:t>）”上打印</w:t>
      </w:r>
      <w:r>
        <w:rPr>
          <w:rFonts w:ascii="宋体" w:hAnsi="宋体"/>
          <w:b w:val="0"/>
          <w:bCs/>
          <w:color w:val="000000" w:themeColor="text1"/>
          <w:szCs w:val="21"/>
          <w14:textFill>
            <w14:solidFill>
              <w14:schemeClr w14:val="tx1"/>
            </w14:solidFill>
          </w14:textFill>
        </w:rPr>
        <w:t>《数字中标通知书》</w:t>
      </w:r>
      <w:r>
        <w:rPr>
          <w:rFonts w:ascii="宋体" w:hAnsi="宋体"/>
          <w:b/>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咨询电话：</w:t>
      </w:r>
      <w:r>
        <w:rPr>
          <w:rFonts w:ascii="宋体" w:hAnsi="宋体"/>
          <w:b/>
          <w:bCs/>
          <w:color w:val="000000" w:themeColor="text1"/>
          <w:szCs w:val="21"/>
          <w14:textFill>
            <w14:solidFill>
              <w14:schemeClr w14:val="tx1"/>
            </w14:solidFill>
          </w14:textFill>
        </w:rPr>
        <w:t>0755-83881111</w:t>
      </w:r>
      <w:r>
        <w:rPr>
          <w:rFonts w:hint="eastAsia" w:ascii="宋体" w:hAnsi="宋体" w:eastAsia="宋体" w:cs="宋体"/>
          <w:b/>
          <w:bCs/>
          <w:color w:val="000000" w:themeColor="text1"/>
          <w:szCs w:val="21"/>
          <w14:textFill>
            <w14:solidFill>
              <w14:schemeClr w14:val="tx1"/>
            </w14:solidFill>
          </w14:textFill>
        </w:rPr>
        <w:t>、8</w:t>
      </w:r>
      <w:r>
        <w:rPr>
          <w:rFonts w:ascii="宋体" w:hAnsi="宋体" w:eastAsia="宋体" w:cs="宋体"/>
          <w:b/>
          <w:bCs/>
          <w:color w:val="000000" w:themeColor="text1"/>
          <w:szCs w:val="21"/>
          <w14:textFill>
            <w14:solidFill>
              <w14:schemeClr w14:val="tx1"/>
            </w14:solidFill>
          </w14:textFill>
        </w:rPr>
        <w:t>3881995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或</w:t>
      </w:r>
      <w:r>
        <w:rPr>
          <w:rFonts w:hint="eastAsia" w:ascii="宋体" w:hAnsi="宋体"/>
          <w:szCs w:val="21"/>
        </w:rPr>
        <w:t>中标人凭单位证明和本人身份证到友和保险经纪有限公司领取《中标通知书》</w:t>
      </w:r>
      <w:r>
        <w:rPr>
          <w:rFonts w:ascii="宋体" w:hAnsi="宋体"/>
          <w:color w:val="000000" w:themeColor="text1"/>
          <w:szCs w:val="21"/>
          <w14:textFill>
            <w14:solidFill>
              <w14:schemeClr w14:val="tx1"/>
            </w14:solidFill>
          </w14:textFill>
        </w:rPr>
        <w:t>。</w:t>
      </w:r>
      <w:bookmarkEnd w:id="71"/>
    </w:p>
    <w:p w14:paraId="1DBFBA2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中标通知书是合同的重要组成部分。</w:t>
      </w:r>
    </w:p>
    <w:p w14:paraId="7B11A28B">
      <w:pPr>
        <w:ind w:firstLine="470" w:firstLineChars="196"/>
        <w:rPr>
          <w:rFonts w:hint="eastAsia" w:ascii="宋体" w:hAnsi="宋体"/>
          <w:color w:val="000000" w:themeColor="text1"/>
          <w:szCs w:val="21"/>
          <w14:textFill>
            <w14:solidFill>
              <w14:schemeClr w14:val="tx1"/>
            </w14:solidFill>
          </w14:textFill>
        </w:rPr>
      </w:pPr>
      <w:bookmarkStart w:id="72" w:name="_Hlk71407340"/>
      <w:r>
        <w:rPr>
          <w:rFonts w:hint="eastAsia" w:ascii="宋体" w:hAnsi="宋体"/>
          <w:color w:val="000000" w:themeColor="text1"/>
          <w:szCs w:val="21"/>
          <w14:textFill>
            <w14:solidFill>
              <w14:schemeClr w14:val="tx1"/>
            </w14:solidFill>
          </w14:textFill>
        </w:rPr>
        <w:t>41.3因质疑投诉或其它原因导致项目结果变更或采购终止的，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有权吊销中标通知书。</w:t>
      </w:r>
    </w:p>
    <w:p w14:paraId="695150AB">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41.4.1</w:t>
      </w:r>
      <w:r>
        <w:rPr>
          <w:rFonts w:hint="eastAsia" w:ascii="宋体" w:hAnsi="宋体"/>
          <w:color w:val="000000" w:themeColor="text1"/>
          <w:szCs w:val="21"/>
          <w14:textFill>
            <w14:solidFill>
              <w14:schemeClr w14:val="tx1"/>
            </w14:solidFill>
          </w14:textFill>
        </w:rPr>
        <w:t>代理费由中标人支付，代理费收费标准按《深圳市财政委员会关于规范深圳市社会采购代理机构管理有关事项的补充通知》（深财购〔2018〕27号）执行，收费标准如下表所列。招标代理服务费以中标金额为基数，按差额定率累进法计算</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不足人民币陆仟元的按照固定额陆仟元收取。具体计取费率标准如下表所示：</w:t>
      </w:r>
    </w:p>
    <w:tbl>
      <w:tblPr>
        <w:tblStyle w:val="17"/>
        <w:tblW w:w="781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447"/>
        <w:gridCol w:w="1788"/>
        <w:gridCol w:w="1788"/>
        <w:gridCol w:w="1788"/>
      </w:tblGrid>
      <w:tr w14:paraId="43663F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 w:hRule="atLeast"/>
          <w:jc w:val="center"/>
        </w:trPr>
        <w:tc>
          <w:tcPr>
            <w:tcW w:w="2447" w:type="dxa"/>
            <w:tcBorders>
              <w:tl2br w:val="single" w:color="auto" w:sz="8" w:space="0"/>
            </w:tcBorders>
            <w:vAlign w:val="center"/>
          </w:tcPr>
          <w:p w14:paraId="5B70560A">
            <w:pPr>
              <w:keepNext w:val="0"/>
              <w:keepLines w:val="0"/>
              <w:widowControl/>
              <w:suppressLineNumbers w:val="0"/>
              <w:snapToGrid w:val="0"/>
              <w:spacing w:before="0" w:beforeAutospacing="0" w:after="0" w:afterAutospacing="0" w:line="360" w:lineRule="auto"/>
              <w:ind w:left="0" w:right="0" w:firstLine="1200" w:firstLineChars="500"/>
              <w:jc w:val="center"/>
              <w:rPr>
                <w:rFonts w:hint="default" w:ascii="宋体" w:hAnsi="宋体"/>
                <w:szCs w:val="21"/>
              </w:rPr>
            </w:pPr>
            <w:r>
              <w:rPr>
                <w:rFonts w:hint="eastAsia" w:ascii="宋体" w:hAnsi="宋体"/>
                <w:szCs w:val="21"/>
              </w:rPr>
              <w:t>服务类型</w:t>
            </w:r>
          </w:p>
          <w:p w14:paraId="2AEBFE13">
            <w:pPr>
              <w:pStyle w:val="7"/>
              <w:keepNext w:val="0"/>
              <w:keepLines w:val="0"/>
              <w:widowControl/>
              <w:suppressLineNumbers w:val="0"/>
              <w:spacing w:before="0" w:beforeAutospacing="0" w:after="0" w:afterAutospacing="0"/>
              <w:ind w:left="0" w:right="0" w:firstLine="0"/>
              <w:jc w:val="both"/>
              <w:rPr>
                <w:rFonts w:hint="default" w:ascii="宋体" w:hAnsi="宋体"/>
                <w:szCs w:val="21"/>
              </w:rPr>
            </w:pPr>
            <w:r>
              <w:rPr>
                <w:rFonts w:hint="eastAsia" w:ascii="宋体" w:hAnsi="宋体"/>
                <w:szCs w:val="21"/>
              </w:rPr>
              <w:t>中标金额</w:t>
            </w:r>
            <w:r>
              <w:rPr>
                <w:rFonts w:hint="default" w:ascii="宋体" w:hAnsi="宋体"/>
                <w:szCs w:val="21"/>
              </w:rPr>
              <w:t>(</w:t>
            </w:r>
            <w:r>
              <w:rPr>
                <w:rFonts w:hint="eastAsia" w:ascii="宋体" w:hAnsi="宋体"/>
                <w:szCs w:val="21"/>
              </w:rPr>
              <w:t>万元</w:t>
            </w:r>
            <w:r>
              <w:rPr>
                <w:rFonts w:hint="default" w:ascii="宋体" w:hAnsi="宋体"/>
                <w:szCs w:val="21"/>
              </w:rPr>
              <w:t>)</w:t>
            </w:r>
          </w:p>
        </w:tc>
        <w:tc>
          <w:tcPr>
            <w:tcW w:w="1788" w:type="dxa"/>
            <w:vAlign w:val="center"/>
          </w:tcPr>
          <w:p w14:paraId="50395EE8">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货物招标</w:t>
            </w:r>
          </w:p>
        </w:tc>
        <w:tc>
          <w:tcPr>
            <w:tcW w:w="1788" w:type="dxa"/>
            <w:vAlign w:val="center"/>
          </w:tcPr>
          <w:p w14:paraId="2EC29455">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服务招标</w:t>
            </w:r>
          </w:p>
        </w:tc>
        <w:tc>
          <w:tcPr>
            <w:tcW w:w="1788" w:type="dxa"/>
            <w:vAlign w:val="center"/>
          </w:tcPr>
          <w:p w14:paraId="02221B8A">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工程招标</w:t>
            </w:r>
          </w:p>
        </w:tc>
      </w:tr>
      <w:tr w14:paraId="5CFC5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1C142BE6">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default" w:ascii="宋体" w:hAnsi="宋体"/>
                <w:szCs w:val="21"/>
              </w:rPr>
              <w:t>100</w:t>
            </w:r>
            <w:r>
              <w:rPr>
                <w:rFonts w:hint="eastAsia" w:ascii="宋体" w:hAnsi="宋体"/>
                <w:szCs w:val="21"/>
              </w:rPr>
              <w:t>以下</w:t>
            </w:r>
          </w:p>
        </w:tc>
        <w:tc>
          <w:tcPr>
            <w:tcW w:w="1788" w:type="dxa"/>
          </w:tcPr>
          <w:p w14:paraId="77861753">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1.50%</w:t>
            </w:r>
          </w:p>
        </w:tc>
        <w:tc>
          <w:tcPr>
            <w:tcW w:w="1788" w:type="dxa"/>
          </w:tcPr>
          <w:p w14:paraId="3DEADEBE">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1.50%</w:t>
            </w:r>
          </w:p>
        </w:tc>
        <w:tc>
          <w:tcPr>
            <w:tcW w:w="1788" w:type="dxa"/>
          </w:tcPr>
          <w:p w14:paraId="371DB14B">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1.00%</w:t>
            </w:r>
          </w:p>
        </w:tc>
      </w:tr>
      <w:tr w14:paraId="15629D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7C5519D2">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default" w:ascii="宋体" w:hAnsi="宋体"/>
                <w:szCs w:val="21"/>
              </w:rPr>
              <w:t>100-500</w:t>
            </w:r>
          </w:p>
        </w:tc>
        <w:tc>
          <w:tcPr>
            <w:tcW w:w="1788" w:type="dxa"/>
          </w:tcPr>
          <w:p w14:paraId="7481DFA8">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1.10%</w:t>
            </w:r>
          </w:p>
        </w:tc>
        <w:tc>
          <w:tcPr>
            <w:tcW w:w="1788" w:type="dxa"/>
          </w:tcPr>
          <w:p w14:paraId="44204D28">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0.80%</w:t>
            </w:r>
          </w:p>
        </w:tc>
        <w:tc>
          <w:tcPr>
            <w:tcW w:w="1788" w:type="dxa"/>
          </w:tcPr>
          <w:p w14:paraId="6BDCBD9D">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0.70%</w:t>
            </w:r>
          </w:p>
        </w:tc>
      </w:tr>
      <w:tr w14:paraId="48BBFE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06D55DC5">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default" w:ascii="宋体" w:hAnsi="宋体"/>
                <w:szCs w:val="21"/>
              </w:rPr>
              <w:t>500-1000</w:t>
            </w:r>
          </w:p>
        </w:tc>
        <w:tc>
          <w:tcPr>
            <w:tcW w:w="1788" w:type="dxa"/>
          </w:tcPr>
          <w:p w14:paraId="6D846C0A">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0.80%</w:t>
            </w:r>
          </w:p>
        </w:tc>
        <w:tc>
          <w:tcPr>
            <w:tcW w:w="1788" w:type="dxa"/>
          </w:tcPr>
          <w:p w14:paraId="73DAB27A">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0.45%</w:t>
            </w:r>
          </w:p>
        </w:tc>
        <w:tc>
          <w:tcPr>
            <w:tcW w:w="1788" w:type="dxa"/>
          </w:tcPr>
          <w:p w14:paraId="01C5C7F2">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0.55%</w:t>
            </w:r>
          </w:p>
        </w:tc>
      </w:tr>
      <w:tr w14:paraId="02ED8A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2D1D4685">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default" w:ascii="宋体" w:hAnsi="宋体"/>
                <w:szCs w:val="21"/>
              </w:rPr>
              <w:t>1000-5000</w:t>
            </w:r>
          </w:p>
        </w:tc>
        <w:tc>
          <w:tcPr>
            <w:tcW w:w="1788" w:type="dxa"/>
          </w:tcPr>
          <w:p w14:paraId="409E7226">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0.50%</w:t>
            </w:r>
          </w:p>
        </w:tc>
        <w:tc>
          <w:tcPr>
            <w:tcW w:w="1788" w:type="dxa"/>
          </w:tcPr>
          <w:p w14:paraId="2A188E49">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0.25%</w:t>
            </w:r>
          </w:p>
        </w:tc>
        <w:tc>
          <w:tcPr>
            <w:tcW w:w="1788" w:type="dxa"/>
          </w:tcPr>
          <w:p w14:paraId="3A761FE4">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0.35%</w:t>
            </w:r>
          </w:p>
        </w:tc>
      </w:tr>
      <w:tr w14:paraId="544492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4DB4857F">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default" w:ascii="宋体" w:hAnsi="宋体"/>
                <w:szCs w:val="21"/>
              </w:rPr>
              <w:t>5000-10000</w:t>
            </w:r>
          </w:p>
        </w:tc>
        <w:tc>
          <w:tcPr>
            <w:tcW w:w="1788" w:type="dxa"/>
          </w:tcPr>
          <w:p w14:paraId="0956969F">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0.25%</w:t>
            </w:r>
          </w:p>
        </w:tc>
        <w:tc>
          <w:tcPr>
            <w:tcW w:w="1788" w:type="dxa"/>
          </w:tcPr>
          <w:p w14:paraId="6D26FD52">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0.10%</w:t>
            </w:r>
          </w:p>
        </w:tc>
        <w:tc>
          <w:tcPr>
            <w:tcW w:w="1788" w:type="dxa"/>
          </w:tcPr>
          <w:p w14:paraId="5B503371">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0.20%</w:t>
            </w:r>
          </w:p>
        </w:tc>
      </w:tr>
      <w:tr w14:paraId="0C024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34A17115">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default" w:ascii="宋体" w:hAnsi="宋体"/>
                <w:szCs w:val="21"/>
              </w:rPr>
              <w:t>10000-100000</w:t>
            </w:r>
          </w:p>
        </w:tc>
        <w:tc>
          <w:tcPr>
            <w:tcW w:w="1788" w:type="dxa"/>
          </w:tcPr>
          <w:p w14:paraId="03BED2CE">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0.05%</w:t>
            </w:r>
          </w:p>
        </w:tc>
        <w:tc>
          <w:tcPr>
            <w:tcW w:w="1788" w:type="dxa"/>
          </w:tcPr>
          <w:p w14:paraId="12D96A36">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0.05%</w:t>
            </w:r>
          </w:p>
        </w:tc>
        <w:tc>
          <w:tcPr>
            <w:tcW w:w="1788" w:type="dxa"/>
          </w:tcPr>
          <w:p w14:paraId="4B927208">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0.05%</w:t>
            </w:r>
          </w:p>
        </w:tc>
      </w:tr>
      <w:tr w14:paraId="643FC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73F9D5BB">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1"/>
              </w:rPr>
            </w:pPr>
            <w:r>
              <w:rPr>
                <w:rFonts w:hint="default" w:ascii="宋体" w:hAnsi="宋体"/>
                <w:szCs w:val="21"/>
              </w:rPr>
              <w:t>1000000</w:t>
            </w:r>
            <w:r>
              <w:rPr>
                <w:rFonts w:hint="eastAsia" w:ascii="宋体" w:hAnsi="宋体"/>
                <w:szCs w:val="21"/>
              </w:rPr>
              <w:t>以上</w:t>
            </w:r>
          </w:p>
        </w:tc>
        <w:tc>
          <w:tcPr>
            <w:tcW w:w="1788" w:type="dxa"/>
          </w:tcPr>
          <w:p w14:paraId="19F5737E">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0.01%</w:t>
            </w:r>
          </w:p>
        </w:tc>
        <w:tc>
          <w:tcPr>
            <w:tcW w:w="1788" w:type="dxa"/>
          </w:tcPr>
          <w:p w14:paraId="7D816184">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0.01%</w:t>
            </w:r>
          </w:p>
        </w:tc>
        <w:tc>
          <w:tcPr>
            <w:tcW w:w="1788" w:type="dxa"/>
          </w:tcPr>
          <w:p w14:paraId="2A29E656">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rPr>
              <w:t>0.01%</w:t>
            </w:r>
          </w:p>
        </w:tc>
      </w:tr>
    </w:tbl>
    <w:p w14:paraId="26A97F75">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例如：某服务招标代理业务中标金额为600万元，计算招标代理服务收费额如下：</w:t>
      </w:r>
    </w:p>
    <w:p w14:paraId="4C0158D9">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100万元×1.5%=1.5万元</w:t>
      </w:r>
    </w:p>
    <w:p w14:paraId="0E58F90E">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（500-100）万元×0.8%=3.2万元</w:t>
      </w:r>
    </w:p>
    <w:p w14:paraId="681CD61E">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（600-500）万元×0.45%=0.45万元</w:t>
      </w:r>
    </w:p>
    <w:p w14:paraId="4DD3A6DD">
      <w:pPr>
        <w:ind w:firstLine="470" w:firstLineChars="196"/>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合计收费=1.5+3.2+0.45=5.15万元：</w:t>
      </w:r>
    </w:p>
    <w:p w14:paraId="57F813BF">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中标人须在中标公告公示期结束后，领取《中标通知书》前，向招标代理机构缴纳中标服务费。</w:t>
      </w:r>
    </w:p>
    <w:p w14:paraId="470358E4">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4.2</w:t>
      </w:r>
      <w:r>
        <w:rPr>
          <w:rFonts w:hint="eastAsia" w:ascii="宋体" w:hAnsi="宋体"/>
          <w:color w:val="000000" w:themeColor="text1"/>
          <w:szCs w:val="21"/>
          <w14:textFill>
            <w14:solidFill>
              <w14:schemeClr w14:val="tx1"/>
            </w14:solidFill>
          </w14:textFill>
        </w:rPr>
        <w:t xml:space="preserve"> 招标代理服务费以转账、现金形式交付。</w:t>
      </w:r>
    </w:p>
    <w:p w14:paraId="3CEA8020"/>
    <w:bookmarkEnd w:id="72"/>
    <w:p w14:paraId="4DD9938A">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公开招标失败的后续处理</w:t>
      </w:r>
    </w:p>
    <w:p w14:paraId="729903FB">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42．公开招标失败的处理</w:t>
      </w:r>
    </w:p>
    <w:p w14:paraId="7B82E05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42.1本项目公开招标过程中若由于投标截止后</w:t>
      </w:r>
      <w:r>
        <w:rPr>
          <w:rFonts w:hint="eastAsia" w:ascii="宋体" w:hAnsi="宋体"/>
          <w:color w:val="000000" w:themeColor="text1"/>
          <w14:textFill>
            <w14:solidFill>
              <w14:schemeClr w14:val="tx1"/>
            </w14:solidFill>
          </w14:textFill>
        </w:rPr>
        <w:t>实际递交</w:t>
      </w:r>
      <w:r>
        <w:rPr>
          <w:rFonts w:ascii="宋体" w:hAnsi="宋体"/>
          <w:color w:val="000000" w:themeColor="text1"/>
          <w14:textFill>
            <w14:solidFill>
              <w14:schemeClr w14:val="tx1"/>
            </w14:solidFill>
          </w14:textFill>
        </w:rPr>
        <w:t>投标</w:t>
      </w:r>
      <w:r>
        <w:rPr>
          <w:rFonts w:hint="eastAsia" w:ascii="宋体" w:hAnsi="宋体"/>
          <w:color w:val="000000" w:themeColor="text1"/>
          <w14:textFill>
            <w14:solidFill>
              <w14:schemeClr w14:val="tx1"/>
            </w14:solidFill>
          </w14:textFill>
        </w:rPr>
        <w:t>文件的供应商数量不足、经</w:t>
      </w:r>
      <w:r>
        <w:rPr>
          <w:rFonts w:hint="eastAsia" w:ascii="宋体" w:hAnsi="宋体"/>
          <w:color w:val="000000" w:themeColor="text1"/>
          <w:szCs w:val="21"/>
          <w14:textFill>
            <w14:solidFill>
              <w14:schemeClr w14:val="tx1"/>
            </w14:solidFill>
          </w14:textFill>
        </w:rPr>
        <w:t>评审委员会</w:t>
      </w:r>
      <w:r>
        <w:rPr>
          <w:rFonts w:hint="eastAsia" w:ascii="宋体" w:hAnsi="宋体"/>
          <w:color w:val="000000" w:themeColor="text1"/>
          <w14:textFill>
            <w14:solidFill>
              <w14:schemeClr w14:val="tx1"/>
            </w14:solidFill>
          </w14:textFill>
        </w:rPr>
        <w:t>评审对招标文件作实质响应的供应商不足等原因造成公开招标失败，可由</w:t>
      </w:r>
      <w:r>
        <w:rPr>
          <w:rFonts w:hint="eastAsia" w:ascii="宋体" w:hAnsi="宋体" w:eastAsia="宋体" w:cs="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重新组织采购。</w:t>
      </w:r>
    </w:p>
    <w:p w14:paraId="48E1A71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42.2对公开招标失败的项目，评审委员会在出具该项目招标失败结论的同时，可以提出重新采购组织形式的建议，以及进一步完善招标文件的资格、技术、商务要求的修改建议。</w:t>
      </w:r>
    </w:p>
    <w:p w14:paraId="6580D46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42.3重新组织采购有以下两种组织形式：</w:t>
      </w:r>
    </w:p>
    <w:p w14:paraId="5A76F6E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（1）由</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重新组织公开招标；</w:t>
      </w:r>
    </w:p>
    <w:p w14:paraId="718F7D7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（2）根据实际情况需要向同级财政部门提出非公开招标方式申请，经同级财政部门批准，公开招标失败采购项目可转为竞争性谈判或单一来源谈判方式采购。</w:t>
      </w:r>
    </w:p>
    <w:p w14:paraId="11B573B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42.4公开招标失败的采购项目重新组织公开招标，由</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重新按公开招标流程组织采购活动。</w:t>
      </w:r>
    </w:p>
    <w:p w14:paraId="13E07B0D">
      <w:pPr>
        <w:ind w:firstLine="470" w:firstLineChars="19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42.5公开招标失败的采购项目经同级财政部门批准转为竞争性谈判或单一来源谈判方式采购的，按规定要求组织政府采购工作。</w:t>
      </w:r>
    </w:p>
    <w:p w14:paraId="10294DE5">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bookmarkStart w:id="73" w:name="_Hlk72439043"/>
      <w:r>
        <w:rPr>
          <w:rFonts w:hint="eastAsia"/>
          <w:color w:val="000000" w:themeColor="text1"/>
          <w:sz w:val="28"/>
          <w:szCs w:val="28"/>
          <w14:textFill>
            <w14:solidFill>
              <w14:schemeClr w14:val="tx1"/>
            </w14:solidFill>
          </w14:textFill>
        </w:rPr>
        <w:t>合同的授予与备案</w:t>
      </w:r>
      <w:bookmarkEnd w:id="73"/>
    </w:p>
    <w:p w14:paraId="404EA40C">
      <w:pPr>
        <w:rPr>
          <w:rFonts w:ascii="黑体" w:hAnsi="宋体" w:eastAsia="黑体"/>
          <w:color w:val="000000" w:themeColor="text1"/>
          <w14:textFill>
            <w14:solidFill>
              <w14:schemeClr w14:val="tx1"/>
            </w14:solidFill>
          </w14:textFill>
        </w:rPr>
      </w:pPr>
      <w:bookmarkStart w:id="74" w:name="_Toc73517679"/>
      <w:bookmarkStart w:id="75" w:name="_Toc100052408"/>
      <w:bookmarkStart w:id="76" w:name="_Toc73518157"/>
      <w:bookmarkStart w:id="77" w:name="_Toc73521674"/>
      <w:bookmarkStart w:id="78" w:name="_Toc73521586"/>
      <w:bookmarkStart w:id="79" w:name="_Hlk72439088"/>
      <w:r>
        <w:rPr>
          <w:rFonts w:hint="eastAsia" w:ascii="黑体" w:hAnsi="宋体" w:eastAsia="黑体"/>
          <w:color w:val="000000" w:themeColor="text1"/>
          <w14:textFill>
            <w14:solidFill>
              <w14:schemeClr w14:val="tx1"/>
            </w14:solidFill>
          </w14:textFill>
        </w:rPr>
        <w:t>43．合同授予标准</w:t>
      </w:r>
      <w:bookmarkEnd w:id="74"/>
      <w:bookmarkEnd w:id="75"/>
      <w:bookmarkEnd w:id="76"/>
      <w:bookmarkEnd w:id="77"/>
      <w:bookmarkEnd w:id="78"/>
    </w:p>
    <w:p w14:paraId="392ED26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本项目的合同将授予经本招标文件规定评审确定的中标供应商。</w:t>
      </w:r>
    </w:p>
    <w:p w14:paraId="0F82CFF8">
      <w:pPr>
        <w:rPr>
          <w:rFonts w:ascii="黑体" w:hAnsi="宋体" w:eastAsia="黑体"/>
          <w:color w:val="000000" w:themeColor="text1"/>
          <w14:textFill>
            <w14:solidFill>
              <w14:schemeClr w14:val="tx1"/>
            </w14:solidFill>
          </w14:textFill>
        </w:rPr>
      </w:pPr>
      <w:bookmarkStart w:id="80" w:name="_Toc73521675"/>
      <w:bookmarkStart w:id="81" w:name="_Toc100052409"/>
      <w:bookmarkStart w:id="82" w:name="_Toc73517680"/>
      <w:bookmarkStart w:id="83" w:name="_Toc73518158"/>
      <w:bookmarkStart w:id="84" w:name="_Toc73521587"/>
      <w:r>
        <w:rPr>
          <w:rFonts w:hint="eastAsia" w:ascii="黑体" w:hAnsi="宋体" w:eastAsia="黑体"/>
          <w:color w:val="000000" w:themeColor="text1"/>
          <w14:textFill>
            <w14:solidFill>
              <w14:schemeClr w14:val="tx1"/>
            </w14:solidFill>
          </w14:textFill>
        </w:rPr>
        <w:t>44．</w:t>
      </w:r>
      <w:bookmarkEnd w:id="80"/>
      <w:bookmarkEnd w:id="81"/>
      <w:bookmarkEnd w:id="82"/>
      <w:bookmarkEnd w:id="83"/>
      <w:bookmarkEnd w:id="84"/>
      <w:r>
        <w:rPr>
          <w:rFonts w:hint="eastAsia" w:ascii="黑体" w:hAnsi="宋体" w:eastAsia="黑体"/>
          <w:color w:val="000000" w:themeColor="text1"/>
          <w14:textFill>
            <w14:solidFill>
              <w14:schemeClr w14:val="tx1"/>
            </w14:solidFill>
          </w14:textFill>
        </w:rPr>
        <w:t>接受和拒绝任何或所有投标的权力</w:t>
      </w:r>
    </w:p>
    <w:p w14:paraId="1793A192">
      <w:pPr>
        <w:ind w:firstLine="470" w:firstLineChars="196"/>
        <w:rPr>
          <w:rFonts w:ascii="宋体" w:hAnsi="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和采购人保留在投标之前任何时候接受或拒绝任何投标或所有投标，以及宣布招标无效的权力，对受影响的投标人不承担任何责任，也无义务向受影响的投标人解释采取这一行动的理由。</w:t>
      </w:r>
    </w:p>
    <w:p w14:paraId="0EAE56C1">
      <w:pPr>
        <w:rPr>
          <w:rFonts w:ascii="黑体" w:hAnsi="宋体" w:eastAsia="黑体"/>
          <w:color w:val="000000" w:themeColor="text1"/>
          <w14:textFill>
            <w14:solidFill>
              <w14:schemeClr w14:val="tx1"/>
            </w14:solidFill>
          </w14:textFill>
        </w:rPr>
      </w:pPr>
      <w:bookmarkStart w:id="85" w:name="_Toc73518160"/>
      <w:bookmarkStart w:id="86" w:name="_Toc100052410"/>
      <w:bookmarkStart w:id="87" w:name="_Toc73521677"/>
      <w:bookmarkStart w:id="88" w:name="_Toc73517682"/>
      <w:bookmarkStart w:id="89" w:name="_Toc73521589"/>
      <w:r>
        <w:rPr>
          <w:rFonts w:hint="eastAsia" w:ascii="黑体" w:hAnsi="宋体" w:eastAsia="黑体"/>
          <w:color w:val="000000" w:themeColor="text1"/>
          <w14:textFill>
            <w14:solidFill>
              <w14:schemeClr w14:val="tx1"/>
            </w14:solidFill>
          </w14:textFill>
        </w:rPr>
        <w:t>45．合同的签订</w:t>
      </w:r>
      <w:bookmarkEnd w:id="85"/>
      <w:bookmarkEnd w:id="86"/>
      <w:bookmarkEnd w:id="87"/>
      <w:bookmarkEnd w:id="88"/>
      <w:bookmarkEnd w:id="89"/>
    </w:p>
    <w:p w14:paraId="1B8D488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45.1中标人将于中标通知书发出之日起十个工作日内，按照采购文件（招标文件和投标文件等）内容与采购人签订政府采购合同；合同的实质性内容应当符合招标文件的规定；</w:t>
      </w:r>
    </w:p>
    <w:p w14:paraId="5942DB5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45.2中标人如不按本通用条款第45</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款的规定与采购人签订合同，</w:t>
      </w:r>
      <w:r>
        <w:rPr>
          <w:rFonts w:ascii="宋体" w:hAnsi="宋体" w:cs="宋体"/>
          <w:color w:val="000000" w:themeColor="text1"/>
          <w:szCs w:val="21"/>
          <w14:textFill>
            <w14:solidFill>
              <w14:schemeClr w14:val="tx1"/>
            </w14:solidFill>
          </w14:textFill>
        </w:rPr>
        <w:t>情节严重的，由</w:t>
      </w:r>
      <w:r>
        <w:rPr>
          <w:rFonts w:hint="eastAsia" w:ascii="宋体" w:hAnsi="宋体" w:cs="宋体"/>
          <w:color w:val="000000" w:themeColor="text1"/>
          <w:szCs w:val="21"/>
          <w14:textFill>
            <w14:solidFill>
              <w14:schemeClr w14:val="tx1"/>
            </w14:solidFill>
          </w14:textFill>
        </w:rPr>
        <w:t>同级财政</w:t>
      </w:r>
      <w:r>
        <w:rPr>
          <w:rFonts w:ascii="宋体" w:hAnsi="宋体" w:cs="宋体"/>
          <w:color w:val="000000" w:themeColor="text1"/>
          <w:szCs w:val="21"/>
          <w14:textFill>
            <w14:solidFill>
              <w14:schemeClr w14:val="tx1"/>
            </w14:solidFill>
          </w14:textFill>
        </w:rPr>
        <w:t>部门记入供应商诚信档案，予以通报</w:t>
      </w:r>
      <w:r>
        <w:rPr>
          <w:rFonts w:hint="eastAsia" w:ascii="宋体" w:hAnsi="宋体"/>
          <w:color w:val="000000" w:themeColor="text1"/>
          <w:szCs w:val="21"/>
          <w14:textFill>
            <w14:solidFill>
              <w14:schemeClr w14:val="tx1"/>
            </w14:solidFill>
          </w14:textFill>
        </w:rPr>
        <w:t>；</w:t>
      </w:r>
    </w:p>
    <w:p w14:paraId="1B2E3D1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45.3中标人应当按照合同约定履行义务，完成中标项目，不得将中标项目转让（转包）给他人。</w:t>
      </w:r>
    </w:p>
    <w:p w14:paraId="236DC67F">
      <w:pPr>
        <w:rPr>
          <w:rFonts w:ascii="黑体" w:hAnsi="宋体" w:eastAsia="黑体"/>
          <w:color w:val="000000" w:themeColor="text1"/>
          <w14:textFill>
            <w14:solidFill>
              <w14:schemeClr w14:val="tx1"/>
            </w14:solidFill>
          </w14:textFill>
        </w:rPr>
      </w:pPr>
      <w:bookmarkStart w:id="90" w:name="_Toc73517683"/>
      <w:bookmarkStart w:id="91" w:name="_Toc73521678"/>
      <w:bookmarkStart w:id="92" w:name="_Toc73521590"/>
      <w:bookmarkStart w:id="93" w:name="_Toc73518161"/>
      <w:bookmarkStart w:id="94" w:name="_Toc100052411"/>
      <w:r>
        <w:rPr>
          <w:rFonts w:hint="eastAsia" w:ascii="黑体" w:hAnsi="宋体" w:eastAsia="黑体"/>
          <w:color w:val="000000" w:themeColor="text1"/>
          <w14:textFill>
            <w14:solidFill>
              <w14:schemeClr w14:val="tx1"/>
            </w14:solidFill>
          </w14:textFill>
        </w:rPr>
        <w:t>46．履约担保</w:t>
      </w:r>
      <w:bookmarkEnd w:id="90"/>
      <w:bookmarkEnd w:id="91"/>
      <w:bookmarkEnd w:id="92"/>
      <w:bookmarkEnd w:id="93"/>
      <w:bookmarkEnd w:id="94"/>
    </w:p>
    <w:p w14:paraId="572BCAB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46.1在签订项目合同的同时，中标人应按“对通用条款的补充内容”中规定的金额向采购人提交履约担保；</w:t>
      </w:r>
    </w:p>
    <w:p w14:paraId="6E98A5A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46.2允许供应商自主选择以支票、汇票、本票、保函等非现金方式提交履约担保；</w:t>
      </w:r>
      <w:r>
        <w:rPr>
          <w:color w:val="000000" w:themeColor="text1"/>
          <w14:textFill>
            <w14:solidFill>
              <w14:schemeClr w14:val="tx1"/>
            </w14:solidFill>
          </w14:textFill>
        </w:rPr>
        <w:t>中标</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提交履约</w:t>
      </w:r>
      <w:r>
        <w:rPr>
          <w:rFonts w:hint="eastAsia"/>
          <w:color w:val="000000" w:themeColor="text1"/>
          <w14:textFill>
            <w14:solidFill>
              <w14:schemeClr w14:val="tx1"/>
            </w14:solidFill>
          </w14:textFill>
        </w:rPr>
        <w:t>担保不是</w:t>
      </w:r>
      <w:r>
        <w:rPr>
          <w:color w:val="000000" w:themeColor="text1"/>
          <w14:textFill>
            <w14:solidFill>
              <w14:schemeClr w14:val="tx1"/>
            </w14:solidFill>
          </w14:textFill>
        </w:rPr>
        <w:t>合同签订的</w:t>
      </w:r>
      <w:r>
        <w:rPr>
          <w:rFonts w:hint="eastAsia"/>
          <w:color w:val="000000" w:themeColor="text1"/>
          <w14:textFill>
            <w14:solidFill>
              <w14:schemeClr w14:val="tx1"/>
            </w14:solidFill>
          </w14:textFill>
        </w:rPr>
        <w:t>前提</w:t>
      </w:r>
      <w:r>
        <w:rPr>
          <w:color w:val="000000" w:themeColor="text1"/>
          <w14:textFill>
            <w14:solidFill>
              <w14:schemeClr w14:val="tx1"/>
            </w14:solidFill>
          </w14:textFill>
        </w:rPr>
        <w:t>条件，不要求中标</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提供除法律、法规明确规定外的其他担保</w:t>
      </w:r>
      <w:r>
        <w:rPr>
          <w:rFonts w:hint="eastAsia"/>
          <w:color w:val="000000" w:themeColor="text1"/>
          <w14:textFill>
            <w14:solidFill>
              <w14:schemeClr w14:val="tx1"/>
            </w14:solidFill>
          </w14:textFill>
        </w:rPr>
        <w:t>。</w:t>
      </w:r>
    </w:p>
    <w:p w14:paraId="0400085E">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47. 合同备案</w:t>
      </w:r>
    </w:p>
    <w:p w14:paraId="63FB0AD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采购人与中标人应于合同签订之日起</w:t>
      </w:r>
      <w:r>
        <w:rPr>
          <w:rFonts w:hint="eastAsia" w:ascii="宋体" w:hAnsi="宋体" w:eastAsia="宋体"/>
          <w:color w:val="000000" w:themeColor="text1"/>
          <w:szCs w:val="21"/>
          <w14:textFill>
            <w14:solidFill>
              <w14:schemeClr w14:val="tx1"/>
            </w14:solidFill>
          </w14:textFill>
        </w:rPr>
        <w:t>十日</w:t>
      </w:r>
      <w:r>
        <w:rPr>
          <w:rFonts w:hint="eastAsia" w:ascii="宋体" w:hAnsi="宋体"/>
          <w:color w:val="000000" w:themeColor="text1"/>
          <w:szCs w:val="21"/>
          <w14:textFill>
            <w14:solidFill>
              <w14:schemeClr w14:val="tx1"/>
            </w14:solidFill>
          </w14:textFill>
        </w:rPr>
        <w:t>内，由采购人或委托中标人将采购合同副本抄送合同备案工作实施机构备案。</w:t>
      </w:r>
    </w:p>
    <w:p w14:paraId="41C6F9A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48. 合同变更</w:t>
      </w:r>
    </w:p>
    <w:p w14:paraId="3BE8A0F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合同变更事宜按《深圳市财政局 深圳市政府采购中心关于进一步加强市本级政府采购合同备案管理工作的通知》（深财购〔2019〕43号）相关规定执行。</w:t>
      </w:r>
    </w:p>
    <w:p w14:paraId="612F28F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49. 项目验收</w:t>
      </w:r>
    </w:p>
    <w:p w14:paraId="3F76F3CA">
      <w:pPr>
        <w:ind w:right="176"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49.1采购人应当按照招标文件和合同规定的标准和方法，及时组织验收。</w:t>
      </w:r>
    </w:p>
    <w:p w14:paraId="1176237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50. 宣传</w:t>
      </w:r>
    </w:p>
    <w:p w14:paraId="37E215C0">
      <w:pPr>
        <w:ind w:left="240" w:leftChars="1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凡与政府采购活动有关的宣传或广告，若当中提及政府采购，</w:t>
      </w:r>
      <w:r>
        <w:rPr>
          <w:rFonts w:ascii="宋体" w:hAnsi="宋体"/>
          <w:color w:val="000000" w:themeColor="text1"/>
          <w14:textFill>
            <w14:solidFill>
              <w14:schemeClr w14:val="tx1"/>
            </w14:solidFill>
          </w14:textFill>
        </w:rPr>
        <w:t>必须事先将具体对外宣传方案报</w:t>
      </w:r>
      <w:r>
        <w:rPr>
          <w:rFonts w:hint="eastAsia" w:ascii="宋体" w:hAnsi="宋体"/>
          <w:color w:val="000000" w:themeColor="text1"/>
          <w14:textFill>
            <w14:solidFill>
              <w14:schemeClr w14:val="tx1"/>
            </w14:solidFill>
          </w14:textFill>
        </w:rPr>
        <w:t>同级财政部门</w:t>
      </w:r>
      <w:r>
        <w:rPr>
          <w:rFonts w:ascii="宋体" w:hAnsi="宋体"/>
          <w:color w:val="000000" w:themeColor="text1"/>
          <w14:textFill>
            <w14:solidFill>
              <w14:schemeClr w14:val="tx1"/>
            </w14:solidFill>
          </w14:textFill>
        </w:rPr>
        <w:t>和</w:t>
      </w:r>
      <w:r>
        <w:rPr>
          <w:rFonts w:hint="eastAsia" w:ascii="宋体" w:hAnsi="宋体" w:eastAsia="宋体"/>
          <w:color w:val="000000" w:themeColor="text1"/>
          <w14:textFill>
            <w14:solidFill>
              <w14:schemeClr w14:val="tx1"/>
            </w14:solidFill>
          </w14:textFill>
        </w:rPr>
        <w:t>招标机构</w:t>
      </w:r>
      <w:r>
        <w:rPr>
          <w:rFonts w:ascii="宋体" w:hAnsi="宋体"/>
          <w:color w:val="000000" w:themeColor="text1"/>
          <w14:textFill>
            <w14:solidFill>
              <w14:schemeClr w14:val="tx1"/>
            </w14:solidFill>
          </w14:textFill>
        </w:rPr>
        <w:t>，并征得其同意。对外市场宣传包括但不限于以下形式：</w:t>
      </w:r>
    </w:p>
    <w:p w14:paraId="2928710E">
      <w:pPr>
        <w:ind w:left="240" w:leftChars="100"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a.名片、宣传册、广告标语等；</w:t>
      </w:r>
    </w:p>
    <w:p w14:paraId="0E7C831C">
      <w:pPr>
        <w:ind w:left="240" w:leftChars="100"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b.案例介绍、推广等；</w:t>
      </w:r>
    </w:p>
    <w:p w14:paraId="47332279">
      <w:pPr>
        <w:ind w:left="240" w:leftChars="1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c.工作</w:t>
      </w:r>
      <w:r>
        <w:rPr>
          <w:rFonts w:ascii="宋体" w:hAnsi="宋体"/>
          <w:color w:val="000000" w:themeColor="text1"/>
          <w14:textFill>
            <w14:solidFill>
              <w14:schemeClr w14:val="tx1"/>
            </w14:solidFill>
          </w14:textFill>
        </w:rPr>
        <w:t>人员向其他消费群体宣传。</w:t>
      </w:r>
    </w:p>
    <w:p w14:paraId="49DF015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51. 供应商违法责任</w:t>
      </w:r>
    </w:p>
    <w:p w14:paraId="68A14CC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1.1</w:t>
      </w:r>
      <w:r>
        <w:rPr>
          <w:rFonts w:hint="eastAsia" w:ascii="宋体" w:hAnsi="宋体"/>
          <w:color w:val="000000" w:themeColor="text1"/>
          <w:szCs w:val="21"/>
          <w14:textFill>
            <w14:solidFill>
              <w14:schemeClr w14:val="tx1"/>
            </w14:solidFill>
          </w14:textFill>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CC8D0B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（1）在采购活动中应当回避而未回避的；</w:t>
      </w:r>
    </w:p>
    <w:p w14:paraId="2DBC4D2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（2）未按本条例规定签订、履行采购合同，造成严重后果的；</w:t>
      </w:r>
    </w:p>
    <w:p w14:paraId="2B19EEA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（3）隐瞒真实情况，提供虚假资料的；</w:t>
      </w:r>
    </w:p>
    <w:p w14:paraId="52C2E98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（4）以非法手段排斥其他供应商参与竞争的；</w:t>
      </w:r>
    </w:p>
    <w:p w14:paraId="6FEBFB7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（5）与其他采购参加人串通投标的；</w:t>
      </w:r>
    </w:p>
    <w:p w14:paraId="49B2E71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（6）恶意投诉的；</w:t>
      </w:r>
    </w:p>
    <w:p w14:paraId="26A4015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（7）向采购项目相关人行贿或者提供其他不当利益的；</w:t>
      </w:r>
    </w:p>
    <w:p w14:paraId="3BC9695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（8）阻碍、抗拒主管部门监督检查的；</w:t>
      </w:r>
    </w:p>
    <w:p w14:paraId="0E257FF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（9）其他违反本条例规定的行为。</w:t>
      </w:r>
    </w:p>
    <w:p w14:paraId="319B86C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 xml:space="preserve">1.2 </w:t>
      </w:r>
      <w:r>
        <w:rPr>
          <w:rFonts w:hint="eastAsia" w:ascii="宋体" w:hAnsi="宋体"/>
          <w:color w:val="000000" w:themeColor="text1"/>
          <w:szCs w:val="21"/>
          <w14:textFill>
            <w14:solidFill>
              <w14:schemeClr w14:val="tx1"/>
            </w14:solidFill>
          </w14:textFill>
        </w:rPr>
        <w:t>根据《深圳市财政局关于明确政府采购保证金管理工作的通知》（深财购[2019]42号）的要求，供应商在政府采购活动中出现《深圳经济特区政府采购条例实施细则》第八十四条所列情形的，</w:t>
      </w:r>
      <w:bookmarkStart w:id="95" w:name="_Hlk72440769"/>
      <w:r>
        <w:rPr>
          <w:rFonts w:hint="eastAsia" w:ascii="宋体" w:hAnsi="宋体"/>
          <w:color w:val="000000" w:themeColor="text1"/>
          <w:szCs w:val="21"/>
          <w14:textFill>
            <w14:solidFill>
              <w14:schemeClr w14:val="tx1"/>
            </w14:solidFill>
          </w14:textFill>
        </w:rPr>
        <w:t>采购人或</w:t>
      </w:r>
      <w:bookmarkEnd w:id="95"/>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可将有关情况报同级财政部门，由财政部门根据实际情况记入供应商诚信档案，予以通报：</w:t>
      </w:r>
    </w:p>
    <w:p w14:paraId="17FE9BC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）投标截止后，撤销投标的；</w:t>
      </w:r>
    </w:p>
    <w:p w14:paraId="6DDA4B85">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）中标后无正当理由未在规定期限内签订合同的；</w:t>
      </w:r>
    </w:p>
    <w:p w14:paraId="3C25E1D9">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）将中标项目转让给他人、或者在投标文件中未说明且未经采购人、采购招标机构同意，将中标项目分包给他人的；</w:t>
      </w:r>
    </w:p>
    <w:p w14:paraId="3E38B34E">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）拒绝履行合同义务的</w:t>
      </w:r>
      <w:r>
        <w:rPr>
          <w:rFonts w:hint="eastAsia" w:ascii="宋体" w:hAnsi="宋体"/>
          <w:color w:val="000000" w:themeColor="text1"/>
          <w:szCs w:val="21"/>
          <w14:textFill>
            <w14:solidFill>
              <w14:schemeClr w14:val="tx1"/>
            </w14:solidFill>
          </w14:textFill>
        </w:rPr>
        <w:t>。</w:t>
      </w:r>
    </w:p>
    <w:bookmarkEnd w:id="79"/>
    <w:p w14:paraId="3F16137B">
      <w:pPr>
        <w:pStyle w:val="6"/>
        <w:numPr>
          <w:ilvl w:val="0"/>
          <w:numId w:val="5"/>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质疑处理</w:t>
      </w:r>
    </w:p>
    <w:p w14:paraId="09BF0DB5">
      <w:pPr>
        <w:rPr>
          <w:rFonts w:ascii="黑体" w:hAnsi="宋体" w:eastAsia="黑体"/>
          <w:color w:val="000000" w:themeColor="text1"/>
          <w14:textFill>
            <w14:solidFill>
              <w14:schemeClr w14:val="tx1"/>
            </w14:solidFill>
          </w14:textFill>
        </w:rPr>
      </w:pPr>
      <w:bookmarkStart w:id="96" w:name="_Hlk72439706"/>
      <w:r>
        <w:rPr>
          <w:rFonts w:hint="eastAsia" w:ascii="黑体" w:hAnsi="宋体" w:eastAsia="黑体"/>
          <w:color w:val="000000" w:themeColor="text1"/>
          <w14:textFill>
            <w14:solidFill>
              <w14:schemeClr w14:val="tx1"/>
            </w14:solidFill>
          </w14:textFill>
        </w:rPr>
        <w:t>52.质疑提出与答复</w:t>
      </w:r>
    </w:p>
    <w:p w14:paraId="1CD04310">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52.1提出质疑</w:t>
      </w:r>
    </w:p>
    <w:p w14:paraId="529990F3">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参与政府采购活动的供应商认为自己的权益在采购活动中受到损害的，应当自知道或者应当知道其权益受到损害之日起七个工作日内向采购人、</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以书面形式提出质疑。</w:t>
      </w:r>
    </w:p>
    <w:p w14:paraId="3099824F">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52.2</w:t>
      </w:r>
      <w:r>
        <w:rPr>
          <w:rFonts w:ascii="宋体" w:hAnsi="宋体"/>
          <w:color w:val="000000" w:themeColor="text1"/>
          <w:szCs w:val="21"/>
          <w14:textFill>
            <w14:solidFill>
              <w14:schemeClr w14:val="tx1"/>
            </w14:solidFill>
          </w14:textFill>
        </w:rPr>
        <w:t>法律依据</w:t>
      </w:r>
    </w:p>
    <w:p w14:paraId="25585B6A">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《中华人民共和国政府采购法》、《中华人民共和国政府采购法实施条例》、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深圳经济特区政府采购</w:t>
      </w:r>
      <w:r>
        <w:rPr>
          <w:rFonts w:ascii="宋体" w:hAnsi="宋体"/>
          <w:color w:val="000000" w:themeColor="text1"/>
          <w:szCs w:val="21"/>
          <w14:textFill>
            <w14:solidFill>
              <w14:schemeClr w14:val="tx1"/>
            </w14:solidFill>
          </w14:textFill>
        </w:rPr>
        <w:t>条例</w:t>
      </w:r>
      <w:r>
        <w:rPr>
          <w:rFonts w:hint="eastAsia" w:ascii="宋体" w:hAnsi="宋体"/>
          <w:color w:val="000000" w:themeColor="text1"/>
          <w:szCs w:val="21"/>
          <w14:textFill>
            <w14:solidFill>
              <w14:schemeClr w14:val="tx1"/>
            </w14:solidFill>
          </w14:textFill>
        </w:rPr>
        <w:t>》、《深圳经济特区政府采购条例实施细则》、《政府采购质疑和投诉办法》（财政部令第94号）和其他有关法律法规规定。</w:t>
      </w:r>
    </w:p>
    <w:p w14:paraId="5CCEC66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52.3质疑条件</w:t>
      </w:r>
    </w:p>
    <w:p w14:paraId="7CF4D59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52.3.1提出质疑的供应商应当是参与所质疑项目采购活动的供应商；</w:t>
      </w:r>
      <w:bookmarkStart w:id="97" w:name="_Hlk75374941"/>
      <w:r>
        <w:rPr>
          <w:rFonts w:hint="eastAsia" w:ascii="宋体" w:hAnsi="宋体"/>
          <w:color w:val="000000" w:themeColor="text1"/>
          <w:szCs w:val="21"/>
          <w14:textFill>
            <w14:solidFill>
              <w14:schemeClr w14:val="tx1"/>
            </w14:solidFill>
          </w14:textFill>
        </w:rPr>
        <w:t>以联合体形式参与的，质疑应当由组成联合体的所有成员共同提出</w:t>
      </w:r>
      <w:bookmarkEnd w:id="97"/>
      <w:r>
        <w:rPr>
          <w:rFonts w:hint="eastAsia" w:ascii="宋体" w:hAnsi="宋体"/>
          <w:color w:val="000000" w:themeColor="text1"/>
          <w:szCs w:val="21"/>
          <w14:textFill>
            <w14:solidFill>
              <w14:schemeClr w14:val="tx1"/>
            </w14:solidFill>
          </w14:textFill>
        </w:rPr>
        <w:t>；</w:t>
      </w:r>
    </w:p>
    <w:p w14:paraId="75593CB1">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705B35B2">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52.3.3应提交书面质疑函，质疑函应当包括以下内容：</w:t>
      </w:r>
    </w:p>
    <w:p w14:paraId="23048A73">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（1）供应商的名称（或者姓名）、地址、邮编、邮箱、联系人及联系电话；</w:t>
      </w:r>
    </w:p>
    <w:p w14:paraId="192A0589">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（2）质疑项目的名称、编号；</w:t>
      </w:r>
    </w:p>
    <w:p w14:paraId="15AC6E54">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（3）具体、明确的质疑对象、质疑事项和质疑请求；</w:t>
      </w:r>
    </w:p>
    <w:p w14:paraId="2A7EE17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（4）因质疑事项而受损害的权益；</w:t>
      </w:r>
    </w:p>
    <w:p w14:paraId="0BFD9BB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（5）事实依据；</w:t>
      </w:r>
    </w:p>
    <w:p w14:paraId="5EE946BE">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（6）必要的法律依据；</w:t>
      </w:r>
    </w:p>
    <w:p w14:paraId="377A9CF1">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（7）提出质疑的日期。</w:t>
      </w:r>
    </w:p>
    <w:p w14:paraId="2F723D19">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供应商为自然人的，应当由本人签字；供应商为法人或者其他组织的，应当由法定代表人（负责人），或者其授权代理人签字或者盖章，并加盖公章。</w:t>
      </w:r>
    </w:p>
    <w:p w14:paraId="1169FBBE">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52.4提交</w:t>
      </w:r>
      <w:r>
        <w:rPr>
          <w:rFonts w:ascii="宋体" w:hAnsi="宋体"/>
          <w:color w:val="000000" w:themeColor="text1"/>
          <w:szCs w:val="21"/>
          <w14:textFill>
            <w14:solidFill>
              <w14:schemeClr w14:val="tx1"/>
            </w14:solidFill>
          </w14:textFill>
        </w:rPr>
        <w:t>材料</w:t>
      </w:r>
    </w:p>
    <w:p w14:paraId="3A8D8213">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供应商质疑实行实名制。供应商为自然人的，应当提交本人身份证复印件；供应商为法人或者其他组织的，应当根据自身性质提交营业执照复印件或者其他证明文件（如事业单位法人证书等）复印件。</w:t>
      </w:r>
    </w:p>
    <w:p w14:paraId="50BB393D">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供应商可以委托代理人进行质疑。</w:t>
      </w:r>
      <w:r>
        <w:rPr>
          <w:rFonts w:ascii="宋体" w:hAnsi="宋体"/>
          <w:color w:val="000000" w:themeColor="text1"/>
          <w:szCs w:val="21"/>
          <w14:textFill>
            <w14:solidFill>
              <w14:schemeClr w14:val="tx1"/>
            </w14:solidFill>
          </w14:textFill>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A332FFE">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52.5提交方式</w:t>
      </w:r>
    </w:p>
    <w:p w14:paraId="7B0D626D">
      <w:pPr>
        <w:ind w:firstLine="42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52.5.1供应商登录“深圳政府采购智慧平台用户网上办事子系统（</w:t>
      </w:r>
      <w:r>
        <w:rPr>
          <w:rFonts w:hint="eastAsia" w:ascii="宋体" w:hAnsi="宋体"/>
          <w:color w:val="000000" w:themeColor="text1"/>
          <w:szCs w:val="21"/>
          <w14:textFill>
            <w14:solidFill>
              <w14:schemeClr w14:val="tx1"/>
            </w14:solidFill>
          </w14:textFill>
        </w:rPr>
        <w:t>http://zfcg.szggzy.com:8081/TPBidder/memberLogin</w:t>
      </w:r>
      <w:r>
        <w:rPr>
          <w:rFonts w:ascii="宋体" w:hAnsi="宋体"/>
          <w:color w:val="000000" w:themeColor="text1"/>
          <w:szCs w:val="21"/>
          <w14:textFill>
            <w14:solidFill>
              <w14:schemeClr w14:val="tx1"/>
            </w14:solidFill>
          </w14:textFill>
        </w:rPr>
        <w:t>）”，在“【我的项目】→【项目流程】→【质疑】”中提出质疑。</w:t>
      </w:r>
    </w:p>
    <w:p w14:paraId="212F7DC0">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52.5.2请质疑供应商根据深圳政府采购智慧平台（</w:t>
      </w:r>
      <w:r>
        <w:rPr>
          <w:rFonts w:hint="eastAsia" w:ascii="宋体" w:hAnsi="宋体"/>
          <w:color w:val="000000" w:themeColor="text1"/>
          <w:szCs w:val="21"/>
          <w14:textFill>
            <w14:solidFill>
              <w14:schemeClr w14:val="tx1"/>
            </w14:solidFill>
          </w14:textFill>
        </w:rPr>
        <w:t>http://zfcg.szggzy.com:8081/</w:t>
      </w:r>
      <w:r>
        <w:rPr>
          <w:rFonts w:ascii="宋体" w:hAnsi="宋体"/>
          <w:color w:val="000000" w:themeColor="text1"/>
          <w:szCs w:val="21"/>
          <w14:textFill>
            <w14:solidFill>
              <w14:schemeClr w14:val="tx1"/>
            </w14:solidFill>
          </w14:textFill>
        </w:rPr>
        <w:t>）所发布的质疑指引、质疑函模板填写质疑函并提交质疑材料。</w:t>
      </w:r>
      <w:r>
        <w:rPr>
          <w:rFonts w:ascii="宋体" w:hAnsi="宋体"/>
          <w:b/>
          <w:bCs/>
          <w:color w:val="000000" w:themeColor="text1"/>
          <w:szCs w:val="21"/>
          <w14:textFill>
            <w14:solidFill>
              <w14:schemeClr w14:val="tx1"/>
            </w14:solidFill>
          </w14:textFill>
        </w:rPr>
        <w:t>地址：</w:t>
      </w:r>
      <w:r>
        <w:rPr>
          <w:rFonts w:hint="eastAsia" w:ascii="宋体" w:hAnsi="宋体"/>
          <w:b/>
          <w:bCs/>
          <w:color w:val="000000" w:themeColor="text1"/>
          <w:szCs w:val="21"/>
          <w14:textFill>
            <w14:solidFill>
              <w14:schemeClr w14:val="tx1"/>
            </w14:solidFill>
          </w14:textFill>
        </w:rPr>
        <w:t>深圳市福田区福田体育公园西北角友和招标代理服务中心（靠近北门）</w:t>
      </w:r>
      <w:r>
        <w:rPr>
          <w:rFonts w:ascii="宋体" w:hAnsi="宋体"/>
          <w:b/>
          <w:bCs/>
          <w:color w:val="000000" w:themeColor="text1"/>
          <w:szCs w:val="21"/>
          <w14:textFill>
            <w14:solidFill>
              <w14:schemeClr w14:val="tx1"/>
            </w14:solidFill>
          </w14:textFill>
        </w:rPr>
        <w:t>，质疑咨询电话：0755-8388</w:t>
      </w:r>
      <w:r>
        <w:rPr>
          <w:rFonts w:hint="eastAsia" w:ascii="宋体" w:hAnsi="宋体" w:eastAsia="宋体"/>
          <w:b/>
          <w:bCs/>
          <w:color w:val="000000" w:themeColor="text1"/>
          <w:szCs w:val="21"/>
          <w:lang w:val="en-US" w:eastAsia="zh-CN"/>
          <w14:textFill>
            <w14:solidFill>
              <w14:schemeClr w14:val="tx1"/>
            </w14:solidFill>
          </w14:textFill>
        </w:rPr>
        <w:t>1282</w:t>
      </w:r>
      <w:r>
        <w:rPr>
          <w:rFonts w:ascii="宋体" w:hAnsi="宋体"/>
          <w:b/>
          <w:bCs/>
          <w:color w:val="000000" w:themeColor="text1"/>
          <w:szCs w:val="21"/>
          <w14:textFill>
            <w14:solidFill>
              <w14:schemeClr w14:val="tx1"/>
            </w14:solidFill>
          </w14:textFill>
        </w:rPr>
        <w:t>。</w:t>
      </w:r>
    </w:p>
    <w:p w14:paraId="0210886B">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52.6收文办理</w:t>
      </w:r>
      <w:r>
        <w:rPr>
          <w:rFonts w:ascii="宋体" w:hAnsi="宋体"/>
          <w:color w:val="000000" w:themeColor="text1"/>
          <w:szCs w:val="21"/>
          <w14:textFill>
            <w14:solidFill>
              <w14:schemeClr w14:val="tx1"/>
            </w14:solidFill>
          </w14:textFill>
        </w:rPr>
        <w:t>程序</w:t>
      </w:r>
    </w:p>
    <w:p w14:paraId="04E4D25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52.6.1供应商提交的质疑符合受理条件的，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自收到质疑材料之日起即为受理，应当向供应商出具质疑函收文回执并可以要求其递交质疑的法定代表人（负责人）或者授权代理人签署质疑文书送达地址确认书。</w:t>
      </w:r>
    </w:p>
    <w:p w14:paraId="0E0A0332">
      <w:pPr>
        <w:ind w:firstLine="480" w:firstLineChars="200"/>
        <w:rPr>
          <w:rFonts w:ascii="仿宋" w:hAnsi="仿宋" w:eastAsia="仿宋"/>
          <w:color w:val="000000" w:themeColor="text1"/>
          <w:sz w:val="28"/>
          <w:szCs w:val="28"/>
          <w14:textFill>
            <w14:solidFill>
              <w14:schemeClr w14:val="tx1"/>
            </w14:solidFill>
          </w14:textFill>
        </w:rPr>
      </w:pPr>
      <w:r>
        <w:rPr>
          <w:rFonts w:hint="eastAsia" w:ascii="宋体" w:hAnsi="宋体"/>
          <w:color w:val="000000" w:themeColor="text1"/>
          <w:szCs w:val="21"/>
          <w14:textFill>
            <w14:solidFill>
              <w14:schemeClr w14:val="tx1"/>
            </w14:solidFill>
          </w14:textFill>
        </w:rPr>
        <w:t>52.6.2供应商提交的质疑材料不符合质疑条件的，视情况处理：</w:t>
      </w:r>
    </w:p>
    <w:p w14:paraId="1A8170DE">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供应商提交的质疑材料不全或者未按要求签字或者盖章的，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应当一次性告知供应商需补正的内容和补正期限。</w:t>
      </w:r>
    </w:p>
    <w:p w14:paraId="4569166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供应商提交的质疑存在下列情形之一的，不予受理：</w:t>
      </w:r>
    </w:p>
    <w:p w14:paraId="747635F4">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（1）质疑主体不满足要求的；</w:t>
      </w:r>
    </w:p>
    <w:p w14:paraId="1A11132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（2）供应商自身权益未受到损害的；</w:t>
      </w:r>
    </w:p>
    <w:p w14:paraId="14F31B7A">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（3）供应商未在法定质疑期限内提出质疑的；</w:t>
      </w:r>
    </w:p>
    <w:p w14:paraId="45FE54FD">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（4）质疑材料不全或者未按要求签字或者盖章的情况下，要求补正后，逾期未补正或者补正后仍不符合规定的；</w:t>
      </w:r>
    </w:p>
    <w:p w14:paraId="750B93A1">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（5）其他不符合受理条件情形的。</w:t>
      </w:r>
    </w:p>
    <w:p w14:paraId="2C7C5433">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质疑事项不予受理的，招标机构应当向供应商出具不符合质疑条件告知书。</w:t>
      </w:r>
    </w:p>
    <w:p w14:paraId="1C16C2D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52.7质疑答复时限</w:t>
      </w:r>
    </w:p>
    <w:p w14:paraId="1EADFCC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自收文之日起七个工作日内。</w:t>
      </w:r>
    </w:p>
    <w:p w14:paraId="0CFDD1A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52.8投诉</w:t>
      </w:r>
    </w:p>
    <w:p w14:paraId="48396DCA">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对质疑答复不满意或者未在规定时间内答复的，提出质疑的供应商可以在答复期满后15个工作日内向同级财政部门投诉。</w:t>
      </w:r>
    </w:p>
    <w:p w14:paraId="0C63389C">
      <w:pPr>
        <w:ind w:firstLine="480" w:firstLineChars="20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53. 质疑后续处理   </w:t>
      </w:r>
    </w:p>
    <w:p w14:paraId="7C942488">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53.1供应商质疑不成立，或者成立但未对中标、成交结果构成影响的，继续开展采购活动。</w:t>
      </w:r>
    </w:p>
    <w:p w14:paraId="2C80EEC1">
      <w:pPr>
        <w:ind w:firstLine="480" w:firstLineChars="200"/>
        <w:rPr>
          <w:rFonts w:hint="eastAsia" w:ascii="宋体" w:hAnsi="宋体" w:eastAsia="宋体" w:cs="宋体"/>
        </w:rPr>
      </w:pPr>
      <w:r>
        <w:rPr>
          <w:rFonts w:hint="eastAsia" w:ascii="宋体" w:hAnsi="宋体"/>
          <w:color w:val="000000" w:themeColor="text1"/>
          <w:szCs w:val="21"/>
          <w14:textFill>
            <w14:solidFill>
              <w14:schemeClr w14:val="tx1"/>
            </w14:solidFill>
          </w14:textFill>
        </w:rPr>
        <w:t>53.2供</w:t>
      </w:r>
      <w:r>
        <w:rPr>
          <w:rFonts w:hint="eastAsia" w:ascii="宋体" w:hAnsi="宋体" w:eastAsia="宋体" w:cs="宋体"/>
        </w:rPr>
        <w:t>应商质疑成立且影响或者可能影响中标、成交结果的，按照下列情况处理：（</w:t>
      </w:r>
      <w:r>
        <w:rPr>
          <w:rFonts w:hint="eastAsia"/>
        </w:rPr>
        <w:t>1</w:t>
      </w:r>
      <w:r>
        <w:rPr>
          <w:rFonts w:hint="eastAsia" w:ascii="宋体" w:hAnsi="宋体" w:eastAsia="宋体" w:cs="宋体"/>
        </w:rPr>
        <w:t>）对采购文件提出的质疑，依法通过澄清或者修改可以继续开展采购活动的，澄清或者修改采购文件后继续开展采购活动；否则应当修改采购文件后重新开展采购活动。（</w:t>
      </w:r>
      <w:r>
        <w:rPr>
          <w:rFonts w:hint="eastAsia"/>
        </w:rPr>
        <w:t>2</w:t>
      </w:r>
      <w:r>
        <w:rPr>
          <w:rFonts w:hint="eastAsia" w:ascii="宋体" w:hAnsi="宋体" w:eastAsia="宋体" w:cs="宋体"/>
        </w:rPr>
        <w:t>）对采购过程、中标或者成交结果提出的质疑，如果合格供应商符合法定数量，依法从合格的中标或者成交候选人中另行确定中标、成交供应商；如果合格供应商不符合法定数量，应当重新开展采购活动。</w:t>
      </w:r>
    </w:p>
    <w:p w14:paraId="495083B0">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54违约责任</w:t>
      </w:r>
    </w:p>
    <w:p w14:paraId="0BC9B45A">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54.1供应商若在政府采购活动存在下列违法行为，给采购人、采购代理机造成损失的，应当承担赔偿责任。</w:t>
      </w:r>
    </w:p>
    <w:p w14:paraId="219F00E0">
      <w:pPr>
        <w:pStyle w:val="7"/>
        <w:rPr>
          <w:rFonts w:hint="default"/>
          <w:color w:val="FF0000"/>
          <w:lang w:val="en-US" w:eastAsia="zh-CN"/>
        </w:rPr>
      </w:pPr>
      <w:r>
        <w:rPr>
          <w:rFonts w:hint="default"/>
          <w:color w:val="FF0000"/>
          <w:lang w:val="en-US" w:eastAsia="zh-CN"/>
        </w:rPr>
        <w:t>（</w:t>
      </w:r>
      <w:r>
        <w:rPr>
          <w:rFonts w:hint="eastAsia"/>
          <w:color w:val="FF0000"/>
          <w:lang w:val="en-US" w:eastAsia="zh-CN"/>
        </w:rPr>
        <w:t>1</w:t>
      </w:r>
      <w:r>
        <w:rPr>
          <w:rFonts w:hint="default"/>
          <w:color w:val="FF0000"/>
          <w:lang w:val="en-US" w:eastAsia="zh-CN"/>
        </w:rPr>
        <w:t>）</w:t>
      </w:r>
      <w:r>
        <w:rPr>
          <w:rFonts w:hint="eastAsia"/>
          <w:color w:val="FF0000"/>
          <w:lang w:val="en-US" w:eastAsia="zh-CN"/>
        </w:rPr>
        <w:t>未</w:t>
      </w:r>
      <w:r>
        <w:rPr>
          <w:rFonts w:hint="default"/>
          <w:color w:val="FF0000"/>
          <w:lang w:val="en-US" w:eastAsia="zh-CN"/>
        </w:rPr>
        <w:t>按照规定签订、履行采购合同</w:t>
      </w:r>
      <w:r>
        <w:rPr>
          <w:rFonts w:hint="eastAsia"/>
          <w:color w:val="FF0000"/>
          <w:lang w:val="en-US" w:eastAsia="zh-CN"/>
        </w:rPr>
        <w:t>；</w:t>
      </w:r>
    </w:p>
    <w:p w14:paraId="7CE6A7B7">
      <w:pPr>
        <w:pStyle w:val="7"/>
        <w:rPr>
          <w:rFonts w:hint="default"/>
          <w:color w:val="FF0000"/>
          <w:lang w:val="en-US" w:eastAsia="zh-CN"/>
        </w:rPr>
      </w:pPr>
      <w:r>
        <w:rPr>
          <w:rFonts w:hint="eastAsia"/>
          <w:color w:val="FF0000"/>
          <w:lang w:val="en-US" w:eastAsia="zh-CN"/>
        </w:rPr>
        <w:t>（2）</w:t>
      </w:r>
      <w:r>
        <w:rPr>
          <w:rFonts w:hint="default"/>
          <w:color w:val="FF0000"/>
          <w:lang w:val="en-US" w:eastAsia="zh-CN"/>
        </w:rPr>
        <w:t>提供虚假材料谋取中标、成交的；</w:t>
      </w:r>
    </w:p>
    <w:p w14:paraId="07BEF5B7">
      <w:pPr>
        <w:pStyle w:val="7"/>
        <w:rPr>
          <w:rFonts w:hint="default"/>
          <w:color w:val="FF0000"/>
          <w:lang w:val="en-US" w:eastAsia="zh-CN"/>
        </w:rPr>
      </w:pPr>
      <w:r>
        <w:rPr>
          <w:rFonts w:hint="default"/>
          <w:color w:val="FF0000"/>
          <w:lang w:val="en-US" w:eastAsia="zh-CN"/>
        </w:rPr>
        <w:t>（</w:t>
      </w:r>
      <w:r>
        <w:rPr>
          <w:rFonts w:hint="eastAsia"/>
          <w:color w:val="FF0000"/>
          <w:lang w:val="en-US" w:eastAsia="zh-CN"/>
        </w:rPr>
        <w:t>3</w:t>
      </w:r>
      <w:r>
        <w:rPr>
          <w:rFonts w:hint="default"/>
          <w:color w:val="FF0000"/>
          <w:lang w:val="en-US" w:eastAsia="zh-CN"/>
        </w:rPr>
        <w:t>）采取不正当手段诋毁、排挤其他供应商的；</w:t>
      </w:r>
    </w:p>
    <w:p w14:paraId="1DF906BF">
      <w:pPr>
        <w:pStyle w:val="7"/>
        <w:rPr>
          <w:rFonts w:hint="default"/>
          <w:color w:val="FF0000"/>
          <w:lang w:val="en-US" w:eastAsia="zh-CN"/>
        </w:rPr>
      </w:pPr>
      <w:r>
        <w:rPr>
          <w:rFonts w:hint="default"/>
          <w:color w:val="FF0000"/>
          <w:lang w:val="en-US" w:eastAsia="zh-CN"/>
        </w:rPr>
        <w:t>（</w:t>
      </w:r>
      <w:r>
        <w:rPr>
          <w:rFonts w:hint="eastAsia"/>
          <w:color w:val="FF0000"/>
          <w:lang w:val="en-US" w:eastAsia="zh-CN"/>
        </w:rPr>
        <w:t>4</w:t>
      </w:r>
      <w:r>
        <w:rPr>
          <w:rFonts w:hint="default"/>
          <w:color w:val="FF0000"/>
          <w:lang w:val="en-US" w:eastAsia="zh-CN"/>
        </w:rPr>
        <w:t>）与其他供应商恶意串通的；</w:t>
      </w:r>
    </w:p>
    <w:p w14:paraId="23CA69BC">
      <w:pPr>
        <w:pStyle w:val="7"/>
        <w:rPr>
          <w:rFonts w:hint="eastAsia"/>
          <w:color w:val="FF0000"/>
          <w:lang w:val="en-US" w:eastAsia="zh-CN"/>
        </w:rPr>
      </w:pPr>
      <w:r>
        <w:rPr>
          <w:rFonts w:hint="default"/>
          <w:color w:val="FF0000"/>
          <w:lang w:val="en-US" w:eastAsia="zh-CN"/>
        </w:rPr>
        <w:t>（</w:t>
      </w:r>
      <w:r>
        <w:rPr>
          <w:rFonts w:hint="eastAsia"/>
          <w:color w:val="FF0000"/>
          <w:lang w:val="en-US" w:eastAsia="zh-CN"/>
        </w:rPr>
        <w:t>5</w:t>
      </w:r>
      <w:r>
        <w:rPr>
          <w:rFonts w:hint="default"/>
          <w:color w:val="FF0000"/>
          <w:lang w:val="en-US" w:eastAsia="zh-CN"/>
        </w:rPr>
        <w:t>）拒绝有关部门监督检查或者提供虚假情况的</w:t>
      </w:r>
      <w:r>
        <w:rPr>
          <w:rFonts w:hint="eastAsia"/>
          <w:color w:val="FF0000"/>
          <w:lang w:val="en-US" w:eastAsia="zh-CN"/>
        </w:rPr>
        <w:t>；</w:t>
      </w:r>
    </w:p>
    <w:p w14:paraId="54B36C5C">
      <w:pPr>
        <w:pStyle w:val="7"/>
        <w:rPr>
          <w:rFonts w:hint="default"/>
          <w:color w:val="FF0000"/>
          <w:lang w:val="en-US" w:eastAsia="zh-CN"/>
        </w:rPr>
      </w:pPr>
      <w:r>
        <w:rPr>
          <w:rFonts w:hint="eastAsia"/>
          <w:color w:val="FF0000"/>
          <w:lang w:val="en-US" w:eastAsia="zh-CN"/>
        </w:rPr>
        <w:t>（6）经主管部门认定的其他违法采购相关法律法规的行为。</w:t>
      </w:r>
    </w:p>
    <w:p w14:paraId="5A5679F6">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54.2采购人、采购代理机构有权对违法供应商造成的损失进行追偿，可优先在已缴纳的代理服务费中进行抵扣，已缴纳的代理服务费不足以赔偿采购人、采购代理机构损失的，采购人、采购代理机构有权向人民法院提起诉讼。</w:t>
      </w:r>
    </w:p>
    <w:p w14:paraId="5BB65C12">
      <w:pPr>
        <w:pStyle w:val="7"/>
      </w:pPr>
    </w:p>
    <w:p w14:paraId="66670C04">
      <w:pPr>
        <w:jc w:val="center"/>
        <w:rPr>
          <w:color w:val="000000" w:themeColor="text1"/>
          <w14:textFill>
            <w14:solidFill>
              <w14:schemeClr w14:val="tx1"/>
            </w14:solidFill>
          </w14:textFill>
        </w:rPr>
      </w:pPr>
      <w:r>
        <w:rPr>
          <w:color w:val="000000" w:themeColor="text1"/>
          <w14:textFill>
            <w14:solidFill>
              <w14:schemeClr w14:val="tx1"/>
            </w14:solidFill>
          </w14:textFill>
        </w:rPr>
        <w:t>---- END ----</w:t>
      </w:r>
      <w:bookmarkEnd w:id="96"/>
    </w:p>
    <w:p w14:paraId="18C475A7">
      <w:pPr>
        <w:rPr>
          <w:rFonts w:ascii="宋体" w:hAnsi="宋体"/>
          <w:color w:val="000000" w:themeColor="text1"/>
          <w:szCs w:val="21"/>
          <w14:textFill>
            <w14:solidFill>
              <w14:schemeClr w14:val="tx1"/>
            </w14:solidFill>
          </w14:textFill>
        </w:rPr>
      </w:pPr>
    </w:p>
    <w:p w14:paraId="01BA1512"/>
    <w:p w14:paraId="54876818"/>
    <w:sectPr>
      <w:footerReference r:id="rId4" w:type="default"/>
      <w:type w:val="continuous"/>
      <w:pgSz w:w="11906" w:h="16838"/>
      <w:pgMar w:top="1440" w:right="1800" w:bottom="1440" w:left="180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B558AC9-8A18-496B-943C-C11E614C54B3}"/>
  </w:font>
  <w:font w:name="黑体">
    <w:panose1 w:val="02010609060101010101"/>
    <w:charset w:val="86"/>
    <w:family w:val="auto"/>
    <w:pitch w:val="default"/>
    <w:sig w:usb0="800002BF" w:usb1="38CF7CFA" w:usb2="00000016" w:usb3="00000000" w:csb0="00040001" w:csb1="00000000"/>
    <w:embedRegular r:id="rId2" w:fontKey="{2669A643-CDF7-4532-AA73-F819BA1D7B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118F6D5F-04BD-489B-B4E0-0692E765D6E1}"/>
  </w:font>
  <w:font w:name="仿宋">
    <w:panose1 w:val="02010609060101010101"/>
    <w:charset w:val="86"/>
    <w:family w:val="modern"/>
    <w:pitch w:val="default"/>
    <w:sig w:usb0="800002BF" w:usb1="38CF7CFA" w:usb2="00000016" w:usb3="00000000" w:csb0="00040001" w:csb1="00000000"/>
    <w:embedRegular r:id="rId4" w:fontKey="{CF22B0B2-397E-46BC-B85D-3EA3EEB24EC4}"/>
  </w:font>
  <w:font w:name="Wingdings 2">
    <w:panose1 w:val="05020102010507070707"/>
    <w:charset w:val="02"/>
    <w:family w:val="roman"/>
    <w:pitch w:val="default"/>
    <w:sig w:usb0="00000000" w:usb1="00000000" w:usb2="00000000" w:usb3="00000000" w:csb0="80000000" w:csb1="00000000"/>
    <w:embedRegular r:id="rId5" w:fontKey="{570C282F-ACB6-4525-95A3-478AD28B47C3}"/>
  </w:font>
  <w:font w:name="ˎ̥">
    <w:altName w:val="Times New Roman"/>
    <w:panose1 w:val="00000000000000000000"/>
    <w:charset w:val="00"/>
    <w:family w:val="roman"/>
    <w:pitch w:val="default"/>
    <w:sig w:usb0="00000000" w:usb1="00000000" w:usb2="00000000" w:usb3="00000000" w:csb0="00000000" w:csb1="00000000"/>
    <w:embedRegular r:id="rId6" w:fontKey="{E6524F77-109F-49FE-BA61-480B0EDB44C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FD684">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4FD0B">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514FD0B">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2CE33">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B7226">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87B7226">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9DC0E"/>
    <w:multiLevelType w:val="singleLevel"/>
    <w:tmpl w:val="8B09DC0E"/>
    <w:lvl w:ilvl="0" w:tentative="0">
      <w:start w:val="1"/>
      <w:numFmt w:val="decimal"/>
      <w:suff w:val="nothing"/>
      <w:lvlText w:val="(%1)"/>
      <w:lvlJc w:val="left"/>
      <w:pPr>
        <w:ind w:left="425" w:hanging="425"/>
      </w:pPr>
      <w:rPr>
        <w:rFonts w:hint="default"/>
      </w:rPr>
    </w:lvl>
  </w:abstractNum>
  <w:abstractNum w:abstractNumId="1">
    <w:nsid w:val="00000003"/>
    <w:multiLevelType w:val="singleLevel"/>
    <w:tmpl w:val="00000003"/>
    <w:lvl w:ilvl="0" w:tentative="0">
      <w:start w:val="1"/>
      <w:numFmt w:val="bullet"/>
      <w:lvlText w:val=""/>
      <w:lvlJc w:val="left"/>
      <w:pPr>
        <w:ind w:left="420" w:hanging="420"/>
      </w:pPr>
      <w:rPr>
        <w:rFonts w:hint="default" w:ascii="Wingdings" w:hAnsi="Wingdings"/>
      </w:rPr>
    </w:lvl>
  </w:abstractNum>
  <w:abstractNum w:abstractNumId="2">
    <w:nsid w:val="00000004"/>
    <w:multiLevelType w:val="multilevel"/>
    <w:tmpl w:val="00000004"/>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3CD89EF"/>
    <w:multiLevelType w:val="singleLevel"/>
    <w:tmpl w:val="13CD89EF"/>
    <w:lvl w:ilvl="0" w:tentative="0">
      <w:start w:val="1"/>
      <w:numFmt w:val="decimal"/>
      <w:suff w:val="nothing"/>
      <w:lvlText w:val="(%1)"/>
      <w:lvlJc w:val="left"/>
      <w:pPr>
        <w:ind w:left="425" w:hanging="425"/>
      </w:pPr>
      <w:rPr>
        <w:rFonts w:hint="default"/>
      </w:rPr>
    </w:lvl>
  </w:abstractNum>
  <w:abstractNum w:abstractNumId="4">
    <w:nsid w:val="200A2FAF"/>
    <w:multiLevelType w:val="singleLevel"/>
    <w:tmpl w:val="200A2FAF"/>
    <w:lvl w:ilvl="0" w:tentative="0">
      <w:start w:val="5"/>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720"/>
  <w:displayHorizontalDrawingGridEvery w:val="0"/>
  <w:displayVerticalDrawingGridEvery w:val="2"/>
  <w:characterSpacingControl w:val="doNotCompres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0YzFmMDE1ZTIyYjFjZmVjNzA2YTBiYTRmNDVkYzEifQ=="/>
  </w:docVars>
  <w:rsids>
    <w:rsidRoot w:val="00000000"/>
    <w:rsid w:val="000E3FC3"/>
    <w:rsid w:val="005D4603"/>
    <w:rsid w:val="00B71293"/>
    <w:rsid w:val="00B96C44"/>
    <w:rsid w:val="02427F54"/>
    <w:rsid w:val="026648E1"/>
    <w:rsid w:val="026673DD"/>
    <w:rsid w:val="029D518A"/>
    <w:rsid w:val="02E42DB9"/>
    <w:rsid w:val="037B2C82"/>
    <w:rsid w:val="03984646"/>
    <w:rsid w:val="04BA4D02"/>
    <w:rsid w:val="052A1BD0"/>
    <w:rsid w:val="0580501B"/>
    <w:rsid w:val="060327CF"/>
    <w:rsid w:val="061152F9"/>
    <w:rsid w:val="06367DD0"/>
    <w:rsid w:val="065B5A88"/>
    <w:rsid w:val="076343C0"/>
    <w:rsid w:val="08550AF5"/>
    <w:rsid w:val="09414AC1"/>
    <w:rsid w:val="0A656EBD"/>
    <w:rsid w:val="0ACF434F"/>
    <w:rsid w:val="0AD56800"/>
    <w:rsid w:val="0B856A33"/>
    <w:rsid w:val="0BF2248A"/>
    <w:rsid w:val="0C7F0980"/>
    <w:rsid w:val="0D9D1464"/>
    <w:rsid w:val="0DDD78CC"/>
    <w:rsid w:val="0DE11D81"/>
    <w:rsid w:val="0F6B14BE"/>
    <w:rsid w:val="0FB07C1F"/>
    <w:rsid w:val="0FE10DAC"/>
    <w:rsid w:val="10855BDB"/>
    <w:rsid w:val="112C6522"/>
    <w:rsid w:val="11E46830"/>
    <w:rsid w:val="11EE77B0"/>
    <w:rsid w:val="1343435B"/>
    <w:rsid w:val="13D70930"/>
    <w:rsid w:val="13EE4FAF"/>
    <w:rsid w:val="152534E9"/>
    <w:rsid w:val="152A4FA3"/>
    <w:rsid w:val="153674A4"/>
    <w:rsid w:val="1545782E"/>
    <w:rsid w:val="16870F53"/>
    <w:rsid w:val="16D84B75"/>
    <w:rsid w:val="17033CFE"/>
    <w:rsid w:val="186B460C"/>
    <w:rsid w:val="197E766C"/>
    <w:rsid w:val="1ABC48F0"/>
    <w:rsid w:val="1B43798F"/>
    <w:rsid w:val="1B50482E"/>
    <w:rsid w:val="1BA20DA5"/>
    <w:rsid w:val="1D267BDC"/>
    <w:rsid w:val="1D7019C1"/>
    <w:rsid w:val="1D807281"/>
    <w:rsid w:val="1DE121E6"/>
    <w:rsid w:val="1DF51E9C"/>
    <w:rsid w:val="1E7A2AF8"/>
    <w:rsid w:val="1E944EA5"/>
    <w:rsid w:val="1EEB57A3"/>
    <w:rsid w:val="1F3D3B25"/>
    <w:rsid w:val="1F5C0633"/>
    <w:rsid w:val="1F6368EB"/>
    <w:rsid w:val="1F9217FE"/>
    <w:rsid w:val="211C3B31"/>
    <w:rsid w:val="21771570"/>
    <w:rsid w:val="22462A8A"/>
    <w:rsid w:val="226D4721"/>
    <w:rsid w:val="235F29CF"/>
    <w:rsid w:val="238824E9"/>
    <w:rsid w:val="23CB16FF"/>
    <w:rsid w:val="241412F8"/>
    <w:rsid w:val="2597179C"/>
    <w:rsid w:val="25FC0296"/>
    <w:rsid w:val="26511AD7"/>
    <w:rsid w:val="269009DE"/>
    <w:rsid w:val="26D11145"/>
    <w:rsid w:val="26D8122A"/>
    <w:rsid w:val="27D72D69"/>
    <w:rsid w:val="28894890"/>
    <w:rsid w:val="28A2348A"/>
    <w:rsid w:val="28D903FD"/>
    <w:rsid w:val="292518B2"/>
    <w:rsid w:val="29EC0622"/>
    <w:rsid w:val="2A8820F8"/>
    <w:rsid w:val="2AA61238"/>
    <w:rsid w:val="2AD215C5"/>
    <w:rsid w:val="2ADF4FA0"/>
    <w:rsid w:val="2B1020EE"/>
    <w:rsid w:val="2BF74188"/>
    <w:rsid w:val="2C626979"/>
    <w:rsid w:val="2C730B86"/>
    <w:rsid w:val="2CF250E1"/>
    <w:rsid w:val="2D834DF9"/>
    <w:rsid w:val="2F076A67"/>
    <w:rsid w:val="2F104DB2"/>
    <w:rsid w:val="2F144911"/>
    <w:rsid w:val="2F7160BD"/>
    <w:rsid w:val="2FAA1F7E"/>
    <w:rsid w:val="2FB76FDC"/>
    <w:rsid w:val="30002840"/>
    <w:rsid w:val="301B3A0F"/>
    <w:rsid w:val="31501CD6"/>
    <w:rsid w:val="31A55C86"/>
    <w:rsid w:val="321E678F"/>
    <w:rsid w:val="32DC12ED"/>
    <w:rsid w:val="352C5D76"/>
    <w:rsid w:val="355462D6"/>
    <w:rsid w:val="35D02246"/>
    <w:rsid w:val="35F504FD"/>
    <w:rsid w:val="362A0508"/>
    <w:rsid w:val="362B66CF"/>
    <w:rsid w:val="36704ABB"/>
    <w:rsid w:val="36A06A1C"/>
    <w:rsid w:val="36BF3346"/>
    <w:rsid w:val="37282F06"/>
    <w:rsid w:val="380134EA"/>
    <w:rsid w:val="38043F1B"/>
    <w:rsid w:val="3894435E"/>
    <w:rsid w:val="38A55FF8"/>
    <w:rsid w:val="39C42A21"/>
    <w:rsid w:val="3A193B4A"/>
    <w:rsid w:val="3A9C2CF8"/>
    <w:rsid w:val="3ADC662D"/>
    <w:rsid w:val="3AEA64B7"/>
    <w:rsid w:val="3B4953BB"/>
    <w:rsid w:val="3BCC5093"/>
    <w:rsid w:val="3C11319F"/>
    <w:rsid w:val="3D1E351A"/>
    <w:rsid w:val="3D2008B6"/>
    <w:rsid w:val="3D4110E1"/>
    <w:rsid w:val="3D5C6BB7"/>
    <w:rsid w:val="3D6C7658"/>
    <w:rsid w:val="3DF3343E"/>
    <w:rsid w:val="3E1F46CA"/>
    <w:rsid w:val="3E6622F9"/>
    <w:rsid w:val="3E7341AD"/>
    <w:rsid w:val="3ED40106"/>
    <w:rsid w:val="3FC419CD"/>
    <w:rsid w:val="3FFD188D"/>
    <w:rsid w:val="420460B1"/>
    <w:rsid w:val="428D1D16"/>
    <w:rsid w:val="436A288B"/>
    <w:rsid w:val="437E6286"/>
    <w:rsid w:val="44A616A1"/>
    <w:rsid w:val="44B946CE"/>
    <w:rsid w:val="44EC18BE"/>
    <w:rsid w:val="45F2612A"/>
    <w:rsid w:val="464E0242"/>
    <w:rsid w:val="46A119EC"/>
    <w:rsid w:val="46AB4245"/>
    <w:rsid w:val="46BF64C2"/>
    <w:rsid w:val="46EC3316"/>
    <w:rsid w:val="46FF153C"/>
    <w:rsid w:val="48482A6F"/>
    <w:rsid w:val="48494E29"/>
    <w:rsid w:val="48886652"/>
    <w:rsid w:val="48B95124"/>
    <w:rsid w:val="48ED127B"/>
    <w:rsid w:val="49233C40"/>
    <w:rsid w:val="49287E75"/>
    <w:rsid w:val="493A767E"/>
    <w:rsid w:val="49DC7913"/>
    <w:rsid w:val="49E1317B"/>
    <w:rsid w:val="4AB443EC"/>
    <w:rsid w:val="4AF9419C"/>
    <w:rsid w:val="4B5C0D0B"/>
    <w:rsid w:val="4B9E1324"/>
    <w:rsid w:val="4C6C31D0"/>
    <w:rsid w:val="4CA06BB3"/>
    <w:rsid w:val="4D470A71"/>
    <w:rsid w:val="4DB7491F"/>
    <w:rsid w:val="4E102E5C"/>
    <w:rsid w:val="4E525FAB"/>
    <w:rsid w:val="4E9B418C"/>
    <w:rsid w:val="4EE5726A"/>
    <w:rsid w:val="4FFA4F97"/>
    <w:rsid w:val="500F19A4"/>
    <w:rsid w:val="50507FFF"/>
    <w:rsid w:val="50812BDB"/>
    <w:rsid w:val="511B6F73"/>
    <w:rsid w:val="514364CA"/>
    <w:rsid w:val="51552F41"/>
    <w:rsid w:val="52466271"/>
    <w:rsid w:val="535C77D7"/>
    <w:rsid w:val="543C0C58"/>
    <w:rsid w:val="5540169E"/>
    <w:rsid w:val="554F5D9E"/>
    <w:rsid w:val="55705126"/>
    <w:rsid w:val="557627DA"/>
    <w:rsid w:val="55937A20"/>
    <w:rsid w:val="55EF2FA9"/>
    <w:rsid w:val="56B714EC"/>
    <w:rsid w:val="573B690D"/>
    <w:rsid w:val="57914481"/>
    <w:rsid w:val="588B302B"/>
    <w:rsid w:val="58A14555"/>
    <w:rsid w:val="58BC07AC"/>
    <w:rsid w:val="592117E6"/>
    <w:rsid w:val="5AA71877"/>
    <w:rsid w:val="5B1B5FAE"/>
    <w:rsid w:val="5B242EC8"/>
    <w:rsid w:val="5BED62A9"/>
    <w:rsid w:val="5C413F10"/>
    <w:rsid w:val="5C61311E"/>
    <w:rsid w:val="5CC97046"/>
    <w:rsid w:val="5D1E0517"/>
    <w:rsid w:val="5D2F4993"/>
    <w:rsid w:val="5D4D4B30"/>
    <w:rsid w:val="5F9920D6"/>
    <w:rsid w:val="60077599"/>
    <w:rsid w:val="60107889"/>
    <w:rsid w:val="606E3563"/>
    <w:rsid w:val="60867BFE"/>
    <w:rsid w:val="60B6404A"/>
    <w:rsid w:val="60D458BB"/>
    <w:rsid w:val="60F03498"/>
    <w:rsid w:val="60F6595A"/>
    <w:rsid w:val="61113278"/>
    <w:rsid w:val="61300818"/>
    <w:rsid w:val="616044A2"/>
    <w:rsid w:val="61831D33"/>
    <w:rsid w:val="621A6328"/>
    <w:rsid w:val="626C66A6"/>
    <w:rsid w:val="627A3766"/>
    <w:rsid w:val="62925B51"/>
    <w:rsid w:val="62E92B41"/>
    <w:rsid w:val="62FE5835"/>
    <w:rsid w:val="632F62F8"/>
    <w:rsid w:val="633E6949"/>
    <w:rsid w:val="63454EB9"/>
    <w:rsid w:val="637644DD"/>
    <w:rsid w:val="63DF6526"/>
    <w:rsid w:val="644675FE"/>
    <w:rsid w:val="655820EC"/>
    <w:rsid w:val="656071F2"/>
    <w:rsid w:val="6583539F"/>
    <w:rsid w:val="65921AA2"/>
    <w:rsid w:val="65F42A43"/>
    <w:rsid w:val="662B2F3B"/>
    <w:rsid w:val="67C57F21"/>
    <w:rsid w:val="6874548F"/>
    <w:rsid w:val="688E1B8B"/>
    <w:rsid w:val="69126A56"/>
    <w:rsid w:val="69EC54F9"/>
    <w:rsid w:val="6AF325B5"/>
    <w:rsid w:val="6B900945"/>
    <w:rsid w:val="6BEF38BE"/>
    <w:rsid w:val="6D10521A"/>
    <w:rsid w:val="6D703A9E"/>
    <w:rsid w:val="6D774FB8"/>
    <w:rsid w:val="6D943EDD"/>
    <w:rsid w:val="6DB46B6D"/>
    <w:rsid w:val="6EA90247"/>
    <w:rsid w:val="6EBE3907"/>
    <w:rsid w:val="6EEB623D"/>
    <w:rsid w:val="703419A7"/>
    <w:rsid w:val="712D6D4D"/>
    <w:rsid w:val="71724535"/>
    <w:rsid w:val="71CF3736"/>
    <w:rsid w:val="723864FB"/>
    <w:rsid w:val="724D0317"/>
    <w:rsid w:val="72503165"/>
    <w:rsid w:val="72750781"/>
    <w:rsid w:val="72AA7CFF"/>
    <w:rsid w:val="72EE408F"/>
    <w:rsid w:val="740565DF"/>
    <w:rsid w:val="75D50B2D"/>
    <w:rsid w:val="76165DD7"/>
    <w:rsid w:val="76463CCB"/>
    <w:rsid w:val="769C5088"/>
    <w:rsid w:val="77453BED"/>
    <w:rsid w:val="776668EA"/>
    <w:rsid w:val="785C7CED"/>
    <w:rsid w:val="797B769E"/>
    <w:rsid w:val="79FB41D3"/>
    <w:rsid w:val="7A0D54E5"/>
    <w:rsid w:val="7AC64070"/>
    <w:rsid w:val="7B875677"/>
    <w:rsid w:val="7D8436EA"/>
    <w:rsid w:val="7D9D45CA"/>
    <w:rsid w:val="7EC601B8"/>
    <w:rsid w:val="7EDE28DD"/>
    <w:rsid w:val="7EE84089"/>
    <w:rsid w:val="7F261DDE"/>
    <w:rsid w:val="7F9845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Times New Roman" w:hAnsi="Times New Roman" w:eastAsia="Times New Roman" w:cs="Times New Roman"/>
      <w:sz w:val="24"/>
      <w:szCs w:val="24"/>
    </w:rPr>
  </w:style>
  <w:style w:type="paragraph" w:styleId="3">
    <w:name w:val="heading 1"/>
    <w:basedOn w:val="4"/>
    <w:next w:val="1"/>
    <w:link w:val="28"/>
    <w:autoRedefine/>
    <w:qFormat/>
    <w:uiPriority w:val="0"/>
    <w:pPr>
      <w:spacing w:before="340" w:after="330" w:line="360" w:lineRule="auto"/>
      <w:jc w:val="center"/>
      <w:outlineLvl w:val="0"/>
    </w:pPr>
    <w:rPr>
      <w:rFonts w:eastAsia="黑体"/>
      <w:kern w:val="44"/>
      <w:szCs w:val="44"/>
    </w:rPr>
  </w:style>
  <w:style w:type="paragraph" w:styleId="6">
    <w:name w:val="heading 2"/>
    <w:basedOn w:val="4"/>
    <w:next w:val="5"/>
    <w:link w:val="29"/>
    <w:autoRedefine/>
    <w:qFormat/>
    <w:uiPriority w:val="0"/>
    <w:pPr>
      <w:adjustRightInd w:val="0"/>
      <w:jc w:val="center"/>
      <w:textAlignment w:val="baseline"/>
      <w:outlineLvl w:val="1"/>
    </w:pPr>
    <w:rPr>
      <w:sz w:val="24"/>
      <w:szCs w:val="20"/>
    </w:rPr>
  </w:style>
  <w:style w:type="paragraph" w:styleId="4">
    <w:name w:val="heading 3"/>
    <w:basedOn w:val="5"/>
    <w:next w:val="1"/>
    <w:link w:val="27"/>
    <w:autoRedefine/>
    <w:qFormat/>
    <w:uiPriority w:val="9"/>
    <w:pPr>
      <w:spacing w:before="260" w:after="260" w:line="240" w:lineRule="auto"/>
      <w:outlineLvl w:val="2"/>
    </w:pPr>
    <w:rPr>
      <w:rFonts w:ascii="宋体" w:hAnsi="宋体" w:eastAsia="宋体"/>
      <w:szCs w:val="32"/>
    </w:rPr>
  </w:style>
  <w:style w:type="paragraph" w:styleId="5">
    <w:name w:val="heading 4"/>
    <w:basedOn w:val="1"/>
    <w:next w:val="1"/>
    <w:link w:val="26"/>
    <w:autoRedefine/>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autoRedefine/>
    <w:semiHidden/>
    <w:qFormat/>
    <w:uiPriority w:val="0"/>
  </w:style>
  <w:style w:type="table" w:default="1" w:styleId="17">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31"/>
    <w:autoRedefine/>
    <w:qFormat/>
    <w:uiPriority w:val="0"/>
    <w:pPr>
      <w:spacing w:line="360" w:lineRule="auto"/>
    </w:pPr>
    <w:rPr>
      <w:b/>
      <w:bCs/>
    </w:rPr>
  </w:style>
  <w:style w:type="paragraph" w:styleId="7">
    <w:name w:val="Normal Indent"/>
    <w:basedOn w:val="1"/>
    <w:link w:val="25"/>
    <w:autoRedefine/>
    <w:qFormat/>
    <w:uiPriority w:val="0"/>
    <w:pPr>
      <w:ind w:firstLine="420"/>
    </w:pPr>
    <w:rPr>
      <w:szCs w:val="20"/>
    </w:rPr>
  </w:style>
  <w:style w:type="paragraph" w:styleId="8">
    <w:name w:val="annotation text"/>
    <w:basedOn w:val="1"/>
    <w:link w:val="30"/>
    <w:autoRedefine/>
    <w:unhideWhenUsed/>
    <w:qFormat/>
    <w:uiPriority w:val="0"/>
    <w:pPr>
      <w:spacing w:before="0" w:beforeAutospacing="0" w:after="0" w:afterAutospacing="0"/>
      <w:ind w:left="0" w:right="0"/>
      <w:jc w:val="left"/>
    </w:pPr>
    <w:rPr>
      <w:rFonts w:hint="default" w:ascii="Times New Roman" w:hAnsi="Times New Roman" w:cs="Times New Roman"/>
      <w:kern w:val="0"/>
      <w:sz w:val="24"/>
      <w:szCs w:val="24"/>
      <w:lang w:val="en-US" w:eastAsia="zh-CN" w:bidi="ar"/>
    </w:rPr>
  </w:style>
  <w:style w:type="paragraph" w:styleId="9">
    <w:name w:val="Body Text Indent"/>
    <w:basedOn w:val="1"/>
    <w:autoRedefine/>
    <w:qFormat/>
    <w:uiPriority w:val="99"/>
    <w:pPr>
      <w:spacing w:after="120"/>
      <w:ind w:left="420" w:leftChars="200"/>
    </w:pPr>
    <w:rPr>
      <w:rFonts w:ascii="Times New Roman" w:hAnsi="Times New Roman" w:eastAsia="宋体" w:cs="Times New Roman"/>
      <w:sz w:val="21"/>
    </w:rPr>
  </w:style>
  <w:style w:type="paragraph" w:styleId="10">
    <w:name w:val="Balloon Text"/>
    <w:basedOn w:val="1"/>
    <w:autoRedefine/>
    <w:qFormat/>
    <w:uiPriority w:val="0"/>
    <w:rPr>
      <w:sz w:val="18"/>
      <w:szCs w:val="18"/>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2"/>
    <w:basedOn w:val="1"/>
    <w:autoRedefine/>
    <w:qFormat/>
    <w:uiPriority w:val="0"/>
    <w:pPr>
      <w:spacing w:line="360" w:lineRule="auto"/>
    </w:pPr>
    <w:rPr>
      <w:sz w:val="24"/>
    </w:r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link w:val="23"/>
    <w:autoRedefine/>
    <w:qFormat/>
    <w:uiPriority w:val="99"/>
  </w:style>
  <w:style w:type="paragraph" w:styleId="16">
    <w:name w:val="Body Text First Indent 2"/>
    <w:basedOn w:val="9"/>
    <w:autoRedefine/>
    <w:qFormat/>
    <w:uiPriority w:val="99"/>
    <w:pPr>
      <w:ind w:firstLine="420" w:firstLineChars="200"/>
    </w:p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autoRedefine/>
    <w:qFormat/>
    <w:uiPriority w:val="0"/>
    <w:rPr>
      <w:b/>
    </w:rPr>
  </w:style>
  <w:style w:type="character" w:styleId="21">
    <w:name w:val="Hyperlink"/>
    <w:autoRedefine/>
    <w:qFormat/>
    <w:uiPriority w:val="99"/>
    <w:rPr>
      <w:color w:val="0000FF"/>
      <w:u w:val="single"/>
    </w:rPr>
  </w:style>
  <w:style w:type="paragraph" w:customStyle="1" w:styleId="2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3">
    <w:name w:val="普通(网站) Char"/>
    <w:link w:val="15"/>
    <w:autoRedefine/>
    <w:qFormat/>
    <w:uiPriority w:val="0"/>
    <w:rPr>
      <w:kern w:val="2"/>
      <w:sz w:val="24"/>
      <w:szCs w:val="24"/>
    </w:rPr>
  </w:style>
  <w:style w:type="paragraph" w:customStyle="1" w:styleId="24">
    <w:name w:val="Table Paragraph"/>
    <w:basedOn w:val="1"/>
    <w:autoRedefine/>
    <w:qFormat/>
    <w:uiPriority w:val="1"/>
    <w:rPr>
      <w:rFonts w:ascii="宋体" w:hAnsi="宋体" w:cs="宋体"/>
      <w:lang w:val="zh-CN" w:bidi="zh-CN"/>
    </w:rPr>
  </w:style>
  <w:style w:type="character" w:customStyle="1" w:styleId="25">
    <w:name w:val="正文缩进 Char"/>
    <w:link w:val="7"/>
    <w:autoRedefine/>
    <w:qFormat/>
    <w:uiPriority w:val="0"/>
    <w:rPr>
      <w:rFonts w:eastAsia="宋体"/>
      <w:kern w:val="2"/>
      <w:sz w:val="21"/>
      <w:lang w:val="en-US" w:eastAsia="zh-CN" w:bidi="ar-SA"/>
    </w:rPr>
  </w:style>
  <w:style w:type="character" w:customStyle="1" w:styleId="26">
    <w:name w:val="标题 4 Char"/>
    <w:link w:val="5"/>
    <w:autoRedefine/>
    <w:qFormat/>
    <w:uiPriority w:val="9"/>
    <w:rPr>
      <w:rFonts w:ascii="Arial" w:hAnsi="Arial" w:eastAsia="黑体"/>
      <w:b/>
      <w:bCs/>
      <w:kern w:val="2"/>
      <w:sz w:val="28"/>
      <w:szCs w:val="28"/>
      <w:lang w:val="en-US" w:eastAsia="zh-CN" w:bidi="ar-SA"/>
    </w:rPr>
  </w:style>
  <w:style w:type="character" w:customStyle="1" w:styleId="27">
    <w:name w:val="标题 3 Char1"/>
    <w:link w:val="4"/>
    <w:autoRedefine/>
    <w:qFormat/>
    <w:uiPriority w:val="9"/>
    <w:rPr>
      <w:rFonts w:ascii="宋体" w:hAnsi="宋体" w:eastAsia="宋体"/>
      <w:b/>
      <w:bCs/>
      <w:kern w:val="2"/>
      <w:sz w:val="28"/>
      <w:szCs w:val="32"/>
      <w:lang w:val="en-US" w:eastAsia="zh-CN" w:bidi="ar-SA"/>
    </w:rPr>
  </w:style>
  <w:style w:type="character" w:customStyle="1" w:styleId="28">
    <w:name w:val="标题 1 Char"/>
    <w:link w:val="3"/>
    <w:autoRedefine/>
    <w:qFormat/>
    <w:uiPriority w:val="0"/>
    <w:rPr>
      <w:rFonts w:ascii="宋体" w:hAnsi="宋体" w:eastAsia="黑体"/>
      <w:b/>
      <w:bCs/>
      <w:kern w:val="44"/>
      <w:sz w:val="28"/>
      <w:szCs w:val="44"/>
      <w:lang w:val="en-US" w:eastAsia="zh-CN" w:bidi="ar-SA"/>
    </w:rPr>
  </w:style>
  <w:style w:type="character" w:customStyle="1" w:styleId="29">
    <w:name w:val="标题 2 Char"/>
    <w:link w:val="6"/>
    <w:autoRedefine/>
    <w:qFormat/>
    <w:uiPriority w:val="0"/>
    <w:rPr>
      <w:rFonts w:ascii="宋体" w:hAnsi="宋体" w:eastAsia="宋体"/>
      <w:b/>
      <w:bCs/>
      <w:sz w:val="24"/>
      <w:lang w:val="en-US" w:eastAsia="zh-CN" w:bidi="ar-SA"/>
    </w:rPr>
  </w:style>
  <w:style w:type="character" w:customStyle="1" w:styleId="30">
    <w:name w:val="批注文字 Char"/>
    <w:basedOn w:val="19"/>
    <w:link w:val="8"/>
    <w:autoRedefine/>
    <w:qFormat/>
    <w:uiPriority w:val="0"/>
    <w:rPr>
      <w:sz w:val="24"/>
      <w:szCs w:val="24"/>
    </w:rPr>
  </w:style>
  <w:style w:type="character" w:customStyle="1" w:styleId="31">
    <w:name w:val="正文文本 Char"/>
    <w:link w:val="2"/>
    <w:autoRedefine/>
    <w:qFormat/>
    <w:uiPriority w:val="0"/>
    <w:rPr>
      <w:rFonts w:eastAsia="宋体"/>
      <w:b/>
      <w:bCs/>
      <w:kern w:val="2"/>
      <w:sz w:val="24"/>
      <w:szCs w:val="24"/>
      <w:lang w:val="en-US" w:eastAsia="zh-CN" w:bidi="ar-SA"/>
    </w:rPr>
  </w:style>
  <w:style w:type="character" w:customStyle="1" w:styleId="32">
    <w:name w:val="标题 3 Char"/>
    <w:autoRedefine/>
    <w:qFormat/>
    <w:uiPriority w:val="0"/>
    <w:rPr>
      <w:rFonts w:ascii="黑体" w:eastAsia="黑体"/>
      <w:bCs/>
      <w:sz w:val="30"/>
    </w:rPr>
  </w:style>
  <w:style w:type="paragraph" w:customStyle="1" w:styleId="33">
    <w:name w:val="正文1"/>
    <w:basedOn w:val="1"/>
    <w:autoRedefine/>
    <w:qFormat/>
    <w:uiPriority w:val="0"/>
    <w:pPr>
      <w:tabs>
        <w:tab w:val="left" w:pos="4"/>
      </w:tabs>
    </w:pPr>
    <w:rPr>
      <w:rFonts w:ascii="宋体" w:hAnsi="宋体"/>
      <w:sz w:val="18"/>
    </w:rPr>
  </w:style>
  <w:style w:type="paragraph" w:customStyle="1" w:styleId="34">
    <w:name w:val="彩色列表 - 强调文字颜色 111"/>
    <w:basedOn w:val="1"/>
    <w:autoRedefine/>
    <w:qFormat/>
    <w:uiPriority w:val="0"/>
    <w:pPr>
      <w:ind w:firstLine="420" w:firstLineChars="200"/>
    </w:pPr>
  </w:style>
  <w:style w:type="character" w:customStyle="1" w:styleId="35">
    <w:name w:val="15"/>
    <w:basedOn w:val="19"/>
    <w:qFormat/>
    <w:uiPriority w:val="0"/>
    <w:rPr>
      <w:rFonts w:hint="default" w:ascii="Times New Roman" w:hAnsi="Times New Roman" w:cs="Times New Roman"/>
      <w:color w:val="0563C1"/>
      <w:u w:val="single"/>
    </w:rPr>
  </w:style>
  <w:style w:type="paragraph" w:customStyle="1" w:styleId="36">
    <w:name w:val="列出段落1"/>
    <w:basedOn w:val="1"/>
    <w:qFormat/>
    <w:uiPriority w:val="0"/>
    <w:pPr>
      <w:spacing w:before="0" w:beforeAutospacing="0" w:after="0" w:afterAutospacing="0"/>
      <w:ind w:left="0" w:right="0" w:firstLine="420" w:firstLineChars="200"/>
      <w:jc w:val="left"/>
    </w:pPr>
    <w:rPr>
      <w:rFonts w:hint="default"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94</Pages>
  <Words>99</Words>
  <Characters>125</Characters>
  <Lines>1</Lines>
  <Paragraphs>1</Paragraphs>
  <TotalTime>58</TotalTime>
  <ScaleCrop>false</ScaleCrop>
  <LinksUpToDate>false</LinksUpToDate>
  <CharactersWithSpaces>132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2022-05-20T08:55:00Z</dcterms:created>
  <dc:creator>lenovo01</dc:creator>
  <cp:lastModifiedBy>.</cp:lastModifiedBy>
  <cp:lastPrinted>2025-03-13T08:43:00Z</cp:lastPrinted>
  <dcterms:modified xsi:type="dcterms:W3CDTF">2025-03-14T10:38:31Z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058807A408FF4A24A3B73BF4A15AAD69_13</vt:lpwstr>
  </property>
  <property fmtid="{D5CDD505-2E9C-101B-9397-08002B2CF9AE}" pid="4" name="KSOTemplateDocerSaveRecord">
    <vt:lpwstr>eyJoZGlkIjoiY2EyYzEzMWEzN2I1NWFlYTE3OGI0YmNlYjc4MDc0ZjYiLCJ1c2VySWQiOiIxNjA0NzI1MDM4In0=</vt:lpwstr>
  </property>
</Properties>
</file>