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07549">
      <w:pPr>
        <w:keepNext w:val="0"/>
        <w:keepLines w:val="0"/>
        <w:pageBreakBefore w:val="0"/>
        <w:widowControl/>
        <w:snapToGrid/>
        <w:spacing w:before="100" w:beforeAutospacing="1" w:after="100" w:afterAutospacing="1"/>
        <w:outlineLvl w:val="9"/>
        <w:rPr>
          <w:rFonts w:hint="eastAsia" w:ascii="宋体" w:hAnsi="宋体" w:eastAsia="宋体" w:cs="宋体"/>
          <w:b/>
          <w:bCs/>
          <w:color w:val="auto"/>
          <w:sz w:val="40"/>
          <w:szCs w:val="40"/>
        </w:rPr>
      </w:pPr>
    </w:p>
    <w:p w14:paraId="16DC0FF2">
      <w:pPr>
        <w:jc w:val="right"/>
        <w:rPr>
          <w:rFonts w:hint="eastAsia" w:ascii="宋体" w:hAnsi="宋体" w:eastAsia="宋体" w:cs="宋体"/>
          <w:b/>
          <w:color w:val="auto"/>
          <w:spacing w:val="20"/>
          <w:sz w:val="28"/>
        </w:rPr>
        <w:sectPr>
          <w:footerReference r:id="rId5" w:type="default"/>
          <w:pgSz w:w="11906" w:h="16838"/>
          <w:pgMar w:top="1440" w:right="1800" w:bottom="1440" w:left="1800" w:header="720" w:footer="720" w:gutter="0"/>
          <w:pgNumType w:fmt="decimal"/>
          <w:cols w:space="720" w:num="1"/>
          <w:docGrid w:linePitch="360" w:charSpace="0"/>
        </w:sectPr>
      </w:pPr>
    </w:p>
    <w:p w14:paraId="233FC757">
      <w:pPr>
        <w:jc w:val="right"/>
        <w:rPr>
          <w:rFonts w:hint="eastAsia" w:ascii="宋体" w:hAnsi="宋体" w:eastAsia="宋体" w:cs="宋体"/>
          <w:color w:val="auto"/>
          <w:sz w:val="52"/>
          <w:szCs w:val="52"/>
        </w:rPr>
      </w:pPr>
      <w:r>
        <w:rPr>
          <w:rFonts w:hint="eastAsia" w:ascii="宋体" w:hAnsi="宋体" w:eastAsia="宋体" w:cs="宋体"/>
          <w:b/>
          <w:color w:val="auto"/>
          <w:spacing w:val="20"/>
          <w:sz w:val="28"/>
        </w:rPr>
        <w:t>项目编号：</w:t>
      </w:r>
      <w:r>
        <w:rPr>
          <w:rFonts w:hint="eastAsia" w:ascii="宋体" w:hAnsi="宋体" w:eastAsia="宋体" w:cs="宋体"/>
          <w:b/>
          <w:color w:val="auto"/>
          <w:spacing w:val="20"/>
          <w:sz w:val="28"/>
          <w:lang w:eastAsia="zh-CN"/>
        </w:rPr>
        <w:t>SZDL2025000213</w:t>
      </w:r>
      <w:r>
        <w:rPr>
          <w:rFonts w:hint="eastAsia" w:ascii="宋体" w:hAnsi="宋体" w:eastAsia="宋体" w:cs="宋体"/>
          <w:b/>
          <w:color w:val="auto"/>
          <w:spacing w:val="20"/>
          <w:sz w:val="28"/>
        </w:rPr>
        <w:t xml:space="preserve"> </w:t>
      </w:r>
    </w:p>
    <w:p w14:paraId="3C32962B">
      <w:pPr>
        <w:pStyle w:val="2"/>
        <w:rPr>
          <w:rFonts w:hint="eastAsia" w:ascii="宋体" w:hAnsi="宋体" w:eastAsia="宋体" w:cs="宋体"/>
          <w:color w:val="auto"/>
        </w:rPr>
      </w:pPr>
    </w:p>
    <w:p w14:paraId="57792DED">
      <w:pPr>
        <w:jc w:val="center"/>
        <w:rPr>
          <w:rFonts w:hint="eastAsia" w:ascii="宋体" w:hAnsi="宋体" w:eastAsia="宋体" w:cs="宋体"/>
          <w:color w:val="auto"/>
          <w:sz w:val="52"/>
          <w:szCs w:val="52"/>
        </w:rPr>
      </w:pPr>
    </w:p>
    <w:p w14:paraId="6A4143DD">
      <w:pPr>
        <w:pStyle w:val="2"/>
        <w:rPr>
          <w:rFonts w:hint="eastAsia" w:ascii="宋体" w:hAnsi="宋体" w:eastAsia="宋体" w:cs="宋体"/>
          <w:color w:val="auto"/>
        </w:rPr>
      </w:pPr>
    </w:p>
    <w:p w14:paraId="4DC69D35">
      <w:pPr>
        <w:pStyle w:val="3"/>
        <w:rPr>
          <w:rFonts w:hint="eastAsia" w:ascii="宋体" w:hAnsi="宋体" w:eastAsia="宋体" w:cs="宋体"/>
          <w:color w:val="auto"/>
        </w:rPr>
      </w:pPr>
    </w:p>
    <w:p w14:paraId="72FC69AD">
      <w:pPr>
        <w:pStyle w:val="3"/>
        <w:rPr>
          <w:rFonts w:hint="eastAsia" w:ascii="宋体" w:hAnsi="宋体" w:eastAsia="宋体" w:cs="宋体"/>
          <w:color w:val="auto"/>
        </w:rPr>
      </w:pPr>
    </w:p>
    <w:p w14:paraId="4D9A4C28">
      <w:pPr>
        <w:jc w:val="center"/>
        <w:rPr>
          <w:rFonts w:hint="eastAsia" w:ascii="宋体" w:hAnsi="宋体" w:eastAsia="宋体" w:cs="宋体"/>
          <w:color w:val="auto"/>
          <w:sz w:val="52"/>
          <w:szCs w:val="52"/>
        </w:rPr>
      </w:pPr>
      <w:r>
        <w:rPr>
          <w:rFonts w:hint="eastAsia" w:ascii="宋体" w:hAnsi="宋体" w:eastAsia="宋体" w:cs="宋体"/>
          <w:color w:val="auto"/>
          <w:sz w:val="52"/>
          <w:szCs w:val="52"/>
        </w:rPr>
        <w:t>【服务类】</w:t>
      </w:r>
    </w:p>
    <w:p w14:paraId="362A055C">
      <w:pPr>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eastAsia="zh-CN"/>
        </w:rPr>
        <w:t>景观照明设施维护（福田标段）（</w:t>
      </w:r>
      <w:r>
        <w:rPr>
          <w:rFonts w:hint="eastAsia" w:ascii="宋体" w:hAnsi="宋体" w:eastAsia="宋体" w:cs="宋体"/>
          <w:color w:val="auto"/>
          <w:sz w:val="52"/>
          <w:szCs w:val="52"/>
          <w:lang w:val="en-US" w:eastAsia="zh-CN"/>
        </w:rPr>
        <w:t>A</w:t>
      </w:r>
      <w:r>
        <w:rPr>
          <w:rFonts w:hint="eastAsia" w:ascii="宋体" w:hAnsi="宋体" w:eastAsia="宋体" w:cs="宋体"/>
          <w:color w:val="auto"/>
          <w:sz w:val="52"/>
          <w:szCs w:val="52"/>
          <w:lang w:eastAsia="zh-CN"/>
        </w:rPr>
        <w:t>包）</w:t>
      </w:r>
    </w:p>
    <w:p w14:paraId="3C93559F">
      <w:pPr>
        <w:rPr>
          <w:rFonts w:hint="eastAsia" w:ascii="宋体" w:hAnsi="宋体" w:eastAsia="宋体" w:cs="宋体"/>
          <w:color w:val="auto"/>
        </w:rPr>
      </w:pPr>
    </w:p>
    <w:p w14:paraId="3D56F085">
      <w:pPr>
        <w:rPr>
          <w:rFonts w:hint="eastAsia" w:ascii="宋体" w:hAnsi="宋体" w:eastAsia="宋体" w:cs="宋体"/>
          <w:color w:val="auto"/>
        </w:rPr>
      </w:pPr>
    </w:p>
    <w:p w14:paraId="2E90239D">
      <w:pPr>
        <w:rPr>
          <w:rFonts w:hint="eastAsia" w:ascii="宋体" w:hAnsi="宋体" w:eastAsia="宋体" w:cs="宋体"/>
          <w:color w:val="auto"/>
        </w:rPr>
      </w:pPr>
    </w:p>
    <w:p w14:paraId="360D31BA">
      <w:pPr>
        <w:rPr>
          <w:rFonts w:hint="eastAsia" w:ascii="宋体" w:hAnsi="宋体" w:eastAsia="宋体" w:cs="宋体"/>
          <w:color w:val="auto"/>
        </w:rPr>
      </w:pPr>
    </w:p>
    <w:p w14:paraId="2FE00B13">
      <w:pPr>
        <w:keepNext w:val="0"/>
        <w:keepLines w:val="0"/>
        <w:pageBreakBefore w:val="0"/>
        <w:widowControl w:val="0"/>
        <w:snapToGrid/>
        <w:spacing w:after="126" w:afterLines="40"/>
        <w:jc w:val="center"/>
        <w:rPr>
          <w:rFonts w:hint="eastAsia" w:ascii="宋体" w:hAnsi="宋体" w:eastAsia="宋体" w:cs="宋体"/>
          <w:color w:val="auto"/>
          <w:sz w:val="72"/>
          <w:szCs w:val="52"/>
        </w:rPr>
      </w:pPr>
      <w:r>
        <w:rPr>
          <w:rFonts w:hint="eastAsia" w:ascii="宋体" w:hAnsi="宋体" w:eastAsia="宋体" w:cs="宋体"/>
          <w:color w:val="auto"/>
          <w:sz w:val="72"/>
          <w:szCs w:val="52"/>
        </w:rPr>
        <w:t>招 标 文 件</w:t>
      </w:r>
    </w:p>
    <w:p w14:paraId="42B3BE99">
      <w:pPr>
        <w:pStyle w:val="3"/>
        <w:rPr>
          <w:rFonts w:hint="eastAsia" w:ascii="宋体" w:hAnsi="宋体" w:eastAsia="宋体" w:cs="宋体"/>
          <w:color w:val="auto"/>
        </w:rPr>
      </w:pPr>
    </w:p>
    <w:p w14:paraId="30553A04">
      <w:pPr>
        <w:pStyle w:val="3"/>
        <w:rPr>
          <w:rFonts w:hint="eastAsia" w:ascii="宋体" w:hAnsi="宋体" w:eastAsia="宋体" w:cs="宋体"/>
          <w:color w:val="auto"/>
          <w:lang w:eastAsia="zh-CN"/>
        </w:rPr>
      </w:pPr>
    </w:p>
    <w:p w14:paraId="6D059146">
      <w:pPr>
        <w:pStyle w:val="3"/>
        <w:rPr>
          <w:rFonts w:hint="eastAsia" w:ascii="宋体" w:hAnsi="宋体" w:eastAsia="宋体" w:cs="宋体"/>
          <w:color w:val="auto"/>
          <w:lang w:eastAsia="zh-CN"/>
        </w:rPr>
      </w:pPr>
    </w:p>
    <w:p w14:paraId="7B93689E">
      <w:pPr>
        <w:pStyle w:val="3"/>
        <w:keepNext w:val="0"/>
        <w:keepLines w:val="0"/>
        <w:pageBreakBefore w:val="0"/>
        <w:widowControl w:val="0"/>
        <w:snapToGrid/>
        <w:spacing w:after="0"/>
        <w:jc w:val="center"/>
        <w:rPr>
          <w:rFonts w:hint="eastAsia" w:ascii="宋体" w:hAnsi="宋体" w:eastAsia="宋体" w:cs="宋体"/>
          <w:color w:val="auto"/>
          <w:lang w:eastAsia="zh-CN"/>
        </w:rPr>
      </w:pPr>
      <w:r>
        <w:rPr>
          <w:rFonts w:hint="eastAsia" w:ascii="宋体" w:hAnsi="宋体" w:eastAsia="宋体" w:cs="宋体"/>
          <w:color w:val="auto"/>
          <w:sz w:val="44"/>
          <w:lang w:eastAsia="zh-CN"/>
        </w:rPr>
        <w:drawing>
          <wp:inline distT="0" distB="0" distL="0" distR="0">
            <wp:extent cx="1210945" cy="1210945"/>
            <wp:effectExtent l="0" t="0" r="8255" b="8255"/>
            <wp:docPr id="2" name="图片 3"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b6bbc1c3021ac190a7f1ff08bab79ef"/>
                    <pic:cNvPicPr>
                      <a:picLocks noChangeAspect="1"/>
                    </pic:cNvPicPr>
                  </pic:nvPicPr>
                  <pic:blipFill>
                    <a:blip r:embed="rId9"/>
                    <a:stretch>
                      <a:fillRect/>
                    </a:stretch>
                  </pic:blipFill>
                  <pic:spPr>
                    <a:xfrm>
                      <a:off x="0" y="0"/>
                      <a:ext cx="1210945" cy="1210945"/>
                    </a:xfrm>
                    <a:prstGeom prst="rect">
                      <a:avLst/>
                    </a:prstGeom>
                  </pic:spPr>
                </pic:pic>
              </a:graphicData>
            </a:graphic>
          </wp:inline>
        </w:drawing>
      </w:r>
    </w:p>
    <w:p w14:paraId="262574E0">
      <w:pPr>
        <w:pStyle w:val="3"/>
        <w:keepNext w:val="0"/>
        <w:keepLines w:val="0"/>
        <w:pageBreakBefore w:val="0"/>
        <w:widowControl w:val="0"/>
        <w:snapToGrid/>
        <w:spacing w:after="0"/>
        <w:rPr>
          <w:rFonts w:hint="eastAsia" w:ascii="宋体" w:hAnsi="宋体" w:eastAsia="宋体" w:cs="宋体"/>
          <w:color w:val="auto"/>
          <w:lang w:eastAsia="zh-CN"/>
        </w:rPr>
      </w:pPr>
    </w:p>
    <w:p w14:paraId="76A65DAE">
      <w:pPr>
        <w:pStyle w:val="3"/>
        <w:keepNext w:val="0"/>
        <w:keepLines w:val="0"/>
        <w:pageBreakBefore w:val="0"/>
        <w:widowControl w:val="0"/>
        <w:snapToGrid/>
        <w:spacing w:after="0"/>
        <w:rPr>
          <w:rFonts w:hint="eastAsia" w:ascii="宋体" w:hAnsi="宋体" w:eastAsia="宋体" w:cs="宋体"/>
          <w:color w:val="auto"/>
          <w:lang w:eastAsia="zh-CN"/>
        </w:rPr>
      </w:pPr>
    </w:p>
    <w:p w14:paraId="7AFED119">
      <w:pPr>
        <w:snapToGrid w:val="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友和保险经纪有限公司</w:t>
      </w:r>
    </w:p>
    <w:p w14:paraId="3004F325">
      <w:pPr>
        <w:jc w:val="center"/>
        <w:rPr>
          <w:rFonts w:hint="eastAsia" w:ascii="宋体" w:hAnsi="宋体" w:eastAsia="宋体" w:cs="宋体"/>
          <w:color w:val="auto"/>
        </w:rPr>
      </w:pPr>
      <w:r>
        <w:rPr>
          <w:rFonts w:hint="eastAsia" w:ascii="宋体" w:hAnsi="宋体" w:eastAsia="宋体" w:cs="宋体"/>
          <w:b/>
          <w:bCs/>
          <w:color w:val="auto"/>
          <w:sz w:val="36"/>
          <w:szCs w:val="36"/>
        </w:rPr>
        <w:t>二〇二</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二</w:t>
      </w:r>
      <w:r>
        <w:rPr>
          <w:rFonts w:hint="eastAsia" w:ascii="宋体" w:hAnsi="宋体" w:eastAsia="宋体" w:cs="宋体"/>
          <w:b/>
          <w:bCs/>
          <w:color w:val="auto"/>
          <w:sz w:val="36"/>
          <w:szCs w:val="36"/>
        </w:rPr>
        <w:t>月</w:t>
      </w:r>
    </w:p>
    <w:p w14:paraId="24133AB7">
      <w:pPr>
        <w:spacing w:beforeAutospacing="1" w:afterAutospacing="1"/>
        <w:jc w:val="center"/>
        <w:outlineLvl w:val="1"/>
        <w:rPr>
          <w:rFonts w:hint="eastAsia" w:ascii="宋体" w:hAnsi="宋体" w:eastAsia="宋体" w:cs="宋体"/>
          <w:b/>
          <w:bCs/>
          <w:color w:val="auto"/>
          <w:sz w:val="40"/>
          <w:szCs w:val="40"/>
        </w:rPr>
      </w:pPr>
    </w:p>
    <w:p w14:paraId="1B859639">
      <w:pPr>
        <w:spacing w:beforeAutospacing="1" w:afterAutospacing="1"/>
        <w:jc w:val="center"/>
        <w:outlineLvl w:val="1"/>
        <w:rPr>
          <w:rFonts w:hint="eastAsia" w:ascii="宋体" w:hAnsi="宋体" w:eastAsia="宋体" w:cs="宋体"/>
          <w:b/>
          <w:bCs/>
          <w:color w:val="auto"/>
          <w:sz w:val="40"/>
          <w:szCs w:val="40"/>
        </w:rPr>
        <w:sectPr>
          <w:footerReference r:id="rId6" w:type="default"/>
          <w:type w:val="continuous"/>
          <w:pgSz w:w="11906" w:h="16838"/>
          <w:pgMar w:top="1440" w:right="1800" w:bottom="1440" w:left="1800" w:header="720" w:footer="720" w:gutter="0"/>
          <w:pgNumType w:fmt="decimal"/>
          <w:cols w:space="720" w:num="1"/>
          <w:docGrid w:linePitch="360" w:charSpace="0"/>
        </w:sectPr>
      </w:pPr>
    </w:p>
    <w:p w14:paraId="35047B97">
      <w:pPr>
        <w:spacing w:beforeAutospacing="1" w:afterAutospacing="1"/>
        <w:jc w:val="center"/>
        <w:outlineLvl w:val="1"/>
        <w:rPr>
          <w:rFonts w:hint="eastAsia" w:ascii="宋体" w:hAnsi="宋体" w:eastAsia="宋体" w:cs="宋体"/>
          <w:color w:val="auto"/>
          <w:sz w:val="40"/>
          <w:szCs w:val="40"/>
        </w:rPr>
      </w:pPr>
      <w:r>
        <w:rPr>
          <w:rFonts w:hint="eastAsia" w:ascii="宋体" w:hAnsi="宋体" w:eastAsia="宋体" w:cs="宋体"/>
          <w:b/>
          <w:bCs/>
          <w:color w:val="auto"/>
          <w:sz w:val="40"/>
          <w:szCs w:val="40"/>
        </w:rPr>
        <w:t>招</w:t>
      </w:r>
      <w:r>
        <w:rPr>
          <w:rFonts w:hint="eastAsia" w:ascii="宋体" w:hAnsi="宋体" w:eastAsia="宋体" w:cs="宋体"/>
          <w:color w:val="auto"/>
          <w:sz w:val="40"/>
          <w:szCs w:val="40"/>
        </w:rPr>
        <w:t>标文件信息</w:t>
      </w:r>
    </w:p>
    <w:tbl>
      <w:tblPr>
        <w:tblStyle w:val="35"/>
        <w:tblW w:w="7943" w:type="dxa"/>
        <w:jc w:val="center"/>
        <w:tblCellSpacing w:w="0" w:type="dxa"/>
        <w:tblLayout w:type="fixed"/>
        <w:tblCellMar>
          <w:top w:w="45" w:type="dxa"/>
          <w:left w:w="45" w:type="dxa"/>
          <w:bottom w:w="45" w:type="dxa"/>
          <w:right w:w="45" w:type="dxa"/>
        </w:tblCellMar>
      </w:tblPr>
      <w:tblGrid>
        <w:gridCol w:w="2723"/>
        <w:gridCol w:w="5220"/>
      </w:tblGrid>
      <w:tr w14:paraId="7D144A6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59B94C4E">
            <w:pPr>
              <w:jc w:val="right"/>
              <w:rPr>
                <w:rFonts w:hint="eastAsia" w:ascii="宋体" w:hAnsi="宋体" w:eastAsia="宋体" w:cs="宋体"/>
                <w:color w:val="auto"/>
                <w:sz w:val="30"/>
                <w:szCs w:val="30"/>
              </w:rPr>
            </w:pPr>
            <w:r>
              <w:rPr>
                <w:rFonts w:hint="eastAsia" w:ascii="宋体" w:hAnsi="宋体" w:eastAsia="宋体" w:cs="宋体"/>
                <w:color w:val="auto"/>
                <w:sz w:val="30"/>
                <w:szCs w:val="30"/>
              </w:rPr>
              <w:t>项目编号：</w:t>
            </w:r>
          </w:p>
        </w:tc>
        <w:tc>
          <w:tcPr>
            <w:tcW w:w="5220" w:type="dxa"/>
            <w:shd w:val="clear" w:color="auto" w:fill="auto"/>
            <w:noWrap w:val="0"/>
            <w:vAlign w:val="center"/>
          </w:tcPr>
          <w:p w14:paraId="1222B359">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SZDL2025000213</w:t>
            </w:r>
          </w:p>
        </w:tc>
      </w:tr>
      <w:tr w14:paraId="17DE942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11E8BB03">
            <w:pPr>
              <w:jc w:val="right"/>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tc>
        <w:tc>
          <w:tcPr>
            <w:tcW w:w="5220" w:type="dxa"/>
            <w:shd w:val="clear" w:color="auto" w:fill="auto"/>
            <w:noWrap w:val="0"/>
            <w:vAlign w:val="center"/>
          </w:tcPr>
          <w:p w14:paraId="2161CDC9">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景观照明设施维护（福田标段）（</w:t>
            </w:r>
            <w:r>
              <w:rPr>
                <w:rFonts w:hint="eastAsia" w:ascii="宋体" w:hAnsi="宋体" w:eastAsia="宋体" w:cs="宋体"/>
                <w:color w:val="auto"/>
                <w:sz w:val="30"/>
                <w:szCs w:val="30"/>
                <w:lang w:val="en-US" w:eastAsia="zh-CN"/>
              </w:rPr>
              <w:t>A</w:t>
            </w:r>
            <w:r>
              <w:rPr>
                <w:rFonts w:hint="eastAsia" w:ascii="宋体" w:hAnsi="宋体" w:eastAsia="宋体" w:cs="宋体"/>
                <w:color w:val="auto"/>
                <w:sz w:val="30"/>
                <w:szCs w:val="30"/>
                <w:lang w:eastAsia="zh-CN"/>
              </w:rPr>
              <w:t>包）</w:t>
            </w:r>
          </w:p>
        </w:tc>
      </w:tr>
      <w:tr w14:paraId="1EFD0D3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29146EEE">
            <w:pPr>
              <w:jc w:val="right"/>
              <w:rPr>
                <w:rFonts w:hint="eastAsia" w:ascii="宋体" w:hAnsi="宋体" w:eastAsia="宋体" w:cs="宋体"/>
                <w:color w:val="auto"/>
                <w:sz w:val="30"/>
                <w:szCs w:val="30"/>
              </w:rPr>
            </w:pPr>
            <w:r>
              <w:rPr>
                <w:rFonts w:hint="eastAsia" w:ascii="宋体" w:hAnsi="宋体" w:eastAsia="宋体" w:cs="宋体"/>
                <w:color w:val="auto"/>
                <w:sz w:val="30"/>
                <w:szCs w:val="30"/>
              </w:rPr>
              <w:t>包   号：</w:t>
            </w:r>
          </w:p>
        </w:tc>
        <w:tc>
          <w:tcPr>
            <w:tcW w:w="5220" w:type="dxa"/>
            <w:shd w:val="clear" w:color="auto" w:fill="auto"/>
            <w:noWrap w:val="0"/>
            <w:vAlign w:val="center"/>
          </w:tcPr>
          <w:p w14:paraId="628A79AB">
            <w:pPr>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A</w:t>
            </w:r>
          </w:p>
        </w:tc>
      </w:tr>
      <w:tr w14:paraId="0C0728D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766C9E94">
            <w:pPr>
              <w:jc w:val="right"/>
              <w:rPr>
                <w:rFonts w:hint="eastAsia" w:ascii="宋体" w:hAnsi="宋体" w:eastAsia="宋体" w:cs="宋体"/>
                <w:color w:val="auto"/>
                <w:sz w:val="30"/>
                <w:szCs w:val="30"/>
              </w:rPr>
            </w:pPr>
            <w:r>
              <w:rPr>
                <w:rFonts w:hint="eastAsia" w:ascii="宋体" w:hAnsi="宋体" w:eastAsia="宋体" w:cs="宋体"/>
                <w:color w:val="auto"/>
                <w:sz w:val="30"/>
                <w:szCs w:val="30"/>
              </w:rPr>
              <w:t>项目类型：</w:t>
            </w:r>
          </w:p>
        </w:tc>
        <w:tc>
          <w:tcPr>
            <w:tcW w:w="5220" w:type="dxa"/>
            <w:shd w:val="clear" w:color="auto" w:fill="auto"/>
            <w:noWrap w:val="0"/>
            <w:vAlign w:val="center"/>
          </w:tcPr>
          <w:p w14:paraId="476B2E1A">
            <w:pPr>
              <w:rPr>
                <w:rFonts w:hint="eastAsia" w:ascii="宋体" w:hAnsi="宋体" w:eastAsia="宋体" w:cs="宋体"/>
                <w:color w:val="auto"/>
                <w:sz w:val="30"/>
                <w:szCs w:val="30"/>
              </w:rPr>
            </w:pPr>
            <w:r>
              <w:rPr>
                <w:rFonts w:hint="eastAsia" w:ascii="宋体" w:hAnsi="宋体" w:eastAsia="宋体" w:cs="宋体"/>
                <w:color w:val="auto"/>
                <w:sz w:val="30"/>
                <w:szCs w:val="30"/>
              </w:rPr>
              <w:t>服务类</w:t>
            </w:r>
          </w:p>
        </w:tc>
      </w:tr>
      <w:tr w14:paraId="4A15EE5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20F58350">
            <w:pPr>
              <w:jc w:val="right"/>
              <w:rPr>
                <w:rFonts w:hint="eastAsia" w:ascii="宋体" w:hAnsi="宋体" w:eastAsia="宋体" w:cs="宋体"/>
                <w:color w:val="auto"/>
                <w:sz w:val="30"/>
                <w:szCs w:val="30"/>
              </w:rPr>
            </w:pPr>
            <w:r>
              <w:rPr>
                <w:rFonts w:hint="eastAsia" w:ascii="宋体" w:hAnsi="宋体" w:eastAsia="宋体" w:cs="宋体"/>
                <w:color w:val="auto"/>
                <w:sz w:val="30"/>
                <w:szCs w:val="30"/>
              </w:rPr>
              <w:t>采购方式：</w:t>
            </w:r>
          </w:p>
        </w:tc>
        <w:tc>
          <w:tcPr>
            <w:tcW w:w="5220" w:type="dxa"/>
            <w:shd w:val="clear" w:color="auto" w:fill="auto"/>
            <w:noWrap w:val="0"/>
            <w:vAlign w:val="center"/>
          </w:tcPr>
          <w:p w14:paraId="74A6D05A">
            <w:pPr>
              <w:rPr>
                <w:rFonts w:hint="eastAsia" w:ascii="宋体" w:hAnsi="宋体" w:eastAsia="宋体" w:cs="宋体"/>
                <w:color w:val="auto"/>
                <w:sz w:val="30"/>
                <w:szCs w:val="30"/>
              </w:rPr>
            </w:pPr>
            <w:r>
              <w:rPr>
                <w:rFonts w:hint="eastAsia" w:ascii="宋体" w:hAnsi="宋体" w:eastAsia="宋体" w:cs="宋体"/>
                <w:color w:val="auto"/>
                <w:sz w:val="30"/>
                <w:szCs w:val="30"/>
              </w:rPr>
              <w:t>公开招标</w:t>
            </w:r>
          </w:p>
        </w:tc>
      </w:tr>
      <w:tr w14:paraId="3C76859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79B8ECCA">
            <w:pPr>
              <w:jc w:val="right"/>
              <w:rPr>
                <w:rFonts w:hint="eastAsia" w:ascii="宋体" w:hAnsi="宋体" w:eastAsia="宋体" w:cs="宋体"/>
                <w:color w:val="auto"/>
                <w:sz w:val="30"/>
                <w:szCs w:val="30"/>
              </w:rPr>
            </w:pPr>
            <w:r>
              <w:rPr>
                <w:rFonts w:hint="eastAsia" w:ascii="宋体" w:hAnsi="宋体" w:eastAsia="宋体" w:cs="宋体"/>
                <w:color w:val="auto"/>
                <w:sz w:val="30"/>
                <w:szCs w:val="30"/>
              </w:rPr>
              <w:t>货币类型：</w:t>
            </w:r>
          </w:p>
        </w:tc>
        <w:tc>
          <w:tcPr>
            <w:tcW w:w="5220" w:type="dxa"/>
            <w:shd w:val="clear" w:color="auto" w:fill="auto"/>
            <w:noWrap w:val="0"/>
            <w:vAlign w:val="center"/>
          </w:tcPr>
          <w:p w14:paraId="172609DE">
            <w:pPr>
              <w:rPr>
                <w:rFonts w:hint="eastAsia" w:ascii="宋体" w:hAnsi="宋体" w:eastAsia="宋体" w:cs="宋体"/>
                <w:color w:val="auto"/>
                <w:sz w:val="30"/>
                <w:szCs w:val="30"/>
              </w:rPr>
            </w:pPr>
            <w:r>
              <w:rPr>
                <w:rFonts w:hint="eastAsia" w:ascii="宋体" w:hAnsi="宋体" w:eastAsia="宋体" w:cs="宋体"/>
                <w:color w:val="auto"/>
                <w:sz w:val="30"/>
                <w:szCs w:val="30"/>
              </w:rPr>
              <w:t>人民币</w:t>
            </w:r>
          </w:p>
        </w:tc>
      </w:tr>
      <w:tr w14:paraId="2830D69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noWrap w:val="0"/>
            <w:vAlign w:val="center"/>
          </w:tcPr>
          <w:p w14:paraId="281B7C15">
            <w:pPr>
              <w:jc w:val="right"/>
              <w:rPr>
                <w:rFonts w:hint="eastAsia" w:ascii="宋体" w:hAnsi="宋体" w:eastAsia="宋体" w:cs="宋体"/>
                <w:color w:val="auto"/>
                <w:sz w:val="30"/>
                <w:szCs w:val="30"/>
              </w:rPr>
            </w:pPr>
            <w:r>
              <w:rPr>
                <w:rFonts w:hint="eastAsia" w:ascii="宋体" w:hAnsi="宋体" w:eastAsia="宋体" w:cs="宋体"/>
                <w:color w:val="auto"/>
                <w:sz w:val="30"/>
                <w:szCs w:val="30"/>
              </w:rPr>
              <w:t>评标方法：</w:t>
            </w:r>
          </w:p>
        </w:tc>
        <w:tc>
          <w:tcPr>
            <w:tcW w:w="5220" w:type="dxa"/>
            <w:shd w:val="clear" w:color="auto" w:fill="auto"/>
            <w:noWrap w:val="0"/>
            <w:vAlign w:val="center"/>
          </w:tcPr>
          <w:p w14:paraId="62C9A73D">
            <w:pPr>
              <w:rPr>
                <w:rFonts w:hint="eastAsia" w:ascii="宋体" w:hAnsi="宋体" w:eastAsia="宋体" w:cs="宋体"/>
                <w:color w:val="auto"/>
                <w:sz w:val="30"/>
                <w:szCs w:val="30"/>
              </w:rPr>
            </w:pPr>
            <w:r>
              <w:rPr>
                <w:rFonts w:hint="eastAsia" w:ascii="宋体" w:hAnsi="宋体" w:eastAsia="宋体" w:cs="宋体"/>
                <w:color w:val="auto"/>
                <w:sz w:val="30"/>
                <w:szCs w:val="30"/>
              </w:rPr>
              <w:t>综合评分法（新价格分算法）</w:t>
            </w:r>
          </w:p>
        </w:tc>
      </w:tr>
    </w:tbl>
    <w:p w14:paraId="45F9D7D7">
      <w:pPr>
        <w:pStyle w:val="32"/>
        <w:keepNext w:val="0"/>
        <w:keepLines w:val="0"/>
        <w:pageBreakBefore w:val="0"/>
        <w:widowControl/>
        <w:snapToGrid/>
        <w:spacing w:before="0" w:beforeLines="100" w:after="0" w:afterLines="100"/>
        <w:jc w:val="center"/>
        <w:outlineLvl w:val="1"/>
        <w:rPr>
          <w:rFonts w:hint="eastAsia" w:ascii="宋体" w:hAnsi="宋体" w:eastAsia="宋体" w:cs="宋体"/>
          <w:color w:val="auto"/>
          <w:sz w:val="40"/>
          <w:szCs w:val="40"/>
        </w:rPr>
      </w:pPr>
      <w:r>
        <w:rPr>
          <w:rFonts w:hint="eastAsia" w:ascii="宋体" w:hAnsi="宋体" w:eastAsia="宋体" w:cs="宋体"/>
          <w:color w:val="auto"/>
          <w:sz w:val="40"/>
          <w:szCs w:val="40"/>
          <w:lang w:val="en-US" w:eastAsia="zh-CN" w:bidi="ar-SA"/>
        </w:rPr>
        <w:t>资格性审查表</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76254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D8E9BC3">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1CDF6D0">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内容</w:t>
            </w:r>
          </w:p>
        </w:tc>
      </w:tr>
      <w:tr w14:paraId="6E50A8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287C57EC">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278" w:type="dxa"/>
            <w:tcBorders>
              <w:top w:val="single" w:color="000000" w:sz="8" w:space="0"/>
              <w:left w:val="single" w:color="000000" w:sz="8" w:space="0"/>
              <w:bottom w:val="single" w:color="000000" w:sz="8" w:space="0"/>
              <w:right w:val="single" w:color="000000" w:sz="8" w:space="0"/>
            </w:tcBorders>
            <w:noWrap w:val="0"/>
          </w:tcPr>
          <w:p w14:paraId="48D55ACB">
            <w:pPr>
              <w:rPr>
                <w:rFonts w:hint="eastAsia" w:ascii="宋体" w:hAnsi="宋体" w:eastAsia="宋体" w:cs="宋体"/>
                <w:color w:val="auto"/>
                <w:szCs w:val="21"/>
              </w:rPr>
            </w:pPr>
            <w:r>
              <w:rPr>
                <w:rFonts w:hint="eastAsia" w:ascii="宋体" w:hAnsi="宋体" w:eastAsia="宋体" w:cs="宋体"/>
                <w:color w:val="auto"/>
                <w:szCs w:val="21"/>
              </w:rPr>
              <w:t>投标人不符合资格要求，或未提交相应的资格证明资料（详见招标公告投标人资格要求，即申请人的资格要求）</w:t>
            </w:r>
          </w:p>
        </w:tc>
      </w:tr>
    </w:tbl>
    <w:p w14:paraId="42C945A8">
      <w:pPr>
        <w:pStyle w:val="32"/>
        <w:keepNext w:val="0"/>
        <w:keepLines w:val="0"/>
        <w:pageBreakBefore w:val="0"/>
        <w:widowControl/>
        <w:snapToGrid/>
        <w:spacing w:before="0" w:beforeLines="100" w:after="0" w:afterLines="100"/>
        <w:jc w:val="center"/>
        <w:outlineLvl w:val="1"/>
        <w:rPr>
          <w:rFonts w:hint="eastAsia" w:ascii="宋体" w:hAnsi="宋体" w:eastAsia="宋体" w:cs="宋体"/>
          <w:color w:val="auto"/>
          <w:sz w:val="40"/>
          <w:szCs w:val="40"/>
          <w:lang w:val="en-US" w:eastAsia="zh-CN" w:bidi="ar-SA"/>
        </w:rPr>
      </w:pPr>
      <w:r>
        <w:rPr>
          <w:rFonts w:hint="eastAsia" w:ascii="宋体" w:hAnsi="宋体" w:eastAsia="宋体" w:cs="宋体"/>
          <w:color w:val="auto"/>
          <w:sz w:val="40"/>
          <w:szCs w:val="40"/>
          <w:lang w:val="en-US" w:eastAsia="zh-CN" w:bidi="ar-SA"/>
        </w:rPr>
        <w:t>符合性审查表</w:t>
      </w: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7C54E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315FB137">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32BC2B3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内容</w:t>
            </w:r>
          </w:p>
        </w:tc>
      </w:tr>
      <w:tr w14:paraId="09998F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05E45B19">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278" w:type="dxa"/>
            <w:tcBorders>
              <w:top w:val="single" w:color="000000" w:sz="8" w:space="0"/>
              <w:left w:val="single" w:color="000000" w:sz="8" w:space="0"/>
              <w:bottom w:val="single" w:color="000000" w:sz="8" w:space="0"/>
              <w:right w:val="single" w:color="000000" w:sz="8" w:space="0"/>
            </w:tcBorders>
            <w:noWrap w:val="0"/>
          </w:tcPr>
          <w:p w14:paraId="7C429A64">
            <w:pPr>
              <w:rPr>
                <w:rFonts w:hint="eastAsia" w:ascii="宋体" w:hAnsi="宋体" w:eastAsia="宋体" w:cs="宋体"/>
                <w:color w:val="auto"/>
                <w:szCs w:val="21"/>
              </w:rPr>
            </w:pPr>
            <w:r>
              <w:rPr>
                <w:rFonts w:hint="eastAsia" w:ascii="宋体" w:hAnsi="宋体" w:eastAsia="宋体" w:cs="宋体"/>
                <w:color w:val="auto"/>
              </w:rPr>
              <w:t>将一个包或一个标段的内容拆开投标；</w:t>
            </w:r>
          </w:p>
        </w:tc>
      </w:tr>
      <w:tr w14:paraId="6C4A6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7091DEB6">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278" w:type="dxa"/>
            <w:tcBorders>
              <w:top w:val="single" w:color="000000" w:sz="8" w:space="0"/>
              <w:left w:val="single" w:color="000000" w:sz="8" w:space="0"/>
              <w:bottom w:val="single" w:color="000000" w:sz="8" w:space="0"/>
              <w:right w:val="single" w:color="000000" w:sz="8" w:space="0"/>
            </w:tcBorders>
            <w:noWrap w:val="0"/>
          </w:tcPr>
          <w:p w14:paraId="1D5A1D58">
            <w:pPr>
              <w:rPr>
                <w:rFonts w:hint="eastAsia" w:ascii="宋体" w:hAnsi="宋体" w:eastAsia="宋体" w:cs="宋体"/>
                <w:color w:val="auto"/>
                <w:szCs w:val="21"/>
              </w:rPr>
            </w:pPr>
            <w:r>
              <w:rPr>
                <w:rFonts w:hint="eastAsia" w:ascii="宋体" w:hAnsi="宋体" w:eastAsia="宋体" w:cs="宋体"/>
                <w:color w:val="auto"/>
              </w:rPr>
              <w:t>对同一项目投标时，提供两套以上的投标方案（招标文件另有规定的除外）；</w:t>
            </w:r>
          </w:p>
        </w:tc>
      </w:tr>
      <w:tr w14:paraId="47DB30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4F07CAE7">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14:paraId="5647E606">
            <w:pPr>
              <w:jc w:val="left"/>
              <w:rPr>
                <w:rFonts w:hint="eastAsia" w:ascii="宋体" w:hAnsi="宋体" w:eastAsia="宋体" w:cs="宋体"/>
                <w:color w:val="auto"/>
                <w:szCs w:val="21"/>
              </w:rPr>
            </w:pPr>
            <w:r>
              <w:rPr>
                <w:rFonts w:hint="eastAsia" w:ascii="宋体" w:hAnsi="宋体" w:eastAsia="宋体" w:cs="宋体"/>
                <w:color w:val="auto"/>
              </w:rPr>
              <w:t>分项报价或投标总价高于</w:t>
            </w:r>
            <w:bookmarkStart w:id="0" w:name="_Hlk71832186"/>
            <w:r>
              <w:rPr>
                <w:rFonts w:hint="eastAsia" w:ascii="宋体" w:hAnsi="宋体" w:eastAsia="宋体" w:cs="宋体"/>
                <w:color w:val="auto"/>
              </w:rPr>
              <w:t>相应财政预算金额（或设定的财政预算金额下的最高限价）</w:t>
            </w:r>
            <w:bookmarkEnd w:id="0"/>
            <w:r>
              <w:rPr>
                <w:rFonts w:hint="eastAsia" w:ascii="宋体" w:hAnsi="宋体" w:eastAsia="宋体" w:cs="宋体"/>
                <w:color w:val="auto"/>
              </w:rPr>
              <w:t>；</w:t>
            </w:r>
          </w:p>
        </w:tc>
      </w:tr>
      <w:tr w14:paraId="731D4F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8" w:hRule="atLeast"/>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7613C3E4">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278" w:type="dxa"/>
            <w:tcBorders>
              <w:top w:val="single" w:color="000000" w:sz="8" w:space="0"/>
              <w:left w:val="single" w:color="000000" w:sz="8" w:space="0"/>
              <w:bottom w:val="single" w:color="000000" w:sz="8" w:space="0"/>
              <w:right w:val="single" w:color="000000" w:sz="8" w:space="0"/>
            </w:tcBorders>
            <w:noWrap w:val="0"/>
          </w:tcPr>
          <w:p w14:paraId="68BCD932">
            <w:pPr>
              <w:rPr>
                <w:rFonts w:hint="eastAsia" w:ascii="宋体" w:hAnsi="宋体" w:eastAsia="宋体" w:cs="宋体"/>
                <w:color w:val="auto"/>
                <w:szCs w:val="21"/>
              </w:rPr>
            </w:pPr>
            <w:r>
              <w:rPr>
                <w:rFonts w:hint="eastAsia" w:ascii="宋体" w:hAnsi="宋体" w:eastAsia="宋体" w:cs="宋体"/>
                <w:color w:val="auto"/>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A135B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3E558F90">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278" w:type="dxa"/>
            <w:tcBorders>
              <w:top w:val="single" w:color="000000" w:sz="8" w:space="0"/>
              <w:left w:val="single" w:color="000000" w:sz="8" w:space="0"/>
              <w:bottom w:val="single" w:color="000000" w:sz="8" w:space="0"/>
              <w:right w:val="single" w:color="000000" w:sz="8" w:space="0"/>
            </w:tcBorders>
            <w:noWrap w:val="0"/>
          </w:tcPr>
          <w:p w14:paraId="4EC336F0">
            <w:pPr>
              <w:rPr>
                <w:rFonts w:hint="eastAsia" w:ascii="宋体" w:hAnsi="宋体" w:eastAsia="宋体" w:cs="宋体"/>
                <w:color w:val="auto"/>
                <w:szCs w:val="21"/>
              </w:rPr>
            </w:pPr>
            <w:r>
              <w:rPr>
                <w:rFonts w:hint="eastAsia" w:ascii="宋体" w:hAnsi="宋体" w:eastAsia="宋体" w:cs="宋体"/>
                <w:color w:val="auto"/>
              </w:rPr>
              <w:t>所投货物、服务在技术、商务等方面没有实质性满足招标文件要求的（是否实质性满足招标文件要求，由评审委员会根据《实质性条款响应情况表》做出评判）</w:t>
            </w:r>
            <w:r>
              <w:rPr>
                <w:rFonts w:hint="eastAsia" w:ascii="宋体" w:hAnsi="宋体" w:eastAsia="宋体" w:cs="宋体"/>
                <w:color w:val="auto"/>
                <w:lang w:eastAsia="zh-CN"/>
              </w:rPr>
              <w:t>，投标文件的轻微瑕疵、非关键内容不得作为认定投标无效的依据</w:t>
            </w:r>
            <w:r>
              <w:rPr>
                <w:rFonts w:hint="eastAsia" w:ascii="宋体" w:hAnsi="宋体" w:eastAsia="宋体" w:cs="宋体"/>
                <w:color w:val="auto"/>
              </w:rPr>
              <w:t>）；</w:t>
            </w:r>
          </w:p>
        </w:tc>
      </w:tr>
      <w:tr w14:paraId="022571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8" w:hRule="atLeast"/>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218F1C15">
            <w:pPr>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278" w:type="dxa"/>
            <w:tcBorders>
              <w:top w:val="single" w:color="000000" w:sz="8" w:space="0"/>
              <w:left w:val="single" w:color="000000" w:sz="8" w:space="0"/>
              <w:bottom w:val="single" w:color="000000" w:sz="8" w:space="0"/>
              <w:right w:val="single" w:color="000000" w:sz="8" w:space="0"/>
            </w:tcBorders>
            <w:noWrap w:val="0"/>
          </w:tcPr>
          <w:p w14:paraId="7942D863">
            <w:pPr>
              <w:rPr>
                <w:rFonts w:hint="eastAsia" w:ascii="宋体" w:hAnsi="宋体" w:eastAsia="宋体" w:cs="宋体"/>
                <w:color w:val="auto"/>
                <w:szCs w:val="21"/>
              </w:rPr>
            </w:pPr>
            <w:r>
              <w:rPr>
                <w:rFonts w:hint="eastAsia" w:ascii="宋体" w:hAnsi="宋体" w:eastAsia="宋体" w:cs="宋体"/>
                <w:color w:val="auto"/>
              </w:rPr>
              <w:t>未按招标文件所提供的样式填写《投标函》；</w:t>
            </w:r>
          </w:p>
        </w:tc>
      </w:tr>
      <w:tr w14:paraId="0B3673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5F30297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8278" w:type="dxa"/>
            <w:tcBorders>
              <w:top w:val="single" w:color="000000" w:sz="8" w:space="0"/>
              <w:left w:val="single" w:color="000000" w:sz="8" w:space="0"/>
              <w:bottom w:val="single" w:color="000000" w:sz="8" w:space="0"/>
              <w:right w:val="single" w:color="000000" w:sz="8" w:space="0"/>
            </w:tcBorders>
            <w:noWrap w:val="0"/>
          </w:tcPr>
          <w:p w14:paraId="1DD67F35">
            <w:pPr>
              <w:rPr>
                <w:rFonts w:hint="eastAsia" w:ascii="宋体" w:hAnsi="宋体" w:eastAsia="宋体" w:cs="宋体"/>
                <w:color w:val="auto"/>
              </w:rPr>
            </w:pPr>
            <w:r>
              <w:rPr>
                <w:rFonts w:hint="eastAsia" w:ascii="宋体" w:hAnsi="宋体" w:eastAsia="宋体" w:cs="宋体"/>
                <w:color w:val="auto"/>
              </w:rPr>
              <w:t>未按招标文件所提供的《政府采购投标及履约承诺函》进行承诺或不符合承诺的；</w:t>
            </w:r>
          </w:p>
        </w:tc>
      </w:tr>
      <w:tr w14:paraId="54FBA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tcPr>
          <w:p w14:paraId="7D2B5E97">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noWrap w:val="0"/>
          </w:tcPr>
          <w:p w14:paraId="02D8EEA9">
            <w:pPr>
              <w:rPr>
                <w:rFonts w:hint="eastAsia" w:ascii="宋体" w:hAnsi="宋体" w:eastAsia="宋体" w:cs="宋体"/>
                <w:color w:val="auto"/>
                <w:szCs w:val="21"/>
              </w:rPr>
            </w:pPr>
            <w:r>
              <w:rPr>
                <w:rFonts w:hint="eastAsia" w:ascii="宋体" w:hAnsi="宋体" w:eastAsia="宋体" w:cs="宋体"/>
                <w:color w:val="auto"/>
                <w:lang w:eastAsia="zh-CN"/>
              </w:rPr>
              <w:t>投标文件对</w:t>
            </w:r>
            <w:r>
              <w:rPr>
                <w:rFonts w:hint="eastAsia" w:ascii="宋体" w:hAnsi="宋体" w:eastAsia="宋体" w:cs="宋体"/>
                <w:color w:val="auto"/>
                <w:kern w:val="0"/>
                <w:sz w:val="24"/>
                <w:szCs w:val="24"/>
                <w:lang w:val="en-US" w:eastAsia="zh-CN" w:bidi="ar"/>
              </w:rPr>
              <w:t>采购标的响应不全（响应不全情形包括：</w:t>
            </w:r>
            <w:r>
              <w:rPr>
                <w:rFonts w:hint="eastAsia" w:ascii="宋体" w:hAnsi="宋体" w:eastAsia="宋体" w:cs="宋体"/>
                <w:color w:val="auto"/>
              </w:rPr>
              <w:t>投标报价有缺漏</w:t>
            </w:r>
            <w:r>
              <w:rPr>
                <w:rFonts w:hint="eastAsia" w:ascii="宋体" w:hAnsi="宋体" w:eastAsia="宋体" w:cs="宋体"/>
                <w:color w:val="auto"/>
                <w:lang w:eastAsia="zh-CN"/>
              </w:rPr>
              <w:t>项，</w:t>
            </w:r>
            <w:r>
              <w:rPr>
                <w:rFonts w:hint="eastAsia" w:ascii="宋体" w:hAnsi="宋体" w:eastAsia="宋体" w:cs="宋体"/>
                <w:color w:val="auto"/>
              </w:rPr>
              <w:t>对招标文件规定的项目需求内容或者需求数量进行修改</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rPr>
              <w:t>由评审委员会根据《</w:t>
            </w:r>
            <w:r>
              <w:rPr>
                <w:rFonts w:hint="eastAsia" w:ascii="宋体" w:hAnsi="宋体" w:eastAsia="宋体" w:cs="宋体"/>
                <w:b w:val="0"/>
                <w:color w:val="auto"/>
                <w:lang w:eastAsia="zh-CN"/>
              </w:rPr>
              <w:t>项目详细报价</w:t>
            </w:r>
            <w:r>
              <w:rPr>
                <w:rFonts w:hint="eastAsia" w:ascii="宋体" w:hAnsi="宋体" w:eastAsia="宋体" w:cs="宋体"/>
                <w:color w:val="auto"/>
              </w:rPr>
              <w:t>》做出评判）</w:t>
            </w:r>
          </w:p>
        </w:tc>
      </w:tr>
      <w:tr w14:paraId="76855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265A52D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noWrap w:val="0"/>
          </w:tcPr>
          <w:p w14:paraId="1E5FB5C5">
            <w:pPr>
              <w:rPr>
                <w:rFonts w:hint="eastAsia" w:ascii="宋体" w:hAnsi="宋体" w:eastAsia="宋体" w:cs="宋体"/>
                <w:color w:val="auto"/>
                <w:szCs w:val="21"/>
              </w:rPr>
            </w:pPr>
            <w:r>
              <w:rPr>
                <w:rFonts w:hint="eastAsia" w:ascii="宋体" w:hAnsi="宋体" w:eastAsia="宋体" w:cs="宋体"/>
                <w:color w:val="auto"/>
              </w:rPr>
              <w:t>投标文件存在列放位置错误，导致属于信息公开情形的没有被公开；</w:t>
            </w:r>
          </w:p>
        </w:tc>
      </w:tr>
      <w:tr w14:paraId="59A01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13E23A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noWrap w:val="0"/>
          </w:tcPr>
          <w:p w14:paraId="012F8A15">
            <w:pPr>
              <w:rPr>
                <w:rFonts w:hint="eastAsia" w:ascii="宋体" w:hAnsi="宋体" w:eastAsia="宋体" w:cs="宋体"/>
                <w:color w:val="auto"/>
                <w:szCs w:val="21"/>
              </w:rPr>
            </w:pPr>
            <w:r>
              <w:rPr>
                <w:rFonts w:hint="eastAsia" w:ascii="宋体" w:hAnsi="宋体" w:eastAsia="宋体" w:cs="宋体"/>
                <w:color w:val="auto"/>
              </w:rPr>
              <w:t>投标文件电子文档带病毒；</w:t>
            </w:r>
          </w:p>
        </w:tc>
      </w:tr>
      <w:tr w14:paraId="3FE06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E2D9C07">
            <w:pPr>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noWrap w:val="0"/>
          </w:tcPr>
          <w:p w14:paraId="57C187BB">
            <w:pPr>
              <w:rPr>
                <w:rFonts w:hint="eastAsia" w:ascii="宋体" w:hAnsi="宋体" w:eastAsia="宋体" w:cs="宋体"/>
                <w:color w:val="auto"/>
                <w:szCs w:val="21"/>
              </w:rPr>
            </w:pPr>
            <w:r>
              <w:rPr>
                <w:rFonts w:hint="eastAsia" w:ascii="宋体" w:hAnsi="宋体" w:eastAsia="宋体" w:cs="宋体"/>
                <w:color w:val="auto"/>
              </w:rPr>
              <w:t>投标文件用不属于本公司的电子密钥进行加密的；</w:t>
            </w:r>
          </w:p>
        </w:tc>
      </w:tr>
      <w:tr w14:paraId="3CCB85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1ADACDF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w:t>
            </w:r>
          </w:p>
        </w:tc>
        <w:tc>
          <w:tcPr>
            <w:tcW w:w="8278" w:type="dxa"/>
            <w:tcBorders>
              <w:top w:val="single" w:color="000000" w:sz="8" w:space="0"/>
              <w:left w:val="single" w:color="000000" w:sz="8" w:space="0"/>
              <w:bottom w:val="single" w:color="000000" w:sz="8" w:space="0"/>
              <w:right w:val="single" w:color="000000" w:sz="8" w:space="0"/>
            </w:tcBorders>
            <w:noWrap w:val="0"/>
          </w:tcPr>
          <w:p w14:paraId="241A1778">
            <w:pPr>
              <w:rPr>
                <w:rFonts w:hint="eastAsia" w:ascii="宋体" w:hAnsi="宋体" w:eastAsia="宋体" w:cs="宋体"/>
                <w:color w:val="auto"/>
              </w:rPr>
            </w:pPr>
            <w:r>
              <w:rPr>
                <w:rFonts w:hint="eastAsia" w:ascii="宋体" w:hAnsi="宋体" w:eastAsia="宋体" w:cs="宋体"/>
                <w:color w:val="auto"/>
              </w:rPr>
              <w:t>不同投标供应商投标文件“文件制作机器码”</w:t>
            </w:r>
            <w:r>
              <w:rPr>
                <w:rFonts w:hint="eastAsia" w:ascii="宋体" w:hAnsi="宋体" w:eastAsia="宋体" w:cs="宋体"/>
                <w:color w:val="auto"/>
                <w:lang w:val="en-US" w:eastAsia="zh-CN"/>
              </w:rPr>
              <w:t>或</w:t>
            </w:r>
            <w:r>
              <w:rPr>
                <w:rFonts w:hint="eastAsia" w:ascii="宋体" w:hAnsi="宋体" w:eastAsia="宋体" w:cs="宋体"/>
                <w:color w:val="auto"/>
              </w:rPr>
              <w:t>“文件创建标识码”一致</w:t>
            </w:r>
            <w:r>
              <w:rPr>
                <w:rFonts w:hint="eastAsia" w:ascii="宋体" w:hAnsi="宋体" w:eastAsia="宋体" w:cs="宋体"/>
                <w:color w:val="auto"/>
                <w:lang w:eastAsia="zh-CN"/>
              </w:rPr>
              <w:t>的</w:t>
            </w:r>
            <w:r>
              <w:rPr>
                <w:rFonts w:hint="eastAsia" w:ascii="宋体" w:hAnsi="宋体" w:eastAsia="宋体" w:cs="宋体"/>
                <w:color w:val="auto"/>
              </w:rPr>
              <w:t>；</w:t>
            </w:r>
          </w:p>
        </w:tc>
      </w:tr>
      <w:tr w14:paraId="67C9FB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48365BD">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w:t>
            </w:r>
          </w:p>
        </w:tc>
        <w:tc>
          <w:tcPr>
            <w:tcW w:w="8278" w:type="dxa"/>
            <w:tcBorders>
              <w:top w:val="single" w:color="000000" w:sz="8" w:space="0"/>
              <w:left w:val="single" w:color="000000" w:sz="8" w:space="0"/>
              <w:bottom w:val="single" w:color="000000" w:sz="8" w:space="0"/>
              <w:right w:val="single" w:color="000000" w:sz="8" w:space="0"/>
            </w:tcBorders>
            <w:noWrap w:val="0"/>
          </w:tcPr>
          <w:p w14:paraId="440280E6">
            <w:pPr>
              <w:rPr>
                <w:rFonts w:hint="eastAsia" w:ascii="宋体" w:hAnsi="宋体" w:eastAsia="宋体" w:cs="宋体"/>
                <w:color w:val="auto"/>
                <w:szCs w:val="21"/>
              </w:rPr>
            </w:pPr>
            <w:r>
              <w:rPr>
                <w:rFonts w:hint="eastAsia" w:ascii="宋体" w:hAnsi="宋体" w:eastAsia="宋体" w:cs="宋体"/>
                <w:color w:val="auto"/>
              </w:rPr>
              <w:t>法律、法规、规章、规范性文件规定的其他情形。</w:t>
            </w:r>
          </w:p>
        </w:tc>
      </w:tr>
    </w:tbl>
    <w:p w14:paraId="4CFB084E">
      <w:pPr>
        <w:pStyle w:val="32"/>
        <w:spacing w:before="280" w:beforeAutospacing="0" w:afterAutospacing="1"/>
        <w:jc w:val="center"/>
        <w:outlineLvl w:val="1"/>
        <w:rPr>
          <w:rFonts w:hint="eastAsia" w:ascii="宋体" w:hAnsi="宋体" w:eastAsia="宋体" w:cs="宋体"/>
          <w:color w:val="auto"/>
          <w:sz w:val="40"/>
          <w:szCs w:val="40"/>
          <w:lang w:val="en-US" w:eastAsia="zh-CN" w:bidi="ar-SA"/>
        </w:rPr>
      </w:pPr>
      <w:r>
        <w:rPr>
          <w:rFonts w:hint="eastAsia" w:ascii="宋体" w:hAnsi="宋体" w:eastAsia="宋体" w:cs="宋体"/>
          <w:color w:val="auto"/>
          <w:sz w:val="40"/>
          <w:szCs w:val="40"/>
          <w:lang w:val="en-US" w:eastAsia="zh-CN" w:bidi="ar-SA"/>
        </w:rPr>
        <w:t>评标信息</w:t>
      </w:r>
    </w:p>
    <w:tbl>
      <w:tblPr>
        <w:tblStyle w:val="35"/>
        <w:tblW w:w="9072" w:type="dxa"/>
        <w:jc w:val="center"/>
        <w:tblCellSpacing w:w="0" w:type="dxa"/>
        <w:tblLayout w:type="fixed"/>
        <w:tblCellMar>
          <w:top w:w="45" w:type="dxa"/>
          <w:left w:w="45" w:type="dxa"/>
          <w:bottom w:w="45" w:type="dxa"/>
          <w:right w:w="45" w:type="dxa"/>
        </w:tblCellMar>
      </w:tblPr>
      <w:tblGrid>
        <w:gridCol w:w="8867"/>
        <w:gridCol w:w="205"/>
      </w:tblGrid>
      <w:tr w14:paraId="5E9F3C89">
        <w:tblPrEx>
          <w:tblCellMar>
            <w:top w:w="45" w:type="dxa"/>
            <w:left w:w="45" w:type="dxa"/>
            <w:bottom w:w="45" w:type="dxa"/>
            <w:right w:w="45" w:type="dxa"/>
          </w:tblCellMar>
        </w:tblPrEx>
        <w:trPr>
          <w:tblCellSpacing w:w="0" w:type="dxa"/>
          <w:jc w:val="center"/>
        </w:trPr>
        <w:tc>
          <w:tcPr>
            <w:tcW w:w="8867" w:type="dxa"/>
            <w:tcBorders>
              <w:top w:val="nil"/>
              <w:left w:val="nil"/>
              <w:bottom w:val="nil"/>
              <w:right w:val="nil"/>
            </w:tcBorders>
            <w:noWrap w:val="0"/>
            <w:vAlign w:val="center"/>
          </w:tcPr>
          <w:p w14:paraId="0F6587EB">
            <w:pPr>
              <w:keepNext w:val="0"/>
              <w:pageBreakBefore w:val="0"/>
              <w:snapToGrid/>
              <w:spacing w:line="240" w:lineRule="auto"/>
              <w:rPr>
                <w:rFonts w:hint="eastAsia" w:ascii="宋体" w:hAnsi="宋体" w:eastAsia="宋体" w:cs="宋体"/>
                <w:b/>
                <w:bCs/>
                <w:color w:val="auto"/>
                <w:sz w:val="24"/>
                <w:szCs w:val="24"/>
              </w:rPr>
            </w:pPr>
            <w:r>
              <w:rPr>
                <w:rFonts w:hint="eastAsia" w:ascii="宋体" w:hAnsi="宋体" w:eastAsia="宋体" w:cs="宋体"/>
                <w:b/>
                <w:bCs/>
                <w:color w:val="auto"/>
                <w:lang w:val="en-US" w:eastAsia="zh-CN" w:bidi="ar-SA"/>
              </w:rPr>
              <w:t>评标方法：最低价法/综合评分法（新价格分算法）</w:t>
            </w:r>
          </w:p>
        </w:tc>
        <w:tc>
          <w:tcPr>
            <w:tcW w:w="205" w:type="dxa"/>
            <w:tcBorders>
              <w:top w:val="nil"/>
              <w:left w:val="nil"/>
              <w:bottom w:val="nil"/>
              <w:right w:val="nil"/>
            </w:tcBorders>
            <w:noWrap w:val="0"/>
            <w:vAlign w:val="center"/>
          </w:tcPr>
          <w:p w14:paraId="77226385">
            <w:pPr>
              <w:keepNext w:val="0"/>
              <w:pageBreakBefore w:val="0"/>
              <w:snapToGrid/>
              <w:spacing w:line="240" w:lineRule="auto"/>
              <w:jc w:val="right"/>
              <w:rPr>
                <w:rFonts w:hint="eastAsia" w:ascii="宋体" w:hAnsi="宋体" w:eastAsia="宋体" w:cs="宋体"/>
                <w:b/>
                <w:bCs/>
                <w:color w:val="auto"/>
                <w:sz w:val="24"/>
                <w:szCs w:val="24"/>
              </w:rPr>
            </w:pPr>
          </w:p>
        </w:tc>
      </w:tr>
      <w:tr w14:paraId="1F6D4396">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noWrap w:val="0"/>
            <w:vAlign w:val="center"/>
          </w:tcPr>
          <w:p w14:paraId="0653A03E">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综合评分法，是指投标文件满足招标文件全部实质性要求，且按照评审因素的量化指标评审得分最高的投标人为中标候选人的评标方法。 </w:t>
            </w:r>
          </w:p>
          <w:p w14:paraId="40504A04">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价格分计算方法：</w:t>
            </w:r>
          </w:p>
          <w:p w14:paraId="352B4524">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采用低价优先法计算，即满足招标文件要求且投标价格最低的投标报价为评标基准价，其价格分为满分。其他投标人的价格分统一按照下列公式计算： </w:t>
            </w:r>
          </w:p>
          <w:p w14:paraId="3DF0C70D">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投标报价得分=(评标基准价／投标报价)×100 </w:t>
            </w:r>
          </w:p>
          <w:p w14:paraId="16439492">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评标总得分＝F1×A1＋F2×A2＋……＋Fn×An </w:t>
            </w:r>
          </w:p>
          <w:p w14:paraId="103F3B99">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F1、F2……Fn分别为各项评审因素的得分； </w:t>
            </w:r>
          </w:p>
          <w:p w14:paraId="6ECFB48B">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A1、A2、……An 分别为各项评审因素所占的权重(A1＋A2＋……＋An＝1)。 </w:t>
            </w:r>
          </w:p>
          <w:p w14:paraId="3F1650FC">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评标过程中，不得去掉报价中的最高报价和最低报价。 </w:t>
            </w:r>
          </w:p>
          <w:p w14:paraId="14F69B35">
            <w:pPr>
              <w:spacing w:line="324" w:lineRule="auto"/>
              <w:ind w:firstLine="420"/>
              <w:rPr>
                <w:rFonts w:hint="eastAsia" w:ascii="宋体" w:hAnsi="宋体" w:eastAsia="宋体" w:cs="宋体"/>
                <w:color w:val="auto"/>
                <w:szCs w:val="21"/>
                <w:lang w:val="en-US" w:eastAsia="zh-CN" w:bidi="ar-SA"/>
              </w:rPr>
            </w:pPr>
            <w:r>
              <w:rPr>
                <w:rFonts w:hint="eastAsia" w:ascii="宋体" w:hAnsi="宋体" w:eastAsia="宋体" w:cs="宋体"/>
                <w:color w:val="auto"/>
                <w:szCs w:val="21"/>
                <w:lang w:val="en-US" w:eastAsia="zh-CN" w:bidi="ar-SA"/>
              </w:rPr>
              <w:t xml:space="preserve">此方法适用于货物类、服务类、工程类项目。 </w:t>
            </w:r>
          </w:p>
          <w:p w14:paraId="6F82FA09">
            <w:pPr>
              <w:spacing w:line="324" w:lineRule="auto"/>
              <w:ind w:firstLine="420"/>
              <w:rPr>
                <w:rFonts w:hint="eastAsia" w:ascii="宋体" w:hAnsi="宋体" w:eastAsia="宋体" w:cs="宋体"/>
                <w:color w:val="auto"/>
                <w:szCs w:val="21"/>
                <w:lang w:val="en-US" w:eastAsia="zh-CN" w:bidi="ar-SA"/>
              </w:rPr>
            </w:pPr>
          </w:p>
        </w:tc>
      </w:tr>
      <w:tr w14:paraId="6410D593">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noWrap w:val="0"/>
            <w:vAlign w:val="center"/>
          </w:tcPr>
          <w:p w14:paraId="055AA8C6">
            <w:pPr>
              <w:pStyle w:val="32"/>
              <w:keepNext w:val="0"/>
              <w:pageBreakBefore w:val="0"/>
              <w:snapToGrid/>
              <w:spacing w:line="240" w:lineRule="auto"/>
              <w:ind w:left="420"/>
              <w:rPr>
                <w:rFonts w:hint="eastAsia" w:ascii="宋体" w:hAnsi="宋体" w:eastAsia="宋体" w:cs="宋体"/>
                <w:color w:val="auto"/>
                <w:sz w:val="24"/>
                <w:szCs w:val="24"/>
              </w:rPr>
            </w:pPr>
          </w:p>
        </w:tc>
      </w:tr>
    </w:tbl>
    <w:p w14:paraId="29ED65E6">
      <w:pPr>
        <w:rPr>
          <w:rFonts w:hint="eastAsia" w:ascii="宋体" w:hAnsi="宋体" w:eastAsia="宋体" w:cs="宋体"/>
          <w:color w:val="auto"/>
        </w:rPr>
      </w:pPr>
    </w:p>
    <w:tbl>
      <w:tblPr>
        <w:tblStyle w:val="3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76"/>
        <w:gridCol w:w="675"/>
        <w:gridCol w:w="1295"/>
        <w:gridCol w:w="1030"/>
        <w:gridCol w:w="5396"/>
      </w:tblGrid>
      <w:tr w14:paraId="68E48A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D460879">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000"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5F535E38">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评分项</w:t>
            </w:r>
          </w:p>
        </w:tc>
        <w:tc>
          <w:tcPr>
            <w:tcW w:w="53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465E63">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权重(%)</w:t>
            </w:r>
          </w:p>
        </w:tc>
      </w:tr>
      <w:tr w14:paraId="5DD01F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noWrap w:val="0"/>
            <w:vAlign w:val="top"/>
          </w:tcPr>
          <w:p w14:paraId="603D7BBE">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11A0D896">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07648AE3">
            <w:pPr>
              <w:keepNext w:val="0"/>
              <w:pageBreakBefore w:val="0"/>
              <w:widowControl/>
              <w:snapToGrid/>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4"/>
                <w:lang w:val="en-US" w:eastAsia="zh-CN"/>
              </w:rPr>
              <w:t>10</w:t>
            </w:r>
          </w:p>
        </w:tc>
      </w:tr>
      <w:tr w14:paraId="056FF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right w:val="single" w:color="000000" w:sz="8" w:space="0"/>
            </w:tcBorders>
            <w:noWrap w:val="0"/>
            <w:vAlign w:val="center"/>
          </w:tcPr>
          <w:p w14:paraId="0ABA2A9C">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6265D0C1">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技术部分</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7F040F47">
            <w:pPr>
              <w:keepNext w:val="0"/>
              <w:pageBreakBefore w:val="0"/>
              <w:widowControl/>
              <w:snapToGrid/>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0"/>
                <w:sz w:val="24"/>
                <w:lang w:val="en-US" w:eastAsia="zh-CN"/>
              </w:rPr>
              <w:t>55</w:t>
            </w:r>
          </w:p>
        </w:tc>
      </w:tr>
      <w:tr w14:paraId="56DC7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shd w:val="clear" w:color="auto" w:fill="E6EFFA"/>
            <w:noWrap w:val="0"/>
            <w:vAlign w:val="center"/>
          </w:tcPr>
          <w:p w14:paraId="2966D314">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F594E33">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3D61F013">
            <w:pPr>
              <w:keepNext w:val="0"/>
              <w:pageBreakBefore w:val="0"/>
              <w:widowControl/>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评审因素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32C2A42B">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FA70F14">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14:paraId="5B2437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noWrap w:val="0"/>
            <w:vAlign w:val="center"/>
          </w:tcPr>
          <w:p w14:paraId="2AAFA65A">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547B5019">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4BA62A9E">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实施方案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496DD0B0">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5443452D">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评审内容：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投标单位按照招标文件对</w:t>
            </w:r>
            <w:r>
              <w:rPr>
                <w:rFonts w:hint="eastAsia" w:ascii="宋体" w:hAnsi="宋体" w:eastAsia="宋体" w:cs="宋体"/>
                <w:color w:val="auto"/>
                <w:sz w:val="21"/>
                <w:szCs w:val="21"/>
                <w:lang w:eastAsia="zh-CN"/>
              </w:rPr>
              <w:t>景观照明设施维护</w:t>
            </w:r>
            <w:r>
              <w:rPr>
                <w:rFonts w:hint="eastAsia" w:ascii="宋体" w:hAnsi="宋体" w:eastAsia="宋体" w:cs="宋体"/>
                <w:color w:val="auto"/>
                <w:sz w:val="21"/>
                <w:szCs w:val="21"/>
              </w:rPr>
              <w:t>工作内容提供相对应：</w:t>
            </w:r>
          </w:p>
          <w:p w14:paraId="7A322C85">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1.提供</w:t>
            </w:r>
            <w:r>
              <w:rPr>
                <w:rFonts w:hint="eastAsia" w:ascii="宋体" w:hAnsi="宋体" w:eastAsia="宋体" w:cs="宋体"/>
                <w:color w:val="auto"/>
                <w:sz w:val="21"/>
                <w:szCs w:val="21"/>
              </w:rPr>
              <w:t>维护管养</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人员分工</w:t>
            </w:r>
            <w:r>
              <w:rPr>
                <w:rFonts w:hint="eastAsia" w:ascii="宋体" w:hAnsi="宋体" w:eastAsia="宋体" w:cs="宋体"/>
                <w:color w:val="auto"/>
                <w:sz w:val="21"/>
                <w:szCs w:val="21"/>
              </w:rPr>
              <w:t>方案</w:t>
            </w:r>
            <w:r>
              <w:rPr>
                <w:rFonts w:hint="eastAsia" w:ascii="宋体" w:hAnsi="宋体" w:eastAsia="宋体" w:cs="宋体"/>
                <w:color w:val="auto"/>
                <w:sz w:val="21"/>
                <w:szCs w:val="21"/>
                <w:lang w:eastAsia="zh-CN"/>
              </w:rPr>
              <w:t>；</w:t>
            </w:r>
          </w:p>
          <w:p w14:paraId="4415DE0B">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2.提供</w:t>
            </w:r>
            <w:r>
              <w:rPr>
                <w:rFonts w:hint="eastAsia" w:ascii="宋体" w:hAnsi="宋体" w:eastAsia="宋体" w:cs="宋体"/>
                <w:color w:val="auto"/>
                <w:sz w:val="21"/>
                <w:szCs w:val="21"/>
              </w:rPr>
              <w:t>日常巡查、设施</w:t>
            </w:r>
            <w:r>
              <w:rPr>
                <w:rFonts w:hint="eastAsia" w:ascii="宋体" w:hAnsi="宋体" w:eastAsia="宋体" w:cs="宋体"/>
                <w:color w:val="auto"/>
                <w:sz w:val="21"/>
                <w:szCs w:val="21"/>
                <w:lang w:eastAsia="zh-CN"/>
              </w:rPr>
              <w:t>巡检方案；</w:t>
            </w:r>
          </w:p>
          <w:p w14:paraId="2F7D1DD8">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3.提供日常</w:t>
            </w:r>
            <w:r>
              <w:rPr>
                <w:rFonts w:hint="eastAsia" w:ascii="宋体" w:hAnsi="宋体" w:eastAsia="宋体" w:cs="宋体"/>
                <w:color w:val="auto"/>
                <w:sz w:val="21"/>
                <w:szCs w:val="21"/>
                <w:lang w:eastAsia="zh-CN"/>
              </w:rPr>
              <w:t>维护管养方案；</w:t>
            </w:r>
          </w:p>
          <w:p w14:paraId="2C3EC115">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lang w:val="en-US" w:eastAsia="zh-CN"/>
              </w:rPr>
              <w:t>投诉处理、</w:t>
            </w:r>
            <w:r>
              <w:rPr>
                <w:rFonts w:hint="eastAsia" w:ascii="宋体" w:hAnsi="宋体" w:eastAsia="宋体" w:cs="宋体"/>
                <w:color w:val="auto"/>
                <w:sz w:val="21"/>
                <w:szCs w:val="21"/>
              </w:rPr>
              <w:t>应急抢修</w:t>
            </w:r>
            <w:r>
              <w:rPr>
                <w:rFonts w:hint="eastAsia" w:ascii="宋体" w:hAnsi="宋体" w:eastAsia="宋体" w:cs="宋体"/>
                <w:color w:val="auto"/>
                <w:sz w:val="21"/>
                <w:szCs w:val="21"/>
                <w:lang w:eastAsia="zh-CN"/>
              </w:rPr>
              <w:t>处置</w:t>
            </w:r>
            <w:r>
              <w:rPr>
                <w:rFonts w:hint="eastAsia" w:ascii="宋体" w:hAnsi="宋体" w:eastAsia="宋体" w:cs="宋体"/>
                <w:color w:val="auto"/>
                <w:sz w:val="21"/>
                <w:szCs w:val="21"/>
              </w:rPr>
              <w:t>方案</w:t>
            </w:r>
            <w:r>
              <w:rPr>
                <w:rFonts w:hint="eastAsia" w:ascii="宋体" w:hAnsi="宋体" w:eastAsia="宋体" w:cs="宋体"/>
                <w:color w:val="auto"/>
                <w:sz w:val="21"/>
                <w:szCs w:val="21"/>
                <w:lang w:eastAsia="zh-CN"/>
              </w:rPr>
              <w:t>；</w:t>
            </w:r>
          </w:p>
          <w:p w14:paraId="3F34A080">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5.提供车辆及设备（含备品备件）</w:t>
            </w:r>
            <w:r>
              <w:rPr>
                <w:rFonts w:hint="eastAsia" w:ascii="宋体" w:hAnsi="宋体" w:eastAsia="宋体" w:cs="宋体"/>
                <w:color w:val="auto"/>
                <w:sz w:val="21"/>
                <w:szCs w:val="21"/>
                <w:lang w:eastAsia="zh-CN"/>
              </w:rPr>
              <w:t>的管理</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lang w:eastAsia="zh-CN"/>
              </w:rPr>
              <w:t>；</w:t>
            </w:r>
          </w:p>
          <w:p w14:paraId="30340CEC">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6.提供</w:t>
            </w:r>
            <w:r>
              <w:rPr>
                <w:rFonts w:hint="eastAsia" w:ascii="宋体" w:hAnsi="宋体" w:eastAsia="宋体" w:cs="宋体"/>
                <w:color w:val="auto"/>
                <w:sz w:val="21"/>
                <w:szCs w:val="21"/>
              </w:rPr>
              <w:t>防台风防汛应急值守及处置方案</w:t>
            </w:r>
            <w:r>
              <w:rPr>
                <w:rFonts w:hint="eastAsia" w:ascii="宋体" w:hAnsi="宋体" w:eastAsia="宋体" w:cs="宋体"/>
                <w:color w:val="auto"/>
                <w:sz w:val="21"/>
                <w:szCs w:val="21"/>
                <w:lang w:eastAsia="zh-CN"/>
              </w:rPr>
              <w:t>；</w:t>
            </w:r>
          </w:p>
          <w:p w14:paraId="5B69157E">
            <w:pPr>
              <w:keepNext w:val="0"/>
              <w:keepLines w:val="0"/>
              <w:pageBreakBefore w:val="0"/>
              <w:widowControl/>
              <w:snapToGrid/>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7.提供设施数据普查及维护档案资料信息化平台管理方案</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lang w:val="en-US" w:eastAsia="zh-CN"/>
              </w:rPr>
              <w:t>每满足以上任意一点得10分，最高得70分。</w:t>
            </w:r>
            <w:r>
              <w:rPr>
                <w:rFonts w:hint="eastAsia" w:ascii="宋体" w:hAnsi="宋体" w:eastAsia="宋体" w:cs="宋体"/>
                <w:b/>
                <w:bCs/>
                <w:color w:val="auto"/>
                <w:sz w:val="21"/>
                <w:szCs w:val="21"/>
                <w:lang w:eastAsia="zh-CN"/>
              </w:rPr>
              <w:t>在此基础上，专家根据各供应商的具体响应内容按照量化的评审因素指标进一步评审：</w:t>
            </w:r>
          </w:p>
          <w:p w14:paraId="0E931F91">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1.方案完整、科学合理、针对性强、可操作性强，评审为优加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34E5BF65">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2.方案较完整、较合理、有一定针对性、一定可操作性，评审为良加</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p w14:paraId="47C00AF4">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3.方案基本完整、不尽合理、针对性一般、可操作性一般，评审为中加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74D3C0CE">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4.方案不完整、不合理、无针对性、无可操作性，评审为差得0分。</w:t>
            </w:r>
          </w:p>
          <w:p w14:paraId="36961519">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如果评审为差，要求专家书面说明理由，并记录在档。</w:t>
            </w:r>
          </w:p>
        </w:tc>
      </w:tr>
      <w:tr w14:paraId="4E4182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noWrap w:val="0"/>
            <w:vAlign w:val="center"/>
          </w:tcPr>
          <w:p w14:paraId="40FB04EA">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963D6DB">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629BFAA2">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项目重点难点分析、应对措施及相关的合理化建议</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46712879">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11C1E308">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p w14:paraId="0FE6CA83">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占道</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高空作业等特种作业措施</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重点难点分析</w:t>
            </w:r>
            <w:r>
              <w:rPr>
                <w:rFonts w:hint="eastAsia" w:ascii="宋体" w:hAnsi="宋体" w:eastAsia="宋体" w:cs="宋体"/>
                <w:color w:val="auto"/>
                <w:sz w:val="21"/>
                <w:szCs w:val="21"/>
                <w:lang w:val="en-US" w:eastAsia="zh-CN"/>
              </w:rPr>
              <w:t>和应对措施</w:t>
            </w:r>
            <w:r>
              <w:rPr>
                <w:rFonts w:hint="eastAsia" w:ascii="宋体" w:hAnsi="宋体" w:eastAsia="宋体" w:cs="宋体"/>
                <w:color w:val="auto"/>
                <w:sz w:val="21"/>
                <w:szCs w:val="21"/>
              </w:rPr>
              <w:t>；</w:t>
            </w:r>
          </w:p>
          <w:p w14:paraId="5E179D5A">
            <w:pPr>
              <w:keepNext w:val="0"/>
              <w:keepLines w:val="0"/>
              <w:pageBreakBefore w:val="0"/>
              <w:widowControl/>
              <w:snapToGrid/>
              <w:spacing w:line="240" w:lineRule="auto"/>
              <w:jc w:val="both"/>
              <w:rPr>
                <w:rFonts w:hint="eastAsia" w:ascii="宋体" w:hAnsi="宋体" w:eastAsia="宋体" w:cs="宋体"/>
                <w:color w:val="auto"/>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景观照明灯具因桥体喷漆、绿植泥土冲刷以及日常灰尘堆积造成的亮灯效果不佳的应对措施</w:t>
            </w:r>
            <w:r>
              <w:rPr>
                <w:rFonts w:hint="eastAsia" w:ascii="宋体" w:hAnsi="宋体" w:eastAsia="宋体" w:cs="宋体"/>
                <w:color w:val="auto"/>
                <w:lang w:eastAsia="zh-CN"/>
              </w:rPr>
              <w:t>；</w:t>
            </w:r>
          </w:p>
          <w:p w14:paraId="69A4A00A">
            <w:pPr>
              <w:pStyle w:val="201"/>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val="en-US" w:eastAsia="zh-CN"/>
              </w:rPr>
              <w:t>3.</w:t>
            </w:r>
            <w:r>
              <w:rPr>
                <w:rFonts w:hint="eastAsia" w:ascii="宋体" w:hAnsi="宋体" w:eastAsia="宋体" w:cs="宋体"/>
                <w:color w:val="auto"/>
                <w:spacing w:val="0"/>
                <w:sz w:val="21"/>
                <w:szCs w:val="21"/>
                <w:lang w:eastAsia="zh-CN"/>
              </w:rPr>
              <w:t>对施工或外力损坏景观照明设施的应急处理措施（</w:t>
            </w:r>
            <w:r>
              <w:rPr>
                <w:rFonts w:hint="eastAsia" w:ascii="宋体" w:hAnsi="宋体" w:eastAsia="宋体" w:cs="宋体"/>
                <w:color w:val="auto"/>
                <w:spacing w:val="0"/>
                <w:sz w:val="21"/>
                <w:szCs w:val="21"/>
                <w:lang w:val="en-US" w:eastAsia="zh-CN"/>
              </w:rPr>
              <w:t>须包含</w:t>
            </w:r>
            <w:r>
              <w:rPr>
                <w:rFonts w:hint="eastAsia" w:ascii="宋体" w:hAnsi="宋体" w:eastAsia="宋体" w:cs="宋体"/>
                <w:color w:val="auto"/>
                <w:spacing w:val="0"/>
                <w:sz w:val="21"/>
                <w:szCs w:val="21"/>
                <w:lang w:eastAsia="zh-CN"/>
              </w:rPr>
              <w:t>排查方式</w:t>
            </w:r>
            <w:r>
              <w:rPr>
                <w:rFonts w:hint="eastAsia" w:ascii="宋体" w:hAnsi="宋体" w:eastAsia="宋体" w:cs="宋体"/>
                <w:color w:val="auto"/>
                <w:spacing w:val="0"/>
                <w:sz w:val="21"/>
                <w:szCs w:val="21"/>
                <w:lang w:val="en-US" w:eastAsia="zh-CN"/>
              </w:rPr>
              <w:t>和</w:t>
            </w:r>
            <w:r>
              <w:rPr>
                <w:rFonts w:hint="eastAsia" w:ascii="宋体" w:hAnsi="宋体" w:eastAsia="宋体" w:cs="宋体"/>
                <w:color w:val="auto"/>
                <w:spacing w:val="0"/>
                <w:sz w:val="21"/>
                <w:szCs w:val="21"/>
                <w:lang w:eastAsia="zh-CN"/>
              </w:rPr>
              <w:t>解决方案等内容）。</w:t>
            </w:r>
          </w:p>
          <w:p w14:paraId="2A686D32">
            <w:pPr>
              <w:keepNext w:val="0"/>
              <w:keepLines w:val="0"/>
              <w:pageBreakBefore w:val="0"/>
              <w:widowControl/>
              <w:snapToGrid/>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满足</w:t>
            </w:r>
            <w:r>
              <w:rPr>
                <w:rFonts w:hint="eastAsia" w:ascii="宋体" w:hAnsi="宋体" w:eastAsia="宋体" w:cs="宋体"/>
                <w:b/>
                <w:bCs/>
                <w:color w:val="auto"/>
                <w:sz w:val="21"/>
                <w:szCs w:val="21"/>
                <w:lang w:val="en-US" w:eastAsia="zh-CN"/>
              </w:rPr>
              <w:t>以上</w:t>
            </w:r>
            <w:r>
              <w:rPr>
                <w:rFonts w:hint="eastAsia" w:ascii="宋体" w:hAnsi="宋体" w:eastAsia="宋体" w:cs="宋体"/>
                <w:b/>
                <w:bCs/>
                <w:color w:val="auto"/>
                <w:sz w:val="21"/>
                <w:szCs w:val="21"/>
                <w:lang w:eastAsia="zh-CN"/>
              </w:rPr>
              <w:t>三点得</w:t>
            </w: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lang w:eastAsia="zh-CN"/>
              </w:rPr>
              <w:t>分，满足任意两点得</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lang w:eastAsia="zh-CN"/>
              </w:rPr>
              <w:t>分，满足任意一点，得</w:t>
            </w:r>
            <w:r>
              <w:rPr>
                <w:rFonts w:hint="eastAsia" w:ascii="宋体" w:hAnsi="宋体" w:eastAsia="宋体" w:cs="宋体"/>
                <w:b/>
                <w:bCs/>
                <w:color w:val="auto"/>
                <w:sz w:val="21"/>
                <w:szCs w:val="21"/>
                <w:lang w:val="en-US" w:eastAsia="zh-CN"/>
              </w:rPr>
              <w:t>10分，</w:t>
            </w:r>
            <w:r>
              <w:rPr>
                <w:rFonts w:hint="eastAsia" w:ascii="宋体" w:hAnsi="宋体" w:eastAsia="宋体" w:cs="宋体"/>
                <w:b/>
                <w:bCs/>
                <w:color w:val="auto"/>
                <w:sz w:val="21"/>
                <w:szCs w:val="21"/>
                <w:lang w:eastAsia="zh-CN"/>
              </w:rPr>
              <w:t>未满足不得分。在此基础上，专家根据各供应商的具体响应内容按照量化的评审因素指标进一步评审：</w:t>
            </w:r>
          </w:p>
          <w:p w14:paraId="1A6BCD06">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1.方案完整、科学合理、针对性强、可操作性强，评审为优加</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14:paraId="3BB3D2CA">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2.方案较完整、较合理、有一定针对性、一定可操作性，评审为良加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1807ED39">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3.方案基本完整、不尽合理、针对性一般、可操作性一般，评审为中加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785790F8">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4.方案不完整、不合理、无针对性、无可操作性，评审为差得0分。</w:t>
            </w:r>
          </w:p>
          <w:p w14:paraId="6E3E9983">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如果评审为差，要求专家书面说明理由，并记录在档。</w:t>
            </w:r>
          </w:p>
        </w:tc>
      </w:tr>
      <w:tr w14:paraId="51CEF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noWrap w:val="0"/>
            <w:vAlign w:val="center"/>
          </w:tcPr>
          <w:p w14:paraId="0ECBCECE">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59A3FE6F">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744D1A8B">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质量（完成时间、安全、环保）保障措施及方案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2F5C8413">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6DFBC37C">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p w14:paraId="7BB71EB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人员</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设备投入</w:t>
            </w:r>
            <w:r>
              <w:rPr>
                <w:rFonts w:hint="eastAsia" w:ascii="宋体" w:hAnsi="宋体" w:eastAsia="宋体" w:cs="宋体"/>
                <w:color w:val="auto"/>
                <w:sz w:val="21"/>
                <w:szCs w:val="21"/>
                <w:lang w:val="en-US" w:eastAsia="zh-CN"/>
              </w:rPr>
              <w:t>的质量</w:t>
            </w:r>
            <w:r>
              <w:rPr>
                <w:rFonts w:hint="eastAsia" w:ascii="宋体" w:hAnsi="宋体" w:eastAsia="宋体" w:cs="宋体"/>
                <w:color w:val="auto"/>
                <w:sz w:val="21"/>
                <w:szCs w:val="21"/>
              </w:rPr>
              <w:t>保障方案；</w:t>
            </w:r>
          </w:p>
          <w:p w14:paraId="04335CA4">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2.项目</w:t>
            </w:r>
            <w:r>
              <w:rPr>
                <w:rFonts w:hint="eastAsia" w:ascii="宋体" w:hAnsi="宋体" w:eastAsia="宋体" w:cs="宋体"/>
                <w:color w:val="auto"/>
                <w:sz w:val="21"/>
                <w:szCs w:val="21"/>
              </w:rPr>
              <w:t>维护质量控制</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保障方案；</w:t>
            </w:r>
          </w:p>
          <w:p w14:paraId="7A64FD20">
            <w:pPr>
              <w:pStyle w:val="201"/>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kern w:val="0"/>
                <w:sz w:val="21"/>
                <w:szCs w:val="21"/>
                <w:lang w:val="en-US" w:eastAsia="zh-CN"/>
              </w:rPr>
              <w:t>设施安全隐患排查及整改的</w:t>
            </w:r>
            <w:r>
              <w:rPr>
                <w:rFonts w:hint="eastAsia" w:ascii="宋体" w:hAnsi="宋体" w:eastAsia="宋体" w:cs="宋体"/>
                <w:color w:val="auto"/>
                <w:sz w:val="21"/>
                <w:szCs w:val="21"/>
              </w:rPr>
              <w:t>保障</w:t>
            </w:r>
            <w:r>
              <w:rPr>
                <w:rFonts w:hint="eastAsia" w:ascii="宋体" w:hAnsi="宋体" w:eastAsia="宋体" w:cs="宋体"/>
                <w:color w:val="auto"/>
                <w:kern w:val="0"/>
                <w:sz w:val="21"/>
                <w:szCs w:val="21"/>
                <w:lang w:val="en-US" w:eastAsia="zh-CN"/>
              </w:rPr>
              <w:t>方案。</w:t>
            </w:r>
          </w:p>
          <w:p w14:paraId="1CC7D2CB">
            <w:pPr>
              <w:keepNext w:val="0"/>
              <w:keepLines w:val="0"/>
              <w:pageBreakBefore w:val="0"/>
              <w:widowControl/>
              <w:snapToGrid/>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满足以上三点得</w:t>
            </w: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lang w:eastAsia="zh-CN"/>
              </w:rPr>
              <w:t>分，满足任意两点得</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lang w:eastAsia="zh-CN"/>
              </w:rPr>
              <w:t>分，满足任意一点得</w:t>
            </w:r>
            <w:r>
              <w:rPr>
                <w:rFonts w:hint="eastAsia" w:ascii="宋体" w:hAnsi="宋体" w:eastAsia="宋体" w:cs="宋体"/>
                <w:b/>
                <w:bCs/>
                <w:color w:val="auto"/>
                <w:sz w:val="21"/>
                <w:szCs w:val="21"/>
                <w:lang w:val="en-US" w:eastAsia="zh-CN"/>
              </w:rPr>
              <w:t>10</w:t>
            </w:r>
            <w:r>
              <w:rPr>
                <w:rFonts w:hint="eastAsia" w:ascii="宋体" w:hAnsi="宋体" w:eastAsia="宋体" w:cs="宋体"/>
                <w:b/>
                <w:bCs/>
                <w:color w:val="auto"/>
                <w:sz w:val="21"/>
                <w:szCs w:val="21"/>
                <w:lang w:eastAsia="zh-CN"/>
              </w:rPr>
              <w:t>分，未满足不得分。在此基础上，专家根据各供应商的具体响应内容按照量化的评审因素指标进一步评审：</w:t>
            </w:r>
          </w:p>
          <w:p w14:paraId="77E31196">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1.方案完整、科学合理、针对性强、可操作性强，评审为优加</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14:paraId="6D989D88">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2.方案较完整、较合理、有一定针对性、一定可操作性，评审为良加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3412A021">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3.方案基本完整、不尽合理、针对性一般、可操作性一般，评审为中加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0DBDAC81">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4.方案不完整、不合理、无针对性、无可操作性，评审为差得0分。</w:t>
            </w:r>
          </w:p>
          <w:p w14:paraId="3D686D2E">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如果评审为差，要求专家书面说明理由，并记录在档。</w:t>
            </w:r>
          </w:p>
        </w:tc>
      </w:tr>
      <w:tr w14:paraId="332543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noWrap w:val="0"/>
            <w:vAlign w:val="center"/>
          </w:tcPr>
          <w:p w14:paraId="64F87A75">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0A900F3">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36F4F701">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项目交接方案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528B6040">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1DC46E0B">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评审内容： </w:t>
            </w:r>
          </w:p>
          <w:p w14:paraId="17B6A033">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维护设施资料档案整理移交方案</w:t>
            </w:r>
            <w:r>
              <w:rPr>
                <w:rFonts w:hint="eastAsia" w:ascii="宋体" w:hAnsi="宋体" w:eastAsia="宋体" w:cs="宋体"/>
                <w:color w:val="auto"/>
                <w:sz w:val="21"/>
                <w:szCs w:val="21"/>
                <w:lang w:eastAsia="zh-CN"/>
              </w:rPr>
              <w:t>；</w:t>
            </w:r>
          </w:p>
          <w:p w14:paraId="512EBA57">
            <w:pPr>
              <w:keepNext w:val="0"/>
              <w:keepLines w:val="0"/>
              <w:pageBreakBefore w:val="0"/>
              <w:widowControl/>
              <w:snapToGrid/>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景观照明设施现场移交接管的服务方案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包括人员安排</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服务期限等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lang w:eastAsia="zh-CN"/>
              </w:rPr>
              <w:t>满足以上两点得</w:t>
            </w: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lang w:eastAsia="zh-CN"/>
              </w:rPr>
              <w:t>分，满足任意一点得</w:t>
            </w:r>
            <w:r>
              <w:rPr>
                <w:rFonts w:hint="eastAsia" w:ascii="宋体" w:hAnsi="宋体" w:eastAsia="宋体" w:cs="宋体"/>
                <w:b/>
                <w:bCs/>
                <w:color w:val="auto"/>
                <w:sz w:val="21"/>
                <w:szCs w:val="21"/>
                <w:lang w:val="en-US" w:eastAsia="zh-CN"/>
              </w:rPr>
              <w:t>25</w:t>
            </w:r>
            <w:r>
              <w:rPr>
                <w:rFonts w:hint="eastAsia" w:ascii="宋体" w:hAnsi="宋体" w:eastAsia="宋体" w:cs="宋体"/>
                <w:b/>
                <w:bCs/>
                <w:color w:val="auto"/>
                <w:sz w:val="21"/>
                <w:szCs w:val="21"/>
                <w:lang w:eastAsia="zh-CN"/>
              </w:rPr>
              <w:t>分，未满足不得分。在此基础上，专家根据各供应商的具体响应内容按照量化的评审因素指标进一步评审：</w:t>
            </w:r>
          </w:p>
          <w:p w14:paraId="05BC22EE">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1.方案完整、科学合理、针对性强、可操作性强，评审为优加</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14:paraId="3F7D9961">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2.方案较完整、较合理、有一定针对性、一定可操作性，评审为良加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3642E8C5">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3.方案基本完整、不尽合理、针对性一般、可操作性一般，评审为中加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5BC9AEC1">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4.方案不完整、不合理、无针对性、无可操作性，评审为差得0分。</w:t>
            </w:r>
          </w:p>
          <w:p w14:paraId="48CC5764">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如果评审为差，要求专家书面说明理由，并记录在档。</w:t>
            </w:r>
          </w:p>
        </w:tc>
      </w:tr>
      <w:tr w14:paraId="205CFB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noWrap w:val="0"/>
            <w:vAlign w:val="center"/>
          </w:tcPr>
          <w:p w14:paraId="4A41D04B">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1931013">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74B6124A">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安全保障措施</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52248C4F">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00C68D5A">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评审内容：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1.提供投标企业</w:t>
            </w:r>
            <w:r>
              <w:rPr>
                <w:rFonts w:hint="eastAsia" w:ascii="宋体" w:hAnsi="宋体" w:eastAsia="宋体" w:cs="宋体"/>
                <w:color w:val="auto"/>
                <w:sz w:val="21"/>
                <w:szCs w:val="21"/>
              </w:rPr>
              <w:t>安全生产</w:t>
            </w:r>
            <w:r>
              <w:rPr>
                <w:rFonts w:hint="eastAsia" w:ascii="宋体" w:hAnsi="宋体" w:eastAsia="宋体" w:cs="宋体"/>
                <w:color w:val="auto"/>
                <w:sz w:val="21"/>
                <w:szCs w:val="21"/>
                <w:lang w:eastAsia="zh-CN"/>
              </w:rPr>
              <w:t>的岗位</w:t>
            </w:r>
            <w:r>
              <w:rPr>
                <w:rFonts w:hint="eastAsia" w:ascii="宋体" w:hAnsi="宋体" w:eastAsia="宋体" w:cs="宋体"/>
                <w:color w:val="auto"/>
                <w:sz w:val="21"/>
                <w:szCs w:val="21"/>
              </w:rPr>
              <w:t>职责</w:t>
            </w:r>
            <w:r>
              <w:rPr>
                <w:rFonts w:hint="eastAsia" w:ascii="宋体" w:hAnsi="宋体" w:eastAsia="宋体" w:cs="宋体"/>
                <w:color w:val="auto"/>
                <w:sz w:val="21"/>
                <w:szCs w:val="21"/>
                <w:lang w:eastAsia="zh-CN"/>
              </w:rPr>
              <w:t>；</w:t>
            </w:r>
          </w:p>
          <w:p w14:paraId="68408624">
            <w:pPr>
              <w:keepNext w:val="0"/>
              <w:keepLines w:val="0"/>
              <w:pageBreakBefore w:val="0"/>
              <w:widowControl/>
              <w:numPr>
                <w:ilvl w:val="-1"/>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提供投标</w:t>
            </w:r>
            <w:r>
              <w:rPr>
                <w:rFonts w:hint="eastAsia" w:ascii="宋体" w:hAnsi="宋体" w:eastAsia="宋体" w:cs="宋体"/>
                <w:color w:val="auto"/>
                <w:sz w:val="21"/>
                <w:szCs w:val="21"/>
              </w:rPr>
              <w:t>企业日常工作范围</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 xml:space="preserve">安全生产规章制度； </w:t>
            </w:r>
          </w:p>
          <w:p w14:paraId="2F7182C8">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3.提供</w:t>
            </w:r>
            <w:r>
              <w:rPr>
                <w:rFonts w:hint="eastAsia" w:ascii="宋体" w:hAnsi="宋体" w:eastAsia="宋体" w:cs="宋体"/>
                <w:color w:val="auto"/>
                <w:sz w:val="21"/>
                <w:szCs w:val="21"/>
              </w:rPr>
              <w:t>养护和施工作业时的交通组织方案和安全防护措施</w:t>
            </w:r>
            <w:r>
              <w:rPr>
                <w:rFonts w:hint="eastAsia" w:ascii="宋体" w:hAnsi="宋体" w:eastAsia="宋体" w:cs="宋体"/>
                <w:color w:val="auto"/>
                <w:sz w:val="21"/>
                <w:szCs w:val="21"/>
                <w:lang w:eastAsia="zh-CN"/>
              </w:rPr>
              <w:t>；</w:t>
            </w:r>
          </w:p>
          <w:p w14:paraId="6A3BFB6C">
            <w:pPr>
              <w:keepNext w:val="0"/>
              <w:keepLines w:val="0"/>
              <w:pageBreakBefore w:val="0"/>
              <w:widowControl/>
              <w:numPr>
                <w:ilvl w:val="0"/>
                <w:numId w:val="0"/>
              </w:numPr>
              <w:snapToGrid/>
              <w:spacing w:line="240" w:lineRule="auto"/>
              <w:jc w:val="both"/>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4.提供</w:t>
            </w:r>
            <w:r>
              <w:rPr>
                <w:rFonts w:hint="eastAsia" w:ascii="宋体" w:hAnsi="宋体" w:eastAsia="宋体" w:cs="宋体"/>
                <w:color w:val="auto"/>
                <w:sz w:val="21"/>
                <w:szCs w:val="21"/>
                <w:lang w:eastAsia="zh-CN"/>
              </w:rPr>
              <w:t>景观照明设施</w:t>
            </w:r>
            <w:r>
              <w:rPr>
                <w:rFonts w:hint="eastAsia" w:ascii="宋体" w:hAnsi="宋体" w:eastAsia="宋体" w:cs="宋体"/>
                <w:color w:val="auto"/>
                <w:sz w:val="21"/>
                <w:szCs w:val="21"/>
              </w:rPr>
              <w:t>管养的漏电</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电缆起火安全</w:t>
            </w:r>
            <w:r>
              <w:rPr>
                <w:rFonts w:hint="eastAsia" w:ascii="宋体" w:hAnsi="宋体" w:eastAsia="宋体" w:cs="宋体"/>
                <w:color w:val="auto"/>
                <w:sz w:val="21"/>
                <w:szCs w:val="21"/>
                <w:lang w:eastAsia="zh-CN"/>
              </w:rPr>
              <w:t>隐患</w:t>
            </w:r>
            <w:r>
              <w:rPr>
                <w:rFonts w:hint="eastAsia" w:ascii="宋体" w:hAnsi="宋体" w:eastAsia="宋体" w:cs="宋体"/>
                <w:color w:val="auto"/>
                <w:sz w:val="21"/>
                <w:szCs w:val="21"/>
              </w:rPr>
              <w:t>的应急处理。</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lang w:eastAsia="zh-CN"/>
              </w:rPr>
              <w:t>满足以上</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点得</w:t>
            </w:r>
            <w:r>
              <w:rPr>
                <w:rFonts w:hint="eastAsia" w:ascii="宋体" w:hAnsi="宋体" w:eastAsia="宋体" w:cs="宋体"/>
                <w:b/>
                <w:bCs/>
                <w:color w:val="auto"/>
                <w:sz w:val="21"/>
                <w:szCs w:val="21"/>
                <w:lang w:val="en-US" w:eastAsia="zh-CN"/>
              </w:rPr>
              <w:t>60</w:t>
            </w:r>
            <w:r>
              <w:rPr>
                <w:rFonts w:hint="eastAsia" w:ascii="宋体" w:hAnsi="宋体" w:eastAsia="宋体" w:cs="宋体"/>
                <w:b/>
                <w:bCs/>
                <w:color w:val="auto"/>
                <w:sz w:val="21"/>
                <w:szCs w:val="21"/>
                <w:lang w:eastAsia="zh-CN"/>
              </w:rPr>
              <w:t>分，满足任意</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点得</w:t>
            </w:r>
            <w:r>
              <w:rPr>
                <w:rFonts w:hint="eastAsia" w:ascii="宋体" w:hAnsi="宋体" w:eastAsia="宋体" w:cs="宋体"/>
                <w:b/>
                <w:bCs/>
                <w:color w:val="auto"/>
                <w:sz w:val="21"/>
                <w:szCs w:val="21"/>
                <w:lang w:val="en-US" w:eastAsia="zh-CN"/>
              </w:rPr>
              <w:t>45</w:t>
            </w:r>
            <w:r>
              <w:rPr>
                <w:rFonts w:hint="eastAsia" w:ascii="宋体" w:hAnsi="宋体" w:eastAsia="宋体" w:cs="宋体"/>
                <w:b/>
                <w:bCs/>
                <w:color w:val="auto"/>
                <w:sz w:val="21"/>
                <w:szCs w:val="21"/>
                <w:lang w:eastAsia="zh-CN"/>
              </w:rPr>
              <w:t>分，满足任意</w:t>
            </w:r>
            <w:r>
              <w:rPr>
                <w:rFonts w:hint="eastAsia" w:ascii="宋体" w:hAnsi="宋体" w:eastAsia="宋体" w:cs="宋体"/>
                <w:b/>
                <w:bCs/>
                <w:color w:val="auto"/>
                <w:sz w:val="21"/>
                <w:szCs w:val="21"/>
                <w:lang w:val="en-US" w:eastAsia="zh-CN"/>
              </w:rPr>
              <w:t>两</w:t>
            </w:r>
            <w:r>
              <w:rPr>
                <w:rFonts w:hint="eastAsia" w:ascii="宋体" w:hAnsi="宋体" w:eastAsia="宋体" w:cs="宋体"/>
                <w:b/>
                <w:bCs/>
                <w:color w:val="auto"/>
                <w:sz w:val="21"/>
                <w:szCs w:val="21"/>
                <w:lang w:eastAsia="zh-CN"/>
              </w:rPr>
              <w:t>点得</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lang w:eastAsia="zh-CN"/>
              </w:rPr>
              <w:t>分，满足任意</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点得</w:t>
            </w:r>
            <w:r>
              <w:rPr>
                <w:rFonts w:hint="eastAsia" w:ascii="宋体" w:hAnsi="宋体" w:eastAsia="宋体" w:cs="宋体"/>
                <w:b/>
                <w:bCs/>
                <w:color w:val="auto"/>
                <w:sz w:val="21"/>
                <w:szCs w:val="21"/>
                <w:lang w:val="en-US" w:eastAsia="zh-CN"/>
              </w:rPr>
              <w:t>15</w:t>
            </w:r>
            <w:r>
              <w:rPr>
                <w:rFonts w:hint="eastAsia" w:ascii="宋体" w:hAnsi="宋体" w:eastAsia="宋体" w:cs="宋体"/>
                <w:b/>
                <w:bCs/>
                <w:color w:val="auto"/>
                <w:sz w:val="21"/>
                <w:szCs w:val="21"/>
                <w:lang w:eastAsia="zh-CN"/>
              </w:rPr>
              <w:t>分，未满足不得分。在此基础上，专家根据各供应商的具体响应内容按照量化的评审因素指标进一步评审：</w:t>
            </w:r>
          </w:p>
          <w:p w14:paraId="38674A78">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1.方案完整、科学合理、针对性强、可操作性强，评审为优加</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p w14:paraId="073EA2C5">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2.方案较完整、较合理、有一定针对性、一定可操作性，评审为良加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7ADE1C6D">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3.方案基本完整、不尽合理、针对性一般、可操作性一般，评审为中加</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p w14:paraId="6C1A7574">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4.方案不完整、不合理、无针对性、无可操作性，评审为差得0分。</w:t>
            </w:r>
          </w:p>
          <w:p w14:paraId="5E259C2F">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如果评审为差，要求专家书面说明理由，并记录在档。</w:t>
            </w:r>
          </w:p>
        </w:tc>
      </w:tr>
      <w:tr w14:paraId="49EAB6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bottom w:val="single" w:color="000000" w:sz="8" w:space="0"/>
              <w:right w:val="single" w:color="000000" w:sz="8" w:space="0"/>
            </w:tcBorders>
            <w:noWrap w:val="0"/>
            <w:vAlign w:val="center"/>
          </w:tcPr>
          <w:p w14:paraId="3AABF128">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B428073">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424C3DDF">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拟安排的项目负责人情况（仅限一人）</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54B2F71B">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7A176A62">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评分内容：</w:t>
            </w:r>
          </w:p>
          <w:p w14:paraId="0740CECB">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拟安排项目负责人为投标单位员工（以社保为准），否则本项不得分。</w:t>
            </w:r>
          </w:p>
          <w:p w14:paraId="1D643AFF">
            <w:pPr>
              <w:keepNext w:val="0"/>
              <w:keepLines w:val="0"/>
              <w:pageBreakBefore w:val="0"/>
              <w:widowControl/>
              <w:numPr>
                <w:ilvl w:val="0"/>
                <w:numId w:val="1"/>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要求</w:t>
            </w:r>
            <w:r>
              <w:rPr>
                <w:rFonts w:hint="eastAsia" w:ascii="宋体" w:hAnsi="宋体" w:eastAsia="宋体" w:cs="宋体"/>
                <w:color w:val="auto"/>
                <w:sz w:val="21"/>
                <w:szCs w:val="21"/>
              </w:rPr>
              <w:t>具有照明</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电气或机电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职称，</w:t>
            </w:r>
            <w:r>
              <w:rPr>
                <w:rFonts w:hint="eastAsia" w:ascii="宋体" w:hAnsi="宋体" w:eastAsia="宋体" w:cs="宋体"/>
                <w:color w:val="auto"/>
                <w:sz w:val="21"/>
                <w:szCs w:val="21"/>
                <w:lang w:val="en-US" w:eastAsia="zh-CN"/>
              </w:rPr>
              <w:t>中级</w:t>
            </w:r>
            <w:r>
              <w:rPr>
                <w:rFonts w:hint="eastAsia" w:ascii="宋体" w:hAnsi="宋体" w:eastAsia="宋体" w:cs="宋体"/>
                <w:color w:val="auto"/>
                <w:sz w:val="21"/>
                <w:szCs w:val="21"/>
              </w:rPr>
              <w:t>职称</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得20分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副高或</w:t>
            </w:r>
            <w:r>
              <w:rPr>
                <w:rFonts w:hint="eastAsia" w:ascii="宋体" w:hAnsi="宋体" w:eastAsia="宋体" w:cs="宋体"/>
                <w:color w:val="auto"/>
                <w:sz w:val="21"/>
                <w:szCs w:val="21"/>
              </w:rPr>
              <w:t>以上职称</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本项最高</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2.具有电气（或照明或机电或自动化</w:t>
            </w:r>
            <w:r>
              <w:rPr>
                <w:rFonts w:hint="eastAsia" w:ascii="宋体" w:hAnsi="宋体" w:eastAsia="宋体" w:cs="宋体"/>
                <w:color w:val="auto"/>
                <w:sz w:val="21"/>
                <w:szCs w:val="21"/>
                <w:lang w:eastAsia="zh-CN"/>
              </w:rPr>
              <w:t>或电子</w:t>
            </w:r>
            <w:r>
              <w:rPr>
                <w:rFonts w:hint="eastAsia" w:ascii="宋体" w:hAnsi="宋体" w:eastAsia="宋体" w:cs="宋体"/>
                <w:color w:val="auto"/>
                <w:sz w:val="21"/>
                <w:szCs w:val="21"/>
              </w:rPr>
              <w:t>）专业本科（或以上）学历得20分，大专学历得10分；本项最高得20分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月1日至本项目开标之日（以</w:t>
            </w:r>
            <w:r>
              <w:rPr>
                <w:rFonts w:hint="eastAsia" w:ascii="宋体" w:hAnsi="宋体" w:eastAsia="宋体" w:cs="宋体"/>
                <w:color w:val="auto"/>
                <w:sz w:val="21"/>
                <w:szCs w:val="21"/>
                <w:lang w:val="en-US" w:eastAsia="zh-CN"/>
              </w:rPr>
              <w:t>合同中服务期起始</w:t>
            </w:r>
            <w:r>
              <w:rPr>
                <w:rFonts w:hint="eastAsia" w:ascii="宋体" w:hAnsi="宋体" w:eastAsia="宋体" w:cs="宋体"/>
                <w:color w:val="auto"/>
                <w:sz w:val="21"/>
                <w:szCs w:val="21"/>
              </w:rPr>
              <w:t>日期为准），具有政府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景观照明维护项目同类业绩（</w:t>
            </w:r>
            <w:r>
              <w:rPr>
                <w:rFonts w:hint="eastAsia" w:ascii="宋体" w:hAnsi="宋体" w:eastAsia="宋体" w:cs="宋体"/>
                <w:color w:val="auto"/>
                <w:sz w:val="21"/>
                <w:szCs w:val="21"/>
                <w:lang w:eastAsia="zh-CN"/>
              </w:rPr>
              <w:t>景观照明工程或</w:t>
            </w:r>
            <w:r>
              <w:rPr>
                <w:rFonts w:hint="eastAsia" w:ascii="宋体" w:hAnsi="宋体" w:eastAsia="宋体" w:cs="宋体"/>
                <w:color w:val="auto"/>
                <w:sz w:val="21"/>
                <w:szCs w:val="21"/>
              </w:rPr>
              <w:t>路灯维护的不予计分）管理经验得20分；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月1日至本项目开标之日（以</w:t>
            </w:r>
            <w:r>
              <w:rPr>
                <w:rFonts w:hint="eastAsia" w:ascii="宋体" w:hAnsi="宋体" w:eastAsia="宋体" w:cs="宋体"/>
                <w:color w:val="auto"/>
                <w:sz w:val="21"/>
                <w:szCs w:val="21"/>
                <w:lang w:val="en-US" w:eastAsia="zh-CN"/>
              </w:rPr>
              <w:t>合同中服务期起始</w:t>
            </w:r>
            <w:r>
              <w:rPr>
                <w:rFonts w:hint="eastAsia" w:ascii="宋体" w:hAnsi="宋体" w:eastAsia="宋体" w:cs="宋体"/>
                <w:color w:val="auto"/>
                <w:sz w:val="21"/>
                <w:szCs w:val="21"/>
              </w:rPr>
              <w:t>日期为准）项目负责人参与管理的政府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或事业单位的景观照明维护项目（</w:t>
            </w:r>
            <w:r>
              <w:rPr>
                <w:rFonts w:hint="eastAsia" w:ascii="宋体" w:hAnsi="宋体" w:eastAsia="宋体" w:cs="宋体"/>
                <w:color w:val="auto"/>
                <w:sz w:val="21"/>
                <w:szCs w:val="21"/>
                <w:lang w:eastAsia="zh-CN"/>
              </w:rPr>
              <w:t>景观照明工程或</w:t>
            </w:r>
            <w:r>
              <w:rPr>
                <w:rFonts w:hint="eastAsia" w:ascii="宋体" w:hAnsi="宋体" w:eastAsia="宋体" w:cs="宋体"/>
                <w:color w:val="auto"/>
                <w:sz w:val="21"/>
                <w:szCs w:val="21"/>
              </w:rPr>
              <w:t>路灯维护的不予计分）</w:t>
            </w:r>
            <w:r>
              <w:rPr>
                <w:rFonts w:hint="eastAsia" w:ascii="宋体" w:hAnsi="宋体" w:eastAsia="宋体" w:cs="宋体"/>
                <w:color w:val="auto"/>
                <w:sz w:val="21"/>
                <w:szCs w:val="21"/>
                <w:lang w:eastAsia="zh-CN"/>
              </w:rPr>
              <w:t>获得</w:t>
            </w:r>
            <w:r>
              <w:rPr>
                <w:rFonts w:hint="eastAsia" w:ascii="宋体" w:hAnsi="宋体" w:eastAsia="宋体" w:cs="宋体"/>
                <w:color w:val="auto"/>
                <w:sz w:val="21"/>
                <w:szCs w:val="21"/>
              </w:rPr>
              <w:t>政府</w:t>
            </w:r>
            <w:r>
              <w:rPr>
                <w:rFonts w:hint="eastAsia" w:ascii="宋体" w:hAnsi="宋体" w:eastAsia="宋体" w:cs="宋体"/>
                <w:color w:val="auto"/>
                <w:sz w:val="21"/>
                <w:szCs w:val="21"/>
                <w:lang w:eastAsia="zh-CN"/>
              </w:rPr>
              <w:t>机关（或事业单位或社会组织）颁发的</w:t>
            </w:r>
            <w:r>
              <w:rPr>
                <w:rFonts w:hint="eastAsia" w:ascii="宋体" w:hAnsi="宋体" w:eastAsia="宋体" w:cs="宋体"/>
                <w:color w:val="auto"/>
                <w:sz w:val="21"/>
                <w:szCs w:val="21"/>
              </w:rPr>
              <w:t>奖项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得20分。</w:t>
            </w:r>
          </w:p>
          <w:p w14:paraId="668FDC56">
            <w:pPr>
              <w:keepNext w:val="0"/>
              <w:keepLines w:val="0"/>
              <w:pageBreakBefore w:val="0"/>
              <w:widowControl/>
              <w:numPr>
                <w:ilvl w:val="0"/>
                <w:numId w:val="0"/>
              </w:numPr>
              <w:snapToGrid/>
              <w:spacing w:line="240" w:lineRule="auto"/>
              <w:ind w:leftChars="0" w:right="0" w:rightChars="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5.获得政府机关或事业单位或行业协会（学会）颁发的优秀项目经理荣誉的得10分。</w:t>
            </w:r>
          </w:p>
          <w:p w14:paraId="5D833C3E">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04272119">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1.要求提供通过投标人缴纳的近三个月（202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月-202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月）的社保证明作为本单位员工的证明依据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补缴的不得分</w:t>
            </w:r>
            <w:r>
              <w:rPr>
                <w:rFonts w:hint="eastAsia" w:ascii="宋体" w:hAnsi="宋体" w:eastAsia="宋体" w:cs="宋体"/>
                <w:color w:val="auto"/>
                <w:sz w:val="21"/>
                <w:szCs w:val="21"/>
              </w:rPr>
              <w:t>（如开标日上一个月的社保材料因社保部门原因暂时无法取得，则可以往前顺延一个月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。若供应商成立不足三个月的，需提供成立情况说明函（格式自拟），无需提供相关人员社保，亦可得分。</w:t>
            </w:r>
          </w:p>
          <w:p w14:paraId="58060999">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学历证明需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证明材料均提供扫描件，原件备查。</w:t>
            </w:r>
          </w:p>
          <w:p w14:paraId="5C2BF0C5">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如涉及考察人员工作经验，要求提供项目合同关键信息作为得分依据，通过合同关键信息无法判断是否得分的，还须同时提供合同甲方出具的证明文件。</w:t>
            </w:r>
          </w:p>
          <w:p w14:paraId="791A583A">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要求提供投标人</w:t>
            </w:r>
            <w:r>
              <w:rPr>
                <w:rFonts w:hint="eastAsia" w:ascii="宋体" w:hAnsi="宋体" w:eastAsia="宋体" w:cs="宋体"/>
                <w:color w:val="auto"/>
                <w:sz w:val="21"/>
                <w:szCs w:val="21"/>
                <w:lang w:val="en-US" w:eastAsia="zh-CN"/>
              </w:rPr>
              <w:t>职称证书、奖项证书等</w:t>
            </w:r>
            <w:r>
              <w:rPr>
                <w:rFonts w:hint="eastAsia" w:ascii="宋体" w:hAnsi="宋体" w:eastAsia="宋体" w:cs="宋体"/>
                <w:color w:val="auto"/>
                <w:sz w:val="21"/>
                <w:szCs w:val="21"/>
              </w:rPr>
              <w:t>证明资料作为得分依据</w:t>
            </w:r>
            <w:r>
              <w:rPr>
                <w:rFonts w:hint="eastAsia" w:ascii="宋体" w:hAnsi="宋体" w:eastAsia="宋体" w:cs="宋体"/>
                <w:color w:val="auto"/>
                <w:sz w:val="21"/>
                <w:szCs w:val="21"/>
                <w:lang w:val="en-US" w:eastAsia="zh-CN"/>
              </w:rPr>
              <w:t>(若</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社会组织</w:t>
            </w:r>
            <w:r>
              <w:rPr>
                <w:rFonts w:hint="eastAsia" w:ascii="宋体" w:hAnsi="宋体" w:eastAsia="宋体" w:cs="宋体"/>
                <w:color w:val="auto"/>
                <w:sz w:val="21"/>
                <w:szCs w:val="21"/>
              </w:rPr>
              <w:t>颁发的奖项，还需同时提供该组织在“中国社会组织政务服务平台（全国社会组织信用信息公示平台）https://chinanpo.mca.gov.cn/”的查询截图（截图需体现网址且状态为正常），否则该奖项不得分</w:t>
            </w:r>
            <w:r>
              <w:rPr>
                <w:rFonts w:hint="eastAsia" w:ascii="宋体" w:hAnsi="宋体" w:eastAsia="宋体" w:cs="宋体"/>
                <w:color w:val="auto"/>
                <w:sz w:val="21"/>
                <w:szCs w:val="21"/>
                <w:lang w:eastAsia="zh-CN"/>
              </w:rPr>
              <w:t>）；</w:t>
            </w:r>
          </w:p>
          <w:p w14:paraId="59CAAA10">
            <w:pPr>
              <w:keepNext w:val="0"/>
              <w:keepLines w:val="0"/>
              <w:pageBreakBefore w:val="0"/>
              <w:widowControl/>
              <w:snapToGrid/>
              <w:spacing w:line="240" w:lineRule="auto"/>
              <w:ind w:left="0" w:leftChars="0" w:right="0" w:righ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以上资料均要求提供扫描件，原件备查。评分中出现无证明资料或专家无法凭所提供资料判断是否得分的情况，一律作不得分处理。</w:t>
            </w:r>
          </w:p>
        </w:tc>
      </w:tr>
      <w:tr w14:paraId="6FD8F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noWrap w:val="0"/>
            <w:vAlign w:val="center"/>
          </w:tcPr>
          <w:p w14:paraId="4615040B">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3CD870F5">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56D53D22">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拟安排的项目主要团队成员（主要技术人员）情况（项目负责人除外）</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739DFF5F">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7A00A963">
            <w:pPr>
              <w:keepNext w:val="0"/>
              <w:keepLines w:val="0"/>
              <w:pageBreakBefore w:val="0"/>
              <w:widowControl/>
              <w:numPr>
                <w:ilvl w:val="0"/>
                <w:numId w:val="0"/>
              </w:numPr>
              <w:snapToGrid/>
              <w:spacing w:line="240" w:lineRule="auto"/>
              <w:jc w:val="both"/>
              <w:rPr>
                <w:rFonts w:hint="eastAsia" w:ascii="宋体" w:hAnsi="宋体" w:eastAsia="宋体" w:cs="宋体"/>
                <w:color w:val="auto"/>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评分内容：拟安排项目主要团队成员为投标单位员工（以社保为准），否则该人员情况不计分。</w:t>
            </w:r>
          </w:p>
          <w:p w14:paraId="28B97FAA">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1.拟安排项目管理团队</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50分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w:t>
            </w:r>
            <w:r>
              <w:rPr>
                <w:rFonts w:hint="eastAsia" w:ascii="宋体" w:hAnsi="宋体" w:eastAsia="宋体" w:cs="宋体"/>
                <w:color w:val="auto"/>
                <w:sz w:val="21"/>
                <w:szCs w:val="21"/>
              </w:rPr>
              <w:t xml:space="preserve"> </w:t>
            </w:r>
          </w:p>
          <w:p w14:paraId="7C485344">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eastAsia="zh-CN"/>
              </w:rPr>
              <w:t>拟安排</w:t>
            </w:r>
            <w:r>
              <w:rPr>
                <w:rFonts w:hint="eastAsia" w:ascii="宋体" w:hAnsi="宋体" w:eastAsia="宋体" w:cs="宋体"/>
                <w:b/>
                <w:bCs/>
                <w:color w:val="auto"/>
                <w:sz w:val="21"/>
                <w:szCs w:val="21"/>
              </w:rPr>
              <w:t>安全主管</w:t>
            </w:r>
            <w:r>
              <w:rPr>
                <w:rFonts w:hint="eastAsia" w:ascii="宋体" w:hAnsi="宋体" w:eastAsia="宋体" w:cs="宋体"/>
                <w:b/>
                <w:bCs/>
                <w:color w:val="auto"/>
                <w:sz w:val="21"/>
                <w:szCs w:val="21"/>
                <w:lang w:val="en-US" w:eastAsia="zh-CN"/>
              </w:rPr>
              <w:t>1名：</w:t>
            </w:r>
          </w:p>
          <w:p w14:paraId="5E9506C4">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安全生产相关专业的</w:t>
            </w:r>
            <w:r>
              <w:rPr>
                <w:rFonts w:hint="eastAsia" w:ascii="宋体" w:hAnsi="宋体" w:eastAsia="宋体" w:cs="宋体"/>
                <w:color w:val="auto"/>
                <w:sz w:val="21"/>
                <w:szCs w:val="21"/>
                <w:lang w:eastAsia="zh-CN"/>
              </w:rPr>
              <w:t>大专</w:t>
            </w:r>
            <w:r>
              <w:rPr>
                <w:rFonts w:hint="eastAsia" w:ascii="宋体" w:hAnsi="宋体" w:eastAsia="宋体" w:cs="宋体"/>
                <w:color w:val="auto"/>
                <w:sz w:val="21"/>
                <w:szCs w:val="21"/>
              </w:rPr>
              <w:t>学历得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本科或以上</w:t>
            </w:r>
            <w:r>
              <w:rPr>
                <w:rFonts w:hint="eastAsia" w:ascii="宋体" w:hAnsi="宋体" w:eastAsia="宋体" w:cs="宋体"/>
                <w:color w:val="auto"/>
                <w:sz w:val="21"/>
                <w:szCs w:val="21"/>
              </w:rPr>
              <w:t>学历得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分；本项最高得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48C813ED">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2）具有中级职称得5分，具有高级或以上职称得10分，本项最高得10分；</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拟安排</w:t>
            </w:r>
            <w:r>
              <w:rPr>
                <w:rFonts w:hint="eastAsia" w:ascii="宋体" w:hAnsi="宋体" w:eastAsia="宋体" w:cs="宋体"/>
                <w:b/>
                <w:bCs/>
                <w:color w:val="auto"/>
                <w:sz w:val="21"/>
                <w:szCs w:val="21"/>
              </w:rPr>
              <w:t>安全员</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名：</w:t>
            </w:r>
          </w:p>
          <w:p w14:paraId="727E153B">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1）每提供一名</w:t>
            </w:r>
            <w:r>
              <w:rPr>
                <w:rFonts w:hint="eastAsia" w:ascii="宋体" w:hAnsi="宋体" w:eastAsia="宋体" w:cs="宋体"/>
                <w:color w:val="auto"/>
                <w:sz w:val="21"/>
                <w:szCs w:val="21"/>
              </w:rPr>
              <w:t>具有安全员C证</w:t>
            </w:r>
            <w:r>
              <w:rPr>
                <w:rFonts w:hint="eastAsia" w:ascii="宋体" w:hAnsi="宋体" w:eastAsia="宋体" w:cs="宋体"/>
                <w:color w:val="auto"/>
                <w:sz w:val="21"/>
                <w:szCs w:val="21"/>
                <w:lang w:val="en-US" w:eastAsia="zh-CN"/>
              </w:rPr>
              <w:t>或以上</w:t>
            </w:r>
            <w:r>
              <w:rPr>
                <w:rFonts w:hint="eastAsia" w:ascii="宋体" w:hAnsi="宋体" w:eastAsia="宋体" w:cs="宋体"/>
                <w:color w:val="auto"/>
                <w:sz w:val="21"/>
                <w:szCs w:val="21"/>
              </w:rPr>
              <w:t>证书</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w:t>
            </w:r>
            <w:r>
              <w:rPr>
                <w:rFonts w:hint="eastAsia" w:ascii="宋体" w:hAnsi="宋体" w:eastAsia="宋体" w:cs="宋体"/>
                <w:color w:val="auto"/>
                <w:sz w:val="21"/>
                <w:szCs w:val="21"/>
              </w:rPr>
              <w:t>最高得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25CFFCBF">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2）每提供一名</w:t>
            </w:r>
            <w:r>
              <w:rPr>
                <w:rFonts w:hint="eastAsia" w:ascii="宋体" w:hAnsi="宋体" w:eastAsia="宋体" w:cs="宋体"/>
                <w:color w:val="auto"/>
                <w:sz w:val="21"/>
                <w:szCs w:val="21"/>
              </w:rPr>
              <w:t>具有</w:t>
            </w:r>
            <w:r>
              <w:rPr>
                <w:rFonts w:hint="eastAsia" w:ascii="宋体" w:hAnsi="宋体" w:eastAsia="宋体" w:cs="宋体"/>
                <w:color w:val="auto"/>
                <w:sz w:val="21"/>
                <w:szCs w:val="21"/>
                <w:lang w:eastAsia="zh-CN"/>
              </w:rPr>
              <w:t>照明（或</w:t>
            </w:r>
            <w:r>
              <w:rPr>
                <w:rFonts w:hint="eastAsia" w:ascii="宋体" w:hAnsi="宋体" w:eastAsia="宋体" w:cs="宋体"/>
                <w:color w:val="auto"/>
                <w:sz w:val="21"/>
                <w:szCs w:val="21"/>
              </w:rPr>
              <w:t>电气或机电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职称的，</w:t>
            </w:r>
            <w:r>
              <w:rPr>
                <w:rFonts w:hint="eastAsia" w:ascii="宋体" w:hAnsi="宋体" w:eastAsia="宋体" w:cs="宋体"/>
                <w:color w:val="auto"/>
                <w:sz w:val="21"/>
                <w:szCs w:val="21"/>
                <w:lang w:val="en-US" w:eastAsia="zh-CN"/>
              </w:rPr>
              <w:t>初级</w:t>
            </w:r>
            <w:r>
              <w:rPr>
                <w:rFonts w:hint="eastAsia" w:ascii="宋体" w:hAnsi="宋体" w:eastAsia="宋体" w:cs="宋体"/>
                <w:color w:val="auto"/>
                <w:sz w:val="21"/>
                <w:szCs w:val="21"/>
              </w:rPr>
              <w:t>职称得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中级</w:t>
            </w:r>
            <w:r>
              <w:rPr>
                <w:rFonts w:hint="eastAsia" w:ascii="宋体" w:hAnsi="宋体" w:eastAsia="宋体" w:cs="宋体"/>
                <w:color w:val="auto"/>
                <w:sz w:val="21"/>
                <w:szCs w:val="21"/>
              </w:rPr>
              <w:t>职称</w:t>
            </w:r>
            <w:r>
              <w:rPr>
                <w:rFonts w:hint="eastAsia" w:ascii="宋体" w:hAnsi="宋体" w:eastAsia="宋体" w:cs="宋体"/>
                <w:color w:val="auto"/>
                <w:sz w:val="21"/>
                <w:szCs w:val="21"/>
                <w:lang w:eastAsia="zh-CN"/>
              </w:rPr>
              <w:t>或以上</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w:t>
            </w:r>
            <w:r>
              <w:rPr>
                <w:rFonts w:hint="eastAsia" w:ascii="宋体" w:hAnsi="宋体" w:eastAsia="宋体" w:cs="宋体"/>
                <w:color w:val="auto"/>
                <w:sz w:val="21"/>
                <w:szCs w:val="21"/>
              </w:rPr>
              <w:t>最高得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161AC454">
            <w:pPr>
              <w:keepNext w:val="0"/>
              <w:keepLines w:val="0"/>
              <w:pageBreakBefore w:val="0"/>
              <w:widowControl/>
              <w:numPr>
                <w:ilvl w:val="0"/>
                <w:numId w:val="2"/>
              </w:numPr>
              <w:snapToGrid/>
              <w:spacing w:line="24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拟安排</w:t>
            </w:r>
            <w:r>
              <w:rPr>
                <w:rFonts w:hint="eastAsia" w:ascii="宋体" w:hAnsi="宋体" w:eastAsia="宋体" w:cs="宋体"/>
                <w:b/>
                <w:bCs/>
                <w:color w:val="auto"/>
                <w:sz w:val="21"/>
                <w:szCs w:val="21"/>
                <w:lang w:val="en-US" w:eastAsia="zh-CN"/>
              </w:rPr>
              <w:t>现场负责人1名：</w:t>
            </w:r>
          </w:p>
          <w:p w14:paraId="1EF07CBF">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具有</w:t>
            </w:r>
            <w:r>
              <w:rPr>
                <w:rFonts w:hint="eastAsia" w:ascii="宋体" w:hAnsi="宋体" w:eastAsia="宋体" w:cs="宋体"/>
                <w:color w:val="auto"/>
                <w:sz w:val="21"/>
                <w:szCs w:val="21"/>
                <w:lang w:eastAsia="zh-CN"/>
              </w:rPr>
              <w:t>照明（或</w:t>
            </w:r>
            <w:r>
              <w:rPr>
                <w:rFonts w:hint="eastAsia" w:ascii="宋体" w:hAnsi="宋体" w:eastAsia="宋体" w:cs="宋体"/>
                <w:color w:val="auto"/>
                <w:sz w:val="21"/>
                <w:szCs w:val="21"/>
              </w:rPr>
              <w:t>电气或机电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业</w:t>
            </w:r>
            <w:r>
              <w:rPr>
                <w:rFonts w:hint="eastAsia" w:ascii="宋体" w:hAnsi="宋体" w:eastAsia="宋体" w:cs="宋体"/>
                <w:color w:val="auto"/>
                <w:sz w:val="21"/>
                <w:szCs w:val="21"/>
                <w:lang w:eastAsia="zh-CN"/>
              </w:rPr>
              <w:t>职称，</w:t>
            </w:r>
            <w:r>
              <w:rPr>
                <w:rFonts w:hint="eastAsia" w:ascii="宋体" w:hAnsi="宋体" w:eastAsia="宋体" w:cs="宋体"/>
                <w:color w:val="auto"/>
                <w:sz w:val="21"/>
                <w:szCs w:val="21"/>
                <w:lang w:val="en-US" w:eastAsia="zh-CN"/>
              </w:rPr>
              <w:t>初级</w:t>
            </w:r>
            <w:r>
              <w:rPr>
                <w:rFonts w:hint="eastAsia" w:ascii="宋体" w:hAnsi="宋体" w:eastAsia="宋体" w:cs="宋体"/>
                <w:color w:val="auto"/>
                <w:sz w:val="21"/>
                <w:szCs w:val="21"/>
              </w:rPr>
              <w:t>职称得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中级</w:t>
            </w:r>
            <w:r>
              <w:rPr>
                <w:rFonts w:hint="eastAsia" w:ascii="宋体" w:hAnsi="宋体" w:eastAsia="宋体" w:cs="宋体"/>
                <w:color w:val="auto"/>
                <w:sz w:val="21"/>
                <w:szCs w:val="21"/>
              </w:rPr>
              <w:t>职称</w:t>
            </w:r>
            <w:r>
              <w:rPr>
                <w:rFonts w:hint="eastAsia" w:ascii="宋体" w:hAnsi="宋体" w:eastAsia="宋体" w:cs="宋体"/>
                <w:color w:val="auto"/>
                <w:sz w:val="21"/>
                <w:szCs w:val="21"/>
                <w:lang w:eastAsia="zh-CN"/>
              </w:rPr>
              <w:t>或以上</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4FC47C95">
            <w:pPr>
              <w:keepNext w:val="0"/>
              <w:keepLines w:val="0"/>
              <w:pageBreakBefore w:val="0"/>
              <w:widowControl/>
              <w:numPr>
                <w:ilvl w:val="0"/>
                <w:numId w:val="2"/>
              </w:numPr>
              <w:snapToGrid/>
              <w:spacing w:line="24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拟安排</w:t>
            </w:r>
            <w:r>
              <w:rPr>
                <w:rFonts w:hint="eastAsia" w:ascii="宋体" w:hAnsi="宋体" w:eastAsia="宋体" w:cs="宋体"/>
                <w:b/>
                <w:bCs/>
                <w:color w:val="auto"/>
                <w:sz w:val="21"/>
                <w:szCs w:val="21"/>
              </w:rPr>
              <w:t>信息普查</w:t>
            </w:r>
            <w:r>
              <w:rPr>
                <w:rFonts w:hint="eastAsia" w:ascii="宋体" w:hAnsi="宋体" w:eastAsia="宋体" w:cs="宋体"/>
                <w:b/>
                <w:bCs/>
                <w:color w:val="auto"/>
                <w:sz w:val="21"/>
                <w:szCs w:val="21"/>
                <w:lang w:val="en-US" w:eastAsia="zh-CN"/>
              </w:rPr>
              <w:t>及</w:t>
            </w:r>
            <w:r>
              <w:rPr>
                <w:rFonts w:hint="eastAsia" w:ascii="宋体" w:hAnsi="宋体" w:eastAsia="宋体" w:cs="宋体"/>
                <w:b/>
                <w:bCs/>
                <w:color w:val="auto"/>
                <w:sz w:val="21"/>
                <w:szCs w:val="21"/>
              </w:rPr>
              <w:t>资料员</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名：</w:t>
            </w:r>
            <w:r>
              <w:rPr>
                <w:rFonts w:hint="eastAsia" w:ascii="宋体" w:hAnsi="宋体" w:eastAsia="宋体" w:cs="宋体"/>
                <w:color w:val="auto"/>
                <w:sz w:val="21"/>
                <w:szCs w:val="21"/>
                <w:lang w:eastAsia="zh-CN"/>
              </w:rPr>
              <w:t>具备大专或以上学历的，得</w:t>
            </w:r>
            <w:r>
              <w:rPr>
                <w:rFonts w:hint="eastAsia" w:ascii="宋体" w:hAnsi="宋体" w:eastAsia="宋体" w:cs="宋体"/>
                <w:color w:val="auto"/>
                <w:sz w:val="21"/>
                <w:szCs w:val="21"/>
                <w:lang w:val="en-US" w:eastAsia="zh-CN"/>
              </w:rPr>
              <w:t>5分</w:t>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拟</w:t>
            </w:r>
            <w:r>
              <w:rPr>
                <w:rFonts w:hint="eastAsia" w:ascii="宋体" w:hAnsi="宋体" w:eastAsia="宋体" w:cs="宋体"/>
                <w:b/>
                <w:bCs/>
                <w:color w:val="auto"/>
                <w:sz w:val="21"/>
                <w:szCs w:val="21"/>
              </w:rPr>
              <w:t>安排</w:t>
            </w:r>
            <w:r>
              <w:rPr>
                <w:rFonts w:hint="eastAsia" w:ascii="宋体" w:hAnsi="宋体" w:eastAsia="宋体" w:cs="宋体"/>
                <w:b/>
                <w:bCs/>
                <w:color w:val="auto"/>
                <w:sz w:val="21"/>
                <w:szCs w:val="21"/>
                <w:lang w:val="en-US" w:eastAsia="zh-CN"/>
              </w:rPr>
              <w:t>项目一线工人（50分）</w:t>
            </w:r>
            <w:r>
              <w:rPr>
                <w:rFonts w:hint="eastAsia" w:ascii="宋体" w:hAnsi="宋体" w:eastAsia="宋体" w:cs="宋体"/>
                <w:b/>
                <w:bCs/>
                <w:color w:val="auto"/>
                <w:sz w:val="21"/>
                <w:szCs w:val="21"/>
                <w:lang w:eastAsia="zh-CN"/>
              </w:rPr>
              <w:t>：</w:t>
            </w:r>
          </w:p>
          <w:p w14:paraId="18A68E06">
            <w:pPr>
              <w:keepNext w:val="0"/>
              <w:keepLines w:val="0"/>
              <w:pageBreakBefore w:val="0"/>
              <w:widowControl/>
              <w:shd w:val="clear" w:fill="auto"/>
              <w:snapToGrid/>
              <w:spacing w:line="24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工人要求</w:t>
            </w:r>
            <w:r>
              <w:rPr>
                <w:rFonts w:hint="eastAsia" w:ascii="宋体" w:hAnsi="宋体" w:eastAsia="宋体" w:cs="宋体"/>
                <w:b/>
                <w:bCs/>
                <w:color w:val="auto"/>
                <w:sz w:val="21"/>
                <w:szCs w:val="21"/>
                <w:lang w:val="en-US" w:eastAsia="zh-CN"/>
              </w:rPr>
              <w:t>1975年1月1日后出生</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否则本项不得分。</w:t>
            </w:r>
          </w:p>
          <w:p w14:paraId="27000449">
            <w:pPr>
              <w:keepNext w:val="0"/>
              <w:keepLines w:val="0"/>
              <w:pageBreakBefore w:val="0"/>
              <w:widowControl/>
              <w:shd w:val="clear" w:fill="auto"/>
              <w:snapToGrid/>
              <w:spacing w:line="240" w:lineRule="auto"/>
              <w:jc w:val="both"/>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2）该项目一线工人不少于6人，否则本项不得分。提供的一线工人中具有电工职业资格证书或职业技能等级证书：每具有一名初级或五级的得5分，每具有一名中级或四级的得10分，每具有一名高级或三级以上的得15分，本项累计最高得50分。</w:t>
            </w:r>
            <w:r>
              <w:rPr>
                <w:rFonts w:hint="eastAsia" w:ascii="宋体" w:hAnsi="宋体" w:eastAsia="宋体" w:cs="宋体"/>
                <w:b/>
                <w:bCs/>
                <w:color w:val="auto"/>
                <w:sz w:val="21"/>
                <w:szCs w:val="21"/>
                <w:lang w:val="en-US" w:eastAsia="zh-CN"/>
              </w:rPr>
              <w:br w:type="textWrapping"/>
            </w:r>
            <w:r>
              <w:rPr>
                <w:rFonts w:hint="eastAsia" w:ascii="宋体" w:hAnsi="宋体" w:eastAsia="宋体" w:cs="宋体"/>
                <w:b/>
                <w:bCs/>
                <w:color w:val="auto"/>
                <w:sz w:val="21"/>
                <w:szCs w:val="21"/>
                <w:lang w:val="en-US" w:eastAsia="zh-CN"/>
              </w:rPr>
              <w:t>注：以上各项累计</w:t>
            </w:r>
            <w:r>
              <w:rPr>
                <w:rFonts w:hint="eastAsia" w:ascii="宋体" w:hAnsi="宋体" w:eastAsia="宋体" w:cs="宋体"/>
                <w:b/>
                <w:bCs/>
                <w:color w:val="auto"/>
                <w:sz w:val="21"/>
                <w:szCs w:val="21"/>
              </w:rPr>
              <w:t>加分，但同一人员只记一次最优得分。</w:t>
            </w:r>
          </w:p>
          <w:p w14:paraId="00F3FC53">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3911B05D">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提供人员清单</w:t>
            </w:r>
            <w:r>
              <w:rPr>
                <w:rFonts w:hint="eastAsia" w:ascii="宋体" w:hAnsi="宋体" w:eastAsia="宋体" w:cs="宋体"/>
                <w:color w:val="auto"/>
                <w:sz w:val="21"/>
                <w:szCs w:val="21"/>
                <w:lang w:val="en-US" w:eastAsia="zh-CN"/>
              </w:rPr>
              <w:t>和身份证</w:t>
            </w:r>
            <w:r>
              <w:rPr>
                <w:rFonts w:hint="eastAsia" w:ascii="宋体" w:hAnsi="宋体" w:eastAsia="宋体" w:cs="宋体"/>
                <w:color w:val="auto"/>
                <w:sz w:val="21"/>
                <w:szCs w:val="21"/>
                <w:lang w:eastAsia="zh-CN"/>
              </w:rPr>
              <w:t>；</w:t>
            </w:r>
          </w:p>
          <w:p w14:paraId="05EFA7AA">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要求提供通过投标人缴纳的近三个月（202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月-202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月）的社保证明作为本单位员工的证明依据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补缴的不得分</w:t>
            </w:r>
            <w:r>
              <w:rPr>
                <w:rFonts w:hint="eastAsia" w:ascii="宋体" w:hAnsi="宋体" w:eastAsia="宋体" w:cs="宋体"/>
                <w:color w:val="auto"/>
                <w:sz w:val="21"/>
                <w:szCs w:val="21"/>
              </w:rPr>
              <w:t>（如开标日上一个月的社保材料因社保部门原因暂时无法取得，则可以往前顺延一个月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。若供应商成立不足三个月的，需提供成立情况说明函（格式自拟），无需提供相关人员社保，亦可得分</w:t>
            </w:r>
            <w:r>
              <w:rPr>
                <w:rFonts w:hint="eastAsia" w:ascii="宋体" w:hAnsi="宋体" w:eastAsia="宋体" w:cs="宋体"/>
                <w:color w:val="auto"/>
                <w:sz w:val="21"/>
                <w:szCs w:val="21"/>
                <w:lang w:eastAsia="zh-CN"/>
              </w:rPr>
              <w:t>；</w:t>
            </w:r>
          </w:p>
          <w:p w14:paraId="3B91DE61">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学历证明需提供学历证书及学信网查询记录；学信网无法查询的需提供毕业院校、人社部门等颁发机构或监管机构等单位出具的证明；海外留学人员学历无法通过学信网站查询的，需提供教育部留学服务中心出具的学历学位认证书及教育部留学服务中心官网查询截图。证明材料均提供扫描件，原件备查。</w:t>
            </w:r>
          </w:p>
          <w:p w14:paraId="2645E2BD">
            <w:pPr>
              <w:widowControl/>
              <w:rPr>
                <w:rFonts w:hint="eastAsia" w:ascii="宋体" w:hAnsi="宋体" w:eastAsia="宋体" w:cs="宋体"/>
                <w:bCs/>
                <w:color w:val="auto"/>
                <w:kern w:val="0"/>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要求提供</w:t>
            </w:r>
            <w:r>
              <w:rPr>
                <w:rFonts w:hint="eastAsia" w:ascii="宋体" w:hAnsi="宋体" w:eastAsia="宋体" w:cs="宋体"/>
                <w:color w:val="auto"/>
                <w:sz w:val="21"/>
                <w:szCs w:val="21"/>
                <w:lang w:val="en-US" w:eastAsia="zh-CN"/>
              </w:rPr>
              <w:t>证书扫描件</w:t>
            </w:r>
            <w:r>
              <w:rPr>
                <w:rFonts w:hint="eastAsia" w:ascii="宋体" w:hAnsi="宋体" w:eastAsia="宋体" w:cs="宋体"/>
                <w:color w:val="auto"/>
                <w:sz w:val="21"/>
                <w:szCs w:val="21"/>
              </w:rPr>
              <w:t>作为得分依据</w:t>
            </w:r>
            <w:r>
              <w:rPr>
                <w:rFonts w:hint="eastAsia" w:ascii="宋体" w:hAnsi="宋体" w:eastAsia="宋体" w:cs="宋体"/>
                <w:color w:val="auto"/>
                <w:sz w:val="21"/>
                <w:szCs w:val="21"/>
                <w:lang w:eastAsia="zh-CN"/>
              </w:rPr>
              <w:t>，</w:t>
            </w:r>
            <w:r>
              <w:rPr>
                <w:rFonts w:hint="eastAsia" w:ascii="宋体" w:hAnsi="宋体" w:eastAsia="宋体" w:cs="宋体"/>
                <w:bCs/>
                <w:color w:val="auto"/>
                <w:kern w:val="0"/>
                <w:sz w:val="21"/>
                <w:szCs w:val="21"/>
                <w:lang w:val="zh-CN"/>
              </w:rPr>
              <w:t>若为人社部颁发的职业资格证书，同时提供证书扫描件、技能人才评价证书全国联网查询截图（http://zscx.osta.org.cn/）；若为经人社部门备案的第三方社会评价组织颁发的证书，需同时提供证书扫描件、技能人才评价证书全国联网查询截图（http://zscx.osta.org.cn/），如已获得职业资格证书或职业技能等级证书，但尚未能在技能人才评价证书全国联网查询的，需提供发证机构在人社部备案的查询截图(http://pjjg.osta.org.cn/) 及发证机构开具加盖公章的证明文件。</w:t>
            </w:r>
          </w:p>
          <w:p w14:paraId="028E7747">
            <w:pPr>
              <w:keepNext w:val="0"/>
              <w:keepLines w:val="0"/>
              <w:pageBreakBefore w:val="0"/>
              <w:widowControl/>
              <w:snapToGrid/>
              <w:spacing w:line="240" w:lineRule="auto"/>
              <w:ind w:left="0" w:leftChars="0" w:right="0" w:righ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以上资料均要求提供扫描件，原件备查。评分中出现无证明资料或专家无法凭所提供资料判断是否得分的情况，一律作不得分处理。</w:t>
            </w:r>
          </w:p>
        </w:tc>
      </w:tr>
      <w:tr w14:paraId="6FD76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noWrap w:val="0"/>
            <w:vAlign w:val="center"/>
          </w:tcPr>
          <w:p w14:paraId="41C013D2">
            <w:pPr>
              <w:keepNext w:val="0"/>
              <w:pageBreakBefore w:val="0"/>
              <w:widowControl/>
              <w:snapToGrid/>
              <w:jc w:val="center"/>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37F4579">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3F6A667D">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投入的服务资源（</w:t>
            </w:r>
            <w:r>
              <w:rPr>
                <w:rFonts w:hint="eastAsia" w:ascii="宋体" w:hAnsi="宋体" w:eastAsia="宋体" w:cs="宋体"/>
                <w:color w:val="auto"/>
                <w:sz w:val="21"/>
                <w:szCs w:val="21"/>
                <w:lang w:eastAsia="zh-CN"/>
              </w:rPr>
              <w:t>材料、车辆、</w:t>
            </w:r>
            <w:r>
              <w:rPr>
                <w:rFonts w:hint="eastAsia" w:ascii="宋体" w:hAnsi="宋体" w:eastAsia="宋体" w:cs="宋体"/>
                <w:color w:val="auto"/>
                <w:sz w:val="21"/>
                <w:szCs w:val="21"/>
              </w:rPr>
              <w:t>场地、工具、机器等）情况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3C00902E">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72B1E60D">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14:paraId="7CBFFC1C">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承诺以下内容，每项符合要求的得对应分值：</w:t>
            </w:r>
          </w:p>
          <w:p w14:paraId="229AA141">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1.所投产品的品牌为本项目现使用产品品牌（或同档次及以上品牌）：（1）灯具：飞利浦、爱克莱特（或同档次及以上品牌）；（2）驱动电源：‌</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s://www.baidu.com/s?rsv_dl=re_dqa_generate&amp;sa=re_dqa_generate&amp;wd=%E8%8B%B1%E9%A3%9E%E7%89%B9%E7%94%B5%E5%AD%90&amp;rsv_pq=8e70da7600144de6&amp;oq=%E7%81%AF%E5%85%B7%E7%94%B5%E6%BA%90%E9%A9%B1%E5%8A%A8%E5%99%A8%E5%93%81%E7%89%8C%E6%8E%92%E8%A1%8C%E6%A6%9C&amp;rsv_t=a728VyFr9ipef1ZiB6CbCkDe+jATWvRoXT1WqFqnaxDP/saYBYBEK423ioRte+hn7bjT&amp;tn=baiduhome_pg&amp;ie=utf-8" \t "/home/lst/文档\\x/_blank"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英飞特</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、茂硕、明纬（或同档次及以上品牌）；（3）漏电开关：施耐德、ABB、西门子（或同档次及以上品牌）的得20分，否则不得分；</w:t>
            </w:r>
          </w:p>
          <w:p w14:paraId="0CE5CEB5">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拟投入的仓库场地（自有或租赁均可，不能为住宅或办公楼）要求：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仓库</w:t>
            </w:r>
            <w:r>
              <w:rPr>
                <w:rFonts w:hint="eastAsia" w:ascii="宋体" w:hAnsi="宋体" w:eastAsia="宋体" w:cs="宋体"/>
                <w:color w:val="auto"/>
                <w:sz w:val="21"/>
                <w:szCs w:val="21"/>
                <w:lang w:val="en-US" w:eastAsia="zh-CN"/>
              </w:rPr>
              <w:t>离项目不超过2小时乘车距离</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仓库面积大于</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（含）平方米；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承诺该仓库场地在项目合同期内，如采购人有堆放景观照明设施材料的需求，需无条件免费提供本项目使用。同时满足以上三条得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rPr>
              <w:t>本项目的高空作业工具套组不少于3套，每套包括：高空工作绳、安全绳、吊板(座板)、安全带、自锁器、U型卡、工作桶各1个（件），每套均要求7个（件）工具齐全</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7A9F484C">
            <w:pPr>
              <w:pBdr>
                <w:top w:val="none" w:color="000000" w:sz="0" w:space="0"/>
                <w:left w:val="none" w:color="000000" w:sz="0" w:space="0"/>
                <w:bottom w:val="none" w:color="000000" w:sz="0" w:space="0"/>
                <w:right w:val="none" w:color="000000" w:sz="0" w:space="0"/>
              </w:pBdr>
              <w:ind w:left="0" w:right="0" w:firstLine="0"/>
              <w:jc w:val="both"/>
              <w:rPr>
                <w:color w:val="auto"/>
              </w:rPr>
            </w:pPr>
            <w:r>
              <w:rPr>
                <w:rFonts w:hint="eastAsia" w:ascii="宋体" w:hAnsi="宋体" w:eastAsia="宋体" w:cs="宋体"/>
                <w:color w:val="auto"/>
                <w:sz w:val="21"/>
                <w:lang w:val="en-US" w:eastAsia="zh-CN"/>
              </w:rPr>
              <w:t>4</w:t>
            </w:r>
            <w:r>
              <w:rPr>
                <w:rFonts w:ascii="宋体" w:hAnsi="宋体" w:eastAsia="宋体" w:cs="宋体"/>
                <w:color w:val="auto"/>
                <w:sz w:val="21"/>
              </w:rPr>
              <w:t>.拟提供具有摄像和实时数据传送功能的无人机进行巡检的得20分。</w:t>
            </w:r>
          </w:p>
          <w:p w14:paraId="740868A4">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3E74FA3D">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以上</w:t>
            </w:r>
            <w:r>
              <w:rPr>
                <w:rFonts w:hint="eastAsia" w:ascii="宋体" w:hAnsi="宋体" w:eastAsia="宋体" w:cs="宋体"/>
                <w:color w:val="auto"/>
                <w:sz w:val="21"/>
                <w:szCs w:val="21"/>
                <w:lang w:val="en-US" w:eastAsia="zh-CN"/>
              </w:rPr>
              <w:t>4项均</w:t>
            </w:r>
            <w:r>
              <w:rPr>
                <w:rFonts w:hint="eastAsia" w:ascii="宋体" w:hAnsi="宋体" w:eastAsia="宋体" w:cs="宋体"/>
                <w:color w:val="auto"/>
                <w:sz w:val="21"/>
                <w:szCs w:val="21"/>
              </w:rPr>
              <w:t>要求投标人提供承诺（格式自定）作为得分依据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未提供承诺或承诺内容不满足要求</w:t>
            </w:r>
            <w:r>
              <w:rPr>
                <w:rFonts w:hint="eastAsia" w:ascii="宋体" w:hAnsi="宋体" w:eastAsia="宋体" w:cs="宋体"/>
                <w:color w:val="auto"/>
                <w:sz w:val="21"/>
                <w:szCs w:val="21"/>
                <w:lang w:eastAsia="zh-CN"/>
              </w:rPr>
              <w:t>该项</w:t>
            </w:r>
            <w:r>
              <w:rPr>
                <w:rFonts w:hint="eastAsia" w:ascii="宋体" w:hAnsi="宋体" w:eastAsia="宋体" w:cs="宋体"/>
                <w:color w:val="auto"/>
                <w:sz w:val="21"/>
                <w:szCs w:val="21"/>
              </w:rPr>
              <w:t>不得分</w:t>
            </w:r>
            <w:r>
              <w:rPr>
                <w:rFonts w:hint="eastAsia" w:ascii="宋体" w:hAnsi="宋体" w:eastAsia="宋体" w:cs="宋体"/>
                <w:color w:val="auto"/>
                <w:sz w:val="21"/>
                <w:szCs w:val="21"/>
                <w:lang w:eastAsia="zh-CN"/>
              </w:rPr>
              <w:t>；</w:t>
            </w:r>
          </w:p>
          <w:p w14:paraId="59BF6F24">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2.评分中出现无证明资料或专家无法凭所提供资料判断是否得分的情况，一律作不得分处理。</w:t>
            </w:r>
          </w:p>
        </w:tc>
      </w:tr>
      <w:tr w14:paraId="758142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noWrap w:val="0"/>
            <w:vAlign w:val="top"/>
          </w:tcPr>
          <w:p w14:paraId="5678199B">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3</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101A3C49">
            <w:pPr>
              <w:keepNext w:val="0"/>
              <w:pageBreakBefore w:val="0"/>
              <w:widowControl/>
              <w:snapToGrid/>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综合实力</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52343CCB">
            <w:pPr>
              <w:keepNext w:val="0"/>
              <w:pageBreakBefore w:val="0"/>
              <w:widowControl/>
              <w:snapToGrid/>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35</w:t>
            </w:r>
          </w:p>
        </w:tc>
      </w:tr>
      <w:tr w14:paraId="3B599E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91F7CFD">
            <w:pPr>
              <w:keepNext w:val="0"/>
              <w:pageBreakBefore w:val="0"/>
              <w:widowControl/>
              <w:snapToGrid/>
              <w:rPr>
                <w:rFonts w:hint="eastAsia" w:ascii="宋体" w:hAnsi="宋体" w:eastAsia="宋体" w:cs="宋体"/>
                <w:b/>
                <w:bCs/>
                <w:color w:val="auto"/>
                <w:sz w:val="21"/>
                <w:szCs w:val="21"/>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42D05C0C">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8DF05B8">
            <w:pPr>
              <w:keepNext w:val="0"/>
              <w:pageBreakBefore w:val="0"/>
              <w:widowControl/>
              <w:snapToGrid/>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评审因素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7963A9C">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5F0B3C7">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14:paraId="5F8563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FAF515D">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3191BF98">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411CBC2F">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投标人通过相关认证情况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21BA1B11">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415EE334">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（一）评审内容：</w:t>
            </w:r>
          </w:p>
          <w:p w14:paraId="70671FF0">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质量体系认证证书</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 xml:space="preserve">分；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环境管理体系认证证书</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 xml:space="preserve">分；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职业健康安全管理体系认证证书</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rPr>
              <w:t>安全风险管理体系认证证书</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2433D9A8">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（二）评审依据：</w:t>
            </w:r>
          </w:p>
          <w:p w14:paraId="6E7A67B9">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要求提供所有有效的认证证书扫描件，及出具证书官网或全国认证认可信息公共服务平台（http://cx.cnca.cn/）的证书查询记录。评分中出现无证明资料或专家无法凭所提供资料判断是否得分的情况，一律作不得分处理。</w:t>
            </w:r>
          </w:p>
        </w:tc>
      </w:tr>
      <w:tr w14:paraId="5207AD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8C38D64">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5ECC3D2A">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443ED4D6">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投标人同类项目业绩情况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6065CA85">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10</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2C68277C">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（一）评审内容：</w:t>
            </w:r>
          </w:p>
          <w:p w14:paraId="07EACC25">
            <w:pPr>
              <w:keepNext w:val="0"/>
              <w:keepLines w:val="0"/>
              <w:pageBreakBefore w:val="0"/>
              <w:widowControl/>
              <w:snapToGrid/>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月1日至本项目开标之日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合同起始时间和终止时间须在以上时间范围内）</w:t>
            </w:r>
            <w:r>
              <w:rPr>
                <w:rFonts w:hint="eastAsia" w:ascii="宋体" w:hAnsi="宋体" w:eastAsia="宋体" w:cs="宋体"/>
                <w:color w:val="auto"/>
                <w:sz w:val="21"/>
                <w:szCs w:val="21"/>
              </w:rPr>
              <w:t>，已完成的政府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景观照明维护项目同类业绩（</w:t>
            </w:r>
            <w:r>
              <w:rPr>
                <w:rFonts w:hint="eastAsia" w:ascii="宋体" w:hAnsi="宋体" w:eastAsia="宋体" w:cs="宋体"/>
                <w:color w:val="auto"/>
                <w:sz w:val="21"/>
                <w:szCs w:val="21"/>
                <w:lang w:eastAsia="zh-CN"/>
              </w:rPr>
              <w:t>景观照明工程或</w:t>
            </w:r>
            <w:r>
              <w:rPr>
                <w:rFonts w:hint="eastAsia" w:ascii="宋体" w:hAnsi="宋体" w:eastAsia="宋体" w:cs="宋体"/>
                <w:color w:val="auto"/>
                <w:sz w:val="21"/>
                <w:szCs w:val="21"/>
              </w:rPr>
              <w:t>路灯照明维护的不予计分）</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rPr>
              <w:t>履约评价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或验收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为优秀的得15分，合格或良好相关评价的得10分</w:t>
            </w:r>
          </w:p>
          <w:p w14:paraId="1C833A23">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，最高得100分。</w:t>
            </w:r>
          </w:p>
          <w:p w14:paraId="620A8FFF">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项目延续合同的视为履约（</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验收）合格，</w:t>
            </w:r>
            <w:r>
              <w:rPr>
                <w:rFonts w:hint="eastAsia" w:ascii="宋体" w:hAnsi="宋体" w:eastAsia="宋体" w:cs="宋体"/>
                <w:color w:val="auto"/>
                <w:sz w:val="21"/>
                <w:szCs w:val="21"/>
                <w:lang w:val="en-US" w:eastAsia="zh-CN"/>
              </w:rPr>
              <w:t>具体评价档次以履约评价为准，</w:t>
            </w:r>
            <w:r>
              <w:rPr>
                <w:rFonts w:hint="eastAsia" w:ascii="宋体" w:hAnsi="宋体" w:eastAsia="宋体" w:cs="宋体"/>
                <w:color w:val="auto"/>
                <w:sz w:val="21"/>
                <w:szCs w:val="21"/>
              </w:rPr>
              <w:t>但1个项目及其所有延续合同只记1个业绩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不重复得分</w:t>
            </w:r>
            <w:r>
              <w:rPr>
                <w:rFonts w:hint="eastAsia" w:ascii="宋体" w:hAnsi="宋体" w:eastAsia="宋体" w:cs="宋体"/>
                <w:color w:val="auto"/>
                <w:sz w:val="21"/>
                <w:szCs w:val="21"/>
              </w:rPr>
              <w:t>。</w:t>
            </w:r>
          </w:p>
          <w:p w14:paraId="5FA9E55A">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（二）评审依据：</w:t>
            </w:r>
          </w:p>
          <w:p w14:paraId="72BD76CA">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1.要求同时提供</w:t>
            </w:r>
            <w:r>
              <w:rPr>
                <w:rFonts w:hint="eastAsia" w:ascii="宋体" w:hAnsi="宋体" w:eastAsia="宋体" w:cs="宋体"/>
                <w:color w:val="auto"/>
                <w:sz w:val="21"/>
                <w:szCs w:val="21"/>
                <w:lang w:eastAsia="zh-CN"/>
              </w:rPr>
              <w:t>：</w:t>
            </w:r>
          </w:p>
          <w:p w14:paraId="1F9796A1">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rPr>
              <w:t>合同关键信息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合同关键信息无法判断是否得分的，还须同时提供能证明得分的其它证明资料，如项目报告或合同甲方出具的证明文件等</w:t>
            </w:r>
            <w:r>
              <w:rPr>
                <w:rFonts w:hint="eastAsia" w:ascii="宋体" w:hAnsi="宋体" w:eastAsia="宋体" w:cs="宋体"/>
                <w:color w:val="auto"/>
                <w:sz w:val="21"/>
                <w:szCs w:val="21"/>
                <w:lang w:eastAsia="zh-CN"/>
              </w:rPr>
              <w:t>）；</w:t>
            </w:r>
          </w:p>
          <w:p w14:paraId="4A443ECD">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rPr>
              <w:t>中标通知书</w:t>
            </w:r>
            <w:r>
              <w:rPr>
                <w:rFonts w:hint="eastAsia" w:ascii="宋体" w:hAnsi="宋体" w:eastAsia="宋体" w:cs="宋体"/>
                <w:color w:val="auto"/>
                <w:sz w:val="21"/>
                <w:szCs w:val="21"/>
                <w:lang w:val="en-US" w:eastAsia="zh-CN"/>
              </w:rPr>
              <w:t>；</w:t>
            </w:r>
          </w:p>
          <w:p w14:paraId="4CF99225">
            <w:pPr>
              <w:keepNext w:val="0"/>
              <w:keepLines w:val="0"/>
              <w:pageBreakBefore w:val="0"/>
              <w:widowControl/>
              <w:snapToGrid/>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③</w:t>
            </w:r>
            <w:r>
              <w:rPr>
                <w:rFonts w:hint="eastAsia" w:ascii="宋体" w:hAnsi="宋体" w:eastAsia="宋体" w:cs="宋体"/>
                <w:color w:val="auto"/>
                <w:sz w:val="21"/>
                <w:szCs w:val="21"/>
              </w:rPr>
              <w:t>履约评价合格</w:t>
            </w:r>
            <w:r>
              <w:rPr>
                <w:rFonts w:hint="eastAsia" w:ascii="宋体" w:hAnsi="宋体" w:eastAsia="宋体" w:cs="宋体"/>
                <w:color w:val="auto"/>
                <w:sz w:val="21"/>
                <w:szCs w:val="21"/>
                <w:lang w:val="en-US" w:eastAsia="zh-CN"/>
              </w:rPr>
              <w:t>或以上评价（</w:t>
            </w:r>
            <w:r>
              <w:rPr>
                <w:rFonts w:hint="eastAsia" w:ascii="宋体" w:hAnsi="宋体" w:eastAsia="宋体" w:cs="宋体"/>
                <w:color w:val="auto"/>
                <w:sz w:val="21"/>
                <w:szCs w:val="21"/>
              </w:rPr>
              <w:t>或验收合格及以上</w:t>
            </w:r>
            <w:r>
              <w:rPr>
                <w:rFonts w:hint="eastAsia" w:ascii="宋体" w:hAnsi="宋体" w:eastAsia="宋体" w:cs="宋体"/>
                <w:color w:val="auto"/>
                <w:sz w:val="21"/>
                <w:szCs w:val="21"/>
                <w:lang w:val="en-US" w:eastAsia="zh-CN"/>
              </w:rPr>
              <w:t>评价）的</w:t>
            </w:r>
            <w:r>
              <w:rPr>
                <w:rFonts w:hint="eastAsia" w:ascii="宋体" w:hAnsi="宋体" w:eastAsia="宋体" w:cs="宋体"/>
                <w:color w:val="auto"/>
                <w:sz w:val="21"/>
                <w:szCs w:val="21"/>
              </w:rPr>
              <w:t>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须</w:t>
            </w:r>
            <w:r>
              <w:rPr>
                <w:rFonts w:hint="eastAsia" w:ascii="宋体" w:hAnsi="宋体" w:eastAsia="宋体" w:cs="宋体"/>
                <w:color w:val="auto"/>
                <w:sz w:val="21"/>
                <w:szCs w:val="21"/>
              </w:rPr>
              <w:t>加盖合同甲方公章（或甲方业务章）</w:t>
            </w:r>
            <w:r>
              <w:rPr>
                <w:rFonts w:hint="eastAsia" w:ascii="宋体" w:hAnsi="宋体" w:eastAsia="宋体" w:cs="宋体"/>
                <w:color w:val="auto"/>
                <w:sz w:val="21"/>
                <w:szCs w:val="21"/>
                <w:lang w:eastAsia="zh-CN"/>
              </w:rPr>
              <w:t>）；</w:t>
            </w:r>
          </w:p>
          <w:p w14:paraId="252B4C64">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④中标公示（公告）的官网查询信息截图；</w:t>
            </w:r>
          </w:p>
          <w:p w14:paraId="780408F6">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⑤如业绩合同甲方为事业单位，须提供事业单位在线平台（http://search.gjsy.gov.cn/wsss/view）查询有效信息截图，非事业单位无需提供。</w:t>
            </w:r>
          </w:p>
          <w:p w14:paraId="29939CFC">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.以上资料均要求提供扫描件，原件备查。评分中出现无证明资料或专家无法凭所提供资料判断是否得分的情况，一律作不得分处理。</w:t>
            </w:r>
          </w:p>
        </w:tc>
      </w:tr>
      <w:tr w14:paraId="36EB4E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DD111F2">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D4F4E8D">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2661A970">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供应商获奖情况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5CF4EF0F">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40D00511">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14:paraId="40D59EAB">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月1日至本项目开标之日（以</w:t>
            </w:r>
            <w:r>
              <w:rPr>
                <w:rFonts w:hint="eastAsia" w:ascii="宋体" w:hAnsi="宋体" w:eastAsia="宋体" w:cs="宋体"/>
                <w:color w:val="auto"/>
                <w:sz w:val="21"/>
                <w:szCs w:val="21"/>
                <w:lang w:val="en-US" w:eastAsia="zh-CN"/>
              </w:rPr>
              <w:t>证书颁奖</w:t>
            </w:r>
            <w:r>
              <w:rPr>
                <w:rFonts w:hint="eastAsia" w:ascii="宋体" w:hAnsi="宋体" w:eastAsia="宋体" w:cs="宋体"/>
                <w:color w:val="auto"/>
                <w:sz w:val="21"/>
                <w:szCs w:val="21"/>
              </w:rPr>
              <w:t>日期为准），投标人承担的政府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景观照明维护项目，</w:t>
            </w:r>
            <w:r>
              <w:rPr>
                <w:rFonts w:hint="eastAsia" w:ascii="宋体" w:hAnsi="宋体" w:eastAsia="宋体" w:cs="宋体"/>
                <w:color w:val="auto"/>
                <w:sz w:val="21"/>
                <w:szCs w:val="21"/>
              </w:rPr>
              <w:t>每获得一项</w:t>
            </w:r>
            <w:r>
              <w:rPr>
                <w:rFonts w:hint="eastAsia" w:ascii="宋体" w:hAnsi="宋体" w:eastAsia="宋体" w:cs="宋体"/>
                <w:color w:val="auto"/>
                <w:sz w:val="21"/>
                <w:szCs w:val="21"/>
                <w:lang w:val="en-US" w:eastAsia="zh-CN"/>
              </w:rPr>
              <w:t>由国家级</w:t>
            </w:r>
            <w:r>
              <w:rPr>
                <w:rFonts w:hint="eastAsia" w:ascii="宋体" w:hAnsi="宋体" w:eastAsia="宋体" w:cs="宋体"/>
                <w:color w:val="auto"/>
                <w:sz w:val="21"/>
                <w:szCs w:val="21"/>
              </w:rPr>
              <w:t>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或社会组织）</w:t>
            </w:r>
            <w:r>
              <w:rPr>
                <w:rFonts w:hint="eastAsia" w:ascii="宋体" w:hAnsi="宋体" w:eastAsia="宋体" w:cs="宋体"/>
                <w:color w:val="auto"/>
                <w:sz w:val="21"/>
                <w:szCs w:val="21"/>
                <w:lang w:val="en-US" w:eastAsia="zh-CN"/>
              </w:rPr>
              <w:t>颁发</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奖项（荣誉）的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省级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含副省级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或社会组织）</w:t>
            </w:r>
            <w:r>
              <w:rPr>
                <w:rFonts w:hint="eastAsia" w:ascii="宋体" w:hAnsi="宋体" w:eastAsia="宋体" w:cs="宋体"/>
                <w:color w:val="auto"/>
                <w:sz w:val="21"/>
                <w:szCs w:val="21"/>
                <w:lang w:val="en-US" w:eastAsia="zh-CN"/>
              </w:rPr>
              <w:t>颁发</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奖项（荣誉）的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市级</w:t>
            </w:r>
            <w:r>
              <w:rPr>
                <w:rFonts w:hint="eastAsia" w:ascii="宋体" w:hAnsi="宋体" w:eastAsia="宋体" w:cs="宋体"/>
                <w:color w:val="auto"/>
                <w:sz w:val="21"/>
                <w:szCs w:val="21"/>
              </w:rPr>
              <w:t>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或社会组织）</w:t>
            </w:r>
            <w:r>
              <w:rPr>
                <w:rFonts w:hint="eastAsia" w:ascii="宋体" w:hAnsi="宋体" w:eastAsia="宋体" w:cs="宋体"/>
                <w:color w:val="auto"/>
                <w:sz w:val="21"/>
                <w:szCs w:val="21"/>
                <w:lang w:val="en-US" w:eastAsia="zh-CN"/>
              </w:rPr>
              <w:t>颁发</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奖项（荣誉）的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以上累计</w:t>
            </w:r>
            <w:r>
              <w:rPr>
                <w:rFonts w:hint="eastAsia" w:ascii="宋体" w:hAnsi="宋体" w:eastAsia="宋体" w:cs="宋体"/>
                <w:color w:val="auto"/>
                <w:sz w:val="21"/>
                <w:szCs w:val="21"/>
              </w:rPr>
              <w:t>最高得</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分。</w:t>
            </w:r>
          </w:p>
          <w:p w14:paraId="289CFDB7">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2.自202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月1日至本项目开标之日（以</w:t>
            </w:r>
            <w:r>
              <w:rPr>
                <w:rFonts w:hint="eastAsia" w:ascii="宋体" w:hAnsi="宋体" w:eastAsia="宋体" w:cs="宋体"/>
                <w:color w:val="auto"/>
                <w:sz w:val="21"/>
                <w:szCs w:val="21"/>
                <w:lang w:val="en-US" w:eastAsia="zh-CN"/>
              </w:rPr>
              <w:t>证书颁奖</w:t>
            </w:r>
            <w:r>
              <w:rPr>
                <w:rFonts w:hint="eastAsia" w:ascii="宋体" w:hAnsi="宋体" w:eastAsia="宋体" w:cs="宋体"/>
                <w:color w:val="auto"/>
                <w:sz w:val="21"/>
                <w:szCs w:val="21"/>
              </w:rPr>
              <w:t>日期为准）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en-US" w:eastAsia="zh-CN"/>
              </w:rPr>
              <w:t>参与</w:t>
            </w:r>
            <w:r>
              <w:rPr>
                <w:rFonts w:hint="eastAsia" w:ascii="宋体" w:hAnsi="宋体" w:eastAsia="宋体" w:cs="宋体"/>
                <w:color w:val="auto"/>
                <w:sz w:val="21"/>
                <w:szCs w:val="21"/>
              </w:rPr>
              <w:t>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应急抢险或重大活动保障工作，获得</w:t>
            </w:r>
            <w:r>
              <w:rPr>
                <w:rFonts w:hint="eastAsia" w:ascii="宋体" w:hAnsi="宋体" w:eastAsia="宋体" w:cs="宋体"/>
                <w:color w:val="auto"/>
                <w:sz w:val="21"/>
                <w:szCs w:val="21"/>
              </w:rPr>
              <w:t>相关荣誉的</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5分，最高得10分</w:t>
            </w:r>
            <w:r>
              <w:rPr>
                <w:rFonts w:hint="eastAsia" w:ascii="宋体" w:hAnsi="宋体" w:eastAsia="宋体" w:cs="宋体"/>
                <w:color w:val="auto"/>
                <w:sz w:val="21"/>
                <w:szCs w:val="21"/>
              </w:rPr>
              <w:t>。</w:t>
            </w:r>
          </w:p>
          <w:p w14:paraId="4ACE3C71">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5C8E304D">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（1）评分项1</w:t>
            </w:r>
            <w:r>
              <w:rPr>
                <w:rFonts w:hint="eastAsia" w:ascii="宋体" w:hAnsi="宋体" w:eastAsia="宋体" w:cs="宋体"/>
                <w:color w:val="auto"/>
                <w:sz w:val="21"/>
                <w:szCs w:val="21"/>
              </w:rPr>
              <w:t>要求</w:t>
            </w:r>
            <w:r>
              <w:rPr>
                <w:rFonts w:hint="eastAsia" w:ascii="宋体" w:hAnsi="宋体" w:eastAsia="宋体" w:cs="宋体"/>
                <w:color w:val="auto"/>
                <w:sz w:val="21"/>
                <w:szCs w:val="21"/>
                <w:lang w:val="en-US" w:eastAsia="zh-CN"/>
              </w:rPr>
              <w:t>同时提供：①</w:t>
            </w:r>
            <w:r>
              <w:rPr>
                <w:rFonts w:hint="eastAsia" w:ascii="宋体" w:hAnsi="宋体" w:eastAsia="宋体" w:cs="宋体"/>
                <w:color w:val="auto"/>
                <w:sz w:val="21"/>
                <w:szCs w:val="21"/>
              </w:rPr>
              <w:t>提供奖项照片或获奖（荣誉）证书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rPr>
              <w:t>相应的政府</w:t>
            </w:r>
            <w:r>
              <w:rPr>
                <w:rFonts w:hint="eastAsia" w:ascii="宋体" w:hAnsi="宋体" w:eastAsia="宋体" w:cs="宋体"/>
                <w:color w:val="auto"/>
                <w:sz w:val="21"/>
                <w:szCs w:val="21"/>
                <w:lang w:eastAsia="zh-CN"/>
              </w:rPr>
              <w:t>机关（</w:t>
            </w:r>
            <w:r>
              <w:rPr>
                <w:rFonts w:hint="eastAsia" w:ascii="宋体" w:hAnsi="宋体" w:eastAsia="宋体" w:cs="宋体"/>
                <w:color w:val="auto"/>
                <w:sz w:val="21"/>
                <w:szCs w:val="21"/>
              </w:rPr>
              <w:t>或事业单位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的景观照明</w:t>
            </w:r>
            <w:r>
              <w:rPr>
                <w:rFonts w:hint="eastAsia" w:ascii="宋体" w:hAnsi="宋体" w:eastAsia="宋体" w:cs="宋体"/>
                <w:color w:val="auto"/>
                <w:sz w:val="21"/>
                <w:szCs w:val="21"/>
                <w:lang w:val="en-US" w:eastAsia="zh-CN"/>
              </w:rPr>
              <w:t>工程（或</w:t>
            </w:r>
            <w:r>
              <w:rPr>
                <w:rFonts w:hint="eastAsia" w:ascii="宋体" w:hAnsi="宋体" w:eastAsia="宋体" w:cs="宋体"/>
                <w:color w:val="auto"/>
                <w:sz w:val="21"/>
                <w:szCs w:val="21"/>
              </w:rPr>
              <w:t>维护项目</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合同关键页</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中标通知书作为得分依据。</w:t>
            </w:r>
          </w:p>
          <w:p w14:paraId="159F8EA0">
            <w:pPr>
              <w:keepNext w:val="0"/>
              <w:keepLines w:val="0"/>
              <w:pageBreakBefore w:val="0"/>
              <w:widowControl/>
              <w:snapToGrid/>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（2）评分项2：</w:t>
            </w:r>
            <w:r>
              <w:rPr>
                <w:rFonts w:hint="eastAsia" w:ascii="宋体" w:hAnsi="宋体" w:eastAsia="宋体" w:cs="宋体"/>
                <w:color w:val="auto"/>
                <w:sz w:val="21"/>
                <w:szCs w:val="21"/>
              </w:rPr>
              <w:t>要求提供奖项照片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或获奖（荣誉）证书</w:t>
            </w:r>
            <w:r>
              <w:rPr>
                <w:rFonts w:hint="eastAsia" w:ascii="宋体" w:hAnsi="宋体" w:eastAsia="宋体" w:cs="宋体"/>
                <w:color w:val="auto"/>
                <w:sz w:val="21"/>
                <w:szCs w:val="21"/>
                <w:lang w:val="en-US" w:eastAsia="zh-CN"/>
              </w:rPr>
              <w:t>或感谢信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证明材料。</w:t>
            </w:r>
          </w:p>
          <w:p w14:paraId="51931021">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以上资料均要求提供扫描件，原件备查。评分中出现无证明资料或专家无法凭所提供资料判断是否得分的情况，一律作不得分处理。</w:t>
            </w:r>
          </w:p>
          <w:p w14:paraId="634F35AB">
            <w:pPr>
              <w:keepNext w:val="0"/>
              <w:keepLines w:val="0"/>
              <w:pageBreakBefore w:val="0"/>
              <w:widowControl/>
              <w:snapToGrid/>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社会组织</w:t>
            </w:r>
            <w:r>
              <w:rPr>
                <w:rFonts w:hint="eastAsia" w:ascii="宋体" w:hAnsi="宋体" w:eastAsia="宋体" w:cs="宋体"/>
                <w:color w:val="auto"/>
                <w:sz w:val="21"/>
                <w:szCs w:val="21"/>
              </w:rPr>
              <w:t>颁发的奖项，还需同时提供该组织在“中国社会组织政务服务平台（全国社会组织信用信息公示平台）https://chinanpo.mca.gov.cn/”的查询截图（截图需体现网址且状态为正常），否则该奖项不得分。</w:t>
            </w:r>
          </w:p>
          <w:p w14:paraId="347DE928">
            <w:pPr>
              <w:keepNext w:val="0"/>
              <w:keepLines w:val="0"/>
              <w:pageBreakBefore w:val="0"/>
              <w:widowControl/>
              <w:snapToGrid/>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国家级要求颁发单位为国务院（或其直接所属的行政机关）或社会组织；省级</w:t>
            </w:r>
            <w:r>
              <w:rPr>
                <w:rFonts w:hint="eastAsia" w:ascii="宋体" w:hAnsi="宋体" w:eastAsia="宋体" w:cs="宋体"/>
                <w:color w:val="auto"/>
                <w:sz w:val="21"/>
                <w:szCs w:val="21"/>
                <w:lang w:eastAsia="zh-CN"/>
              </w:rPr>
              <w:t>（副省级）</w:t>
            </w:r>
            <w:r>
              <w:rPr>
                <w:rFonts w:hint="eastAsia" w:ascii="宋体" w:hAnsi="宋体" w:eastAsia="宋体" w:cs="宋体"/>
                <w:color w:val="auto"/>
                <w:sz w:val="21"/>
                <w:szCs w:val="21"/>
              </w:rPr>
              <w:t>要求颁发单位为省（自治区、直辖市）人民政府（或其直接所属的行政机关）或社会组织；市级要求颁发单位为市（地级，或以上级别）人民政府（或其直接所属的行政机关）或社会组织。</w:t>
            </w:r>
          </w:p>
        </w:tc>
      </w:tr>
      <w:tr w14:paraId="687A7A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F7A2873">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22E6A8EE">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7EA46EAF">
            <w:pPr>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自主知识产权产品（创新、设计）情况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5C4D502C">
            <w:pPr>
              <w:keepNext w:val="0"/>
              <w:keepLines w:val="0"/>
              <w:pageBreakBefore w:val="0"/>
              <w:widowControl/>
              <w:snapToGrid/>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09957EA4">
            <w:pPr>
              <w:keepNext w:val="0"/>
              <w:keepLines w:val="0"/>
              <w:pageBreakBefore w:val="0"/>
              <w:widowControl/>
              <w:numPr>
                <w:ilvl w:val="0"/>
                <w:numId w:val="3"/>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评分内容：</w:t>
            </w:r>
          </w:p>
          <w:p w14:paraId="5313963A">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提供城市照明类科技创新成果，包括发明专利、实用新型专利、外观专利、软件著作，每提供一个得</w:t>
            </w:r>
            <w:r>
              <w:rPr>
                <w:rFonts w:hint="eastAsia" w:ascii="宋体" w:hAnsi="宋体" w:eastAsia="宋体" w:cs="宋体"/>
                <w:color w:val="auto"/>
                <w:sz w:val="21"/>
                <w:szCs w:val="21"/>
                <w:lang w:val="en-US" w:eastAsia="zh-CN"/>
              </w:rPr>
              <w:t>20分，本项最高得分40分</w:t>
            </w:r>
            <w:r>
              <w:rPr>
                <w:rFonts w:hint="eastAsia" w:ascii="宋体" w:hAnsi="宋体" w:eastAsia="宋体" w:cs="宋体"/>
                <w:color w:val="auto"/>
                <w:sz w:val="21"/>
                <w:szCs w:val="21"/>
              </w:rPr>
              <w:t>；</w:t>
            </w:r>
          </w:p>
          <w:p w14:paraId="7E4E4C65">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.每参与编制一个城市照明类国家标准的得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0分；行业标准（由国家住建部发布）或地方标准的得</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分；团体标准的得10分</w:t>
            </w:r>
            <w:r>
              <w:rPr>
                <w:rFonts w:hint="eastAsia" w:ascii="宋体" w:hAnsi="宋体" w:eastAsia="宋体" w:cs="宋体"/>
                <w:color w:val="auto"/>
                <w:sz w:val="21"/>
                <w:szCs w:val="21"/>
                <w:lang w:eastAsia="zh-CN"/>
              </w:rPr>
              <w:t>，本项最高得分</w:t>
            </w:r>
            <w:r>
              <w:rPr>
                <w:rFonts w:hint="eastAsia" w:ascii="宋体" w:hAnsi="宋体" w:eastAsia="宋体" w:cs="宋体"/>
                <w:color w:val="auto"/>
                <w:sz w:val="21"/>
                <w:szCs w:val="21"/>
                <w:lang w:val="en-US" w:eastAsia="zh-CN"/>
              </w:rPr>
              <w:t>60分</w:t>
            </w:r>
            <w:r>
              <w:rPr>
                <w:rFonts w:hint="eastAsia" w:ascii="宋体" w:hAnsi="宋体" w:eastAsia="宋体" w:cs="宋体"/>
                <w:color w:val="auto"/>
                <w:sz w:val="21"/>
                <w:szCs w:val="21"/>
              </w:rPr>
              <w:t>。</w:t>
            </w:r>
          </w:p>
          <w:p w14:paraId="5BC6A906">
            <w:pPr>
              <w:keepNext w:val="0"/>
              <w:keepLines w:val="0"/>
              <w:pageBreakBefore w:val="0"/>
              <w:widowControl/>
              <w:numPr>
                <w:ilvl w:val="0"/>
                <w:numId w:val="0"/>
              </w:numPr>
              <w:snapToGrid/>
              <w:spacing w:line="240" w:lineRule="auto"/>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以上二项合计最高</w:t>
            </w:r>
            <w:r>
              <w:rPr>
                <w:rFonts w:hint="eastAsia" w:ascii="宋体" w:hAnsi="宋体" w:eastAsia="宋体" w:cs="宋体"/>
                <w:color w:val="auto"/>
                <w:sz w:val="21"/>
                <w:szCs w:val="21"/>
                <w:lang w:val="en-US" w:eastAsia="zh-CN"/>
              </w:rPr>
              <w:t>100分。</w:t>
            </w:r>
          </w:p>
          <w:p w14:paraId="7DED4E37">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59965A6D">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评分项1：提供有效的产权（专利）证书等证明材料作为得分依据。</w:t>
            </w:r>
          </w:p>
          <w:p w14:paraId="2AD012DE">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评分项2：投标人同时提供上述系统截图和计算机软件著作权登记证书（或专利证书）（著作权人须为投标人）；</w:t>
            </w:r>
          </w:p>
          <w:p w14:paraId="341534C5">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评分项3：供体现投标人做为上述标准主编或参编单位的证明材料作为得分依据。</w:t>
            </w:r>
          </w:p>
          <w:p w14:paraId="67EB270B">
            <w:pPr>
              <w:keepNext w:val="0"/>
              <w:keepLines w:val="0"/>
              <w:pageBreakBefore w:val="0"/>
              <w:widowControl/>
              <w:numPr>
                <w:ilvl w:val="0"/>
                <w:numId w:val="0"/>
              </w:numPr>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注：以上资料均须提供扫描件，原件备查。评分中出现无证明资料或者专家无法凭所提供资料判断是否得分的情况，一律做不得分处理。</w:t>
            </w:r>
          </w:p>
        </w:tc>
      </w:tr>
      <w:tr w14:paraId="272FA0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811F88D">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31E6FDA8">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736A04F9">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服务网点</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2CE8FEC9">
            <w:pPr>
              <w:keepNext w:val="0"/>
              <w:keepLines w:val="0"/>
              <w:pageBreakBefore w:val="0"/>
              <w:widowControl/>
              <w:snapToGrid/>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698CDAE7">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14:paraId="0784DCA1">
            <w:pPr>
              <w:keepNext w:val="0"/>
              <w:keepLines w:val="0"/>
              <w:pageBreakBefore w:val="0"/>
              <w:widowControl/>
              <w:snapToGrid/>
              <w:spacing w:line="240" w:lineRule="auto"/>
              <w:jc w:val="both"/>
              <w:rPr>
                <w:rFonts w:hint="eastAsia" w:ascii="宋体" w:hAnsi="宋体" w:eastAsia="宋体" w:cs="宋体"/>
                <w:color w:val="auto"/>
                <w:sz w:val="21"/>
                <w:szCs w:val="21"/>
                <w:lang w:val="en-GB"/>
              </w:rPr>
            </w:pPr>
            <w:r>
              <w:rPr>
                <w:rFonts w:hint="eastAsia" w:ascii="宋体" w:hAnsi="宋体" w:eastAsia="宋体" w:cs="宋体"/>
                <w:color w:val="auto"/>
                <w:sz w:val="21"/>
                <w:szCs w:val="21"/>
              </w:rPr>
              <w:t>投标人在</w:t>
            </w:r>
            <w:r>
              <w:rPr>
                <w:rFonts w:hint="eastAsia" w:ascii="宋体" w:hAnsi="宋体" w:eastAsia="宋体" w:cs="宋体"/>
                <w:color w:val="auto"/>
                <w:sz w:val="21"/>
                <w:szCs w:val="21"/>
                <w:lang w:val="en-GB"/>
              </w:rPr>
              <w:t>本项目所在市</w:t>
            </w:r>
            <w:r>
              <w:rPr>
                <w:rFonts w:hint="eastAsia" w:ascii="宋体" w:hAnsi="宋体" w:eastAsia="宋体" w:cs="宋体"/>
                <w:color w:val="auto"/>
                <w:sz w:val="21"/>
                <w:szCs w:val="21"/>
              </w:rPr>
              <w:t>内有售后服务网点，</w:t>
            </w:r>
            <w:r>
              <w:rPr>
                <w:rFonts w:hint="eastAsia" w:ascii="宋体" w:hAnsi="宋体" w:eastAsia="宋体" w:cs="宋体"/>
                <w:color w:val="auto"/>
                <w:sz w:val="21"/>
                <w:szCs w:val="21"/>
                <w:lang w:eastAsia="zh-CN"/>
              </w:rPr>
              <w:t>或投标人</w:t>
            </w:r>
            <w:r>
              <w:rPr>
                <w:rFonts w:hint="eastAsia" w:ascii="宋体" w:hAnsi="宋体" w:eastAsia="宋体" w:cs="宋体"/>
                <w:color w:val="auto"/>
                <w:sz w:val="21"/>
                <w:szCs w:val="21"/>
                <w:lang w:val="en-GB"/>
              </w:rPr>
              <w:t>承诺中标后提供本项目所在市售后服务的</w:t>
            </w:r>
            <w:r>
              <w:rPr>
                <w:rFonts w:hint="eastAsia" w:ascii="宋体" w:hAnsi="宋体" w:eastAsia="宋体" w:cs="宋体"/>
                <w:color w:val="auto"/>
                <w:sz w:val="21"/>
                <w:szCs w:val="21"/>
                <w:lang w:val="en-GB" w:eastAsia="zh-CN"/>
              </w:rPr>
              <w:t>，</w:t>
            </w:r>
            <w:r>
              <w:rPr>
                <w:rFonts w:hint="eastAsia" w:ascii="宋体" w:hAnsi="宋体" w:eastAsia="宋体" w:cs="宋体"/>
                <w:color w:val="auto"/>
                <w:sz w:val="21"/>
                <w:szCs w:val="21"/>
                <w:lang w:val="en-GB"/>
              </w:rPr>
              <w:t>得</w:t>
            </w:r>
            <w:r>
              <w:rPr>
                <w:rFonts w:hint="eastAsia" w:ascii="宋体" w:hAnsi="宋体" w:eastAsia="宋体" w:cs="宋体"/>
                <w:color w:val="auto"/>
                <w:sz w:val="21"/>
                <w:szCs w:val="21"/>
              </w:rPr>
              <w:t>100分</w:t>
            </w:r>
            <w:r>
              <w:rPr>
                <w:rFonts w:hint="eastAsia" w:ascii="宋体" w:hAnsi="宋体" w:eastAsia="宋体" w:cs="宋体"/>
                <w:color w:val="auto"/>
                <w:sz w:val="21"/>
                <w:szCs w:val="21"/>
                <w:lang w:val="en-GB"/>
              </w:rPr>
              <w:t>。</w:t>
            </w:r>
          </w:p>
          <w:p w14:paraId="61A4D014">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二）评分依据：</w:t>
            </w:r>
          </w:p>
          <w:p w14:paraId="34301512">
            <w:pPr>
              <w:keepNext w:val="0"/>
              <w:keepLines w:val="0"/>
              <w:pageBreakBefore w:val="0"/>
              <w:widowControl/>
              <w:snapToGrid/>
              <w:spacing w:line="24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投标人在</w:t>
            </w:r>
            <w:r>
              <w:rPr>
                <w:rFonts w:hint="eastAsia" w:ascii="宋体" w:hAnsi="宋体" w:eastAsia="宋体" w:cs="宋体"/>
                <w:color w:val="auto"/>
                <w:sz w:val="21"/>
                <w:szCs w:val="21"/>
                <w:lang w:val="en-GB"/>
              </w:rPr>
              <w:t>本项目所在市</w:t>
            </w:r>
            <w:r>
              <w:rPr>
                <w:rFonts w:hint="eastAsia" w:ascii="宋体" w:hAnsi="宋体" w:eastAsia="宋体" w:cs="宋体"/>
                <w:color w:val="auto"/>
                <w:sz w:val="21"/>
                <w:szCs w:val="21"/>
              </w:rPr>
              <w:t>内有售后服务网点</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提供投标人</w:t>
            </w:r>
            <w:r>
              <w:rPr>
                <w:rFonts w:hint="eastAsia" w:ascii="宋体" w:hAnsi="宋体" w:eastAsia="宋体" w:cs="宋体"/>
                <w:color w:val="auto"/>
                <w:sz w:val="21"/>
                <w:szCs w:val="21"/>
                <w:lang w:eastAsia="zh-CN"/>
              </w:rPr>
              <w:t>售后服务</w:t>
            </w:r>
            <w:r>
              <w:rPr>
                <w:rFonts w:hint="eastAsia" w:ascii="宋体" w:hAnsi="宋体" w:eastAsia="宋体" w:cs="宋体"/>
                <w:color w:val="auto"/>
                <w:sz w:val="21"/>
                <w:szCs w:val="21"/>
              </w:rPr>
              <w:t>合作单位</w:t>
            </w:r>
            <w:r>
              <w:rPr>
                <w:rFonts w:hint="eastAsia" w:ascii="宋体" w:hAnsi="宋体" w:eastAsia="宋体" w:cs="宋体"/>
                <w:color w:val="auto"/>
                <w:sz w:val="21"/>
                <w:szCs w:val="21"/>
                <w:lang w:eastAsia="zh-CN"/>
              </w:rPr>
              <w:t>的证明材料（合作协议、服务</w:t>
            </w:r>
            <w:r>
              <w:rPr>
                <w:rFonts w:hint="eastAsia" w:ascii="宋体" w:hAnsi="宋体" w:eastAsia="宋体" w:cs="宋体"/>
                <w:color w:val="auto"/>
                <w:sz w:val="21"/>
                <w:szCs w:val="21"/>
              </w:rPr>
              <w:t>合作单位</w:t>
            </w:r>
            <w:r>
              <w:rPr>
                <w:rFonts w:hint="eastAsia" w:ascii="宋体" w:hAnsi="宋体" w:eastAsia="宋体" w:cs="宋体"/>
                <w:color w:val="auto"/>
                <w:sz w:val="21"/>
                <w:szCs w:val="21"/>
                <w:lang w:eastAsia="zh-CN"/>
              </w:rPr>
              <w:t>的营业执照）或自身售后服务机构的证明材料（自身售后服务机构的</w:t>
            </w:r>
            <w:r>
              <w:rPr>
                <w:rFonts w:hint="eastAsia" w:ascii="宋体" w:hAnsi="宋体" w:eastAsia="宋体" w:cs="宋体"/>
                <w:color w:val="auto"/>
                <w:sz w:val="21"/>
                <w:szCs w:val="21"/>
              </w:rPr>
              <w:t>营业执照</w:t>
            </w:r>
            <w:r>
              <w:rPr>
                <w:rFonts w:hint="eastAsia" w:ascii="宋体" w:hAnsi="宋体" w:eastAsia="宋体" w:cs="宋体"/>
                <w:color w:val="auto"/>
                <w:sz w:val="21"/>
                <w:szCs w:val="21"/>
                <w:lang w:eastAsia="zh-CN"/>
              </w:rPr>
              <w:t>）或投标人在本地设立的项目部、办公室、办事处等售后服务网点的证明材料（如</w:t>
            </w:r>
            <w:r>
              <w:rPr>
                <w:rFonts w:hint="eastAsia" w:ascii="宋体" w:hAnsi="宋体" w:eastAsia="宋体" w:cs="宋体"/>
                <w:color w:val="auto"/>
                <w:sz w:val="21"/>
                <w:szCs w:val="21"/>
              </w:rPr>
              <w:t>房产证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房产买卖合同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租赁合同</w:t>
            </w:r>
            <w:r>
              <w:rPr>
                <w:rFonts w:hint="eastAsia" w:ascii="宋体" w:hAnsi="宋体" w:eastAsia="宋体" w:cs="宋体"/>
                <w:color w:val="auto"/>
                <w:sz w:val="21"/>
                <w:szCs w:val="21"/>
                <w:lang w:eastAsia="zh-CN"/>
              </w:rPr>
              <w:t>等），未提供证明材料或证明材料内容不满足要求不得分；投标人</w:t>
            </w:r>
            <w:r>
              <w:rPr>
                <w:rFonts w:hint="eastAsia" w:ascii="宋体" w:hAnsi="宋体" w:eastAsia="宋体" w:cs="宋体"/>
                <w:color w:val="auto"/>
                <w:sz w:val="21"/>
                <w:szCs w:val="21"/>
                <w:lang w:val="en-GB"/>
              </w:rPr>
              <w:t>承诺中标后提供本项目所在市售后服务的</w:t>
            </w:r>
            <w:r>
              <w:rPr>
                <w:rFonts w:hint="eastAsia" w:ascii="宋体" w:hAnsi="宋体" w:eastAsia="宋体" w:cs="宋体"/>
                <w:color w:val="auto"/>
                <w:sz w:val="21"/>
                <w:szCs w:val="21"/>
                <w:lang w:val="en-GB" w:eastAsia="zh-CN"/>
              </w:rPr>
              <w:t>，提供</w:t>
            </w:r>
            <w:r>
              <w:rPr>
                <w:rFonts w:hint="eastAsia" w:ascii="宋体" w:hAnsi="宋体" w:eastAsia="宋体" w:cs="宋体"/>
                <w:color w:val="auto"/>
                <w:sz w:val="21"/>
                <w:szCs w:val="21"/>
              </w:rPr>
              <w:t>承诺函</w:t>
            </w:r>
            <w:r>
              <w:rPr>
                <w:rFonts w:hint="eastAsia" w:ascii="宋体" w:hAnsi="宋体" w:eastAsia="宋体" w:cs="宋体"/>
                <w:color w:val="auto"/>
                <w:sz w:val="21"/>
                <w:szCs w:val="21"/>
                <w:lang w:eastAsia="zh-CN"/>
              </w:rPr>
              <w:t>（格式自定），未提供承诺或承诺内容不满足要求不得分。</w:t>
            </w:r>
          </w:p>
        </w:tc>
      </w:tr>
      <w:tr w14:paraId="29C4E6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A3FDA50">
            <w:pPr>
              <w:keepNext w:val="0"/>
              <w:pageBreakBefore w:val="0"/>
              <w:widowControl/>
              <w:snapToGrid/>
              <w:rPr>
                <w:rFonts w:hint="eastAsia" w:ascii="宋体" w:hAnsi="宋体" w:eastAsia="宋体" w:cs="宋体"/>
                <w:b/>
                <w:bCs/>
                <w:color w:val="auto"/>
                <w:sz w:val="21"/>
                <w:szCs w:val="21"/>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733417C2">
            <w:pPr>
              <w:keepNext w:val="0"/>
              <w:pageBreakBefore w:val="0"/>
              <w:widowControl/>
              <w:snapToGrid/>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6070D236">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诚信情况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4A0B1839">
            <w:pPr>
              <w:keepNext w:val="0"/>
              <w:pageBreakBefore w:val="0"/>
              <w:widowControl/>
              <w:snapToGrid/>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0535D595">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14:paraId="7D048802">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分。</w:t>
            </w:r>
          </w:p>
          <w:p w14:paraId="0C80AECE">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6AF056AC">
            <w:pPr>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采购代理机构通过“信用中国”、“中国政府采购网”、“深圳市政府采购监管网”以及市、区财政部门认定的其他渠道查询供应商信用信息，投标人无需提供证明材料。</w:t>
            </w:r>
          </w:p>
        </w:tc>
      </w:tr>
    </w:tbl>
    <w:p w14:paraId="05AF32EA">
      <w:pPr>
        <w:rPr>
          <w:rFonts w:hint="eastAsia" w:ascii="宋体" w:hAnsi="宋体" w:eastAsia="宋体" w:cs="宋体"/>
          <w:color w:val="auto"/>
        </w:rPr>
      </w:pPr>
    </w:p>
    <w:p w14:paraId="7EB8BC09">
      <w:pPr>
        <w:rPr>
          <w:rFonts w:hint="eastAsia" w:ascii="宋体" w:hAnsi="宋体" w:eastAsia="宋体" w:cs="宋体"/>
          <w:color w:val="auto"/>
        </w:rPr>
      </w:pPr>
      <w:r>
        <w:rPr>
          <w:rFonts w:hint="eastAsia" w:ascii="宋体" w:hAnsi="宋体" w:eastAsia="宋体" w:cs="宋体"/>
          <w:color w:val="auto"/>
        </w:rPr>
        <w:br w:type="page"/>
      </w:r>
    </w:p>
    <w:p w14:paraId="36CBE435">
      <w:pPr>
        <w:pStyle w:val="32"/>
        <w:spacing w:line="360" w:lineRule="auto"/>
        <w:jc w:val="center"/>
        <w:outlineLvl w:val="1"/>
        <w:rPr>
          <w:rFonts w:hint="eastAsia" w:ascii="宋体" w:hAnsi="宋体" w:eastAsia="宋体" w:cs="宋体"/>
          <w:color w:val="auto"/>
          <w:sz w:val="40"/>
          <w:szCs w:val="40"/>
        </w:rPr>
      </w:pPr>
      <w:r>
        <w:rPr>
          <w:rFonts w:hint="eastAsia" w:ascii="宋体" w:hAnsi="宋体" w:eastAsia="宋体" w:cs="宋体"/>
          <w:color w:val="auto"/>
          <w:sz w:val="40"/>
          <w:szCs w:val="40"/>
        </w:rPr>
        <w:t>投标书目录</w:t>
      </w:r>
    </w:p>
    <w:tbl>
      <w:tblPr>
        <w:tblStyle w:val="35"/>
        <w:tblW w:w="9072" w:type="dxa"/>
        <w:jc w:val="center"/>
        <w:tblCellSpacing w:w="0" w:type="dxa"/>
        <w:tblLayout w:type="fixed"/>
        <w:tblCellMar>
          <w:top w:w="45" w:type="dxa"/>
          <w:left w:w="45" w:type="dxa"/>
          <w:bottom w:w="45" w:type="dxa"/>
          <w:right w:w="45" w:type="dxa"/>
        </w:tblCellMar>
      </w:tblPr>
      <w:tblGrid>
        <w:gridCol w:w="9072"/>
      </w:tblGrid>
      <w:tr w14:paraId="586F99A7">
        <w:tblPrEx>
          <w:tblCellMar>
            <w:top w:w="45" w:type="dxa"/>
            <w:left w:w="45" w:type="dxa"/>
            <w:bottom w:w="45" w:type="dxa"/>
            <w:right w:w="45" w:type="dxa"/>
          </w:tblCellMar>
        </w:tblPrEx>
        <w:trPr>
          <w:trHeight w:val="11432" w:hRule="atLeast"/>
          <w:tblCellSpacing w:w="0" w:type="dxa"/>
          <w:jc w:val="center"/>
        </w:trPr>
        <w:tc>
          <w:tcPr>
            <w:tcW w:w="9072" w:type="dxa"/>
            <w:noWrap w:val="0"/>
            <w:vAlign w:val="center"/>
          </w:tcPr>
          <w:p w14:paraId="471D8559">
            <w:pP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1.投标文件正文（信息公开部分）：</w:t>
            </w:r>
          </w:p>
          <w:p w14:paraId="24135C21">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（1）投标函</w:t>
            </w:r>
          </w:p>
          <w:p w14:paraId="1EEA1E65">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（2）政府采购投标及履约承诺函</w:t>
            </w:r>
          </w:p>
          <w:p w14:paraId="3D1DF944">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（3）投标人情况及资格证明文件</w:t>
            </w:r>
          </w:p>
          <w:p w14:paraId="2DE3EB12">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（4）项目详细报价</w:t>
            </w:r>
          </w:p>
          <w:p w14:paraId="54D50D59">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（5）投入的服务资源（</w:t>
            </w:r>
            <w:r>
              <w:rPr>
                <w:rFonts w:hint="eastAsia" w:ascii="宋体" w:hAnsi="宋体" w:eastAsia="宋体" w:cs="宋体"/>
                <w:color w:val="auto"/>
                <w:sz w:val="28"/>
                <w:szCs w:val="28"/>
                <w:lang w:eastAsia="zh-CN"/>
              </w:rPr>
              <w:t>材料、车辆、</w:t>
            </w:r>
            <w:r>
              <w:rPr>
                <w:rFonts w:hint="eastAsia" w:ascii="宋体" w:hAnsi="宋体" w:eastAsia="宋体" w:cs="宋体"/>
                <w:color w:val="auto"/>
                <w:sz w:val="28"/>
                <w:szCs w:val="28"/>
              </w:rPr>
              <w:t>场地、工具、机器等）情况</w:t>
            </w:r>
          </w:p>
          <w:p w14:paraId="02D35E62">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（6）投标人通过相关认证情况</w:t>
            </w:r>
          </w:p>
          <w:p w14:paraId="44CBB579">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（7）投标人同类项目业绩情况</w:t>
            </w:r>
          </w:p>
          <w:p w14:paraId="6016F224">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供应商获奖情况</w:t>
            </w:r>
          </w:p>
          <w:p w14:paraId="00B39C36">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投标人</w:t>
            </w:r>
            <w:r>
              <w:rPr>
                <w:rFonts w:hint="eastAsia" w:ascii="宋体" w:hAnsi="宋体" w:eastAsia="宋体" w:cs="宋体"/>
                <w:color w:val="auto"/>
                <w:sz w:val="28"/>
                <w:szCs w:val="28"/>
              </w:rPr>
              <w:t>自主知识产权产品（创新、设计）情况</w:t>
            </w:r>
          </w:p>
          <w:p w14:paraId="7C016B49">
            <w:pP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（10）服务网点</w:t>
            </w:r>
          </w:p>
          <w:p w14:paraId="5603A45F">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拟安排的项目负责人情况（仅限一人）</w:t>
            </w:r>
          </w:p>
          <w:p w14:paraId="73D2D6F7">
            <w:pP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）拟安排的项目主要团队成员（主要技术人员）情况（项目负责人除外）</w:t>
            </w:r>
          </w:p>
          <w:p w14:paraId="2C09ABC7">
            <w:pP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）投标人认为信息公开部分需要加以说明的其他内容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格式自定</w:t>
            </w:r>
            <w:r>
              <w:rPr>
                <w:rFonts w:hint="eastAsia" w:ascii="宋体" w:hAnsi="宋体" w:eastAsia="宋体" w:cs="宋体"/>
                <w:color w:val="auto"/>
                <w:sz w:val="28"/>
                <w:szCs w:val="28"/>
                <w:lang w:eastAsia="zh-CN"/>
              </w:rPr>
              <w:t>）</w:t>
            </w:r>
          </w:p>
          <w:p w14:paraId="4C174218">
            <w:pP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2.投标文件附件（信息不公开部分）：</w:t>
            </w:r>
          </w:p>
          <w:p w14:paraId="5EB3F2B5">
            <w:pP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法定代表人（负责人或执行事务合伙人）资格证明书</w:t>
            </w:r>
          </w:p>
          <w:p w14:paraId="357655A5">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（2）投标文件签署授权委托书</w:t>
            </w:r>
          </w:p>
          <w:p w14:paraId="465C4C5B">
            <w:pPr>
              <w:outlineLvl w:val="1"/>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w:t>
            </w:r>
            <w:r>
              <w:rPr>
                <w:rFonts w:hint="eastAsia" w:ascii="宋体" w:hAnsi="宋体" w:eastAsia="宋体" w:cs="宋体"/>
                <w:color w:val="auto"/>
                <w:sz w:val="28"/>
                <w:szCs w:val="28"/>
                <w:lang w:eastAsia="zh-CN"/>
              </w:rPr>
              <w:t>供应商法定代表人等缴纳社会保险情况一览表</w:t>
            </w:r>
          </w:p>
          <w:p w14:paraId="5B87CF81">
            <w:pPr>
              <w:outlineLvl w:val="1"/>
              <w:rPr>
                <w:rFonts w:hint="eastAsia" w:ascii="宋体" w:hAnsi="宋体" w:eastAsia="宋体" w:cs="宋体"/>
                <w:color w:val="auto"/>
                <w:sz w:val="28"/>
                <w:szCs w:val="28"/>
              </w:rPr>
            </w:pPr>
            <w:r>
              <w:rPr>
                <w:rFonts w:hint="eastAsia" w:ascii="宋体" w:hAnsi="宋体" w:eastAsia="宋体" w:cs="宋体"/>
                <w:color w:val="auto"/>
                <w:sz w:val="28"/>
                <w:szCs w:val="28"/>
              </w:rPr>
              <w:t>（4）实质性条款响应情况表</w:t>
            </w:r>
          </w:p>
          <w:p w14:paraId="6FEA485B">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商务、技术条款偏离表</w:t>
            </w:r>
          </w:p>
          <w:p w14:paraId="5C731F2E">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实施方案（格式自定）</w:t>
            </w:r>
          </w:p>
          <w:p w14:paraId="4B9A4E5A">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）项目重点难点分析、应对措施及相关的合理化建议</w:t>
            </w:r>
            <w:r>
              <w:rPr>
                <w:rFonts w:hint="eastAsia" w:ascii="宋体" w:hAnsi="宋体" w:eastAsia="宋体" w:cs="宋体"/>
                <w:color w:val="auto"/>
                <w:sz w:val="28"/>
                <w:szCs w:val="28"/>
              </w:rPr>
              <w:t>（格式自定）</w:t>
            </w:r>
          </w:p>
          <w:p w14:paraId="2B18A32A">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）质量（完成时间、安全、环保）保障措施及方案</w:t>
            </w:r>
            <w:r>
              <w:rPr>
                <w:rFonts w:hint="eastAsia" w:ascii="宋体" w:hAnsi="宋体" w:eastAsia="宋体" w:cs="宋体"/>
                <w:color w:val="auto"/>
                <w:sz w:val="28"/>
                <w:szCs w:val="28"/>
              </w:rPr>
              <w:t>（格式自定）</w:t>
            </w:r>
          </w:p>
          <w:p w14:paraId="5654C86C">
            <w:pPr>
              <w:outlineLvl w:val="1"/>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项目交接方案</w:t>
            </w:r>
            <w:r>
              <w:rPr>
                <w:rFonts w:hint="eastAsia" w:ascii="宋体" w:hAnsi="宋体" w:eastAsia="宋体" w:cs="宋体"/>
                <w:color w:val="auto"/>
                <w:sz w:val="28"/>
                <w:szCs w:val="28"/>
              </w:rPr>
              <w:t>（格式自定）</w:t>
            </w:r>
          </w:p>
          <w:p w14:paraId="0DEE4166">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安全保障措施</w:t>
            </w:r>
            <w:r>
              <w:rPr>
                <w:rFonts w:hint="eastAsia" w:ascii="宋体" w:hAnsi="宋体" w:eastAsia="宋体" w:cs="宋体"/>
                <w:color w:val="auto"/>
                <w:sz w:val="28"/>
                <w:szCs w:val="28"/>
              </w:rPr>
              <w:t>（格式自定）</w:t>
            </w:r>
          </w:p>
          <w:p w14:paraId="77B5C2C1">
            <w:pPr>
              <w:outlineLvl w:val="1"/>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投标人认为信息不公开部分需要加以说明的其他内容（格式自定）</w:t>
            </w:r>
          </w:p>
          <w:p w14:paraId="2E59105E">
            <w:pPr>
              <w:outlineLvl w:val="1"/>
              <w:rPr>
                <w:rFonts w:hint="eastAsia" w:ascii="宋体" w:hAnsi="宋体" w:eastAsia="宋体" w:cs="宋体"/>
                <w:color w:val="auto"/>
              </w:rPr>
            </w:pPr>
          </w:p>
        </w:tc>
      </w:tr>
    </w:tbl>
    <w:p w14:paraId="6F347DB6">
      <w:pPr>
        <w:rPr>
          <w:rFonts w:hint="eastAsia" w:ascii="宋体" w:hAnsi="宋体" w:eastAsia="宋体" w:cs="宋体"/>
          <w:color w:val="auto"/>
        </w:rPr>
      </w:pPr>
    </w:p>
    <w:p w14:paraId="12974701">
      <w:pPr>
        <w:pStyle w:val="14"/>
        <w:rPr>
          <w:rFonts w:hint="eastAsia" w:ascii="宋体" w:hAnsi="宋体" w:eastAsia="宋体" w:cs="宋体"/>
          <w:color w:val="auto"/>
        </w:rPr>
      </w:pPr>
    </w:p>
    <w:p w14:paraId="3B0660AC">
      <w:pPr>
        <w:rPr>
          <w:rFonts w:hint="eastAsia" w:ascii="宋体" w:hAnsi="宋体" w:eastAsia="宋体" w:cs="宋体"/>
          <w:color w:val="auto"/>
        </w:rPr>
      </w:pPr>
      <w:r>
        <w:rPr>
          <w:rFonts w:hint="eastAsia" w:ascii="宋体" w:hAnsi="宋体" w:eastAsia="宋体" w:cs="宋体"/>
          <w:color w:val="auto"/>
        </w:rPr>
        <w:br w:type="page"/>
      </w:r>
    </w:p>
    <w:p w14:paraId="06DD36C8">
      <w:pPr>
        <w:rPr>
          <w:rFonts w:hint="eastAsia" w:ascii="宋体" w:hAnsi="宋体" w:eastAsia="宋体" w:cs="宋体"/>
          <w:color w:val="auto"/>
        </w:rPr>
      </w:pPr>
    </w:p>
    <w:p w14:paraId="31D6B1C0">
      <w:pPr>
        <w:rPr>
          <w:rFonts w:hint="eastAsia" w:ascii="宋体" w:hAnsi="宋体" w:eastAsia="宋体" w:cs="宋体"/>
          <w:color w:val="auto"/>
        </w:rPr>
      </w:pPr>
    </w:p>
    <w:p w14:paraId="4B514359">
      <w:pPr>
        <w:rPr>
          <w:rFonts w:hint="eastAsia" w:ascii="宋体" w:hAnsi="宋体" w:eastAsia="宋体" w:cs="宋体"/>
          <w:color w:val="auto"/>
        </w:rPr>
      </w:pPr>
    </w:p>
    <w:p w14:paraId="0BE84414">
      <w:pPr>
        <w:rPr>
          <w:rFonts w:hint="eastAsia" w:ascii="宋体" w:hAnsi="宋体" w:eastAsia="宋体" w:cs="宋体"/>
          <w:color w:val="auto"/>
        </w:rPr>
      </w:pPr>
    </w:p>
    <w:p w14:paraId="6A107AE5">
      <w:pPr>
        <w:rPr>
          <w:rFonts w:hint="eastAsia" w:ascii="宋体" w:hAnsi="宋体" w:eastAsia="宋体" w:cs="宋体"/>
          <w:color w:val="auto"/>
        </w:rPr>
      </w:pPr>
    </w:p>
    <w:p w14:paraId="7D0FC32C">
      <w:pPr>
        <w:rPr>
          <w:rFonts w:hint="eastAsia" w:ascii="宋体" w:hAnsi="宋体" w:eastAsia="宋体" w:cs="宋体"/>
          <w:color w:val="auto"/>
        </w:rPr>
      </w:pPr>
    </w:p>
    <w:p w14:paraId="3589F96A">
      <w:pPr>
        <w:rPr>
          <w:rFonts w:hint="eastAsia" w:ascii="宋体" w:hAnsi="宋体" w:eastAsia="宋体" w:cs="宋体"/>
          <w:color w:val="auto"/>
        </w:rPr>
      </w:pPr>
    </w:p>
    <w:p w14:paraId="3429C519">
      <w:pPr>
        <w:jc w:val="center"/>
        <w:rPr>
          <w:rFonts w:hint="eastAsia" w:ascii="宋体" w:hAnsi="宋体" w:eastAsia="宋体" w:cs="宋体"/>
          <w:b/>
          <w:color w:val="auto"/>
          <w:sz w:val="120"/>
          <w:szCs w:val="120"/>
        </w:rPr>
      </w:pPr>
      <w:r>
        <w:rPr>
          <w:rFonts w:hint="eastAsia" w:ascii="宋体" w:hAnsi="宋体" w:eastAsia="宋体" w:cs="宋体"/>
          <w:b/>
          <w:color w:val="auto"/>
          <w:sz w:val="120"/>
          <w:szCs w:val="120"/>
        </w:rPr>
        <w:t>政府采购</w:t>
      </w:r>
    </w:p>
    <w:p w14:paraId="12DA1D1E">
      <w:pPr>
        <w:jc w:val="center"/>
        <w:rPr>
          <w:rFonts w:hint="eastAsia" w:ascii="宋体" w:hAnsi="宋体" w:eastAsia="宋体" w:cs="宋体"/>
          <w:b/>
          <w:color w:val="auto"/>
          <w:sz w:val="120"/>
          <w:szCs w:val="120"/>
        </w:rPr>
      </w:pPr>
      <w:r>
        <w:rPr>
          <w:rFonts w:hint="eastAsia" w:ascii="宋体" w:hAnsi="宋体" w:eastAsia="宋体" w:cs="宋体"/>
          <w:b/>
          <w:color w:val="auto"/>
          <w:sz w:val="120"/>
          <w:szCs w:val="120"/>
        </w:rPr>
        <w:t>招标文件</w:t>
      </w:r>
    </w:p>
    <w:p w14:paraId="17B9F72A">
      <w:pPr>
        <w:jc w:val="center"/>
        <w:rPr>
          <w:rFonts w:hint="eastAsia" w:ascii="宋体" w:hAnsi="宋体" w:eastAsia="宋体" w:cs="宋体"/>
          <w:b/>
          <w:color w:val="auto"/>
          <w:sz w:val="52"/>
          <w:szCs w:val="52"/>
        </w:rPr>
      </w:pPr>
    </w:p>
    <w:p w14:paraId="2E774E45">
      <w:pPr>
        <w:jc w:val="center"/>
        <w:rPr>
          <w:rFonts w:hint="eastAsia" w:ascii="宋体" w:hAnsi="宋体" w:eastAsia="宋体" w:cs="宋体"/>
          <w:b/>
          <w:color w:val="auto"/>
          <w:sz w:val="52"/>
          <w:szCs w:val="52"/>
        </w:rPr>
      </w:pPr>
    </w:p>
    <w:p w14:paraId="42452367">
      <w:pPr>
        <w:jc w:val="center"/>
        <w:rPr>
          <w:rFonts w:hint="eastAsia" w:ascii="宋体" w:hAnsi="宋体" w:eastAsia="宋体" w:cs="宋体"/>
          <w:b/>
          <w:color w:val="auto"/>
          <w:sz w:val="52"/>
          <w:szCs w:val="52"/>
        </w:rPr>
      </w:pPr>
    </w:p>
    <w:p w14:paraId="35FF94F2">
      <w:pPr>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（服务类）</w:t>
      </w:r>
    </w:p>
    <w:p w14:paraId="55C81263">
      <w:pPr>
        <w:rPr>
          <w:rFonts w:hint="eastAsia" w:ascii="宋体" w:hAnsi="宋体" w:eastAsia="宋体" w:cs="宋体"/>
          <w:color w:val="auto"/>
        </w:rPr>
      </w:pPr>
    </w:p>
    <w:p w14:paraId="3E5F4A20">
      <w:pPr>
        <w:rPr>
          <w:rFonts w:hint="eastAsia" w:ascii="宋体" w:hAnsi="宋体" w:eastAsia="宋体" w:cs="宋体"/>
          <w:color w:val="auto"/>
        </w:rPr>
      </w:pPr>
    </w:p>
    <w:p w14:paraId="488B7C4D">
      <w:pPr>
        <w:rPr>
          <w:rFonts w:hint="eastAsia" w:ascii="宋体" w:hAnsi="宋体" w:eastAsia="宋体" w:cs="宋体"/>
          <w:color w:val="auto"/>
        </w:rPr>
      </w:pPr>
    </w:p>
    <w:p w14:paraId="378E2020">
      <w:pPr>
        <w:rPr>
          <w:rFonts w:hint="eastAsia" w:ascii="宋体" w:hAnsi="宋体" w:eastAsia="宋体" w:cs="宋体"/>
          <w:color w:val="auto"/>
        </w:rPr>
      </w:pPr>
    </w:p>
    <w:p w14:paraId="0013A53E">
      <w:pPr>
        <w:rPr>
          <w:rFonts w:hint="eastAsia" w:ascii="宋体" w:hAnsi="宋体" w:eastAsia="宋体" w:cs="宋体"/>
          <w:color w:val="auto"/>
        </w:rPr>
      </w:pPr>
    </w:p>
    <w:p w14:paraId="3935AA81">
      <w:pPr>
        <w:rPr>
          <w:rFonts w:hint="eastAsia" w:ascii="宋体" w:hAnsi="宋体" w:eastAsia="宋体" w:cs="宋体"/>
          <w:color w:val="auto"/>
        </w:rPr>
      </w:pPr>
    </w:p>
    <w:p w14:paraId="36EE886E">
      <w:pPr>
        <w:jc w:val="center"/>
        <w:rPr>
          <w:rFonts w:hint="eastAsia" w:ascii="宋体" w:hAnsi="宋体" w:eastAsia="宋体" w:cs="宋体"/>
          <w:b/>
          <w:color w:val="auto"/>
          <w:sz w:val="44"/>
          <w:szCs w:val="44"/>
        </w:rPr>
      </w:pPr>
    </w:p>
    <w:p w14:paraId="371ABC34">
      <w:pPr>
        <w:jc w:val="center"/>
        <w:rPr>
          <w:rFonts w:hint="eastAsia" w:ascii="宋体" w:hAnsi="宋体" w:eastAsia="宋体" w:cs="宋体"/>
          <w:b/>
          <w:color w:val="auto"/>
          <w:sz w:val="44"/>
          <w:szCs w:val="44"/>
        </w:rPr>
      </w:pPr>
    </w:p>
    <w:p w14:paraId="08B44C01">
      <w:pPr>
        <w:jc w:val="center"/>
        <w:rPr>
          <w:rFonts w:hint="eastAsia" w:ascii="宋体" w:hAnsi="宋体" w:eastAsia="宋体" w:cs="宋体"/>
          <w:b/>
          <w:color w:val="auto"/>
          <w:sz w:val="44"/>
          <w:szCs w:val="44"/>
        </w:rPr>
      </w:pPr>
    </w:p>
    <w:p w14:paraId="7CBF90DF">
      <w:pPr>
        <w:jc w:val="center"/>
        <w:rPr>
          <w:rFonts w:hint="eastAsia" w:ascii="宋体" w:hAnsi="宋体" w:eastAsia="宋体" w:cs="宋体"/>
          <w:b/>
          <w:color w:val="auto"/>
          <w:sz w:val="44"/>
          <w:szCs w:val="44"/>
        </w:rPr>
      </w:pPr>
      <w:bookmarkStart w:id="1" w:name="_Hlk71465316"/>
      <w:r>
        <w:rPr>
          <w:rFonts w:hint="eastAsia" w:ascii="宋体" w:hAnsi="宋体" w:eastAsia="宋体" w:cs="宋体"/>
          <w:b/>
          <w:color w:val="auto"/>
          <w:sz w:val="44"/>
          <w:szCs w:val="44"/>
        </w:rPr>
        <w:t>友和保险经纪有限公司</w:t>
      </w:r>
      <w:bookmarkEnd w:id="1"/>
    </w:p>
    <w:p w14:paraId="6101B83D">
      <w:pPr>
        <w:keepNext w:val="0"/>
        <w:keepLines w:val="0"/>
        <w:pageBreakBefore w:val="0"/>
        <w:widowControl/>
        <w:snapToGrid/>
        <w:spacing w:line="360" w:lineRule="auto"/>
        <w:ind w:firstLine="3600" w:firstLineChars="1500"/>
        <w:outlineLvl w:val="1"/>
        <w:rPr>
          <w:rFonts w:hint="eastAsia" w:ascii="宋体" w:hAnsi="宋体" w:eastAsia="宋体" w:cs="宋体"/>
          <w:color w:val="auto"/>
          <w:sz w:val="30"/>
          <w:szCs w:val="30"/>
        </w:rPr>
      </w:pPr>
      <w:r>
        <w:rPr>
          <w:rFonts w:hint="eastAsia" w:ascii="宋体" w:hAnsi="宋体" w:eastAsia="宋体" w:cs="宋体"/>
          <w:color w:val="auto"/>
        </w:rPr>
        <w:br w:type="page"/>
      </w:r>
      <w:r>
        <w:rPr>
          <w:rFonts w:hint="eastAsia" w:ascii="宋体" w:hAnsi="宋体" w:eastAsia="宋体" w:cs="宋体"/>
          <w:b/>
          <w:bCs/>
          <w:color w:val="auto"/>
          <w:kern w:val="44"/>
          <w:sz w:val="30"/>
          <w:szCs w:val="30"/>
        </w:rPr>
        <w:t>警示条款</w:t>
      </w:r>
    </w:p>
    <w:p w14:paraId="0E083F82">
      <w:pPr>
        <w:ind w:firstLine="480" w:firstLineChars="200"/>
        <w:rPr>
          <w:rFonts w:hint="eastAsia" w:ascii="宋体" w:hAnsi="宋体" w:eastAsia="宋体" w:cs="宋体"/>
          <w:color w:val="auto"/>
        </w:rPr>
      </w:pPr>
      <w:r>
        <w:rPr>
          <w:rFonts w:hint="eastAsia" w:ascii="宋体" w:hAnsi="宋体" w:eastAsia="宋体" w:cs="宋体"/>
          <w:color w:val="auto"/>
        </w:rPr>
        <w:t>一、</w:t>
      </w:r>
      <w:r>
        <w:rPr>
          <w:rFonts w:hint="eastAsia" w:ascii="宋体" w:hAnsi="宋体" w:eastAsia="宋体" w:cs="宋体"/>
          <w:b/>
          <w:bCs/>
          <w:color w:val="auto"/>
        </w:rPr>
        <w:t>《深圳经济特区政府采购条例》第五十七条</w:t>
      </w:r>
      <w:r>
        <w:rPr>
          <w:rFonts w:hint="eastAsia" w:ascii="宋体" w:hAnsi="宋体" w:eastAsia="宋体" w:cs="宋体"/>
          <w:color w:val="auto"/>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7DF334">
      <w:pPr>
        <w:ind w:firstLine="480" w:firstLineChars="200"/>
        <w:rPr>
          <w:rFonts w:hint="eastAsia" w:ascii="宋体" w:hAnsi="宋体" w:eastAsia="宋体" w:cs="宋体"/>
          <w:color w:val="auto"/>
        </w:rPr>
      </w:pPr>
      <w:r>
        <w:rPr>
          <w:rFonts w:hint="eastAsia" w:ascii="宋体" w:hAnsi="宋体" w:eastAsia="宋体" w:cs="宋体"/>
          <w:color w:val="auto"/>
        </w:rPr>
        <w:t>（一）在采购活动中应当回避而未回避的；</w:t>
      </w:r>
    </w:p>
    <w:p w14:paraId="125244CB">
      <w:pPr>
        <w:ind w:firstLine="480" w:firstLineChars="200"/>
        <w:rPr>
          <w:rFonts w:hint="eastAsia" w:ascii="宋体" w:hAnsi="宋体" w:eastAsia="宋体" w:cs="宋体"/>
          <w:color w:val="auto"/>
        </w:rPr>
      </w:pPr>
      <w:r>
        <w:rPr>
          <w:rFonts w:hint="eastAsia" w:ascii="宋体" w:hAnsi="宋体" w:eastAsia="宋体" w:cs="宋体"/>
          <w:color w:val="auto"/>
        </w:rPr>
        <w:t>（二）未按本条例规定签订、履行采购合同，造成严重后果的；</w:t>
      </w:r>
    </w:p>
    <w:p w14:paraId="0E9B63CB">
      <w:pPr>
        <w:ind w:firstLine="480" w:firstLineChars="200"/>
        <w:rPr>
          <w:rFonts w:hint="eastAsia" w:ascii="宋体" w:hAnsi="宋体" w:eastAsia="宋体" w:cs="宋体"/>
          <w:color w:val="auto"/>
        </w:rPr>
      </w:pPr>
      <w:r>
        <w:rPr>
          <w:rFonts w:hint="eastAsia" w:ascii="宋体" w:hAnsi="宋体" w:eastAsia="宋体" w:cs="宋体"/>
          <w:color w:val="auto"/>
        </w:rPr>
        <w:t>（三）隐瞒真实情况，提供虚假资料的；</w:t>
      </w:r>
    </w:p>
    <w:p w14:paraId="24B02A69">
      <w:pPr>
        <w:ind w:firstLine="480" w:firstLineChars="200"/>
        <w:rPr>
          <w:rFonts w:hint="eastAsia" w:ascii="宋体" w:hAnsi="宋体" w:eastAsia="宋体" w:cs="宋体"/>
          <w:color w:val="auto"/>
        </w:rPr>
      </w:pPr>
      <w:r>
        <w:rPr>
          <w:rFonts w:hint="eastAsia" w:ascii="宋体" w:hAnsi="宋体" w:eastAsia="宋体" w:cs="宋体"/>
          <w:color w:val="auto"/>
        </w:rPr>
        <w:t>（四）以非法手段排斥其他供应商参与竞争的；</w:t>
      </w:r>
    </w:p>
    <w:p w14:paraId="53866D84">
      <w:pPr>
        <w:ind w:firstLine="480" w:firstLineChars="200"/>
        <w:rPr>
          <w:rFonts w:hint="eastAsia" w:ascii="宋体" w:hAnsi="宋体" w:eastAsia="宋体" w:cs="宋体"/>
          <w:color w:val="auto"/>
        </w:rPr>
      </w:pPr>
      <w:r>
        <w:rPr>
          <w:rFonts w:hint="eastAsia" w:ascii="宋体" w:hAnsi="宋体" w:eastAsia="宋体" w:cs="宋体"/>
          <w:color w:val="auto"/>
        </w:rPr>
        <w:t>（五）与其他采购参加人串通投标的；</w:t>
      </w:r>
    </w:p>
    <w:p w14:paraId="69129389">
      <w:pPr>
        <w:ind w:firstLine="480" w:firstLineChars="200"/>
        <w:rPr>
          <w:rFonts w:hint="eastAsia" w:ascii="宋体" w:hAnsi="宋体" w:eastAsia="宋体" w:cs="宋体"/>
          <w:color w:val="auto"/>
        </w:rPr>
      </w:pPr>
      <w:r>
        <w:rPr>
          <w:rFonts w:hint="eastAsia" w:ascii="宋体" w:hAnsi="宋体" w:eastAsia="宋体" w:cs="宋体"/>
          <w:color w:val="auto"/>
        </w:rPr>
        <w:t>（六）恶意投诉的；</w:t>
      </w:r>
    </w:p>
    <w:p w14:paraId="067F4D17">
      <w:pPr>
        <w:ind w:firstLine="480" w:firstLineChars="200"/>
        <w:rPr>
          <w:rFonts w:hint="eastAsia" w:ascii="宋体" w:hAnsi="宋体" w:eastAsia="宋体" w:cs="宋体"/>
          <w:color w:val="auto"/>
        </w:rPr>
      </w:pPr>
      <w:r>
        <w:rPr>
          <w:rFonts w:hint="eastAsia" w:ascii="宋体" w:hAnsi="宋体" w:eastAsia="宋体" w:cs="宋体"/>
          <w:color w:val="auto"/>
        </w:rPr>
        <w:t>（七）向采购项目相关人行贿或者提供其他不当利益的；</w:t>
      </w:r>
    </w:p>
    <w:p w14:paraId="24CCF28A">
      <w:pPr>
        <w:ind w:firstLine="480" w:firstLineChars="200"/>
        <w:rPr>
          <w:rFonts w:hint="eastAsia" w:ascii="宋体" w:hAnsi="宋体" w:eastAsia="宋体" w:cs="宋体"/>
          <w:color w:val="auto"/>
        </w:rPr>
      </w:pPr>
      <w:r>
        <w:rPr>
          <w:rFonts w:hint="eastAsia" w:ascii="宋体" w:hAnsi="宋体" w:eastAsia="宋体" w:cs="宋体"/>
          <w:color w:val="auto"/>
        </w:rPr>
        <w:t>（八）阻碍、抗拒主管部门监督检查的；</w:t>
      </w:r>
    </w:p>
    <w:p w14:paraId="16F71338">
      <w:pPr>
        <w:ind w:firstLine="480" w:firstLineChars="200"/>
        <w:rPr>
          <w:rFonts w:hint="eastAsia" w:ascii="宋体" w:hAnsi="宋体" w:eastAsia="宋体" w:cs="宋体"/>
          <w:color w:val="auto"/>
        </w:rPr>
      </w:pPr>
      <w:r>
        <w:rPr>
          <w:rFonts w:hint="eastAsia" w:ascii="宋体" w:hAnsi="宋体" w:eastAsia="宋体" w:cs="宋体"/>
          <w:color w:val="auto"/>
        </w:rPr>
        <w:t>（九）其他违反本条例规定的行为。</w:t>
      </w:r>
    </w:p>
    <w:p w14:paraId="72F49F58">
      <w:pPr>
        <w:ind w:firstLine="482" w:firstLineChars="200"/>
        <w:rPr>
          <w:rFonts w:hint="eastAsia" w:ascii="宋体" w:hAnsi="宋体" w:eastAsia="宋体" w:cs="宋体"/>
          <w:color w:val="auto"/>
        </w:rPr>
      </w:pPr>
      <w:r>
        <w:rPr>
          <w:rFonts w:hint="eastAsia" w:ascii="宋体" w:hAnsi="宋体" w:eastAsia="宋体" w:cs="宋体"/>
          <w:b/>
          <w:bCs/>
          <w:color w:val="auto"/>
          <w:lang w:eastAsia="zh-CN"/>
        </w:rPr>
        <w:t>二</w:t>
      </w:r>
      <w:r>
        <w:rPr>
          <w:rFonts w:hint="eastAsia" w:ascii="宋体" w:hAnsi="宋体" w:eastAsia="宋体" w:cs="宋体"/>
          <w:b/>
          <w:bCs/>
          <w:color w:val="auto"/>
        </w:rPr>
        <w:t>、《深圳经济特区政府采购条例实施细则》第七十五条 </w:t>
      </w:r>
      <w:r>
        <w:rPr>
          <w:rFonts w:hint="eastAsia" w:ascii="宋体" w:hAnsi="宋体" w:eastAsia="宋体" w:cs="宋体"/>
          <w:color w:val="auto"/>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1EF4AD0">
      <w:pPr>
        <w:ind w:firstLine="482" w:firstLineChars="200"/>
        <w:rPr>
          <w:rFonts w:hint="eastAsia" w:ascii="宋体" w:hAnsi="宋体" w:eastAsia="宋体" w:cs="宋体"/>
          <w:color w:val="auto"/>
        </w:rPr>
      </w:pPr>
      <w:r>
        <w:rPr>
          <w:rFonts w:hint="eastAsia" w:ascii="宋体" w:hAnsi="宋体" w:eastAsia="宋体" w:cs="宋体"/>
          <w:b/>
          <w:bCs/>
          <w:color w:val="auto"/>
          <w:lang w:eastAsia="zh-CN"/>
        </w:rPr>
        <w:t>三</w:t>
      </w:r>
      <w:r>
        <w:rPr>
          <w:rFonts w:hint="eastAsia" w:ascii="宋体" w:hAnsi="宋体" w:eastAsia="宋体" w:cs="宋体"/>
          <w:b/>
          <w:bCs/>
          <w:color w:val="auto"/>
        </w:rPr>
        <w:t>、《深圳经济特区政府采购条例实施细则》第七十七条 </w:t>
      </w:r>
      <w:r>
        <w:rPr>
          <w:rFonts w:hint="eastAsia" w:ascii="宋体" w:hAnsi="宋体" w:eastAsia="宋体" w:cs="宋体"/>
          <w:color w:val="auto"/>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446E68B">
      <w:pPr>
        <w:ind w:firstLine="480" w:firstLineChars="200"/>
        <w:rPr>
          <w:rFonts w:hint="eastAsia" w:ascii="宋体" w:hAnsi="宋体" w:eastAsia="宋体" w:cs="宋体"/>
          <w:color w:val="auto"/>
        </w:rPr>
      </w:pPr>
      <w:r>
        <w:rPr>
          <w:rFonts w:hint="eastAsia" w:ascii="宋体" w:hAnsi="宋体" w:eastAsia="宋体" w:cs="宋体"/>
          <w:color w:val="auto"/>
        </w:rPr>
        <w:t>投标供应商不能提供项目负责人或者主要技术人员的劳动合同、社会保险等劳动关系证明材料的，视为存在前款第（三）项规定的情形。</w:t>
      </w:r>
    </w:p>
    <w:p w14:paraId="267D5FC2">
      <w:pPr>
        <w:ind w:firstLine="480" w:firstLineChars="200"/>
        <w:rPr>
          <w:rFonts w:hint="eastAsia" w:ascii="宋体" w:hAnsi="宋体" w:eastAsia="宋体" w:cs="宋体"/>
          <w:color w:val="auto"/>
          <w:lang w:eastAsia="zh-CN"/>
        </w:rPr>
      </w:pPr>
      <w:r>
        <w:rPr>
          <w:rFonts w:hint="eastAsia" w:ascii="宋体" w:hAnsi="宋体" w:eastAsia="宋体" w:cs="宋体"/>
          <w:color w:val="auto"/>
        </w:rPr>
        <w:t>四、请投标供应商阅读《政府采购违法行为风险知悉确认书》（内容详见“投标文件附件（信息不公开部分）”中“投标人认为需要加以说明的其他内容（格式自定）”</w:t>
      </w:r>
      <w:r>
        <w:rPr>
          <w:rFonts w:hint="eastAsia" w:ascii="宋体" w:hAnsi="宋体" w:eastAsia="宋体" w:cs="宋体"/>
          <w:color w:val="auto"/>
          <w:lang w:eastAsia="zh-CN"/>
        </w:rPr>
        <w:t>）</w:t>
      </w:r>
      <w:r>
        <w:rPr>
          <w:rFonts w:hint="eastAsia" w:ascii="宋体" w:hAnsi="宋体" w:eastAsia="宋体" w:cs="宋体"/>
          <w:color w:val="auto"/>
        </w:rPr>
        <w:t>，并经各投标供应商负责人或投标授权代表签字并加盖单位公章后，扫描上传至投标文件一并提交。</w:t>
      </w:r>
    </w:p>
    <w:p w14:paraId="42F5335F">
      <w:pPr>
        <w:ind w:firstLine="480" w:firstLineChars="200"/>
        <w:rPr>
          <w:rFonts w:hint="eastAsia" w:ascii="宋体" w:hAnsi="宋体" w:eastAsia="宋体" w:cs="宋体"/>
          <w:color w:val="auto"/>
        </w:rPr>
      </w:pPr>
      <w:r>
        <w:rPr>
          <w:rFonts w:hint="eastAsia" w:ascii="宋体" w:hAnsi="宋体" w:eastAsia="宋体" w:cs="宋体"/>
          <w:color w:val="auto"/>
        </w:rPr>
        <w:t>注：该风险知悉确认书用于对供应商违法行为的警示，不作为供应商资格性审查及符合性审查条件。</w:t>
      </w:r>
    </w:p>
    <w:p w14:paraId="24652D28">
      <w:pPr>
        <w:keepNext w:val="0"/>
        <w:keepLines w:val="0"/>
        <w:pageBreakBefore w:val="0"/>
        <w:widowControl/>
        <w:numPr>
          <w:ilvl w:val="0"/>
          <w:numId w:val="0"/>
        </w:numPr>
        <w:snapToGrid/>
        <w:ind w:firstLine="480" w:firstLineChars="200"/>
        <w:rPr>
          <w:rFonts w:hint="eastAsia" w:ascii="宋体" w:hAnsi="宋体" w:eastAsia="宋体" w:cs="宋体"/>
          <w:b w:val="0"/>
          <w:bCs w:val="0"/>
          <w:color w:val="auto"/>
          <w:lang w:val="en-US" w:eastAsia="zh-CN"/>
        </w:rPr>
      </w:pPr>
      <w:r>
        <w:rPr>
          <w:rFonts w:hint="eastAsia" w:ascii="宋体" w:hAnsi="宋体" w:eastAsia="宋体" w:cs="宋体"/>
          <w:b w:val="0"/>
          <w:bCs w:val="0"/>
          <w:color w:val="auto"/>
          <w:sz w:val="24"/>
          <w:szCs w:val="24"/>
          <w:lang w:val="en-US" w:eastAsia="zh-CN"/>
        </w:rPr>
        <w:t>五、</w:t>
      </w:r>
      <w:r>
        <w:rPr>
          <w:rFonts w:hint="eastAsia" w:ascii="宋体" w:hAnsi="宋体" w:eastAsia="宋体" w:cs="宋体"/>
          <w:b w:val="0"/>
          <w:bCs w:val="0"/>
          <w:color w:val="auto"/>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14:paraId="5C7FFC22">
      <w:pPr>
        <w:keepNext w:val="0"/>
        <w:keepLines w:val="0"/>
        <w:pageBreakBefore w:val="0"/>
        <w:widowControl/>
        <w:numPr>
          <w:ilvl w:val="0"/>
          <w:numId w:val="0"/>
        </w:numPr>
        <w:snapToGrid/>
        <w:ind w:firstLine="480" w:firstLineChars="200"/>
        <w:rPr>
          <w:rFonts w:hint="eastAsia" w:ascii="宋体" w:hAnsi="宋体" w:eastAsia="宋体" w:cs="宋体"/>
          <w:b w:val="0"/>
          <w:bCs w:val="0"/>
          <w:color w:val="auto"/>
        </w:rPr>
      </w:pPr>
      <w:r>
        <w:rPr>
          <w:rFonts w:hint="eastAsia" w:ascii="宋体" w:hAnsi="宋体" w:eastAsia="宋体" w:cs="宋体"/>
          <w:b w:val="0"/>
          <w:bCs w:val="0"/>
          <w:color w:val="auto"/>
        </w:rPr>
        <w:t>六、为避免出现不同供应商投标文件的文件制作机器码、文件创建标识码、IP 地址一致的异常情况，建议各供应商编制、上传投标文件时不要使用公共电脑设备或公共网络。</w:t>
      </w:r>
    </w:p>
    <w:p w14:paraId="4918BC57">
      <w:pPr>
        <w:keepNext w:val="0"/>
        <w:keepLines w:val="0"/>
        <w:pageBreakBefore w:val="0"/>
        <w:widowControl/>
        <w:numPr>
          <w:ilvl w:val="0"/>
          <w:numId w:val="0"/>
        </w:numPr>
        <w:snapToGrid/>
        <w:ind w:firstLine="480" w:firstLineChars="200"/>
        <w:rPr>
          <w:rFonts w:hint="eastAsia" w:ascii="宋体" w:hAnsi="宋体" w:eastAsia="宋体" w:cs="宋体"/>
          <w:b w:val="0"/>
          <w:bCs w:val="0"/>
          <w:color w:val="auto"/>
          <w:lang w:val="en-US" w:eastAsia="zh-CN"/>
        </w:rPr>
      </w:pPr>
      <w:r>
        <w:rPr>
          <w:rFonts w:hint="eastAsia" w:ascii="宋体" w:hAnsi="宋体" w:eastAsia="宋体" w:cs="宋体"/>
          <w:b w:val="0"/>
          <w:bCs w:val="0"/>
          <w:color w:val="auto"/>
        </w:rPr>
        <w:t>七、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15A7D132">
      <w:pPr>
        <w:rPr>
          <w:rFonts w:hint="eastAsia" w:ascii="宋体" w:hAnsi="宋体" w:eastAsia="宋体" w:cs="宋体"/>
          <w:color w:val="auto"/>
        </w:rPr>
      </w:pPr>
    </w:p>
    <w:p w14:paraId="73A1E6D2">
      <w:pPr>
        <w:pStyle w:val="4"/>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目   录</w:t>
      </w:r>
    </w:p>
    <w:p w14:paraId="04DA1392">
      <w:pPr>
        <w:spacing w:line="360" w:lineRule="auto"/>
        <w:outlineLvl w:val="1"/>
        <w:rPr>
          <w:rFonts w:hint="eastAsia" w:ascii="宋体" w:hAnsi="宋体" w:eastAsia="宋体" w:cs="宋体"/>
          <w:b/>
          <w:color w:val="auto"/>
        </w:rPr>
      </w:pPr>
      <w:r>
        <w:rPr>
          <w:rFonts w:hint="eastAsia" w:ascii="宋体" w:hAnsi="宋体" w:eastAsia="宋体" w:cs="宋体"/>
          <w:b/>
          <w:color w:val="auto"/>
        </w:rPr>
        <w:t>第一册  专用条款</w:t>
      </w:r>
    </w:p>
    <w:p w14:paraId="548A091C">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第一章  招标公告</w:t>
      </w:r>
    </w:p>
    <w:p w14:paraId="0A66C019">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 xml:space="preserve">第二章  </w:t>
      </w:r>
      <w:bookmarkStart w:id="2" w:name="_Hlk71994379"/>
      <w:r>
        <w:rPr>
          <w:rFonts w:hint="eastAsia" w:ascii="宋体" w:hAnsi="宋体" w:eastAsia="宋体" w:cs="宋体"/>
          <w:color w:val="auto"/>
          <w:szCs w:val="21"/>
        </w:rPr>
        <w:t>对通用条款的补充内容及其他关键信息</w:t>
      </w:r>
      <w:bookmarkEnd w:id="2"/>
    </w:p>
    <w:p w14:paraId="34A61FFA">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第三章  用户需求书</w:t>
      </w:r>
    </w:p>
    <w:p w14:paraId="5ED133AB">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第四章  投标文件组成要求及格式</w:t>
      </w:r>
    </w:p>
    <w:p w14:paraId="2FE4B8E5">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第五章  合同条款及格式</w:t>
      </w:r>
    </w:p>
    <w:p w14:paraId="02828929">
      <w:pPr>
        <w:rPr>
          <w:rFonts w:hint="eastAsia" w:ascii="宋体" w:hAnsi="宋体" w:eastAsia="宋体" w:cs="宋体"/>
          <w:color w:val="auto"/>
        </w:rPr>
      </w:pPr>
    </w:p>
    <w:p w14:paraId="4E4DC115">
      <w:pPr>
        <w:spacing w:line="360" w:lineRule="auto"/>
        <w:outlineLvl w:val="1"/>
        <w:rPr>
          <w:rFonts w:hint="eastAsia" w:ascii="宋体" w:hAnsi="宋体" w:eastAsia="宋体" w:cs="宋体"/>
          <w:b/>
          <w:color w:val="auto"/>
        </w:rPr>
      </w:pPr>
      <w:r>
        <w:rPr>
          <w:rFonts w:hint="eastAsia" w:ascii="宋体" w:hAnsi="宋体" w:eastAsia="宋体" w:cs="宋体"/>
          <w:b/>
          <w:color w:val="auto"/>
        </w:rPr>
        <w:t>第二册  通用条款</w:t>
      </w:r>
    </w:p>
    <w:p w14:paraId="2AFA8E4A">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第一章  总则</w:t>
      </w:r>
    </w:p>
    <w:p w14:paraId="26EEE4DC">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第二章  招标文件</w:t>
      </w:r>
    </w:p>
    <w:p w14:paraId="27161626">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第三章  投标文件的编制</w:t>
      </w:r>
    </w:p>
    <w:p w14:paraId="6106C83A">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第四章  投标文件的递交</w:t>
      </w:r>
    </w:p>
    <w:p w14:paraId="4442FBE5">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第五章  开标</w:t>
      </w:r>
    </w:p>
    <w:p w14:paraId="2265B624">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第六章  评审要求</w:t>
      </w:r>
    </w:p>
    <w:p w14:paraId="2AC0E169">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第七章  评审程序及评审方法</w:t>
      </w:r>
    </w:p>
    <w:p w14:paraId="31E13B37">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第八章  定标及公示</w:t>
      </w:r>
    </w:p>
    <w:p w14:paraId="64DEFFAE">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第九章  公开招标失败的后续处理</w:t>
      </w:r>
    </w:p>
    <w:p w14:paraId="665C2D3B">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第十章  合同的授予与备案</w:t>
      </w:r>
    </w:p>
    <w:p w14:paraId="47674F9E">
      <w:pPr>
        <w:spacing w:line="360" w:lineRule="auto"/>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第十一章  质疑处理</w:t>
      </w:r>
    </w:p>
    <w:p w14:paraId="36E3977A">
      <w:pPr>
        <w:spacing w:line="360" w:lineRule="auto"/>
        <w:ind w:firstLine="480" w:firstLineChars="200"/>
        <w:rPr>
          <w:rFonts w:hint="eastAsia" w:ascii="宋体" w:hAnsi="宋体" w:eastAsia="宋体" w:cs="宋体"/>
          <w:color w:val="auto"/>
          <w:szCs w:val="21"/>
        </w:rPr>
      </w:pPr>
    </w:p>
    <w:p w14:paraId="42AA6ABD">
      <w:pPr>
        <w:pStyle w:val="4"/>
        <w:rPr>
          <w:rFonts w:hint="eastAsia" w:ascii="宋体" w:hAnsi="宋体" w:eastAsia="宋体" w:cs="宋体"/>
          <w:color w:val="auto"/>
          <w:sz w:val="24"/>
        </w:rPr>
      </w:pPr>
      <w:r>
        <w:rPr>
          <w:rFonts w:hint="eastAsia" w:ascii="宋体" w:hAnsi="宋体" w:eastAsia="宋体" w:cs="宋体"/>
          <w:color w:val="auto"/>
        </w:rPr>
        <w:br w:type="page"/>
      </w:r>
      <w:bookmarkStart w:id="3" w:name="bt开标一览表"/>
      <w:bookmarkEnd w:id="3"/>
      <w:bookmarkStart w:id="4" w:name="bt其他资料由投标人自定"/>
      <w:bookmarkEnd w:id="4"/>
      <w:bookmarkStart w:id="5" w:name="bt合同条款"/>
      <w:bookmarkEnd w:id="5"/>
      <w:bookmarkStart w:id="6" w:name="bt合同条款及格式"/>
      <w:bookmarkEnd w:id="6"/>
      <w:bookmarkStart w:id="7" w:name="bt商务标投标文件格式"/>
      <w:bookmarkEnd w:id="7"/>
      <w:bookmarkStart w:id="8" w:name="bt合同格式"/>
      <w:bookmarkEnd w:id="8"/>
      <w:bookmarkStart w:id="9" w:name="bt投标报价汇总表"/>
      <w:bookmarkEnd w:id="9"/>
      <w:bookmarkStart w:id="10" w:name="bt投标文件签署授权委托书"/>
      <w:bookmarkEnd w:id="10"/>
      <w:bookmarkStart w:id="11" w:name="bt技术标投标文件格式"/>
      <w:bookmarkEnd w:id="11"/>
      <w:bookmarkStart w:id="12" w:name="bt其他资料2"/>
      <w:bookmarkEnd w:id="12"/>
      <w:bookmarkStart w:id="13" w:name="bt项目管理班子配备情况"/>
      <w:bookmarkEnd w:id="13"/>
      <w:bookmarkStart w:id="14" w:name="bt说明"/>
      <w:bookmarkEnd w:id="14"/>
      <w:bookmarkStart w:id="15" w:name="bt投标函"/>
      <w:bookmarkEnd w:id="15"/>
      <w:bookmarkStart w:id="16" w:name="bt投标人须知"/>
      <w:bookmarkEnd w:id="16"/>
      <w:bookmarkStart w:id="17" w:name="合同格式"/>
      <w:bookmarkEnd w:id="17"/>
      <w:bookmarkStart w:id="18" w:name="bt本工程承诺书"/>
      <w:bookmarkEnd w:id="18"/>
      <w:bookmarkStart w:id="19" w:name="bt投标人情况介绍"/>
      <w:bookmarkEnd w:id="19"/>
      <w:r>
        <w:rPr>
          <w:rFonts w:hint="eastAsia" w:ascii="宋体" w:hAnsi="宋体" w:eastAsia="宋体" w:cs="宋体"/>
          <w:color w:val="auto"/>
        </w:rPr>
        <w:t>第一册专用条款</w:t>
      </w:r>
    </w:p>
    <w:p w14:paraId="389A856E">
      <w:pPr>
        <w:pStyle w:val="7"/>
        <w:rPr>
          <w:rFonts w:hint="eastAsia" w:ascii="宋体" w:hAnsi="宋体" w:eastAsia="宋体" w:cs="宋体"/>
          <w:b/>
          <w:bCs/>
          <w:color w:val="auto"/>
        </w:rPr>
      </w:pPr>
      <w:r>
        <w:rPr>
          <w:rFonts w:hint="eastAsia" w:ascii="宋体" w:hAnsi="宋体" w:eastAsia="宋体" w:cs="宋体"/>
          <w:b/>
          <w:bCs/>
          <w:color w:val="auto"/>
        </w:rPr>
        <w:t xml:space="preserve">第一章  </w:t>
      </w:r>
      <w:r>
        <w:rPr>
          <w:rFonts w:hint="eastAsia" w:ascii="宋体" w:hAnsi="宋体" w:eastAsia="宋体" w:cs="宋体"/>
          <w:b/>
          <w:bCs/>
          <w:color w:val="auto"/>
          <w:szCs w:val="21"/>
        </w:rPr>
        <w:t>招标公告</w:t>
      </w:r>
      <w:r>
        <w:rPr>
          <w:rFonts w:hint="eastAsia" w:ascii="宋体" w:hAnsi="宋体" w:eastAsia="宋体" w:cs="宋体"/>
          <w:b/>
          <w:bCs/>
          <w:color w:val="auto"/>
        </w:rPr>
        <w:t xml:space="preserve">  </w:t>
      </w:r>
    </w:p>
    <w:p w14:paraId="564C351C">
      <w:pPr>
        <w:keepNext w:val="0"/>
        <w:keepLines w:val="0"/>
        <w:pageBreakBefore w:val="0"/>
        <w:widowControl/>
        <w:snapToGrid/>
        <w:spacing w:line="40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本公告内涉及时间的相关内容均已对外发布的招标公告内容为准</w:t>
      </w:r>
    </w:p>
    <w:p w14:paraId="5EE8A5F6">
      <w:pPr>
        <w:keepNext w:val="0"/>
        <w:keepLines w:val="0"/>
        <w:pageBreakBefore w:val="0"/>
        <w:widowControl/>
        <w:snapToGrid/>
        <w:spacing w:line="400" w:lineRule="exact"/>
        <w:ind w:firstLine="480" w:firstLineChars="200"/>
        <w:jc w:val="left"/>
        <w:rPr>
          <w:rFonts w:hint="eastAsia" w:ascii="宋体" w:hAnsi="宋体" w:eastAsia="宋体" w:cs="宋体"/>
          <w:color w:val="auto"/>
        </w:rPr>
      </w:pPr>
    </w:p>
    <w:p w14:paraId="7EC3A467">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一、项目概况：</w:t>
      </w:r>
    </w:p>
    <w:p w14:paraId="7D41A318">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u w:val="single"/>
          <w:lang w:val="en-US" w:eastAsia="zh-CN"/>
        </w:rPr>
        <w:t>景观照明设施维护（福田标段）（A包）</w:t>
      </w:r>
      <w:r>
        <w:rPr>
          <w:rFonts w:hint="eastAsia" w:ascii="宋体" w:hAnsi="宋体" w:eastAsia="宋体" w:cs="宋体"/>
          <w:color w:val="auto"/>
        </w:rPr>
        <w:t>的潜在投标人应在（本公告附件中）获取招标文件，于</w:t>
      </w:r>
      <w:r>
        <w:rPr>
          <w:rFonts w:hint="eastAsia" w:ascii="宋体" w:hAnsi="宋体" w:eastAsia="宋体" w:cs="宋体"/>
          <w:color w:val="auto"/>
          <w:lang w:eastAsia="zh-CN"/>
        </w:rPr>
        <w:t>202</w:t>
      </w:r>
      <w:r>
        <w:rPr>
          <w:rFonts w:hint="eastAsia" w:ascii="宋体" w:hAnsi="宋体" w:eastAsia="宋体" w:cs="宋体"/>
          <w:color w:val="auto"/>
          <w:lang w:val="en-US" w:eastAsia="zh-CN"/>
        </w:rPr>
        <w:t>5</w:t>
      </w:r>
      <w:r>
        <w:rPr>
          <w:rFonts w:hint="eastAsia" w:ascii="宋体" w:hAnsi="宋体" w:eastAsia="宋体" w:cs="宋体"/>
          <w:color w:val="auto"/>
          <w:lang w:eastAsia="zh-CN"/>
        </w:rPr>
        <w:t>年</w:t>
      </w:r>
      <w:r>
        <w:rPr>
          <w:rFonts w:hint="eastAsia" w:ascii="宋体" w:hAnsi="宋体" w:eastAsia="宋体" w:cs="宋体"/>
          <w:color w:val="auto"/>
          <w:lang w:val="en-US" w:eastAsia="zh-CN"/>
        </w:rPr>
        <w:t>X</w:t>
      </w:r>
      <w:r>
        <w:rPr>
          <w:rFonts w:hint="eastAsia" w:ascii="宋体" w:hAnsi="宋体" w:eastAsia="宋体" w:cs="宋体"/>
          <w:color w:val="auto"/>
          <w:lang w:eastAsia="zh-CN"/>
        </w:rPr>
        <w:t>月</w:t>
      </w:r>
      <w:r>
        <w:rPr>
          <w:rFonts w:hint="eastAsia" w:ascii="宋体" w:hAnsi="宋体" w:eastAsia="宋体" w:cs="宋体"/>
          <w:color w:val="auto"/>
          <w:lang w:val="en-US" w:eastAsia="zh-CN"/>
        </w:rPr>
        <w:t>X</w:t>
      </w:r>
      <w:r>
        <w:rPr>
          <w:rFonts w:hint="eastAsia" w:ascii="宋体" w:hAnsi="宋体" w:eastAsia="宋体" w:cs="宋体"/>
          <w:color w:val="auto"/>
          <w:lang w:eastAsia="zh-CN"/>
        </w:rPr>
        <w:t>日</w:t>
      </w:r>
      <w:r>
        <w:rPr>
          <w:rFonts w:hint="eastAsia" w:ascii="宋体" w:hAnsi="宋体" w:eastAsia="宋体" w:cs="宋体"/>
          <w:color w:val="auto"/>
          <w:lang w:val="en-US" w:eastAsia="zh-CN"/>
        </w:rPr>
        <w:t>XX时XX分XX秒</w:t>
      </w:r>
      <w:r>
        <w:rPr>
          <w:rFonts w:hint="eastAsia" w:ascii="宋体" w:hAnsi="宋体" w:eastAsia="宋体" w:cs="宋体"/>
          <w:color w:val="auto"/>
        </w:rPr>
        <w:t>（北京时间）前递交投标文件。</w:t>
      </w:r>
    </w:p>
    <w:p w14:paraId="780438D5">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一、项目基本情况</w:t>
      </w:r>
    </w:p>
    <w:p w14:paraId="2D40E131">
      <w:pPr>
        <w:keepNext w:val="0"/>
        <w:keepLines w:val="0"/>
        <w:pageBreakBefore w:val="0"/>
        <w:widowControl/>
        <w:snapToGrid/>
        <w:spacing w:line="400" w:lineRule="exact"/>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rPr>
        <w:t>1.项目编号：</w:t>
      </w:r>
      <w:r>
        <w:rPr>
          <w:rFonts w:hint="eastAsia" w:ascii="宋体" w:hAnsi="宋体" w:eastAsia="宋体" w:cs="宋体"/>
          <w:color w:val="auto"/>
          <w:u w:val="single"/>
          <w:lang w:val="en-US" w:eastAsia="zh-CN"/>
        </w:rPr>
        <w:t>SZDL2025000213</w:t>
      </w:r>
    </w:p>
    <w:p w14:paraId="31D01B21">
      <w:pPr>
        <w:keepNext w:val="0"/>
        <w:keepLines w:val="0"/>
        <w:pageBreakBefore w:val="0"/>
        <w:widowControl/>
        <w:snapToGrid/>
        <w:spacing w:line="400" w:lineRule="exact"/>
        <w:ind w:firstLine="480" w:firstLineChars="200"/>
        <w:jc w:val="left"/>
        <w:rPr>
          <w:rFonts w:hint="eastAsia" w:ascii="宋体" w:hAnsi="宋体" w:eastAsia="宋体" w:cs="宋体"/>
          <w:color w:val="auto"/>
          <w:lang w:eastAsia="zh-CN"/>
        </w:rPr>
      </w:pPr>
      <w:r>
        <w:rPr>
          <w:rFonts w:hint="eastAsia" w:ascii="宋体" w:hAnsi="宋体" w:eastAsia="宋体" w:cs="宋体"/>
          <w:color w:val="auto"/>
        </w:rPr>
        <w:t>2.项目名称：</w:t>
      </w:r>
      <w:r>
        <w:rPr>
          <w:rFonts w:hint="eastAsia" w:ascii="宋体" w:hAnsi="宋体" w:eastAsia="宋体" w:cs="宋体"/>
          <w:color w:val="auto"/>
          <w:u w:val="single"/>
          <w:lang w:val="en-US" w:eastAsia="zh-CN"/>
        </w:rPr>
        <w:t>景观照明设施维护（福田标段）（A包）</w:t>
      </w:r>
    </w:p>
    <w:p w14:paraId="19552529">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3.预算金额：</w:t>
      </w:r>
      <w:r>
        <w:rPr>
          <w:rFonts w:hint="eastAsia" w:ascii="宋体" w:hAnsi="宋体" w:eastAsia="宋体" w:cs="宋体"/>
          <w:color w:val="auto"/>
          <w:lang w:val="en-US" w:eastAsia="zh-CN"/>
        </w:rPr>
        <w:t>7,800,000.00元</w:t>
      </w:r>
    </w:p>
    <w:p w14:paraId="0C8B830F">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4.最高限价：</w:t>
      </w:r>
      <w:r>
        <w:rPr>
          <w:rFonts w:hint="eastAsia" w:ascii="宋体" w:hAnsi="宋体" w:eastAsia="宋体" w:cs="宋体"/>
          <w:color w:val="auto"/>
          <w:lang w:val="en-US" w:eastAsia="zh-CN"/>
        </w:rPr>
        <w:t>7,800,000.00元</w:t>
      </w:r>
    </w:p>
    <w:p w14:paraId="3C279C84">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5.采购需求：</w:t>
      </w:r>
    </w:p>
    <w:tbl>
      <w:tblPr>
        <w:tblStyle w:val="35"/>
        <w:tblW w:w="7941" w:type="dxa"/>
        <w:tblInd w:w="0" w:type="dxa"/>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2228"/>
        <w:gridCol w:w="714"/>
        <w:gridCol w:w="714"/>
        <w:gridCol w:w="3571"/>
        <w:gridCol w:w="714"/>
      </w:tblGrid>
      <w:tr w14:paraId="177AEF96">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315B1B01">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标的名称</w:t>
            </w:r>
          </w:p>
        </w:tc>
        <w:tc>
          <w:tcPr>
            <w:tcW w:w="714"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8757030">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14"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374B5998">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3571"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6B08627">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简要技术需求（服务需求）</w:t>
            </w:r>
          </w:p>
        </w:tc>
        <w:tc>
          <w:tcPr>
            <w:tcW w:w="714"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B25C6A5">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2B37376B">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noWrap w:val="0"/>
            <w:vAlign w:val="center"/>
          </w:tcPr>
          <w:p w14:paraId="46D82C12">
            <w:pPr>
              <w:spacing w:before="100" w:beforeAutospacing="1" w:after="100" w:afterAutospacing="1"/>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景观照明设施维护（福田标段）（A包）</w:t>
            </w:r>
          </w:p>
        </w:tc>
        <w:tc>
          <w:tcPr>
            <w:tcW w:w="714" w:type="dxa"/>
            <w:tcBorders>
              <w:top w:val="outset" w:color="AAAAAA" w:sz="6" w:space="0"/>
              <w:left w:val="outset" w:color="AAAAAA" w:sz="6" w:space="0"/>
              <w:bottom w:val="outset" w:color="AAAAAA" w:sz="6" w:space="0"/>
              <w:right w:val="outset" w:color="AAAAAA" w:sz="6" w:space="0"/>
            </w:tcBorders>
            <w:noWrap w:val="0"/>
            <w:vAlign w:val="center"/>
          </w:tcPr>
          <w:p w14:paraId="626EA974">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714" w:type="dxa"/>
            <w:tcBorders>
              <w:top w:val="outset" w:color="AAAAAA" w:sz="6" w:space="0"/>
              <w:left w:val="outset" w:color="AAAAAA" w:sz="6" w:space="0"/>
              <w:bottom w:val="outset" w:color="AAAAAA" w:sz="6" w:space="0"/>
              <w:right w:val="outset" w:color="AAAAAA" w:sz="6" w:space="0"/>
            </w:tcBorders>
            <w:noWrap w:val="0"/>
            <w:vAlign w:val="center"/>
          </w:tcPr>
          <w:p w14:paraId="506E19FD">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项</w:t>
            </w:r>
          </w:p>
        </w:tc>
        <w:tc>
          <w:tcPr>
            <w:tcW w:w="3571" w:type="dxa"/>
            <w:tcBorders>
              <w:top w:val="outset" w:color="AAAAAA" w:sz="6" w:space="0"/>
              <w:left w:val="outset" w:color="AAAAAA" w:sz="6" w:space="0"/>
              <w:bottom w:val="outset" w:color="AAAAAA" w:sz="6" w:space="0"/>
              <w:right w:val="outset" w:color="AAAAAA" w:sz="6" w:space="0"/>
            </w:tcBorders>
            <w:noWrap w:val="0"/>
            <w:vAlign w:val="center"/>
          </w:tcPr>
          <w:p w14:paraId="18A66431">
            <w:pPr>
              <w:spacing w:before="100" w:beforeAutospacing="1" w:after="100" w:afterAutospacing="1"/>
              <w:jc w:val="center"/>
              <w:rPr>
                <w:rFonts w:hint="eastAsia" w:ascii="宋体" w:hAnsi="宋体" w:eastAsia="宋体" w:cs="宋体"/>
                <w:color w:val="auto"/>
                <w:szCs w:val="21"/>
              </w:rPr>
            </w:pPr>
            <w:r>
              <w:rPr>
                <w:rFonts w:hint="eastAsia" w:ascii="宋体" w:hAnsi="宋体" w:eastAsia="宋体" w:cs="宋体"/>
                <w:color w:val="auto"/>
                <w:szCs w:val="21"/>
              </w:rPr>
              <w:t>详见采购文件</w:t>
            </w:r>
            <w:bookmarkStart w:id="100" w:name="_GoBack"/>
            <w:bookmarkEnd w:id="100"/>
          </w:p>
        </w:tc>
        <w:tc>
          <w:tcPr>
            <w:tcW w:w="714" w:type="dxa"/>
            <w:tcBorders>
              <w:top w:val="outset" w:color="AAAAAA" w:sz="6" w:space="0"/>
              <w:left w:val="outset" w:color="AAAAAA" w:sz="6" w:space="0"/>
              <w:bottom w:val="outset" w:color="AAAAAA" w:sz="6" w:space="0"/>
              <w:right w:val="outset" w:color="AAAAAA" w:sz="6" w:space="0"/>
            </w:tcBorders>
            <w:noWrap w:val="0"/>
            <w:vAlign w:val="center"/>
          </w:tcPr>
          <w:p w14:paraId="2C7EFF16">
            <w:pPr>
              <w:jc w:val="center"/>
              <w:rPr>
                <w:rFonts w:hint="eastAsia" w:ascii="宋体" w:hAnsi="宋体" w:eastAsia="宋体" w:cs="宋体"/>
                <w:color w:val="auto"/>
                <w:szCs w:val="21"/>
              </w:rPr>
            </w:pPr>
          </w:p>
        </w:tc>
      </w:tr>
    </w:tbl>
    <w:p w14:paraId="7B06C4FD">
      <w:pPr>
        <w:spacing w:line="400" w:lineRule="exact"/>
        <w:ind w:firstLine="480" w:firstLineChars="200"/>
        <w:rPr>
          <w:rFonts w:hint="eastAsia" w:ascii="宋体" w:hAnsi="宋体" w:eastAsia="宋体" w:cs="宋体"/>
          <w:color w:val="auto"/>
        </w:rPr>
      </w:pPr>
      <w:r>
        <w:rPr>
          <w:rFonts w:hint="eastAsia" w:ascii="宋体" w:hAnsi="宋体" w:eastAsia="宋体" w:cs="宋体"/>
          <w:color w:val="auto"/>
        </w:rPr>
        <w:t>6.合同履行期限：详见招标文件。</w:t>
      </w:r>
    </w:p>
    <w:p w14:paraId="62C21F6F">
      <w:pPr>
        <w:spacing w:line="400" w:lineRule="exact"/>
        <w:ind w:firstLine="480" w:firstLineChars="200"/>
        <w:rPr>
          <w:rFonts w:hint="eastAsia" w:ascii="宋体" w:hAnsi="宋体" w:eastAsia="宋体" w:cs="宋体"/>
          <w:color w:val="auto"/>
        </w:rPr>
      </w:pPr>
      <w:r>
        <w:rPr>
          <w:rFonts w:hint="eastAsia" w:ascii="宋体" w:hAnsi="宋体" w:eastAsia="宋体" w:cs="宋体"/>
          <w:color w:val="auto"/>
        </w:rPr>
        <w:t>7.本项目</w:t>
      </w:r>
      <w:r>
        <w:rPr>
          <w:rFonts w:hint="eastAsia" w:ascii="宋体" w:hAnsi="宋体" w:eastAsia="宋体" w:cs="宋体"/>
          <w:color w:val="auto"/>
          <w:lang w:val="en-US" w:eastAsia="zh-CN"/>
        </w:rPr>
        <w:t>不</w:t>
      </w:r>
      <w:r>
        <w:rPr>
          <w:rFonts w:hint="eastAsia" w:ascii="宋体" w:hAnsi="宋体" w:eastAsia="宋体" w:cs="宋体"/>
          <w:color w:val="auto"/>
        </w:rPr>
        <w:t>接受联合体投标。</w:t>
      </w:r>
    </w:p>
    <w:p w14:paraId="31CE6B87">
      <w:pPr>
        <w:spacing w:beforeLines="0" w:afterLines="0" w:line="240" w:lineRule="auto"/>
        <w:rPr>
          <w:rFonts w:hint="eastAsia" w:ascii="宋体" w:hAnsi="宋体" w:eastAsia="宋体" w:cs="宋体"/>
          <w:b/>
          <w:color w:val="auto"/>
          <w:szCs w:val="21"/>
          <w:lang w:eastAsia="zh-CN"/>
        </w:rPr>
      </w:pPr>
    </w:p>
    <w:p w14:paraId="29C34F37">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lang w:eastAsia="zh-CN"/>
        </w:rPr>
        <w:t>二、</w:t>
      </w:r>
      <w:r>
        <w:rPr>
          <w:rFonts w:hint="eastAsia" w:ascii="宋体" w:hAnsi="宋体" w:eastAsia="宋体" w:cs="宋体"/>
          <w:b/>
          <w:color w:val="auto"/>
          <w:szCs w:val="21"/>
        </w:rPr>
        <w:t>投标人的资格要求：</w:t>
      </w:r>
    </w:p>
    <w:p w14:paraId="4DCFC6F0">
      <w:pPr>
        <w:spacing w:beforeLines="0" w:afterLines="0"/>
        <w:ind w:firstLine="480" w:firstLineChars="200"/>
        <w:jc w:val="both"/>
        <w:rPr>
          <w:rFonts w:hint="eastAsia" w:ascii="宋体" w:hAnsi="宋体" w:eastAsia="宋体" w:cs="宋体"/>
          <w:color w:val="auto"/>
          <w:szCs w:val="21"/>
        </w:rPr>
      </w:pPr>
      <w:r>
        <w:rPr>
          <w:rFonts w:hint="eastAsia" w:ascii="宋体" w:hAnsi="宋体" w:eastAsia="宋体" w:cs="宋体"/>
          <w:color w:val="auto"/>
        </w:rPr>
        <w:t>1.具有独立法人资格或是具有独立承担民事责任能力的其它组织（提供营业执照或事业单位法人证书</w:t>
      </w:r>
      <w:r>
        <w:rPr>
          <w:rFonts w:hint="eastAsia" w:ascii="宋体" w:hAnsi="宋体" w:eastAsia="宋体" w:cs="宋体"/>
          <w:color w:val="auto"/>
          <w:kern w:val="0"/>
        </w:rPr>
        <w:t>或其他证明材料扫描件，原件备查）；</w:t>
      </w:r>
    </w:p>
    <w:p w14:paraId="63C528E9">
      <w:pPr>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szCs w:val="21"/>
        </w:rPr>
        <w:t>具备城市及道路照明工程专业承包三级（或以上）</w:t>
      </w:r>
      <w:r>
        <w:rPr>
          <w:rFonts w:hint="eastAsia" w:ascii="宋体" w:hAnsi="宋体" w:eastAsia="宋体" w:cs="宋体"/>
          <w:color w:val="auto"/>
          <w:szCs w:val="21"/>
          <w:lang w:val="en-US" w:eastAsia="zh-CN"/>
        </w:rPr>
        <w:t>资质</w:t>
      </w:r>
      <w:r>
        <w:rPr>
          <w:rFonts w:hint="eastAsia" w:ascii="宋体" w:hAnsi="宋体" w:eastAsia="宋体" w:cs="宋体"/>
          <w:color w:val="auto"/>
          <w:szCs w:val="21"/>
        </w:rPr>
        <w:t>（要求提供资质证书扫描件，原件备查）</w:t>
      </w:r>
    </w:p>
    <w:p w14:paraId="4769E4FB">
      <w:pPr>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本项目不接受联合体投标，不接受进口产品参与投标（由供应商在《政府采购投标及履约承诺函》中作出声明）；</w:t>
      </w:r>
    </w:p>
    <w:p w14:paraId="673F73F2">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.参与本项目政府采购活动时不存在被有关部门禁止参与政府采购活动且在有效期内的情况（由供应商在《政府采购投标及履约承诺函》中作出声明）；</w:t>
      </w:r>
    </w:p>
    <w:p w14:paraId="62E99B47">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.具备《中华人民共和国政府采购法》第二十二条第一款的条件（由供应商在《政府采购投标及履约承诺函》中作出声明）；</w:t>
      </w:r>
    </w:p>
    <w:p w14:paraId="5C332798">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.未被列入失信被执行人、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、政府采购严重违法失信行为记录名单（由供应商在《政府采购投标及履约承诺函》中作出声明）。</w:t>
      </w:r>
    </w:p>
    <w:p w14:paraId="1411A6FF">
      <w:pPr>
        <w:spacing w:beforeLines="0" w:afterLines="0"/>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val="en-US" w:eastAsia="zh-CN"/>
        </w:rPr>
        <w:t>7</w:t>
      </w:r>
      <w:r>
        <w:rPr>
          <w:rFonts w:hint="eastAsia" w:ascii="宋体" w:hAnsi="宋体" w:eastAsia="宋体" w:cs="宋体"/>
          <w:color w:val="auto"/>
        </w:rPr>
        <w:t>.单位法定代表人（负责人）为同一人或者存在直接控股、管理关系的不同供应商，不得同时参加本项目投标（由供应商在《政府采购投标及履约承诺函》中作出声明）</w:t>
      </w:r>
      <w:r>
        <w:rPr>
          <w:rFonts w:hint="eastAsia" w:ascii="宋体" w:hAnsi="宋体" w:eastAsia="宋体" w:cs="宋体"/>
          <w:color w:val="auto"/>
          <w:lang w:eastAsia="zh-CN"/>
        </w:rPr>
        <w:t>；</w:t>
      </w:r>
    </w:p>
    <w:p w14:paraId="318FE21C">
      <w:pPr>
        <w:spacing w:beforeLines="0" w:afterLines="0"/>
        <w:ind w:firstLine="480" w:firstLineChars="20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8.不存在《深圳市财政局政府采购供应商信用信息管理办法》（深财规〔2023〕3 号）列明的严重违法失信行为</w:t>
      </w:r>
      <w:r>
        <w:rPr>
          <w:rFonts w:hint="eastAsia" w:ascii="宋体" w:hAnsi="宋体" w:eastAsia="宋体" w:cs="宋体"/>
          <w:color w:val="auto"/>
        </w:rPr>
        <w:t>（由供应商在《政府采购投标及履约承诺函》中作出声明）</w:t>
      </w:r>
      <w:r>
        <w:rPr>
          <w:rFonts w:hint="eastAsia" w:ascii="宋体" w:hAnsi="宋体" w:eastAsia="宋体" w:cs="宋体"/>
          <w:color w:val="auto"/>
          <w:lang w:val="en-US" w:eastAsia="zh-CN"/>
        </w:rPr>
        <w:t>；</w:t>
      </w:r>
    </w:p>
    <w:p w14:paraId="4715BE08">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.为本项目提供整体设计、规范编制或者项目管理、监理、检测等服务的供应商，不得参加本项目投标。（由供应商在《政府采购投标及履约承诺函》中作出声明）；</w:t>
      </w:r>
    </w:p>
    <w:p w14:paraId="39854E57">
      <w:pPr>
        <w:spacing w:beforeLines="0" w:afterLines="0"/>
        <w:ind w:firstLine="480" w:firstLineChars="200"/>
        <w:jc w:val="both"/>
        <w:rPr>
          <w:rFonts w:hint="eastAsia" w:ascii="宋体" w:hAnsi="宋体" w:eastAsia="宋体" w:cs="宋体"/>
          <w:color w:val="auto"/>
          <w:lang w:eastAsia="zh-CN"/>
        </w:rPr>
      </w:pPr>
      <w:r>
        <w:rPr>
          <w:rFonts w:hint="eastAsia" w:ascii="宋体" w:hAnsi="宋体" w:eastAsia="宋体" w:cs="宋体"/>
          <w:color w:val="auto"/>
          <w:lang w:val="en-US" w:eastAsia="zh-CN"/>
        </w:rPr>
        <w:t>10</w:t>
      </w:r>
      <w:r>
        <w:rPr>
          <w:rFonts w:hint="eastAsia" w:ascii="宋体" w:hAnsi="宋体" w:eastAsia="宋体" w:cs="宋体"/>
          <w:color w:val="auto"/>
        </w:rPr>
        <w:t>.本项目是否专门面向中小</w:t>
      </w:r>
      <w:r>
        <w:rPr>
          <w:rFonts w:hint="eastAsia" w:ascii="宋体" w:hAnsi="宋体" w:eastAsia="宋体" w:cs="宋体"/>
          <w:color w:val="auto"/>
          <w:lang w:eastAsia="zh-CN"/>
        </w:rPr>
        <w:t>微</w:t>
      </w:r>
      <w:r>
        <w:rPr>
          <w:rFonts w:hint="eastAsia" w:ascii="宋体" w:hAnsi="宋体" w:eastAsia="宋体" w:cs="宋体"/>
          <w:color w:val="auto"/>
        </w:rPr>
        <w:t>企业采购：否</w:t>
      </w:r>
      <w:r>
        <w:rPr>
          <w:rFonts w:hint="eastAsia" w:ascii="宋体" w:hAnsi="宋体" w:eastAsia="宋体" w:cs="宋体"/>
          <w:color w:val="auto"/>
          <w:kern w:val="0"/>
          <w:lang w:val="en-US" w:eastAsia="zh-CN"/>
        </w:rPr>
        <w:t>。</w:t>
      </w:r>
    </w:p>
    <w:p w14:paraId="0DE9B5B6">
      <w:pPr>
        <w:pStyle w:val="2"/>
        <w:spacing w:beforeLines="0" w:after="0" w:afterLines="0" w:line="240" w:lineRule="auto"/>
        <w:ind w:firstLine="482" w:firstLineChars="200"/>
        <w:rPr>
          <w:rFonts w:hint="eastAsia" w:ascii="宋体" w:hAnsi="宋体" w:eastAsia="宋体" w:cs="宋体"/>
          <w:b/>
          <w:bCs/>
          <w:color w:val="auto"/>
        </w:rPr>
      </w:pPr>
      <w:r>
        <w:rPr>
          <w:rFonts w:hint="eastAsia" w:ascii="宋体" w:hAnsi="宋体" w:eastAsia="宋体" w:cs="宋体"/>
          <w:b/>
          <w:bCs/>
          <w:color w:val="auto"/>
        </w:rPr>
        <w:t>本项目所属行业类型为：</w:t>
      </w:r>
      <w:r>
        <w:rPr>
          <w:rFonts w:hint="eastAsia" w:ascii="宋体" w:hAnsi="宋体" w:eastAsia="宋体" w:cs="宋体"/>
          <w:color w:val="auto"/>
          <w:u w:val="single"/>
          <w:lang w:eastAsia="zh-CN"/>
        </w:rPr>
        <w:t>其他未列明行业</w:t>
      </w:r>
      <w:r>
        <w:rPr>
          <w:rFonts w:hint="eastAsia" w:ascii="宋体" w:hAnsi="宋体" w:eastAsia="宋体" w:cs="宋体"/>
          <w:b/>
          <w:bCs/>
          <w:color w:val="auto"/>
          <w:u w:val="single"/>
        </w:rPr>
        <w:t xml:space="preserve"> </w:t>
      </w:r>
      <w:r>
        <w:rPr>
          <w:rFonts w:hint="eastAsia" w:ascii="宋体" w:hAnsi="宋体" w:eastAsia="宋体" w:cs="宋体"/>
          <w:b/>
          <w:bCs/>
          <w:color w:val="auto"/>
        </w:rPr>
        <w:t>。</w:t>
      </w:r>
    </w:p>
    <w:p w14:paraId="106BFB30">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rPr>
        <w:t>注：（1）采购代理机构将通过“信用中国”中“信用服务”栏的“</w:t>
      </w:r>
      <w:r>
        <w:rPr>
          <w:rFonts w:hint="eastAsia" w:ascii="宋体" w:hAnsi="宋体" w:eastAsia="宋体" w:cs="宋体"/>
          <w:color w:val="auto"/>
          <w:lang w:eastAsia="zh-CN"/>
        </w:rPr>
        <w:t>重大税收违法失信主体</w:t>
      </w:r>
      <w:r>
        <w:rPr>
          <w:rFonts w:hint="eastAsia" w:ascii="宋体" w:hAnsi="宋体" w:eastAsia="宋体" w:cs="宋体"/>
          <w:color w:val="auto"/>
        </w:rPr>
        <w:t>”“失信被执行人”</w:t>
      </w:r>
      <w:r>
        <w:rPr>
          <w:rFonts w:hint="eastAsia" w:ascii="宋体" w:hAnsi="宋体" w:eastAsia="宋体" w:cs="宋体"/>
          <w:color w:val="auto"/>
          <w:lang w:eastAsia="zh-CN"/>
        </w:rPr>
        <w:t>，</w:t>
      </w:r>
      <w:r>
        <w:rPr>
          <w:rFonts w:hint="eastAsia" w:ascii="宋体" w:hAnsi="宋体" w:eastAsia="宋体" w:cs="宋体"/>
          <w:color w:val="auto"/>
        </w:rPr>
        <w:t>“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1CCE9B9B">
      <w:pPr>
        <w:ind w:firstLine="480" w:firstLineChars="200"/>
        <w:jc w:val="both"/>
        <w:rPr>
          <w:rFonts w:hint="eastAsia" w:ascii="宋体" w:hAnsi="宋体" w:eastAsia="宋体" w:cs="宋体"/>
          <w:color w:val="auto"/>
          <w:kern w:val="0"/>
          <w:lang w:eastAsia="zh-CN"/>
        </w:rPr>
      </w:pPr>
      <w:r>
        <w:rPr>
          <w:rFonts w:hint="eastAsia" w:ascii="宋体" w:hAnsi="宋体" w:eastAsia="宋体" w:cs="宋体"/>
          <w:color w:val="auto"/>
          <w:kern w:val="0"/>
          <w:lang w:eastAsia="zh-CN"/>
        </w:rPr>
        <w:t>（</w:t>
      </w:r>
      <w:r>
        <w:rPr>
          <w:rFonts w:hint="eastAsia" w:ascii="宋体" w:hAnsi="宋体" w:eastAsia="宋体" w:cs="宋体"/>
          <w:color w:val="auto"/>
          <w:kern w:val="0"/>
          <w:lang w:val="en-US" w:eastAsia="zh-CN"/>
        </w:rPr>
        <w:t>2</w:t>
      </w:r>
      <w:r>
        <w:rPr>
          <w:rFonts w:hint="eastAsia" w:ascii="宋体" w:hAnsi="宋体" w:eastAsia="宋体" w:cs="宋体"/>
          <w:color w:val="auto"/>
          <w:kern w:val="0"/>
          <w:lang w:eastAsia="zh-CN"/>
        </w:rPr>
        <w:t>）</w:t>
      </w:r>
      <w:r>
        <w:rPr>
          <w:rFonts w:hint="eastAsia" w:ascii="宋体" w:hAnsi="宋体" w:eastAsia="宋体" w:cs="宋体"/>
          <w:color w:val="auto"/>
          <w:sz w:val="24"/>
        </w:rPr>
        <w:t>采购代理机构将通过国家企业信用信息公示系统(https://www.gsxt.gov.cn/index.html）或机关赋码和事业单位登记管理网（http://gjsy.gov.cn/sydwfrxxcx/)或全国社会组织信用信息公示平台（https://xxgs.chinanpo.mca.gov.cn/gsxt/newList 等网站查询供应商信息，相关信息以截标当日的查询结果为准</w:t>
      </w:r>
      <w:r>
        <w:rPr>
          <w:rFonts w:hint="eastAsia" w:ascii="宋体" w:hAnsi="宋体" w:eastAsia="宋体" w:cs="宋体"/>
          <w:color w:val="auto"/>
          <w:kern w:val="0"/>
          <w:lang w:eastAsia="zh-CN"/>
        </w:rPr>
        <w:t>；</w:t>
      </w:r>
    </w:p>
    <w:p w14:paraId="0FE1F729">
      <w:pPr>
        <w:spacing w:beforeLines="0" w:afterLines="0"/>
        <w:ind w:firstLine="480" w:firstLineChars="200"/>
        <w:jc w:val="both"/>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）供应商投标（上传投标文件）请先行办理注册手续，具体请按照本公告“六、其他补充事宜”相关内容指引办理。</w:t>
      </w:r>
    </w:p>
    <w:p w14:paraId="5330A713">
      <w:pPr>
        <w:spacing w:beforeLines="0" w:afterLines="0"/>
        <w:ind w:firstLine="482" w:firstLineChars="20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4</w:t>
      </w:r>
      <w:r>
        <w:rPr>
          <w:rFonts w:hint="eastAsia" w:ascii="宋体" w:hAnsi="宋体" w:eastAsia="宋体" w:cs="宋体"/>
          <w:b/>
          <w:bCs/>
          <w:color w:val="auto"/>
          <w:lang w:eastAsia="zh-CN"/>
        </w:rPr>
        <w:t>）景观照明设施维护项目的2个包项目采用“兼投不兼中”的方式分别确定1家中标供应商。即各投标人可同时对2个包项目进行投标，但投标人在A、B包中，只能中标其中一个包项目。例如甲投标人同时投标A包和B包，若甲供应商被确认为A包项目的中标供应商，那么根据兼投不兼中的原则，甲供应商不得参与B包项目的评审，并按照符合性审查表中“法律、法规规定的其他情形”，将甲供应商B包项目的投标文件作投标无效处理。</w:t>
      </w:r>
    </w:p>
    <w:p w14:paraId="03D60C8B">
      <w:pPr>
        <w:spacing w:beforeLines="0" w:afterLines="0"/>
        <w:ind w:firstLine="482" w:firstLineChars="200"/>
        <w:jc w:val="both"/>
        <w:rPr>
          <w:rFonts w:hint="default" w:ascii="宋体" w:hAnsi="宋体" w:eastAsia="宋体" w:cs="宋体"/>
          <w:b/>
          <w:bCs/>
          <w:color w:val="auto"/>
          <w:lang w:val="en-US" w:eastAsia="zh-CN"/>
        </w:rPr>
      </w:pPr>
      <w:r>
        <w:rPr>
          <w:rFonts w:hint="eastAsia" w:ascii="宋体" w:hAnsi="宋体" w:eastAsia="宋体" w:cs="宋体"/>
          <w:b/>
          <w:bCs/>
          <w:color w:val="auto"/>
          <w:lang w:eastAsia="zh-CN"/>
        </w:rPr>
        <w:t>项目评标顺序为：景观照明设施维护（福田标段）（A包）-景观照明设施维护（罗湖标段）（B包）</w:t>
      </w:r>
      <w:r>
        <w:rPr>
          <w:rFonts w:hint="eastAsia" w:ascii="宋体" w:hAnsi="宋体" w:eastAsia="宋体" w:cs="宋体"/>
          <w:b/>
          <w:bCs/>
          <w:color w:val="auto"/>
          <w:lang w:val="en-US" w:eastAsia="zh-CN"/>
        </w:rPr>
        <w:t>。</w:t>
      </w:r>
    </w:p>
    <w:p w14:paraId="01D0125F">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p>
    <w:p w14:paraId="4CB7275F">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lang w:val="en-US" w:eastAsia="zh-CN"/>
        </w:rPr>
      </w:pPr>
      <w:r>
        <w:rPr>
          <w:rFonts w:hint="eastAsia" w:ascii="宋体" w:hAnsi="宋体" w:eastAsia="宋体" w:cs="宋体"/>
          <w:b/>
          <w:color w:val="auto"/>
          <w:szCs w:val="21"/>
        </w:rPr>
        <w:t>三、获取招标文件</w:t>
      </w:r>
    </w:p>
    <w:p w14:paraId="2D67B2F6">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时间：发布招标公告当日至</w:t>
      </w:r>
      <w:r>
        <w:rPr>
          <w:rFonts w:hint="eastAsia" w:ascii="宋体" w:hAnsi="宋体" w:eastAsia="宋体" w:cs="宋体"/>
          <w:color w:val="auto"/>
          <w:lang w:val="en-US" w:eastAsia="zh-CN"/>
        </w:rPr>
        <w:t>2025年X月X日XX时XX分XX秒</w:t>
      </w:r>
      <w:r>
        <w:rPr>
          <w:rFonts w:hint="eastAsia" w:ascii="宋体" w:hAnsi="宋体" w:eastAsia="宋体" w:cs="宋体"/>
          <w:color w:val="auto"/>
        </w:rPr>
        <w:t xml:space="preserve">（北京时间） </w:t>
      </w:r>
    </w:p>
    <w:p w14:paraId="05A81215">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地点：登录深圳政府采购智慧平台（http://zfcg.szggzy.com:8081）下载本项目的招标文件。</w:t>
      </w:r>
    </w:p>
    <w:p w14:paraId="6A67516E">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 xml:space="preserve">方式：在线下载。 </w:t>
      </w:r>
    </w:p>
    <w:p w14:paraId="74C54A0F">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售价：免费。</w:t>
      </w:r>
    </w:p>
    <w:p w14:paraId="074B4697">
      <w:pPr>
        <w:keepNext w:val="0"/>
        <w:keepLines w:val="0"/>
        <w:pageBreakBefore w:val="0"/>
        <w:widowControl/>
        <w:snapToGrid/>
        <w:spacing w:line="400" w:lineRule="exact"/>
        <w:ind w:firstLine="480" w:firstLineChars="200"/>
        <w:jc w:val="both"/>
        <w:rPr>
          <w:rFonts w:hint="eastAsia" w:ascii="宋体" w:hAnsi="宋体" w:eastAsia="宋体" w:cs="宋体"/>
          <w:color w:val="auto"/>
        </w:rPr>
      </w:pPr>
      <w:r>
        <w:rPr>
          <w:rFonts w:hint="eastAsia" w:ascii="宋体" w:hAnsi="宋体" w:eastAsia="宋体" w:cs="宋体"/>
          <w:color w:val="auto"/>
        </w:rPr>
        <w:t>凡已注册的深圳市网上政府采购供应商，按照授予的操作权限，可于发布招标公告当日至</w:t>
      </w:r>
      <w:r>
        <w:rPr>
          <w:rFonts w:hint="eastAsia" w:ascii="宋体" w:hAnsi="宋体" w:eastAsia="宋体" w:cs="宋体"/>
          <w:color w:val="auto"/>
          <w:lang w:val="en-US" w:eastAsia="zh-CN"/>
        </w:rPr>
        <w:t>2025年X月X日XX时XX分XX秒</w:t>
      </w:r>
      <w:r>
        <w:rPr>
          <w:rFonts w:hint="eastAsia" w:ascii="宋体" w:hAnsi="宋体" w:eastAsia="宋体" w:cs="宋体"/>
          <w:color w:val="auto"/>
        </w:rPr>
        <w:t>（北京时间）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w:t>
      </w:r>
      <w:r>
        <w:rPr>
          <w:rFonts w:hint="eastAsia" w:ascii="宋体" w:hAnsi="宋体" w:eastAsia="宋体" w:cs="宋体"/>
          <w:color w:val="auto"/>
          <w:lang w:eastAsia="zh-CN"/>
        </w:rPr>
        <w:t>深圳市南山区沙河西路3185号南山智谷A座（深圳交易集团总部大楼）3楼前台，咨询电话：0755-83948165、0755-83938966、4008301330</w:t>
      </w:r>
      <w:r>
        <w:rPr>
          <w:rFonts w:hint="eastAsia" w:ascii="宋体" w:hAnsi="宋体" w:eastAsia="宋体" w:cs="宋体"/>
          <w:color w:val="auto"/>
        </w:rPr>
        <w:t>），再进行投标报名。在网上报名后，点击“【我的项目】→【项目流程】→【采购文件下载】”进行招标文件的下载。</w:t>
      </w:r>
    </w:p>
    <w:p w14:paraId="50674B80">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p>
    <w:p w14:paraId="7DD32F85">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四、提交投标文件截止时间、开标时间和地点</w:t>
      </w:r>
    </w:p>
    <w:p w14:paraId="56D69F2A">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1.投标截止时间：所有投标文件应于</w:t>
      </w:r>
      <w:r>
        <w:rPr>
          <w:rFonts w:hint="eastAsia" w:ascii="宋体" w:hAnsi="宋体" w:eastAsia="宋体" w:cs="宋体"/>
          <w:color w:val="auto"/>
          <w:lang w:val="en-US" w:eastAsia="zh-CN"/>
        </w:rPr>
        <w:t>2025年X月X日XX时XX分XX秒（北京时间）</w:t>
      </w:r>
      <w:r>
        <w:rPr>
          <w:rFonts w:hint="eastAsia" w:ascii="宋体" w:hAnsi="宋体" w:eastAsia="宋体" w:cs="宋体"/>
          <w:color w:val="auto"/>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    </w:t>
      </w:r>
    </w:p>
    <w:p w14:paraId="46517819">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2.开标时间和地点：定于</w:t>
      </w:r>
      <w:r>
        <w:rPr>
          <w:rFonts w:hint="eastAsia" w:ascii="宋体" w:hAnsi="宋体" w:eastAsia="宋体" w:cs="宋体"/>
          <w:color w:val="auto"/>
          <w:lang w:val="en-US" w:eastAsia="zh-CN"/>
        </w:rPr>
        <w:t>2025年X月X日XX时XX分XX秒（北京时间）</w:t>
      </w:r>
      <w:r>
        <w:rPr>
          <w:rFonts w:hint="eastAsia" w:ascii="宋体" w:hAnsi="宋体" w:eastAsia="宋体" w:cs="宋体"/>
          <w:color w:val="auto"/>
        </w:rPr>
        <w:t>，在友和保险经纪有限公司公开开标。供应商可以登录“深圳政府采购智慧平台用户网上办事子系统（http://zfcg.szggzy.com:8081/TPBidder/memberLogin）”，在“【我的项目】→【项目流程】→【开标及解密】”进行在线解密、查询开标情况。</w:t>
      </w:r>
    </w:p>
    <w:p w14:paraId="123964B6">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3.在线解密：投标人须在</w:t>
      </w:r>
      <w:r>
        <w:rPr>
          <w:rFonts w:hint="eastAsia" w:ascii="宋体" w:hAnsi="宋体" w:eastAsia="宋体" w:cs="宋体"/>
          <w:color w:val="auto"/>
          <w:lang w:val="en-US" w:eastAsia="zh-CN"/>
        </w:rPr>
        <w:t>开标当日XX:XX:XX-XX:XX:XX期间</w:t>
      </w:r>
      <w:r>
        <w:rPr>
          <w:rFonts w:hint="eastAsia" w:ascii="宋体" w:hAnsi="宋体" w:eastAsia="宋体" w:cs="宋体"/>
          <w:color w:val="auto"/>
        </w:rPr>
        <w:t>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00A9496F">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p>
    <w:p w14:paraId="688A8D44">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五、公告期限</w:t>
      </w:r>
    </w:p>
    <w:p w14:paraId="14FE48CF">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自本公告发布之日起5个工作日。</w:t>
      </w:r>
    </w:p>
    <w:p w14:paraId="71E36299">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p>
    <w:p w14:paraId="0340887B">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六、其他补充事宜</w:t>
      </w:r>
    </w:p>
    <w:p w14:paraId="25C48E9D">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1.本项目实行网上投标，采用电子投标文件。</w:t>
      </w:r>
    </w:p>
    <w:p w14:paraId="5E3215F4">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w:t>
      </w:r>
      <w:r>
        <w:rPr>
          <w:rFonts w:hint="eastAsia" w:ascii="宋体" w:hAnsi="宋体" w:eastAsia="宋体" w:cs="宋体"/>
          <w:color w:val="auto"/>
          <w:lang w:eastAsia="zh-CN"/>
        </w:rPr>
        <w:t>、</w:t>
      </w:r>
      <w:r>
        <w:rPr>
          <w:rFonts w:hint="eastAsia" w:ascii="宋体" w:hAnsi="宋体" w:eastAsia="宋体" w:cs="宋体"/>
          <w:color w:val="auto"/>
        </w:rPr>
        <w:t>4008301330 ），再进行投标报名。在网上报名后，点击“我的项目→项目流程”中进行招标文件的下载。</w:t>
      </w:r>
    </w:p>
    <w:p w14:paraId="5FC5150E">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3.开标操作：投标人可以登录“深圳公共资源交易中心（深圳交易集团有限公司政府采购业务分公司）网站”，在系统登录首页面即可查看开标情况。</w:t>
      </w:r>
    </w:p>
    <w:p w14:paraId="5BD02CA8">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14:paraId="3A76EA08">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5.采购文件澄清/修改事项：</w:t>
      </w:r>
      <w:r>
        <w:rPr>
          <w:rFonts w:hint="eastAsia" w:ascii="宋体" w:hAnsi="宋体" w:eastAsia="宋体" w:cs="宋体"/>
          <w:color w:val="auto"/>
          <w:lang w:val="en-US" w:eastAsia="zh-CN"/>
        </w:rPr>
        <w:t>2025年X月X日XX:XX:XX（北京时间）前</w:t>
      </w:r>
      <w:r>
        <w:rPr>
          <w:rFonts w:hint="eastAsia" w:ascii="宋体" w:hAnsi="宋体" w:eastAsia="宋体" w:cs="宋体"/>
          <w:color w:val="auto"/>
        </w:rPr>
        <w:t>，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hint="eastAsia" w:ascii="宋体" w:hAnsi="宋体" w:eastAsia="宋体" w:cs="宋体"/>
          <w:color w:val="auto"/>
          <w:lang w:val="en-US" w:eastAsia="zh-CN"/>
        </w:rPr>
        <w:t>2025年X月X日XX:XX:XX（北京时间）</w:t>
      </w:r>
      <w:r>
        <w:rPr>
          <w:rFonts w:hint="eastAsia" w:ascii="宋体" w:hAnsi="宋体" w:eastAsia="宋体" w:cs="宋体"/>
          <w:color w:val="auto"/>
        </w:rPr>
        <w:t>前将采购文件澄清/修改情况在“【我的项目】→【项目流程】→【答疑澄清文件下载】”中公布，望投标人予以关注。</w:t>
      </w:r>
    </w:p>
    <w:p w14:paraId="3FB95803">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globalSearch/details.html?contentId=1211037）所发布的质疑指引、质疑函模板填写质疑函并提交质疑材料。质疑材料可以采用现场或邮寄方式提交，采用邮寄方式提交的，交邮时间应在本公告发布之日起七个工作日内。质疑材料现场提交、邮寄地址：深圳市福田区福田体育公园西北角友和招标代理服务中心（靠近北门）。</w:t>
      </w:r>
      <w:r>
        <w:rPr>
          <w:rFonts w:hint="eastAsia" w:ascii="宋体" w:hAnsi="宋体" w:eastAsia="宋体" w:cs="宋体"/>
          <w:color w:val="auto"/>
          <w:lang w:val="en-US" w:eastAsia="zh-CN"/>
        </w:rPr>
        <w:t>质疑咨询电话：0755-83881995，</w:t>
      </w:r>
      <w:r>
        <w:rPr>
          <w:rFonts w:hint="eastAsia" w:ascii="宋体" w:hAnsi="宋体" w:eastAsia="宋体" w:cs="宋体"/>
          <w:color w:val="auto"/>
          <w:lang w:eastAsia="zh-CN"/>
        </w:rPr>
        <w:t>质疑材料提交邮箱：ywjd@uho.cn</w:t>
      </w:r>
      <w:r>
        <w:rPr>
          <w:rFonts w:hint="eastAsia" w:ascii="宋体" w:hAnsi="宋体" w:eastAsia="宋体" w:cs="宋体"/>
          <w:b w:val="0"/>
          <w:bCs w:val="0"/>
          <w:color w:val="auto"/>
        </w:rPr>
        <w:t>。</w:t>
      </w:r>
      <w:r>
        <w:rPr>
          <w:rFonts w:hint="eastAsia" w:ascii="宋体" w:hAnsi="宋体" w:eastAsia="宋体" w:cs="宋体"/>
          <w:color w:val="auto"/>
        </w:rPr>
        <w:t xml:space="preserve">根据《深圳经济特区政府采购条例》第四十二条“供应商投诉的事项应当是经过质疑的事项”的规定，未经正式质疑的，将影响供应商行使向财政部门提起投诉的权利。） </w:t>
      </w:r>
    </w:p>
    <w:p w14:paraId="2E9CC4E0">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 xml:space="preserve">6.友和保险经纪有限公司有权对投标人就本项目要求提供的相关证明资料（原件）进行审查。供应商提供虚假资料被查实的，则可能面临被取消本项目中标资格、列入不良行为记录名单和三年内禁止参与深圳市政府采购活动的风险。 </w:t>
      </w:r>
    </w:p>
    <w:p w14:paraId="1A8B8FB1">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7.本招标公告及本项目招标文件所涉及的时间一律为北京时间。投标人有义务在招标活动期间浏览深圳公共资源交易中心（深圳交易集团有限公司政府采购业务分公司）网（http://zfcg.szggzy.com:8081），在深圳公共资源交易中心（深圳交易集团有限公司政府采购业务分公司）网上公布的与本次招标项目有关的信息视为已送达各投标人。</w:t>
      </w:r>
    </w:p>
    <w:p w14:paraId="37477423">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8.本项目不需要投标保证金。</w:t>
      </w:r>
    </w:p>
    <w:p w14:paraId="4602C5C3">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p>
    <w:p w14:paraId="745FDD20">
      <w:pPr>
        <w:keepNext w:val="0"/>
        <w:keepLines w:val="0"/>
        <w:pageBreakBefore w:val="0"/>
        <w:widowControl/>
        <w:snapToGrid/>
        <w:spacing w:beforeLines="0" w:afterLines="0" w:line="240" w:lineRule="auto"/>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七、对本次采购提出询问，请按以下方式联系</w:t>
      </w:r>
    </w:p>
    <w:p w14:paraId="1336F0E8">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1.采购人信息</w:t>
      </w:r>
    </w:p>
    <w:p w14:paraId="061773D7">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名 称：深圳市市容景观事务中心</w:t>
      </w:r>
    </w:p>
    <w:p w14:paraId="750AFC2D">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地 址：深圳市福田区莲花支路1004号城管大厦西座9楼</w:t>
      </w:r>
    </w:p>
    <w:p w14:paraId="3B293290">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联系方式：</w:t>
      </w:r>
    </w:p>
    <w:p w14:paraId="3ED7FAEB">
      <w:pPr>
        <w:keepNext w:val="0"/>
        <w:keepLines w:val="0"/>
        <w:pageBreakBefore w:val="0"/>
        <w:widowControl/>
        <w:snapToGrid/>
        <w:spacing w:line="400" w:lineRule="exact"/>
        <w:ind w:firstLine="48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联系人：赖胜涛</w:t>
      </w:r>
    </w:p>
    <w:p w14:paraId="428C5A08">
      <w:pPr>
        <w:keepNext w:val="0"/>
        <w:keepLines w:val="0"/>
        <w:pageBreakBefore w:val="0"/>
        <w:widowControl/>
        <w:snapToGrid/>
        <w:spacing w:line="400" w:lineRule="exact"/>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eastAsia="zh-CN"/>
        </w:rPr>
        <w:t>联系电话：</w:t>
      </w:r>
      <w:r>
        <w:rPr>
          <w:rFonts w:hint="eastAsia" w:ascii="宋体" w:hAnsi="宋体" w:eastAsia="宋体" w:cs="宋体"/>
          <w:color w:val="auto"/>
          <w:lang w:val="en-US" w:eastAsia="zh-CN"/>
        </w:rPr>
        <w:t>0755-83143046</w:t>
      </w:r>
    </w:p>
    <w:p w14:paraId="5AF99790">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2.招标机构</w:t>
      </w:r>
    </w:p>
    <w:p w14:paraId="45373C81">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名　称：友和保险经纪有限公司</w:t>
      </w:r>
    </w:p>
    <w:p w14:paraId="020031CC">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地　址：深圳市福田区福田体育公园西北角友和招标代理服务中心（靠近北门）</w:t>
      </w:r>
    </w:p>
    <w:p w14:paraId="17BDBE1B">
      <w:pPr>
        <w:keepNext w:val="0"/>
        <w:keepLines w:val="0"/>
        <w:pageBreakBefore w:val="0"/>
        <w:widowControl/>
        <w:snapToGrid/>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监督举报：0755-83889803、83889016</w:t>
      </w:r>
    </w:p>
    <w:p w14:paraId="771C7520">
      <w:pPr>
        <w:keepNext w:val="0"/>
        <w:keepLines w:val="0"/>
        <w:pageBreakBefore w:val="0"/>
        <w:widowControl/>
        <w:snapToGrid/>
        <w:spacing w:line="400" w:lineRule="exact"/>
        <w:ind w:firstLine="480" w:firstLineChars="200"/>
        <w:jc w:val="left"/>
        <w:rPr>
          <w:rFonts w:hint="eastAsia" w:ascii="宋体" w:hAnsi="宋体" w:eastAsia="宋体" w:cs="宋体"/>
          <w:color w:val="auto"/>
        </w:rPr>
      </w:pPr>
      <w:r>
        <w:rPr>
          <w:rFonts w:hint="eastAsia" w:ascii="宋体" w:hAnsi="宋体" w:eastAsia="宋体" w:cs="宋体"/>
          <w:color w:val="auto"/>
        </w:rPr>
        <w:t>3.项目联系方式</w:t>
      </w:r>
    </w:p>
    <w:p w14:paraId="39689948">
      <w:pPr>
        <w:keepNext w:val="0"/>
        <w:keepLines w:val="0"/>
        <w:pageBreakBefore w:val="0"/>
        <w:widowControl/>
        <w:snapToGrid/>
        <w:spacing w:line="400" w:lineRule="exact"/>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ascii="宋体" w:hAnsi="宋体" w:eastAsia="宋体" w:cs="宋体"/>
          <w:color w:val="auto"/>
          <w:sz w:val="24"/>
        </w:rPr>
        <w:t>吴丹余、周盼</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陈少群</w:t>
      </w:r>
    </w:p>
    <w:p w14:paraId="0CF78AE3">
      <w:pPr>
        <w:keepNext w:val="0"/>
        <w:keepLines w:val="0"/>
        <w:pageBreakBefore w:val="0"/>
        <w:widowControl/>
        <w:snapToGrid/>
        <w:spacing w:line="400" w:lineRule="exact"/>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eastAsia="zh-CN"/>
        </w:rPr>
        <w:t>项目咨询</w:t>
      </w:r>
      <w:r>
        <w:rPr>
          <w:rFonts w:hint="eastAsia" w:ascii="宋体" w:hAnsi="宋体" w:eastAsia="宋体" w:cs="宋体"/>
          <w:color w:val="auto"/>
        </w:rPr>
        <w:t>：</w:t>
      </w:r>
      <w:r>
        <w:rPr>
          <w:rFonts w:hint="eastAsia" w:ascii="宋体" w:hAnsi="宋体" w:eastAsia="宋体" w:cs="宋体"/>
          <w:color w:val="auto"/>
          <w:sz w:val="24"/>
        </w:rPr>
        <w:t>0755--8388</w:t>
      </w:r>
      <w:r>
        <w:rPr>
          <w:rFonts w:hint="eastAsia" w:ascii="宋体" w:hAnsi="宋体" w:eastAsia="宋体" w:cs="宋体"/>
          <w:color w:val="auto"/>
          <w:sz w:val="24"/>
          <w:lang w:val="en-US" w:eastAsia="zh-CN"/>
        </w:rPr>
        <w:t>995</w:t>
      </w:r>
      <w:r>
        <w:rPr>
          <w:rFonts w:hint="eastAsia" w:ascii="宋体" w:hAnsi="宋体" w:eastAsia="宋体" w:cs="宋体"/>
          <w:color w:val="auto"/>
          <w:sz w:val="24"/>
        </w:rPr>
        <w:t>、0755-83889036</w:t>
      </w:r>
    </w:p>
    <w:p w14:paraId="65C061AE">
      <w:pPr>
        <w:keepNext w:val="0"/>
        <w:keepLines w:val="0"/>
        <w:pageBreakBefore w:val="0"/>
        <w:widowControl w:val="0"/>
        <w:snapToGrid w:val="0"/>
        <w:spacing w:line="40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投标报名：0755-83881111（总机）</w:t>
      </w:r>
    </w:p>
    <w:p w14:paraId="4C073D55">
      <w:pPr>
        <w:pStyle w:val="200"/>
        <w:keepNext w:val="0"/>
        <w:keepLines w:val="0"/>
        <w:pageBreakBefore w:val="0"/>
        <w:widowControl w:val="0"/>
        <w:numPr>
          <w:ilvl w:val="0"/>
          <w:numId w:val="0"/>
        </w:numPr>
        <w:snapToGrid w:val="0"/>
        <w:spacing w:line="400" w:lineRule="exact"/>
        <w:ind w:leftChars="200"/>
        <w:jc w:val="left"/>
        <w:outlineLvl w:val="9"/>
        <w:rPr>
          <w:rFonts w:hint="eastAsia" w:ascii="宋体" w:hAnsi="宋体" w:eastAsia="宋体" w:cs="宋体"/>
          <w:color w:val="auto"/>
          <w:sz w:val="24"/>
          <w:szCs w:val="24"/>
        </w:rPr>
      </w:pPr>
      <w:r>
        <w:rPr>
          <w:rFonts w:hint="eastAsia" w:ascii="宋体" w:hAnsi="宋体" w:eastAsia="宋体" w:cs="宋体"/>
          <w:color w:val="auto"/>
          <w:lang w:val="en-US" w:eastAsia="zh-CN"/>
        </w:rPr>
        <w:t>4.</w:t>
      </w:r>
      <w:r>
        <w:rPr>
          <w:rFonts w:hint="eastAsia" w:ascii="宋体" w:hAnsi="宋体" w:eastAsia="宋体" w:cs="宋体"/>
          <w:color w:val="auto"/>
          <w:sz w:val="24"/>
          <w:szCs w:val="24"/>
        </w:rPr>
        <w:t>相关项目信息查询网址</w:t>
      </w:r>
    </w:p>
    <w:p w14:paraId="20E0A261">
      <w:pPr>
        <w:keepNext w:val="0"/>
        <w:keepLines w:val="0"/>
        <w:pageBreakBefore w:val="0"/>
        <w:widowControl w:val="0"/>
        <w:snapToGrid w:val="0"/>
        <w:spacing w:line="40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深圳政府采购智慧平台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none"/>
        </w:rPr>
        <w:t>http://zfcg.szggzy.com:8081/</w:t>
      </w:r>
    </w:p>
    <w:p w14:paraId="0ABEC3FB">
      <w:pPr>
        <w:keepNext w:val="0"/>
        <w:keepLines w:val="0"/>
        <w:pageBreakBefore w:val="0"/>
        <w:widowControl w:val="0"/>
        <w:snapToGrid w:val="0"/>
        <w:spacing w:line="40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友和招标代理服务网 http://yhzb.uho.cn/</w:t>
      </w:r>
    </w:p>
    <w:p w14:paraId="62CC3A02">
      <w:pPr>
        <w:keepNext w:val="0"/>
        <w:keepLines w:val="0"/>
        <w:pageBreakBefore w:val="0"/>
        <w:widowControl/>
        <w:snapToGrid/>
        <w:spacing w:line="400" w:lineRule="exact"/>
        <w:ind w:firstLine="480" w:firstLineChars="200"/>
        <w:jc w:val="left"/>
        <w:rPr>
          <w:rFonts w:hint="eastAsia" w:ascii="宋体" w:hAnsi="宋体" w:eastAsia="宋体" w:cs="宋体"/>
          <w:color w:val="auto"/>
          <w:lang w:val="en-US" w:eastAsia="zh-CN"/>
        </w:rPr>
      </w:pPr>
    </w:p>
    <w:p w14:paraId="4A5F911B">
      <w:pPr>
        <w:keepNext w:val="0"/>
        <w:keepLines w:val="0"/>
        <w:pageBreakBefore w:val="0"/>
        <w:widowControl/>
        <w:snapToGrid/>
        <w:spacing w:line="400" w:lineRule="exact"/>
        <w:ind w:firstLine="480" w:firstLineChars="200"/>
        <w:jc w:val="left"/>
        <w:rPr>
          <w:rFonts w:hint="eastAsia" w:ascii="宋体" w:hAnsi="宋体" w:eastAsia="宋体" w:cs="宋体"/>
          <w:color w:val="auto"/>
        </w:rPr>
      </w:pPr>
    </w:p>
    <w:p w14:paraId="3FEAED8F">
      <w:pPr>
        <w:keepNext w:val="0"/>
        <w:keepLines w:val="0"/>
        <w:pageBreakBefore w:val="0"/>
        <w:widowControl/>
        <w:snapToGrid/>
        <w:spacing w:line="400" w:lineRule="exact"/>
        <w:ind w:firstLine="480" w:firstLineChars="200"/>
        <w:jc w:val="right"/>
        <w:rPr>
          <w:rFonts w:hint="eastAsia" w:ascii="宋体" w:hAnsi="宋体" w:eastAsia="宋体" w:cs="宋体"/>
          <w:color w:val="auto"/>
        </w:rPr>
      </w:pPr>
      <w:r>
        <w:rPr>
          <w:rFonts w:hint="eastAsia" w:ascii="宋体" w:hAnsi="宋体" w:eastAsia="宋体" w:cs="宋体"/>
          <w:color w:val="auto"/>
        </w:rPr>
        <w:t>友和保险经纪有限公司</w:t>
      </w:r>
    </w:p>
    <w:p w14:paraId="23BD9CD4">
      <w:pPr>
        <w:keepNext w:val="0"/>
        <w:keepLines w:val="0"/>
        <w:pageBreakBefore w:val="0"/>
        <w:widowControl/>
        <w:snapToGrid/>
        <w:spacing w:line="400" w:lineRule="exact"/>
        <w:ind w:firstLine="480" w:firstLineChars="200"/>
        <w:jc w:val="right"/>
        <w:rPr>
          <w:rFonts w:hint="eastAsia" w:ascii="宋体" w:hAnsi="宋体" w:eastAsia="宋体" w:cs="宋体"/>
          <w:color w:val="auto"/>
        </w:rPr>
      </w:pPr>
      <w:r>
        <w:rPr>
          <w:rFonts w:hint="eastAsia" w:ascii="宋体" w:hAnsi="宋体" w:eastAsia="宋体" w:cs="宋体"/>
          <w:color w:val="auto"/>
          <w:lang w:eastAsia="zh-CN"/>
        </w:rPr>
        <w:t>20</w:t>
      </w:r>
      <w:r>
        <w:rPr>
          <w:rFonts w:hint="eastAsia" w:ascii="宋体" w:hAnsi="宋体" w:eastAsia="宋体" w:cs="宋体"/>
          <w:color w:val="auto"/>
          <w:lang w:val="en-US" w:eastAsia="zh-CN"/>
        </w:rPr>
        <w:t>25</w:t>
      </w:r>
      <w:r>
        <w:rPr>
          <w:rFonts w:hint="eastAsia" w:ascii="宋体" w:hAnsi="宋体" w:eastAsia="宋体" w:cs="宋体"/>
          <w:color w:val="auto"/>
        </w:rPr>
        <w:t>年</w:t>
      </w:r>
      <w:r>
        <w:rPr>
          <w:rFonts w:hint="eastAsia" w:ascii="宋体" w:hAnsi="宋体" w:eastAsia="宋体" w:cs="宋体"/>
          <w:color w:val="auto"/>
          <w:lang w:val="en-US" w:eastAsia="zh-CN"/>
        </w:rPr>
        <w:t>X</w:t>
      </w:r>
      <w:r>
        <w:rPr>
          <w:rFonts w:hint="eastAsia" w:ascii="宋体" w:hAnsi="宋体" w:eastAsia="宋体" w:cs="宋体"/>
          <w:color w:val="auto"/>
        </w:rPr>
        <w:t>月</w:t>
      </w:r>
      <w:r>
        <w:rPr>
          <w:rFonts w:hint="eastAsia" w:ascii="宋体" w:hAnsi="宋体" w:eastAsia="宋体" w:cs="宋体"/>
          <w:color w:val="auto"/>
          <w:lang w:val="en-US" w:eastAsia="zh-CN"/>
        </w:rPr>
        <w:t>X</w:t>
      </w:r>
      <w:r>
        <w:rPr>
          <w:rFonts w:hint="eastAsia" w:ascii="宋体" w:hAnsi="宋体" w:eastAsia="宋体" w:cs="宋体"/>
          <w:color w:val="auto"/>
        </w:rPr>
        <w:t>日</w:t>
      </w:r>
    </w:p>
    <w:p w14:paraId="21C47614">
      <w:pPr>
        <w:rPr>
          <w:rFonts w:hint="eastAsia" w:ascii="宋体" w:hAnsi="宋体" w:eastAsia="宋体" w:cs="宋体"/>
          <w:color w:val="auto"/>
        </w:rPr>
      </w:pPr>
    </w:p>
    <w:p w14:paraId="3EB4DA48">
      <w:pPr>
        <w:spacing w:beforeLines="0" w:afterLines="0"/>
        <w:rPr>
          <w:rFonts w:hint="eastAsia" w:ascii="宋体" w:hAnsi="宋体" w:eastAsia="宋体" w:cs="宋体"/>
          <w:b/>
          <w:bCs/>
          <w:color w:val="auto"/>
          <w:szCs w:val="21"/>
        </w:rPr>
      </w:pPr>
    </w:p>
    <w:p w14:paraId="27B8B1FB">
      <w:pPr>
        <w:pStyle w:val="14"/>
        <w:spacing w:before="0" w:beforeLines="0" w:after="0" w:afterLines="0" w:line="240" w:lineRule="auto"/>
        <w:ind w:firstLine="0"/>
        <w:rPr>
          <w:rFonts w:hint="eastAsia" w:ascii="宋体" w:hAnsi="宋体" w:eastAsia="宋体" w:cs="宋体"/>
          <w:b/>
          <w:color w:val="auto"/>
          <w:sz w:val="28"/>
          <w:szCs w:val="28"/>
        </w:rPr>
      </w:pPr>
      <w:r>
        <w:rPr>
          <w:rFonts w:hint="eastAsia" w:ascii="宋体" w:hAnsi="宋体" w:eastAsia="宋体" w:cs="宋体"/>
          <w:color w:val="auto"/>
          <w:szCs w:val="20"/>
        </w:rPr>
        <w:t>完整公告内容详见：http://zfcg.szggzy.com:8081</w:t>
      </w:r>
    </w:p>
    <w:p w14:paraId="004CB4F0">
      <w:pPr>
        <w:spacing w:line="360" w:lineRule="auto"/>
        <w:rPr>
          <w:rFonts w:hint="eastAsia" w:ascii="宋体" w:hAnsi="宋体" w:eastAsia="宋体" w:cs="宋体"/>
          <w:color w:val="auto"/>
        </w:rPr>
      </w:pPr>
      <w:r>
        <w:rPr>
          <w:rFonts w:hint="eastAsia" w:ascii="宋体" w:hAnsi="宋体" w:eastAsia="宋体" w:cs="宋体"/>
          <w:color w:val="auto"/>
        </w:rPr>
        <w:br w:type="page"/>
      </w:r>
    </w:p>
    <w:p w14:paraId="12CCD345">
      <w:pPr>
        <w:pStyle w:val="7"/>
        <w:rPr>
          <w:rFonts w:hint="eastAsia" w:ascii="宋体" w:hAnsi="宋体" w:eastAsia="宋体" w:cs="宋体"/>
          <w:color w:val="auto"/>
          <w:sz w:val="28"/>
          <w:szCs w:val="28"/>
        </w:rPr>
      </w:pPr>
      <w:r>
        <w:rPr>
          <w:rFonts w:hint="eastAsia" w:ascii="宋体" w:hAnsi="宋体" w:eastAsia="宋体" w:cs="宋体"/>
          <w:color w:val="auto"/>
          <w:sz w:val="28"/>
          <w:szCs w:val="28"/>
        </w:rPr>
        <w:t>第二章 对通用条款的补充内容及其他关键信息</w:t>
      </w:r>
    </w:p>
    <w:p w14:paraId="7883DF16">
      <w:pPr>
        <w:jc w:val="center"/>
        <w:outlineLvl w:val="2"/>
        <w:rPr>
          <w:rFonts w:hint="eastAsia" w:ascii="宋体" w:hAnsi="宋体" w:eastAsia="宋体" w:cs="宋体"/>
          <w:b/>
          <w:bCs/>
          <w:color w:val="auto"/>
          <w:sz w:val="28"/>
          <w:szCs w:val="28"/>
        </w:rPr>
      </w:pPr>
      <w:bookmarkStart w:id="20" w:name="_Toc73518117"/>
      <w:bookmarkStart w:id="21" w:name="_Toc73521547"/>
      <w:bookmarkStart w:id="22" w:name="_Toc101074876"/>
      <w:bookmarkStart w:id="23" w:name="_Toc60560625"/>
      <w:bookmarkStart w:id="24" w:name="_Toc73521635"/>
      <w:bookmarkStart w:id="25" w:name="_Toc60631620"/>
      <w:bookmarkStart w:id="26" w:name="_Toc100052364"/>
      <w:bookmarkStart w:id="27" w:name="_Toc73517639"/>
      <w:r>
        <w:rPr>
          <w:rFonts w:hint="eastAsia" w:ascii="宋体" w:hAnsi="宋体" w:eastAsia="宋体" w:cs="宋体"/>
          <w:b/>
          <w:bCs/>
          <w:color w:val="auto"/>
          <w:sz w:val="28"/>
          <w:szCs w:val="28"/>
        </w:rPr>
        <w:t>一、对通用条款的补充内容</w:t>
      </w:r>
      <w:bookmarkEnd w:id="20"/>
      <w:bookmarkEnd w:id="21"/>
      <w:bookmarkEnd w:id="22"/>
      <w:bookmarkEnd w:id="23"/>
      <w:bookmarkEnd w:id="24"/>
      <w:bookmarkEnd w:id="25"/>
      <w:bookmarkEnd w:id="26"/>
      <w:bookmarkEnd w:id="27"/>
    </w:p>
    <w:tbl>
      <w:tblPr>
        <w:tblStyle w:val="35"/>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888"/>
        <w:gridCol w:w="5501"/>
      </w:tblGrid>
      <w:tr w14:paraId="56BF2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23DE61AC">
            <w:pPr>
              <w:jc w:val="center"/>
              <w:rPr>
                <w:rFonts w:hint="eastAsia" w:ascii="宋体" w:hAnsi="宋体" w:eastAsia="宋体" w:cs="宋体"/>
                <w:b/>
                <w:bCs/>
                <w:color w:val="auto"/>
              </w:rPr>
            </w:pPr>
            <w:r>
              <w:rPr>
                <w:rFonts w:hint="eastAsia" w:ascii="宋体" w:hAnsi="宋体" w:eastAsia="宋体" w:cs="宋体"/>
                <w:b/>
                <w:bCs/>
                <w:color w:val="auto"/>
              </w:rPr>
              <w:t>通用条款序号</w:t>
            </w:r>
          </w:p>
        </w:tc>
        <w:tc>
          <w:tcPr>
            <w:tcW w:w="1888" w:type="dxa"/>
            <w:noWrap w:val="0"/>
            <w:vAlign w:val="center"/>
          </w:tcPr>
          <w:p w14:paraId="7019D974">
            <w:pPr>
              <w:jc w:val="center"/>
              <w:rPr>
                <w:rFonts w:hint="eastAsia" w:ascii="宋体" w:hAnsi="宋体" w:eastAsia="宋体" w:cs="宋体"/>
                <w:b/>
                <w:bCs/>
                <w:color w:val="auto"/>
              </w:rPr>
            </w:pPr>
            <w:r>
              <w:rPr>
                <w:rFonts w:hint="eastAsia" w:ascii="宋体" w:hAnsi="宋体" w:eastAsia="宋体" w:cs="宋体"/>
                <w:b/>
                <w:bCs/>
                <w:color w:val="auto"/>
              </w:rPr>
              <w:t>涉及事项</w:t>
            </w:r>
          </w:p>
        </w:tc>
        <w:tc>
          <w:tcPr>
            <w:tcW w:w="5501" w:type="dxa"/>
            <w:noWrap w:val="0"/>
            <w:vAlign w:val="center"/>
          </w:tcPr>
          <w:p w14:paraId="3D7813F0">
            <w:pPr>
              <w:jc w:val="center"/>
              <w:rPr>
                <w:rFonts w:hint="eastAsia" w:ascii="宋体" w:hAnsi="宋体" w:eastAsia="宋体" w:cs="宋体"/>
                <w:b/>
                <w:bCs/>
                <w:color w:val="auto"/>
              </w:rPr>
            </w:pPr>
            <w:r>
              <w:rPr>
                <w:rFonts w:hint="eastAsia" w:ascii="宋体" w:hAnsi="宋体" w:eastAsia="宋体" w:cs="宋体"/>
                <w:b/>
                <w:bCs/>
                <w:color w:val="auto"/>
              </w:rPr>
              <w:t>具  体  补  充  内  容</w:t>
            </w:r>
          </w:p>
        </w:tc>
      </w:tr>
      <w:tr w14:paraId="258FCF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1251CC76">
            <w:pPr>
              <w:jc w:val="center"/>
              <w:rPr>
                <w:rFonts w:hint="eastAsia" w:ascii="宋体" w:hAnsi="宋体" w:eastAsia="宋体" w:cs="宋体"/>
                <w:color w:val="auto"/>
              </w:rPr>
            </w:pPr>
            <w:r>
              <w:rPr>
                <w:rFonts w:hint="eastAsia" w:ascii="宋体" w:hAnsi="宋体" w:eastAsia="宋体" w:cs="宋体"/>
                <w:color w:val="auto"/>
              </w:rPr>
              <w:t>3.1</w:t>
            </w:r>
          </w:p>
        </w:tc>
        <w:tc>
          <w:tcPr>
            <w:tcW w:w="1888" w:type="dxa"/>
            <w:noWrap w:val="0"/>
            <w:vAlign w:val="center"/>
          </w:tcPr>
          <w:p w14:paraId="6A775696">
            <w:pPr>
              <w:jc w:val="center"/>
              <w:rPr>
                <w:rFonts w:hint="eastAsia" w:ascii="宋体" w:hAnsi="宋体" w:eastAsia="宋体" w:cs="宋体"/>
                <w:color w:val="auto"/>
              </w:rPr>
            </w:pPr>
            <w:r>
              <w:rPr>
                <w:rFonts w:hint="eastAsia" w:ascii="宋体" w:hAnsi="宋体" w:eastAsia="宋体" w:cs="宋体"/>
                <w:color w:val="auto"/>
              </w:rPr>
              <w:t>采购人</w:t>
            </w:r>
          </w:p>
        </w:tc>
        <w:tc>
          <w:tcPr>
            <w:tcW w:w="5501" w:type="dxa"/>
            <w:noWrap w:val="0"/>
            <w:vAlign w:val="center"/>
          </w:tcPr>
          <w:p w14:paraId="5B990D48">
            <w:pPr>
              <w:jc w:val="center"/>
              <w:rPr>
                <w:rFonts w:hint="eastAsia" w:ascii="宋体" w:hAnsi="宋体" w:eastAsia="宋体" w:cs="宋体"/>
                <w:color w:val="auto"/>
                <w:lang w:eastAsia="zh-CN"/>
              </w:rPr>
            </w:pPr>
            <w:r>
              <w:rPr>
                <w:rFonts w:hint="eastAsia" w:ascii="宋体" w:hAnsi="宋体" w:eastAsia="宋体" w:cs="宋体"/>
                <w:color w:val="auto"/>
              </w:rPr>
              <w:t>深圳市市容景观事务中心</w:t>
            </w:r>
          </w:p>
        </w:tc>
      </w:tr>
      <w:tr w14:paraId="6D8E81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1FC4E80A">
            <w:pPr>
              <w:jc w:val="center"/>
              <w:rPr>
                <w:rFonts w:hint="eastAsia" w:ascii="宋体" w:hAnsi="宋体" w:eastAsia="宋体" w:cs="宋体"/>
                <w:color w:val="auto"/>
              </w:rPr>
            </w:pPr>
            <w:r>
              <w:rPr>
                <w:rFonts w:hint="eastAsia" w:ascii="宋体" w:hAnsi="宋体" w:eastAsia="宋体" w:cs="宋体"/>
                <w:color w:val="auto"/>
              </w:rPr>
              <w:t>3.2</w:t>
            </w:r>
          </w:p>
        </w:tc>
        <w:tc>
          <w:tcPr>
            <w:tcW w:w="1888" w:type="dxa"/>
            <w:noWrap w:val="0"/>
            <w:vAlign w:val="center"/>
          </w:tcPr>
          <w:p w14:paraId="570D0283">
            <w:pPr>
              <w:jc w:val="center"/>
              <w:rPr>
                <w:rFonts w:hint="eastAsia" w:ascii="宋体" w:hAnsi="宋体" w:eastAsia="宋体" w:cs="宋体"/>
                <w:color w:val="auto"/>
              </w:rPr>
            </w:pPr>
            <w:r>
              <w:rPr>
                <w:rFonts w:hint="eastAsia" w:ascii="宋体" w:hAnsi="宋体" w:eastAsia="宋体" w:cs="宋体"/>
                <w:color w:val="auto"/>
              </w:rPr>
              <w:t>采购机构</w:t>
            </w:r>
          </w:p>
        </w:tc>
        <w:tc>
          <w:tcPr>
            <w:tcW w:w="5501" w:type="dxa"/>
            <w:noWrap w:val="0"/>
            <w:vAlign w:val="center"/>
          </w:tcPr>
          <w:p w14:paraId="57A31FBE">
            <w:pPr>
              <w:jc w:val="center"/>
              <w:rPr>
                <w:rFonts w:hint="eastAsia" w:ascii="宋体" w:hAnsi="宋体" w:eastAsia="宋体" w:cs="宋体"/>
                <w:color w:val="auto"/>
              </w:rPr>
            </w:pPr>
            <w:r>
              <w:rPr>
                <w:rFonts w:hint="eastAsia" w:ascii="宋体" w:hAnsi="宋体" w:eastAsia="宋体" w:cs="宋体"/>
                <w:color w:val="auto"/>
              </w:rPr>
              <w:t>友和保险经纪有限公司</w:t>
            </w:r>
          </w:p>
        </w:tc>
      </w:tr>
      <w:tr w14:paraId="2EE376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015FDED4">
            <w:pPr>
              <w:jc w:val="center"/>
              <w:rPr>
                <w:rFonts w:hint="eastAsia" w:ascii="宋体" w:hAnsi="宋体" w:eastAsia="宋体" w:cs="宋体"/>
                <w:color w:val="auto"/>
              </w:rPr>
            </w:pPr>
            <w:r>
              <w:rPr>
                <w:rFonts w:hint="eastAsia" w:ascii="宋体" w:hAnsi="宋体" w:eastAsia="宋体" w:cs="宋体"/>
                <w:color w:val="auto"/>
              </w:rPr>
              <w:t>5.3</w:t>
            </w:r>
          </w:p>
        </w:tc>
        <w:tc>
          <w:tcPr>
            <w:tcW w:w="1888" w:type="dxa"/>
            <w:noWrap w:val="0"/>
            <w:vAlign w:val="center"/>
          </w:tcPr>
          <w:p w14:paraId="59B8BD80">
            <w:pPr>
              <w:jc w:val="center"/>
              <w:rPr>
                <w:rFonts w:hint="eastAsia" w:ascii="宋体" w:hAnsi="宋体" w:eastAsia="宋体" w:cs="宋体"/>
                <w:color w:val="auto"/>
              </w:rPr>
            </w:pPr>
            <w:r>
              <w:rPr>
                <w:rFonts w:hint="eastAsia" w:ascii="宋体" w:hAnsi="宋体" w:eastAsia="宋体" w:cs="宋体"/>
                <w:color w:val="auto"/>
              </w:rPr>
              <w:t>联合体投标</w:t>
            </w:r>
          </w:p>
        </w:tc>
        <w:tc>
          <w:tcPr>
            <w:tcW w:w="5501" w:type="dxa"/>
            <w:noWrap w:val="0"/>
            <w:vAlign w:val="center"/>
          </w:tcPr>
          <w:p w14:paraId="0299E8A4">
            <w:pPr>
              <w:jc w:val="center"/>
              <w:rPr>
                <w:rFonts w:hint="eastAsia" w:ascii="宋体" w:hAnsi="宋体" w:eastAsia="宋体" w:cs="宋体"/>
                <w:color w:val="auto"/>
              </w:rPr>
            </w:pPr>
            <w:r>
              <w:rPr>
                <w:rFonts w:hint="eastAsia" w:ascii="宋体" w:hAnsi="宋体" w:eastAsia="宋体" w:cs="宋体"/>
                <w:color w:val="auto"/>
              </w:rPr>
              <w:t>不接受</w:t>
            </w:r>
          </w:p>
        </w:tc>
      </w:tr>
      <w:tr w14:paraId="01E8E8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3B1D5026">
            <w:pPr>
              <w:jc w:val="center"/>
              <w:rPr>
                <w:rFonts w:hint="eastAsia" w:ascii="宋体" w:hAnsi="宋体" w:eastAsia="宋体" w:cs="宋体"/>
                <w:color w:val="auto"/>
              </w:rPr>
            </w:pPr>
            <w:r>
              <w:rPr>
                <w:rFonts w:hint="eastAsia" w:ascii="宋体" w:hAnsi="宋体" w:eastAsia="宋体" w:cs="宋体"/>
                <w:color w:val="auto"/>
              </w:rPr>
              <w:t>9</w:t>
            </w:r>
          </w:p>
        </w:tc>
        <w:tc>
          <w:tcPr>
            <w:tcW w:w="1888" w:type="dxa"/>
            <w:noWrap w:val="0"/>
            <w:vAlign w:val="center"/>
          </w:tcPr>
          <w:p w14:paraId="442F3DAF">
            <w:pPr>
              <w:jc w:val="center"/>
              <w:rPr>
                <w:rFonts w:hint="eastAsia" w:ascii="宋体" w:hAnsi="宋体" w:eastAsia="宋体" w:cs="宋体"/>
                <w:color w:val="auto"/>
              </w:rPr>
            </w:pPr>
            <w:r>
              <w:rPr>
                <w:rFonts w:hint="eastAsia" w:ascii="宋体" w:hAnsi="宋体" w:eastAsia="宋体" w:cs="宋体"/>
                <w:color w:val="auto"/>
              </w:rPr>
              <w:t>踏勘现场</w:t>
            </w:r>
          </w:p>
        </w:tc>
        <w:tc>
          <w:tcPr>
            <w:tcW w:w="5501" w:type="dxa"/>
            <w:noWrap w:val="0"/>
            <w:vAlign w:val="center"/>
          </w:tcPr>
          <w:p w14:paraId="5C02D0DF">
            <w:pPr>
              <w:jc w:val="center"/>
              <w:rPr>
                <w:rFonts w:hint="eastAsia" w:ascii="宋体" w:hAnsi="宋体" w:eastAsia="宋体" w:cs="宋体"/>
                <w:color w:val="auto"/>
              </w:rPr>
            </w:pPr>
            <w:r>
              <w:rPr>
                <w:rFonts w:hint="eastAsia" w:ascii="宋体" w:hAnsi="宋体" w:eastAsia="宋体" w:cs="宋体"/>
                <w:color w:val="auto"/>
              </w:rPr>
              <w:t>不组织</w:t>
            </w:r>
          </w:p>
        </w:tc>
      </w:tr>
      <w:tr w14:paraId="1F830F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789FC9A9">
            <w:pPr>
              <w:jc w:val="center"/>
              <w:rPr>
                <w:rFonts w:hint="eastAsia" w:ascii="宋体" w:hAnsi="宋体" w:eastAsia="宋体" w:cs="宋体"/>
                <w:color w:val="auto"/>
              </w:rPr>
            </w:pPr>
            <w:r>
              <w:rPr>
                <w:rFonts w:hint="eastAsia" w:ascii="宋体" w:hAnsi="宋体" w:eastAsia="宋体" w:cs="宋体"/>
                <w:color w:val="auto"/>
              </w:rPr>
              <w:t>10</w:t>
            </w:r>
          </w:p>
        </w:tc>
        <w:tc>
          <w:tcPr>
            <w:tcW w:w="1888" w:type="dxa"/>
            <w:noWrap w:val="0"/>
            <w:vAlign w:val="center"/>
          </w:tcPr>
          <w:p w14:paraId="097877DD">
            <w:pPr>
              <w:jc w:val="center"/>
              <w:rPr>
                <w:rFonts w:hint="eastAsia" w:ascii="宋体" w:hAnsi="宋体" w:eastAsia="宋体" w:cs="宋体"/>
                <w:color w:val="auto"/>
              </w:rPr>
            </w:pPr>
            <w:r>
              <w:rPr>
                <w:rFonts w:hint="eastAsia" w:ascii="宋体" w:hAnsi="宋体" w:eastAsia="宋体" w:cs="宋体"/>
                <w:color w:val="auto"/>
              </w:rPr>
              <w:t>标前会议</w:t>
            </w:r>
          </w:p>
        </w:tc>
        <w:tc>
          <w:tcPr>
            <w:tcW w:w="5501" w:type="dxa"/>
            <w:noWrap w:val="0"/>
            <w:vAlign w:val="center"/>
          </w:tcPr>
          <w:p w14:paraId="381709CF">
            <w:pPr>
              <w:jc w:val="center"/>
              <w:rPr>
                <w:rFonts w:hint="eastAsia" w:ascii="宋体" w:hAnsi="宋体" w:eastAsia="宋体" w:cs="宋体"/>
                <w:color w:val="auto"/>
              </w:rPr>
            </w:pPr>
            <w:r>
              <w:rPr>
                <w:rFonts w:hint="eastAsia" w:ascii="宋体" w:hAnsi="宋体" w:eastAsia="宋体" w:cs="宋体"/>
                <w:color w:val="auto"/>
              </w:rPr>
              <w:t>不组织</w:t>
            </w:r>
          </w:p>
        </w:tc>
      </w:tr>
      <w:tr w14:paraId="1F32DE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554D4F72">
            <w:pPr>
              <w:jc w:val="center"/>
              <w:rPr>
                <w:rFonts w:hint="eastAsia" w:ascii="宋体" w:hAnsi="宋体" w:eastAsia="宋体" w:cs="宋体"/>
                <w:color w:val="auto"/>
              </w:rPr>
            </w:pPr>
            <w:r>
              <w:rPr>
                <w:rFonts w:hint="eastAsia" w:ascii="宋体" w:hAnsi="宋体" w:eastAsia="宋体" w:cs="宋体"/>
                <w:color w:val="auto"/>
              </w:rPr>
              <w:t>12/13</w:t>
            </w:r>
          </w:p>
        </w:tc>
        <w:tc>
          <w:tcPr>
            <w:tcW w:w="1888" w:type="dxa"/>
            <w:noWrap w:val="0"/>
            <w:vAlign w:val="center"/>
          </w:tcPr>
          <w:p w14:paraId="7000C6D1">
            <w:pPr>
              <w:jc w:val="center"/>
              <w:rPr>
                <w:rFonts w:hint="eastAsia" w:ascii="宋体" w:hAnsi="宋体" w:eastAsia="宋体" w:cs="宋体"/>
                <w:color w:val="auto"/>
              </w:rPr>
            </w:pPr>
            <w:r>
              <w:rPr>
                <w:rFonts w:hint="eastAsia" w:ascii="宋体" w:hAnsi="宋体" w:eastAsia="宋体" w:cs="宋体"/>
                <w:color w:val="auto"/>
              </w:rPr>
              <w:t>招标文件的澄清和修改</w:t>
            </w:r>
          </w:p>
        </w:tc>
        <w:tc>
          <w:tcPr>
            <w:tcW w:w="5501" w:type="dxa"/>
            <w:noWrap w:val="0"/>
            <w:vAlign w:val="center"/>
          </w:tcPr>
          <w:p w14:paraId="002B8153">
            <w:pPr>
              <w:jc w:val="center"/>
              <w:rPr>
                <w:rFonts w:hint="eastAsia" w:ascii="宋体" w:hAnsi="宋体" w:eastAsia="宋体" w:cs="宋体"/>
                <w:color w:val="auto"/>
              </w:rPr>
            </w:pPr>
            <w:r>
              <w:rPr>
                <w:rFonts w:hint="eastAsia" w:ascii="宋体" w:hAnsi="宋体" w:eastAsia="宋体" w:cs="宋体"/>
                <w:color w:val="auto"/>
              </w:rPr>
              <w:t>不晚于投标截止日三日前（详见招标公告），投标人有义务在招标期间在招标机构网站浏览与本项目有关的澄清和修改信息</w:t>
            </w:r>
          </w:p>
        </w:tc>
      </w:tr>
      <w:tr w14:paraId="50D93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110397A7">
            <w:pPr>
              <w:jc w:val="center"/>
              <w:rPr>
                <w:rFonts w:hint="eastAsia" w:ascii="宋体" w:hAnsi="宋体" w:eastAsia="宋体" w:cs="宋体"/>
                <w:color w:val="auto"/>
              </w:rPr>
            </w:pPr>
            <w:r>
              <w:rPr>
                <w:rFonts w:hint="eastAsia" w:ascii="宋体" w:hAnsi="宋体" w:eastAsia="宋体" w:cs="宋体"/>
                <w:color w:val="auto"/>
              </w:rPr>
              <w:t>20</w:t>
            </w:r>
          </w:p>
        </w:tc>
        <w:tc>
          <w:tcPr>
            <w:tcW w:w="1888" w:type="dxa"/>
            <w:noWrap w:val="0"/>
            <w:vAlign w:val="center"/>
          </w:tcPr>
          <w:p w14:paraId="0D1B6745">
            <w:pPr>
              <w:jc w:val="center"/>
              <w:rPr>
                <w:rFonts w:hint="eastAsia" w:ascii="宋体" w:hAnsi="宋体" w:eastAsia="宋体" w:cs="宋体"/>
                <w:color w:val="auto"/>
              </w:rPr>
            </w:pPr>
            <w:r>
              <w:rPr>
                <w:rFonts w:hint="eastAsia" w:ascii="宋体" w:hAnsi="宋体" w:eastAsia="宋体" w:cs="宋体"/>
                <w:color w:val="auto"/>
              </w:rPr>
              <w:t>投标有效期</w:t>
            </w:r>
          </w:p>
        </w:tc>
        <w:tc>
          <w:tcPr>
            <w:tcW w:w="5501" w:type="dxa"/>
            <w:noWrap w:val="0"/>
            <w:vAlign w:val="center"/>
          </w:tcPr>
          <w:p w14:paraId="0EFF70CB">
            <w:pPr>
              <w:jc w:val="center"/>
              <w:rPr>
                <w:rFonts w:hint="eastAsia" w:ascii="宋体" w:hAnsi="宋体" w:eastAsia="宋体" w:cs="宋体"/>
                <w:color w:val="auto"/>
              </w:rPr>
            </w:pPr>
            <w:r>
              <w:rPr>
                <w:rFonts w:hint="eastAsia" w:ascii="宋体" w:hAnsi="宋体" w:eastAsia="宋体" w:cs="宋体"/>
                <w:color w:val="auto"/>
              </w:rPr>
              <w:t>120个日历日</w:t>
            </w:r>
          </w:p>
        </w:tc>
      </w:tr>
      <w:tr w14:paraId="27FA1F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07ACAEB6">
            <w:pPr>
              <w:jc w:val="center"/>
              <w:rPr>
                <w:rFonts w:hint="eastAsia" w:ascii="宋体" w:hAnsi="宋体" w:eastAsia="宋体" w:cs="宋体"/>
                <w:color w:val="auto"/>
              </w:rPr>
            </w:pPr>
            <w:r>
              <w:rPr>
                <w:rFonts w:hint="eastAsia" w:ascii="宋体" w:hAnsi="宋体" w:eastAsia="宋体" w:cs="宋体"/>
                <w:color w:val="auto"/>
              </w:rPr>
              <w:t>22</w:t>
            </w:r>
          </w:p>
        </w:tc>
        <w:tc>
          <w:tcPr>
            <w:tcW w:w="1888" w:type="dxa"/>
            <w:noWrap w:val="0"/>
            <w:vAlign w:val="center"/>
          </w:tcPr>
          <w:p w14:paraId="7748CC5B">
            <w:pPr>
              <w:jc w:val="center"/>
              <w:rPr>
                <w:rFonts w:hint="eastAsia" w:ascii="宋体" w:hAnsi="宋体" w:eastAsia="宋体" w:cs="宋体"/>
                <w:color w:val="auto"/>
              </w:rPr>
            </w:pPr>
            <w:r>
              <w:rPr>
                <w:rFonts w:hint="eastAsia" w:ascii="宋体" w:hAnsi="宋体" w:eastAsia="宋体" w:cs="宋体"/>
                <w:color w:val="auto"/>
              </w:rPr>
              <w:t>投标人的替代方案</w:t>
            </w:r>
          </w:p>
        </w:tc>
        <w:tc>
          <w:tcPr>
            <w:tcW w:w="5501" w:type="dxa"/>
            <w:noWrap w:val="0"/>
            <w:vAlign w:val="center"/>
          </w:tcPr>
          <w:p w14:paraId="429E59FD">
            <w:pPr>
              <w:jc w:val="center"/>
              <w:rPr>
                <w:rFonts w:hint="eastAsia" w:ascii="宋体" w:hAnsi="宋体" w:eastAsia="宋体" w:cs="宋体"/>
                <w:color w:val="auto"/>
              </w:rPr>
            </w:pPr>
            <w:r>
              <w:rPr>
                <w:rFonts w:hint="eastAsia" w:ascii="宋体" w:hAnsi="宋体" w:eastAsia="宋体" w:cs="宋体"/>
                <w:color w:val="auto"/>
              </w:rPr>
              <w:t>不接受</w:t>
            </w:r>
          </w:p>
        </w:tc>
      </w:tr>
      <w:tr w14:paraId="0D634A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1402FABE">
            <w:pPr>
              <w:jc w:val="center"/>
              <w:rPr>
                <w:rFonts w:hint="eastAsia" w:ascii="宋体" w:hAnsi="宋体" w:eastAsia="宋体" w:cs="宋体"/>
                <w:color w:val="auto"/>
              </w:rPr>
            </w:pPr>
            <w:r>
              <w:rPr>
                <w:rFonts w:hint="eastAsia" w:ascii="宋体" w:hAnsi="宋体" w:eastAsia="宋体" w:cs="宋体"/>
                <w:color w:val="auto"/>
              </w:rPr>
              <w:t>25</w:t>
            </w:r>
          </w:p>
        </w:tc>
        <w:tc>
          <w:tcPr>
            <w:tcW w:w="1888" w:type="dxa"/>
            <w:noWrap w:val="0"/>
            <w:vAlign w:val="center"/>
          </w:tcPr>
          <w:p w14:paraId="46D80A65">
            <w:pPr>
              <w:jc w:val="center"/>
              <w:rPr>
                <w:rFonts w:hint="eastAsia" w:ascii="宋体" w:hAnsi="宋体" w:eastAsia="宋体" w:cs="宋体"/>
                <w:color w:val="auto"/>
              </w:rPr>
            </w:pPr>
            <w:r>
              <w:rPr>
                <w:rFonts w:hint="eastAsia" w:ascii="宋体" w:hAnsi="宋体" w:eastAsia="宋体" w:cs="宋体"/>
                <w:color w:val="auto"/>
              </w:rPr>
              <w:t>投标文件的大小</w:t>
            </w:r>
          </w:p>
        </w:tc>
        <w:tc>
          <w:tcPr>
            <w:tcW w:w="5501" w:type="dxa"/>
            <w:noWrap w:val="0"/>
            <w:vAlign w:val="center"/>
          </w:tcPr>
          <w:p w14:paraId="6AAEE8EC">
            <w:pPr>
              <w:jc w:val="center"/>
              <w:rPr>
                <w:rFonts w:hint="eastAsia" w:ascii="宋体" w:hAnsi="宋体" w:eastAsia="宋体" w:cs="宋体"/>
                <w:color w:val="auto"/>
              </w:rPr>
            </w:pPr>
            <w:r>
              <w:rPr>
                <w:rFonts w:hint="eastAsia" w:ascii="宋体" w:hAnsi="宋体" w:eastAsia="宋体" w:cs="宋体"/>
                <w:color w:val="auto"/>
              </w:rPr>
              <w:t>投标文件大小不得超过100MB</w:t>
            </w:r>
          </w:p>
        </w:tc>
      </w:tr>
      <w:tr w14:paraId="1CA3DF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2F146E9C">
            <w:pPr>
              <w:jc w:val="center"/>
              <w:rPr>
                <w:rFonts w:hint="eastAsia" w:ascii="宋体" w:hAnsi="宋体" w:eastAsia="宋体" w:cs="宋体"/>
                <w:color w:val="auto"/>
              </w:rPr>
            </w:pPr>
            <w:r>
              <w:rPr>
                <w:rFonts w:hint="eastAsia" w:ascii="宋体" w:hAnsi="宋体" w:eastAsia="宋体" w:cs="宋体"/>
                <w:color w:val="auto"/>
              </w:rPr>
              <w:t>26</w:t>
            </w:r>
          </w:p>
        </w:tc>
        <w:tc>
          <w:tcPr>
            <w:tcW w:w="1888" w:type="dxa"/>
            <w:noWrap w:val="0"/>
            <w:vAlign w:val="center"/>
          </w:tcPr>
          <w:p w14:paraId="5519334D">
            <w:pPr>
              <w:jc w:val="center"/>
              <w:rPr>
                <w:rFonts w:hint="eastAsia" w:ascii="宋体" w:hAnsi="宋体" w:eastAsia="宋体" w:cs="宋体"/>
                <w:color w:val="auto"/>
              </w:rPr>
            </w:pPr>
            <w:bookmarkStart w:id="28" w:name="_Hlk71664860"/>
            <w:r>
              <w:rPr>
                <w:rFonts w:hint="eastAsia" w:ascii="宋体" w:hAnsi="宋体" w:eastAsia="宋体" w:cs="宋体"/>
                <w:color w:val="auto"/>
              </w:rPr>
              <w:t>样品、现场演示、方案讲解</w:t>
            </w:r>
            <w:bookmarkEnd w:id="28"/>
          </w:p>
        </w:tc>
        <w:tc>
          <w:tcPr>
            <w:tcW w:w="5501" w:type="dxa"/>
            <w:noWrap w:val="0"/>
            <w:vAlign w:val="center"/>
          </w:tcPr>
          <w:p w14:paraId="1F29DDEE">
            <w:pPr>
              <w:jc w:val="center"/>
              <w:rPr>
                <w:rFonts w:hint="eastAsia" w:ascii="宋体" w:hAnsi="宋体" w:eastAsia="宋体" w:cs="宋体"/>
                <w:color w:val="auto"/>
              </w:rPr>
            </w:pPr>
            <w:r>
              <w:rPr>
                <w:rFonts w:hint="eastAsia" w:ascii="宋体" w:hAnsi="宋体" w:eastAsia="宋体" w:cs="宋体"/>
                <w:color w:val="auto"/>
              </w:rPr>
              <w:t xml:space="preserve"> 无</w:t>
            </w:r>
          </w:p>
        </w:tc>
      </w:tr>
      <w:tr w14:paraId="5A9657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6EDA6F3A">
            <w:pPr>
              <w:jc w:val="center"/>
              <w:rPr>
                <w:rFonts w:hint="eastAsia" w:ascii="宋体" w:hAnsi="宋体" w:eastAsia="宋体" w:cs="宋体"/>
                <w:color w:val="auto"/>
              </w:rPr>
            </w:pPr>
            <w:r>
              <w:rPr>
                <w:rFonts w:hint="eastAsia" w:ascii="宋体" w:hAnsi="宋体" w:eastAsia="宋体" w:cs="宋体"/>
                <w:color w:val="auto"/>
              </w:rPr>
              <w:t>37</w:t>
            </w:r>
          </w:p>
        </w:tc>
        <w:tc>
          <w:tcPr>
            <w:tcW w:w="1888" w:type="dxa"/>
            <w:noWrap w:val="0"/>
            <w:vAlign w:val="center"/>
          </w:tcPr>
          <w:p w14:paraId="28D3CA31">
            <w:pPr>
              <w:jc w:val="center"/>
              <w:rPr>
                <w:rFonts w:hint="eastAsia" w:ascii="宋体" w:hAnsi="宋体" w:eastAsia="宋体" w:cs="宋体"/>
                <w:color w:val="auto"/>
              </w:rPr>
            </w:pPr>
            <w:r>
              <w:rPr>
                <w:rFonts w:hint="eastAsia" w:ascii="宋体" w:hAnsi="宋体" w:eastAsia="宋体" w:cs="宋体"/>
                <w:color w:val="auto"/>
              </w:rPr>
              <w:t>评审方法</w:t>
            </w:r>
          </w:p>
        </w:tc>
        <w:tc>
          <w:tcPr>
            <w:tcW w:w="5501" w:type="dxa"/>
            <w:noWrap w:val="0"/>
            <w:vAlign w:val="center"/>
          </w:tcPr>
          <w:p w14:paraId="0E8D03CA">
            <w:pPr>
              <w:jc w:val="center"/>
              <w:rPr>
                <w:rFonts w:hint="eastAsia" w:ascii="宋体" w:hAnsi="宋体" w:eastAsia="宋体" w:cs="宋体"/>
                <w:color w:val="auto"/>
              </w:rPr>
            </w:pPr>
            <w:r>
              <w:rPr>
                <w:rFonts w:hint="eastAsia" w:ascii="宋体" w:hAnsi="宋体" w:eastAsia="宋体" w:cs="宋体"/>
                <w:b/>
                <w:color w:val="auto"/>
              </w:rPr>
              <w:t xml:space="preserve"> </w:t>
            </w:r>
            <w:r>
              <w:rPr>
                <w:rFonts w:hint="eastAsia" w:ascii="宋体" w:hAnsi="宋体" w:eastAsia="宋体" w:cs="宋体"/>
                <w:color w:val="auto"/>
              </w:rPr>
              <w:t>综合评分法</w:t>
            </w:r>
          </w:p>
        </w:tc>
      </w:tr>
      <w:tr w14:paraId="29452A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51D28C89">
            <w:pPr>
              <w:jc w:val="center"/>
              <w:rPr>
                <w:rFonts w:hint="eastAsia" w:ascii="宋体" w:hAnsi="宋体" w:eastAsia="宋体" w:cs="宋体"/>
                <w:color w:val="auto"/>
              </w:rPr>
            </w:pPr>
            <w:r>
              <w:rPr>
                <w:rFonts w:hint="eastAsia" w:ascii="宋体" w:hAnsi="宋体" w:eastAsia="宋体" w:cs="宋体"/>
                <w:color w:val="auto"/>
              </w:rPr>
              <w:t>38</w:t>
            </w:r>
          </w:p>
        </w:tc>
        <w:tc>
          <w:tcPr>
            <w:tcW w:w="1888" w:type="dxa"/>
            <w:noWrap w:val="0"/>
            <w:vAlign w:val="center"/>
          </w:tcPr>
          <w:p w14:paraId="2C043A6B">
            <w:pPr>
              <w:jc w:val="center"/>
              <w:rPr>
                <w:rFonts w:hint="eastAsia" w:ascii="宋体" w:hAnsi="宋体" w:eastAsia="宋体" w:cs="宋体"/>
                <w:color w:val="auto"/>
              </w:rPr>
            </w:pPr>
            <w:r>
              <w:rPr>
                <w:rFonts w:hint="eastAsia" w:ascii="宋体" w:hAnsi="宋体" w:eastAsia="宋体" w:cs="宋体"/>
                <w:color w:val="auto"/>
              </w:rPr>
              <w:t>定标方法</w:t>
            </w:r>
          </w:p>
        </w:tc>
        <w:tc>
          <w:tcPr>
            <w:tcW w:w="5501" w:type="dxa"/>
            <w:noWrap w:val="0"/>
            <w:vAlign w:val="center"/>
          </w:tcPr>
          <w:p w14:paraId="637C9BF8">
            <w:pPr>
              <w:jc w:val="center"/>
              <w:rPr>
                <w:rFonts w:hint="eastAsia" w:ascii="宋体" w:hAnsi="宋体" w:eastAsia="宋体" w:cs="宋体"/>
                <w:color w:val="auto"/>
                <w:lang w:val="en-US" w:eastAsia="zh-CN"/>
              </w:rPr>
            </w:pPr>
            <w:r>
              <w:rPr>
                <w:rFonts w:hint="eastAsia" w:ascii="宋体" w:hAnsi="宋体" w:eastAsia="宋体" w:cs="宋体"/>
                <w:b/>
                <w:bCs/>
                <w:color w:val="auto"/>
                <w:lang w:eastAsia="zh-CN"/>
              </w:rPr>
              <w:t>非评定分离</w:t>
            </w:r>
          </w:p>
        </w:tc>
      </w:tr>
      <w:tr w14:paraId="573B4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78" w:type="dxa"/>
            <w:noWrap w:val="0"/>
            <w:vAlign w:val="center"/>
          </w:tcPr>
          <w:p w14:paraId="2263EF87">
            <w:pPr>
              <w:jc w:val="center"/>
              <w:rPr>
                <w:rFonts w:hint="eastAsia" w:ascii="宋体" w:hAnsi="宋体" w:eastAsia="宋体" w:cs="宋体"/>
                <w:color w:val="auto"/>
              </w:rPr>
            </w:pPr>
            <w:r>
              <w:rPr>
                <w:rFonts w:hint="eastAsia" w:ascii="宋体" w:hAnsi="宋体" w:eastAsia="宋体" w:cs="宋体"/>
                <w:color w:val="auto"/>
              </w:rPr>
              <w:t>46</w:t>
            </w:r>
          </w:p>
        </w:tc>
        <w:tc>
          <w:tcPr>
            <w:tcW w:w="1888" w:type="dxa"/>
            <w:noWrap w:val="0"/>
            <w:vAlign w:val="center"/>
          </w:tcPr>
          <w:p w14:paraId="171F5C20">
            <w:pPr>
              <w:jc w:val="center"/>
              <w:rPr>
                <w:rFonts w:hint="eastAsia" w:ascii="宋体" w:hAnsi="宋体" w:eastAsia="宋体" w:cs="宋体"/>
                <w:color w:val="auto"/>
              </w:rPr>
            </w:pPr>
            <w:r>
              <w:rPr>
                <w:rFonts w:hint="eastAsia" w:ascii="宋体" w:hAnsi="宋体" w:eastAsia="宋体" w:cs="宋体"/>
                <w:color w:val="auto"/>
              </w:rPr>
              <w:t>履约担保</w:t>
            </w:r>
          </w:p>
        </w:tc>
        <w:tc>
          <w:tcPr>
            <w:tcW w:w="5501" w:type="dxa"/>
            <w:noWrap w:val="0"/>
            <w:vAlign w:val="center"/>
          </w:tcPr>
          <w:p w14:paraId="723322DF">
            <w:pPr>
              <w:rPr>
                <w:rFonts w:hint="eastAsia" w:ascii="宋体" w:hAnsi="宋体" w:cs="宋体"/>
                <w:szCs w:val="21"/>
              </w:rPr>
            </w:pPr>
            <w:r>
              <w:rPr>
                <w:rFonts w:hint="eastAsia" w:ascii="宋体" w:hAnsi="宋体" w:eastAsia="宋体" w:cs="宋体"/>
                <w:szCs w:val="21"/>
                <w:lang w:val="en-US" w:eastAsia="zh-CN"/>
              </w:rPr>
              <w:t>1.</w:t>
            </w:r>
            <w:r>
              <w:rPr>
                <w:rFonts w:hint="eastAsia" w:ascii="宋体" w:hAnsi="宋体" w:cs="宋体"/>
                <w:szCs w:val="21"/>
              </w:rPr>
              <w:t>中标供应商在取得中标通知书的十个工作日内须向</w:t>
            </w:r>
            <w:r>
              <w:rPr>
                <w:rFonts w:hint="eastAsia" w:ascii="宋体" w:hAnsi="宋体" w:eastAsia="宋体" w:cs="宋体"/>
                <w:szCs w:val="21"/>
                <w:lang w:eastAsia="zh-CN"/>
              </w:rPr>
              <w:t>采购单位</w:t>
            </w:r>
            <w:r>
              <w:rPr>
                <w:rFonts w:hint="eastAsia" w:ascii="宋体" w:hAnsi="宋体" w:cs="宋体"/>
                <w:szCs w:val="21"/>
              </w:rPr>
              <w:t>提交</w:t>
            </w:r>
            <w:r>
              <w:rPr>
                <w:rFonts w:hint="eastAsia" w:ascii="宋体" w:hAnsi="宋体" w:eastAsia="宋体" w:cs="宋体"/>
                <w:szCs w:val="21"/>
                <w:lang w:eastAsia="zh-CN"/>
              </w:rPr>
              <w:t>合同金额</w:t>
            </w:r>
            <w:r>
              <w:rPr>
                <w:rFonts w:hint="eastAsia" w:ascii="宋体" w:hAnsi="宋体" w:eastAsia="宋体" w:cs="宋体"/>
                <w:szCs w:val="21"/>
                <w:lang w:val="en-US" w:eastAsia="zh-CN"/>
              </w:rPr>
              <w:t>10%</w:t>
            </w:r>
            <w:r>
              <w:rPr>
                <w:rFonts w:hint="eastAsia" w:ascii="宋体" w:hAnsi="宋体" w:cs="宋体"/>
                <w:szCs w:val="21"/>
              </w:rPr>
              <w:t>的</w:t>
            </w:r>
            <w:r>
              <w:rPr>
                <w:rFonts w:hint="eastAsia" w:ascii="宋体" w:hAnsi="宋体" w:cs="宋体"/>
                <w:szCs w:val="21"/>
                <w:lang w:val="en-US" w:eastAsia="zh-CN"/>
              </w:rPr>
              <w:t>履约担保金</w:t>
            </w:r>
            <w:r>
              <w:rPr>
                <w:rFonts w:hint="eastAsia" w:ascii="宋体" w:hAnsi="宋体" w:cs="宋体"/>
                <w:szCs w:val="21"/>
              </w:rPr>
              <w:t>，并签订服务合同。在中标供应商完成其合同义务，包括任何保证义务后30日历天内，办理退还履约担保手续。</w:t>
            </w:r>
          </w:p>
          <w:p w14:paraId="75215559">
            <w:pPr>
              <w:pStyle w:val="16"/>
              <w:rPr>
                <w:rFonts w:hint="eastAsia" w:ascii="宋体" w:hAnsi="宋体" w:eastAsia="宋体" w:cs="宋体"/>
                <w:color w:val="auto"/>
                <w:szCs w:val="21"/>
                <w:lang w:val="en-US" w:eastAsia="zh-CN"/>
              </w:rPr>
            </w:pPr>
            <w:r>
              <w:rPr>
                <w:rFonts w:hint="eastAsia" w:ascii="宋体" w:hAnsi="宋体" w:cs="宋体"/>
                <w:szCs w:val="21"/>
                <w:lang w:val="en-US" w:eastAsia="zh-CN"/>
              </w:rPr>
              <w:t>2.</w:t>
            </w:r>
            <w:r>
              <w:rPr>
                <w:rFonts w:hint="eastAsia"/>
                <w:lang w:val="en-US" w:eastAsia="zh-CN"/>
              </w:rPr>
              <w:t>本项目履约担保金，</w:t>
            </w:r>
            <w:r>
              <w:rPr>
                <w:rFonts w:hint="default"/>
                <w:lang w:val="en-US" w:eastAsia="zh-CN"/>
              </w:rPr>
              <w:t>投标供应商自主选择以支票、汇票、本票、保函等非现金形式缴纳或提交。采购人逾期退还履约保证金的，向中标人每日偿付履约保证金的0.5‰的利息。如中标供应商未能履行合同规定的义务，采购单位有权从履约保证金中取得</w:t>
            </w:r>
            <w:r>
              <w:rPr>
                <w:rFonts w:hint="eastAsia"/>
                <w:lang w:val="en-US" w:eastAsia="zh-CN"/>
              </w:rPr>
              <w:t>相应</w:t>
            </w:r>
            <w:r>
              <w:rPr>
                <w:rFonts w:hint="default"/>
                <w:lang w:val="en-US" w:eastAsia="zh-CN"/>
              </w:rPr>
              <w:t>补偿。因中标人原因而未能达到本项目验收标准或验收不通过的，履约保证金不予退还。</w:t>
            </w:r>
          </w:p>
        </w:tc>
      </w:tr>
    </w:tbl>
    <w:p w14:paraId="7C53DE00">
      <w:pPr>
        <w:rPr>
          <w:rFonts w:hint="eastAsia" w:ascii="宋体" w:hAnsi="宋体" w:eastAsia="宋体" w:cs="宋体"/>
          <w:b/>
          <w:color w:val="auto"/>
        </w:rPr>
      </w:pPr>
      <w:r>
        <w:rPr>
          <w:rFonts w:hint="eastAsia" w:ascii="宋体" w:hAnsi="宋体" w:eastAsia="宋体" w:cs="宋体"/>
          <w:color w:val="auto"/>
          <w:szCs w:val="21"/>
        </w:rPr>
        <w:t>备注：本表是通用条款相关条款的补充和明确，如与通用条款内容相冲突的，以本表为准。</w:t>
      </w:r>
      <w:r>
        <w:rPr>
          <w:rFonts w:hint="eastAsia" w:ascii="宋体" w:hAnsi="宋体" w:eastAsia="宋体" w:cs="宋体"/>
          <w:b/>
          <w:bCs/>
          <w:color w:val="auto"/>
          <w:szCs w:val="21"/>
        </w:rPr>
        <w:t>本项目使用深圳政府采购智慧平台进行操作，通用条款中如有与深圳政府采购智慧平台操作流程不一致的内容，请以深圳政府采购智慧平台zfcg.szggzy.com:8081公布的操作手册内容为准。</w:t>
      </w:r>
    </w:p>
    <w:p w14:paraId="6F4AF7E7">
      <w:pPr>
        <w:rPr>
          <w:rFonts w:hint="eastAsia" w:ascii="宋体" w:hAnsi="宋体" w:eastAsia="宋体" w:cs="宋体"/>
          <w:b/>
          <w:color w:val="auto"/>
        </w:rPr>
      </w:pPr>
    </w:p>
    <w:p w14:paraId="40CD5020">
      <w:pPr>
        <w:jc w:val="center"/>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二、其他关键信息</w:t>
      </w:r>
    </w:p>
    <w:p w14:paraId="3868310D">
      <w:pPr>
        <w:ind w:firstLine="482" w:firstLineChars="200"/>
        <w:rPr>
          <w:rFonts w:hint="eastAsia" w:ascii="宋体" w:hAnsi="宋体" w:eastAsia="宋体" w:cs="宋体"/>
          <w:b/>
          <w:bCs/>
          <w:color w:val="auto"/>
        </w:rPr>
      </w:pPr>
      <w:r>
        <w:rPr>
          <w:rFonts w:hint="eastAsia" w:ascii="宋体" w:hAnsi="宋体" w:eastAsia="宋体" w:cs="宋体"/>
          <w:b/>
          <w:bCs/>
          <w:color w:val="auto"/>
        </w:rPr>
        <w:t>（一）评标定标信息</w:t>
      </w:r>
    </w:p>
    <w:p w14:paraId="205019FE">
      <w:pPr>
        <w:ind w:firstLine="480" w:firstLineChars="200"/>
        <w:rPr>
          <w:rFonts w:hint="eastAsia" w:ascii="宋体" w:hAnsi="宋体" w:eastAsia="宋体" w:cs="宋体"/>
          <w:color w:val="auto"/>
          <w:sz w:val="24"/>
        </w:rPr>
      </w:pPr>
      <w:r>
        <w:rPr>
          <w:rFonts w:hint="eastAsia" w:ascii="宋体" w:hAnsi="宋体" w:eastAsia="宋体" w:cs="宋体"/>
          <w:color w:val="auto"/>
          <w:sz w:val="24"/>
        </w:rPr>
        <w:t>本次评标采用综合评分法，</w:t>
      </w:r>
      <w:r>
        <w:rPr>
          <w:rFonts w:hint="eastAsia" w:ascii="宋体" w:hAnsi="宋体" w:eastAsia="宋体" w:cs="宋体"/>
          <w:bCs/>
          <w:color w:val="auto"/>
          <w:sz w:val="24"/>
        </w:rPr>
        <w:t>投标文件满足招标文件全部实质性要求，且按照</w:t>
      </w:r>
      <w:r>
        <w:rPr>
          <w:rFonts w:hint="eastAsia" w:ascii="宋体" w:hAnsi="宋体" w:eastAsia="宋体" w:cs="宋体"/>
          <w:color w:val="auto"/>
          <w:sz w:val="24"/>
        </w:rPr>
        <w:t>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w:t>
      </w:r>
      <w:r>
        <w:rPr>
          <w:rFonts w:hint="eastAsia" w:ascii="宋体" w:hAnsi="宋体" w:eastAsia="宋体" w:cs="宋体"/>
          <w:bCs/>
          <w:color w:val="auto"/>
          <w:sz w:val="24"/>
        </w:rPr>
        <w:t>以评审总得分排名前三名的投标人作为中标候选人，进入定标环节。</w:t>
      </w:r>
    </w:p>
    <w:p w14:paraId="3C44A007">
      <w:pPr>
        <w:ind w:firstLine="480" w:firstLineChars="200"/>
        <w:rPr>
          <w:rFonts w:hint="eastAsia" w:ascii="宋体" w:hAnsi="宋体" w:eastAsia="宋体" w:cs="宋体"/>
          <w:color w:val="auto"/>
          <w:sz w:val="24"/>
        </w:rPr>
      </w:pPr>
      <w:r>
        <w:rPr>
          <w:rFonts w:hint="eastAsia" w:ascii="宋体" w:hAnsi="宋体" w:eastAsia="宋体" w:cs="宋体"/>
          <w:color w:val="auto"/>
          <w:sz w:val="24"/>
        </w:rPr>
        <w:t>评审委员会对每个通过资格性检查和符合性检查且报价不超过最高限价的投标人进行评审、打分，然后汇总每个投标人每项</w:t>
      </w:r>
      <w:r>
        <w:rPr>
          <w:rFonts w:hint="eastAsia" w:ascii="宋体" w:hAnsi="宋体" w:eastAsia="宋体" w:cs="宋体"/>
          <w:color w:val="auto"/>
          <w:sz w:val="24"/>
          <w:lang w:eastAsia="zh-CN"/>
        </w:rPr>
        <w:t>评审因素</w:t>
      </w:r>
      <w:r>
        <w:rPr>
          <w:rFonts w:hint="eastAsia" w:ascii="宋体" w:hAnsi="宋体" w:eastAsia="宋体" w:cs="宋体"/>
          <w:color w:val="auto"/>
          <w:sz w:val="24"/>
        </w:rPr>
        <w:t>的评分。</w:t>
      </w:r>
    </w:p>
    <w:p w14:paraId="0F66CEF8">
      <w:pPr>
        <w:ind w:firstLine="480" w:firstLineChars="200"/>
        <w:rPr>
          <w:rFonts w:hint="eastAsia" w:ascii="宋体" w:hAnsi="宋体" w:eastAsia="宋体" w:cs="宋体"/>
          <w:color w:val="auto"/>
        </w:rPr>
      </w:pPr>
      <w:r>
        <w:rPr>
          <w:rFonts w:hint="eastAsia" w:ascii="宋体" w:hAnsi="宋体" w:eastAsia="宋体" w:cs="宋体"/>
          <w:color w:val="auto"/>
          <w:sz w:val="24"/>
        </w:rPr>
        <w:t>评委会在评审时，按照《评标信息》中的评审因素，对进入该阶段评审的各投标文件进行分析和比较。</w:t>
      </w:r>
    </w:p>
    <w:tbl>
      <w:tblPr>
        <w:tblStyle w:val="36"/>
        <w:tblpPr w:leftFromText="180" w:rightFromText="180" w:vertAnchor="text" w:horzAnchor="page" w:tblpX="1989" w:tblpY="141"/>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65"/>
      </w:tblGrid>
      <w:tr w14:paraId="708E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0" w:type="dxa"/>
            <w:noWrap w:val="0"/>
            <w:vAlign w:val="top"/>
          </w:tcPr>
          <w:p w14:paraId="4B89A89D">
            <w:pPr>
              <w:widowControl w:val="0"/>
              <w:jc w:val="center"/>
              <w:rPr>
                <w:rFonts w:hint="eastAsia" w:ascii="宋体" w:hAnsi="宋体" w:eastAsia="宋体" w:cs="宋体"/>
                <w:color w:val="auto"/>
              </w:rPr>
            </w:pPr>
            <w:bookmarkStart w:id="29" w:name="_Hlk74239733"/>
            <w:r>
              <w:rPr>
                <w:rFonts w:hint="eastAsia" w:ascii="宋体" w:hAnsi="宋体" w:eastAsia="宋体" w:cs="宋体"/>
                <w:color w:val="auto"/>
              </w:rPr>
              <w:t>评标方法</w:t>
            </w:r>
          </w:p>
        </w:tc>
        <w:tc>
          <w:tcPr>
            <w:tcW w:w="4065" w:type="dxa"/>
            <w:noWrap w:val="0"/>
            <w:vAlign w:val="top"/>
          </w:tcPr>
          <w:p w14:paraId="6D837BC1">
            <w:pPr>
              <w:widowControl w:val="0"/>
              <w:jc w:val="center"/>
              <w:rPr>
                <w:rFonts w:hint="eastAsia" w:ascii="宋体" w:hAnsi="宋体" w:eastAsia="宋体" w:cs="宋体"/>
                <w:color w:val="auto"/>
              </w:rPr>
            </w:pPr>
            <w:r>
              <w:rPr>
                <w:rFonts w:hint="eastAsia" w:ascii="宋体" w:hAnsi="宋体" w:eastAsia="宋体" w:cs="宋体"/>
                <w:color w:val="auto"/>
              </w:rPr>
              <w:t>综合评分法</w:t>
            </w:r>
          </w:p>
        </w:tc>
      </w:tr>
      <w:tr w14:paraId="11C7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1EC5ED1E">
            <w:pPr>
              <w:widowControl w:val="0"/>
              <w:jc w:val="center"/>
              <w:rPr>
                <w:rFonts w:hint="eastAsia" w:ascii="宋体" w:hAnsi="宋体" w:eastAsia="宋体" w:cs="宋体"/>
                <w:color w:val="auto"/>
              </w:rPr>
            </w:pPr>
            <w:r>
              <w:rPr>
                <w:rFonts w:hint="eastAsia" w:ascii="宋体" w:hAnsi="宋体" w:eastAsia="宋体" w:cs="宋体"/>
                <w:color w:val="auto"/>
              </w:rPr>
              <w:t>候选中标供应商家数</w:t>
            </w:r>
          </w:p>
        </w:tc>
        <w:tc>
          <w:tcPr>
            <w:tcW w:w="4065" w:type="dxa"/>
            <w:noWrap w:val="0"/>
            <w:vAlign w:val="top"/>
          </w:tcPr>
          <w:p w14:paraId="2BFE647F">
            <w:pPr>
              <w:widowControl w:val="0"/>
              <w:jc w:val="center"/>
              <w:rPr>
                <w:rFonts w:hint="eastAsia" w:ascii="宋体" w:hAnsi="宋体" w:eastAsia="宋体" w:cs="宋体"/>
                <w:color w:val="auto"/>
              </w:rPr>
            </w:pPr>
            <w:r>
              <w:rPr>
                <w:rFonts w:hint="eastAsia" w:ascii="宋体" w:hAnsi="宋体" w:eastAsia="宋体" w:cs="宋体"/>
                <w:color w:val="auto"/>
              </w:rPr>
              <w:t>3</w:t>
            </w:r>
          </w:p>
        </w:tc>
      </w:tr>
      <w:tr w14:paraId="6947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noWrap w:val="0"/>
            <w:vAlign w:val="top"/>
          </w:tcPr>
          <w:p w14:paraId="42A9C725">
            <w:pPr>
              <w:widowControl w:val="0"/>
              <w:jc w:val="center"/>
              <w:rPr>
                <w:rFonts w:hint="eastAsia" w:ascii="宋体" w:hAnsi="宋体" w:eastAsia="宋体" w:cs="宋体"/>
                <w:color w:val="auto"/>
              </w:rPr>
            </w:pPr>
            <w:r>
              <w:rPr>
                <w:rFonts w:hint="eastAsia" w:ascii="宋体" w:hAnsi="宋体" w:eastAsia="宋体" w:cs="宋体"/>
                <w:color w:val="auto"/>
              </w:rPr>
              <w:t>中标供应商家数</w:t>
            </w:r>
          </w:p>
        </w:tc>
        <w:tc>
          <w:tcPr>
            <w:tcW w:w="4065" w:type="dxa"/>
            <w:noWrap w:val="0"/>
            <w:vAlign w:val="top"/>
          </w:tcPr>
          <w:p w14:paraId="29D68ECA">
            <w:pPr>
              <w:widowControl w:val="0"/>
              <w:jc w:val="center"/>
              <w:rPr>
                <w:rFonts w:hint="eastAsia" w:ascii="宋体" w:hAnsi="宋体" w:eastAsia="宋体" w:cs="宋体"/>
                <w:color w:val="auto"/>
              </w:rPr>
            </w:pPr>
            <w:r>
              <w:rPr>
                <w:rFonts w:hint="eastAsia" w:ascii="宋体" w:hAnsi="宋体" w:eastAsia="宋体" w:cs="宋体"/>
                <w:color w:val="auto"/>
              </w:rPr>
              <w:t>1</w:t>
            </w:r>
            <w:bookmarkEnd w:id="29"/>
          </w:p>
        </w:tc>
      </w:tr>
    </w:tbl>
    <w:p w14:paraId="5899CEB1">
      <w:pPr>
        <w:pStyle w:val="2"/>
        <w:rPr>
          <w:rFonts w:hint="eastAsia" w:ascii="宋体" w:hAnsi="宋体" w:eastAsia="宋体" w:cs="宋体"/>
          <w:color w:val="auto"/>
          <w:lang w:eastAsia="zh-CN"/>
        </w:rPr>
      </w:pPr>
    </w:p>
    <w:p w14:paraId="4FE54413">
      <w:pPr>
        <w:spacing w:line="360" w:lineRule="auto"/>
        <w:ind w:firstLine="482" w:firstLineChars="200"/>
        <w:rPr>
          <w:rFonts w:hint="eastAsia" w:ascii="宋体" w:hAnsi="宋体" w:eastAsia="宋体" w:cs="宋体"/>
          <w:b/>
          <w:bCs/>
          <w:color w:val="auto"/>
        </w:rPr>
      </w:pPr>
      <w:r>
        <w:rPr>
          <w:rFonts w:hint="eastAsia" w:ascii="宋体" w:hAnsi="宋体" w:eastAsia="宋体" w:cs="宋体"/>
          <w:b/>
          <w:color w:val="auto"/>
        </w:rPr>
        <w:t>（二）其他事项</w:t>
      </w:r>
    </w:p>
    <w:p w14:paraId="2A436372">
      <w:pPr>
        <w:keepNext w:val="0"/>
        <w:keepLines w:val="0"/>
        <w:pageBreakBefore w:val="0"/>
        <w:widowControl/>
        <w:snapToGrid/>
        <w:spacing w:line="360" w:lineRule="auto"/>
        <w:ind w:firstLine="482" w:firstLineChars="200"/>
        <w:rPr>
          <w:rFonts w:hint="eastAsia" w:ascii="宋体" w:hAnsi="宋体" w:eastAsia="宋体" w:cs="宋体"/>
          <w:b/>
          <w:bCs/>
          <w:color w:val="auto"/>
        </w:rPr>
      </w:pPr>
      <w:r>
        <w:rPr>
          <w:rFonts w:hint="eastAsia" w:ascii="宋体" w:hAnsi="宋体" w:eastAsia="宋体" w:cs="宋体"/>
          <w:b/>
          <w:bCs/>
          <w:color w:val="auto"/>
        </w:rPr>
        <w:t>1</w:t>
      </w:r>
      <w:r>
        <w:rPr>
          <w:rFonts w:hint="eastAsia" w:ascii="宋体" w:hAnsi="宋体" w:eastAsia="宋体" w:cs="宋体"/>
          <w:b/>
          <w:bCs/>
          <w:color w:val="auto"/>
          <w:lang w:val="en-US" w:eastAsia="zh-CN"/>
        </w:rPr>
        <w:t>.</w:t>
      </w:r>
      <w:r>
        <w:rPr>
          <w:rFonts w:hint="eastAsia" w:ascii="宋体" w:hAnsi="宋体" w:eastAsia="宋体" w:cs="宋体"/>
          <w:b/>
          <w:bCs/>
          <w:color w:val="auto"/>
        </w:rPr>
        <w:t>关于享受优惠政策的主体及价格扣除比例</w:t>
      </w:r>
    </w:p>
    <w:p w14:paraId="1EDAB75F">
      <w:pPr>
        <w:keepNext w:val="0"/>
        <w:keepLines w:val="0"/>
        <w:pageBreakBefore w:val="0"/>
        <w:widowControl/>
        <w:snapToGrid/>
        <w:spacing w:line="240" w:lineRule="auto"/>
        <w:ind w:firstLine="480" w:firstLineChars="200"/>
        <w:jc w:val="both"/>
        <w:rPr>
          <w:rFonts w:hint="eastAsia" w:ascii="宋体" w:hAnsi="宋体" w:eastAsia="宋体" w:cs="宋体"/>
          <w:color w:val="auto"/>
        </w:rPr>
      </w:pPr>
      <w:r>
        <w:rPr>
          <w:rFonts w:hint="eastAsia" w:ascii="宋体" w:hAnsi="宋体" w:eastAsia="宋体" w:cs="宋体"/>
          <w:color w:val="auto"/>
        </w:rPr>
        <w:t>（1）投标人提供的服务全部均由优惠主体承接，则对其投标总价给予 10</w:t>
      </w:r>
      <w:r>
        <w:rPr>
          <w:rFonts w:hint="eastAsia" w:ascii="宋体" w:hAnsi="宋体" w:eastAsia="宋体" w:cs="宋体"/>
          <w:color w:val="auto"/>
          <w:lang w:val="en-US" w:eastAsia="zh-CN"/>
        </w:rPr>
        <w:t>%</w:t>
      </w:r>
      <w:r>
        <w:rPr>
          <w:rFonts w:hint="eastAsia" w:ascii="宋体" w:hAnsi="宋体" w:eastAsia="宋体" w:cs="宋体"/>
          <w:color w:val="auto"/>
        </w:rPr>
        <w:t>的扣除，用扣除后的价格参与评审。</w:t>
      </w:r>
    </w:p>
    <w:p w14:paraId="763DF69D">
      <w:pPr>
        <w:keepNext w:val="0"/>
        <w:keepLines w:val="0"/>
        <w:pageBreakBefore w:val="0"/>
        <w:widowControl/>
        <w:snapToGrid/>
        <w:spacing w:line="240" w:lineRule="auto"/>
        <w:ind w:firstLine="480" w:firstLineChars="200"/>
        <w:jc w:val="both"/>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宋体" w:hAnsi="宋体" w:eastAsia="宋体" w:cs="宋体"/>
          <w:color w:val="auto"/>
          <w:lang w:val="en-US" w:eastAsia="zh-CN"/>
        </w:rPr>
        <w:t>4</w:t>
      </w:r>
      <w:r>
        <w:rPr>
          <w:rFonts w:hint="eastAsia" w:ascii="宋体" w:hAnsi="宋体" w:eastAsia="宋体" w:cs="宋体"/>
          <w:color w:val="auto"/>
        </w:rPr>
        <w:t>%的扣除。</w:t>
      </w:r>
    </w:p>
    <w:p w14:paraId="692FB716">
      <w:pPr>
        <w:keepNext w:val="0"/>
        <w:keepLines w:val="0"/>
        <w:pageBreakBefore w:val="0"/>
        <w:widowControl/>
        <w:snapToGrid/>
        <w:spacing w:line="240" w:lineRule="auto"/>
        <w:ind w:firstLine="480" w:firstLineChars="200"/>
        <w:jc w:val="both"/>
        <w:rPr>
          <w:rFonts w:hint="eastAsia" w:ascii="宋体" w:hAnsi="宋体" w:eastAsia="宋体" w:cs="宋体"/>
          <w:b/>
          <w:bCs/>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满足多项优惠政策的企业，不重复享受多项价格扣除政策。</w:t>
      </w:r>
      <w:r>
        <w:rPr>
          <w:rFonts w:hint="eastAsia" w:ascii="宋体" w:hAnsi="宋体" w:eastAsia="宋体" w:cs="宋体"/>
          <w:b/>
          <w:bCs/>
          <w:color w:val="auto"/>
        </w:rPr>
        <w:t>政策调整后价格仅作为评审依据，不作为中标价格。享受价格扣除获得政府采购合同的，小微企业不得将合同分包给大中型企业。</w:t>
      </w:r>
    </w:p>
    <w:p w14:paraId="43EE8C2B">
      <w:pPr>
        <w:keepNext w:val="0"/>
        <w:keepLines w:val="0"/>
        <w:pageBreakBefore w:val="0"/>
        <w:widowControl/>
        <w:tabs>
          <w:tab w:val="left" w:pos="720"/>
        </w:tabs>
        <w:snapToGrid/>
        <w:spacing w:line="240" w:lineRule="auto"/>
        <w:ind w:firstLine="480" w:firstLineChars="200"/>
        <w:jc w:val="both"/>
        <w:rPr>
          <w:rFonts w:hint="eastAsia" w:ascii="宋体" w:hAnsi="宋体" w:eastAsia="宋体" w:cs="宋体"/>
          <w:bCs/>
          <w:color w:val="auto"/>
        </w:rPr>
      </w:pPr>
      <w:r>
        <w:rPr>
          <w:rFonts w:hint="eastAsia" w:ascii="宋体" w:hAnsi="宋体" w:eastAsia="宋体" w:cs="宋体"/>
          <w:color w:val="auto"/>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c)</w:t>
      </w:r>
      <w:r>
        <w:rPr>
          <w:rFonts w:hint="eastAsia" w:ascii="宋体" w:hAnsi="宋体" w:eastAsia="宋体" w:cs="宋体"/>
          <w:bCs/>
          <w:color w:val="auto"/>
        </w:rPr>
        <w:t>小型企业、微型企业、残疾人福利性单位作为优惠主体的认定资料为《中小企业声明函》、《残疾人福利性单位声明函》；监狱企业作为优惠主体的认定资料为省级以上监狱管理局、戒毒管理局出具的监狱企业证明文件。</w:t>
      </w:r>
    </w:p>
    <w:p w14:paraId="5DA65D68">
      <w:pPr>
        <w:keepNext w:val="0"/>
        <w:keepLines w:val="0"/>
        <w:pageBreakBefore w:val="0"/>
        <w:widowControl/>
        <w:tabs>
          <w:tab w:val="left" w:pos="720"/>
        </w:tabs>
        <w:snapToGrid/>
        <w:spacing w:line="240" w:lineRule="auto"/>
        <w:ind w:firstLine="480" w:firstLineChars="200"/>
        <w:jc w:val="both"/>
        <w:rPr>
          <w:rFonts w:hint="eastAsia" w:ascii="宋体" w:hAnsi="宋体" w:eastAsia="宋体" w:cs="宋体"/>
          <w:bCs/>
          <w:color w:val="auto"/>
        </w:rPr>
      </w:pPr>
      <w:r>
        <w:rPr>
          <w:rFonts w:hint="eastAsia" w:ascii="宋体" w:hAnsi="宋体" w:eastAsia="宋体" w:cs="宋体"/>
          <w:bCs/>
          <w:color w:val="auto"/>
        </w:rPr>
        <w:t>本项目采购标的对应的中小企业划分标准所属行业，根据《中小企业划型标准规定》（工信部联企业〔2011〕300号）、《统计上大中小微型企业划分办法（2017）》（国统字〔2017〕213号）或国务院批准的其他中小企业划分标准文件确定。</w:t>
      </w:r>
    </w:p>
    <w:p w14:paraId="75392B70">
      <w:pPr>
        <w:keepNext w:val="0"/>
        <w:keepLines w:val="0"/>
        <w:pageBreakBefore w:val="0"/>
        <w:widowControl/>
        <w:snapToGrid/>
        <w:spacing w:line="360" w:lineRule="auto"/>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2.关于落实政府绿色采购有关事项</w:t>
      </w:r>
    </w:p>
    <w:p w14:paraId="511D008D">
      <w:pPr>
        <w:keepNext w:val="0"/>
        <w:keepLines w:val="0"/>
        <w:pageBreakBefore w:val="0"/>
        <w:widowControl/>
        <w:tabs>
          <w:tab w:val="left" w:pos="720"/>
        </w:tabs>
        <w:snapToGrid/>
        <w:spacing w:line="240" w:lineRule="auto"/>
        <w:ind w:firstLine="480" w:firstLineChars="200"/>
        <w:jc w:val="both"/>
        <w:rPr>
          <w:rFonts w:hint="eastAsia" w:ascii="宋体" w:hAnsi="宋体" w:eastAsia="宋体" w:cs="宋体"/>
          <w:bCs/>
          <w:color w:val="auto"/>
          <w:lang w:val="en-US" w:eastAsia="zh-CN"/>
        </w:rPr>
      </w:pPr>
      <w:r>
        <w:rPr>
          <w:rFonts w:hint="eastAsia" w:ascii="宋体" w:hAnsi="宋体" w:eastAsia="宋体" w:cs="宋体"/>
          <w:bCs/>
          <w:color w:val="auto"/>
          <w:lang w:val="en-US" w:eastAsia="zh-CN"/>
        </w:rPr>
        <w:t>根据《深圳市财政局关于大力推广政府绿色采购有关事项的通知》（深财购〔2023〕49号）要求，如拟采购的产品属于节能产品或环境标志产品政府采购品目清单范围的，将在采购需求中对产品进行标识，并依据国家确认的认证机构出具的、处于有效期之内的节能产品或环境标志产品认证证书，对获得证书的产品实施政府优先采购或强制采购。如项目涉及商品包装、快递包装、绿色建筑和绿色建材、绿色数据中心等内容，需求标准将严格执行《商品包装政府采购需求标准（试行）》、《快递包装政府采购需求标准（试行）》（财办库〔2020〕123号）、《绿色建筑和绿色建材政府采购需求标准》（财办库〔2022〕35号）、《绿色数据中心政府采购需求标准（试行）》（财办库〔2023〕7号）等文件要求，并在采购文件和采购合同中载明具体需求、履约验收条款和违约责任，促进绿色包装、绿色运输、绿色建筑、绿色建材和绿色数据中心在政府采购领域的应用。</w:t>
      </w:r>
    </w:p>
    <w:p w14:paraId="2B649AFD">
      <w:pPr>
        <w:spacing w:line="360" w:lineRule="auto"/>
        <w:jc w:val="center"/>
        <w:rPr>
          <w:rFonts w:hint="eastAsia" w:ascii="宋体" w:hAnsi="宋体" w:eastAsia="宋体" w:cs="宋体"/>
          <w:b/>
          <w:bCs/>
          <w:color w:val="auto"/>
          <w:sz w:val="28"/>
          <w:szCs w:val="28"/>
          <w:lang w:eastAsia="zh-CN"/>
        </w:rPr>
      </w:pPr>
      <w:bookmarkStart w:id="30" w:name="_Toc128884461"/>
    </w:p>
    <w:p w14:paraId="3146AA8C">
      <w:pPr>
        <w:keepNext w:val="0"/>
        <w:keepLines w:val="0"/>
        <w:pageBreakBefore w:val="0"/>
        <w:widowControl/>
        <w:snapToGrid/>
        <w:spacing w:line="360" w:lineRule="auto"/>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第三章 用户需求书</w:t>
      </w:r>
      <w:bookmarkEnd w:id="30"/>
    </w:p>
    <w:p w14:paraId="2ADED878">
      <w:pPr>
        <w:spacing w:line="360" w:lineRule="auto"/>
        <w:jc w:val="center"/>
        <w:outlineLvl w:val="2"/>
        <w:rPr>
          <w:rFonts w:hint="eastAsia" w:ascii="宋体" w:hAnsi="宋体" w:eastAsia="宋体" w:cs="宋体"/>
          <w:b/>
          <w:bCs/>
          <w:color w:val="auto"/>
        </w:rPr>
      </w:pPr>
      <w:bookmarkStart w:id="31" w:name="_Toc11426270"/>
      <w:r>
        <w:rPr>
          <w:rFonts w:hint="eastAsia" w:ascii="宋体" w:hAnsi="宋体" w:eastAsia="宋体" w:cs="宋体"/>
          <w:b/>
          <w:bCs/>
          <w:color w:val="auto"/>
        </w:rPr>
        <w:t>一、项目基本信息</w:t>
      </w:r>
    </w:p>
    <w:tbl>
      <w:tblPr>
        <w:tblStyle w:val="35"/>
        <w:tblpPr w:leftFromText="180" w:rightFromText="180" w:vertAnchor="text" w:horzAnchor="margin" w:tblpXSpec="center" w:tblpY="173"/>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166"/>
        <w:gridCol w:w="2175"/>
        <w:gridCol w:w="2205"/>
        <w:gridCol w:w="1224"/>
      </w:tblGrid>
      <w:tr w14:paraId="6041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shd w:val="clear" w:color="auto" w:fill="C6D9F0" w:themeFill="text2" w:themeFillTint="33"/>
            <w:noWrap w:val="0"/>
            <w:vAlign w:val="center"/>
          </w:tcPr>
          <w:p w14:paraId="766F3A19">
            <w:pPr>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166" w:type="dxa"/>
            <w:shd w:val="clear" w:color="auto" w:fill="C6D9F0" w:themeFill="text2" w:themeFillTint="33"/>
            <w:noWrap w:val="0"/>
            <w:vAlign w:val="center"/>
          </w:tcPr>
          <w:p w14:paraId="1949D9FC">
            <w:pPr>
              <w:jc w:val="center"/>
              <w:rPr>
                <w:rFonts w:hint="eastAsia" w:ascii="宋体" w:hAnsi="宋体" w:eastAsia="宋体" w:cs="宋体"/>
                <w:b/>
                <w:color w:val="auto"/>
                <w:szCs w:val="21"/>
              </w:rPr>
            </w:pPr>
            <w:r>
              <w:rPr>
                <w:rFonts w:hint="eastAsia" w:ascii="宋体" w:hAnsi="宋体" w:eastAsia="宋体" w:cs="宋体"/>
                <w:b/>
                <w:color w:val="auto"/>
                <w:szCs w:val="21"/>
              </w:rPr>
              <w:t>采购项目名称</w:t>
            </w:r>
          </w:p>
        </w:tc>
        <w:tc>
          <w:tcPr>
            <w:tcW w:w="2175" w:type="dxa"/>
            <w:shd w:val="clear" w:color="auto" w:fill="C6D9F0" w:themeFill="text2" w:themeFillTint="33"/>
            <w:noWrap w:val="0"/>
            <w:vAlign w:val="center"/>
          </w:tcPr>
          <w:p w14:paraId="4CDB6EEA">
            <w:pPr>
              <w:jc w:val="center"/>
              <w:rPr>
                <w:rFonts w:hint="eastAsia" w:ascii="宋体" w:hAnsi="宋体" w:eastAsia="宋体" w:cs="宋体"/>
                <w:b/>
                <w:color w:val="auto"/>
                <w:szCs w:val="21"/>
              </w:rPr>
            </w:pPr>
            <w:r>
              <w:rPr>
                <w:rFonts w:hint="eastAsia" w:ascii="宋体" w:hAnsi="宋体" w:eastAsia="宋体" w:cs="宋体"/>
                <w:b/>
                <w:color w:val="auto"/>
                <w:szCs w:val="21"/>
              </w:rPr>
              <w:t>财政预算限额（元）</w:t>
            </w:r>
          </w:p>
        </w:tc>
        <w:tc>
          <w:tcPr>
            <w:tcW w:w="2205" w:type="dxa"/>
            <w:shd w:val="clear" w:color="auto" w:fill="C6D9F0" w:themeFill="text2" w:themeFillTint="33"/>
            <w:noWrap w:val="0"/>
            <w:vAlign w:val="center"/>
          </w:tcPr>
          <w:p w14:paraId="19D525BE">
            <w:pPr>
              <w:jc w:val="center"/>
              <w:rPr>
                <w:rFonts w:hint="eastAsia" w:ascii="宋体" w:hAnsi="宋体" w:eastAsia="宋体" w:cs="宋体"/>
                <w:b/>
                <w:color w:val="auto"/>
                <w:szCs w:val="21"/>
              </w:rPr>
            </w:pPr>
            <w:r>
              <w:rPr>
                <w:rFonts w:hint="eastAsia" w:ascii="宋体" w:hAnsi="宋体" w:eastAsia="宋体" w:cs="宋体"/>
                <w:b/>
                <w:color w:val="auto"/>
                <w:szCs w:val="21"/>
              </w:rPr>
              <w:t>最高限价（元）</w:t>
            </w:r>
          </w:p>
        </w:tc>
        <w:tc>
          <w:tcPr>
            <w:tcW w:w="1224" w:type="dxa"/>
            <w:shd w:val="clear" w:color="auto" w:fill="C6D9F0" w:themeFill="text2" w:themeFillTint="33"/>
            <w:noWrap w:val="0"/>
            <w:vAlign w:val="center"/>
          </w:tcPr>
          <w:p w14:paraId="5F51EFDF">
            <w:pPr>
              <w:jc w:val="center"/>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备注</w:t>
            </w:r>
          </w:p>
        </w:tc>
      </w:tr>
      <w:tr w14:paraId="09D3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 w:type="dxa"/>
            <w:noWrap w:val="0"/>
            <w:vAlign w:val="center"/>
          </w:tcPr>
          <w:p w14:paraId="301A8139">
            <w:pPr>
              <w:jc w:val="center"/>
              <w:rPr>
                <w:rFonts w:hint="eastAsia" w:ascii="宋体" w:hAnsi="宋体" w:eastAsia="宋体" w:cs="宋体"/>
                <w:bCs/>
                <w:color w:val="auto"/>
                <w:szCs w:val="21"/>
              </w:rPr>
            </w:pPr>
            <w:r>
              <w:rPr>
                <w:rFonts w:hint="eastAsia" w:ascii="宋体" w:hAnsi="宋体" w:eastAsia="宋体" w:cs="宋体"/>
                <w:bCs/>
                <w:color w:val="auto"/>
                <w:szCs w:val="21"/>
              </w:rPr>
              <w:t>1</w:t>
            </w:r>
          </w:p>
        </w:tc>
        <w:tc>
          <w:tcPr>
            <w:tcW w:w="2166" w:type="dxa"/>
            <w:noWrap w:val="0"/>
            <w:vAlign w:val="center"/>
          </w:tcPr>
          <w:p w14:paraId="2A25F922">
            <w:pPr>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景观照明设施维护（福田标段）（</w:t>
            </w:r>
            <w:r>
              <w:rPr>
                <w:rFonts w:hint="eastAsia" w:ascii="宋体" w:hAnsi="宋体" w:eastAsia="宋体" w:cs="宋体"/>
                <w:bCs/>
                <w:color w:val="auto"/>
                <w:szCs w:val="21"/>
                <w:lang w:val="en-US" w:eastAsia="zh-CN"/>
              </w:rPr>
              <w:t>A</w:t>
            </w:r>
            <w:r>
              <w:rPr>
                <w:rFonts w:hint="eastAsia" w:ascii="宋体" w:hAnsi="宋体" w:eastAsia="宋体" w:cs="宋体"/>
                <w:bCs/>
                <w:color w:val="auto"/>
                <w:szCs w:val="21"/>
                <w:lang w:eastAsia="zh-CN"/>
              </w:rPr>
              <w:t>包）</w:t>
            </w:r>
          </w:p>
        </w:tc>
        <w:tc>
          <w:tcPr>
            <w:tcW w:w="2175" w:type="dxa"/>
            <w:noWrap w:val="0"/>
            <w:vAlign w:val="center"/>
          </w:tcPr>
          <w:p w14:paraId="032ED7EF">
            <w:pPr>
              <w:jc w:val="center"/>
              <w:rPr>
                <w:rFonts w:hint="eastAsia" w:ascii="宋体" w:hAnsi="宋体" w:eastAsia="宋体" w:cs="宋体"/>
                <w:b/>
                <w:bCs/>
                <w:color w:val="auto"/>
                <w:szCs w:val="21"/>
                <w:lang w:eastAsia="zh-CN"/>
              </w:rPr>
            </w:pPr>
            <w:r>
              <w:rPr>
                <w:rFonts w:hint="eastAsia" w:ascii="宋体" w:hAnsi="宋体" w:eastAsia="宋体" w:cs="宋体"/>
                <w:color w:val="auto"/>
                <w:lang w:val="en-US" w:eastAsia="zh-CN"/>
              </w:rPr>
              <w:t>7,800,000.00</w:t>
            </w:r>
          </w:p>
        </w:tc>
        <w:tc>
          <w:tcPr>
            <w:tcW w:w="2205" w:type="dxa"/>
            <w:noWrap w:val="0"/>
            <w:vAlign w:val="center"/>
          </w:tcPr>
          <w:p w14:paraId="0C1645F4">
            <w:pPr>
              <w:jc w:val="center"/>
              <w:rPr>
                <w:rFonts w:hint="eastAsia" w:ascii="宋体" w:hAnsi="宋体" w:eastAsia="宋体" w:cs="宋体"/>
                <w:bCs/>
                <w:color w:val="auto"/>
                <w:szCs w:val="21"/>
                <w:lang w:eastAsia="zh-CN"/>
              </w:rPr>
            </w:pPr>
            <w:r>
              <w:rPr>
                <w:rFonts w:hint="eastAsia" w:ascii="宋体" w:hAnsi="宋体" w:eastAsia="宋体" w:cs="宋体"/>
                <w:color w:val="auto"/>
                <w:lang w:val="en-US" w:eastAsia="zh-CN"/>
              </w:rPr>
              <w:t>7,800,000.00</w:t>
            </w:r>
          </w:p>
        </w:tc>
        <w:tc>
          <w:tcPr>
            <w:tcW w:w="1224" w:type="dxa"/>
            <w:noWrap w:val="0"/>
            <w:vAlign w:val="center"/>
          </w:tcPr>
          <w:p w14:paraId="6B3629B8">
            <w:pPr>
              <w:jc w:val="center"/>
              <w:rPr>
                <w:rFonts w:hint="eastAsia" w:ascii="宋体" w:hAnsi="宋体" w:eastAsia="宋体" w:cs="宋体"/>
                <w:bCs/>
                <w:color w:val="auto"/>
                <w:szCs w:val="21"/>
                <w:lang w:eastAsia="zh-CN"/>
              </w:rPr>
            </w:pPr>
          </w:p>
        </w:tc>
      </w:tr>
    </w:tbl>
    <w:p w14:paraId="1182962A">
      <w:pPr>
        <w:ind w:firstLine="482" w:firstLineChars="200"/>
        <w:rPr>
          <w:rFonts w:hint="eastAsia" w:ascii="宋体" w:hAnsi="宋体" w:eastAsia="宋体" w:cs="宋体"/>
          <w:b/>
          <w:color w:val="auto"/>
          <w:szCs w:val="21"/>
        </w:rPr>
      </w:pPr>
      <w:r>
        <w:rPr>
          <w:rFonts w:hint="eastAsia" w:ascii="宋体" w:hAnsi="宋体" w:eastAsia="宋体" w:cs="宋体"/>
          <w:b/>
          <w:color w:val="auto"/>
          <w:szCs w:val="21"/>
        </w:rPr>
        <w:t>本项目在财政预算金额下设定最高限价，如投标人的投标报价超过最高限价，将按照符合性审查要求作投标无效处理</w:t>
      </w:r>
    </w:p>
    <w:p w14:paraId="4FECFF86">
      <w:pPr>
        <w:pStyle w:val="14"/>
        <w:rPr>
          <w:rFonts w:hint="eastAsia" w:ascii="宋体" w:hAnsi="宋体" w:eastAsia="宋体" w:cs="宋体"/>
          <w:color w:val="auto"/>
        </w:rPr>
      </w:pPr>
    </w:p>
    <w:p w14:paraId="18690948">
      <w:pPr>
        <w:spacing w:line="360" w:lineRule="auto"/>
        <w:jc w:val="center"/>
        <w:outlineLvl w:val="2"/>
        <w:rPr>
          <w:rFonts w:hint="eastAsia" w:ascii="宋体" w:hAnsi="宋体" w:eastAsia="宋体" w:cs="宋体"/>
          <w:b/>
          <w:bCs/>
          <w:color w:val="auto"/>
        </w:rPr>
      </w:pPr>
      <w:r>
        <w:rPr>
          <w:rFonts w:hint="eastAsia" w:ascii="宋体" w:hAnsi="宋体" w:eastAsia="宋体" w:cs="宋体"/>
          <w:b/>
          <w:bCs/>
          <w:color w:val="auto"/>
        </w:rPr>
        <w:t>二、</w:t>
      </w:r>
      <w:bookmarkStart w:id="32" w:name="_Hlk72073432"/>
      <w:r>
        <w:rPr>
          <w:rFonts w:hint="eastAsia" w:ascii="宋体" w:hAnsi="宋体" w:eastAsia="宋体" w:cs="宋体"/>
          <w:b/>
          <w:bCs/>
          <w:color w:val="auto"/>
        </w:rPr>
        <w:t>服务需求明细</w:t>
      </w:r>
      <w:bookmarkEnd w:id="32"/>
    </w:p>
    <w:tbl>
      <w:tblPr>
        <w:tblStyle w:val="35"/>
        <w:tblW w:w="8273" w:type="dxa"/>
        <w:jc w:val="center"/>
        <w:tblLayout w:type="fixed"/>
        <w:tblCellMar>
          <w:top w:w="0" w:type="dxa"/>
          <w:left w:w="108" w:type="dxa"/>
          <w:bottom w:w="0" w:type="dxa"/>
          <w:right w:w="108" w:type="dxa"/>
        </w:tblCellMar>
      </w:tblPr>
      <w:tblGrid>
        <w:gridCol w:w="633"/>
        <w:gridCol w:w="3641"/>
        <w:gridCol w:w="797"/>
        <w:gridCol w:w="780"/>
        <w:gridCol w:w="1414"/>
        <w:gridCol w:w="1008"/>
      </w:tblGrid>
      <w:tr w14:paraId="538EB35E">
        <w:tblPrEx>
          <w:tblCellMar>
            <w:top w:w="0" w:type="dxa"/>
            <w:left w:w="108" w:type="dxa"/>
            <w:bottom w:w="0" w:type="dxa"/>
            <w:right w:w="108" w:type="dxa"/>
          </w:tblCellMar>
        </w:tblPrEx>
        <w:trPr>
          <w:trHeight w:val="552" w:hRule="atLeast"/>
          <w:jc w:val="center"/>
        </w:trPr>
        <w:tc>
          <w:tcPr>
            <w:tcW w:w="633" w:type="dxa"/>
            <w:tcBorders>
              <w:top w:val="single" w:color="000000" w:sz="4" w:space="0"/>
              <w:left w:val="single" w:color="000000" w:sz="4" w:space="0"/>
              <w:bottom w:val="single" w:color="000000" w:sz="4" w:space="0"/>
              <w:right w:val="single" w:color="auto" w:sz="4" w:space="0"/>
            </w:tcBorders>
            <w:shd w:val="clear" w:color="auto" w:fill="C6D9F1"/>
            <w:noWrap w:val="0"/>
            <w:tcMar>
              <w:top w:w="15" w:type="dxa"/>
              <w:left w:w="15" w:type="dxa"/>
              <w:bottom w:w="15" w:type="dxa"/>
              <w:right w:w="15" w:type="dxa"/>
            </w:tcMar>
            <w:vAlign w:val="center"/>
          </w:tcPr>
          <w:p w14:paraId="4CB392F6">
            <w:pPr>
              <w:jc w:val="center"/>
              <w:rPr>
                <w:rFonts w:hint="eastAsia" w:ascii="宋体" w:hAnsi="宋体" w:eastAsia="宋体" w:cs="宋体"/>
                <w:b/>
                <w:bCs/>
                <w:color w:val="auto"/>
              </w:rPr>
            </w:pPr>
            <w:r>
              <w:rPr>
                <w:rFonts w:hint="eastAsia" w:ascii="宋体" w:hAnsi="宋体" w:eastAsia="宋体" w:cs="宋体"/>
                <w:b/>
                <w:bCs/>
                <w:color w:val="auto"/>
              </w:rPr>
              <w:t>序号</w:t>
            </w:r>
          </w:p>
        </w:tc>
        <w:tc>
          <w:tcPr>
            <w:tcW w:w="3641" w:type="dxa"/>
            <w:tcBorders>
              <w:top w:val="single" w:color="000000" w:sz="4" w:space="0"/>
              <w:left w:val="single" w:color="auto" w:sz="4" w:space="0"/>
              <w:bottom w:val="single" w:color="000000" w:sz="4" w:space="0"/>
              <w:right w:val="single" w:color="000000" w:sz="4" w:space="0"/>
            </w:tcBorders>
            <w:shd w:val="clear" w:color="auto" w:fill="C6D9F1"/>
            <w:noWrap w:val="0"/>
            <w:tcMar>
              <w:top w:w="15" w:type="dxa"/>
              <w:left w:w="15" w:type="dxa"/>
              <w:bottom w:w="15" w:type="dxa"/>
              <w:right w:w="15" w:type="dxa"/>
            </w:tcMar>
            <w:vAlign w:val="center"/>
          </w:tcPr>
          <w:p w14:paraId="0D13FCEB">
            <w:pPr>
              <w:jc w:val="center"/>
              <w:rPr>
                <w:rFonts w:hint="eastAsia" w:ascii="宋体" w:hAnsi="宋体" w:eastAsia="宋体" w:cs="宋体"/>
                <w:b/>
                <w:bCs/>
                <w:color w:val="auto"/>
              </w:rPr>
            </w:pPr>
            <w:r>
              <w:rPr>
                <w:rFonts w:hint="eastAsia" w:ascii="宋体" w:hAnsi="宋体" w:eastAsia="宋体" w:cs="宋体"/>
                <w:b/>
                <w:bCs/>
                <w:color w:val="auto"/>
              </w:rPr>
              <w:t>服务名称（标的名称）</w:t>
            </w:r>
          </w:p>
        </w:tc>
        <w:tc>
          <w:tcPr>
            <w:tcW w:w="797" w:type="dxa"/>
            <w:tcBorders>
              <w:top w:val="single" w:color="000000" w:sz="4" w:space="0"/>
              <w:left w:val="single" w:color="000000" w:sz="4" w:space="0"/>
              <w:bottom w:val="single" w:color="000000" w:sz="4" w:space="0"/>
              <w:right w:val="single" w:color="000000" w:sz="4" w:space="0"/>
            </w:tcBorders>
            <w:shd w:val="clear" w:color="auto" w:fill="C6D9F1"/>
            <w:noWrap w:val="0"/>
            <w:tcMar>
              <w:top w:w="15" w:type="dxa"/>
              <w:left w:w="15" w:type="dxa"/>
              <w:bottom w:w="15" w:type="dxa"/>
              <w:right w:w="15" w:type="dxa"/>
            </w:tcMar>
            <w:vAlign w:val="center"/>
          </w:tcPr>
          <w:p w14:paraId="7C19E0A6">
            <w:pPr>
              <w:jc w:val="center"/>
              <w:rPr>
                <w:rFonts w:hint="eastAsia" w:ascii="宋体" w:hAnsi="宋体" w:eastAsia="宋体" w:cs="宋体"/>
                <w:b/>
                <w:bCs/>
                <w:color w:val="auto"/>
              </w:rPr>
            </w:pPr>
            <w:r>
              <w:rPr>
                <w:rFonts w:hint="eastAsia" w:ascii="宋体" w:hAnsi="宋体" w:eastAsia="宋体" w:cs="宋体"/>
                <w:b/>
                <w:bCs/>
                <w:color w:val="auto"/>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C6D9F1"/>
            <w:noWrap w:val="0"/>
            <w:tcMar>
              <w:top w:w="15" w:type="dxa"/>
              <w:left w:w="15" w:type="dxa"/>
              <w:bottom w:w="15" w:type="dxa"/>
              <w:right w:w="15" w:type="dxa"/>
            </w:tcMar>
            <w:vAlign w:val="center"/>
          </w:tcPr>
          <w:p w14:paraId="16A82555">
            <w:pPr>
              <w:jc w:val="center"/>
              <w:rPr>
                <w:rFonts w:hint="eastAsia" w:ascii="宋体" w:hAnsi="宋体" w:eastAsia="宋体" w:cs="宋体"/>
                <w:b/>
                <w:bCs/>
                <w:color w:val="auto"/>
              </w:rPr>
            </w:pPr>
            <w:r>
              <w:rPr>
                <w:rFonts w:hint="eastAsia" w:ascii="宋体" w:hAnsi="宋体" w:eastAsia="宋体" w:cs="宋体"/>
                <w:b/>
                <w:bCs/>
                <w:color w:val="auto"/>
              </w:rPr>
              <w:t>数量</w:t>
            </w:r>
          </w:p>
        </w:tc>
        <w:tc>
          <w:tcPr>
            <w:tcW w:w="1414" w:type="dxa"/>
            <w:tcBorders>
              <w:top w:val="single" w:color="000000" w:sz="4" w:space="0"/>
              <w:left w:val="single" w:color="000000" w:sz="4" w:space="0"/>
              <w:bottom w:val="single" w:color="000000" w:sz="4" w:space="0"/>
              <w:right w:val="single" w:color="000000" w:sz="4" w:space="0"/>
            </w:tcBorders>
            <w:shd w:val="clear" w:color="auto" w:fill="C6D9F1"/>
            <w:noWrap w:val="0"/>
            <w:tcMar>
              <w:top w:w="15" w:type="dxa"/>
              <w:left w:w="15" w:type="dxa"/>
              <w:bottom w:w="15" w:type="dxa"/>
              <w:right w:w="15" w:type="dxa"/>
            </w:tcMar>
            <w:vAlign w:val="center"/>
          </w:tcPr>
          <w:p w14:paraId="74016A14">
            <w:pPr>
              <w:jc w:val="center"/>
              <w:rPr>
                <w:rFonts w:hint="eastAsia" w:ascii="宋体" w:hAnsi="宋体" w:eastAsia="宋体" w:cs="宋体"/>
                <w:b/>
                <w:bCs/>
                <w:color w:val="auto"/>
                <w:highlight w:val="green"/>
              </w:rPr>
            </w:pPr>
            <w:r>
              <w:rPr>
                <w:rFonts w:hint="eastAsia" w:ascii="宋体" w:hAnsi="宋体" w:eastAsia="宋体" w:cs="宋体"/>
                <w:b/>
                <w:bCs/>
                <w:color w:val="auto"/>
              </w:rPr>
              <w:t>所属行业</w:t>
            </w:r>
          </w:p>
        </w:tc>
        <w:tc>
          <w:tcPr>
            <w:tcW w:w="1008" w:type="dxa"/>
            <w:tcBorders>
              <w:top w:val="single" w:color="000000" w:sz="4" w:space="0"/>
              <w:left w:val="single" w:color="000000" w:sz="4" w:space="0"/>
              <w:bottom w:val="single" w:color="000000" w:sz="4" w:space="0"/>
              <w:right w:val="single" w:color="000000" w:sz="4" w:space="0"/>
            </w:tcBorders>
            <w:shd w:val="clear" w:color="auto" w:fill="C6D9F1"/>
            <w:noWrap w:val="0"/>
            <w:tcMar>
              <w:top w:w="15" w:type="dxa"/>
              <w:left w:w="15" w:type="dxa"/>
              <w:bottom w:w="15" w:type="dxa"/>
              <w:right w:w="15" w:type="dxa"/>
            </w:tcMar>
            <w:vAlign w:val="center"/>
          </w:tcPr>
          <w:p w14:paraId="4E858A5B">
            <w:pPr>
              <w:jc w:val="center"/>
              <w:rPr>
                <w:rFonts w:hint="eastAsia" w:ascii="宋体" w:hAnsi="宋体" w:eastAsia="宋体" w:cs="宋体"/>
                <w:b/>
                <w:bCs/>
                <w:color w:val="auto"/>
                <w:highlight w:val="green"/>
              </w:rPr>
            </w:pPr>
            <w:r>
              <w:rPr>
                <w:rFonts w:hint="eastAsia" w:ascii="宋体" w:hAnsi="宋体" w:eastAsia="宋体" w:cs="宋体"/>
                <w:b/>
                <w:bCs/>
                <w:color w:val="auto"/>
              </w:rPr>
              <w:t>备注</w:t>
            </w:r>
          </w:p>
        </w:tc>
      </w:tr>
      <w:tr w14:paraId="520E58DA">
        <w:tblPrEx>
          <w:tblCellMar>
            <w:top w:w="0" w:type="dxa"/>
            <w:left w:w="108" w:type="dxa"/>
            <w:bottom w:w="0" w:type="dxa"/>
            <w:right w:w="108" w:type="dxa"/>
          </w:tblCellMar>
        </w:tblPrEx>
        <w:trPr>
          <w:trHeight w:val="841" w:hRule="atLeast"/>
          <w:jc w:val="center"/>
        </w:trPr>
        <w:tc>
          <w:tcPr>
            <w:tcW w:w="63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A77612B">
            <w:pPr>
              <w:jc w:val="center"/>
              <w:rPr>
                <w:rFonts w:hint="eastAsia" w:ascii="宋体" w:hAnsi="宋体" w:eastAsia="宋体" w:cs="宋体"/>
                <w:color w:val="auto"/>
              </w:rPr>
            </w:pPr>
            <w:r>
              <w:rPr>
                <w:rFonts w:hint="eastAsia" w:ascii="宋体" w:hAnsi="宋体" w:eastAsia="宋体" w:cs="宋体"/>
                <w:color w:val="auto"/>
              </w:rPr>
              <w:t>1</w:t>
            </w:r>
          </w:p>
        </w:tc>
        <w:tc>
          <w:tcPr>
            <w:tcW w:w="3641"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5593C76">
            <w:pPr>
              <w:jc w:val="center"/>
              <w:rPr>
                <w:rFonts w:hint="eastAsia" w:ascii="宋体" w:hAnsi="宋体" w:eastAsia="宋体" w:cs="宋体"/>
                <w:b w:val="0"/>
                <w:bCs w:val="0"/>
                <w:color w:val="auto"/>
                <w:highlight w:val="green"/>
                <w:lang w:eastAsia="zh-CN"/>
              </w:rPr>
            </w:pPr>
            <w:r>
              <w:rPr>
                <w:rFonts w:hint="eastAsia" w:ascii="宋体" w:hAnsi="宋体" w:eastAsia="宋体" w:cs="宋体"/>
                <w:b w:val="0"/>
                <w:bCs w:val="0"/>
                <w:color w:val="auto"/>
                <w:lang w:eastAsia="zh-CN"/>
              </w:rPr>
              <w:t>景观照明设施维护（福田标段）（</w:t>
            </w:r>
            <w:r>
              <w:rPr>
                <w:rFonts w:hint="eastAsia" w:ascii="宋体" w:hAnsi="宋体" w:eastAsia="宋体" w:cs="宋体"/>
                <w:b w:val="0"/>
                <w:bCs w:val="0"/>
                <w:color w:val="auto"/>
                <w:lang w:val="en-US" w:eastAsia="zh-CN"/>
              </w:rPr>
              <w:t>A</w:t>
            </w:r>
            <w:r>
              <w:rPr>
                <w:rFonts w:hint="eastAsia" w:ascii="宋体" w:hAnsi="宋体" w:eastAsia="宋体" w:cs="宋体"/>
                <w:b w:val="0"/>
                <w:bCs w:val="0"/>
                <w:color w:val="auto"/>
                <w:lang w:eastAsia="zh-CN"/>
              </w:rPr>
              <w:t>包）</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E14667B">
            <w:pPr>
              <w:jc w:val="center"/>
              <w:rPr>
                <w:rFonts w:hint="eastAsia" w:ascii="宋体" w:hAnsi="宋体" w:eastAsia="宋体" w:cs="宋体"/>
                <w:b w:val="0"/>
                <w:bCs w:val="0"/>
                <w:color w:val="auto"/>
              </w:rPr>
            </w:pPr>
            <w:r>
              <w:rPr>
                <w:rFonts w:hint="eastAsia" w:ascii="宋体" w:hAnsi="宋体" w:eastAsia="宋体" w:cs="宋体"/>
                <w:b w:val="0"/>
                <w:bCs w:val="0"/>
                <w:color w:val="auto"/>
              </w:rPr>
              <w:t>项</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A9085A5">
            <w:pPr>
              <w:jc w:val="center"/>
              <w:rPr>
                <w:rFonts w:hint="eastAsia" w:ascii="宋体" w:hAnsi="宋体" w:eastAsia="宋体" w:cs="宋体"/>
                <w:b w:val="0"/>
                <w:bCs w:val="0"/>
                <w:color w:val="auto"/>
              </w:rPr>
            </w:pPr>
            <w:r>
              <w:rPr>
                <w:rFonts w:hint="eastAsia" w:ascii="宋体" w:hAnsi="宋体" w:eastAsia="宋体" w:cs="宋体"/>
                <w:b w:val="0"/>
                <w:bCs w:val="0"/>
                <w:color w:val="auto"/>
              </w:rPr>
              <w:t>1</w:t>
            </w:r>
          </w:p>
        </w:tc>
        <w:tc>
          <w:tcPr>
            <w:tcW w:w="14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A2C3456">
            <w:pPr>
              <w:jc w:val="center"/>
              <w:rPr>
                <w:rFonts w:hint="eastAsia" w:ascii="宋体" w:hAnsi="宋体" w:eastAsia="宋体" w:cs="宋体"/>
                <w:b w:val="0"/>
                <w:bCs w:val="0"/>
                <w:color w:val="auto"/>
              </w:rPr>
            </w:pPr>
            <w:r>
              <w:rPr>
                <w:rFonts w:hint="eastAsia" w:ascii="宋体" w:hAnsi="宋体" w:eastAsia="宋体" w:cs="宋体"/>
                <w:b w:val="0"/>
                <w:bCs w:val="0"/>
                <w:color w:val="auto"/>
                <w:lang w:eastAsia="zh-CN"/>
              </w:rPr>
              <w:t>其他未列明行业</w:t>
            </w:r>
          </w:p>
          <w:bookmarkEnd w:id="31"/>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56D3FC">
            <w:pPr>
              <w:jc w:val="center"/>
              <w:rPr>
                <w:rFonts w:hint="eastAsia" w:ascii="宋体" w:hAnsi="宋体" w:eastAsia="宋体" w:cs="宋体"/>
                <w:bCs/>
                <w:color w:val="auto"/>
                <w:highlight w:val="green"/>
              </w:rPr>
            </w:pPr>
          </w:p>
        </w:tc>
      </w:tr>
    </w:tbl>
    <w:p w14:paraId="7DA8E69C">
      <w:pPr>
        <w:ind w:left="547" w:leftChars="228" w:firstLine="420" w:firstLineChars="200"/>
        <w:rPr>
          <w:rFonts w:hint="eastAsia" w:ascii="宋体" w:hAnsi="宋体" w:eastAsia="宋体" w:cs="宋体"/>
          <w:color w:val="auto"/>
          <w:sz w:val="21"/>
          <w:szCs w:val="21"/>
        </w:rPr>
      </w:pPr>
      <w:bookmarkStart w:id="33" w:name="_Toc320311558"/>
      <w:bookmarkEnd w:id="33"/>
      <w:bookmarkStart w:id="34" w:name="_Toc11426271"/>
    </w:p>
    <w:p w14:paraId="1C5C12B0">
      <w:pPr>
        <w:spacing w:line="360" w:lineRule="auto"/>
        <w:jc w:val="center"/>
        <w:outlineLvl w:val="2"/>
        <w:rPr>
          <w:rFonts w:hint="eastAsia" w:ascii="宋体" w:hAnsi="宋体" w:eastAsia="宋体" w:cs="宋体"/>
          <w:b/>
          <w:bCs/>
          <w:color w:val="auto"/>
        </w:rPr>
      </w:pPr>
      <w:r>
        <w:rPr>
          <w:rFonts w:hint="eastAsia" w:ascii="宋体" w:hAnsi="宋体" w:eastAsia="宋体" w:cs="宋体"/>
          <w:b/>
          <w:bCs/>
          <w:color w:val="auto"/>
        </w:rPr>
        <w:t>三、实质性条款</w:t>
      </w:r>
    </w:p>
    <w:tbl>
      <w:tblPr>
        <w:tblStyle w:val="3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4C5F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tcPr>
          <w:p w14:paraId="7A1019B6">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483" w:type="dxa"/>
            <w:noWrap w:val="0"/>
          </w:tcPr>
          <w:p w14:paraId="241E4B47">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实质性条款具体内容</w:t>
            </w:r>
          </w:p>
        </w:tc>
      </w:tr>
      <w:tr w14:paraId="28FA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E17B242">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Cs w:val="21"/>
              </w:rPr>
              <w:t>1</w:t>
            </w:r>
          </w:p>
        </w:tc>
        <w:tc>
          <w:tcPr>
            <w:tcW w:w="7483" w:type="dxa"/>
            <w:noWrap w:val="0"/>
            <w:vAlign w:val="top"/>
          </w:tcPr>
          <w:p w14:paraId="30A65578">
            <w:pPr>
              <w:pStyle w:val="14"/>
              <w:spacing w:before="60" w:beforeLines="25" w:after="60" w:afterLines="25"/>
              <w:ind w:left="0" w:leftChars="0"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五、项目服务要求（一）人员要求：</w:t>
            </w:r>
          </w:p>
          <w:p w14:paraId="3EEBFB5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中标人需健全本维护项目实施的组织机构：项目负责人1名、安全管理人员2名（1名安全主管和1名安全员）、现场负责人1名、预算员1名、信息普查及资料员1名、巡检人员4名；其中现场负责人1名、安全员1名、信息普查及资料员1名、巡检人员4名均需常驻本项目办公地专职为本项目服务。</w:t>
            </w:r>
          </w:p>
          <w:p w14:paraId="6A109FD3">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投标人提供的人员须满足以下要求：</w:t>
            </w:r>
          </w:p>
          <w:p w14:paraId="3F0C70BA">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1.1安排项目管理团队</w:t>
            </w:r>
          </w:p>
          <w:p w14:paraId="32CC2414">
            <w:pPr>
              <w:pStyle w:val="14"/>
              <w:keepNext w:val="0"/>
              <w:keepLines w:val="0"/>
              <w:pageBreakBefore w:val="0"/>
              <w:widowControl/>
              <w:numPr>
                <w:ilvl w:val="0"/>
                <w:numId w:val="4"/>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安全主管具有注册安全工程师证书；</w:t>
            </w:r>
          </w:p>
          <w:p w14:paraId="56DD90E4">
            <w:pPr>
              <w:pStyle w:val="14"/>
              <w:keepNext w:val="0"/>
              <w:keepLines w:val="0"/>
              <w:pageBreakBefore w:val="0"/>
              <w:widowControl/>
              <w:numPr>
                <w:ilvl w:val="0"/>
                <w:numId w:val="4"/>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现场负责人具有机电或市政专业二级注册建造师资格（或以上）;</w:t>
            </w:r>
          </w:p>
          <w:p w14:paraId="13EEEDF4">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（3）预算员具有造价工程师证书。 </w:t>
            </w:r>
            <w:r>
              <w:rPr>
                <w:rFonts w:hint="eastAsia" w:ascii="宋体" w:hAnsi="宋体" w:eastAsia="宋体" w:cs="宋体"/>
                <w:bCs/>
                <w:color w:val="auto"/>
                <w:sz w:val="24"/>
                <w:szCs w:val="24"/>
                <w:lang w:val="en-US" w:eastAsia="zh-CN"/>
              </w:rPr>
              <w:br w:type="textWrapping"/>
            </w:r>
            <w:r>
              <w:rPr>
                <w:rFonts w:hint="eastAsia" w:ascii="宋体" w:hAnsi="宋体" w:eastAsia="宋体" w:cs="宋体"/>
                <w:bCs/>
                <w:color w:val="auto"/>
                <w:sz w:val="24"/>
                <w:szCs w:val="24"/>
                <w:lang w:val="en-US" w:eastAsia="zh-CN"/>
              </w:rPr>
              <w:t>1.2安排项目一线工人不少于6人</w:t>
            </w:r>
          </w:p>
          <w:p w14:paraId="64DDBA87">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（1）维修人员年龄须在1975年1月1日后出生；</w:t>
            </w:r>
          </w:p>
          <w:p w14:paraId="5D104E73">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维修人员同时持有应急管理部门或安全生产监督管理部门颁发的特种作业操作证（作业类别：高处作业；准操项目：高处安装、维修、拆除作业）和特种作业操作证（作业类别：电工作业；准操项目：低压电工作业）。</w:t>
            </w:r>
          </w:p>
          <w:p w14:paraId="76742C6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证明材料：（1）提供人员身份证扫描件；（2）提供通过投标人缴纳的近三个月（2024年11月-2025年1月）的社保证明作为本单位员工的证明依据，补缴的不得分（如开标日上一个月的社保材料因社保部门原因暂时无法取得，则可以往前顺延一个月）。若供应商成立不足三个月的，需提供成立情况说明函（格式自拟），无需提供相关人员社保，亦可得分。（3）提证书扫描件和证书官方查询截图。</w:t>
            </w:r>
          </w:p>
          <w:p w14:paraId="3C541470">
            <w:pPr>
              <w:pStyle w:val="14"/>
              <w:spacing w:before="60" w:beforeLines="25" w:after="60" w:afterLines="25"/>
              <w:ind w:firstLine="392" w:firstLineChars="187"/>
              <w:rPr>
                <w:rFonts w:hint="eastAsia" w:ascii="宋体" w:hAnsi="宋体" w:eastAsia="宋体" w:cs="宋体"/>
                <w:color w:val="auto"/>
                <w:sz w:val="21"/>
                <w:szCs w:val="21"/>
              </w:rPr>
            </w:pPr>
          </w:p>
        </w:tc>
      </w:tr>
      <w:tr w14:paraId="2563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705" w:type="dxa"/>
            <w:noWrap w:val="0"/>
            <w:vAlign w:val="center"/>
          </w:tcPr>
          <w:p w14:paraId="66349F41">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483" w:type="dxa"/>
            <w:noWrap w:val="0"/>
            <w:vAlign w:val="top"/>
          </w:tcPr>
          <w:p w14:paraId="510B71FC">
            <w:pPr>
              <w:pStyle w:val="14"/>
              <w:spacing w:before="60" w:beforeLines="25" w:after="60" w:afterLines="25"/>
              <w:ind w:left="0" w:leftChars="0" w:firstLine="0" w:firstLineChars="0"/>
              <w:rPr>
                <w:rFonts w:hint="eastAsia" w:ascii="宋体" w:hAnsi="宋体" w:eastAsia="宋体" w:cs="宋体"/>
                <w:b/>
                <w:bCs w:val="0"/>
                <w:color w:val="auto"/>
                <w:sz w:val="24"/>
                <w:szCs w:val="24"/>
                <w:lang w:val="en-US" w:eastAsia="zh-CN"/>
              </w:rPr>
            </w:pPr>
            <w:r>
              <w:rPr>
                <w:rFonts w:hint="eastAsia" w:ascii="宋体" w:hAnsi="宋体" w:eastAsia="宋体" w:cs="宋体"/>
                <w:bCs/>
                <w:color w:val="auto"/>
                <w:sz w:val="24"/>
                <w:szCs w:val="24"/>
                <w:lang w:val="en-US" w:eastAsia="zh-CN"/>
              </w:rPr>
              <w:t>五、项目服务要求（一）人员要求★</w:t>
            </w:r>
            <w:r>
              <w:rPr>
                <w:rFonts w:hint="eastAsia" w:ascii="宋体" w:hAnsi="宋体" w:eastAsia="宋体" w:cs="宋体"/>
                <w:b/>
                <w:bCs w:val="0"/>
                <w:color w:val="auto"/>
                <w:sz w:val="24"/>
                <w:szCs w:val="24"/>
                <w:lang w:val="en-US" w:eastAsia="zh-CN"/>
              </w:rPr>
              <w:t>（三）车辆要求：</w:t>
            </w:r>
          </w:p>
          <w:p w14:paraId="41E9A05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项目中标人需提供粤B牌新能源轿车2辆，专用于本项目的巡查检查、电费补贴核查及项目内其他工作；提供升空高度不低于15m的粤B牌高空作业车辆1辆、粤B牌专用防撞车一辆，高空作业车和防撞车不要求专用于本项目，但有使用需求时要优先用于本项目。</w:t>
            </w:r>
          </w:p>
        </w:tc>
      </w:tr>
      <w:tr w14:paraId="28C2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705" w:type="dxa"/>
            <w:noWrap w:val="0"/>
            <w:vAlign w:val="center"/>
          </w:tcPr>
          <w:p w14:paraId="6D70EF34">
            <w:pPr>
              <w:snapToGri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7483" w:type="dxa"/>
            <w:noWrap w:val="0"/>
            <w:vAlign w:val="top"/>
          </w:tcPr>
          <w:p w14:paraId="4289CD08">
            <w:pPr>
              <w:pStyle w:val="14"/>
              <w:numPr>
                <w:ilvl w:val="0"/>
                <w:numId w:val="0"/>
              </w:numPr>
              <w:spacing w:before="60" w:beforeLines="25" w:after="60" w:afterLines="25"/>
              <w:ind w:leftChars="0"/>
              <w:rPr>
                <w:rFonts w:hint="eastAsia" w:ascii="宋体" w:hAnsi="宋体" w:eastAsia="宋体" w:cs="宋体"/>
                <w:b/>
                <w:bCs w:val="0"/>
                <w:color w:val="auto"/>
                <w:sz w:val="24"/>
                <w:szCs w:val="24"/>
                <w:lang w:val="en-US" w:eastAsia="zh-CN"/>
              </w:rPr>
            </w:pPr>
            <w:r>
              <w:rPr>
                <w:rFonts w:hint="eastAsia" w:ascii="宋体" w:hAnsi="宋体" w:eastAsia="宋体" w:cs="宋体"/>
                <w:bCs/>
                <w:color w:val="auto"/>
                <w:sz w:val="24"/>
                <w:szCs w:val="24"/>
                <w:lang w:val="en-US" w:eastAsia="zh-CN"/>
              </w:rPr>
              <w:t>五、项目服务要求（一）人员要求</w:t>
            </w:r>
            <w:r>
              <w:rPr>
                <w:rFonts w:hint="eastAsia" w:ascii="宋体" w:hAnsi="宋体" w:eastAsia="宋体" w:cs="宋体"/>
                <w:b/>
                <w:bCs w:val="0"/>
                <w:color w:val="auto"/>
                <w:sz w:val="24"/>
                <w:szCs w:val="24"/>
                <w:lang w:val="en-US" w:eastAsia="zh-CN"/>
              </w:rPr>
              <w:t>★（四）设施维护费用：</w:t>
            </w:r>
          </w:p>
          <w:p w14:paraId="64F6BF0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本项目包含的景观照明设施维护费用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用于日常维护材料更换、老旧设施更新、安全隐患整治、应急抢修等工作。常驻人员的日常巡检工作不计入此项费用。维护更换的废旧材料归采购人所有，由中标人负责回收和妥善保管，并配合采购人按上级主管部门相关规定处置。</w:t>
            </w:r>
          </w:p>
          <w:p w14:paraId="2D61E2C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color w:val="auto"/>
                <w:sz w:val="21"/>
                <w:szCs w:val="21"/>
              </w:rPr>
            </w:pPr>
            <w:r>
              <w:rPr>
                <w:rFonts w:hint="eastAsia" w:ascii="宋体" w:hAnsi="宋体" w:eastAsia="宋体" w:cs="宋体"/>
                <w:bCs/>
                <w:color w:val="auto"/>
                <w:sz w:val="24"/>
                <w:szCs w:val="24"/>
                <w:lang w:val="en-US" w:eastAsia="zh-CN"/>
              </w:rPr>
              <w:t>设施维护费用按照实际完成工作量核实计量，并按投标报价的设施维护费下浮率进行下浮，结算金额以采购人或采购人上级主管部门审定价格为准。</w:t>
            </w:r>
          </w:p>
        </w:tc>
      </w:tr>
      <w:tr w14:paraId="00C4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05" w:type="dxa"/>
            <w:noWrap w:val="0"/>
            <w:vAlign w:val="center"/>
          </w:tcPr>
          <w:p w14:paraId="4488D84F">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483" w:type="dxa"/>
            <w:noWrap w:val="0"/>
            <w:vAlign w:val="top"/>
          </w:tcPr>
          <w:p w14:paraId="3F2DA352">
            <w:pPr>
              <w:pStyle w:val="14"/>
              <w:keepNext w:val="0"/>
              <w:keepLines w:val="0"/>
              <w:pageBreakBefore w:val="0"/>
              <w:widowControl/>
              <w:snapToGrid/>
              <w:spacing w:before="60" w:beforeLines="25" w:after="60" w:afterLines="25" w:line="360" w:lineRule="auto"/>
              <w:ind w:left="0" w:leftChars="0" w:firstLine="0" w:firstLineChars="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六、项目商务要求★（一）服务期限：</w:t>
            </w:r>
          </w:p>
          <w:p w14:paraId="5D51E5DD">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1.自合同签订生效之日起一年。</w:t>
            </w:r>
          </w:p>
          <w:p w14:paraId="1007A80E">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本项目为长期服务项目，合同期满可以续签，但合同履行期限最长不得超过36个月。如采购人对履约情况不满意，采购人不再续约。如因该项目维护范围、维护内容等发生重大变化（如管理范围内标段范围调整等），则采购人有权不予续签合同。</w:t>
            </w:r>
          </w:p>
          <w:p w14:paraId="19D40923">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   3.中标人有下列行为的，采购人不予续签合同：</w:t>
            </w:r>
          </w:p>
          <w:p w14:paraId="787BDF1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（1）无故不参加采购人组织的各项会议的；</w:t>
            </w:r>
          </w:p>
          <w:p w14:paraId="082EDE9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（2）被采购人通报批评3次以上的；</w:t>
            </w:r>
          </w:p>
          <w:p w14:paraId="7AC5AA4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（3）履行合同期间发生安全事故的。</w:t>
            </w:r>
          </w:p>
        </w:tc>
      </w:tr>
    </w:tbl>
    <w:p w14:paraId="0B758B7C">
      <w:pPr>
        <w:rPr>
          <w:rFonts w:hint="eastAsia" w:ascii="宋体" w:hAnsi="宋体" w:eastAsia="宋体" w:cs="宋体"/>
          <w:color w:val="auto"/>
          <w:sz w:val="21"/>
        </w:rPr>
      </w:pPr>
      <w:r>
        <w:rPr>
          <w:rFonts w:hint="eastAsia" w:ascii="宋体" w:hAnsi="宋体" w:eastAsia="宋体" w:cs="宋体"/>
          <w:color w:val="auto"/>
          <w:sz w:val="21"/>
        </w:rPr>
        <w:t>注：上表所列内容为不可负偏离条款，负偏离将视为未实质性满足招标文件要求作投标无效处理。</w:t>
      </w:r>
    </w:p>
    <w:p w14:paraId="40CB0499">
      <w:pPr>
        <w:pStyle w:val="5"/>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四、</w:t>
      </w:r>
      <w:r>
        <w:rPr>
          <w:rFonts w:hint="eastAsia" w:ascii="宋体" w:hAnsi="宋体" w:eastAsia="宋体" w:cs="宋体"/>
          <w:color w:val="auto"/>
          <w:szCs w:val="21"/>
          <w:lang w:val="en-US" w:eastAsia="zh-CN"/>
        </w:rPr>
        <w:t>项目概况</w:t>
      </w:r>
    </w:p>
    <w:p w14:paraId="0C350F3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维护范围为深圳市市容景观事务中心负责管理维护的景观照明设施。涉及的维护对象为福田区现有楼宇桥梁灯光小品等共282处及新建设接管或更新的景观照明设施，具体数量以采购人提供数量为准。采购金额780万元，新增或减少维护设施数量，合同金额不变（具体金额以财政批复金额为准）。维护设施包括景观照明常用的LED线光、LED点光、LED投光灯、其他类型光源、定制灯具及相对应的电箱、电线电缆管材等所有景观照明相关设施。此维护标段范围内的景观照明设施状况请投标人自行至现场察看。所有景观照明设施均按现状交由中标人维护、管养。投标人收到中标通知书后3天内进场，负责熟悉景观照明设施并与原维护单位于2025年3月31日前办理好交接手续，2025年4月1日起开始需保证设施正常运行。</w:t>
      </w:r>
    </w:p>
    <w:p w14:paraId="1D201993">
      <w:pPr>
        <w:pStyle w:val="2"/>
        <w:jc w:val="center"/>
        <w:rPr>
          <w:rFonts w:hint="eastAsia" w:ascii="宋体" w:hAnsi="宋体" w:eastAsia="宋体" w:cs="宋体"/>
          <w:bCs w:val="0"/>
          <w:color w:val="auto"/>
          <w:kern w:val="0"/>
          <w:sz w:val="24"/>
          <w:szCs w:val="24"/>
          <w:lang w:eastAsia="zh-CN"/>
        </w:rPr>
      </w:pPr>
      <w:r>
        <w:rPr>
          <w:rFonts w:hint="eastAsia" w:ascii="宋体" w:hAnsi="宋体" w:eastAsia="宋体" w:cs="宋体"/>
          <w:bCs w:val="0"/>
          <w:color w:val="auto"/>
          <w:kern w:val="0"/>
          <w:sz w:val="24"/>
          <w:szCs w:val="24"/>
          <w:lang w:eastAsia="zh-CN"/>
        </w:rPr>
        <w:t>维护</w:t>
      </w:r>
      <w:r>
        <w:rPr>
          <w:rFonts w:hint="eastAsia" w:ascii="宋体" w:hAnsi="宋体" w:eastAsia="宋体" w:cs="宋体"/>
          <w:bCs w:val="0"/>
          <w:color w:val="auto"/>
          <w:kern w:val="0"/>
          <w:sz w:val="24"/>
          <w:szCs w:val="24"/>
        </w:rPr>
        <w:t>设施</w:t>
      </w:r>
      <w:r>
        <w:rPr>
          <w:rFonts w:hint="eastAsia" w:ascii="宋体" w:hAnsi="宋体" w:eastAsia="宋体" w:cs="宋体"/>
          <w:bCs w:val="0"/>
          <w:color w:val="auto"/>
          <w:kern w:val="0"/>
          <w:sz w:val="24"/>
          <w:szCs w:val="24"/>
          <w:lang w:eastAsia="zh-CN"/>
        </w:rPr>
        <w:t>清单</w:t>
      </w:r>
    </w:p>
    <w:tbl>
      <w:tblPr>
        <w:tblStyle w:val="35"/>
        <w:tblW w:w="57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3"/>
        <w:gridCol w:w="4941"/>
      </w:tblGrid>
      <w:tr w14:paraId="3EA2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4B39">
            <w:pPr>
              <w:keepNext w:val="0"/>
              <w:keepLines w:val="0"/>
              <w:widowControl/>
              <w:jc w:val="center"/>
              <w:rPr>
                <w:rFonts w:hint="eastAsia" w:ascii="CESI仿宋-GB2312" w:hAnsi="CESI仿宋-GB2312" w:eastAsia="CESI仿宋-GB2312" w:cs="CESI仿宋-GB2312"/>
                <w:b/>
                <w:bCs/>
                <w:i w:val="0"/>
                <w:iCs w:val="0"/>
                <w:color w:val="auto"/>
                <w:sz w:val="24"/>
                <w:szCs w:val="24"/>
                <w:u w:val="none"/>
              </w:rPr>
            </w:pPr>
            <w:r>
              <w:rPr>
                <w:rFonts w:hint="eastAsia" w:ascii="CESI仿宋-GB2312" w:hAnsi="CESI仿宋-GB2312" w:eastAsia="CESI仿宋-GB2312" w:cs="CESI仿宋-GB2312"/>
                <w:b/>
                <w:bCs/>
                <w:i w:val="0"/>
                <w:iCs w:val="0"/>
                <w:color w:val="auto"/>
                <w:kern w:val="0"/>
                <w:sz w:val="24"/>
                <w:szCs w:val="24"/>
                <w:u w:val="none"/>
                <w:lang w:val="en-US" w:eastAsia="zh-CN" w:bidi="ar"/>
              </w:rPr>
              <w:t>序号</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23E1">
            <w:pPr>
              <w:keepNext w:val="0"/>
              <w:keepLines w:val="0"/>
              <w:widowControl/>
              <w:jc w:val="center"/>
              <w:rPr>
                <w:rFonts w:hint="eastAsia" w:ascii="CESI仿宋-GB2312" w:hAnsi="CESI仿宋-GB2312" w:eastAsia="CESI仿宋-GB2312" w:cs="CESI仿宋-GB2312"/>
                <w:b/>
                <w:bCs/>
                <w:i w:val="0"/>
                <w:iCs w:val="0"/>
                <w:color w:val="auto"/>
                <w:sz w:val="24"/>
                <w:szCs w:val="24"/>
                <w:u w:val="none"/>
              </w:rPr>
            </w:pPr>
            <w:r>
              <w:rPr>
                <w:rFonts w:hint="eastAsia" w:ascii="CESI仿宋-GB2312" w:hAnsi="CESI仿宋-GB2312" w:eastAsia="CESI仿宋-GB2312" w:cs="CESI仿宋-GB2312"/>
                <w:b/>
                <w:bCs/>
                <w:i w:val="0"/>
                <w:iCs w:val="0"/>
                <w:color w:val="auto"/>
                <w:kern w:val="0"/>
                <w:sz w:val="24"/>
                <w:szCs w:val="24"/>
                <w:u w:val="none"/>
                <w:lang w:val="en-US" w:eastAsia="zh-CN" w:bidi="ar"/>
              </w:rPr>
              <w:t>建（构）筑物名称</w:t>
            </w:r>
          </w:p>
        </w:tc>
      </w:tr>
      <w:tr w14:paraId="7E31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06D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21EC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皇朝商务酒店</w:t>
            </w:r>
          </w:p>
        </w:tc>
      </w:tr>
      <w:tr w14:paraId="20FC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AEA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1196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嘉福花园嘉贤阁</w:t>
            </w:r>
          </w:p>
        </w:tc>
      </w:tr>
      <w:tr w14:paraId="77E7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E96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DF5A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金桂大厦A座、B座</w:t>
            </w:r>
          </w:p>
        </w:tc>
      </w:tr>
      <w:tr w14:paraId="4FC0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C2C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2C3A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骏皇名居</w:t>
            </w:r>
          </w:p>
        </w:tc>
      </w:tr>
      <w:tr w14:paraId="0434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A9C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5469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新桂花村6号楼</w:t>
            </w:r>
          </w:p>
        </w:tc>
      </w:tr>
      <w:tr w14:paraId="176A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AB5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4BB5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银泰苑南区4、5栋</w:t>
            </w:r>
          </w:p>
        </w:tc>
      </w:tr>
      <w:tr w14:paraId="11987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C0B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EE7D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笔架山天桥</w:t>
            </w:r>
          </w:p>
        </w:tc>
      </w:tr>
      <w:tr w14:paraId="22C5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006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8986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园岭天桥</w:t>
            </w:r>
          </w:p>
        </w:tc>
      </w:tr>
      <w:tr w14:paraId="4D9F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179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80B6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福华路天桥</w:t>
            </w:r>
          </w:p>
        </w:tc>
      </w:tr>
      <w:tr w14:paraId="39D8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BF6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95FE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皇岗立交桥</w:t>
            </w:r>
          </w:p>
        </w:tc>
      </w:tr>
      <w:tr w14:paraId="38AA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7F4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D530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福田保税雕塑（大拱门）</w:t>
            </w:r>
          </w:p>
        </w:tc>
      </w:tr>
      <w:tr w14:paraId="2E95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4F6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7131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皇岗路笋岗西路景观照明</w:t>
            </w:r>
          </w:p>
        </w:tc>
      </w:tr>
      <w:tr w14:paraId="7A4F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335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0D00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深南大道</w:t>
            </w:r>
          </w:p>
        </w:tc>
      </w:tr>
      <w:tr w14:paraId="7CCB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11C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590F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新闻大厦</w:t>
            </w:r>
          </w:p>
        </w:tc>
      </w:tr>
      <w:tr w14:paraId="6F24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E9C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7A5C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红岭大厦</w:t>
            </w:r>
          </w:p>
        </w:tc>
      </w:tr>
      <w:tr w14:paraId="40D0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F08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DE75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御河堤</w:t>
            </w:r>
          </w:p>
        </w:tc>
      </w:tr>
      <w:tr w14:paraId="04AB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BF3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1E9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万德大厦</w:t>
            </w:r>
          </w:p>
        </w:tc>
      </w:tr>
      <w:tr w14:paraId="0E6E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6EB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E9BE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万德居</w:t>
            </w:r>
          </w:p>
        </w:tc>
      </w:tr>
      <w:tr w14:paraId="56C0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358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0A2F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万德诺富特酒店</w:t>
            </w:r>
          </w:p>
        </w:tc>
      </w:tr>
      <w:tr w14:paraId="2C64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27B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16F3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新城大厦</w:t>
            </w:r>
          </w:p>
        </w:tc>
      </w:tr>
      <w:tr w14:paraId="6932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400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5620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档案大厦</w:t>
            </w:r>
          </w:p>
        </w:tc>
      </w:tr>
      <w:tr w14:paraId="3555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FBE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9390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中信银行（包含城市广场）</w:t>
            </w:r>
          </w:p>
        </w:tc>
      </w:tr>
      <w:tr w14:paraId="3D59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E0B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B117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佳兆业中心A、B座（平安银行）</w:t>
            </w:r>
          </w:p>
        </w:tc>
      </w:tr>
      <w:tr w14:paraId="00C3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090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F1E9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国企大厦</w:t>
            </w:r>
          </w:p>
        </w:tc>
      </w:tr>
      <w:tr w14:paraId="2554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86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314C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科技大厦（中广核研究院）</w:t>
            </w:r>
          </w:p>
        </w:tc>
      </w:tr>
      <w:tr w14:paraId="0947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0A3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EC92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中核大厦</w:t>
            </w:r>
          </w:p>
        </w:tc>
      </w:tr>
      <w:tr w14:paraId="0376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720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8042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华联大厦</w:t>
            </w:r>
          </w:p>
        </w:tc>
      </w:tr>
      <w:tr w14:paraId="13C7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5CA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28</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1B764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东风大厦</w:t>
            </w:r>
          </w:p>
        </w:tc>
      </w:tr>
      <w:tr w14:paraId="1EC0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418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29</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6656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兴华大厦</w:t>
            </w:r>
          </w:p>
        </w:tc>
      </w:tr>
      <w:tr w14:paraId="0080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761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30</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9C3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爱华电脑大厦</w:t>
            </w:r>
          </w:p>
        </w:tc>
      </w:tr>
      <w:tr w14:paraId="249E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93C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31</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453F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爱华大厦</w:t>
            </w:r>
          </w:p>
        </w:tc>
      </w:tr>
      <w:tr w14:paraId="1FDD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AE6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32</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9614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华南电力大厦</w:t>
            </w:r>
          </w:p>
        </w:tc>
      </w:tr>
      <w:tr w14:paraId="0C0C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E4B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33</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C1CE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华能大厦</w:t>
            </w:r>
          </w:p>
        </w:tc>
      </w:tr>
      <w:tr w14:paraId="3626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A28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34</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90AC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电子科技大厦（A、C座）</w:t>
            </w:r>
          </w:p>
        </w:tc>
      </w:tr>
      <w:tr w14:paraId="357F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A2A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35</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F19B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电子大厦</w:t>
            </w:r>
          </w:p>
        </w:tc>
      </w:tr>
      <w:tr w14:paraId="3C95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685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36</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1CFC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上步大厦</w:t>
            </w:r>
          </w:p>
        </w:tc>
      </w:tr>
      <w:tr w14:paraId="1B88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3D2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37</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CAC2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上田大厦</w:t>
            </w:r>
          </w:p>
        </w:tc>
      </w:tr>
      <w:tr w14:paraId="0C1A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F00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38</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5201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统建办公楼</w:t>
            </w:r>
          </w:p>
        </w:tc>
      </w:tr>
      <w:tr w14:paraId="177B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41E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39</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D2D6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宝安大厦</w:t>
            </w:r>
          </w:p>
        </w:tc>
      </w:tr>
      <w:tr w14:paraId="4CB9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D5E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40</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1FF5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华垦大厦（2栋）</w:t>
            </w:r>
          </w:p>
        </w:tc>
      </w:tr>
      <w:tr w14:paraId="1317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59C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41</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4218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越华大厦</w:t>
            </w:r>
          </w:p>
        </w:tc>
      </w:tr>
      <w:tr w14:paraId="2B50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7B0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42</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D72C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中电大院</w:t>
            </w:r>
          </w:p>
        </w:tc>
      </w:tr>
      <w:tr w14:paraId="7ED3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5FC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43</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7340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赤尾大厦</w:t>
            </w:r>
          </w:p>
        </w:tc>
      </w:tr>
      <w:tr w14:paraId="76DA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4E8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44</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626E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石油大厦</w:t>
            </w:r>
          </w:p>
        </w:tc>
      </w:tr>
      <w:tr w14:paraId="64E4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C72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45</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372A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飞扬时代大厦</w:t>
            </w:r>
          </w:p>
        </w:tc>
      </w:tr>
      <w:tr w14:paraId="34DA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8AA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46</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30E3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赛格广场</w:t>
            </w:r>
          </w:p>
        </w:tc>
      </w:tr>
      <w:tr w14:paraId="533A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0B1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47</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94FD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宝华大厦</w:t>
            </w:r>
          </w:p>
        </w:tc>
      </w:tr>
      <w:tr w14:paraId="6198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2E0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48</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5DC6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广博现代之窗</w:t>
            </w:r>
          </w:p>
        </w:tc>
      </w:tr>
      <w:tr w14:paraId="5E4F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83F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49</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A7A9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华强集团</w:t>
            </w:r>
          </w:p>
        </w:tc>
      </w:tr>
      <w:tr w14:paraId="5ABD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179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50</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9845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华强广场</w:t>
            </w:r>
          </w:p>
        </w:tc>
      </w:tr>
      <w:tr w14:paraId="40D4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445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51</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BDE5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华强广场酒店</w:t>
            </w:r>
          </w:p>
        </w:tc>
      </w:tr>
      <w:tr w14:paraId="5A86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A02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52</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97BE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深纺大厦</w:t>
            </w:r>
          </w:p>
        </w:tc>
      </w:tr>
      <w:tr w14:paraId="05E1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6CF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53</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85DB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佳和华强广场</w:t>
            </w:r>
          </w:p>
        </w:tc>
      </w:tr>
      <w:tr w14:paraId="4C0A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671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54</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2911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交通银行</w:t>
            </w:r>
          </w:p>
        </w:tc>
      </w:tr>
      <w:tr w14:paraId="35EB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38E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55</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B8AA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航空大厦</w:t>
            </w:r>
          </w:p>
        </w:tc>
      </w:tr>
      <w:tr w14:paraId="0452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A5F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56</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4EFE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华强广场B1-B3栋</w:t>
            </w:r>
          </w:p>
        </w:tc>
      </w:tr>
      <w:tr w14:paraId="11E5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921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57</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D42A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南光大厦</w:t>
            </w:r>
          </w:p>
        </w:tc>
      </w:tr>
      <w:tr w14:paraId="31FD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583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58</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FE57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航都大厦</w:t>
            </w:r>
          </w:p>
        </w:tc>
      </w:tr>
      <w:tr w14:paraId="3775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0D6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59</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EF24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华强花园A、B、C、D座</w:t>
            </w:r>
          </w:p>
        </w:tc>
      </w:tr>
      <w:tr w14:paraId="7D04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43A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60</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B6DF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国际科技大厦</w:t>
            </w:r>
          </w:p>
        </w:tc>
      </w:tr>
      <w:tr w14:paraId="649F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4C1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61</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ACFA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世界贸易广场</w:t>
            </w:r>
          </w:p>
        </w:tc>
      </w:tr>
      <w:tr w14:paraId="1E80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3B2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62</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39D0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雷圳大厦</w:t>
            </w:r>
          </w:p>
        </w:tc>
      </w:tr>
      <w:tr w14:paraId="0F8D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22D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FF3760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建安大厦</w:t>
            </w:r>
          </w:p>
        </w:tc>
      </w:tr>
      <w:tr w14:paraId="697D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34C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425BF8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敦煌大厦</w:t>
            </w:r>
          </w:p>
        </w:tc>
      </w:tr>
      <w:tr w14:paraId="5803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FA0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65</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CFD8A1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博园商务大厦</w:t>
            </w:r>
          </w:p>
        </w:tc>
      </w:tr>
      <w:tr w14:paraId="206D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F72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66</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374C1DB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越海家园</w:t>
            </w:r>
          </w:p>
        </w:tc>
      </w:tr>
      <w:tr w14:paraId="3B4AD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AB5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67</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C473C1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海景商务公寓</w:t>
            </w:r>
          </w:p>
        </w:tc>
      </w:tr>
      <w:tr w14:paraId="00A3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CCB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68</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F83AAE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光大银行大厦</w:t>
            </w:r>
          </w:p>
        </w:tc>
      </w:tr>
      <w:tr w14:paraId="27FD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173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69</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669DD2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香诗美林</w:t>
            </w:r>
          </w:p>
        </w:tc>
      </w:tr>
      <w:tr w14:paraId="2A58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095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70</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F8E0FD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中国经贸大厦</w:t>
            </w:r>
          </w:p>
        </w:tc>
      </w:tr>
      <w:tr w14:paraId="3136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634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71</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315B035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交通会务中心</w:t>
            </w:r>
          </w:p>
        </w:tc>
      </w:tr>
      <w:tr w14:paraId="7680E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E4E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72</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8684CF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求是大厦</w:t>
            </w:r>
          </w:p>
        </w:tc>
      </w:tr>
      <w:tr w14:paraId="75DF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DD7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8C0B70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深圳税务福田区服务厅</w:t>
            </w:r>
          </w:p>
        </w:tc>
      </w:tr>
      <w:tr w14:paraId="051A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909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F4B5D1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联泰大厦</w:t>
            </w:r>
          </w:p>
        </w:tc>
      </w:tr>
      <w:tr w14:paraId="3031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8B1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75</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3CDFB37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益华大厦</w:t>
            </w:r>
          </w:p>
        </w:tc>
      </w:tr>
      <w:tr w14:paraId="3545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B51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76</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7F5CAE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采曦庭（建业大厦）</w:t>
            </w:r>
          </w:p>
        </w:tc>
      </w:tr>
      <w:tr w14:paraId="546C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E7F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77</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FDDE28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工商物价大厦</w:t>
            </w:r>
          </w:p>
        </w:tc>
      </w:tr>
      <w:tr w14:paraId="3FBB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E6E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78</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37561A2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阳光高尔夫大厦</w:t>
            </w:r>
          </w:p>
        </w:tc>
      </w:tr>
      <w:tr w14:paraId="4187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1EF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79</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BD12C1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万科富春东方大厦</w:t>
            </w:r>
          </w:p>
        </w:tc>
      </w:tr>
      <w:tr w14:paraId="685F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090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80</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0A42A0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财富广场</w:t>
            </w:r>
          </w:p>
        </w:tc>
      </w:tr>
      <w:tr w14:paraId="7A8A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F30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81</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13F6C7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金运世纪大厦</w:t>
            </w:r>
          </w:p>
        </w:tc>
      </w:tr>
      <w:tr w14:paraId="07E8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1C0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82</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537597D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杭钢富春商务大厦</w:t>
            </w:r>
          </w:p>
        </w:tc>
      </w:tr>
      <w:tr w14:paraId="5C23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EA3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59E8608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江西大厦</w:t>
            </w:r>
          </w:p>
        </w:tc>
      </w:tr>
      <w:tr w14:paraId="01A4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CC2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61FE39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大庆大厦</w:t>
            </w:r>
          </w:p>
        </w:tc>
      </w:tr>
      <w:tr w14:paraId="01DD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06B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85</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F4FEAF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英龙大厦</w:t>
            </w:r>
          </w:p>
        </w:tc>
      </w:tr>
      <w:tr w14:paraId="5589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34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86</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3EC9ED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创建大厦</w:t>
            </w:r>
          </w:p>
        </w:tc>
      </w:tr>
      <w:tr w14:paraId="3325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468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87</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110039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花样年喜年中心</w:t>
            </w:r>
          </w:p>
        </w:tc>
      </w:tr>
      <w:tr w14:paraId="2C38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2C9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88</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D660E6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金润大厦</w:t>
            </w:r>
          </w:p>
        </w:tc>
      </w:tr>
      <w:tr w14:paraId="59AA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03F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89</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0B9A60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都市阳光名苑</w:t>
            </w:r>
          </w:p>
        </w:tc>
      </w:tr>
      <w:tr w14:paraId="60CE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F90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90</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CE08BF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本元大厦</w:t>
            </w:r>
          </w:p>
        </w:tc>
      </w:tr>
      <w:tr w14:paraId="7A79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6CA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91</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F7DD07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中国有色大厦</w:t>
            </w:r>
          </w:p>
        </w:tc>
      </w:tr>
      <w:tr w14:paraId="7C94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63D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92</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EE3DBC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NEO企业大厦</w:t>
            </w:r>
          </w:p>
        </w:tc>
      </w:tr>
      <w:tr w14:paraId="7234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F20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7691B4F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绿景广场</w:t>
            </w:r>
          </w:p>
        </w:tc>
      </w:tr>
      <w:tr w14:paraId="3E69B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98A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5758B12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天安数码广场</w:t>
            </w:r>
          </w:p>
        </w:tc>
      </w:tr>
      <w:tr w14:paraId="0198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849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95</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34BC96A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金茂JW万豪酒店</w:t>
            </w:r>
          </w:p>
        </w:tc>
      </w:tr>
      <w:tr w14:paraId="6BE88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600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96</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4E76CA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特区报社公寓</w:t>
            </w:r>
          </w:p>
        </w:tc>
      </w:tr>
      <w:tr w14:paraId="664A2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D88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97</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E0F5DB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景苑大厦</w:t>
            </w:r>
          </w:p>
        </w:tc>
      </w:tr>
      <w:tr w14:paraId="2835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713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98</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D7E8E3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华富大厦</w:t>
            </w:r>
          </w:p>
        </w:tc>
      </w:tr>
      <w:tr w14:paraId="6B63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772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99</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3966377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华丰大厦</w:t>
            </w:r>
          </w:p>
        </w:tc>
      </w:tr>
      <w:tr w14:paraId="64C7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71E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100</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C60877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中电信息大厦</w:t>
            </w:r>
          </w:p>
        </w:tc>
      </w:tr>
      <w:tr w14:paraId="53B9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CEF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101</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B4531F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东景花园</w:t>
            </w:r>
          </w:p>
        </w:tc>
      </w:tr>
      <w:tr w14:paraId="2A2C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C06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102</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79917E5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英龙商务中心</w:t>
            </w:r>
          </w:p>
        </w:tc>
      </w:tr>
      <w:tr w14:paraId="1884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80A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FE7324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时代华庭</w:t>
            </w:r>
          </w:p>
        </w:tc>
      </w:tr>
      <w:tr w14:paraId="4114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D72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EC918E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嘉汇新城</w:t>
            </w:r>
          </w:p>
        </w:tc>
      </w:tr>
      <w:tr w14:paraId="7BC0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701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105</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6FCF41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中山大学附属第八医院门诊楼</w:t>
            </w:r>
          </w:p>
        </w:tc>
      </w:tr>
      <w:tr w14:paraId="4A2E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739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106</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1AC624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南光捷佳大厦</w:t>
            </w:r>
          </w:p>
        </w:tc>
      </w:tr>
      <w:tr w14:paraId="4B5E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CF1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107</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305CE3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深圳国际文化大厦</w:t>
            </w:r>
          </w:p>
        </w:tc>
      </w:tr>
      <w:tr w14:paraId="51CB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0D0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108</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319A13E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大中华国际金融中心</w:t>
            </w:r>
          </w:p>
        </w:tc>
      </w:tr>
      <w:tr w14:paraId="13D4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1D5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109</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78585CD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田面城市大厦</w:t>
            </w:r>
          </w:p>
        </w:tc>
      </w:tr>
      <w:tr w14:paraId="0011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6D8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110</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D09ABB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深圳城市绿洲花园</w:t>
            </w:r>
          </w:p>
        </w:tc>
      </w:tr>
      <w:tr w14:paraId="17C5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A9A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111</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77E6E24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深圳国际创新中心</w:t>
            </w:r>
          </w:p>
        </w:tc>
      </w:tr>
      <w:tr w14:paraId="1FFF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DA1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112</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5764ADA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岗厦邮电大厦</w:t>
            </w:r>
          </w:p>
        </w:tc>
      </w:tr>
      <w:tr w14:paraId="590C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223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7922C9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宏嘉酒店、春晖苑</w:t>
            </w:r>
          </w:p>
        </w:tc>
      </w:tr>
      <w:tr w14:paraId="1D5A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737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CA971E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橄榄鹏苑</w:t>
            </w:r>
          </w:p>
        </w:tc>
      </w:tr>
      <w:tr w14:paraId="217B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7EC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115</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820B10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京港澳立交</w:t>
            </w:r>
          </w:p>
        </w:tc>
      </w:tr>
      <w:tr w14:paraId="5F9B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9F6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116</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A0722B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香蜜湖立交桥</w:t>
            </w:r>
          </w:p>
        </w:tc>
      </w:tr>
      <w:tr w14:paraId="5102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045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117</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36638A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深业泰然大厦</w:t>
            </w:r>
          </w:p>
        </w:tc>
      </w:tr>
      <w:tr w14:paraId="481F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70A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118</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980B29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云松大厦</w:t>
            </w:r>
          </w:p>
        </w:tc>
      </w:tr>
      <w:tr w14:paraId="2986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312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119</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C85931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水松大厦</w:t>
            </w:r>
          </w:p>
        </w:tc>
      </w:tr>
      <w:tr w14:paraId="39DF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752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120</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2F7118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盛唐大厦</w:t>
            </w:r>
          </w:p>
        </w:tc>
      </w:tr>
      <w:tr w14:paraId="684A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CDA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121</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EDF362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花样年，花好园</w:t>
            </w:r>
          </w:p>
        </w:tc>
      </w:tr>
      <w:tr w14:paraId="2533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F61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122</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35CB8C4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京基滨河时代</w:t>
            </w:r>
          </w:p>
        </w:tc>
      </w:tr>
      <w:tr w14:paraId="4241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CE4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DF1C5A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福宇轩</w:t>
            </w:r>
          </w:p>
        </w:tc>
      </w:tr>
      <w:tr w14:paraId="7017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874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301041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嘉洲华苑</w:t>
            </w:r>
          </w:p>
        </w:tc>
      </w:tr>
      <w:tr w14:paraId="715B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CFD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125</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D08C37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盛捷服务酒店</w:t>
            </w:r>
          </w:p>
        </w:tc>
      </w:tr>
      <w:tr w14:paraId="30AA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EF3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126</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CF5ACF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深圳市沪教院福田试验学校</w:t>
            </w:r>
          </w:p>
        </w:tc>
      </w:tr>
      <w:tr w14:paraId="4002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013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127</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5531595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都市花园御庭轩</w:t>
            </w:r>
          </w:p>
        </w:tc>
      </w:tr>
      <w:tr w14:paraId="1EA4B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E8B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128</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515C151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中央西谷大厦</w:t>
            </w:r>
          </w:p>
        </w:tc>
      </w:tr>
      <w:tr w14:paraId="5CDB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146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129</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E4288A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国税综合大厦</w:t>
            </w:r>
          </w:p>
        </w:tc>
      </w:tr>
      <w:tr w14:paraId="0F08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CA1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130</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5D0EE63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朗晴馨洲</w:t>
            </w:r>
          </w:p>
        </w:tc>
      </w:tr>
      <w:tr w14:paraId="1ED1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AF5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131</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5DA36E0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联合智华大厦</w:t>
            </w:r>
          </w:p>
        </w:tc>
      </w:tr>
      <w:tr w14:paraId="601A8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23D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132</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D8EFAC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湖北大厦</w:t>
            </w:r>
          </w:p>
        </w:tc>
      </w:tr>
      <w:tr w14:paraId="1C26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C97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35D416E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绿洲丰和</w:t>
            </w:r>
          </w:p>
        </w:tc>
      </w:tr>
      <w:tr w14:paraId="730A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FE8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1890FE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宏轩大厦</w:t>
            </w:r>
          </w:p>
        </w:tc>
      </w:tr>
      <w:tr w14:paraId="736A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E07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135</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C4214C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葵花酒店公寓</w:t>
            </w:r>
          </w:p>
        </w:tc>
      </w:tr>
      <w:tr w14:paraId="519C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EE3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136</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F95D90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信托花园</w:t>
            </w:r>
          </w:p>
        </w:tc>
      </w:tr>
      <w:tr w14:paraId="1A9C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BDB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137</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BCE41E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皇都广场</w:t>
            </w:r>
          </w:p>
        </w:tc>
      </w:tr>
      <w:tr w14:paraId="3BB2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EA2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138</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56C25A2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国皇大厦</w:t>
            </w:r>
          </w:p>
        </w:tc>
      </w:tr>
      <w:tr w14:paraId="0CC9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26D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139</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C61564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英协大厦</w:t>
            </w:r>
          </w:p>
        </w:tc>
      </w:tr>
      <w:tr w14:paraId="47C9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11B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D156B5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庆典大厦</w:t>
            </w:r>
          </w:p>
        </w:tc>
      </w:tr>
      <w:tr w14:paraId="50B8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66E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398311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联合大厦</w:t>
            </w:r>
          </w:p>
        </w:tc>
      </w:tr>
      <w:tr w14:paraId="6293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270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89742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同心大厦</w:t>
            </w:r>
          </w:p>
        </w:tc>
      </w:tr>
      <w:tr w14:paraId="1245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8B7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61803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供电大厦</w:t>
            </w:r>
          </w:p>
        </w:tc>
      </w:tr>
      <w:tr w14:paraId="004B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91E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0B37BD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高训大厦</w:t>
            </w:r>
          </w:p>
        </w:tc>
      </w:tr>
      <w:tr w14:paraId="5B2C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4D5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3E502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爱地大厦</w:t>
            </w:r>
          </w:p>
        </w:tc>
      </w:tr>
      <w:tr w14:paraId="30E6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165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B0DA8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卫检大厦</w:t>
            </w:r>
          </w:p>
        </w:tc>
      </w:tr>
      <w:tr w14:paraId="5C05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B09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F78A3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国检大厦</w:t>
            </w:r>
          </w:p>
        </w:tc>
      </w:tr>
      <w:tr w14:paraId="2AEF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3FD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8D6970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无线电管理大厦</w:t>
            </w:r>
          </w:p>
        </w:tc>
      </w:tr>
      <w:tr w14:paraId="4D9F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1EA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149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B85B1D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汇港名苑</w:t>
            </w:r>
          </w:p>
        </w:tc>
      </w:tr>
      <w:tr w14:paraId="0201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FE0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50F8B3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京基御景华城</w:t>
            </w:r>
          </w:p>
        </w:tc>
      </w:tr>
      <w:tr w14:paraId="0C2A6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C6B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5E9E4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鹏丽大厦</w:t>
            </w:r>
          </w:p>
        </w:tc>
      </w:tr>
      <w:tr w14:paraId="03498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1F1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7B776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锦峰大厦</w:t>
            </w:r>
          </w:p>
        </w:tc>
      </w:tr>
      <w:tr w14:paraId="1FB5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AC4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01F7C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海安中心</w:t>
            </w:r>
          </w:p>
        </w:tc>
      </w:tr>
      <w:tr w14:paraId="4025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B4E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38686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台湾花园</w:t>
            </w:r>
          </w:p>
        </w:tc>
      </w:tr>
      <w:tr w14:paraId="7EA5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8FF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3A46C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富豪花园</w:t>
            </w:r>
          </w:p>
        </w:tc>
      </w:tr>
      <w:tr w14:paraId="40BB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3E6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114D9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深港影视创意园</w:t>
            </w:r>
          </w:p>
        </w:tc>
      </w:tr>
      <w:tr w14:paraId="4EFE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EFD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D6049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深圳水务集团</w:t>
            </w:r>
          </w:p>
        </w:tc>
      </w:tr>
      <w:tr w14:paraId="0EF2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B69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0DC61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名苑大厦</w:t>
            </w:r>
          </w:p>
        </w:tc>
      </w:tr>
      <w:tr w14:paraId="0268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CEE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159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7A77D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港大医院</w:t>
            </w:r>
          </w:p>
        </w:tc>
      </w:tr>
      <w:tr w14:paraId="2A31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BD2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42D770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五洲宾馆</w:t>
            </w:r>
          </w:p>
        </w:tc>
      </w:tr>
      <w:tr w14:paraId="027C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AA4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55FD9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人才园</w:t>
            </w:r>
          </w:p>
        </w:tc>
      </w:tr>
      <w:tr w14:paraId="0441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85F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813450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福安大厦</w:t>
            </w:r>
          </w:p>
        </w:tc>
      </w:tr>
      <w:tr w14:paraId="65C2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F5F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65718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滨河益田立交桥</w:t>
            </w:r>
          </w:p>
        </w:tc>
      </w:tr>
      <w:tr w14:paraId="371C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AAE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F3E3F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滨河益田人行天桥</w:t>
            </w:r>
          </w:p>
        </w:tc>
      </w:tr>
      <w:tr w14:paraId="3D06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CDD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64C9C9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滨河金田立交桥</w:t>
            </w:r>
          </w:p>
        </w:tc>
      </w:tr>
      <w:tr w14:paraId="4138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423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31592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滨河金田人行天桥</w:t>
            </w:r>
          </w:p>
        </w:tc>
      </w:tr>
      <w:tr w14:paraId="03ED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2A8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F9A156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滨河福滨天桥</w:t>
            </w:r>
          </w:p>
        </w:tc>
      </w:tr>
      <w:tr w14:paraId="433C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0FF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E3ACA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福南天桥</w:t>
            </w:r>
          </w:p>
        </w:tc>
      </w:tr>
      <w:tr w14:paraId="791D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848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169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4D7DB6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通业大厦</w:t>
            </w:r>
          </w:p>
        </w:tc>
      </w:tr>
      <w:tr w14:paraId="7BE1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775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BC812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碧云天</w:t>
            </w:r>
          </w:p>
        </w:tc>
      </w:tr>
      <w:tr w14:paraId="30A2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B7A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CE52C2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绿景虹湾</w:t>
            </w:r>
          </w:p>
        </w:tc>
      </w:tr>
      <w:tr w14:paraId="56BB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F07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D51CB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裕林花园</w:t>
            </w:r>
          </w:p>
        </w:tc>
      </w:tr>
      <w:tr w14:paraId="3F4E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5AB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EBC750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迷你新居</w:t>
            </w:r>
          </w:p>
        </w:tc>
      </w:tr>
      <w:tr w14:paraId="3F1C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B72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7877B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碧华庭居</w:t>
            </w:r>
          </w:p>
        </w:tc>
      </w:tr>
      <w:tr w14:paraId="4D64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359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F5FF03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雕塑家园</w:t>
            </w:r>
          </w:p>
        </w:tc>
      </w:tr>
      <w:tr w14:paraId="7296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634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544BB2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景秀年华家园</w:t>
            </w:r>
          </w:p>
        </w:tc>
      </w:tr>
      <w:tr w14:paraId="644C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D2E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11196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武警大厦</w:t>
            </w:r>
          </w:p>
        </w:tc>
      </w:tr>
      <w:tr w14:paraId="31B7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7C3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42CAC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哈尔滨大厦</w:t>
            </w:r>
          </w:p>
        </w:tc>
      </w:tr>
      <w:tr w14:paraId="6127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4D3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179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7DBCFF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青海大厦</w:t>
            </w:r>
          </w:p>
        </w:tc>
      </w:tr>
      <w:tr w14:paraId="76105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7DD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3F647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景尚雅苑</w:t>
            </w:r>
          </w:p>
        </w:tc>
      </w:tr>
      <w:tr w14:paraId="5BF4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889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DC13F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华盛领寓</w:t>
            </w:r>
          </w:p>
        </w:tc>
      </w:tr>
      <w:tr w14:paraId="0DEF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B28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182</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C0C600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广州中医药大学深圳医院</w:t>
            </w:r>
          </w:p>
        </w:tc>
      </w:tr>
      <w:tr w14:paraId="34AE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0C0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08E465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外国语学校</w:t>
            </w:r>
          </w:p>
        </w:tc>
      </w:tr>
      <w:tr w14:paraId="2EAE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716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2AB015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景龙大厦</w:t>
            </w:r>
          </w:p>
        </w:tc>
      </w:tr>
      <w:tr w14:paraId="6717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836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185</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C169CD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景鹏大厦</w:t>
            </w:r>
          </w:p>
        </w:tc>
      </w:tr>
      <w:tr w14:paraId="10A6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C99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186</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7BAE218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富莲大厦</w:t>
            </w:r>
          </w:p>
        </w:tc>
      </w:tr>
      <w:tr w14:paraId="3216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198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187</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38A932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新莲大厦</w:t>
            </w:r>
          </w:p>
        </w:tc>
      </w:tr>
      <w:tr w14:paraId="36A9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A05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188</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DFA417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安远大厦</w:t>
            </w:r>
          </w:p>
        </w:tc>
      </w:tr>
      <w:tr w14:paraId="291D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55A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189</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B71C57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莲丰雅苑</w:t>
            </w:r>
          </w:p>
        </w:tc>
      </w:tr>
      <w:tr w14:paraId="45BF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A50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190</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8843D3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青莲公寓</w:t>
            </w:r>
          </w:p>
        </w:tc>
      </w:tr>
      <w:tr w14:paraId="4EEBB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90A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191</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9BF83D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彩田村</w:t>
            </w:r>
          </w:p>
        </w:tc>
      </w:tr>
      <w:tr w14:paraId="18EA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C91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192</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51508B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神彩苑</w:t>
            </w:r>
          </w:p>
        </w:tc>
      </w:tr>
      <w:tr w14:paraId="381B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FC4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7ACF595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深业上城</w:t>
            </w:r>
          </w:p>
        </w:tc>
      </w:tr>
      <w:tr w14:paraId="5367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DBA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114FEA8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笔架山依岚花园</w:t>
            </w:r>
          </w:p>
        </w:tc>
      </w:tr>
      <w:tr w14:paraId="517F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80A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195</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6371C1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恒通花园</w:t>
            </w:r>
          </w:p>
        </w:tc>
      </w:tr>
      <w:tr w14:paraId="7973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D40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196</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5881667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鹏基商务大厦</w:t>
            </w:r>
          </w:p>
        </w:tc>
      </w:tr>
      <w:tr w14:paraId="00A7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E30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197</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EFE216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听泉居</w:t>
            </w:r>
          </w:p>
        </w:tc>
      </w:tr>
      <w:tr w14:paraId="446F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783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198</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30B8036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安侨苑</w:t>
            </w:r>
          </w:p>
        </w:tc>
      </w:tr>
      <w:tr w14:paraId="6D14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C1E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199</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3C9297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香蜜湖瀚城</w:t>
            </w:r>
          </w:p>
        </w:tc>
      </w:tr>
      <w:tr w14:paraId="4EB4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9DC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200</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0C620C5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枫丹雅苑</w:t>
            </w:r>
          </w:p>
        </w:tc>
      </w:tr>
      <w:tr w14:paraId="4D3D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B00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201</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4F1F131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天居景田公寓</w:t>
            </w:r>
          </w:p>
        </w:tc>
      </w:tr>
      <w:tr w14:paraId="4476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EE2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202</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4C0ABD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开元大厦</w:t>
            </w:r>
          </w:p>
        </w:tc>
      </w:tr>
      <w:tr w14:paraId="2429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C5E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203</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65B6FBC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林海山庄</w:t>
            </w:r>
          </w:p>
        </w:tc>
      </w:tr>
      <w:tr w14:paraId="7511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FCA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204</w:t>
            </w:r>
          </w:p>
        </w:tc>
        <w:tc>
          <w:tcPr>
            <w:tcW w:w="4941" w:type="dxa"/>
            <w:tcBorders>
              <w:top w:val="single" w:color="000000" w:sz="4" w:space="0"/>
              <w:left w:val="nil"/>
              <w:bottom w:val="single" w:color="000000" w:sz="4" w:space="0"/>
              <w:right w:val="single" w:color="000000" w:sz="4" w:space="0"/>
            </w:tcBorders>
            <w:shd w:val="clear" w:color="auto" w:fill="auto"/>
            <w:noWrap w:val="0"/>
            <w:vAlign w:val="center"/>
          </w:tcPr>
          <w:p w14:paraId="2546721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深圳航天信息有限公司(运输大楼)</w:t>
            </w:r>
          </w:p>
        </w:tc>
      </w:tr>
      <w:tr w14:paraId="4EF9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D79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445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深南彩田立交桥</w:t>
            </w:r>
          </w:p>
        </w:tc>
      </w:tr>
      <w:tr w14:paraId="0F18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068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B3E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新洲路新洲立交天桥</w:t>
            </w:r>
          </w:p>
        </w:tc>
      </w:tr>
      <w:tr w14:paraId="3D7A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588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7F4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深南香蜜湖立交</w:t>
            </w:r>
          </w:p>
        </w:tc>
      </w:tr>
      <w:tr w14:paraId="5E81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6C9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FDC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深南广深高速立交</w:t>
            </w:r>
          </w:p>
        </w:tc>
      </w:tr>
      <w:tr w14:paraId="7178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19B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D62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深南农林南人行天桥</w:t>
            </w:r>
          </w:p>
        </w:tc>
      </w:tr>
      <w:tr w14:paraId="194F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F45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8D6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深南新洲立交桥</w:t>
            </w:r>
          </w:p>
        </w:tc>
      </w:tr>
      <w:tr w14:paraId="2A7D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A53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C1C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深南新洲立交桥树灯</w:t>
            </w:r>
          </w:p>
        </w:tc>
      </w:tr>
      <w:tr w14:paraId="2113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A70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E2D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深南益田立交</w:t>
            </w:r>
          </w:p>
        </w:tc>
      </w:tr>
      <w:tr w14:paraId="5F68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BB6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ADD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深南金田立交桥</w:t>
            </w:r>
          </w:p>
        </w:tc>
      </w:tr>
      <w:tr w14:paraId="7A99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3D6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30F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深南皇岗立交桥（西）</w:t>
            </w:r>
          </w:p>
        </w:tc>
      </w:tr>
      <w:tr w14:paraId="31F6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01B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7F2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深南皇岗立交桥（东）</w:t>
            </w:r>
          </w:p>
        </w:tc>
      </w:tr>
      <w:tr w14:paraId="297C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217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E66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深南田面人行天桥</w:t>
            </w:r>
          </w:p>
        </w:tc>
      </w:tr>
      <w:tr w14:paraId="53D4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862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15A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世纪灯柱</w:t>
            </w:r>
          </w:p>
        </w:tc>
      </w:tr>
      <w:tr w14:paraId="1949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06B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E75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深南中航人行天桥</w:t>
            </w:r>
          </w:p>
        </w:tc>
      </w:tr>
      <w:tr w14:paraId="3D22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371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423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新城市广场前花坛</w:t>
            </w:r>
          </w:p>
        </w:tc>
      </w:tr>
      <w:tr w14:paraId="050F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C16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325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邓小平画像</w:t>
            </w:r>
          </w:p>
        </w:tc>
      </w:tr>
      <w:tr w14:paraId="731B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B6B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C35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新洲路新洲人行天桥</w:t>
            </w:r>
          </w:p>
        </w:tc>
      </w:tr>
      <w:tr w14:paraId="24B1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636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D91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市民中心北连廊</w:t>
            </w:r>
          </w:p>
        </w:tc>
      </w:tr>
      <w:tr w14:paraId="3721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22E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379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彩田福中人行天桥</w:t>
            </w:r>
          </w:p>
        </w:tc>
      </w:tr>
      <w:tr w14:paraId="6534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0D6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B79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上步同德人行天桥</w:t>
            </w:r>
          </w:p>
        </w:tc>
      </w:tr>
      <w:tr w14:paraId="6E72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691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225</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C2EB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福田大厦</w:t>
            </w:r>
          </w:p>
        </w:tc>
      </w:tr>
      <w:tr w14:paraId="7D47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28D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226</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F16D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西丽大厦</w:t>
            </w:r>
          </w:p>
        </w:tc>
      </w:tr>
      <w:tr w14:paraId="2A31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FA1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227</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C1C9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少儿图书馆</w:t>
            </w:r>
          </w:p>
        </w:tc>
      </w:tr>
      <w:tr w14:paraId="1824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1B4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228</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EEA2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报春大厦</w:t>
            </w:r>
          </w:p>
        </w:tc>
      </w:tr>
      <w:tr w14:paraId="308F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40A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229</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FC7D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彩天名苑</w:t>
            </w:r>
          </w:p>
        </w:tc>
      </w:tr>
      <w:tr w14:paraId="0929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2A0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230</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DD70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彩虹新都</w:t>
            </w:r>
          </w:p>
        </w:tc>
      </w:tr>
      <w:tr w14:paraId="37FF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5A0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231</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7FB9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福田交通枢纽</w:t>
            </w:r>
          </w:p>
        </w:tc>
      </w:tr>
      <w:tr w14:paraId="6DB6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3A4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232</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28E0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人民大厦</w:t>
            </w:r>
          </w:p>
        </w:tc>
      </w:tr>
      <w:tr w14:paraId="1FC5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521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233</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E56B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五洲宾馆前广场</w:t>
            </w:r>
          </w:p>
        </w:tc>
      </w:tr>
      <w:tr w14:paraId="3DAA9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D50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234</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A007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安联大厦</w:t>
            </w:r>
          </w:p>
        </w:tc>
      </w:tr>
      <w:tr w14:paraId="2C48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B43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235</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EB67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擎天华庭</w:t>
            </w:r>
          </w:p>
        </w:tc>
      </w:tr>
      <w:tr w14:paraId="4430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3CA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236</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9122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东方玫瑰园</w:t>
            </w:r>
          </w:p>
        </w:tc>
      </w:tr>
      <w:tr w14:paraId="41C5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C8B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237</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F78A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安柏丽晶</w:t>
            </w:r>
          </w:p>
        </w:tc>
      </w:tr>
      <w:tr w14:paraId="1FFFC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5E5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238</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B752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深圳报业大厦</w:t>
            </w:r>
          </w:p>
        </w:tc>
      </w:tr>
      <w:tr w14:paraId="1069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903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21A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新洲路南延桥梁</w:t>
            </w:r>
          </w:p>
        </w:tc>
      </w:tr>
      <w:tr w14:paraId="6982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2F4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F13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滨河侨城东立交</w:t>
            </w:r>
          </w:p>
        </w:tc>
      </w:tr>
      <w:tr w14:paraId="337D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258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1D5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滨海竹子林立交桥</w:t>
            </w:r>
          </w:p>
        </w:tc>
      </w:tr>
      <w:tr w14:paraId="2D1F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E34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D48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滨河广深高速</w:t>
            </w:r>
          </w:p>
        </w:tc>
      </w:tr>
      <w:tr w14:paraId="700C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6F1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1DA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滨河泰然天桥</w:t>
            </w:r>
          </w:p>
        </w:tc>
      </w:tr>
      <w:tr w14:paraId="1648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5FA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7C7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滨河车公庙天桥</w:t>
            </w:r>
          </w:p>
        </w:tc>
      </w:tr>
      <w:tr w14:paraId="2DB5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351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B84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滨河车公庙立交</w:t>
            </w:r>
          </w:p>
        </w:tc>
      </w:tr>
      <w:tr w14:paraId="4985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8D3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DFD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滨河上沙人行天桥</w:t>
            </w:r>
          </w:p>
        </w:tc>
      </w:tr>
      <w:tr w14:paraId="751F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CDD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E9C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滨河新洲人行天桥</w:t>
            </w:r>
          </w:p>
        </w:tc>
      </w:tr>
      <w:tr w14:paraId="1274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7AA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B5B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滨河新洲立交</w:t>
            </w:r>
          </w:p>
        </w:tc>
      </w:tr>
      <w:tr w14:paraId="59A2F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900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79B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滨河彩田立交</w:t>
            </w:r>
          </w:p>
        </w:tc>
      </w:tr>
      <w:tr w14:paraId="456B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77B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2D7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滨河彩田人行天桥</w:t>
            </w:r>
          </w:p>
        </w:tc>
      </w:tr>
      <w:tr w14:paraId="62289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48E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9CB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滨河华强南立交</w:t>
            </w:r>
          </w:p>
        </w:tc>
      </w:tr>
      <w:tr w14:paraId="4081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3996">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059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滨河华强南天桥</w:t>
            </w:r>
          </w:p>
        </w:tc>
      </w:tr>
      <w:tr w14:paraId="70E5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65F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8C2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滨河爱华南天桥</w:t>
            </w:r>
          </w:p>
        </w:tc>
      </w:tr>
      <w:tr w14:paraId="0F41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869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44D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滨河上步南天桥</w:t>
            </w:r>
          </w:p>
        </w:tc>
      </w:tr>
      <w:tr w14:paraId="2CCF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FE6B">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745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滨河上步立交</w:t>
            </w:r>
          </w:p>
        </w:tc>
      </w:tr>
      <w:tr w14:paraId="2CE8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52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07B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滨河红岭立交</w:t>
            </w:r>
          </w:p>
        </w:tc>
      </w:tr>
      <w:tr w14:paraId="1BF6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B38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009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特发天桥</w:t>
            </w:r>
          </w:p>
        </w:tc>
      </w:tr>
      <w:tr w14:paraId="1D1B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691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011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北环侨香村天桥</w:t>
            </w:r>
          </w:p>
        </w:tc>
      </w:tr>
      <w:tr w14:paraId="79BA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8BD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E57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北环香蜜湖立交（旁）</w:t>
            </w:r>
          </w:p>
        </w:tc>
      </w:tr>
      <w:tr w14:paraId="3757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5A6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0D1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北环香蜜湖立交桥</w:t>
            </w:r>
          </w:p>
        </w:tc>
      </w:tr>
      <w:tr w14:paraId="0A64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587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4E8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北环香蜜湖天桥</w:t>
            </w:r>
          </w:p>
        </w:tc>
      </w:tr>
      <w:tr w14:paraId="2574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1A6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B813">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北环香梅北天桥</w:t>
            </w:r>
          </w:p>
        </w:tc>
      </w:tr>
      <w:tr w14:paraId="39DE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AC0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52D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北环香梅北环跨线桥</w:t>
            </w:r>
          </w:p>
        </w:tc>
      </w:tr>
      <w:tr w14:paraId="7531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060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136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北环景田北天桥</w:t>
            </w:r>
          </w:p>
        </w:tc>
      </w:tr>
      <w:tr w14:paraId="27B4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8D7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184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北环新洲立交桥</w:t>
            </w:r>
          </w:p>
        </w:tc>
      </w:tr>
      <w:tr w14:paraId="2693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EBB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43E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北环上梅林天桥</w:t>
            </w:r>
          </w:p>
        </w:tc>
      </w:tr>
      <w:tr w14:paraId="6BE7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EC5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10A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北环莲花北天桥</w:t>
            </w:r>
          </w:p>
        </w:tc>
      </w:tr>
      <w:tr w14:paraId="4293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E57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9AF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北环冬瓜岭天桥</w:t>
            </w:r>
          </w:p>
        </w:tc>
      </w:tr>
      <w:tr w14:paraId="402F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80E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FB6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北环彩田立交天桥</w:t>
            </w:r>
          </w:p>
        </w:tc>
      </w:tr>
      <w:tr w14:paraId="1B5D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4DF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782F">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北环皇岗立交天桥</w:t>
            </w:r>
          </w:p>
        </w:tc>
      </w:tr>
      <w:tr w14:paraId="739F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BFC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0B51">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北环珍珠岭天桥</w:t>
            </w:r>
          </w:p>
        </w:tc>
      </w:tr>
      <w:tr w14:paraId="5AF6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784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256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北环笔架山西天桥</w:t>
            </w:r>
          </w:p>
        </w:tc>
      </w:tr>
      <w:tr w14:paraId="50AE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347E">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4DD5">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北环笔架山东天桥</w:t>
            </w:r>
          </w:p>
        </w:tc>
      </w:tr>
      <w:tr w14:paraId="1049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B00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E8F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北环银湖天桥</w:t>
            </w:r>
          </w:p>
        </w:tc>
      </w:tr>
      <w:tr w14:paraId="1766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B59A">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275</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B0E3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市城管大厦</w:t>
            </w:r>
          </w:p>
        </w:tc>
      </w:tr>
      <w:tr w14:paraId="2111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345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276</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26344">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新洲花园</w:t>
            </w:r>
          </w:p>
        </w:tc>
      </w:tr>
      <w:tr w14:paraId="407E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2452">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277</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11A6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天安高尔夫珑园</w:t>
            </w:r>
          </w:p>
        </w:tc>
      </w:tr>
      <w:tr w14:paraId="2CBA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087D">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278</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74E9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趣园</w:t>
            </w:r>
          </w:p>
        </w:tc>
      </w:tr>
      <w:tr w14:paraId="32EB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48C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279</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66B18">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国都高尔夫</w:t>
            </w:r>
          </w:p>
        </w:tc>
      </w:tr>
      <w:tr w14:paraId="7B04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B159">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280</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33C20">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嘉州豪园</w:t>
            </w:r>
          </w:p>
        </w:tc>
      </w:tr>
      <w:tr w14:paraId="4AC5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935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281</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00F87">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万基商务大厦</w:t>
            </w:r>
          </w:p>
        </w:tc>
      </w:tr>
      <w:tr w14:paraId="5D9B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02E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282</w:t>
            </w:r>
          </w:p>
        </w:tc>
        <w:tc>
          <w:tcPr>
            <w:tcW w:w="4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6C2CC">
            <w:pPr>
              <w:keepNext w:val="0"/>
              <w:keepLines w:val="0"/>
              <w:widowControl/>
              <w:jc w:val="center"/>
              <w:rPr>
                <w:rFonts w:hint="eastAsia" w:ascii="CESI仿宋-GB2312" w:hAnsi="CESI仿宋-GB2312" w:eastAsia="CESI仿宋-GB2312" w:cs="CESI仿宋-GB2312"/>
                <w:i w:val="0"/>
                <w:iCs w:val="0"/>
                <w:color w:val="auto"/>
                <w:sz w:val="24"/>
                <w:szCs w:val="24"/>
                <w:u w:val="none"/>
              </w:rPr>
            </w:pPr>
            <w:r>
              <w:rPr>
                <w:rFonts w:hint="eastAsia" w:ascii="CESI仿宋-GB2312" w:hAnsi="CESI仿宋-GB2312" w:eastAsia="CESI仿宋-GB2312" w:cs="CESI仿宋-GB2312"/>
                <w:i w:val="0"/>
                <w:iCs w:val="0"/>
                <w:color w:val="auto"/>
                <w:kern w:val="0"/>
                <w:sz w:val="24"/>
                <w:szCs w:val="24"/>
                <w:u w:val="none"/>
                <w:lang w:val="en-US" w:eastAsia="zh-CN" w:bidi="ar"/>
              </w:rPr>
              <w:t>韵动领地</w:t>
            </w:r>
          </w:p>
        </w:tc>
      </w:tr>
    </w:tbl>
    <w:p w14:paraId="3EF5245F">
      <w:pPr>
        <w:pStyle w:val="3"/>
        <w:jc w:val="center"/>
        <w:rPr>
          <w:rFonts w:hint="eastAsia" w:ascii="宋体" w:hAnsi="宋体" w:eastAsia="宋体" w:cs="宋体"/>
          <w:color w:val="auto"/>
        </w:rPr>
      </w:pPr>
    </w:p>
    <w:p w14:paraId="2AEEF367">
      <w:pPr>
        <w:pStyle w:val="5"/>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五、</w:t>
      </w:r>
      <w:r>
        <w:rPr>
          <w:rFonts w:hint="eastAsia" w:ascii="宋体" w:hAnsi="宋体" w:eastAsia="宋体" w:cs="宋体"/>
          <w:color w:val="auto"/>
          <w:szCs w:val="21"/>
        </w:rPr>
        <w:t>项目服务要求</w:t>
      </w:r>
    </w:p>
    <w:p w14:paraId="35E1CD0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总体技术要求：中标人按照国家现行的标准、规范和规程进行维修</w:t>
      </w:r>
      <w:r>
        <w:rPr>
          <w:rFonts w:hint="eastAsia" w:ascii="宋体" w:hAnsi="宋体" w:eastAsia="宋体" w:cs="宋体"/>
          <w:bCs/>
          <w:color w:val="auto"/>
          <w:sz w:val="24"/>
          <w:szCs w:val="24"/>
          <w:lang w:val="en-US"/>
        </w:rPr>
        <w:t>及维护</w:t>
      </w:r>
      <w:r>
        <w:rPr>
          <w:rFonts w:hint="eastAsia" w:ascii="宋体" w:hAnsi="宋体" w:eastAsia="宋体" w:cs="宋体"/>
          <w:bCs/>
          <w:color w:val="auto"/>
          <w:sz w:val="24"/>
          <w:szCs w:val="24"/>
          <w:lang w:val="en-US" w:eastAsia="zh-CN"/>
        </w:rPr>
        <w:t>，根据采购人提出的技术要求，对维修</w:t>
      </w:r>
      <w:r>
        <w:rPr>
          <w:rFonts w:hint="eastAsia" w:ascii="宋体" w:hAnsi="宋体" w:eastAsia="宋体" w:cs="宋体"/>
          <w:bCs/>
          <w:color w:val="auto"/>
          <w:sz w:val="24"/>
          <w:szCs w:val="24"/>
          <w:lang w:val="en-US"/>
        </w:rPr>
        <w:t>及维护</w:t>
      </w:r>
      <w:r>
        <w:rPr>
          <w:rFonts w:hint="eastAsia" w:ascii="宋体" w:hAnsi="宋体" w:eastAsia="宋体" w:cs="宋体"/>
          <w:bCs/>
          <w:color w:val="auto"/>
          <w:sz w:val="24"/>
          <w:szCs w:val="24"/>
          <w:lang w:val="en-US" w:eastAsia="zh-CN"/>
        </w:rPr>
        <w:t>质量负责。中标人在维修中所更换的设施须按所在位置原设施的技术指标恢复原状；中标人在服务期间要确保景观照明设施完好率及亮灯率，亮灯率不得低于95%，设施完好率不得低于95％。本项目为现状移交，中标人需自行勘察现场，接管后不得以接管前损坏为由拒绝或拖延维修。</w:t>
      </w:r>
    </w:p>
    <w:p w14:paraId="2C8038FF">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（一）人员要求：</w:t>
      </w:r>
    </w:p>
    <w:p w14:paraId="3011A12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中标人需健全本维护项目实施的组织机构：项目负责人1名、安全管理人员2名（1名安全主管和1名安全员）、现场负责人1名、预算员1名、信息普查及资料员1名、巡检人员4名；其中现场负责人1名、安全员1名、信息普查及资料员1名、巡检人员4名均需常驻本项目办公地专职为本项目服务。</w:t>
      </w:r>
    </w:p>
    <w:p w14:paraId="4702E8F4">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投标人提供的人员须满足以下要求：</w:t>
      </w:r>
    </w:p>
    <w:p w14:paraId="54911975">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1.1安排项目管理团队</w:t>
      </w:r>
    </w:p>
    <w:p w14:paraId="7106BBD3">
      <w:pPr>
        <w:pStyle w:val="14"/>
        <w:keepNext w:val="0"/>
        <w:keepLines w:val="0"/>
        <w:pageBreakBefore w:val="0"/>
        <w:widowControl/>
        <w:numPr>
          <w:ilvl w:val="0"/>
          <w:numId w:val="5"/>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安全主管具有注册安全工程师证书；</w:t>
      </w:r>
    </w:p>
    <w:p w14:paraId="70577FC7">
      <w:pPr>
        <w:pStyle w:val="14"/>
        <w:keepNext w:val="0"/>
        <w:keepLines w:val="0"/>
        <w:pageBreakBefore w:val="0"/>
        <w:widowControl/>
        <w:numPr>
          <w:ilvl w:val="0"/>
          <w:numId w:val="5"/>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现场负责人具有机电或市政专业二级注册建造师资格（或以上）;</w:t>
      </w:r>
    </w:p>
    <w:p w14:paraId="4B8B5C26">
      <w:pPr>
        <w:pStyle w:val="14"/>
        <w:keepNext w:val="0"/>
        <w:keepLines w:val="0"/>
        <w:pageBreakBefore w:val="0"/>
        <w:widowControl/>
        <w:numPr>
          <w:ilvl w:val="0"/>
          <w:numId w:val="5"/>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预算员具有造价工程师证书。 </w:t>
      </w:r>
      <w:r>
        <w:rPr>
          <w:rFonts w:hint="eastAsia" w:ascii="宋体" w:hAnsi="宋体" w:eastAsia="宋体" w:cs="宋体"/>
          <w:bCs/>
          <w:color w:val="auto"/>
          <w:sz w:val="24"/>
          <w:szCs w:val="24"/>
          <w:lang w:val="en-US" w:eastAsia="zh-CN"/>
        </w:rPr>
        <w:br w:type="textWrapping"/>
      </w:r>
      <w:r>
        <w:rPr>
          <w:rFonts w:hint="eastAsia" w:ascii="宋体" w:hAnsi="宋体" w:eastAsia="宋体" w:cs="宋体"/>
          <w:bCs/>
          <w:color w:val="auto"/>
          <w:sz w:val="24"/>
          <w:szCs w:val="24"/>
          <w:lang w:val="en-US" w:eastAsia="zh-CN"/>
        </w:rPr>
        <w:t>1.2安排项目一线工人不少于6人</w:t>
      </w:r>
    </w:p>
    <w:p w14:paraId="4CCEFA12">
      <w:pPr>
        <w:pStyle w:val="14"/>
        <w:keepNext w:val="0"/>
        <w:keepLines w:val="0"/>
        <w:pageBreakBefore w:val="0"/>
        <w:widowControl/>
        <w:numPr>
          <w:ilvl w:val="0"/>
          <w:numId w:val="6"/>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维修人员年龄须在1975年1月1日后出生；</w:t>
      </w:r>
    </w:p>
    <w:p w14:paraId="4FDB5F68">
      <w:pPr>
        <w:pStyle w:val="14"/>
        <w:keepNext w:val="0"/>
        <w:keepLines w:val="0"/>
        <w:pageBreakBefore w:val="0"/>
        <w:widowControl/>
        <w:numPr>
          <w:ilvl w:val="0"/>
          <w:numId w:val="6"/>
        </w:numPr>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维修人员同时持有应急管理部门或安全生产监督管理部门颁发的特种作业操作证（作业类别：高处作业；准操项目：高处安装、维修、拆除作业）和特种作业操作证（作业类别：电工作业；准操项目：低压电工作业）。</w:t>
      </w:r>
    </w:p>
    <w:p w14:paraId="5A0BD53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证明材料：（1）提供人员身份证扫描件；（2）提供通过投标人缴纳的近三个月（2024年11月-2025年1月）的社保证明作为本单位员工的证明依据，补缴的不得分（如开标日上一个月的社保材料因社保部门原因暂时无法取得，则可以往前顺延一个月）。若供应商成立不足三个月的，需提供成立情况说明函（格式自拟），无需提供相关人员社保，亦可得分。（3）提证书扫描件和证书官方查询截图。</w:t>
      </w:r>
    </w:p>
    <w:p w14:paraId="7B82BD9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常驻人员负责设施日常巡查、设施检查、台账整理、信息系统录入、资料报送等工作，所需费用包含在固定费用中。招标人要求额外增加巡查人员和车辆时，中标人需配备临时人员和车辆，所需费用列入设施维护费，按照实际发生额进行结算。</w:t>
      </w:r>
    </w:p>
    <w:p w14:paraId="0FF3C40E">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3.中标人需为项目实施团队人员购买社保、医保、工伤保险、意外保险等，相关费用包含在投标报价中。</w:t>
      </w:r>
    </w:p>
    <w:p w14:paraId="7421B805">
      <w:pPr>
        <w:pStyle w:val="14"/>
        <w:keepNext w:val="0"/>
        <w:keepLines w:val="0"/>
        <w:pageBreakBefore w:val="0"/>
        <w:widowControl/>
        <w:snapToGrid/>
        <w:spacing w:before="60" w:beforeLines="25" w:after="60" w:afterLines="25" w:line="360" w:lineRule="auto"/>
        <w:ind w:firstLine="448" w:firstLineChars="187"/>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4.中标维护企业法人必须参加招标人组织的每季度安全生产会议进行安全述职。</w:t>
      </w:r>
    </w:p>
    <w:p w14:paraId="12C9948E">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（二）驻点要求：</w:t>
      </w:r>
    </w:p>
    <w:p w14:paraId="5180B16F">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1.采购人免费提供一处办公场所用于项目常驻人员办公及应急值守，中标人需派人常驻采购人指定的办公场所，以便于配合采购人的工作。</w:t>
      </w:r>
    </w:p>
    <w:p w14:paraId="75C0D742">
      <w:pPr>
        <w:pStyle w:val="14"/>
        <w:spacing w:before="60" w:beforeLines="25" w:after="60" w:afterLines="25" w:line="360" w:lineRule="auto"/>
        <w:ind w:firstLine="448" w:firstLineChars="187"/>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2.中标人须在离项目不超过2小时乘车距离有面积大于100（含）平方米的仓库（自有或租赁均可，不能为住宅或办公楼），仓库需整齐堆放相关工具、设备等材料，合同期内如采购人有堆放景观照明设施材料的需求，需无条件免费提供本项目使用。</w:t>
      </w:r>
    </w:p>
    <w:p w14:paraId="7F724F60">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3.在办公场地、仓库、应急值班房内的办公、作业、存储的一切</w:t>
      </w:r>
      <w:r>
        <w:rPr>
          <w:rFonts w:hint="eastAsia" w:ascii="宋体" w:hAnsi="宋体" w:eastAsia="宋体" w:cs="宋体"/>
          <w:bCs/>
          <w:color w:val="auto"/>
          <w:sz w:val="24"/>
          <w:szCs w:val="24"/>
          <w:lang w:val="en-US"/>
        </w:rPr>
        <w:t>行为责任和安全</w:t>
      </w:r>
      <w:r>
        <w:rPr>
          <w:rFonts w:hint="eastAsia" w:ascii="宋体" w:hAnsi="宋体" w:eastAsia="宋体" w:cs="宋体"/>
          <w:bCs/>
          <w:color w:val="auto"/>
          <w:sz w:val="24"/>
          <w:szCs w:val="24"/>
          <w:lang w:val="en-US" w:eastAsia="zh-CN"/>
        </w:rPr>
        <w:t>责任，及</w:t>
      </w:r>
      <w:r>
        <w:rPr>
          <w:rFonts w:hint="eastAsia" w:ascii="宋体" w:hAnsi="宋体" w:eastAsia="宋体" w:cs="宋体"/>
          <w:bCs/>
          <w:color w:val="auto"/>
          <w:sz w:val="24"/>
          <w:szCs w:val="24"/>
          <w:lang w:val="en-US"/>
        </w:rPr>
        <w:t>若</w:t>
      </w:r>
      <w:r>
        <w:rPr>
          <w:rFonts w:hint="eastAsia" w:ascii="宋体" w:hAnsi="宋体" w:eastAsia="宋体" w:cs="宋体"/>
          <w:bCs/>
          <w:color w:val="auto"/>
          <w:sz w:val="24"/>
          <w:szCs w:val="24"/>
          <w:lang w:val="en-US" w:eastAsia="zh-CN"/>
        </w:rPr>
        <w:t>发生安全事故</w:t>
      </w:r>
      <w:r>
        <w:rPr>
          <w:rFonts w:hint="eastAsia" w:ascii="宋体" w:hAnsi="宋体" w:eastAsia="宋体" w:cs="宋体"/>
          <w:bCs/>
          <w:color w:val="auto"/>
          <w:sz w:val="24"/>
          <w:szCs w:val="24"/>
          <w:lang w:val="en-US"/>
        </w:rPr>
        <w:t>的安全责任等法律责任</w:t>
      </w:r>
      <w:r>
        <w:rPr>
          <w:rFonts w:hint="eastAsia" w:ascii="宋体" w:hAnsi="宋体" w:eastAsia="宋体" w:cs="宋体"/>
          <w:bCs/>
          <w:color w:val="auto"/>
          <w:sz w:val="24"/>
          <w:szCs w:val="24"/>
          <w:lang w:val="en-US" w:eastAsia="zh-CN"/>
        </w:rPr>
        <w:t>均由中标人承担全部责任，采购人不予承担。禁止在办公场地、仓库生产、储存经营易燃、易爆、有毒、放射性等危险物品。中标人对采购人提供的办公场地、仓库，确保合理使用，不得损坏房屋，不得擅自装修、转租，不得擅自改变房屋使用功能。项目结束时，需迁离并保证房屋及附属设施的完好</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rPr>
        <w:t>否则需向采购人赔偿</w:t>
      </w:r>
      <w:r>
        <w:rPr>
          <w:rFonts w:hint="eastAsia" w:ascii="宋体" w:hAnsi="宋体" w:eastAsia="宋体" w:cs="宋体"/>
          <w:bCs/>
          <w:color w:val="auto"/>
          <w:sz w:val="24"/>
          <w:szCs w:val="24"/>
          <w:lang w:val="en-US" w:eastAsia="zh-CN"/>
        </w:rPr>
        <w:t>。</w:t>
      </w:r>
    </w:p>
    <w:p w14:paraId="58D63B6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
          <w:bCs w:val="0"/>
          <w:color w:val="auto"/>
          <w:sz w:val="24"/>
          <w:szCs w:val="24"/>
          <w:lang w:val="en-US" w:eastAsia="zh-CN"/>
        </w:rPr>
      </w:pPr>
      <w:r>
        <w:rPr>
          <w:rFonts w:hint="eastAsia" w:ascii="宋体" w:hAnsi="宋体" w:eastAsia="宋体" w:cs="宋体"/>
          <w:bCs/>
          <w:color w:val="auto"/>
          <w:sz w:val="24"/>
          <w:szCs w:val="24"/>
          <w:lang w:val="en-US" w:eastAsia="zh-CN"/>
        </w:rPr>
        <w:t>★</w:t>
      </w:r>
      <w:r>
        <w:rPr>
          <w:rFonts w:hint="eastAsia" w:ascii="宋体" w:hAnsi="宋体" w:eastAsia="宋体" w:cs="宋体"/>
          <w:b/>
          <w:bCs w:val="0"/>
          <w:color w:val="auto"/>
          <w:sz w:val="24"/>
          <w:szCs w:val="24"/>
          <w:lang w:val="en-US" w:eastAsia="zh-CN"/>
        </w:rPr>
        <w:t>（三）车辆要求：</w:t>
      </w:r>
    </w:p>
    <w:p w14:paraId="6FB545C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本项目中标人需配备粤B牌新能源轿车2辆，专用于本项目的巡查检查、电费补贴核查及项目内其他工作，此2辆车相关费用包含在固定费用中；提供升空高度不低于15m的粤B牌高空作业车辆1辆、粤B牌专用防撞车一辆，高空作业车和防撞车不要求专用于本项目，但有使用需求时要优先用于本项目，高空车、防撞车的费用按照实际工作量进行结算。</w:t>
      </w:r>
    </w:p>
    <w:p w14:paraId="0C39FB99">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★（四）设施维护费用：</w:t>
      </w:r>
    </w:p>
    <w:p w14:paraId="7D9A31D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本项目包含的景观照明设施维护费用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用于日常维护材料更换、老旧设施更新、安全隐患整治、应急抢修等工作，其中更新三遥设备不少于50台。常驻人员的日常巡检工作不计入此项费用。维护更换的废旧材料归采购人所有，由中标人负责回收和妥善保管，并配合采购人按上级主管部门相关规定处置。</w:t>
      </w:r>
    </w:p>
    <w:p w14:paraId="1BBBEDA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设施维护费用按照实际完成工作量核实计量。并按投标报价的设施维护费下浮率进行下浮，结算金额以采购人或采购人上级主管部门审定价格为准。</w:t>
      </w:r>
    </w:p>
    <w:p w14:paraId="2093FADA">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（五）亮灯巡查要求：</w:t>
      </w:r>
    </w:p>
    <w:p w14:paraId="3AAD0B1D">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中标人需采用汽车、无人机和电动自行车等相结合的方式进行定期巡查。每次巡查有详细记录。如涉及三遥问题未亮灯的，中标人需积极与三遥监控室联系，尽早处理。</w:t>
      </w:r>
    </w:p>
    <w:p w14:paraId="4EF1DA96">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（六）设施检查要求：</w:t>
      </w:r>
    </w:p>
    <w:p w14:paraId="534BB233">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定期完成景观照明设施配电箱、灯具、管线及配件等所有设备的检查工作。维护范围内的所有设备，对检查情况及时记录，确保景观照明设施正常运行，因检查不到位造成高空坠落等事故，由中标人独自承担法律和经济赔偿责任。</w:t>
      </w:r>
    </w:p>
    <w:p w14:paraId="391FDDBF">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（七）应急抢修要求：</w:t>
      </w:r>
    </w:p>
    <w:p w14:paraId="300F8E6D">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建立节假日值班及故障紧急抢修制度，建设应急队伍，巡检发现故障或隐患等问题应及时记录和抢修。线路、配电故障应在1小时内赶赴现场，原则上要求24小时内修复；线路、设备损坏较为复杂故障或设施被盗、道路挖掘等引起的故障，在具备修复条件后3天内修复。</w:t>
      </w:r>
    </w:p>
    <w:p w14:paraId="49BAAEB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在台风、暴雨等恶劣天气时应有应急预案并配备应急抢修队伍，应急抢修队伍不少于6名维修人员和1台高空作业车，应急响应期间抢修人员和车辆需在采购人指定地点待命。</w:t>
      </w:r>
    </w:p>
    <w:p w14:paraId="30D74F03">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（八）安全生产台账要求：</w:t>
      </w:r>
    </w:p>
    <w:p w14:paraId="2D3EC3A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按照《城市照明行业生产经营单位应急管理和安全生产档案整理工作指引》要求，主要涵盖项目情况、安全机构设置、安全标准化建设、双重预防机制、应急管理、安全投入等。采购人不定期检查安全生产台账，资料不齐全的采购人有权要求限期整改并进行相应处罚。</w:t>
      </w:r>
    </w:p>
    <w:p w14:paraId="748BE985">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（九）安全文明施工要求：</w:t>
      </w:r>
    </w:p>
    <w:p w14:paraId="5B90EDEE">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中标人需按安全章程规范作业，班前交底，作业人员须培训并持证上岗，配备各类合格的安全器材，做好个人防护，作业现场安排安全员专人监护，并做好围栏、警示牌等安全防护工作。</w:t>
      </w:r>
    </w:p>
    <w:p w14:paraId="0CE37F49">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中标人需定期检测维护范围内的设施用电安全，开展防漏电检测，及时发现安全隐患，立即整改上报，确保设施安全正常运行，因检查不到位造成漏电或火灾，由中标人独自承担法律和经济赔偿责任。</w:t>
      </w:r>
    </w:p>
    <w:p w14:paraId="3A3D2C55">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（十）维护要求：</w:t>
      </w:r>
    </w:p>
    <w:p w14:paraId="1033836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损坏灯具及时维修，确保设施整洁完好，亮灯效果正常。维修中灯具、电源、漏电开关、控制箱、电缆等设施及配件的更换应使用原厂产品，因故确实需要更换其他品牌材料，需征得采购人同意后方可更换。</w:t>
      </w:r>
    </w:p>
    <w:p w14:paraId="4B0895FF">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eastAsia="zh-CN"/>
        </w:rPr>
        <w:t>（十一）信息化管理要求：</w:t>
      </w:r>
      <w:r>
        <w:rPr>
          <w:rFonts w:hint="eastAsia" w:ascii="宋体" w:hAnsi="宋体" w:eastAsia="宋体" w:cs="宋体"/>
          <w:bCs/>
          <w:color w:val="auto"/>
          <w:sz w:val="24"/>
          <w:szCs w:val="24"/>
          <w:lang w:val="en-US" w:eastAsia="zh-CN"/>
        </w:rPr>
        <w:t>中标人应使用采购人的信息系统完成巡查、维护、资产信息更新等工作。</w:t>
      </w:r>
    </w:p>
    <w:p w14:paraId="433BB266">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（十二）其他维护工作：</w:t>
      </w:r>
    </w:p>
    <w:p w14:paraId="1C7D1263">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中标人需编制执行工作计划和工作方案，填报各项报表，按时上报采购人；规定时间内及时处理完毕舆情投诉；高水平完成迎检等突击任务；与设施业主保持有效沟通，建立良好的关系；设置必要的防护设施保证所有设施的完整及良好运行；监督检查景观照明设施外接用电接驳，及时上报未经允许的外接用电；协助完成拟接管设施验收工作；完成管理部门交办的专项检测、电费补贴核查、辅助处理废旧材料等其他工作。</w:t>
      </w:r>
    </w:p>
    <w:p w14:paraId="3369AA7B">
      <w:pPr>
        <w:keepNext w:val="0"/>
        <w:keepLines w:val="0"/>
        <w:pageBreakBefore w:val="0"/>
        <w:widowControl/>
        <w:snapToGrid/>
        <w:rPr>
          <w:rFonts w:hint="eastAsia" w:ascii="宋体" w:hAnsi="宋体" w:eastAsia="宋体" w:cs="宋体"/>
          <w:color w:val="auto"/>
          <w:sz w:val="21"/>
          <w:szCs w:val="21"/>
        </w:rPr>
      </w:pPr>
    </w:p>
    <w:p w14:paraId="74343F80">
      <w:pPr>
        <w:pStyle w:val="5"/>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六</w:t>
      </w:r>
      <w:r>
        <w:rPr>
          <w:rFonts w:hint="eastAsia" w:ascii="宋体" w:hAnsi="宋体" w:eastAsia="宋体" w:cs="宋体"/>
          <w:color w:val="auto"/>
          <w:szCs w:val="21"/>
        </w:rPr>
        <w:t>、项目商务要求</w:t>
      </w:r>
    </w:p>
    <w:p w14:paraId="55237D06">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★（一）服务期限：</w:t>
      </w:r>
    </w:p>
    <w:p w14:paraId="18ED99C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1.自合同签订生效之日起一年。</w:t>
      </w:r>
    </w:p>
    <w:p w14:paraId="4B21199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本项目为长期服务项目，合同期满可以续签，但合同履行期限最长不得超过</w:t>
      </w:r>
      <w:r>
        <w:rPr>
          <w:rFonts w:hint="eastAsia" w:ascii="宋体" w:hAnsi="宋体" w:eastAsia="宋体" w:cs="宋体"/>
          <w:bCs/>
          <w:color w:val="auto"/>
          <w:sz w:val="24"/>
          <w:szCs w:val="24"/>
          <w:lang w:val="en-US" w:eastAsia="zh-CN"/>
        </w:rPr>
        <w:t>36</w:t>
      </w:r>
      <w:r>
        <w:rPr>
          <w:rFonts w:hint="eastAsia" w:ascii="宋体" w:hAnsi="宋体" w:eastAsia="宋体" w:cs="宋体"/>
          <w:bCs/>
          <w:color w:val="auto"/>
          <w:sz w:val="24"/>
          <w:szCs w:val="24"/>
        </w:rPr>
        <w:t>个月。如</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对履约情况不满意，</w:t>
      </w:r>
      <w:r>
        <w:rPr>
          <w:rFonts w:hint="eastAsia" w:ascii="宋体" w:hAnsi="宋体" w:eastAsia="宋体" w:cs="宋体"/>
          <w:bCs/>
          <w:color w:val="auto"/>
          <w:sz w:val="24"/>
          <w:szCs w:val="24"/>
          <w:lang w:eastAsia="zh-CN"/>
        </w:rPr>
        <w:t>采购人</w:t>
      </w:r>
      <w:r>
        <w:rPr>
          <w:rFonts w:hint="eastAsia" w:ascii="宋体" w:hAnsi="宋体" w:eastAsia="宋体" w:cs="宋体"/>
          <w:bCs/>
          <w:color w:val="auto"/>
          <w:sz w:val="24"/>
          <w:szCs w:val="24"/>
        </w:rPr>
        <w:t>不再续约。如因该项目维护范围、维护内容等发生重大变化（如管理范围内标段范围调整等），则采购人有权不予续签合同。</w:t>
      </w:r>
    </w:p>
    <w:p w14:paraId="0C3F4653">
      <w:pPr>
        <w:pStyle w:val="2"/>
        <w:keepNext w:val="0"/>
        <w:keepLines w:val="0"/>
        <w:pageBreakBefore w:val="0"/>
        <w:widowControl/>
        <w:snapToGrid/>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color w:val="auto"/>
          <w:sz w:val="24"/>
          <w:szCs w:val="24"/>
          <w:lang w:val="en-US" w:eastAsia="zh-CN"/>
        </w:rPr>
        <w:t>3.中标人有下列行为的，采购人不予续签合同：</w:t>
      </w:r>
    </w:p>
    <w:p w14:paraId="0D62F451">
      <w:pPr>
        <w:pStyle w:val="3"/>
        <w:keepNext w:val="0"/>
        <w:keepLines w:val="0"/>
        <w:pageBreakBefore w:val="0"/>
        <w:widowControl/>
        <w:snapToGrid/>
        <w:spacing w:line="360" w:lineRule="auto"/>
        <w:ind w:firstLine="21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（1）无故不参加采购人组织的各项会议的；</w:t>
      </w:r>
    </w:p>
    <w:p w14:paraId="3FCFB9E4">
      <w:pPr>
        <w:pStyle w:val="3"/>
        <w:keepNext w:val="0"/>
        <w:keepLines w:val="0"/>
        <w:pageBreakBefore w:val="0"/>
        <w:widowControl/>
        <w:snapToGrid/>
        <w:spacing w:line="360" w:lineRule="auto"/>
        <w:ind w:firstLine="21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（2）被采购人通报批评3次以上的；</w:t>
      </w:r>
    </w:p>
    <w:p w14:paraId="4E8721D0">
      <w:pPr>
        <w:pStyle w:val="3"/>
        <w:keepNext w:val="0"/>
        <w:keepLines w:val="0"/>
        <w:pageBreakBefore w:val="0"/>
        <w:widowControl/>
        <w:snapToGrid/>
        <w:spacing w:line="360" w:lineRule="auto"/>
        <w:ind w:firstLine="21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（3）履行合同期间发生安全事故的。</w:t>
      </w:r>
    </w:p>
    <w:p w14:paraId="44540FE2">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（二）付款方式：</w:t>
      </w:r>
    </w:p>
    <w:p w14:paraId="1907203B">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合同签订且中标供应商提交履约保证金后，采购人支付合同金额30%预付款。</w:t>
      </w:r>
    </w:p>
    <w:p w14:paraId="567D947F">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.支付费用计算方式：</w:t>
      </w:r>
    </w:p>
    <w:p w14:paraId="76ECC74F">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color w:val="auto"/>
          <w:sz w:val="24"/>
          <w:szCs w:val="24"/>
        </w:rPr>
      </w:pPr>
      <w:r>
        <w:rPr>
          <w:rFonts w:hint="eastAsia" w:ascii="宋体" w:hAnsi="宋体" w:eastAsia="宋体" w:cs="宋体"/>
          <w:bCs/>
          <w:color w:val="auto"/>
          <w:sz w:val="24"/>
          <w:szCs w:val="24"/>
        </w:rPr>
        <w:t>（1）每月支付费用=每月</w:t>
      </w:r>
      <w:r>
        <w:rPr>
          <w:rFonts w:hint="eastAsia" w:ascii="宋体" w:hAnsi="宋体" w:eastAsia="宋体" w:cs="宋体"/>
          <w:bCs/>
          <w:color w:val="auto"/>
          <w:sz w:val="24"/>
          <w:szCs w:val="24"/>
          <w:lang w:eastAsia="zh-CN"/>
        </w:rPr>
        <w:t>总</w:t>
      </w:r>
      <w:r>
        <w:rPr>
          <w:rFonts w:hint="eastAsia" w:ascii="宋体" w:hAnsi="宋体" w:eastAsia="宋体" w:cs="宋体"/>
          <w:bCs/>
          <w:color w:val="auto"/>
          <w:sz w:val="24"/>
          <w:szCs w:val="24"/>
        </w:rPr>
        <w:t>维护费</w:t>
      </w:r>
      <w:r>
        <w:rPr>
          <w:rFonts w:hint="eastAsia" w:ascii="宋体" w:hAnsi="宋体" w:eastAsia="宋体" w:cs="宋体"/>
          <w:bCs/>
          <w:color w:val="auto"/>
          <w:sz w:val="24"/>
          <w:szCs w:val="24"/>
          <w:lang w:eastAsia="zh-CN"/>
        </w:rPr>
        <w:t>用</w:t>
      </w:r>
      <w:r>
        <w:rPr>
          <w:rFonts w:hint="eastAsia" w:ascii="宋体" w:hAnsi="宋体" w:eastAsia="宋体" w:cs="宋体"/>
          <w:bCs/>
          <w:color w:val="auto"/>
          <w:sz w:val="24"/>
          <w:szCs w:val="24"/>
        </w:rPr>
        <w:t>减去维护考核扣分扣款</w:t>
      </w:r>
      <w:r>
        <w:rPr>
          <w:rFonts w:hint="eastAsia" w:ascii="宋体" w:hAnsi="宋体" w:eastAsia="宋体" w:cs="宋体"/>
          <w:b w:val="0"/>
          <w:bCs/>
          <w:i w:val="0"/>
          <w:iCs w:val="0"/>
          <w:caps w:val="0"/>
          <w:smallCaps w:val="0"/>
          <w:strike w:val="0"/>
          <w:vanish w:val="0"/>
          <w:color w:val="auto"/>
          <w:spacing w:val="0"/>
          <w:position w:val="0"/>
          <w:sz w:val="24"/>
          <w:szCs w:val="24"/>
          <w:u w:val="none"/>
          <w:vertAlign w:val="baseline"/>
          <w:rtl w:val="0"/>
          <w:cs w:val="0"/>
          <w:lang w:val="en-US" w:eastAsia="en-US" w:bidi="en-US"/>
        </w:rPr>
        <w:t>；</w:t>
      </w:r>
    </w:p>
    <w:p w14:paraId="45861040">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（2）考核得分≧</w:t>
      </w:r>
      <w:r>
        <w:rPr>
          <w:rFonts w:hint="eastAsia" w:ascii="宋体" w:hAnsi="宋体" w:eastAsia="宋体" w:cs="宋体"/>
          <w:bCs/>
          <w:color w:val="auto"/>
          <w:sz w:val="24"/>
          <w:szCs w:val="24"/>
          <w:lang w:val="en-US" w:eastAsia="zh-CN"/>
        </w:rPr>
        <w:t>90</w:t>
      </w:r>
      <w:r>
        <w:rPr>
          <w:rFonts w:hint="eastAsia" w:ascii="宋体" w:hAnsi="宋体" w:eastAsia="宋体" w:cs="宋体"/>
          <w:bCs/>
          <w:color w:val="auto"/>
          <w:sz w:val="24"/>
          <w:szCs w:val="24"/>
        </w:rPr>
        <w:t>分时：</w:t>
      </w:r>
    </w:p>
    <w:p w14:paraId="3E18F35C">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每月支付费用=</w:t>
      </w:r>
      <w:r>
        <w:rPr>
          <w:rFonts w:hint="eastAsia" w:ascii="宋体" w:hAnsi="宋体" w:eastAsia="宋体" w:cs="宋体"/>
          <w:bCs/>
          <w:color w:val="auto"/>
          <w:sz w:val="24"/>
          <w:szCs w:val="24"/>
          <w:lang w:eastAsia="zh-CN"/>
        </w:rPr>
        <w:t>本月实际完成金额</w:t>
      </w:r>
      <w:r>
        <w:rPr>
          <w:rFonts w:hint="eastAsia" w:ascii="宋体" w:hAnsi="宋体" w:eastAsia="宋体" w:cs="宋体"/>
          <w:bCs/>
          <w:color w:val="auto"/>
          <w:sz w:val="24"/>
          <w:szCs w:val="24"/>
        </w:rPr>
        <w:t>-处罚金额。</w:t>
      </w:r>
    </w:p>
    <w:p w14:paraId="591D2DC7">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（3）考核得分﹤</w:t>
      </w:r>
      <w:r>
        <w:rPr>
          <w:rFonts w:hint="eastAsia" w:ascii="宋体" w:hAnsi="宋体" w:eastAsia="宋体" w:cs="宋体"/>
          <w:bCs/>
          <w:color w:val="auto"/>
          <w:sz w:val="24"/>
          <w:szCs w:val="24"/>
          <w:lang w:val="en-US" w:eastAsia="zh-CN"/>
        </w:rPr>
        <w:t>90</w:t>
      </w:r>
      <w:r>
        <w:rPr>
          <w:rFonts w:hint="eastAsia" w:ascii="宋体" w:hAnsi="宋体" w:eastAsia="宋体" w:cs="宋体"/>
          <w:bCs/>
          <w:color w:val="auto"/>
          <w:sz w:val="24"/>
          <w:szCs w:val="24"/>
        </w:rPr>
        <w:t>分时：</w:t>
      </w:r>
    </w:p>
    <w:p w14:paraId="5665582A">
      <w:pPr>
        <w:pStyle w:val="14"/>
        <w:keepNext w:val="0"/>
        <w:keepLines w:val="0"/>
        <w:pageBreakBefore w:val="0"/>
        <w:widowControl/>
        <w:snapToGrid/>
        <w:spacing w:before="60" w:beforeLines="25" w:after="60" w:afterLines="25" w:line="360" w:lineRule="auto"/>
        <w:ind w:firstLine="448" w:firstLineChars="187"/>
        <w:rPr>
          <w:bCs/>
          <w:color w:val="auto"/>
          <w:szCs w:val="24"/>
        </w:rPr>
      </w:pPr>
      <w:r>
        <w:rPr>
          <w:rFonts w:hint="eastAsia" w:ascii="宋体" w:hAnsi="宋体" w:eastAsia="宋体" w:cs="宋体"/>
          <w:bCs/>
          <w:color w:val="auto"/>
          <w:sz w:val="24"/>
          <w:szCs w:val="24"/>
        </w:rPr>
        <w:t xml:space="preserve">    每月支付费用=</w:t>
      </w:r>
      <w:r>
        <w:rPr>
          <w:rFonts w:hint="eastAsia" w:ascii="宋体" w:hAnsi="宋体" w:eastAsia="宋体" w:cs="宋体"/>
          <w:bCs/>
          <w:color w:val="auto"/>
          <w:sz w:val="24"/>
          <w:szCs w:val="24"/>
          <w:lang w:eastAsia="zh-CN"/>
        </w:rPr>
        <w:t>本月实际完成金额</w:t>
      </w:r>
      <w:r>
        <w:rPr>
          <w:rFonts w:hint="eastAsia" w:ascii="宋体" w:hAnsi="宋体" w:eastAsia="宋体" w:cs="宋体"/>
          <w:bCs/>
          <w:color w:val="auto"/>
          <w:sz w:val="24"/>
          <w:szCs w:val="24"/>
        </w:rPr>
        <w:t>×[1-（9</w:t>
      </w:r>
      <w:r>
        <w:rPr>
          <w:rFonts w:hint="eastAsia" w:ascii="宋体" w:hAnsi="宋体" w:eastAsia="宋体" w:cs="宋体"/>
          <w:bCs/>
          <w:color w:val="auto"/>
          <w:sz w:val="24"/>
          <w:szCs w:val="24"/>
          <w:lang w:val="en-US" w:eastAsia="zh-CN"/>
        </w:rPr>
        <w:t>0</w:t>
      </w:r>
      <w:r>
        <w:rPr>
          <w:rFonts w:hint="eastAsia" w:ascii="宋体" w:hAnsi="宋体" w:eastAsia="宋体" w:cs="宋体"/>
          <w:bCs/>
          <w:color w:val="auto"/>
          <w:sz w:val="24"/>
          <w:szCs w:val="24"/>
        </w:rPr>
        <w:t>-测评得分）÷100] -处罚金额。</w:t>
      </w:r>
      <w:r>
        <w:rPr>
          <w:rFonts w:hint="eastAsia" w:ascii="宋体" w:hAnsi="宋体" w:eastAsia="宋体" w:cs="宋体"/>
          <w:bCs/>
          <w:color w:val="auto"/>
          <w:sz w:val="24"/>
          <w:szCs w:val="24"/>
          <w:lang w:eastAsia="zh-CN"/>
        </w:rPr>
        <w:t>考核扣款、经济处罚、审核核减等减扣金额可用于设施维护费用。</w:t>
      </w:r>
    </w:p>
    <w:p w14:paraId="61901395">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按采购人要求开展阶段性审核：合同期第一季度和第三季度将该季度结算资料送采购人聘请的第三方造价咨询机构审核，第二季度和第四季度分别将一二季度和三四季度的结算资料送采购人上级单位市城管局进行审核。</w:t>
      </w:r>
    </w:p>
    <w:p w14:paraId="594B2A55">
      <w:pPr>
        <w:pStyle w:val="14"/>
        <w:keepNext w:val="0"/>
        <w:keepLines w:val="0"/>
        <w:pageBreakBefore w:val="0"/>
        <w:widowControl/>
        <w:shd w:val="clear" w:fill="auto"/>
        <w:snapToGrid/>
        <w:spacing w:before="60" w:beforeLines="25" w:after="60" w:afterLines="25"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4.根据项目实施情况进行阶段性支付，完成终审前累计支付不超过合同金额80%。项目全部审核结束后支付剩余尾款。</w:t>
      </w:r>
    </w:p>
    <w:p w14:paraId="7E158486">
      <w:pPr>
        <w:pStyle w:val="14"/>
        <w:spacing w:before="60" w:beforeLines="25" w:after="60" w:afterLines="25" w:line="360" w:lineRule="auto"/>
        <w:ind w:firstLine="448" w:firstLineChars="187"/>
        <w:rPr>
          <w:rFonts w:hint="eastAsia" w:ascii="宋体" w:hAnsi="宋体" w:eastAsia="宋体" w:cs="宋体"/>
          <w:bCs/>
          <w:color w:val="auto"/>
          <w:szCs w:val="24"/>
          <w:lang w:val="en-US" w:eastAsia="zh-CN"/>
        </w:rPr>
      </w:pPr>
      <w:r>
        <w:rPr>
          <w:rFonts w:hint="eastAsia" w:ascii="宋体" w:hAnsi="宋体" w:eastAsia="宋体" w:cs="宋体"/>
          <w:bCs/>
          <w:color w:val="auto"/>
          <w:szCs w:val="24"/>
          <w:lang w:val="en-US" w:eastAsia="zh-CN"/>
        </w:rPr>
        <w:t>5.合同总价包括中标方履行本合同义务所发生的一切费用，</w:t>
      </w:r>
      <w:r>
        <w:rPr>
          <w:rFonts w:hint="eastAsia" w:ascii="宋体" w:hAnsi="宋体" w:eastAsia="宋体" w:cs="宋体"/>
          <w:bCs/>
          <w:color w:val="auto"/>
          <w:sz w:val="24"/>
          <w:szCs w:val="24"/>
          <w:lang w:val="en-US" w:eastAsia="zh-CN"/>
        </w:rPr>
        <w:t>合同总价为最高结算价，如结算价超过合同总价，超出部分不再进行支付</w:t>
      </w:r>
      <w:r>
        <w:rPr>
          <w:rFonts w:hint="eastAsia" w:ascii="宋体" w:hAnsi="宋体" w:eastAsia="宋体" w:cs="宋体"/>
          <w:bCs/>
          <w:color w:val="auto"/>
          <w:szCs w:val="24"/>
          <w:lang w:val="en-US" w:eastAsia="zh-CN"/>
        </w:rPr>
        <w:t>。</w:t>
      </w:r>
    </w:p>
    <w:p w14:paraId="410BD739">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6.因维护费由政府拨款，如因政策的影响，拨款未能及时到位，</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不得以此作为不履行合同的理由，否则采购人将按规定扣罚。</w:t>
      </w:r>
    </w:p>
    <w:p w14:paraId="429A7328">
      <w:pPr>
        <w:pStyle w:val="2"/>
        <w:keepNext w:val="0"/>
        <w:keepLines w:val="0"/>
        <w:pageBreakBefore w:val="0"/>
        <w:widowControl/>
        <w:snapToGrid/>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（三）投标报价</w:t>
      </w:r>
    </w:p>
    <w:p w14:paraId="679E5422">
      <w:pPr>
        <w:pStyle w:val="2"/>
        <w:keepNext w:val="0"/>
        <w:keepLines w:val="0"/>
        <w:pageBreakBefore w:val="0"/>
        <w:widowControl/>
        <w:snapToGrid/>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为包干制，报价中需包括服务成本、景观照明设施维护工具及设备和设备使用费、法定税费和企业的利润等一切为完成本项目所应尽的费用。投标人在投标文件“详细分项报价”中提供的分项报价应至少包括以下内容：</w:t>
      </w:r>
    </w:p>
    <w:p w14:paraId="5CB1DB2F">
      <w:pPr>
        <w:pStyle w:val="2"/>
        <w:keepNext w:val="0"/>
        <w:keepLines w:val="0"/>
        <w:pageBreakBefore w:val="0"/>
        <w:widowControl/>
        <w:snapToGrid/>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固定费用（含常驻员工工资、加班费、奖金、福利、服装、社保、保险等费用和2辆巡查车辆费用、油费、电费、行政办公费、房租费、通讯费、人员装备费、应急值班费用、电费核查费用、信息普查录入费用、无人机巡检费用、税费、管理费、利润及其他费用等）；</w:t>
      </w:r>
    </w:p>
    <w:p w14:paraId="21C21456">
      <w:pPr>
        <w:pStyle w:val="2"/>
        <w:keepNext w:val="0"/>
        <w:keepLines w:val="0"/>
        <w:pageBreakBefore w:val="0"/>
        <w:widowControl/>
        <w:snapToGrid/>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（2）维护费用（该部分为综合单价（含材料费、人工费、车辆台班费、管理费、利润）、规费、措施费、税费及其他费用等）；</w:t>
      </w:r>
    </w:p>
    <w:tbl>
      <w:tblPr>
        <w:tblStyle w:val="35"/>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1600"/>
        <w:gridCol w:w="1704"/>
        <w:gridCol w:w="2258"/>
      </w:tblGrid>
      <w:tr w14:paraId="0480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707" w:type="dxa"/>
            <w:noWrap w:val="0"/>
            <w:vAlign w:val="center"/>
          </w:tcPr>
          <w:p w14:paraId="2F2D617A">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09" w:type="dxa"/>
            <w:noWrap w:val="0"/>
            <w:vAlign w:val="center"/>
          </w:tcPr>
          <w:p w14:paraId="6B7A4251">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1600" w:type="dxa"/>
            <w:noWrap w:val="0"/>
            <w:vAlign w:val="center"/>
          </w:tcPr>
          <w:p w14:paraId="4A24ACCB">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需求</w:t>
            </w:r>
          </w:p>
        </w:tc>
        <w:tc>
          <w:tcPr>
            <w:tcW w:w="1704" w:type="dxa"/>
            <w:noWrap w:val="0"/>
            <w:vAlign w:val="center"/>
          </w:tcPr>
          <w:p w14:paraId="1B02A979">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最高限价</w:t>
            </w:r>
          </w:p>
          <w:p w14:paraId="7F00E863">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（元）</w:t>
            </w:r>
          </w:p>
        </w:tc>
        <w:tc>
          <w:tcPr>
            <w:tcW w:w="2258" w:type="dxa"/>
            <w:noWrap w:val="0"/>
            <w:vAlign w:val="center"/>
          </w:tcPr>
          <w:p w14:paraId="5D0355CE">
            <w:pPr>
              <w:keepNext w:val="0"/>
              <w:keepLines w:val="0"/>
              <w:pageBreakBefore w:val="0"/>
              <w:widowControl/>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10CB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7" w:type="dxa"/>
            <w:noWrap w:val="0"/>
            <w:vAlign w:val="center"/>
          </w:tcPr>
          <w:p w14:paraId="310CC711">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1609" w:type="dxa"/>
            <w:noWrap w:val="0"/>
            <w:vAlign w:val="center"/>
          </w:tcPr>
          <w:p w14:paraId="61A5E87C">
            <w:pPr>
              <w:keepNext w:val="0"/>
              <w:keepLines w:val="0"/>
              <w:pageBreakBefore w:val="0"/>
              <w:widowControl/>
              <w:snapToGrid/>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固定费用</w:t>
            </w:r>
          </w:p>
        </w:tc>
        <w:tc>
          <w:tcPr>
            <w:tcW w:w="1600" w:type="dxa"/>
            <w:noWrap w:val="0"/>
            <w:vAlign w:val="center"/>
          </w:tcPr>
          <w:p w14:paraId="55FFE574">
            <w:pPr>
              <w:keepNext w:val="0"/>
              <w:keepLines w:val="0"/>
              <w:pageBreakBefore w:val="0"/>
              <w:widowControl/>
              <w:snapToGrid/>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含</w:t>
            </w:r>
            <w:r>
              <w:rPr>
                <w:rFonts w:hint="eastAsia" w:ascii="宋体" w:hAnsi="宋体" w:eastAsia="宋体" w:cs="宋体"/>
                <w:color w:val="auto"/>
                <w:sz w:val="24"/>
                <w:szCs w:val="24"/>
                <w:lang w:val="en-US" w:eastAsia="zh-CN"/>
              </w:rPr>
              <w:t>7名常驻人员</w:t>
            </w:r>
            <w:r>
              <w:rPr>
                <w:rFonts w:hint="eastAsia" w:ascii="宋体" w:hAnsi="宋体" w:eastAsia="宋体" w:cs="宋体"/>
                <w:color w:val="auto"/>
                <w:sz w:val="24"/>
                <w:szCs w:val="24"/>
                <w:lang w:eastAsia="zh-CN"/>
              </w:rPr>
              <w:t>费用、</w:t>
            </w:r>
            <w:r>
              <w:rPr>
                <w:rFonts w:hint="eastAsia" w:ascii="宋体" w:hAnsi="宋体" w:eastAsia="宋体" w:cs="宋体"/>
                <w:color w:val="auto"/>
                <w:sz w:val="24"/>
                <w:szCs w:val="24"/>
                <w:lang w:val="en-US" w:eastAsia="zh-CN"/>
              </w:rPr>
              <w:t>2辆巡查车辆费用、企业管理费用和利润、税费</w:t>
            </w:r>
          </w:p>
        </w:tc>
        <w:tc>
          <w:tcPr>
            <w:tcW w:w="1704" w:type="dxa"/>
            <w:noWrap w:val="0"/>
            <w:vAlign w:val="center"/>
          </w:tcPr>
          <w:p w14:paraId="6E3ECF4B">
            <w:pPr>
              <w:keepNext w:val="0"/>
              <w:keepLines w:val="0"/>
              <w:pageBreakBefore w:val="0"/>
              <w:widowControl/>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1,025,656.00</w:t>
            </w:r>
          </w:p>
        </w:tc>
        <w:tc>
          <w:tcPr>
            <w:tcW w:w="2258" w:type="dxa"/>
            <w:noWrap w:val="0"/>
            <w:vAlign w:val="center"/>
          </w:tcPr>
          <w:p w14:paraId="3BF931A2">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w:t>
            </w:r>
            <w:r>
              <w:rPr>
                <w:rFonts w:hint="eastAsia" w:ascii="宋体" w:hAnsi="宋体" w:eastAsia="宋体" w:cs="宋体"/>
                <w:color w:val="auto"/>
                <w:sz w:val="24"/>
                <w:szCs w:val="24"/>
                <w:lang w:eastAsia="zh-CN"/>
              </w:rPr>
              <w:t>、车辆</w:t>
            </w:r>
            <w:r>
              <w:rPr>
                <w:rFonts w:hint="eastAsia" w:ascii="宋体" w:hAnsi="宋体" w:eastAsia="宋体" w:cs="宋体"/>
                <w:color w:val="auto"/>
                <w:sz w:val="24"/>
                <w:szCs w:val="24"/>
              </w:rPr>
              <w:t>要求详见“</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、项目服务要求”</w:t>
            </w:r>
          </w:p>
        </w:tc>
      </w:tr>
      <w:tr w14:paraId="4DEE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707" w:type="dxa"/>
            <w:noWrap w:val="0"/>
            <w:vAlign w:val="center"/>
          </w:tcPr>
          <w:p w14:paraId="030A5B48">
            <w:pPr>
              <w:keepNext w:val="0"/>
              <w:keepLines w:val="0"/>
              <w:pageBreakBefore w:val="0"/>
              <w:widowControl/>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p>
        </w:tc>
        <w:tc>
          <w:tcPr>
            <w:tcW w:w="1609" w:type="dxa"/>
            <w:noWrap w:val="0"/>
            <w:vAlign w:val="center"/>
          </w:tcPr>
          <w:p w14:paraId="75FA077F">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维护费用</w:t>
            </w:r>
          </w:p>
        </w:tc>
        <w:tc>
          <w:tcPr>
            <w:tcW w:w="1600" w:type="dxa"/>
            <w:noWrap w:val="0"/>
            <w:vAlign w:val="center"/>
          </w:tcPr>
          <w:p w14:paraId="09234582">
            <w:pPr>
              <w:keepNext w:val="0"/>
              <w:keepLines w:val="0"/>
              <w:pageBreakBefore w:val="0"/>
              <w:widowControl/>
              <w:snapToGrid/>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维护设施量按实际完成工作量结算</w:t>
            </w:r>
            <w:r>
              <w:rPr>
                <w:rFonts w:hint="eastAsia" w:ascii="宋体" w:hAnsi="宋体" w:eastAsia="宋体" w:cs="宋体"/>
                <w:color w:val="auto"/>
                <w:sz w:val="24"/>
                <w:szCs w:val="24"/>
                <w:lang w:eastAsia="zh-CN"/>
              </w:rPr>
              <w:t>，其中更新三遥设备不少于</w:t>
            </w:r>
            <w:r>
              <w:rPr>
                <w:rFonts w:hint="eastAsia" w:ascii="宋体" w:hAnsi="宋体" w:eastAsia="宋体" w:cs="宋体"/>
                <w:color w:val="auto"/>
                <w:sz w:val="24"/>
                <w:szCs w:val="24"/>
                <w:lang w:val="en-US" w:eastAsia="zh-CN"/>
              </w:rPr>
              <w:t>50台。</w:t>
            </w:r>
          </w:p>
        </w:tc>
        <w:tc>
          <w:tcPr>
            <w:tcW w:w="1704" w:type="dxa"/>
            <w:noWrap w:val="0"/>
            <w:vAlign w:val="center"/>
          </w:tcPr>
          <w:p w14:paraId="21E7DB8A">
            <w:pPr>
              <w:keepNext w:val="0"/>
              <w:keepLines w:val="0"/>
              <w:pageBreakBefore w:val="0"/>
              <w:widowControl/>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6,774,344.00</w:t>
            </w:r>
          </w:p>
        </w:tc>
        <w:tc>
          <w:tcPr>
            <w:tcW w:w="2258" w:type="dxa"/>
            <w:noWrap w:val="0"/>
            <w:vAlign w:val="center"/>
          </w:tcPr>
          <w:p w14:paraId="4260C8EA">
            <w:pPr>
              <w:pStyle w:val="14"/>
              <w:spacing w:before="60" w:beforeLines="25" w:after="60" w:afterLines="25"/>
              <w:ind w:firstLine="448" w:firstLineChars="187"/>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本项目包含的景观照明设施维护费用，用于日常维护材料更换、老旧设施更新、安全隐患整治、应急抢修等工作。常驻人员的日常巡检工作不计入此项费用。维护更换的废旧材料归采购人所有，由中标人负责回收和妥善保管，并配合采购人按上级主管部门相关规定处置。</w:t>
            </w:r>
          </w:p>
          <w:p w14:paraId="0E4610C7">
            <w:pPr>
              <w:pStyle w:val="14"/>
              <w:spacing w:before="60" w:beforeLines="25" w:after="60" w:afterLines="25"/>
              <w:ind w:firstLine="448" w:firstLineChars="187"/>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设施维护费用按照实际完成工作量核实计量，并按投标报价的设施维护费下浮率进行下浮，结算金额以采购人或采购人上级主管部门审定价格为准。</w:t>
            </w:r>
          </w:p>
        </w:tc>
      </w:tr>
      <w:tr w14:paraId="35F8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3916" w:type="dxa"/>
            <w:gridSpan w:val="3"/>
            <w:noWrap w:val="0"/>
            <w:vAlign w:val="center"/>
          </w:tcPr>
          <w:p w14:paraId="79229E94">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合计（元）</w:t>
            </w:r>
          </w:p>
        </w:tc>
        <w:tc>
          <w:tcPr>
            <w:tcW w:w="1704" w:type="dxa"/>
            <w:noWrap w:val="0"/>
            <w:vAlign w:val="center"/>
          </w:tcPr>
          <w:p w14:paraId="7A6B6FA6">
            <w:pPr>
              <w:keepNext w:val="0"/>
              <w:keepLines w:val="0"/>
              <w:pageBreakBefore w:val="0"/>
              <w:widowControl/>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7,800,000.00</w:t>
            </w:r>
          </w:p>
        </w:tc>
        <w:tc>
          <w:tcPr>
            <w:tcW w:w="2258" w:type="dxa"/>
            <w:noWrap w:val="0"/>
            <w:vAlign w:val="center"/>
          </w:tcPr>
          <w:p w14:paraId="0DFB4E60">
            <w:pPr>
              <w:keepNext w:val="0"/>
              <w:keepLines w:val="0"/>
              <w:pageBreakBefore w:val="0"/>
              <w:widowControl/>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4EEE601D">
      <w:pPr>
        <w:pStyle w:val="14"/>
        <w:keepNext w:val="0"/>
        <w:keepLines w:val="0"/>
        <w:pageBreakBefore w:val="0"/>
        <w:widowControl/>
        <w:shd w:val="clear" w:fill="auto"/>
        <w:snapToGrid/>
        <w:spacing w:before="60" w:beforeLines="25" w:after="60" w:afterLines="25" w:line="360" w:lineRule="auto"/>
        <w:ind w:firstLine="451" w:firstLineChars="187"/>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四</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履约保证金</w:t>
      </w:r>
    </w:p>
    <w:p w14:paraId="223414D3">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中标供应商在取得中标通知书的十个工作日内须向采购单位提交合同金额</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lang w:eastAsia="zh-CN"/>
        </w:rPr>
        <w:t>的</w:t>
      </w:r>
      <w:r>
        <w:rPr>
          <w:rFonts w:hint="eastAsia" w:ascii="宋体" w:hAnsi="宋体" w:eastAsia="宋体" w:cs="宋体"/>
          <w:bCs/>
          <w:color w:val="auto"/>
          <w:sz w:val="24"/>
          <w:szCs w:val="24"/>
          <w:lang w:val="en-US" w:eastAsia="zh-CN"/>
        </w:rPr>
        <w:t>履约担保金</w:t>
      </w:r>
      <w:r>
        <w:rPr>
          <w:rFonts w:hint="eastAsia" w:ascii="宋体" w:hAnsi="宋体" w:eastAsia="宋体" w:cs="宋体"/>
          <w:bCs/>
          <w:color w:val="auto"/>
          <w:sz w:val="24"/>
          <w:szCs w:val="24"/>
          <w:lang w:eastAsia="zh-CN"/>
        </w:rPr>
        <w:t>，并签订服务合同。在中标供应商完成其合同义务，包括任何保证义务后30日历天内，办理退还履约担保手续。</w:t>
      </w:r>
    </w:p>
    <w:p w14:paraId="47A2CDB1">
      <w:pPr>
        <w:pStyle w:val="14"/>
        <w:keepNext w:val="0"/>
        <w:keepLines w:val="0"/>
        <w:pageBreakBefore w:val="0"/>
        <w:widowControl/>
        <w:shd w:val="clear" w:fill="auto"/>
        <w:snapToGrid/>
        <w:spacing w:before="60" w:beforeLines="25" w:after="60" w:afterLines="25" w:line="360" w:lineRule="auto"/>
        <w:ind w:firstLine="448" w:firstLineChars="187"/>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2.本项目履约担保金，</w:t>
      </w:r>
      <w:r>
        <w:rPr>
          <w:rFonts w:hint="default" w:ascii="宋体" w:hAnsi="宋体" w:eastAsia="宋体" w:cs="宋体"/>
          <w:bCs/>
          <w:color w:val="auto"/>
          <w:sz w:val="24"/>
          <w:szCs w:val="24"/>
          <w:lang w:val="en-US" w:eastAsia="zh-CN"/>
        </w:rPr>
        <w:t>投标供应商自主选择以支票、汇票、本票、保函等非现金形式缴纳或提交。采购人逾期退还履约保证金的，向中标人每日偿付履约保证金的0.5‰的利息。如中标供应商未能履行合同规定的义务，采购单位有权从履约保证金中取得</w:t>
      </w:r>
      <w:r>
        <w:rPr>
          <w:rFonts w:hint="eastAsia" w:ascii="宋体" w:hAnsi="宋体" w:eastAsia="宋体" w:cs="宋体"/>
          <w:bCs/>
          <w:color w:val="auto"/>
          <w:sz w:val="24"/>
          <w:szCs w:val="24"/>
          <w:lang w:val="en-US" w:eastAsia="zh-CN"/>
        </w:rPr>
        <w:t>相应</w:t>
      </w:r>
      <w:r>
        <w:rPr>
          <w:rFonts w:hint="default" w:ascii="宋体" w:hAnsi="宋体" w:eastAsia="宋体" w:cs="宋体"/>
          <w:bCs/>
          <w:color w:val="auto"/>
          <w:sz w:val="24"/>
          <w:szCs w:val="24"/>
          <w:lang w:val="en-US" w:eastAsia="zh-CN"/>
        </w:rPr>
        <w:t>补偿。因中标人原因而未能达到本项目验收标准或验收不通过的，履约保证金不予退还。</w:t>
      </w:r>
    </w:p>
    <w:p w14:paraId="0B6B80F0">
      <w:pPr>
        <w:pStyle w:val="14"/>
        <w:keepNext w:val="0"/>
        <w:keepLines w:val="0"/>
        <w:pageBreakBefore w:val="0"/>
        <w:widowControl/>
        <w:snapToGrid/>
        <w:spacing w:before="60" w:beforeLines="25" w:after="60" w:afterLines="25" w:line="360" w:lineRule="auto"/>
        <w:ind w:firstLine="451" w:firstLineChars="187"/>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质量考核验收标准及违约金</w:t>
      </w:r>
    </w:p>
    <w:p w14:paraId="07BC67A8">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1.质量考核验收标准：按照</w:t>
      </w:r>
      <w:r>
        <w:rPr>
          <w:rFonts w:hint="eastAsia" w:ascii="宋体" w:hAnsi="宋体" w:eastAsia="宋体" w:cs="宋体"/>
          <w:bCs/>
          <w:color w:val="auto"/>
          <w:sz w:val="24"/>
          <w:szCs w:val="24"/>
          <w:lang w:eastAsia="zh-CN"/>
        </w:rPr>
        <w:t>采购人使用的城市照明智慧化管理平台要求</w:t>
      </w:r>
      <w:r>
        <w:rPr>
          <w:rFonts w:hint="eastAsia" w:ascii="宋体" w:hAnsi="宋体" w:eastAsia="宋体" w:cs="宋体"/>
          <w:bCs/>
          <w:color w:val="auto"/>
          <w:sz w:val="24"/>
          <w:szCs w:val="24"/>
        </w:rPr>
        <w:t>执行</w:t>
      </w:r>
      <w:r>
        <w:rPr>
          <w:rFonts w:hint="eastAsia" w:ascii="宋体" w:hAnsi="宋体" w:eastAsia="宋体" w:cs="宋体"/>
          <w:bCs/>
          <w:color w:val="auto"/>
          <w:sz w:val="24"/>
          <w:szCs w:val="24"/>
          <w:lang w:eastAsia="zh-CN"/>
        </w:rPr>
        <w:t>。考核扣款、经济处罚、审核核减等减扣金额可用于设施维护费用。</w:t>
      </w:r>
    </w:p>
    <w:p w14:paraId="59F77D96">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存在以下行为，采购人将上报主管部门并按相关规定处理：</w:t>
      </w:r>
    </w:p>
    <w:p w14:paraId="3A110B39">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发生严重安全事故或意外，采取消极态度进行事故的处理，隐瞒上报重大事故；</w:t>
      </w:r>
    </w:p>
    <w:p w14:paraId="51D983A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在接管后1个月内非因采购人原因不能正常运作的；</w:t>
      </w:r>
    </w:p>
    <w:p w14:paraId="63FCD126">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在养护期间，无故停止工作累计7天或以上；</w:t>
      </w:r>
    </w:p>
    <w:p w14:paraId="60A90363">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（4）考核得分连续2个月不能达到75分的或累计3次不能达到75分的。</w:t>
      </w:r>
    </w:p>
    <w:p w14:paraId="09085811">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（5）受上级领导批评、市民投诉、媒体曝光等，经调查认定情况属实并造成恶劣影响的；</w:t>
      </w:r>
    </w:p>
    <w:p w14:paraId="5538A62F">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（6）有服务要求内所述的其他情况。</w:t>
      </w:r>
    </w:p>
    <w:p w14:paraId="06CFEAE4">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3.任何由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引起的纠纷或损毁事故概由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负责解决及承担相关民事或法律责任，发生的漏电、高坠事故一切责任及造成的损失由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负责。</w:t>
      </w:r>
    </w:p>
    <w:p w14:paraId="3509CED2">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违反合同及采购文件约定的有关义务，对采购人造成损失的，应给予采购人全部赔偿；如造成重大损失或重大安全事故的，采购人有权终止合同。</w:t>
      </w:r>
    </w:p>
    <w:p w14:paraId="06048A73">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5.因</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原因造成采购人交付管理的财产、设施等损坏或丢失，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应赔偿损失。</w:t>
      </w:r>
    </w:p>
    <w:p w14:paraId="7017EB22">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和采购人任何一方无正当理由提前终止合同的，应向对方支付合同金额10%的违约金并上报主管部门。</w:t>
      </w:r>
    </w:p>
    <w:p w14:paraId="24865FEF">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7.</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在签订合同后或承包过程中无论因何种原因放弃承包权时，由采购人报相关部门依照有关法律规定给予处罚。</w:t>
      </w:r>
    </w:p>
    <w:p w14:paraId="053907B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color w:val="auto"/>
        </w:rPr>
      </w:pPr>
      <w:r>
        <w:rPr>
          <w:rFonts w:hint="eastAsia" w:ascii="宋体" w:hAnsi="宋体" w:eastAsia="宋体" w:cs="宋体"/>
          <w:bCs/>
          <w:color w:val="auto"/>
          <w:sz w:val="24"/>
          <w:szCs w:val="24"/>
        </w:rPr>
        <w:t>8.</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不能达到招标文件和合同规定的维修保养、抢修工程的质量要求的，或不能履行协议规定的义务，采购人除对</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发出整改通知书外，也可要求</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承担因采取措施所增加的费用，并赔偿因上述违约行为给采购人造成的损失。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组织措施不当、计划不落实、管理不严、实施方案中所列人员、机械设备（工具）与现场实际不符，导致维护质量达不到标准的，如采购人认为有解除合同的必要，采购人有权单方面解除维护合同。如采购人不解除合同，可另行安排第三方代替</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维护或抢修工作，产生的费用由</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负责。</w:t>
      </w:r>
    </w:p>
    <w:p w14:paraId="19C77C0B">
      <w:pPr>
        <w:pStyle w:val="5"/>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七</w:t>
      </w:r>
      <w:r>
        <w:rPr>
          <w:rFonts w:hint="eastAsia" w:ascii="宋体" w:hAnsi="宋体" w:eastAsia="宋体" w:cs="宋体"/>
          <w:color w:val="auto"/>
          <w:szCs w:val="21"/>
        </w:rPr>
        <w:t>、其他重要条款</w:t>
      </w:r>
    </w:p>
    <w:p w14:paraId="100C7AA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bookmarkStart w:id="35" w:name="_Hlk72257111"/>
      <w:r>
        <w:rPr>
          <w:rFonts w:hint="eastAsia" w:ascii="宋体" w:hAnsi="宋体" w:eastAsia="宋体" w:cs="宋体"/>
          <w:bCs/>
          <w:color w:val="auto"/>
          <w:sz w:val="24"/>
          <w:szCs w:val="24"/>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65D54222">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2、投标人应充分了解项目的位置、情况、道路及任何其它足以影响投标报价的情况，任何因忽视或误解项目情况而导致的索赔或服务期限延长申请将不获批准。</w:t>
      </w:r>
    </w:p>
    <w:p w14:paraId="019EDE6D">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37025873">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6455119D">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5、除政府采购合同继续履行将损害国家利益和社会公共利益外，双方当事人不得擅自变更、中止或者终止合同。</w:t>
      </w:r>
    </w:p>
    <w:p w14:paraId="73B5CA45">
      <w:pPr>
        <w:pStyle w:val="14"/>
        <w:keepNext w:val="0"/>
        <w:keepLines w:val="0"/>
        <w:pageBreakBefore w:val="0"/>
        <w:widowControl/>
        <w:snapToGrid/>
        <w:spacing w:before="60" w:beforeLines="25" w:after="60" w:afterLines="25" w:line="360" w:lineRule="auto"/>
        <w:ind w:firstLine="448" w:firstLineChars="187"/>
        <w:rPr>
          <w:rFonts w:hint="eastAsia" w:ascii="宋体" w:hAnsi="宋体" w:eastAsia="宋体" w:cs="宋体"/>
          <w:bCs/>
          <w:color w:val="auto"/>
          <w:sz w:val="24"/>
          <w:szCs w:val="24"/>
        </w:rPr>
      </w:pPr>
      <w:r>
        <w:rPr>
          <w:rFonts w:hint="eastAsia" w:ascii="宋体" w:hAnsi="宋体" w:eastAsia="宋体" w:cs="宋体"/>
          <w:bCs/>
          <w:color w:val="auto"/>
          <w:sz w:val="24"/>
          <w:szCs w:val="24"/>
        </w:rPr>
        <w:t>6、“信用中国”、“中国政府采购网”、“深圳信用网”以及“深圳市政府采购监管网”为供应商信用信息的查询渠道，相关信息以开标当日的查询结果为准。</w:t>
      </w:r>
      <w:bookmarkEnd w:id="34"/>
      <w:bookmarkEnd w:id="35"/>
    </w:p>
    <w:p w14:paraId="16F6E230">
      <w:pPr>
        <w:pStyle w:val="14"/>
        <w:spacing w:before="60" w:beforeLines="25" w:after="60" w:afterLines="25"/>
        <w:ind w:firstLine="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C76FDBC">
      <w:pPr>
        <w:pStyle w:val="7"/>
        <w:rPr>
          <w:rFonts w:hint="eastAsia" w:ascii="宋体" w:hAnsi="宋体" w:eastAsia="宋体" w:cs="宋体"/>
          <w:color w:val="auto"/>
          <w:kern w:val="2"/>
        </w:rPr>
      </w:pPr>
      <w:r>
        <w:rPr>
          <w:rFonts w:hint="eastAsia" w:ascii="宋体" w:hAnsi="宋体" w:eastAsia="宋体" w:cs="宋体"/>
          <w:color w:val="auto"/>
          <w:kern w:val="2"/>
        </w:rPr>
        <w:t>第四章 投标文件组成要求及格式</w:t>
      </w:r>
    </w:p>
    <w:p w14:paraId="548EBEF7">
      <w:pPr>
        <w:spacing w:line="360" w:lineRule="auto"/>
        <w:rPr>
          <w:rStyle w:val="198"/>
          <w:rFonts w:hint="eastAsia" w:ascii="宋体" w:hAnsi="宋体" w:eastAsia="宋体" w:cs="宋体"/>
          <w:b/>
          <w:bCs w:val="0"/>
          <w:color w:val="auto"/>
          <w:sz w:val="24"/>
        </w:rPr>
      </w:pPr>
      <w:r>
        <w:rPr>
          <w:rStyle w:val="198"/>
          <w:rFonts w:hint="eastAsia" w:ascii="宋体" w:hAnsi="宋体" w:eastAsia="宋体" w:cs="宋体"/>
          <w:b/>
          <w:bCs w:val="0"/>
          <w:color w:val="auto"/>
          <w:sz w:val="24"/>
        </w:rPr>
        <w:t>特别提醒：</w:t>
      </w:r>
    </w:p>
    <w:p w14:paraId="14B60120">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7A674840">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投标文件正文（信息公开部分）必须编制于“投标书目录”部分，投标文件附件（非信息公开部分）必须编制于“投标书附件”部分，如下图所示。</w:t>
      </w:r>
    </w:p>
    <w:p w14:paraId="5F94FB5E">
      <w:pPr>
        <w:rPr>
          <w:rFonts w:hint="eastAsia" w:ascii="宋体" w:hAnsi="宋体" w:eastAsia="宋体" w:cs="宋体"/>
          <w:color w:val="auto"/>
        </w:rPr>
      </w:pPr>
      <w:r>
        <w:rPr>
          <w:rFonts w:hint="eastAsia" w:ascii="宋体" w:hAnsi="宋体" w:eastAsia="宋体" w:cs="宋体"/>
          <w:color w:val="auto"/>
        </w:rPr>
        <w:drawing>
          <wp:inline distT="0" distB="0" distL="0" distR="0">
            <wp:extent cx="5278755" cy="4126230"/>
            <wp:effectExtent l="0" t="0" r="0" b="0"/>
            <wp:docPr id="3"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图形用户界面, 应用程序&#10;&#10;描述已自动生成"/>
                    <pic:cNvPicPr>
                      <a:picLocks noChangeAspect="1"/>
                    </pic:cNvPicPr>
                  </pic:nvPicPr>
                  <pic:blipFill>
                    <a:blip r:embed="rId10"/>
                    <a:stretch>
                      <a:fillRect/>
                    </a:stretch>
                  </pic:blipFill>
                  <pic:spPr>
                    <a:xfrm>
                      <a:off x="0" y="0"/>
                      <a:ext cx="5278755" cy="4126230"/>
                    </a:xfrm>
                    <a:prstGeom prst="rect">
                      <a:avLst/>
                    </a:prstGeom>
                    <a:noFill/>
                    <a:ln>
                      <a:noFill/>
                    </a:ln>
                  </pic:spPr>
                </pic:pic>
              </a:graphicData>
            </a:graphic>
          </wp:inline>
        </w:drawing>
      </w:r>
    </w:p>
    <w:p w14:paraId="726B9B01">
      <w:pPr>
        <w:rPr>
          <w:rFonts w:hint="eastAsia" w:ascii="宋体" w:hAnsi="宋体" w:eastAsia="宋体" w:cs="宋体"/>
          <w:color w:val="auto"/>
        </w:rPr>
      </w:pPr>
    </w:p>
    <w:p w14:paraId="4D42E886">
      <w:pPr>
        <w:pStyle w:val="14"/>
        <w:rPr>
          <w:rFonts w:hint="eastAsia" w:ascii="宋体" w:hAnsi="宋体" w:eastAsia="宋体" w:cs="宋体"/>
          <w:color w:val="auto"/>
        </w:rPr>
      </w:pPr>
    </w:p>
    <w:p w14:paraId="3ABBB9F2">
      <w:pPr>
        <w:rPr>
          <w:rFonts w:hint="eastAsia" w:ascii="宋体" w:hAnsi="宋体" w:eastAsia="宋体" w:cs="宋体"/>
          <w:color w:val="auto"/>
        </w:rPr>
      </w:pPr>
    </w:p>
    <w:p w14:paraId="503806C7">
      <w:pPr>
        <w:pStyle w:val="14"/>
        <w:rPr>
          <w:rFonts w:hint="eastAsia" w:ascii="宋体" w:hAnsi="宋体" w:eastAsia="宋体" w:cs="宋体"/>
          <w:color w:val="auto"/>
        </w:rPr>
      </w:pPr>
    </w:p>
    <w:p w14:paraId="38B5F30B">
      <w:pPr>
        <w:rPr>
          <w:rFonts w:hint="eastAsia" w:ascii="宋体" w:hAnsi="宋体" w:eastAsia="宋体" w:cs="宋体"/>
          <w:color w:val="auto"/>
        </w:rPr>
      </w:pPr>
    </w:p>
    <w:p w14:paraId="29E4F522">
      <w:pPr>
        <w:pStyle w:val="14"/>
        <w:rPr>
          <w:rFonts w:hint="eastAsia" w:ascii="宋体" w:hAnsi="宋体" w:eastAsia="宋体" w:cs="宋体"/>
          <w:color w:val="auto"/>
        </w:rPr>
      </w:pPr>
    </w:p>
    <w:p w14:paraId="081504B9">
      <w:pPr>
        <w:rPr>
          <w:rFonts w:hint="eastAsia" w:ascii="宋体" w:hAnsi="宋体" w:eastAsia="宋体" w:cs="宋体"/>
          <w:color w:val="auto"/>
        </w:rPr>
      </w:pPr>
    </w:p>
    <w:p w14:paraId="03FED5E6">
      <w:pPr>
        <w:pStyle w:val="14"/>
        <w:rPr>
          <w:rFonts w:hint="eastAsia" w:ascii="宋体" w:hAnsi="宋体" w:eastAsia="宋体" w:cs="宋体"/>
          <w:color w:val="auto"/>
        </w:rPr>
      </w:pPr>
    </w:p>
    <w:p w14:paraId="2116B706">
      <w:pPr>
        <w:rPr>
          <w:rFonts w:hint="eastAsia" w:ascii="宋体" w:hAnsi="宋体" w:eastAsia="宋体" w:cs="宋体"/>
          <w:color w:val="auto"/>
        </w:rPr>
      </w:pPr>
    </w:p>
    <w:p w14:paraId="521727DC">
      <w:pPr>
        <w:pStyle w:val="14"/>
        <w:rPr>
          <w:rFonts w:hint="eastAsia" w:ascii="宋体" w:hAnsi="宋体" w:eastAsia="宋体" w:cs="宋体"/>
          <w:color w:val="auto"/>
        </w:rPr>
      </w:pPr>
    </w:p>
    <w:p w14:paraId="5FA9CAB1">
      <w:pPr>
        <w:rPr>
          <w:rFonts w:hint="eastAsia" w:ascii="宋体" w:hAnsi="宋体" w:eastAsia="宋体" w:cs="宋体"/>
          <w:color w:val="auto"/>
        </w:rPr>
      </w:pPr>
    </w:p>
    <w:p w14:paraId="5F4893DB">
      <w:pPr>
        <w:pStyle w:val="14"/>
        <w:rPr>
          <w:rFonts w:hint="eastAsia" w:ascii="宋体" w:hAnsi="宋体" w:eastAsia="宋体" w:cs="宋体"/>
          <w:color w:val="auto"/>
        </w:rPr>
      </w:pPr>
    </w:p>
    <w:p w14:paraId="22ADEF46">
      <w:pPr>
        <w:rPr>
          <w:rFonts w:hint="eastAsia" w:ascii="宋体" w:hAnsi="宋体" w:eastAsia="宋体" w:cs="宋体"/>
          <w:color w:val="auto"/>
        </w:rPr>
      </w:pPr>
    </w:p>
    <w:p w14:paraId="79E1C91A">
      <w:pPr>
        <w:pStyle w:val="14"/>
        <w:ind w:firstLine="0"/>
        <w:rPr>
          <w:rFonts w:hint="eastAsia" w:ascii="宋体" w:hAnsi="宋体" w:eastAsia="宋体" w:cs="宋体"/>
          <w:color w:val="auto"/>
        </w:rPr>
      </w:pPr>
    </w:p>
    <w:p w14:paraId="054F6EB9">
      <w:pPr>
        <w:keepNext w:val="0"/>
        <w:keepLines w:val="0"/>
        <w:pageBreakBefore w:val="0"/>
        <w:widowControl/>
        <w:snapToGrid/>
        <w:spacing w:line="400" w:lineRule="exact"/>
        <w:ind w:firstLine="480" w:firstLineChars="200"/>
        <w:jc w:val="both"/>
        <w:rPr>
          <w:rFonts w:hint="eastAsia" w:ascii="宋体" w:hAnsi="宋体" w:eastAsia="宋体" w:cs="宋体"/>
          <w:color w:val="auto"/>
        </w:rPr>
      </w:pPr>
      <w:bookmarkStart w:id="36" w:name="_Hlk72257167"/>
      <w:r>
        <w:rPr>
          <w:rFonts w:hint="eastAsia" w:ascii="宋体" w:hAnsi="宋体" w:eastAsia="宋体" w:cs="宋体"/>
          <w:color w:val="auto"/>
        </w:rPr>
        <w:t>招标机构公布投标文件正文（信息公开部分）时为计算机截取信息自动公布，</w:t>
      </w:r>
      <w:r>
        <w:rPr>
          <w:rFonts w:hint="eastAsia" w:ascii="宋体" w:hAnsi="宋体" w:eastAsia="宋体" w:cs="宋体"/>
          <w:b/>
          <w:bCs/>
          <w:color w:val="auto"/>
        </w:rPr>
        <w:t>如投标人误将涉及个人隐私的信息放入投标文件正文，相关后果由投标人自负；</w:t>
      </w:r>
      <w:r>
        <w:rPr>
          <w:rFonts w:hint="eastAsia" w:ascii="宋体" w:hAnsi="宋体" w:eastAsia="宋体" w:cs="宋体"/>
          <w:color w:val="auto"/>
        </w:rPr>
        <w:t>如投标人将必须放于投标文件正文（信息公开部分）的内容放入投标文件附件（非信息公开部分），将作投标无效处理。</w:t>
      </w:r>
      <w:bookmarkEnd w:id="36"/>
    </w:p>
    <w:p w14:paraId="556A85B5">
      <w:pPr>
        <w:ind w:firstLine="480" w:firstLineChars="200"/>
        <w:rPr>
          <w:rFonts w:hint="eastAsia" w:ascii="宋体" w:hAnsi="宋体" w:eastAsia="宋体" w:cs="宋体"/>
          <w:color w:val="auto"/>
        </w:rPr>
      </w:pPr>
      <w:r>
        <w:rPr>
          <w:rFonts w:hint="eastAsia" w:ascii="宋体" w:hAnsi="宋体" w:eastAsia="宋体" w:cs="宋体"/>
          <w:color w:val="auto"/>
        </w:rPr>
        <w:t>投标文件组成：</w:t>
      </w:r>
    </w:p>
    <w:p w14:paraId="458D152A">
      <w:pPr>
        <w:keepNext w:val="0"/>
        <w:keepLines w:val="0"/>
        <w:pageBreakBefore w:val="0"/>
        <w:widowControl/>
        <w:snapToGrid/>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1.投标文件正文（信息公开部分）：</w:t>
      </w:r>
    </w:p>
    <w:p w14:paraId="46594EB7">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（1）投标函</w:t>
      </w:r>
    </w:p>
    <w:p w14:paraId="708307E6">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（2）政府采购投标及履约承诺函</w:t>
      </w:r>
    </w:p>
    <w:p w14:paraId="7F7B7AF0">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（3）投标人情况及资格证明文件</w:t>
      </w:r>
    </w:p>
    <w:p w14:paraId="3902B5CD">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（4）项目详细报价</w:t>
      </w:r>
    </w:p>
    <w:p w14:paraId="5F166472">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（5）投入的服务资源（</w:t>
      </w:r>
      <w:r>
        <w:rPr>
          <w:rFonts w:hint="eastAsia" w:ascii="宋体" w:hAnsi="宋体" w:eastAsia="宋体" w:cs="宋体"/>
          <w:color w:val="auto"/>
          <w:sz w:val="24"/>
          <w:szCs w:val="24"/>
          <w:lang w:eastAsia="zh-CN"/>
        </w:rPr>
        <w:t>材料、车辆、</w:t>
      </w:r>
      <w:r>
        <w:rPr>
          <w:rFonts w:hint="eastAsia" w:ascii="宋体" w:hAnsi="宋体" w:eastAsia="宋体" w:cs="宋体"/>
          <w:color w:val="auto"/>
          <w:sz w:val="24"/>
          <w:szCs w:val="24"/>
        </w:rPr>
        <w:t>场地、工具、机器等）情况</w:t>
      </w:r>
    </w:p>
    <w:p w14:paraId="334D4DBF">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（6）投标人通过相关认证情况</w:t>
      </w:r>
    </w:p>
    <w:p w14:paraId="38AE2413">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（7）投标人同类项目业绩情况</w:t>
      </w:r>
    </w:p>
    <w:p w14:paraId="577DFF65">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供应商获奖情况</w:t>
      </w:r>
    </w:p>
    <w:p w14:paraId="7C7D7073">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自主知识产权产品（创新、设计）情况</w:t>
      </w:r>
    </w:p>
    <w:p w14:paraId="0EEE1745">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（10）服务网点</w:t>
      </w:r>
    </w:p>
    <w:p w14:paraId="027632B9">
      <w:pPr>
        <w:keepNext w:val="0"/>
        <w:keepLines w:val="0"/>
        <w:pageBreakBefore w:val="0"/>
        <w:widowControl/>
        <w:snapToGrid/>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拟安排的项目负责人情况（仅限一人）</w:t>
      </w:r>
    </w:p>
    <w:p w14:paraId="19F51100">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）拟安排的项目主要团队成员（主要技术人员）情况（项目负责人除外）</w:t>
      </w:r>
    </w:p>
    <w:p w14:paraId="5A57B31D">
      <w:pPr>
        <w:keepNext w:val="0"/>
        <w:keepLines w:val="0"/>
        <w:pageBreakBefore w:val="0"/>
        <w:widowControl/>
        <w:snapToGrid/>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）投标人认为信息公开部分需要加以说明的其他内容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格式自定</w:t>
      </w:r>
      <w:r>
        <w:rPr>
          <w:rFonts w:hint="eastAsia" w:ascii="宋体" w:hAnsi="宋体" w:eastAsia="宋体" w:cs="宋体"/>
          <w:color w:val="auto"/>
          <w:sz w:val="24"/>
          <w:szCs w:val="24"/>
          <w:lang w:eastAsia="zh-CN"/>
        </w:rPr>
        <w:t>）</w:t>
      </w:r>
    </w:p>
    <w:p w14:paraId="09C8CECF">
      <w:pPr>
        <w:keepNext w:val="0"/>
        <w:keepLines w:val="0"/>
        <w:pageBreakBefore w:val="0"/>
        <w:widowControl/>
        <w:snapToGrid/>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2.投标文件附件（信息不公开部分）：</w:t>
      </w:r>
    </w:p>
    <w:p w14:paraId="76203F48">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（1）法定代表人（负责人或执行事务合伙人）资格证明书</w:t>
      </w:r>
    </w:p>
    <w:p w14:paraId="1EC2EEF8">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（2）投标文件签署授权委托书</w:t>
      </w:r>
    </w:p>
    <w:p w14:paraId="776D6F41">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（3）供应商法定代表人等缴纳社会保险情况一览表</w:t>
      </w:r>
    </w:p>
    <w:p w14:paraId="1260CE16">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（4）实质性条款响应情况表</w:t>
      </w:r>
    </w:p>
    <w:p w14:paraId="298C032F">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（5）商务、技术条款偏离表</w:t>
      </w:r>
    </w:p>
    <w:p w14:paraId="0B0DB79C">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（6）实施方案（格式自定）</w:t>
      </w:r>
    </w:p>
    <w:p w14:paraId="4E1531F8">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（7）项目重点难点分析、应对措施及相关的合理化建议（格式自定）</w:t>
      </w:r>
    </w:p>
    <w:p w14:paraId="46F39618">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（8）质量（完成时间、安全、环保）保障措施及方案（格式自定）</w:t>
      </w:r>
    </w:p>
    <w:p w14:paraId="5305206B">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（9）项目交接方案（格式自定）</w:t>
      </w:r>
    </w:p>
    <w:p w14:paraId="54C67B61">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（10）安全保障措施（格式自定）</w:t>
      </w:r>
    </w:p>
    <w:p w14:paraId="58B53D1F">
      <w:pPr>
        <w:keepNext w:val="0"/>
        <w:keepLines w:val="0"/>
        <w:pageBreakBefore w:val="0"/>
        <w:widowControl/>
        <w:snapToGrid/>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（11）投标人认为信息不公开部分需要加以说明的其他内容（格式自定）</w:t>
      </w:r>
    </w:p>
    <w:p w14:paraId="47E57AD2">
      <w:pPr>
        <w:keepNext w:val="0"/>
        <w:keepLines w:val="0"/>
        <w:pageBreakBefore w:val="0"/>
        <w:widowControl/>
        <w:snapToGrid/>
        <w:outlineLvl w:val="9"/>
        <w:rPr>
          <w:rFonts w:hint="eastAsia" w:ascii="宋体" w:hAnsi="宋体" w:eastAsia="宋体" w:cs="宋体"/>
          <w:color w:val="auto"/>
          <w:sz w:val="24"/>
          <w:szCs w:val="24"/>
        </w:rPr>
      </w:pPr>
    </w:p>
    <w:p w14:paraId="335A5397">
      <w:pPr>
        <w:ind w:firstLine="487" w:firstLineChars="202"/>
        <w:rPr>
          <w:rFonts w:hint="eastAsia" w:ascii="宋体" w:hAnsi="宋体" w:eastAsia="宋体" w:cs="宋体"/>
          <w:b/>
          <w:color w:val="auto"/>
          <w:szCs w:val="21"/>
        </w:rPr>
      </w:pPr>
      <w:r>
        <w:rPr>
          <w:rFonts w:hint="eastAsia" w:ascii="宋体" w:hAnsi="宋体" w:eastAsia="宋体" w:cs="宋体"/>
          <w:b/>
          <w:color w:val="auto"/>
          <w:szCs w:val="21"/>
        </w:rPr>
        <w:t>备注：</w:t>
      </w:r>
    </w:p>
    <w:p w14:paraId="46370174">
      <w:pPr>
        <w:ind w:firstLine="487" w:firstLineChars="202"/>
        <w:rPr>
          <w:rFonts w:hint="eastAsia" w:ascii="宋体" w:hAnsi="宋体" w:eastAsia="宋体" w:cs="宋体"/>
          <w:b/>
          <w:color w:val="auto"/>
          <w:szCs w:val="21"/>
        </w:rPr>
      </w:pPr>
      <w:r>
        <w:rPr>
          <w:rFonts w:hint="eastAsia" w:ascii="宋体" w:hAnsi="宋体" w:eastAsia="宋体" w:cs="宋体"/>
          <w:b/>
          <w:color w:val="auto"/>
          <w:szCs w:val="21"/>
        </w:rPr>
        <w:t>1.本项目为网上电子投标项目，投标文件不需法人或授权委托人另行签字，无需加盖单位公章，招标文件专用条款另有规定的除外。</w:t>
      </w:r>
    </w:p>
    <w:p w14:paraId="39B1120B">
      <w:pPr>
        <w:ind w:firstLine="487" w:firstLineChars="202"/>
        <w:rPr>
          <w:rFonts w:hint="eastAsia" w:ascii="宋体" w:hAnsi="宋体" w:eastAsia="宋体" w:cs="宋体"/>
          <w:b/>
          <w:color w:val="auto"/>
          <w:szCs w:val="21"/>
        </w:rPr>
      </w:pPr>
      <w:r>
        <w:rPr>
          <w:rFonts w:hint="eastAsia" w:ascii="宋体" w:hAnsi="宋体" w:eastAsia="宋体" w:cs="宋体"/>
          <w:b/>
          <w:color w:val="auto"/>
          <w:szCs w:val="21"/>
        </w:rPr>
        <w:t>2.关于填写“开标一览表”的说明：“开标一览表”中除“投标报价”外，其他信息不作评审依据。</w:t>
      </w:r>
    </w:p>
    <w:p w14:paraId="780E7E56">
      <w:pPr>
        <w:rPr>
          <w:rFonts w:hint="eastAsia" w:ascii="宋体" w:hAnsi="宋体" w:eastAsia="宋体" w:cs="宋体"/>
          <w:color w:val="auto"/>
        </w:rPr>
      </w:pPr>
    </w:p>
    <w:p w14:paraId="70875D18">
      <w:pPr>
        <w:pStyle w:val="14"/>
        <w:rPr>
          <w:rFonts w:hint="eastAsia" w:ascii="宋体" w:hAnsi="宋体" w:eastAsia="宋体" w:cs="宋体"/>
          <w:color w:val="auto"/>
        </w:rPr>
      </w:pPr>
    </w:p>
    <w:p w14:paraId="7245A6E9">
      <w:pPr>
        <w:rPr>
          <w:rFonts w:hint="eastAsia" w:ascii="宋体" w:hAnsi="宋体" w:eastAsia="宋体" w:cs="宋体"/>
          <w:color w:val="auto"/>
        </w:rPr>
      </w:pPr>
    </w:p>
    <w:p w14:paraId="59F7E580">
      <w:pPr>
        <w:pStyle w:val="14"/>
        <w:rPr>
          <w:rFonts w:hint="eastAsia" w:ascii="宋体" w:hAnsi="宋体" w:eastAsia="宋体" w:cs="宋体"/>
          <w:color w:val="auto"/>
        </w:rPr>
      </w:pPr>
    </w:p>
    <w:p w14:paraId="416FF319">
      <w:pPr>
        <w:rPr>
          <w:rFonts w:hint="eastAsia" w:ascii="宋体" w:hAnsi="宋体" w:eastAsia="宋体" w:cs="宋体"/>
          <w:color w:val="auto"/>
        </w:rPr>
      </w:pPr>
    </w:p>
    <w:p w14:paraId="2E7686A1">
      <w:pPr>
        <w:pStyle w:val="14"/>
        <w:rPr>
          <w:rFonts w:hint="eastAsia" w:ascii="宋体" w:hAnsi="宋体" w:eastAsia="宋体" w:cs="宋体"/>
          <w:color w:val="auto"/>
        </w:rPr>
      </w:pPr>
      <w:r>
        <w:rPr>
          <w:rFonts w:hint="eastAsia" w:ascii="宋体" w:hAnsi="宋体" w:eastAsia="宋体" w:cs="宋体"/>
          <w:color w:val="auto"/>
        </w:rPr>
        <w:br w:type="page"/>
      </w:r>
    </w:p>
    <w:p w14:paraId="5F222E45">
      <w:pP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投标文件正文（信息公开部分）</w:t>
      </w:r>
    </w:p>
    <w:p w14:paraId="31AF0975">
      <w:pPr>
        <w:pStyle w:val="5"/>
        <w:jc w:val="center"/>
        <w:rPr>
          <w:rFonts w:hint="eastAsia" w:ascii="宋体" w:hAnsi="宋体" w:eastAsia="宋体" w:cs="宋体"/>
          <w:b w:val="0"/>
          <w:color w:val="auto"/>
          <w:sz w:val="24"/>
        </w:rPr>
      </w:pPr>
      <w:r>
        <w:rPr>
          <w:rFonts w:hint="eastAsia" w:ascii="宋体" w:hAnsi="宋体" w:eastAsia="宋体" w:cs="宋体"/>
          <w:b w:val="0"/>
          <w:color w:val="auto"/>
          <w:sz w:val="24"/>
        </w:rPr>
        <w:t>一、投标函</w:t>
      </w:r>
    </w:p>
    <w:p w14:paraId="3CD425E8">
      <w:pPr>
        <w:spacing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友和保险经纪有限公司 </w:t>
      </w:r>
    </w:p>
    <w:p w14:paraId="100DD608">
      <w:pPr>
        <w:ind w:firstLine="480" w:firstLineChars="200"/>
        <w:rPr>
          <w:rFonts w:hint="eastAsia" w:ascii="宋体" w:hAnsi="宋体" w:eastAsia="宋体" w:cs="宋体"/>
          <w:color w:val="auto"/>
        </w:rPr>
      </w:pPr>
      <w:bookmarkStart w:id="37" w:name="_Hlk73818812"/>
      <w:r>
        <w:rPr>
          <w:rFonts w:hint="eastAsia" w:ascii="宋体" w:hAnsi="宋体" w:eastAsia="宋体" w:cs="宋体"/>
          <w:color w:val="auto"/>
        </w:rPr>
        <w:t>1、根据已收到贵单位的项目编号为</w:t>
      </w:r>
      <w:r>
        <w:rPr>
          <w:rFonts w:hint="eastAsia" w:ascii="宋体" w:hAnsi="宋体" w:eastAsia="宋体" w:cs="宋体"/>
          <w:color w:val="auto"/>
          <w:u w:val="single"/>
        </w:rPr>
        <w:t xml:space="preserve">        </w:t>
      </w:r>
      <w:r>
        <w:rPr>
          <w:rFonts w:hint="eastAsia" w:ascii="宋体" w:hAnsi="宋体" w:eastAsia="宋体" w:cs="宋体"/>
          <w:color w:val="auto"/>
        </w:rPr>
        <w:t>的</w:t>
      </w:r>
      <w:r>
        <w:rPr>
          <w:rFonts w:hint="eastAsia" w:ascii="宋体" w:hAnsi="宋体" w:eastAsia="宋体" w:cs="宋体"/>
          <w:color w:val="auto"/>
          <w:u w:val="single"/>
        </w:rPr>
        <w:t xml:space="preserve">                                                     </w:t>
      </w:r>
      <w:r>
        <w:rPr>
          <w:rFonts w:hint="eastAsia" w:ascii="宋体" w:hAnsi="宋体" w:eastAsia="宋体" w:cs="宋体"/>
          <w:color w:val="auto"/>
        </w:rPr>
        <w:t>项目的招标文件，遵照《深圳经济特区政府采购条例》和《深圳网上政府采购管理暂行办法》等有关规定，我单位经研究上述招标文件的专用条款及通用条款后，</w:t>
      </w:r>
      <w:bookmarkStart w:id="38" w:name="_Hlk72263588"/>
      <w:r>
        <w:rPr>
          <w:rFonts w:hint="eastAsia" w:ascii="宋体" w:hAnsi="宋体" w:eastAsia="宋体" w:cs="宋体"/>
          <w:color w:val="auto"/>
        </w:rPr>
        <w:t>愿意按照招标文件要求承包上述项目并修补其任何缺陷。</w:t>
      </w:r>
      <w:bookmarkEnd w:id="38"/>
    </w:p>
    <w:p w14:paraId="16CA6A36">
      <w:pPr>
        <w:ind w:firstLine="480" w:firstLineChars="200"/>
        <w:rPr>
          <w:rFonts w:hint="eastAsia" w:ascii="宋体" w:hAnsi="宋体" w:eastAsia="宋体" w:cs="宋体"/>
          <w:color w:val="auto"/>
        </w:rPr>
      </w:pPr>
      <w:r>
        <w:rPr>
          <w:rFonts w:hint="eastAsia" w:ascii="宋体" w:hAnsi="宋体" w:eastAsia="宋体" w:cs="宋体"/>
          <w:color w:val="auto"/>
        </w:rPr>
        <w:t>2、投标价格见投标书编制软件中《开标一览表》中填写的投标总价。</w:t>
      </w:r>
    </w:p>
    <w:p w14:paraId="28C434D3">
      <w:pPr>
        <w:ind w:firstLine="480" w:firstLineChars="200"/>
        <w:rPr>
          <w:rFonts w:hint="eastAsia" w:ascii="宋体" w:hAnsi="宋体" w:eastAsia="宋体" w:cs="宋体"/>
          <w:color w:val="auto"/>
        </w:rPr>
      </w:pPr>
      <w:r>
        <w:rPr>
          <w:rFonts w:hint="eastAsia" w:ascii="宋体" w:hAnsi="宋体" w:eastAsia="宋体" w:cs="宋体"/>
          <w:color w:val="auto"/>
        </w:rPr>
        <w:t>3、如果我单位中标，我单位将按照招标文件的要求足额提交履约担保。</w:t>
      </w:r>
    </w:p>
    <w:p w14:paraId="7D16EBB6">
      <w:pPr>
        <w:ind w:firstLine="480" w:firstLineChars="200"/>
        <w:rPr>
          <w:rFonts w:hint="eastAsia" w:ascii="宋体" w:hAnsi="宋体" w:eastAsia="宋体" w:cs="宋体"/>
          <w:color w:val="auto"/>
        </w:rPr>
      </w:pPr>
      <w:r>
        <w:rPr>
          <w:rFonts w:hint="eastAsia" w:ascii="宋体" w:hAnsi="宋体" w:eastAsia="宋体" w:cs="宋体"/>
          <w:color w:val="auto"/>
        </w:rPr>
        <w:t>4、我单位同意所递交的投标文件在“对通用条款的补充内容”中明确的投标有效期内有效，在此期间内我单位的投标有可能中标，我方将受此约束。</w:t>
      </w:r>
    </w:p>
    <w:p w14:paraId="51A70DDD">
      <w:pPr>
        <w:ind w:firstLine="480" w:firstLineChars="200"/>
        <w:rPr>
          <w:rFonts w:hint="eastAsia" w:ascii="宋体" w:hAnsi="宋体" w:eastAsia="宋体" w:cs="宋体"/>
          <w:color w:val="auto"/>
        </w:rPr>
      </w:pPr>
      <w:r>
        <w:rPr>
          <w:rFonts w:hint="eastAsia" w:ascii="宋体" w:hAnsi="宋体" w:eastAsia="宋体" w:cs="宋体"/>
          <w:color w:val="auto"/>
        </w:rPr>
        <w:t>5、除非另外达成协议并生效，贵单位的中标通知书和本投标文件将构成合同的重要内容。</w:t>
      </w:r>
    </w:p>
    <w:p w14:paraId="6F51EF42">
      <w:pPr>
        <w:ind w:left="600" w:leftChars="200" w:hanging="120" w:hangingChars="50"/>
        <w:rPr>
          <w:rFonts w:hint="eastAsia" w:ascii="宋体" w:hAnsi="宋体" w:eastAsia="宋体" w:cs="宋体"/>
          <w:color w:val="auto"/>
          <w:u w:val="single"/>
        </w:rPr>
      </w:pPr>
      <w:r>
        <w:rPr>
          <w:rFonts w:hint="eastAsia" w:ascii="宋体" w:hAnsi="宋体" w:eastAsia="宋体" w:cs="宋体"/>
          <w:color w:val="auto"/>
        </w:rPr>
        <w:t>6、我单位理解贵单位将不受必须接受所收到的最低报价或其它任何投标文件的约束。</w:t>
      </w:r>
      <w:bookmarkEnd w:id="37"/>
      <w:r>
        <w:rPr>
          <w:rFonts w:hint="eastAsia" w:ascii="宋体" w:hAnsi="宋体" w:eastAsia="宋体" w:cs="宋体"/>
          <w:color w:val="auto"/>
        </w:rPr>
        <w:t>投标人：</w:t>
      </w:r>
      <w:r>
        <w:rPr>
          <w:rFonts w:hint="eastAsia" w:ascii="宋体" w:hAnsi="宋体" w:eastAsia="宋体" w:cs="宋体"/>
          <w:color w:val="auto"/>
          <w:u w:val="single"/>
        </w:rPr>
        <w:t xml:space="preserve">                   </w:t>
      </w:r>
      <w:r>
        <w:rPr>
          <w:rFonts w:hint="eastAsia" w:ascii="宋体" w:hAnsi="宋体" w:eastAsia="宋体" w:cs="宋体"/>
          <w:color w:val="auto"/>
        </w:rPr>
        <w:t xml:space="preserve">    单位地址：</w:t>
      </w:r>
      <w:r>
        <w:rPr>
          <w:rFonts w:hint="eastAsia" w:ascii="宋体" w:hAnsi="宋体" w:eastAsia="宋体" w:cs="宋体"/>
          <w:color w:val="auto"/>
          <w:u w:val="single"/>
        </w:rPr>
        <w:t xml:space="preserve">               </w:t>
      </w:r>
    </w:p>
    <w:p w14:paraId="7FD356A2">
      <w:pPr>
        <w:ind w:left="617" w:leftChars="257"/>
        <w:rPr>
          <w:rFonts w:hint="eastAsia" w:ascii="宋体" w:hAnsi="宋体" w:eastAsia="宋体" w:cs="宋体"/>
          <w:color w:val="auto"/>
          <w:u w:val="single"/>
        </w:rPr>
      </w:pPr>
      <w:r>
        <w:rPr>
          <w:rFonts w:hint="eastAsia" w:ascii="宋体" w:hAnsi="宋体" w:eastAsia="宋体" w:cs="宋体"/>
          <w:color w:val="auto"/>
        </w:rPr>
        <w:t>法定代表人（负责人）或其委托代理人：</w:t>
      </w:r>
      <w:r>
        <w:rPr>
          <w:rFonts w:hint="eastAsia" w:ascii="宋体" w:hAnsi="宋体" w:eastAsia="宋体" w:cs="宋体"/>
          <w:color w:val="auto"/>
          <w:u w:val="single"/>
        </w:rPr>
        <w:t xml:space="preserve">                   </w:t>
      </w:r>
    </w:p>
    <w:p w14:paraId="5D9A2FEB">
      <w:pPr>
        <w:ind w:left="617" w:leftChars="257"/>
        <w:rPr>
          <w:rFonts w:hint="eastAsia" w:ascii="宋体" w:hAnsi="宋体" w:eastAsia="宋体" w:cs="宋体"/>
          <w:color w:val="auto"/>
          <w:u w:val="single"/>
        </w:rPr>
      </w:pPr>
      <w:r>
        <w:rPr>
          <w:rFonts w:hint="eastAsia" w:ascii="宋体" w:hAnsi="宋体" w:eastAsia="宋体" w:cs="宋体"/>
          <w:color w:val="auto"/>
        </w:rPr>
        <w:t>邮政编码：</w:t>
      </w:r>
      <w:r>
        <w:rPr>
          <w:rFonts w:hint="eastAsia" w:ascii="宋体" w:hAnsi="宋体" w:eastAsia="宋体" w:cs="宋体"/>
          <w:color w:val="auto"/>
          <w:u w:val="single"/>
        </w:rPr>
        <w:t xml:space="preserve">          </w:t>
      </w:r>
      <w:r>
        <w:rPr>
          <w:rFonts w:hint="eastAsia" w:ascii="宋体" w:hAnsi="宋体" w:eastAsia="宋体" w:cs="宋体"/>
          <w:color w:val="auto"/>
        </w:rPr>
        <w:t xml:space="preserve">  电话：</w:t>
      </w:r>
      <w:r>
        <w:rPr>
          <w:rFonts w:hint="eastAsia" w:ascii="宋体" w:hAnsi="宋体" w:eastAsia="宋体" w:cs="宋体"/>
          <w:color w:val="auto"/>
          <w:u w:val="single"/>
        </w:rPr>
        <w:t xml:space="preserve">          </w:t>
      </w:r>
      <w:r>
        <w:rPr>
          <w:rFonts w:hint="eastAsia" w:ascii="宋体" w:hAnsi="宋体" w:eastAsia="宋体" w:cs="宋体"/>
          <w:color w:val="auto"/>
        </w:rPr>
        <w:t xml:space="preserve">  传真：</w:t>
      </w:r>
      <w:r>
        <w:rPr>
          <w:rFonts w:hint="eastAsia" w:ascii="宋体" w:hAnsi="宋体" w:eastAsia="宋体" w:cs="宋体"/>
          <w:color w:val="auto"/>
          <w:u w:val="single"/>
        </w:rPr>
        <w:t xml:space="preserve">            </w:t>
      </w:r>
    </w:p>
    <w:p w14:paraId="21FF394F">
      <w:pPr>
        <w:ind w:left="617" w:leftChars="257"/>
        <w:rPr>
          <w:rFonts w:hint="eastAsia" w:ascii="宋体" w:hAnsi="宋体" w:eastAsia="宋体" w:cs="宋体"/>
          <w:color w:val="auto"/>
        </w:rPr>
      </w:pPr>
      <w:r>
        <w:rPr>
          <w:rFonts w:hint="eastAsia" w:ascii="宋体" w:hAnsi="宋体" w:eastAsia="宋体" w:cs="宋体"/>
          <w:color w:val="auto"/>
        </w:rPr>
        <w:t>开户银行名称：</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rPr>
        <w:tab/>
      </w:r>
      <w:r>
        <w:rPr>
          <w:rFonts w:hint="eastAsia" w:ascii="宋体" w:hAnsi="宋体" w:eastAsia="宋体" w:cs="宋体"/>
          <w:color w:val="auto"/>
        </w:rPr>
        <w:t>开户银行账号：</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14:paraId="7120A65D">
      <w:pPr>
        <w:ind w:left="617" w:leftChars="257"/>
        <w:rPr>
          <w:rFonts w:hint="eastAsia" w:ascii="宋体" w:hAnsi="宋体" w:eastAsia="宋体" w:cs="宋体"/>
          <w:color w:val="auto"/>
        </w:rPr>
      </w:pPr>
      <w:r>
        <w:rPr>
          <w:rFonts w:hint="eastAsia" w:ascii="宋体" w:hAnsi="宋体" w:eastAsia="宋体" w:cs="宋体"/>
          <w:color w:val="auto"/>
        </w:rPr>
        <w:t>开户银行地址：</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rPr>
        <w:tab/>
      </w:r>
      <w:r>
        <w:rPr>
          <w:rFonts w:hint="eastAsia" w:ascii="宋体" w:hAnsi="宋体" w:eastAsia="宋体" w:cs="宋体"/>
          <w:color w:val="auto"/>
        </w:rPr>
        <w:t>开户银行电话：</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14:paraId="5E0F84F4">
      <w:pPr>
        <w:ind w:firstLine="616" w:firstLineChars="257"/>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p w14:paraId="14BAE441">
      <w:pPr>
        <w:rPr>
          <w:rFonts w:hint="eastAsia" w:ascii="宋体" w:hAnsi="宋体" w:eastAsia="宋体" w:cs="宋体"/>
          <w:color w:val="auto"/>
        </w:rPr>
      </w:pPr>
    </w:p>
    <w:p w14:paraId="08105E50">
      <w:pPr>
        <w:rPr>
          <w:rFonts w:hint="eastAsia" w:ascii="宋体" w:hAnsi="宋体" w:eastAsia="宋体" w:cs="宋体"/>
          <w:color w:val="auto"/>
          <w:szCs w:val="21"/>
        </w:rPr>
      </w:pPr>
    </w:p>
    <w:p w14:paraId="0F05FA4A">
      <w:pPr>
        <w:rPr>
          <w:rFonts w:hint="eastAsia" w:ascii="宋体" w:hAnsi="宋体" w:eastAsia="宋体" w:cs="宋体"/>
          <w:color w:val="auto"/>
        </w:rPr>
      </w:pPr>
    </w:p>
    <w:p w14:paraId="54A8EF35">
      <w:pPr>
        <w:rPr>
          <w:rFonts w:hint="eastAsia" w:ascii="宋体" w:hAnsi="宋体" w:eastAsia="宋体" w:cs="宋体"/>
          <w:color w:val="auto"/>
        </w:rPr>
      </w:pPr>
    </w:p>
    <w:p w14:paraId="6B6B23D4">
      <w:pPr>
        <w:rPr>
          <w:rFonts w:hint="eastAsia" w:ascii="宋体" w:hAnsi="宋体" w:eastAsia="宋体" w:cs="宋体"/>
          <w:color w:val="auto"/>
        </w:rPr>
      </w:pPr>
    </w:p>
    <w:p w14:paraId="7D3D1121">
      <w:pPr>
        <w:pStyle w:val="5"/>
        <w:jc w:val="center"/>
        <w:rPr>
          <w:rFonts w:hint="eastAsia" w:ascii="宋体" w:hAnsi="宋体" w:eastAsia="宋体" w:cs="宋体"/>
          <w:b w:val="0"/>
          <w:color w:val="auto"/>
          <w:sz w:val="24"/>
        </w:rPr>
      </w:pPr>
      <w:r>
        <w:rPr>
          <w:rFonts w:hint="eastAsia" w:ascii="宋体" w:hAnsi="宋体" w:eastAsia="宋体" w:cs="宋体"/>
          <w:b w:val="0"/>
          <w:color w:val="auto"/>
          <w:sz w:val="24"/>
        </w:rPr>
        <w:br w:type="page"/>
      </w:r>
      <w:r>
        <w:rPr>
          <w:rFonts w:hint="eastAsia" w:ascii="宋体" w:hAnsi="宋体" w:eastAsia="宋体" w:cs="宋体"/>
          <w:b w:val="0"/>
          <w:color w:val="auto"/>
          <w:sz w:val="24"/>
        </w:rPr>
        <w:t>二、政府采购投标及履约承诺函</w:t>
      </w:r>
    </w:p>
    <w:p w14:paraId="37E0CCE2">
      <w:pPr>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友和保险经纪有限公司</w:t>
      </w:r>
    </w:p>
    <w:p w14:paraId="55489870">
      <w:pPr>
        <w:ind w:right="-815" w:firstLine="480" w:firstLineChars="200"/>
        <w:rPr>
          <w:rFonts w:hint="eastAsia" w:ascii="宋体" w:hAnsi="宋体" w:eastAsia="宋体" w:cs="宋体"/>
          <w:color w:val="auto"/>
        </w:rPr>
      </w:pPr>
      <w:r>
        <w:rPr>
          <w:rFonts w:hint="eastAsia" w:ascii="宋体" w:hAnsi="宋体" w:eastAsia="宋体" w:cs="宋体"/>
          <w:color w:val="auto"/>
        </w:rPr>
        <w:t>我单位承诺：</w:t>
      </w:r>
    </w:p>
    <w:p w14:paraId="2C1CA4C8">
      <w:pPr>
        <w:ind w:firstLine="48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zCs w:val="21"/>
        </w:rPr>
        <w:t>我单位参与本项目所投标（响应）的货物、工程或服务，不存在侵犯知识产权的情况；已知悉并同意中标（成交）结果信息公示（公开）的内容。</w:t>
      </w:r>
    </w:p>
    <w:p w14:paraId="759DEA7F">
      <w:pPr>
        <w:keepNext w:val="0"/>
        <w:keepLines w:val="0"/>
        <w:pageBreakBefore w:val="0"/>
        <w:widowControl/>
        <w:snapToGrid/>
        <w:ind w:firstLine="480" w:firstLineChars="200"/>
        <w:rPr>
          <w:rFonts w:hint="eastAsia" w:ascii="宋体" w:hAnsi="宋体" w:eastAsia="宋体" w:cs="宋体"/>
          <w:color w:val="auto"/>
          <w:lang w:eastAsia="zh-CN"/>
        </w:rPr>
      </w:pPr>
      <w:r>
        <w:rPr>
          <w:rFonts w:hint="eastAsia" w:ascii="宋体" w:hAnsi="宋体" w:eastAsia="宋体" w:cs="宋体"/>
          <w:color w:val="auto"/>
        </w:rPr>
        <w:t>2.</w:t>
      </w:r>
      <w:r>
        <w:rPr>
          <w:rFonts w:hint="eastAsia" w:ascii="宋体" w:hAnsi="宋体" w:eastAsia="宋体" w:cs="宋体"/>
          <w:color w:val="auto"/>
          <w:szCs w:val="21"/>
        </w:rPr>
        <w:t>我单位参与该项目投标，</w:t>
      </w:r>
      <w:r>
        <w:rPr>
          <w:rFonts w:hint="eastAsia" w:ascii="宋体" w:hAnsi="宋体" w:eastAsia="宋体" w:cs="宋体"/>
          <w:color w:val="auto"/>
        </w:rPr>
        <w:t>不</w:t>
      </w:r>
      <w:r>
        <w:rPr>
          <w:rFonts w:hint="eastAsia" w:ascii="宋体" w:hAnsi="宋体" w:eastAsia="宋体" w:cs="宋体"/>
          <w:color w:val="auto"/>
          <w:lang w:eastAsia="zh-CN"/>
        </w:rPr>
        <w:t>采用</w:t>
      </w:r>
      <w:r>
        <w:rPr>
          <w:rFonts w:hint="eastAsia" w:ascii="宋体" w:hAnsi="宋体" w:eastAsia="宋体" w:cs="宋体"/>
          <w:color w:val="auto"/>
        </w:rPr>
        <w:t>联合体投标</w:t>
      </w:r>
      <w:r>
        <w:rPr>
          <w:rFonts w:hint="eastAsia" w:ascii="宋体" w:hAnsi="宋体" w:eastAsia="宋体" w:cs="宋体"/>
          <w:color w:val="auto"/>
          <w:lang w:eastAsia="zh-CN"/>
        </w:rPr>
        <w:t>。</w:t>
      </w:r>
    </w:p>
    <w:p w14:paraId="7B9F71D3">
      <w:pPr>
        <w:keepNext w:val="0"/>
        <w:keepLines w:val="0"/>
        <w:pageBreakBefore w:val="0"/>
        <w:widowControl/>
        <w:snapToGrid/>
        <w:ind w:firstLine="480" w:firstLineChars="200"/>
        <w:rPr>
          <w:rFonts w:hint="eastAsia" w:ascii="宋体" w:hAnsi="宋体" w:eastAsia="宋体" w:cs="宋体"/>
          <w:color w:val="auto"/>
          <w:szCs w:val="21"/>
        </w:rPr>
      </w:pPr>
      <w:r>
        <w:rPr>
          <w:rFonts w:hint="eastAsia" w:ascii="宋体" w:hAnsi="宋体" w:eastAsia="宋体" w:cs="宋体"/>
          <w:color w:val="auto"/>
          <w:szCs w:val="21"/>
        </w:rPr>
        <w:t>3.我单位参与本项目政府采购活动时不存在被有关部门禁止参与政府采购活动且在有效期内的情况。</w:t>
      </w:r>
    </w:p>
    <w:p w14:paraId="2A825CFB">
      <w:pPr>
        <w:keepNext w:val="0"/>
        <w:keepLines w:val="0"/>
        <w:pageBreakBefore w:val="0"/>
        <w:widowControl/>
        <w:snapToGrid/>
        <w:ind w:firstLine="480" w:firstLineChars="200"/>
        <w:rPr>
          <w:rFonts w:hint="eastAsia" w:ascii="宋体" w:hAnsi="宋体" w:eastAsia="宋体" w:cs="宋体"/>
          <w:color w:val="auto"/>
          <w:szCs w:val="21"/>
        </w:rPr>
      </w:pPr>
      <w:r>
        <w:rPr>
          <w:rFonts w:hint="eastAsia" w:ascii="宋体" w:hAnsi="宋体" w:eastAsia="宋体" w:cs="宋体"/>
          <w:color w:val="auto"/>
          <w:szCs w:val="21"/>
        </w:rPr>
        <w:t>4.我单位具备《中华人民共和国政府采购法》第二十二条第一款规定的六项条件。</w:t>
      </w:r>
    </w:p>
    <w:p w14:paraId="77353684">
      <w:pPr>
        <w:ind w:firstLine="480" w:firstLineChars="200"/>
        <w:rPr>
          <w:rFonts w:hint="eastAsia" w:ascii="宋体" w:hAnsi="宋体" w:eastAsia="宋体" w:cs="宋体"/>
          <w:color w:val="auto"/>
        </w:rPr>
      </w:pPr>
      <w:r>
        <w:rPr>
          <w:rFonts w:hint="eastAsia" w:ascii="宋体" w:hAnsi="宋体" w:eastAsia="宋体" w:cs="宋体"/>
          <w:color w:val="auto"/>
        </w:rPr>
        <w:t>5.我单位未被列入失信被执行人、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、政府采购严重违法失信行为记录名单</w:t>
      </w:r>
      <w:r>
        <w:rPr>
          <w:rFonts w:hint="eastAsia" w:ascii="宋体" w:hAnsi="宋体" w:eastAsia="宋体" w:cs="宋体"/>
          <w:color w:val="auto"/>
          <w:lang w:eastAsia="zh-CN"/>
        </w:rPr>
        <w:t>；不存在《深圳市财政局政府采购供应商信用信息管理办法》（深财规〔2023〕3号）列明的严重违法失信行为。</w:t>
      </w:r>
    </w:p>
    <w:p w14:paraId="1B2D23F4">
      <w:pPr>
        <w:ind w:firstLine="480" w:firstLineChars="200"/>
        <w:rPr>
          <w:rFonts w:hint="eastAsia" w:ascii="宋体" w:hAnsi="宋体" w:eastAsia="宋体" w:cs="宋体"/>
          <w:color w:val="auto"/>
        </w:rPr>
      </w:pPr>
      <w:r>
        <w:rPr>
          <w:rFonts w:hint="eastAsia" w:ascii="宋体" w:hAnsi="宋体" w:eastAsia="宋体" w:cs="宋体"/>
          <w:color w:val="auto"/>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283B039">
      <w:pPr>
        <w:ind w:firstLine="480" w:firstLineChars="200"/>
        <w:rPr>
          <w:rFonts w:hint="eastAsia" w:ascii="宋体" w:hAnsi="宋体" w:eastAsia="宋体" w:cs="宋体"/>
          <w:color w:val="auto"/>
        </w:rPr>
      </w:pPr>
      <w:r>
        <w:rPr>
          <w:rFonts w:hint="eastAsia" w:ascii="宋体" w:hAnsi="宋体" w:eastAsia="宋体" w:cs="宋体"/>
          <w:color w:val="auto"/>
        </w:rPr>
        <w:t>7.我单位不存在“单位负责人为同一人或者存在直接控股、管理关系的不同供应商，参加同一合同项下的政府采购活动”的情形。</w:t>
      </w:r>
    </w:p>
    <w:p w14:paraId="6181E0DA">
      <w:pPr>
        <w:ind w:firstLine="480" w:firstLineChars="200"/>
        <w:rPr>
          <w:rFonts w:hint="eastAsia" w:ascii="宋体" w:hAnsi="宋体" w:eastAsia="宋体" w:cs="宋体"/>
          <w:color w:val="auto"/>
        </w:rPr>
      </w:pPr>
      <w:r>
        <w:rPr>
          <w:rFonts w:hint="eastAsia" w:ascii="宋体" w:hAnsi="宋体" w:eastAsia="宋体" w:cs="宋体"/>
          <w:color w:val="auto"/>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9DF0365">
      <w:pPr>
        <w:ind w:firstLine="480" w:firstLineChars="200"/>
        <w:rPr>
          <w:rFonts w:hint="eastAsia" w:ascii="宋体" w:hAnsi="宋体" w:eastAsia="宋体" w:cs="宋体"/>
          <w:color w:val="auto"/>
        </w:rPr>
      </w:pPr>
      <w:r>
        <w:rPr>
          <w:rFonts w:hint="eastAsia" w:ascii="宋体" w:hAnsi="宋体" w:eastAsia="宋体" w:cs="宋体"/>
          <w:color w:val="auto"/>
        </w:rPr>
        <w:t>9.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1BCC7D43">
      <w:pPr>
        <w:ind w:firstLine="480" w:firstLineChars="200"/>
        <w:rPr>
          <w:rFonts w:hint="eastAsia" w:ascii="宋体" w:hAnsi="宋体" w:eastAsia="宋体" w:cs="宋体"/>
          <w:color w:val="auto"/>
        </w:rPr>
      </w:pPr>
      <w:r>
        <w:rPr>
          <w:rFonts w:hint="eastAsia" w:ascii="宋体" w:hAnsi="宋体" w:eastAsia="宋体" w:cs="宋体"/>
          <w:color w:val="auto"/>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D5A67CA">
      <w:pPr>
        <w:ind w:firstLine="480" w:firstLineChars="200"/>
        <w:rPr>
          <w:rFonts w:hint="eastAsia" w:ascii="宋体" w:hAnsi="宋体" w:eastAsia="宋体" w:cs="宋体"/>
          <w:color w:val="auto"/>
        </w:rPr>
      </w:pPr>
      <w:r>
        <w:rPr>
          <w:rFonts w:hint="eastAsia" w:ascii="宋体" w:hAnsi="宋体" w:eastAsia="宋体" w:cs="宋体"/>
          <w:color w:val="auto"/>
        </w:rPr>
        <w:t>11.我</w:t>
      </w:r>
      <w:r>
        <w:rPr>
          <w:rFonts w:hint="eastAsia" w:ascii="宋体" w:hAnsi="宋体" w:eastAsia="宋体" w:cs="宋体"/>
          <w:color w:val="auto"/>
          <w:lang w:val="en-US" w:eastAsia="zh-CN"/>
        </w:rPr>
        <w:t>单位</w:t>
      </w:r>
      <w:r>
        <w:rPr>
          <w:rFonts w:hint="eastAsia" w:ascii="宋体" w:hAnsi="宋体" w:eastAsia="宋体" w:cs="宋体"/>
          <w:color w:val="auto"/>
        </w:rPr>
        <w:t>承诺中标后项目不转包，未经采购人同意不进行分包。</w:t>
      </w:r>
    </w:p>
    <w:p w14:paraId="0717F497">
      <w:pPr>
        <w:ind w:firstLine="480" w:firstLineChars="200"/>
        <w:rPr>
          <w:rFonts w:hint="eastAsia" w:ascii="宋体" w:hAnsi="宋体" w:eastAsia="宋体" w:cs="宋体"/>
          <w:color w:val="auto"/>
        </w:rPr>
      </w:pPr>
      <w:r>
        <w:rPr>
          <w:rFonts w:hint="eastAsia" w:ascii="宋体" w:hAnsi="宋体" w:eastAsia="宋体" w:cs="宋体"/>
          <w:color w:val="auto"/>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E5BF7F">
      <w:pPr>
        <w:ind w:firstLine="480" w:firstLineChars="200"/>
        <w:rPr>
          <w:rFonts w:hint="eastAsia" w:ascii="宋体" w:hAnsi="宋体" w:eastAsia="宋体" w:cs="宋体"/>
          <w:color w:val="auto"/>
        </w:rPr>
      </w:pPr>
      <w:r>
        <w:rPr>
          <w:rFonts w:hint="eastAsia" w:ascii="宋体" w:hAnsi="宋体" w:eastAsia="宋体" w:cs="宋体"/>
          <w:color w:val="auto"/>
        </w:rPr>
        <w:t>13.我单位保证，若所投货物涉及《财政部生态环境部关于印发节能产品政府采购品目清单的通知》（财库〔2019〕19号）列明的政府采购强制产品，则所投该产品符合节能产品的认证要求。</w:t>
      </w:r>
    </w:p>
    <w:p w14:paraId="13CC0C65">
      <w:pPr>
        <w:pStyle w:val="14"/>
        <w:rPr>
          <w:rFonts w:hint="eastAsia" w:ascii="宋体" w:hAnsi="宋体" w:eastAsia="宋体" w:cs="宋体"/>
          <w:color w:val="auto"/>
          <w:szCs w:val="24"/>
        </w:rPr>
      </w:pPr>
      <w:r>
        <w:rPr>
          <w:rFonts w:hint="eastAsia" w:ascii="宋体" w:hAnsi="宋体" w:eastAsia="宋体" w:cs="宋体"/>
          <w:color w:val="auto"/>
          <w:szCs w:val="24"/>
        </w:rPr>
        <w:t>14. 我单位承诺未为本项目提供整体设计、规范编制或者管理、监理、检测等服务。</w:t>
      </w:r>
    </w:p>
    <w:p w14:paraId="187D9AC7">
      <w:pPr>
        <w:pStyle w:val="14"/>
        <w:rPr>
          <w:rFonts w:hint="eastAsia" w:ascii="宋体" w:hAnsi="宋体" w:eastAsia="宋体" w:cs="宋体"/>
          <w:color w:val="auto"/>
          <w:szCs w:val="24"/>
        </w:rPr>
      </w:pPr>
      <w:r>
        <w:rPr>
          <w:rFonts w:hint="eastAsia" w:ascii="宋体" w:hAnsi="宋体" w:eastAsia="宋体" w:cs="宋体"/>
          <w:color w:val="auto"/>
          <w:szCs w:val="24"/>
        </w:rPr>
        <w:t xml:space="preserve">15.我单位承诺，参与本项目投标前三年内，未受过环境监测行政主管部门行政处罚或未有被政府相关部门（如质检部门等）、媒体通报弄虚作假等情形。 </w:t>
      </w:r>
    </w:p>
    <w:p w14:paraId="33DD4BAB">
      <w:pPr>
        <w:pStyle w:val="14"/>
        <w:rPr>
          <w:rFonts w:hint="eastAsia" w:ascii="宋体" w:hAnsi="宋体" w:eastAsia="宋体" w:cs="宋体"/>
          <w:color w:val="auto"/>
          <w:szCs w:val="24"/>
        </w:rPr>
      </w:pPr>
      <w:r>
        <w:rPr>
          <w:rFonts w:hint="eastAsia" w:ascii="宋体" w:hAnsi="宋体" w:eastAsia="宋体" w:cs="宋体"/>
          <w:color w:val="auto"/>
          <w:szCs w:val="24"/>
          <w:lang w:val="en-US" w:eastAsia="zh-CN"/>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r>
        <w:rPr>
          <w:rFonts w:hint="eastAsia" w:ascii="宋体" w:hAnsi="宋体" w:eastAsia="宋体" w:cs="宋体"/>
          <w:color w:val="auto"/>
          <w:szCs w:val="24"/>
        </w:rPr>
        <w:t xml:space="preserve"> </w:t>
      </w:r>
    </w:p>
    <w:p w14:paraId="37A84A11">
      <w:pPr>
        <w:ind w:firstLine="480" w:firstLineChars="200"/>
        <w:rPr>
          <w:rFonts w:hint="eastAsia" w:ascii="宋体" w:hAnsi="宋体" w:eastAsia="宋体" w:cs="宋体"/>
          <w:color w:val="auto"/>
        </w:rPr>
      </w:pPr>
      <w:r>
        <w:rPr>
          <w:rFonts w:hint="eastAsia" w:ascii="宋体" w:hAnsi="宋体" w:eastAsia="宋体" w:cs="宋体"/>
          <w:color w:val="auto"/>
        </w:rPr>
        <w:t>以上承诺，如有违反，愿依照国家相关法律法规处理，并承担由此给采购人带来的损失。</w:t>
      </w:r>
    </w:p>
    <w:p w14:paraId="43434FA9">
      <w:pPr>
        <w:spacing w:before="60" w:beforeLines="25" w:after="60" w:afterLines="25"/>
        <w:ind w:firstLine="6240" w:firstLineChars="2600"/>
        <w:rPr>
          <w:rFonts w:hint="eastAsia" w:ascii="宋体" w:hAnsi="宋体" w:eastAsia="宋体" w:cs="宋体"/>
          <w:color w:val="auto"/>
        </w:rPr>
      </w:pPr>
      <w:r>
        <w:rPr>
          <w:rFonts w:hint="eastAsia" w:ascii="宋体" w:hAnsi="宋体" w:eastAsia="宋体" w:cs="宋体"/>
          <w:color w:val="auto"/>
        </w:rPr>
        <w:t xml:space="preserve">                                    </w:t>
      </w:r>
    </w:p>
    <w:p w14:paraId="3FDF416B">
      <w:pPr>
        <w:spacing w:before="60" w:beforeLines="25" w:after="60" w:afterLines="25"/>
        <w:ind w:firstLine="6240" w:firstLineChars="2600"/>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 xml:space="preserve">              </w:t>
      </w:r>
    </w:p>
    <w:p w14:paraId="18308F4B">
      <w:pPr>
        <w:ind w:firstLine="645"/>
        <w:rPr>
          <w:rFonts w:hint="eastAsia" w:ascii="宋体" w:hAnsi="宋体" w:eastAsia="宋体" w:cs="宋体"/>
          <w:color w:val="auto"/>
        </w:rPr>
      </w:pPr>
      <w:r>
        <w:rPr>
          <w:rFonts w:hint="eastAsia" w:ascii="宋体" w:hAnsi="宋体" w:eastAsia="宋体" w:cs="宋体"/>
          <w:color w:val="auto"/>
        </w:rPr>
        <w:t xml:space="preserve">                                        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1CC70B6C">
      <w:pPr>
        <w:rPr>
          <w:rFonts w:hint="eastAsia" w:ascii="宋体" w:hAnsi="宋体" w:eastAsia="宋体" w:cs="宋体"/>
          <w:color w:val="auto"/>
        </w:rPr>
      </w:pPr>
    </w:p>
    <w:p w14:paraId="76F4AE99">
      <w:pPr>
        <w:rPr>
          <w:rFonts w:hint="eastAsia" w:ascii="宋体" w:hAnsi="宋体" w:eastAsia="宋体" w:cs="宋体"/>
          <w:color w:val="auto"/>
          <w:szCs w:val="21"/>
        </w:rPr>
      </w:pPr>
    </w:p>
    <w:p w14:paraId="594464D1">
      <w:pPr>
        <w:pStyle w:val="14"/>
        <w:rPr>
          <w:rFonts w:hint="eastAsia" w:ascii="宋体" w:hAnsi="宋体" w:eastAsia="宋体" w:cs="宋体"/>
          <w:color w:val="auto"/>
        </w:rPr>
      </w:pPr>
    </w:p>
    <w:p w14:paraId="0C657802">
      <w:pPr>
        <w:rPr>
          <w:rFonts w:hint="eastAsia" w:ascii="宋体" w:hAnsi="宋体" w:eastAsia="宋体" w:cs="宋体"/>
          <w:color w:val="auto"/>
        </w:rPr>
      </w:pPr>
    </w:p>
    <w:p w14:paraId="1994E077">
      <w:pPr>
        <w:rPr>
          <w:rFonts w:hint="eastAsia" w:ascii="宋体" w:hAnsi="宋体" w:eastAsia="宋体" w:cs="宋体"/>
          <w:color w:val="auto"/>
        </w:rPr>
      </w:pPr>
      <w:r>
        <w:rPr>
          <w:rFonts w:hint="eastAsia" w:ascii="宋体" w:hAnsi="宋体" w:eastAsia="宋体" w:cs="宋体"/>
          <w:color w:val="auto"/>
        </w:rPr>
        <w:br w:type="page"/>
      </w:r>
    </w:p>
    <w:p w14:paraId="6F55E229">
      <w:pPr>
        <w:pStyle w:val="5"/>
        <w:jc w:val="center"/>
        <w:rPr>
          <w:rFonts w:hint="eastAsia" w:ascii="宋体" w:hAnsi="宋体" w:eastAsia="宋体" w:cs="宋体"/>
          <w:color w:val="auto"/>
        </w:rPr>
      </w:pPr>
      <w:r>
        <w:rPr>
          <w:rFonts w:hint="eastAsia" w:ascii="宋体" w:hAnsi="宋体" w:eastAsia="宋体" w:cs="宋体"/>
          <w:b w:val="0"/>
          <w:color w:val="auto"/>
          <w:sz w:val="24"/>
        </w:rPr>
        <w:t>三、投标人情况及资格证明文件</w:t>
      </w:r>
    </w:p>
    <w:p w14:paraId="3A50B6F0">
      <w:pPr>
        <w:ind w:firstLine="480" w:firstLineChars="200"/>
        <w:outlineLvl w:val="3"/>
        <w:rPr>
          <w:rFonts w:hint="eastAsia" w:ascii="宋体" w:hAnsi="宋体" w:eastAsia="宋体" w:cs="宋体"/>
          <w:bCs/>
          <w:color w:val="auto"/>
          <w:szCs w:val="32"/>
          <w:lang w:val="en-US" w:eastAsia="zh-CN" w:bidi="ar-SA"/>
        </w:rPr>
      </w:pPr>
      <w:r>
        <w:rPr>
          <w:rFonts w:hint="eastAsia" w:ascii="宋体" w:hAnsi="宋体" w:eastAsia="宋体" w:cs="宋体"/>
          <w:bCs/>
          <w:color w:val="auto"/>
          <w:szCs w:val="32"/>
          <w:lang w:val="en-US" w:eastAsia="zh-CN" w:bidi="ar-SA"/>
        </w:rPr>
        <w:t>（一）投标人资格证明文件</w:t>
      </w:r>
    </w:p>
    <w:p w14:paraId="1BF174F5">
      <w:pPr>
        <w:spacing w:before="120" w:beforeLines="50"/>
        <w:ind w:firstLine="482" w:firstLineChars="200"/>
        <w:rPr>
          <w:rFonts w:hint="eastAsia" w:ascii="宋体" w:hAnsi="宋体" w:eastAsia="宋体" w:cs="宋体"/>
          <w:b/>
          <w:bCs/>
          <w:color w:val="auto"/>
        </w:rPr>
      </w:pPr>
      <w:r>
        <w:rPr>
          <w:rFonts w:hint="eastAsia" w:ascii="宋体" w:hAnsi="宋体" w:eastAsia="宋体" w:cs="宋体"/>
          <w:b/>
          <w:bCs/>
          <w:color w:val="auto"/>
        </w:rPr>
        <w:t>（特别提示：投标人须按本招标文件第一册第一章招标公告 “申请人的资格要求”（即投标人资格要求）提供相关的资格证明资料，未提供或提供不完整、不符合要求的，将作投标无效处理。）</w:t>
      </w:r>
    </w:p>
    <w:p w14:paraId="0E20CEBB">
      <w:pPr>
        <w:spacing w:line="360" w:lineRule="auto"/>
        <w:ind w:firstLine="482" w:firstLineChars="200"/>
        <w:rPr>
          <w:rFonts w:hint="eastAsia" w:ascii="宋体" w:hAnsi="宋体" w:eastAsia="宋体" w:cs="宋体"/>
          <w:b/>
          <w:color w:val="auto"/>
        </w:rPr>
      </w:pPr>
    </w:p>
    <w:p w14:paraId="08A8E938">
      <w:pPr>
        <w:spacing w:line="360" w:lineRule="auto"/>
        <w:rPr>
          <w:rFonts w:hint="eastAsia" w:ascii="宋体" w:hAnsi="宋体" w:eastAsia="宋体" w:cs="宋体"/>
          <w:color w:val="auto"/>
        </w:rPr>
      </w:pPr>
    </w:p>
    <w:p w14:paraId="6B95FD82">
      <w:pPr>
        <w:ind w:firstLine="480" w:firstLineChars="200"/>
        <w:outlineLvl w:val="3"/>
        <w:rPr>
          <w:rFonts w:hint="eastAsia" w:ascii="宋体" w:hAnsi="宋体" w:eastAsia="宋体" w:cs="宋体"/>
          <w:bCs/>
          <w:color w:val="auto"/>
          <w:szCs w:val="32"/>
          <w:lang w:val="en-US" w:eastAsia="zh-CN" w:bidi="ar-SA"/>
        </w:rPr>
      </w:pPr>
      <w:r>
        <w:rPr>
          <w:rFonts w:hint="eastAsia" w:ascii="宋体" w:hAnsi="宋体" w:eastAsia="宋体" w:cs="宋体"/>
          <w:bCs/>
          <w:color w:val="auto"/>
          <w:szCs w:val="32"/>
          <w:lang w:val="en-US" w:eastAsia="zh-CN" w:bidi="ar-SA"/>
        </w:rPr>
        <w:t>（二）中小企业声明函、残疾人福利性单位声明函及监狱企业声明函</w:t>
      </w:r>
    </w:p>
    <w:p w14:paraId="2D9EB24C">
      <w:pPr>
        <w:spacing w:before="120" w:beforeLines="50"/>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人、采购代理机构、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147CFD96">
      <w:pPr>
        <w:keepNext w:val="0"/>
        <w:keepLines w:val="0"/>
        <w:pageBreakBefore w:val="0"/>
        <w:widowControl/>
        <w:snapToGrid/>
        <w:jc w:val="center"/>
        <w:outlineLvl w:val="9"/>
        <w:rPr>
          <w:rFonts w:hint="eastAsia" w:ascii="宋体" w:hAnsi="宋体" w:eastAsia="宋体" w:cs="宋体"/>
          <w:b/>
          <w:color w:val="auto"/>
        </w:rPr>
      </w:pPr>
    </w:p>
    <w:p w14:paraId="6BAC09FD">
      <w:pPr>
        <w:jc w:val="center"/>
        <w:outlineLvl w:val="3"/>
        <w:rPr>
          <w:rFonts w:hint="eastAsia" w:ascii="宋体" w:hAnsi="宋体" w:eastAsia="宋体" w:cs="宋体"/>
          <w:b/>
          <w:color w:val="auto"/>
        </w:rPr>
      </w:pPr>
      <w:r>
        <w:rPr>
          <w:rFonts w:hint="eastAsia" w:ascii="宋体" w:hAnsi="宋体" w:eastAsia="宋体" w:cs="宋体"/>
          <w:b/>
          <w:color w:val="auto"/>
        </w:rPr>
        <w:t xml:space="preserve">1、中小企业声明函（服务） </w:t>
      </w:r>
    </w:p>
    <w:p w14:paraId="3180D7CA">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本投标人郑重声明，根据《政府采购促进中小企业发展管理办法》（财库﹝2020﹞46 号）的规定，本投标人参加</w:t>
      </w:r>
      <w:r>
        <w:rPr>
          <w:rFonts w:hint="eastAsia" w:ascii="宋体" w:hAnsi="宋体" w:eastAsia="宋体" w:cs="宋体"/>
          <w:b/>
          <w:bCs/>
          <w:color w:val="auto"/>
          <w:szCs w:val="21"/>
          <w:u w:val="single"/>
        </w:rPr>
        <w:t>（采购人名称）</w:t>
      </w:r>
      <w:r>
        <w:rPr>
          <w:rFonts w:hint="eastAsia" w:ascii="宋体" w:hAnsi="宋体" w:eastAsia="宋体" w:cs="宋体"/>
          <w:color w:val="auto"/>
          <w:szCs w:val="21"/>
        </w:rPr>
        <w:t>的</w:t>
      </w:r>
      <w:r>
        <w:rPr>
          <w:rFonts w:hint="eastAsia" w:ascii="宋体" w:hAnsi="宋体" w:eastAsia="宋体" w:cs="宋体"/>
          <w:b/>
          <w:bCs/>
          <w:color w:val="auto"/>
          <w:szCs w:val="21"/>
          <w:u w:val="single"/>
        </w:rPr>
        <w:t>（项目名称）</w:t>
      </w:r>
      <w:r>
        <w:rPr>
          <w:rFonts w:hint="eastAsia" w:ascii="宋体" w:hAnsi="宋体" w:eastAsia="宋体" w:cs="宋体"/>
          <w:color w:val="auto"/>
          <w:szCs w:val="21"/>
        </w:rPr>
        <w:t>采购活动，服务全部由符合政策要求的中小企业承接。相关企业的具体情况如下：</w:t>
      </w:r>
    </w:p>
    <w:p w14:paraId="66C485C6">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 xml:space="preserve"> ，属于</w:t>
      </w:r>
      <w:r>
        <w:rPr>
          <w:rFonts w:hint="eastAsia" w:ascii="宋体" w:hAnsi="宋体" w:eastAsia="宋体" w:cs="宋体"/>
          <w:b/>
          <w:bCs/>
          <w:color w:val="auto"/>
          <w:szCs w:val="21"/>
          <w:u w:val="single"/>
        </w:rPr>
        <w:t xml:space="preserve">（招标文件中明确的所属行业） </w:t>
      </w:r>
      <w:r>
        <w:rPr>
          <w:rFonts w:hint="eastAsia" w:ascii="宋体" w:hAnsi="宋体" w:eastAsia="宋体" w:cs="宋体"/>
          <w:color w:val="auto"/>
          <w:szCs w:val="21"/>
        </w:rPr>
        <w:t>行业；承接企业为</w:t>
      </w:r>
      <w:r>
        <w:rPr>
          <w:rFonts w:hint="eastAsia" w:ascii="宋体" w:hAnsi="宋体" w:eastAsia="宋体" w:cs="宋体"/>
          <w:b/>
          <w:bCs/>
          <w:color w:val="auto"/>
          <w:szCs w:val="21"/>
          <w:u w:val="single"/>
        </w:rPr>
        <w:t>（企业名称）</w:t>
      </w:r>
      <w:r>
        <w:rPr>
          <w:rFonts w:hint="eastAsia" w:ascii="宋体" w:hAnsi="宋体" w:eastAsia="宋体" w:cs="宋体"/>
          <w:color w:val="auto"/>
          <w:szCs w:val="21"/>
        </w:rPr>
        <w:t>，从业人员人，营业收入为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万元，资产总额为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万元 ，属于</w:t>
      </w:r>
      <w:r>
        <w:rPr>
          <w:rFonts w:hint="eastAsia" w:ascii="宋体" w:hAnsi="宋体" w:eastAsia="宋体" w:cs="宋体"/>
          <w:b/>
          <w:bCs/>
          <w:color w:val="auto"/>
          <w:szCs w:val="21"/>
          <w:u w:val="single"/>
        </w:rPr>
        <w:t>（中型企业、小型企业、微型企业）</w:t>
      </w:r>
      <w:r>
        <w:rPr>
          <w:rFonts w:hint="eastAsia" w:ascii="宋体" w:hAnsi="宋体" w:eastAsia="宋体" w:cs="宋体"/>
          <w:color w:val="auto"/>
          <w:szCs w:val="21"/>
        </w:rPr>
        <w:t xml:space="preserve">； </w:t>
      </w:r>
    </w:p>
    <w:p w14:paraId="29F75ACA">
      <w:pPr>
        <w:spacing w:after="60" w:afterLines="25" w:line="300" w:lineRule="auto"/>
        <w:ind w:firstLine="480" w:firstLineChars="200"/>
        <w:rPr>
          <w:rFonts w:hint="eastAsia" w:ascii="宋体" w:hAnsi="宋体" w:eastAsia="宋体" w:cs="宋体"/>
          <w:color w:val="auto"/>
          <w:szCs w:val="21"/>
          <w:u w:val="single"/>
        </w:rPr>
      </w:pPr>
      <w:r>
        <w:rPr>
          <w:rFonts w:hint="eastAsia" w:ascii="宋体" w:hAnsi="宋体" w:eastAsia="宋体" w:cs="宋体"/>
          <w:color w:val="auto"/>
          <w:szCs w:val="21"/>
        </w:rPr>
        <w:t>2.</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 xml:space="preserve"> ，属于</w:t>
      </w:r>
      <w:r>
        <w:rPr>
          <w:rFonts w:hint="eastAsia" w:ascii="宋体" w:hAnsi="宋体" w:eastAsia="宋体" w:cs="宋体"/>
          <w:b/>
          <w:bCs/>
          <w:color w:val="auto"/>
          <w:szCs w:val="21"/>
          <w:u w:val="single"/>
        </w:rPr>
        <w:t xml:space="preserve">（招标文件中明确的所属行业） </w:t>
      </w:r>
      <w:r>
        <w:rPr>
          <w:rFonts w:hint="eastAsia" w:ascii="宋体" w:hAnsi="宋体" w:eastAsia="宋体" w:cs="宋体"/>
          <w:color w:val="auto"/>
          <w:szCs w:val="21"/>
        </w:rPr>
        <w:t>行业；承接企业为</w:t>
      </w:r>
      <w:r>
        <w:rPr>
          <w:rFonts w:hint="eastAsia" w:ascii="宋体" w:hAnsi="宋体" w:eastAsia="宋体" w:cs="宋体"/>
          <w:b/>
          <w:bCs/>
          <w:color w:val="auto"/>
          <w:szCs w:val="21"/>
          <w:u w:val="single"/>
        </w:rPr>
        <w:t>（企业名称）</w:t>
      </w:r>
      <w:r>
        <w:rPr>
          <w:rFonts w:hint="eastAsia" w:ascii="宋体" w:hAnsi="宋体" w:eastAsia="宋体" w:cs="宋体"/>
          <w:color w:val="auto"/>
          <w:szCs w:val="21"/>
        </w:rPr>
        <w:t>，从业人员人，营业收入为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万元，资产总额为</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万元 ，属于</w:t>
      </w:r>
      <w:r>
        <w:rPr>
          <w:rFonts w:hint="eastAsia" w:ascii="宋体" w:hAnsi="宋体" w:eastAsia="宋体" w:cs="宋体"/>
          <w:b/>
          <w:bCs/>
          <w:color w:val="auto"/>
          <w:szCs w:val="21"/>
          <w:u w:val="single"/>
        </w:rPr>
        <w:t>（中型企业、小型企业、微型企业）</w:t>
      </w:r>
      <w:r>
        <w:rPr>
          <w:rFonts w:hint="eastAsia" w:ascii="宋体" w:hAnsi="宋体" w:eastAsia="宋体" w:cs="宋体"/>
          <w:color w:val="auto"/>
          <w:szCs w:val="21"/>
        </w:rPr>
        <w:t>；</w:t>
      </w:r>
    </w:p>
    <w:p w14:paraId="133B469D">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14:paraId="5978C7E4">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以上企业，不属于大企业的分支机构，不存在控股股东为大企业的情形，也不存在与大企业的负责人为同一人的情形。</w:t>
      </w:r>
    </w:p>
    <w:p w14:paraId="28851640">
      <w:pPr>
        <w:spacing w:after="60" w:afterLines="25" w:line="300" w:lineRule="auto"/>
        <w:ind w:firstLine="480" w:firstLineChars="200"/>
        <w:rPr>
          <w:rFonts w:hint="eastAsia" w:ascii="宋体" w:hAnsi="宋体" w:eastAsia="宋体" w:cs="宋体"/>
          <w:color w:val="auto"/>
          <w:szCs w:val="21"/>
        </w:rPr>
      </w:pPr>
      <w:bookmarkStart w:id="39" w:name="_Hlk73562275"/>
      <w:r>
        <w:rPr>
          <w:rFonts w:hint="eastAsia" w:ascii="宋体" w:hAnsi="宋体" w:eastAsia="宋体" w:cs="宋体"/>
          <w:color w:val="auto"/>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9"/>
    </w:p>
    <w:p w14:paraId="100A3001">
      <w:pPr>
        <w:wordWrap w:val="0"/>
        <w:spacing w:after="60" w:afterLines="25" w:line="300" w:lineRule="auto"/>
        <w:ind w:firstLine="480" w:firstLineChars="200"/>
        <w:jc w:val="right"/>
        <w:rPr>
          <w:rFonts w:hint="eastAsia" w:ascii="宋体" w:hAnsi="宋体" w:eastAsia="宋体" w:cs="宋体"/>
          <w:color w:val="auto"/>
          <w:szCs w:val="21"/>
        </w:rPr>
      </w:pPr>
      <w:r>
        <w:rPr>
          <w:rFonts w:hint="eastAsia" w:ascii="宋体" w:hAnsi="宋体" w:eastAsia="宋体" w:cs="宋体"/>
          <w:color w:val="auto"/>
          <w:szCs w:val="21"/>
        </w:rPr>
        <w:t xml:space="preserve">     投标人（投标单位）：       </w:t>
      </w:r>
    </w:p>
    <w:p w14:paraId="644680AB">
      <w:pPr>
        <w:ind w:firstLine="6720" w:firstLineChars="2800"/>
        <w:rPr>
          <w:rFonts w:hint="eastAsia" w:ascii="宋体" w:hAnsi="宋体" w:eastAsia="宋体" w:cs="宋体"/>
          <w:color w:val="auto"/>
          <w:szCs w:val="21"/>
        </w:rPr>
      </w:pPr>
      <w:r>
        <w:rPr>
          <w:rFonts w:hint="eastAsia" w:ascii="宋体" w:hAnsi="宋体" w:eastAsia="宋体" w:cs="宋体"/>
          <w:color w:val="auto"/>
          <w:szCs w:val="21"/>
        </w:rPr>
        <w:t>日期：</w:t>
      </w:r>
    </w:p>
    <w:p w14:paraId="4BDC8CD2">
      <w:pPr>
        <w:spacing w:after="60" w:afterLines="25" w:line="300" w:lineRule="auto"/>
        <w:ind w:firstLine="482" w:firstLineChars="200"/>
        <w:rPr>
          <w:rFonts w:hint="eastAsia" w:ascii="宋体" w:hAnsi="宋体" w:eastAsia="宋体" w:cs="宋体"/>
          <w:b/>
          <w:color w:val="auto"/>
          <w:highlight w:val="yellow"/>
        </w:rPr>
      </w:pPr>
    </w:p>
    <w:p w14:paraId="1E97808D">
      <w:pPr>
        <w:pStyle w:val="14"/>
        <w:rPr>
          <w:rFonts w:hint="eastAsia" w:ascii="宋体" w:hAnsi="宋体" w:eastAsia="宋体" w:cs="宋体"/>
          <w:color w:val="auto"/>
        </w:rPr>
      </w:pPr>
    </w:p>
    <w:p w14:paraId="131C476E">
      <w:pPr>
        <w:rPr>
          <w:rFonts w:hint="eastAsia" w:ascii="宋体" w:hAnsi="宋体" w:eastAsia="宋体" w:cs="宋体"/>
          <w:color w:val="auto"/>
        </w:rPr>
      </w:pPr>
    </w:p>
    <w:p w14:paraId="77032FEC">
      <w:pPr>
        <w:keepNext w:val="0"/>
        <w:keepLines w:val="0"/>
        <w:pageBreakBefore w:val="0"/>
        <w:widowControl/>
        <w:snapToGrid/>
        <w:jc w:val="center"/>
        <w:outlineLvl w:val="9"/>
        <w:rPr>
          <w:rFonts w:hint="eastAsia" w:ascii="宋体" w:hAnsi="宋体" w:eastAsia="宋体" w:cs="宋体"/>
          <w:b/>
          <w:color w:val="auto"/>
        </w:rPr>
      </w:pPr>
    </w:p>
    <w:p w14:paraId="6544CCBD">
      <w:pPr>
        <w:jc w:val="center"/>
        <w:outlineLvl w:val="3"/>
        <w:rPr>
          <w:rFonts w:hint="eastAsia" w:ascii="宋体" w:hAnsi="宋体" w:eastAsia="宋体" w:cs="宋体"/>
          <w:b/>
          <w:color w:val="auto"/>
        </w:rPr>
      </w:pPr>
      <w:r>
        <w:rPr>
          <w:rFonts w:hint="eastAsia" w:ascii="宋体" w:hAnsi="宋体" w:eastAsia="宋体" w:cs="宋体"/>
          <w:b/>
          <w:color w:val="auto"/>
        </w:rPr>
        <w:t>2、残疾人福利性单位声明函（服务类）</w:t>
      </w:r>
    </w:p>
    <w:p w14:paraId="7FFAE52E">
      <w:pPr>
        <w:rPr>
          <w:rFonts w:hint="eastAsia" w:ascii="宋体" w:hAnsi="宋体" w:eastAsia="宋体" w:cs="宋体"/>
          <w:b/>
          <w:bCs/>
          <w:color w:val="auto"/>
        </w:rPr>
      </w:pPr>
    </w:p>
    <w:p w14:paraId="16825D31">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本投标人郑重声明，根据《财政部民政部中国残疾人联合会关于促进残疾人就业政府采购政策的通知》（财库〔2017〕141 号）的规定，本投标人参加</w:t>
      </w:r>
      <w:r>
        <w:rPr>
          <w:rFonts w:hint="eastAsia" w:ascii="宋体" w:hAnsi="宋体" w:eastAsia="宋体" w:cs="宋体"/>
          <w:b/>
          <w:bCs/>
          <w:color w:val="auto"/>
          <w:szCs w:val="21"/>
          <w:u w:val="single"/>
        </w:rPr>
        <w:t>（采购人名称）</w:t>
      </w:r>
      <w:r>
        <w:rPr>
          <w:rFonts w:hint="eastAsia" w:ascii="宋体" w:hAnsi="宋体" w:eastAsia="宋体" w:cs="宋体"/>
          <w:color w:val="auto"/>
          <w:szCs w:val="21"/>
        </w:rPr>
        <w:t>的</w:t>
      </w:r>
      <w:r>
        <w:rPr>
          <w:rFonts w:hint="eastAsia" w:ascii="宋体" w:hAnsi="宋体" w:eastAsia="宋体" w:cs="宋体"/>
          <w:b/>
          <w:bCs/>
          <w:color w:val="auto"/>
          <w:szCs w:val="21"/>
          <w:u w:val="single"/>
        </w:rPr>
        <w:t>（项目名称）</w:t>
      </w:r>
      <w:r>
        <w:rPr>
          <w:rFonts w:hint="eastAsia" w:ascii="宋体" w:hAnsi="宋体" w:eastAsia="宋体" w:cs="宋体"/>
          <w:color w:val="auto"/>
          <w:szCs w:val="21"/>
        </w:rPr>
        <w:t>采购活动，服务全部由符合政策要求的残疾人福利性单位承接。相关残疾人福利性单位的具体情况如下：</w:t>
      </w:r>
    </w:p>
    <w:p w14:paraId="0C39E8FF">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，承接企业为</w:t>
      </w:r>
      <w:r>
        <w:rPr>
          <w:rFonts w:hint="eastAsia" w:ascii="宋体" w:hAnsi="宋体" w:eastAsia="宋体" w:cs="宋体"/>
          <w:b/>
          <w:bCs/>
          <w:color w:val="auto"/>
          <w:szCs w:val="21"/>
          <w:u w:val="single"/>
        </w:rPr>
        <w:t>（单位名称）</w:t>
      </w:r>
      <w:r>
        <w:rPr>
          <w:rFonts w:hint="eastAsia" w:ascii="宋体" w:hAnsi="宋体" w:eastAsia="宋体" w:cs="宋体"/>
          <w:color w:val="auto"/>
          <w:szCs w:val="21"/>
        </w:rPr>
        <w:t>，属于</w:t>
      </w:r>
      <w:r>
        <w:rPr>
          <w:rFonts w:hint="eastAsia" w:ascii="宋体" w:hAnsi="宋体" w:eastAsia="宋体" w:cs="宋体"/>
          <w:b/>
          <w:bCs/>
          <w:color w:val="auto"/>
          <w:szCs w:val="21"/>
          <w:u w:val="single"/>
        </w:rPr>
        <w:t>残疾人福利性单位</w:t>
      </w:r>
      <w:r>
        <w:rPr>
          <w:rFonts w:hint="eastAsia" w:ascii="宋体" w:hAnsi="宋体" w:eastAsia="宋体" w:cs="宋体"/>
          <w:color w:val="auto"/>
          <w:szCs w:val="21"/>
        </w:rPr>
        <w:t>；</w:t>
      </w:r>
    </w:p>
    <w:p w14:paraId="192BFD56">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，承接企业为</w:t>
      </w:r>
      <w:r>
        <w:rPr>
          <w:rFonts w:hint="eastAsia" w:ascii="宋体" w:hAnsi="宋体" w:eastAsia="宋体" w:cs="宋体"/>
          <w:b/>
          <w:bCs/>
          <w:color w:val="auto"/>
          <w:szCs w:val="21"/>
          <w:u w:val="single"/>
        </w:rPr>
        <w:t>（单位名称）</w:t>
      </w:r>
      <w:r>
        <w:rPr>
          <w:rFonts w:hint="eastAsia" w:ascii="宋体" w:hAnsi="宋体" w:eastAsia="宋体" w:cs="宋体"/>
          <w:color w:val="auto"/>
          <w:szCs w:val="21"/>
        </w:rPr>
        <w:t>，属于</w:t>
      </w:r>
      <w:r>
        <w:rPr>
          <w:rFonts w:hint="eastAsia" w:ascii="宋体" w:hAnsi="宋体" w:eastAsia="宋体" w:cs="宋体"/>
          <w:b/>
          <w:bCs/>
          <w:color w:val="auto"/>
          <w:szCs w:val="21"/>
          <w:u w:val="single"/>
        </w:rPr>
        <w:t>残疾人福利性单位</w:t>
      </w:r>
      <w:r>
        <w:rPr>
          <w:rFonts w:hint="eastAsia" w:ascii="宋体" w:hAnsi="宋体" w:eastAsia="宋体" w:cs="宋体"/>
          <w:color w:val="auto"/>
          <w:szCs w:val="21"/>
        </w:rPr>
        <w:t>。</w:t>
      </w:r>
    </w:p>
    <w:p w14:paraId="661B8C41">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14:paraId="399A9FEE">
      <w:pPr>
        <w:spacing w:after="60" w:afterLines="25" w:line="30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14:paraId="28A59437">
      <w:pPr>
        <w:spacing w:after="60" w:afterLines="25" w:line="560" w:lineRule="exact"/>
        <w:ind w:firstLine="480" w:firstLineChars="200"/>
        <w:jc w:val="center"/>
        <w:rPr>
          <w:rFonts w:hint="eastAsia" w:ascii="宋体" w:hAnsi="宋体" w:eastAsia="宋体" w:cs="宋体"/>
          <w:color w:val="auto"/>
        </w:rPr>
      </w:pPr>
    </w:p>
    <w:p w14:paraId="42BF4D42">
      <w:pPr>
        <w:wordWrap w:val="0"/>
        <w:spacing w:after="60" w:afterLines="25" w:line="300" w:lineRule="auto"/>
        <w:ind w:firstLine="480" w:firstLineChars="200"/>
        <w:jc w:val="right"/>
        <w:rPr>
          <w:rFonts w:hint="eastAsia" w:ascii="宋体" w:hAnsi="宋体" w:eastAsia="宋体" w:cs="宋体"/>
          <w:color w:val="auto"/>
          <w:szCs w:val="21"/>
        </w:rPr>
      </w:pPr>
      <w:r>
        <w:rPr>
          <w:rFonts w:hint="eastAsia" w:ascii="宋体" w:hAnsi="宋体" w:eastAsia="宋体" w:cs="宋体"/>
          <w:color w:val="auto"/>
          <w:szCs w:val="21"/>
        </w:rPr>
        <w:t xml:space="preserve">投标人（投标单位）：       </w:t>
      </w:r>
    </w:p>
    <w:p w14:paraId="3DA26EF8">
      <w:pPr>
        <w:ind w:firstLine="6720" w:firstLineChars="2800"/>
        <w:rPr>
          <w:rFonts w:hint="eastAsia" w:ascii="宋体" w:hAnsi="宋体" w:eastAsia="宋体" w:cs="宋体"/>
          <w:color w:val="auto"/>
          <w:szCs w:val="21"/>
        </w:rPr>
      </w:pPr>
      <w:r>
        <w:rPr>
          <w:rFonts w:hint="eastAsia" w:ascii="宋体" w:hAnsi="宋体" w:eastAsia="宋体" w:cs="宋体"/>
          <w:color w:val="auto"/>
          <w:szCs w:val="21"/>
        </w:rPr>
        <w:t>日期：</w:t>
      </w:r>
    </w:p>
    <w:p w14:paraId="4D0591A3">
      <w:pPr>
        <w:ind w:firstLine="480" w:firstLineChars="200"/>
        <w:rPr>
          <w:rFonts w:hint="eastAsia" w:ascii="宋体" w:hAnsi="宋体" w:eastAsia="宋体" w:cs="宋体"/>
          <w:color w:val="auto"/>
          <w:szCs w:val="21"/>
        </w:rPr>
      </w:pPr>
    </w:p>
    <w:p w14:paraId="02284B25">
      <w:pPr>
        <w:ind w:firstLine="480" w:firstLineChars="200"/>
        <w:rPr>
          <w:rFonts w:hint="eastAsia" w:ascii="宋体" w:hAnsi="宋体" w:eastAsia="宋体" w:cs="宋体"/>
          <w:color w:val="auto"/>
          <w:szCs w:val="21"/>
        </w:rPr>
      </w:pPr>
    </w:p>
    <w:p w14:paraId="0B4713AC">
      <w:pPr>
        <w:jc w:val="center"/>
        <w:outlineLvl w:val="3"/>
        <w:rPr>
          <w:rFonts w:hint="eastAsia" w:ascii="宋体" w:hAnsi="宋体" w:eastAsia="宋体" w:cs="宋体"/>
          <w:b/>
          <w:color w:val="auto"/>
        </w:rPr>
      </w:pPr>
      <w:r>
        <w:rPr>
          <w:rFonts w:hint="eastAsia" w:ascii="宋体" w:hAnsi="宋体" w:eastAsia="宋体" w:cs="宋体"/>
          <w:b/>
          <w:color w:val="auto"/>
        </w:rPr>
        <w:t>3、监狱企业声明函【服务类，监狱企业如需享受优惠政策，还须另行提供省级以上监狱管理局、戒毒管理局（含新疆生产建设兵团）出具的监狱企业证明文件】</w:t>
      </w:r>
    </w:p>
    <w:p w14:paraId="5F1C4182">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本投标人郑重声明，根据《财政部司法部关于政府采购支持监狱企业发展有关问题的通知》（财库〔2014〕68号）的规定，本投标人参加</w:t>
      </w:r>
      <w:r>
        <w:rPr>
          <w:rFonts w:hint="eastAsia" w:ascii="宋体" w:hAnsi="宋体" w:eastAsia="宋体" w:cs="宋体"/>
          <w:b/>
          <w:bCs/>
          <w:color w:val="auto"/>
          <w:szCs w:val="21"/>
          <w:u w:val="single"/>
        </w:rPr>
        <w:t>（采购人名称）</w:t>
      </w:r>
      <w:r>
        <w:rPr>
          <w:rFonts w:hint="eastAsia" w:ascii="宋体" w:hAnsi="宋体" w:eastAsia="宋体" w:cs="宋体"/>
          <w:color w:val="auto"/>
          <w:szCs w:val="21"/>
        </w:rPr>
        <w:t>的</w:t>
      </w:r>
      <w:r>
        <w:rPr>
          <w:rFonts w:hint="eastAsia" w:ascii="宋体" w:hAnsi="宋体" w:eastAsia="宋体" w:cs="宋体"/>
          <w:b/>
          <w:bCs/>
          <w:color w:val="auto"/>
          <w:szCs w:val="21"/>
          <w:u w:val="single"/>
        </w:rPr>
        <w:t>（项目名称）</w:t>
      </w:r>
      <w:r>
        <w:rPr>
          <w:rFonts w:hint="eastAsia" w:ascii="宋体" w:hAnsi="宋体" w:eastAsia="宋体" w:cs="宋体"/>
          <w:color w:val="auto"/>
          <w:szCs w:val="21"/>
        </w:rPr>
        <w:t>采购活动，服务全部由符合政策要求的监狱企业承接。相关监狱企业的具体情况如下：</w:t>
      </w:r>
    </w:p>
    <w:p w14:paraId="21166C26">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 xml:space="preserve"> ，承接单位为</w:t>
      </w:r>
      <w:r>
        <w:rPr>
          <w:rFonts w:hint="eastAsia" w:ascii="宋体" w:hAnsi="宋体" w:eastAsia="宋体" w:cs="宋体"/>
          <w:b/>
          <w:bCs/>
          <w:color w:val="auto"/>
          <w:szCs w:val="21"/>
          <w:u w:val="single"/>
        </w:rPr>
        <w:t>（企业名称）</w:t>
      </w:r>
      <w:r>
        <w:rPr>
          <w:rFonts w:hint="eastAsia" w:ascii="宋体" w:hAnsi="宋体" w:eastAsia="宋体" w:cs="宋体"/>
          <w:color w:val="auto"/>
          <w:szCs w:val="21"/>
        </w:rPr>
        <w:t>，属于</w:t>
      </w:r>
      <w:r>
        <w:rPr>
          <w:rFonts w:hint="eastAsia" w:ascii="宋体" w:hAnsi="宋体" w:eastAsia="宋体" w:cs="宋体"/>
          <w:b/>
          <w:bCs/>
          <w:color w:val="auto"/>
          <w:szCs w:val="21"/>
          <w:u w:val="single"/>
        </w:rPr>
        <w:t>监狱企业</w:t>
      </w:r>
      <w:r>
        <w:rPr>
          <w:rFonts w:hint="eastAsia" w:ascii="宋体" w:hAnsi="宋体" w:eastAsia="宋体" w:cs="宋体"/>
          <w:color w:val="auto"/>
          <w:szCs w:val="21"/>
        </w:rPr>
        <w:t>；</w:t>
      </w:r>
    </w:p>
    <w:p w14:paraId="1C2E9575">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
          <w:bCs/>
          <w:color w:val="auto"/>
          <w:szCs w:val="21"/>
          <w:u w:val="single"/>
        </w:rPr>
        <w:t xml:space="preserve"> （标的名称）</w:t>
      </w:r>
      <w:r>
        <w:rPr>
          <w:rFonts w:hint="eastAsia" w:ascii="宋体" w:hAnsi="宋体" w:eastAsia="宋体" w:cs="宋体"/>
          <w:color w:val="auto"/>
          <w:szCs w:val="21"/>
        </w:rPr>
        <w:t xml:space="preserve"> ，承接单位为</w:t>
      </w:r>
      <w:r>
        <w:rPr>
          <w:rFonts w:hint="eastAsia" w:ascii="宋体" w:hAnsi="宋体" w:eastAsia="宋体" w:cs="宋体"/>
          <w:b/>
          <w:bCs/>
          <w:color w:val="auto"/>
          <w:szCs w:val="21"/>
          <w:u w:val="single"/>
        </w:rPr>
        <w:t>（企业名称）</w:t>
      </w:r>
      <w:r>
        <w:rPr>
          <w:rFonts w:hint="eastAsia" w:ascii="宋体" w:hAnsi="宋体" w:eastAsia="宋体" w:cs="宋体"/>
          <w:color w:val="auto"/>
          <w:szCs w:val="21"/>
        </w:rPr>
        <w:t>，属于</w:t>
      </w:r>
      <w:r>
        <w:rPr>
          <w:rFonts w:hint="eastAsia" w:ascii="宋体" w:hAnsi="宋体" w:eastAsia="宋体" w:cs="宋体"/>
          <w:b/>
          <w:bCs/>
          <w:color w:val="auto"/>
          <w:szCs w:val="21"/>
          <w:u w:val="single"/>
        </w:rPr>
        <w:t>监狱企业</w:t>
      </w:r>
      <w:r>
        <w:rPr>
          <w:rFonts w:hint="eastAsia" w:ascii="宋体" w:hAnsi="宋体" w:eastAsia="宋体" w:cs="宋体"/>
          <w:color w:val="auto"/>
          <w:szCs w:val="21"/>
        </w:rPr>
        <w:t>。</w:t>
      </w:r>
    </w:p>
    <w:p w14:paraId="538DB98E">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14:paraId="77143430">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本投标人对上述声明内容的真实性负责。如有虚假，将依法承担相应责任。</w:t>
      </w:r>
    </w:p>
    <w:p w14:paraId="0E7A06A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附：省级以上监狱管理局、戒毒管理局（含新疆生产建设兵团）出具的监狱企业证明文件。</w:t>
      </w:r>
    </w:p>
    <w:p w14:paraId="2D5250E3">
      <w:pPr>
        <w:ind w:left="723" w:hanging="723" w:hangingChars="300"/>
        <w:rPr>
          <w:rFonts w:hint="eastAsia" w:ascii="宋体" w:hAnsi="宋体" w:eastAsia="宋体" w:cs="宋体"/>
          <w:b/>
          <w:color w:val="auto"/>
        </w:rPr>
      </w:pPr>
    </w:p>
    <w:p w14:paraId="44E19BE5">
      <w:pPr>
        <w:wordWrap w:val="0"/>
        <w:spacing w:after="60" w:afterLines="25" w:line="300" w:lineRule="auto"/>
        <w:ind w:firstLine="480" w:firstLineChars="200"/>
        <w:jc w:val="right"/>
        <w:rPr>
          <w:rFonts w:hint="eastAsia" w:ascii="宋体" w:hAnsi="宋体" w:eastAsia="宋体" w:cs="宋体"/>
          <w:color w:val="auto"/>
          <w:szCs w:val="21"/>
        </w:rPr>
      </w:pPr>
      <w:r>
        <w:rPr>
          <w:rFonts w:hint="eastAsia" w:ascii="宋体" w:hAnsi="宋体" w:eastAsia="宋体" w:cs="宋体"/>
          <w:color w:val="auto"/>
          <w:szCs w:val="21"/>
        </w:rPr>
        <w:t xml:space="preserve">投标人（投标单位）：       </w:t>
      </w:r>
    </w:p>
    <w:p w14:paraId="5D7C3A2B">
      <w:pPr>
        <w:ind w:firstLine="6720" w:firstLineChars="2800"/>
        <w:rPr>
          <w:rFonts w:hint="eastAsia" w:ascii="宋体" w:hAnsi="宋体" w:eastAsia="宋体" w:cs="宋体"/>
          <w:color w:val="auto"/>
          <w:szCs w:val="21"/>
        </w:rPr>
      </w:pPr>
      <w:r>
        <w:rPr>
          <w:rFonts w:hint="eastAsia" w:ascii="宋体" w:hAnsi="宋体" w:eastAsia="宋体" w:cs="宋体"/>
          <w:color w:val="auto"/>
          <w:szCs w:val="21"/>
        </w:rPr>
        <w:t>日期：</w:t>
      </w:r>
    </w:p>
    <w:p w14:paraId="3C0ECD2A">
      <w:pPr>
        <w:rPr>
          <w:rFonts w:hint="eastAsia" w:ascii="宋体" w:hAnsi="宋体" w:eastAsia="宋体" w:cs="宋体"/>
          <w:b w:val="0"/>
          <w:color w:val="auto"/>
          <w:sz w:val="24"/>
          <w:szCs w:val="24"/>
        </w:rPr>
      </w:pPr>
    </w:p>
    <w:p w14:paraId="6C3A784B">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rPr>
        <w:t>四、项目详细报价</w:t>
      </w:r>
    </w:p>
    <w:p w14:paraId="2F6BB589">
      <w:pPr>
        <w:keepNext w:val="0"/>
        <w:keepLines w:val="0"/>
        <w:pageBreakBefore w:val="0"/>
        <w:widowControl/>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项目名称： </w:t>
      </w:r>
    </w:p>
    <w:p w14:paraId="674F9233">
      <w:pPr>
        <w:keepNext w:val="0"/>
        <w:keepLines w:val="0"/>
        <w:pageBreakBefore w:val="0"/>
        <w:widowControl/>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1D46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11A78B3B">
            <w:pPr>
              <w:pStyle w:val="199"/>
              <w:keepNext w:val="0"/>
              <w:keepLines w:val="0"/>
              <w:pageBreakBefore w:val="0"/>
              <w:widowControl/>
              <w:snapToGrid/>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094" w:type="pct"/>
            <w:noWrap w:val="0"/>
            <w:vAlign w:val="center"/>
          </w:tcPr>
          <w:p w14:paraId="57A26C14">
            <w:pPr>
              <w:pStyle w:val="199"/>
              <w:keepNext w:val="0"/>
              <w:keepLines w:val="0"/>
              <w:pageBreakBefore w:val="0"/>
              <w:widowControl/>
              <w:snapToGrid/>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项目内容</w:t>
            </w:r>
          </w:p>
        </w:tc>
        <w:tc>
          <w:tcPr>
            <w:tcW w:w="1135" w:type="pct"/>
            <w:noWrap w:val="0"/>
            <w:vAlign w:val="center"/>
          </w:tcPr>
          <w:p w14:paraId="5F42765E">
            <w:pPr>
              <w:keepNext w:val="0"/>
              <w:keepLines w:val="0"/>
              <w:pageBreakBefore w:val="0"/>
              <w:widowControl/>
              <w:snapToGrid/>
              <w:spacing w:line="24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金额（元）</w:t>
            </w:r>
          </w:p>
        </w:tc>
        <w:tc>
          <w:tcPr>
            <w:tcW w:w="1155" w:type="pct"/>
            <w:noWrap w:val="0"/>
            <w:vAlign w:val="center"/>
          </w:tcPr>
          <w:p w14:paraId="4574D58D">
            <w:pPr>
              <w:pStyle w:val="199"/>
              <w:keepNext w:val="0"/>
              <w:keepLines w:val="0"/>
              <w:pageBreakBefore w:val="0"/>
              <w:widowControl/>
              <w:snapToGrid/>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14:paraId="1665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6D8FCB8">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94" w:type="pct"/>
            <w:noWrap w:val="0"/>
            <w:vAlign w:val="top"/>
          </w:tcPr>
          <w:p w14:paraId="518EC360">
            <w:pPr>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35" w:type="pct"/>
            <w:noWrap w:val="0"/>
            <w:vAlign w:val="center"/>
          </w:tcPr>
          <w:p w14:paraId="6628E076">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55" w:type="pct"/>
            <w:noWrap w:val="0"/>
            <w:vAlign w:val="center"/>
          </w:tcPr>
          <w:p w14:paraId="563E141D">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r>
      <w:tr w14:paraId="1C52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3CE55D54">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094" w:type="pct"/>
            <w:noWrap w:val="0"/>
            <w:vAlign w:val="top"/>
          </w:tcPr>
          <w:p w14:paraId="53B79772">
            <w:pPr>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35" w:type="pct"/>
            <w:noWrap w:val="0"/>
            <w:vAlign w:val="center"/>
          </w:tcPr>
          <w:p w14:paraId="20F6FEBB">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55" w:type="pct"/>
            <w:noWrap w:val="0"/>
            <w:vAlign w:val="center"/>
          </w:tcPr>
          <w:p w14:paraId="4E01E710">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r>
      <w:tr w14:paraId="7350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77427A6">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094" w:type="pct"/>
            <w:noWrap w:val="0"/>
            <w:vAlign w:val="top"/>
          </w:tcPr>
          <w:p w14:paraId="0B41FEA1">
            <w:pPr>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35" w:type="pct"/>
            <w:noWrap w:val="0"/>
            <w:vAlign w:val="center"/>
          </w:tcPr>
          <w:p w14:paraId="625E0362">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55" w:type="pct"/>
            <w:noWrap w:val="0"/>
            <w:vAlign w:val="center"/>
          </w:tcPr>
          <w:p w14:paraId="21D27BE6">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r>
      <w:tr w14:paraId="1335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3FA0FC9D">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094" w:type="pct"/>
            <w:noWrap w:val="0"/>
            <w:vAlign w:val="top"/>
          </w:tcPr>
          <w:p w14:paraId="7CD5B48F">
            <w:pPr>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35" w:type="pct"/>
            <w:noWrap w:val="0"/>
            <w:vAlign w:val="center"/>
          </w:tcPr>
          <w:p w14:paraId="56228D41">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c>
          <w:tcPr>
            <w:tcW w:w="1155" w:type="pct"/>
            <w:noWrap w:val="0"/>
            <w:vAlign w:val="center"/>
          </w:tcPr>
          <w:p w14:paraId="187E710B">
            <w:pPr>
              <w:pStyle w:val="199"/>
              <w:keepNext w:val="0"/>
              <w:keepLines w:val="0"/>
              <w:pageBreakBefore w:val="0"/>
              <w:widowControl/>
              <w:snapToGrid/>
              <w:spacing w:line="240" w:lineRule="auto"/>
              <w:jc w:val="center"/>
              <w:rPr>
                <w:rFonts w:hint="eastAsia" w:ascii="宋体" w:hAnsi="宋体" w:eastAsia="宋体" w:cs="宋体"/>
                <w:color w:val="auto"/>
                <w:sz w:val="21"/>
                <w:szCs w:val="21"/>
              </w:rPr>
            </w:pPr>
          </w:p>
        </w:tc>
      </w:tr>
      <w:tr w14:paraId="626E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360C0274">
            <w:pPr>
              <w:pStyle w:val="199"/>
              <w:keepNext w:val="0"/>
              <w:keepLines w:val="0"/>
              <w:pageBreakBefore w:val="0"/>
              <w:widowControl/>
              <w:snapToGrid/>
              <w:spacing w:line="240" w:lineRule="auto"/>
              <w:jc w:val="both"/>
              <w:rPr>
                <w:rFonts w:hint="eastAsia" w:ascii="宋体" w:hAnsi="宋体" w:eastAsia="宋体" w:cs="宋体"/>
                <w:color w:val="auto"/>
                <w:sz w:val="21"/>
                <w:szCs w:val="21"/>
              </w:rPr>
            </w:pPr>
            <w:r>
              <w:rPr>
                <w:rFonts w:hint="eastAsia" w:ascii="宋体" w:hAnsi="宋体" w:eastAsia="宋体" w:cs="宋体"/>
                <w:bCs/>
                <w:color w:val="auto"/>
                <w:sz w:val="21"/>
                <w:szCs w:val="21"/>
              </w:rPr>
              <w:t>投标总价（元）</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ab/>
            </w:r>
          </w:p>
        </w:tc>
        <w:tc>
          <w:tcPr>
            <w:tcW w:w="1155" w:type="pct"/>
            <w:noWrap w:val="0"/>
            <w:vAlign w:val="center"/>
          </w:tcPr>
          <w:p w14:paraId="477913DF">
            <w:pPr>
              <w:pStyle w:val="199"/>
              <w:keepNext w:val="0"/>
              <w:keepLines w:val="0"/>
              <w:pageBreakBefore w:val="0"/>
              <w:widowControl/>
              <w:snapToGrid/>
              <w:spacing w:line="240" w:lineRule="auto"/>
              <w:jc w:val="both"/>
              <w:rPr>
                <w:rFonts w:hint="eastAsia" w:ascii="宋体" w:hAnsi="宋体" w:eastAsia="宋体" w:cs="宋体"/>
                <w:color w:val="auto"/>
                <w:sz w:val="21"/>
                <w:szCs w:val="21"/>
              </w:rPr>
            </w:pPr>
          </w:p>
        </w:tc>
      </w:tr>
    </w:tbl>
    <w:p w14:paraId="0CEEC32F">
      <w:pPr>
        <w:keepNext w:val="0"/>
        <w:keepLines w:val="0"/>
        <w:pageBreakBefore w:val="0"/>
        <w:widowControl/>
        <w:snapToGrid/>
        <w:spacing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w:t>
      </w:r>
    </w:p>
    <w:p w14:paraId="7A0061D7">
      <w:pPr>
        <w:keepNext w:val="0"/>
        <w:keepLines w:val="0"/>
        <w:pageBreakBefore w:val="0"/>
        <w:widowControl/>
        <w:tabs>
          <w:tab w:val="left" w:pos="424"/>
        </w:tabs>
        <w:snapToGrid/>
        <w:spacing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1.本表格仅为指导性范本，供应商应根据项目具体情况对各分项内容进行调整提供详细分项报价。</w:t>
      </w:r>
    </w:p>
    <w:p w14:paraId="2B9B77A6">
      <w:pPr>
        <w:keepNext w:val="0"/>
        <w:keepLines w:val="0"/>
        <w:pageBreakBefore w:val="0"/>
        <w:widowControl/>
        <w:tabs>
          <w:tab w:val="left" w:pos="424"/>
        </w:tabs>
        <w:snapToGrid/>
        <w:spacing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2.分项报价的汇总价等于“开标一览表”中的报价总价。</w:t>
      </w:r>
    </w:p>
    <w:p w14:paraId="1CF83134">
      <w:pPr>
        <w:keepNext w:val="0"/>
        <w:keepLines w:val="0"/>
        <w:pageBreakBefore w:val="0"/>
        <w:widowControl/>
        <w:snapToGrid/>
        <w:spacing w:line="24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3.</w:t>
      </w:r>
      <w:r>
        <w:rPr>
          <w:rFonts w:hint="eastAsia" w:ascii="宋体" w:hAnsi="宋体" w:eastAsia="宋体" w:cs="宋体"/>
          <w:b/>
          <w:color w:val="auto"/>
          <w:sz w:val="21"/>
          <w:szCs w:val="21"/>
        </w:rPr>
        <w:t>如果以上内容无法满足投标人对报价描述，可自行添加包含在价格因素内的一切内容，但不提供详细分项报价将视为没有实质性响应招标文件</w:t>
      </w:r>
      <w:r>
        <w:rPr>
          <w:rFonts w:hint="eastAsia" w:ascii="宋体" w:hAnsi="宋体" w:eastAsia="宋体" w:cs="宋体"/>
          <w:b w:val="0"/>
          <w:color w:val="auto"/>
          <w:sz w:val="21"/>
          <w:szCs w:val="21"/>
        </w:rPr>
        <w:t>。</w:t>
      </w:r>
    </w:p>
    <w:p w14:paraId="52F39FA6">
      <w:pPr>
        <w:rPr>
          <w:rFonts w:hint="eastAsia" w:ascii="宋体" w:hAnsi="宋体" w:eastAsia="宋体" w:cs="宋体"/>
          <w:color w:val="auto"/>
        </w:rPr>
      </w:pPr>
    </w:p>
    <w:p w14:paraId="4739A841">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五、</w:t>
      </w:r>
      <w:r>
        <w:rPr>
          <w:rFonts w:hint="eastAsia" w:ascii="宋体" w:hAnsi="宋体" w:eastAsia="宋体" w:cs="宋体"/>
          <w:b w:val="0"/>
          <w:color w:val="auto"/>
          <w:sz w:val="24"/>
          <w:szCs w:val="24"/>
        </w:rPr>
        <w:t>投入的服务资源（</w:t>
      </w:r>
      <w:r>
        <w:rPr>
          <w:rFonts w:hint="eastAsia" w:ascii="宋体" w:hAnsi="宋体" w:eastAsia="宋体" w:cs="宋体"/>
          <w:b w:val="0"/>
          <w:color w:val="auto"/>
          <w:sz w:val="24"/>
          <w:szCs w:val="24"/>
          <w:lang w:eastAsia="zh-CN"/>
        </w:rPr>
        <w:t>材料、车辆、</w:t>
      </w:r>
      <w:r>
        <w:rPr>
          <w:rFonts w:hint="eastAsia" w:ascii="宋体" w:hAnsi="宋体" w:eastAsia="宋体" w:cs="宋体"/>
          <w:b w:val="0"/>
          <w:color w:val="auto"/>
          <w:sz w:val="24"/>
          <w:szCs w:val="24"/>
        </w:rPr>
        <w:t>场地、工具、机器等）情况</w:t>
      </w:r>
    </w:p>
    <w:p w14:paraId="7E725ACD">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六、</w:t>
      </w:r>
      <w:r>
        <w:rPr>
          <w:rFonts w:hint="eastAsia" w:ascii="宋体" w:hAnsi="宋体" w:eastAsia="宋体" w:cs="宋体"/>
          <w:b w:val="0"/>
          <w:color w:val="auto"/>
          <w:sz w:val="24"/>
          <w:szCs w:val="24"/>
        </w:rPr>
        <w:t>投标人通过相关认证情况</w:t>
      </w:r>
    </w:p>
    <w:p w14:paraId="46712849">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七、</w:t>
      </w:r>
      <w:r>
        <w:rPr>
          <w:rFonts w:hint="eastAsia" w:ascii="宋体" w:hAnsi="宋体" w:eastAsia="宋体" w:cs="宋体"/>
          <w:b w:val="0"/>
          <w:color w:val="auto"/>
          <w:sz w:val="24"/>
          <w:szCs w:val="24"/>
        </w:rPr>
        <w:t>投标人同类项目业绩情况</w:t>
      </w:r>
    </w:p>
    <w:p w14:paraId="51BDDB6C">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八、</w:t>
      </w:r>
      <w:r>
        <w:rPr>
          <w:rFonts w:hint="eastAsia" w:ascii="宋体" w:hAnsi="宋体" w:eastAsia="宋体" w:cs="宋体"/>
          <w:b w:val="0"/>
          <w:color w:val="auto"/>
          <w:sz w:val="24"/>
          <w:szCs w:val="24"/>
        </w:rPr>
        <w:t>供应商获奖情况</w:t>
      </w:r>
    </w:p>
    <w:p w14:paraId="0670BDD7">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九、投标人</w:t>
      </w:r>
      <w:r>
        <w:rPr>
          <w:rFonts w:hint="eastAsia" w:ascii="宋体" w:hAnsi="宋体" w:eastAsia="宋体" w:cs="宋体"/>
          <w:b w:val="0"/>
          <w:color w:val="auto"/>
          <w:sz w:val="24"/>
          <w:szCs w:val="24"/>
        </w:rPr>
        <w:t>自主知识产权产品（创新、设计）情况</w:t>
      </w:r>
    </w:p>
    <w:p w14:paraId="51700FCB">
      <w:pPr>
        <w:pStyle w:val="5"/>
        <w:jc w:val="center"/>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十、服务网点</w:t>
      </w:r>
    </w:p>
    <w:p w14:paraId="728E3C0D">
      <w:pPr>
        <w:pStyle w:val="5"/>
        <w:jc w:val="center"/>
        <w:rPr>
          <w:rFonts w:hint="eastAsia" w:ascii="宋体" w:hAnsi="宋体" w:eastAsia="宋体" w:cs="宋体"/>
          <w:b w:val="0"/>
          <w:color w:val="auto"/>
          <w:sz w:val="24"/>
          <w:szCs w:val="24"/>
        </w:rPr>
      </w:pPr>
      <w:r>
        <w:rPr>
          <w:rFonts w:hint="eastAsia" w:ascii="宋体" w:hAnsi="宋体" w:eastAsia="宋体" w:cs="宋体"/>
          <w:b w:val="0"/>
          <w:color w:val="auto"/>
          <w:sz w:val="24"/>
          <w:szCs w:val="24"/>
          <w:lang w:val="en-US" w:eastAsia="zh-CN"/>
        </w:rPr>
        <w:t>十一、</w:t>
      </w:r>
      <w:r>
        <w:rPr>
          <w:rFonts w:hint="eastAsia" w:ascii="宋体" w:hAnsi="宋体" w:eastAsia="宋体" w:cs="宋体"/>
          <w:b w:val="0"/>
          <w:color w:val="auto"/>
          <w:sz w:val="24"/>
          <w:szCs w:val="24"/>
        </w:rPr>
        <w:t>拟安排的项目负责人情况（仅限一人）</w:t>
      </w:r>
    </w:p>
    <w:p w14:paraId="0DBDA9CA">
      <w:pPr>
        <w:pStyle w:val="5"/>
        <w:jc w:val="center"/>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十二、</w:t>
      </w:r>
      <w:r>
        <w:rPr>
          <w:rFonts w:hint="eastAsia" w:ascii="宋体" w:hAnsi="宋体" w:eastAsia="宋体" w:cs="宋体"/>
          <w:b w:val="0"/>
          <w:color w:val="auto"/>
          <w:sz w:val="24"/>
          <w:szCs w:val="24"/>
        </w:rPr>
        <w:t>拟安排的项目主要团队成员（主要技术人员）情况（项目负责人除外）</w:t>
      </w:r>
    </w:p>
    <w:p w14:paraId="19DC642B">
      <w:pPr>
        <w:rPr>
          <w:rFonts w:hint="eastAsia" w:ascii="宋体" w:hAnsi="宋体" w:eastAsia="宋体" w:cs="宋体"/>
          <w:bCs/>
          <w:color w:val="auto"/>
        </w:rPr>
      </w:pPr>
    </w:p>
    <w:p w14:paraId="057AEEEF">
      <w:pPr>
        <w:rPr>
          <w:rFonts w:hint="eastAsia" w:ascii="宋体" w:hAnsi="宋体" w:eastAsia="宋体" w:cs="宋体"/>
          <w:color w:val="auto"/>
        </w:rPr>
      </w:pPr>
    </w:p>
    <w:p w14:paraId="56F82D43">
      <w:pPr>
        <w:rPr>
          <w:rFonts w:hint="eastAsia" w:ascii="宋体" w:hAnsi="宋体" w:eastAsia="宋体" w:cs="宋体"/>
          <w:color w:val="auto"/>
        </w:rPr>
      </w:pPr>
    </w:p>
    <w:p w14:paraId="6EFBF807">
      <w:pPr>
        <w:ind w:firstLine="1446" w:firstLineChars="600"/>
        <w:rPr>
          <w:rFonts w:hint="eastAsia" w:ascii="宋体" w:hAnsi="宋体" w:eastAsia="宋体" w:cs="宋体"/>
          <w:b/>
          <w:color w:val="auto"/>
        </w:rPr>
      </w:pPr>
      <w:r>
        <w:rPr>
          <w:rFonts w:hint="eastAsia" w:ascii="宋体" w:hAnsi="宋体" w:eastAsia="宋体" w:cs="宋体"/>
          <w:b/>
          <w:color w:val="auto"/>
        </w:rPr>
        <w:t>（信息公开部分的内容到此为止！以下为信息不公开部分。）</w:t>
      </w:r>
    </w:p>
    <w:p w14:paraId="728A5115">
      <w:pPr>
        <w:ind w:firstLine="1446" w:firstLineChars="600"/>
        <w:rPr>
          <w:rFonts w:hint="eastAsia" w:ascii="宋体" w:hAnsi="宋体" w:eastAsia="宋体" w:cs="宋体"/>
          <w:b/>
          <w:color w:val="auto"/>
        </w:rPr>
      </w:pPr>
    </w:p>
    <w:p w14:paraId="0D17726D">
      <w:pPr>
        <w:ind w:firstLine="1446" w:firstLineChars="600"/>
        <w:rPr>
          <w:rFonts w:hint="eastAsia" w:ascii="宋体" w:hAnsi="宋体" w:eastAsia="宋体" w:cs="宋体"/>
          <w:b/>
          <w:color w:val="auto"/>
        </w:rPr>
      </w:pPr>
    </w:p>
    <w:p w14:paraId="3A933E1A">
      <w:pPr>
        <w:rPr>
          <w:rFonts w:hint="eastAsia" w:ascii="宋体" w:hAnsi="宋体" w:eastAsia="宋体" w:cs="宋体"/>
          <w:b/>
          <w:color w:val="auto"/>
        </w:rPr>
      </w:pPr>
      <w:r>
        <w:rPr>
          <w:rFonts w:hint="eastAsia" w:ascii="宋体" w:hAnsi="宋体" w:eastAsia="宋体" w:cs="宋体"/>
          <w:b/>
          <w:color w:val="auto"/>
        </w:rPr>
        <w:br w:type="page"/>
      </w:r>
    </w:p>
    <w:p w14:paraId="0CBB6181">
      <w:pP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投标文件附件（信息不公开部分）</w:t>
      </w:r>
    </w:p>
    <w:p w14:paraId="0F0A19EE">
      <w:pPr>
        <w:pStyle w:val="5"/>
        <w:jc w:val="center"/>
        <w:rPr>
          <w:rFonts w:hint="eastAsia" w:ascii="宋体" w:hAnsi="宋体" w:eastAsia="宋体" w:cs="宋体"/>
          <w:b w:val="0"/>
          <w:color w:val="auto"/>
          <w:sz w:val="24"/>
        </w:rPr>
      </w:pPr>
      <w:r>
        <w:rPr>
          <w:rFonts w:hint="eastAsia" w:ascii="宋体" w:hAnsi="宋体" w:eastAsia="宋体" w:cs="宋体"/>
          <w:bCs w:val="0"/>
          <w:color w:val="auto"/>
          <w:sz w:val="24"/>
        </w:rPr>
        <w:t>一、</w:t>
      </w:r>
      <w:bookmarkStart w:id="40" w:name="_Hlk72092499"/>
      <w:r>
        <w:rPr>
          <w:rFonts w:hint="eastAsia" w:ascii="宋体" w:hAnsi="宋体" w:eastAsia="宋体" w:cs="宋体"/>
          <w:b w:val="0"/>
          <w:color w:val="auto"/>
          <w:sz w:val="24"/>
        </w:rPr>
        <w:t>法定代表人（负责人或执行事务合伙人）资格证明书</w:t>
      </w:r>
      <w:bookmarkEnd w:id="40"/>
    </w:p>
    <w:p w14:paraId="5DDC8321">
      <w:pPr>
        <w:keepNext w:val="0"/>
        <w:keepLines w:val="0"/>
        <w:pageBreakBefore w:val="0"/>
        <w:widowControl w:val="0"/>
        <w:snapToGrid/>
        <w:spacing w:line="400" w:lineRule="exact"/>
        <w:jc w:val="left"/>
        <w:rPr>
          <w:rFonts w:hint="eastAsia" w:ascii="宋体" w:hAnsi="宋体" w:eastAsia="宋体" w:cs="宋体"/>
          <w:color w:val="auto"/>
          <w:sz w:val="24"/>
        </w:rPr>
      </w:pPr>
      <w:r>
        <w:rPr>
          <w:rFonts w:hint="eastAsia" w:ascii="宋体" w:hAnsi="宋体" w:eastAsia="宋体" w:cs="宋体"/>
          <w:color w:val="auto"/>
          <w:sz w:val="24"/>
        </w:rPr>
        <w:t>致友和保险经纪有限公司：</w:t>
      </w:r>
    </w:p>
    <w:p w14:paraId="0C8C1AF3">
      <w:pPr>
        <w:spacing w:line="480" w:lineRule="exact"/>
        <w:rPr>
          <w:rFonts w:hint="eastAsia" w:ascii="宋体" w:hAnsi="宋体" w:eastAsia="宋体" w:cs="宋体"/>
          <w:color w:val="auto"/>
          <w:sz w:val="24"/>
        </w:rPr>
      </w:pPr>
    </w:p>
    <w:p w14:paraId="0FBAA05D">
      <w:pPr>
        <w:keepNext w:val="0"/>
        <w:keepLines w:val="0"/>
        <w:pageBreakBefore w:val="0"/>
        <w:widowControl w:val="0"/>
        <w:snapToGrid/>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单位名称：</w:t>
      </w:r>
      <w:r>
        <w:rPr>
          <w:rFonts w:hint="eastAsia" w:ascii="宋体" w:hAnsi="宋体" w:eastAsia="宋体" w:cs="宋体"/>
          <w:color w:val="auto"/>
          <w:sz w:val="24"/>
          <w:u w:val="single"/>
          <w:lang w:val="en-US" w:eastAsia="zh-CN"/>
        </w:rPr>
        <w:t xml:space="preserve">                   </w:t>
      </w:r>
    </w:p>
    <w:p w14:paraId="68902BE3">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lang w:val="en-US" w:eastAsia="zh-CN"/>
        </w:rPr>
        <w:t xml:space="preserve">                   </w:t>
      </w:r>
    </w:p>
    <w:p w14:paraId="28F7AF66">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性别：</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lang w:val="en-US" w:eastAsia="zh-CN"/>
        </w:rPr>
        <w:t xml:space="preserve">          </w:t>
      </w:r>
    </w:p>
    <w:p w14:paraId="1228490A">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lang w:val="en-US" w:eastAsia="zh-CN"/>
        </w:rPr>
        <w:t xml:space="preserve">                   </w:t>
      </w:r>
    </w:p>
    <w:p w14:paraId="18636703">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联系电话或手机号码</w:t>
      </w:r>
      <w:r>
        <w:rPr>
          <w:rFonts w:hint="eastAsia" w:ascii="宋体" w:hAnsi="宋体" w:eastAsia="宋体" w:cs="宋体"/>
          <w:color w:val="auto"/>
          <w:sz w:val="24"/>
          <w:highlight w:val="yellow"/>
          <w:u w:val="single"/>
          <w:lang w:val="en-US" w:eastAsia="zh-CN"/>
        </w:rPr>
        <w:t>：（如法定代表人为投标人代表，则必须需填写此项）</w:t>
      </w:r>
      <w:r>
        <w:rPr>
          <w:rFonts w:hint="eastAsia" w:ascii="宋体" w:hAnsi="宋体" w:eastAsia="宋体" w:cs="宋体"/>
          <w:color w:val="auto"/>
          <w:sz w:val="24"/>
          <w:highlight w:val="yellow"/>
          <w:lang w:val="en-US" w:eastAsia="zh-CN"/>
        </w:rPr>
        <w:t>。</w:t>
      </w:r>
    </w:p>
    <w:p w14:paraId="3E9A64A0">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我系</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投标人名称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的法定代表人（</w:t>
      </w:r>
      <w:r>
        <w:rPr>
          <w:rFonts w:hint="eastAsia" w:ascii="宋体" w:hAnsi="宋体" w:eastAsia="宋体" w:cs="宋体"/>
          <w:color w:val="auto"/>
          <w:sz w:val="24"/>
          <w:lang w:eastAsia="zh-CN"/>
        </w:rPr>
        <w:t>负责人或执行事务合伙人</w:t>
      </w:r>
      <w:r>
        <w:rPr>
          <w:rFonts w:hint="eastAsia" w:ascii="宋体" w:hAnsi="宋体" w:eastAsia="宋体" w:cs="宋体"/>
          <w:color w:val="auto"/>
          <w:sz w:val="24"/>
        </w:rPr>
        <w:t>）。本证明书用于</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eastAsia="zh-CN"/>
        </w:rPr>
        <w:t>投标人</w:t>
      </w:r>
      <w:r>
        <w:rPr>
          <w:rFonts w:hint="eastAsia" w:ascii="宋体" w:hAnsi="宋体" w:eastAsia="宋体" w:cs="宋体"/>
          <w:color w:val="auto"/>
          <w:sz w:val="24"/>
          <w:u w:val="single"/>
        </w:rPr>
        <w:t>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签署</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eastAsia="zh-CN"/>
        </w:rPr>
        <w:t>项目名称</w:t>
      </w:r>
      <w:r>
        <w:rPr>
          <w:rFonts w:hint="eastAsia" w:ascii="宋体" w:hAnsi="宋体" w:eastAsia="宋体" w:cs="宋体"/>
          <w:color w:val="auto"/>
          <w:sz w:val="24"/>
          <w:u w:val="single"/>
        </w:rPr>
        <w:t>（项目编号）</w:t>
      </w:r>
      <w:r>
        <w:rPr>
          <w:rFonts w:hint="eastAsia" w:ascii="宋体" w:hAnsi="宋体" w:eastAsia="宋体" w:cs="宋体"/>
          <w:color w:val="auto"/>
          <w:sz w:val="24"/>
        </w:rPr>
        <w:t>项目的投标文件、进行合同投标、签署合同和处理与之有关的一切事务。</w:t>
      </w:r>
    </w:p>
    <w:p w14:paraId="0B0115E3">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特此证明。</w:t>
      </w:r>
    </w:p>
    <w:p w14:paraId="6D59888D">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Cs w:val="21"/>
          <w:u w:val="single"/>
        </w:rPr>
        <w:t xml:space="preserve">      </w:t>
      </w:r>
      <w:r>
        <w:rPr>
          <w:rFonts w:hint="eastAsia" w:ascii="宋体" w:hAnsi="宋体" w:eastAsia="宋体" w:cs="宋体"/>
          <w:color w:val="auto"/>
          <w:sz w:val="24"/>
        </w:rPr>
        <w:t>年</w:t>
      </w:r>
      <w:r>
        <w:rPr>
          <w:rFonts w:hint="eastAsia" w:ascii="宋体" w:hAnsi="宋体" w:eastAsia="宋体" w:cs="宋体"/>
          <w:color w:val="auto"/>
          <w:szCs w:val="21"/>
          <w:u w:val="single"/>
        </w:rPr>
        <w:t xml:space="preserve">      </w:t>
      </w:r>
      <w:r>
        <w:rPr>
          <w:rFonts w:hint="eastAsia" w:ascii="宋体" w:hAnsi="宋体" w:eastAsia="宋体" w:cs="宋体"/>
          <w:color w:val="auto"/>
          <w:sz w:val="24"/>
        </w:rPr>
        <w:t>月</w:t>
      </w:r>
      <w:r>
        <w:rPr>
          <w:rFonts w:hint="eastAsia" w:ascii="宋体" w:hAnsi="宋体" w:eastAsia="宋体" w:cs="宋体"/>
          <w:color w:val="auto"/>
          <w:szCs w:val="21"/>
          <w:u w:val="single"/>
        </w:rPr>
        <w:t xml:space="preserve">      </w:t>
      </w:r>
      <w:r>
        <w:rPr>
          <w:rFonts w:hint="eastAsia" w:ascii="宋体" w:hAnsi="宋体" w:eastAsia="宋体" w:cs="宋体"/>
          <w:color w:val="auto"/>
          <w:sz w:val="24"/>
        </w:rPr>
        <w:t>日</w:t>
      </w:r>
    </w:p>
    <w:p w14:paraId="4AF0C070">
      <w:pPr>
        <w:spacing w:line="360" w:lineRule="auto"/>
        <w:rPr>
          <w:rFonts w:hint="eastAsia" w:ascii="宋体" w:hAnsi="宋体" w:eastAsia="宋体" w:cs="宋体"/>
          <w:bCs/>
          <w:color w:val="auto"/>
          <w:sz w:val="24"/>
        </w:rPr>
      </w:pP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4" name="文本框 5"/>
                <wp:cNvGraphicFramePr/>
                <a:graphic xmlns:a="http://schemas.openxmlformats.org/drawingml/2006/main">
                  <a:graphicData uri="http://schemas.microsoft.com/office/word/2010/wordprocessingShape">
                    <wps:wsp>
                      <wps:cNvSpPr/>
                      <wps:spPr bwMode="auto">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B2AF64">
                            <w:pPr>
                              <w:widowControl/>
                              <w:jc w:val="left"/>
                              <w:rPr>
                                <w:rFonts w:ascii="宋体" w:hAnsi="宋体" w:cs="宋体"/>
                                <w:kern w:val="0"/>
                                <w:sz w:val="24"/>
                              </w:rPr>
                            </w:pPr>
                          </w:p>
                          <w:p w14:paraId="19E762BF">
                            <w:pPr>
                              <w:widowControl/>
                              <w:jc w:val="left"/>
                            </w:pPr>
                          </w:p>
                          <w:p w14:paraId="4930CCED">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5DC7F154">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anchorCtr="0" upright="1"/>
                    </wps:wsp>
                  </a:graphicData>
                </a:graphic>
              </wp:anchor>
            </w:drawing>
          </mc:Choice>
          <mc:Fallback>
            <w:pict>
              <v:rect id="文本框 5" o:spid="_x0000_s1026" o:spt="1" style="position:absolute;left:0pt;margin-left:0.15pt;margin-top:8.65pt;height:151.25pt;width:222.9pt;z-index:251659264;mso-width-relative:page;mso-height-relative:page;" fillcolor="#FFFFFF" filled="t" stroked="t" coordsize="21600,21600" o:gfxdata="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E12cTVAAAABwEAAA8AAAAAAAAAAQAgAAAAIgAAAGRycy9kb3ducmV2LnhtbFBL&#10;AQIUABQAAAAIAIdO4kCZ5JfMMgIAAG4EAAAOAAAAAAAAAAEAIAAAACQBAABkcnMvZTJvRG9jLnht&#10;bFBLBQYAAAAABgAGAFkBAADIBQAAAAA=&#10;">
                <v:fill on="t" focussize="0,0"/>
                <v:stroke color="#000000" joinstyle="miter"/>
                <v:imagedata o:title=""/>
                <o:lock v:ext="edit" aspectratio="f"/>
                <v:textbox>
                  <w:txbxContent>
                    <w:p w14:paraId="42B2AF64">
                      <w:pPr>
                        <w:widowControl/>
                        <w:jc w:val="left"/>
                        <w:rPr>
                          <w:rFonts w:ascii="宋体" w:hAnsi="宋体" w:cs="宋体"/>
                          <w:kern w:val="0"/>
                          <w:sz w:val="24"/>
                        </w:rPr>
                      </w:pPr>
                    </w:p>
                    <w:p w14:paraId="19E762BF">
                      <w:pPr>
                        <w:widowControl/>
                        <w:jc w:val="left"/>
                      </w:pPr>
                    </w:p>
                    <w:p w14:paraId="4930CCED">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5DC7F154">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rect>
            </w:pict>
          </mc:Fallback>
        </mc:AlternateContent>
      </w:r>
    </w:p>
    <w:p w14:paraId="3E009536">
      <w:pPr>
        <w:spacing w:line="360" w:lineRule="auto"/>
        <w:rPr>
          <w:rFonts w:hint="eastAsia" w:ascii="宋体" w:hAnsi="宋体" w:eastAsia="宋体" w:cs="宋体"/>
          <w:bCs/>
          <w:color w:val="auto"/>
          <w:sz w:val="24"/>
        </w:rPr>
      </w:pPr>
    </w:p>
    <w:p w14:paraId="5A84C3E7">
      <w:pPr>
        <w:spacing w:line="360" w:lineRule="auto"/>
        <w:rPr>
          <w:rFonts w:hint="eastAsia" w:ascii="宋体" w:hAnsi="宋体" w:eastAsia="宋体" w:cs="宋体"/>
          <w:bCs/>
          <w:color w:val="auto"/>
          <w:sz w:val="24"/>
        </w:rPr>
      </w:pPr>
    </w:p>
    <w:p w14:paraId="6025DEE3">
      <w:pPr>
        <w:spacing w:line="360" w:lineRule="auto"/>
        <w:rPr>
          <w:rFonts w:hint="eastAsia" w:ascii="宋体" w:hAnsi="宋体" w:eastAsia="宋体" w:cs="宋体"/>
          <w:bCs/>
          <w:color w:val="auto"/>
          <w:sz w:val="24"/>
        </w:rPr>
      </w:pPr>
    </w:p>
    <w:p w14:paraId="7E446A56">
      <w:pPr>
        <w:rPr>
          <w:rFonts w:hint="eastAsia" w:ascii="宋体" w:hAnsi="宋体" w:eastAsia="宋体" w:cs="宋体"/>
          <w:color w:val="auto"/>
          <w:sz w:val="24"/>
        </w:rPr>
      </w:pPr>
    </w:p>
    <w:p w14:paraId="11950EEB">
      <w:pPr>
        <w:rPr>
          <w:rFonts w:hint="eastAsia" w:ascii="宋体" w:hAnsi="宋体" w:eastAsia="宋体" w:cs="宋体"/>
          <w:color w:val="auto"/>
          <w:sz w:val="24"/>
        </w:rPr>
      </w:pPr>
    </w:p>
    <w:p w14:paraId="34AB4C5B">
      <w:pPr>
        <w:spacing w:after="60"/>
        <w:rPr>
          <w:rFonts w:hint="eastAsia" w:ascii="宋体" w:hAnsi="宋体" w:eastAsia="宋体" w:cs="宋体"/>
          <w:color w:val="auto"/>
          <w:sz w:val="24"/>
        </w:rPr>
      </w:pPr>
    </w:p>
    <w:p w14:paraId="2B22EFCB">
      <w:pPr>
        <w:rPr>
          <w:rFonts w:hint="eastAsia" w:ascii="宋体" w:hAnsi="宋体" w:eastAsia="宋体" w:cs="宋体"/>
          <w:color w:val="auto"/>
          <w:sz w:val="24"/>
        </w:rPr>
      </w:pPr>
    </w:p>
    <w:p w14:paraId="620AC415">
      <w:pPr>
        <w:jc w:val="center"/>
        <w:rPr>
          <w:rFonts w:hint="eastAsia" w:ascii="宋体" w:hAnsi="宋体" w:eastAsia="宋体" w:cs="宋体"/>
          <w:b/>
          <w:bCs/>
          <w:color w:val="auto"/>
          <w:sz w:val="24"/>
        </w:rPr>
      </w:pPr>
      <w:r>
        <w:rPr>
          <w:rFonts w:hint="eastAsia" w:ascii="宋体" w:hAnsi="宋体" w:eastAsia="宋体" w:cs="宋体"/>
          <w:color w:val="auto"/>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5" name="文本框 2"/>
                <wp:cNvGraphicFramePr/>
                <a:graphic xmlns:a="http://schemas.openxmlformats.org/drawingml/2006/main">
                  <a:graphicData uri="http://schemas.microsoft.com/office/word/2010/wordprocessingShape">
                    <wps:wsp>
                      <wps:cNvSpPr/>
                      <wps:spPr bwMode="auto">
                        <a:xfrm>
                          <a:off x="0" y="0"/>
                          <a:ext cx="2782569" cy="192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8878EE">
                            <w:pPr>
                              <w:widowControl/>
                              <w:jc w:val="left"/>
                              <w:rPr>
                                <w:rFonts w:ascii="宋体" w:hAnsi="宋体" w:cs="宋体"/>
                                <w:kern w:val="0"/>
                                <w:sz w:val="24"/>
                              </w:rPr>
                            </w:pPr>
                          </w:p>
                          <w:p w14:paraId="6C55B690">
                            <w:pPr>
                              <w:widowControl/>
                              <w:jc w:val="left"/>
                            </w:pPr>
                          </w:p>
                          <w:p w14:paraId="31F99D1C">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0A9BAE1A">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anchorCtr="0" upright="1"/>
                    </wps:wsp>
                  </a:graphicData>
                </a:graphic>
              </wp:anchor>
            </w:drawing>
          </mc:Choice>
          <mc:Fallback>
            <w:pict>
              <v:rect id="文本框 2" o:spid="_x0000_s1026" o:spt="1" style="position:absolute;left:0pt;margin-left:236.2pt;margin-top:-150.35pt;height:151.25pt;width:219.1pt;z-index:251660288;mso-width-relative:page;mso-height-relative:page;" fillcolor="#FFFFFF" filled="t" stroked="t" coordsize="21600,21600" o:gfxdata="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fhn4tkAAAAKAQAADwAAAAAAAAABACAAAAAiAAAAZHJzL2Rvd25yZXYueG1s&#10;UEsBAhQAFAAAAAgAh07iQIhM34kwAgAAbgQAAA4AAAAAAAAAAQAgAAAAKAEAAGRycy9lMm9Eb2Mu&#10;eG1sUEsFBgAAAAAGAAYAWQEAAMoFAAAAAA==&#10;">
                <v:fill on="t" focussize="0,0"/>
                <v:stroke color="#000000" joinstyle="miter"/>
                <v:imagedata o:title=""/>
                <o:lock v:ext="edit" aspectratio="f"/>
                <v:textbox>
                  <w:txbxContent>
                    <w:p w14:paraId="678878EE">
                      <w:pPr>
                        <w:widowControl/>
                        <w:jc w:val="left"/>
                        <w:rPr>
                          <w:rFonts w:ascii="宋体" w:hAnsi="宋体" w:cs="宋体"/>
                          <w:kern w:val="0"/>
                          <w:sz w:val="24"/>
                        </w:rPr>
                      </w:pPr>
                    </w:p>
                    <w:p w14:paraId="6C55B690">
                      <w:pPr>
                        <w:widowControl/>
                        <w:jc w:val="left"/>
                      </w:pPr>
                    </w:p>
                    <w:p w14:paraId="31F99D1C">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0A9BAE1A">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v:textbox>
              </v:rect>
            </w:pict>
          </mc:Fallback>
        </mc:AlternateContent>
      </w:r>
    </w:p>
    <w:p w14:paraId="18D371A9">
      <w:pPr>
        <w:snapToGrid w:val="0"/>
        <w:ind w:left="840" w:hanging="840" w:hangingChars="350"/>
        <w:rPr>
          <w:rFonts w:hint="eastAsia" w:ascii="宋体" w:hAnsi="宋体" w:eastAsia="宋体" w:cs="宋体"/>
          <w:bCs/>
          <w:color w:val="auto"/>
          <w:sz w:val="24"/>
        </w:rPr>
      </w:pPr>
      <w:r>
        <w:rPr>
          <w:rFonts w:hint="eastAsia" w:ascii="宋体" w:hAnsi="宋体" w:eastAsia="宋体" w:cs="宋体"/>
          <w:bCs/>
          <w:color w:val="auto"/>
          <w:sz w:val="24"/>
        </w:rPr>
        <w:t>说明：</w:t>
      </w:r>
    </w:p>
    <w:p w14:paraId="53778E6A">
      <w:pPr>
        <w:snapToGrid w:val="0"/>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1.</w:t>
      </w:r>
      <w:r>
        <w:rPr>
          <w:rFonts w:hint="eastAsia" w:ascii="宋体" w:hAnsi="宋体" w:eastAsia="宋体" w:cs="宋体"/>
          <w:color w:val="auto"/>
          <w:szCs w:val="21"/>
        </w:rPr>
        <w:t>法定代表人（负责人或执行事务合伙人）为投标人（企业事业单位、国家机关、社会团体）的主要行政负责人。</w:t>
      </w:r>
      <w:r>
        <w:rPr>
          <w:rFonts w:hint="eastAsia" w:ascii="宋体" w:hAnsi="宋体" w:eastAsia="宋体" w:cs="宋体"/>
          <w:bCs/>
          <w:color w:val="auto"/>
          <w:sz w:val="24"/>
        </w:rPr>
        <w:t>须提供法定代表人（</w:t>
      </w:r>
      <w:r>
        <w:rPr>
          <w:rFonts w:hint="eastAsia" w:ascii="宋体" w:hAnsi="宋体" w:eastAsia="宋体" w:cs="宋体"/>
          <w:bCs/>
          <w:color w:val="auto"/>
          <w:sz w:val="24"/>
          <w:lang w:eastAsia="zh-CN"/>
        </w:rPr>
        <w:t>负责人或执行事务合伙人</w:t>
      </w:r>
      <w:r>
        <w:rPr>
          <w:rFonts w:hint="eastAsia" w:ascii="宋体" w:hAnsi="宋体" w:eastAsia="宋体" w:cs="宋体"/>
          <w:bCs/>
          <w:color w:val="auto"/>
          <w:sz w:val="24"/>
        </w:rPr>
        <w:t>）的身份证</w:t>
      </w:r>
      <w:r>
        <w:rPr>
          <w:rFonts w:hint="eastAsia" w:ascii="宋体" w:hAnsi="宋体" w:eastAsia="宋体" w:cs="宋体"/>
          <w:bCs/>
          <w:color w:val="auto"/>
          <w:sz w:val="24"/>
          <w:lang w:eastAsia="zh-CN"/>
        </w:rPr>
        <w:t>扫描</w:t>
      </w:r>
      <w:r>
        <w:rPr>
          <w:rFonts w:hint="eastAsia" w:ascii="宋体" w:hAnsi="宋体" w:eastAsia="宋体" w:cs="宋体"/>
          <w:bCs/>
          <w:color w:val="auto"/>
          <w:sz w:val="24"/>
        </w:rPr>
        <w:t>件</w:t>
      </w:r>
      <w:r>
        <w:rPr>
          <w:rFonts w:hint="eastAsia" w:ascii="宋体" w:hAnsi="宋体" w:eastAsia="宋体" w:cs="宋体"/>
          <w:bCs/>
          <w:color w:val="auto"/>
          <w:sz w:val="24"/>
          <w:lang w:eastAsia="zh-CN"/>
        </w:rPr>
        <w:t>；港澳台居民可提供来往通行证扫描</w:t>
      </w:r>
      <w:r>
        <w:rPr>
          <w:rFonts w:hint="eastAsia" w:ascii="宋体" w:hAnsi="宋体" w:eastAsia="宋体" w:cs="宋体"/>
          <w:bCs/>
          <w:color w:val="auto"/>
          <w:sz w:val="24"/>
        </w:rPr>
        <w:t>件</w:t>
      </w:r>
      <w:r>
        <w:rPr>
          <w:rFonts w:hint="eastAsia" w:ascii="宋体" w:hAnsi="宋体" w:eastAsia="宋体" w:cs="宋体"/>
          <w:bCs/>
          <w:color w:val="auto"/>
          <w:sz w:val="24"/>
          <w:lang w:eastAsia="zh-CN"/>
        </w:rPr>
        <w:t>；非中国国籍管辖范围人员，可提供公安部门认可的身份证明材料扫描</w:t>
      </w:r>
      <w:r>
        <w:rPr>
          <w:rFonts w:hint="eastAsia" w:ascii="宋体" w:hAnsi="宋体" w:eastAsia="宋体" w:cs="宋体"/>
          <w:bCs/>
          <w:color w:val="auto"/>
          <w:sz w:val="24"/>
        </w:rPr>
        <w:t>件</w:t>
      </w:r>
      <w:r>
        <w:rPr>
          <w:rFonts w:hint="eastAsia" w:ascii="宋体" w:hAnsi="宋体" w:eastAsia="宋体" w:cs="宋体"/>
          <w:bCs/>
          <w:color w:val="auto"/>
          <w:sz w:val="24"/>
          <w:lang w:eastAsia="zh-CN"/>
        </w:rPr>
        <w:t>；</w:t>
      </w:r>
    </w:p>
    <w:p w14:paraId="3ECDB6E2">
      <w:pPr>
        <w:snapToGrid w:val="0"/>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2.招投标文件中涉及需法定代表人之处，非法人组织可由负责人或执行事务合伙人执行。</w:t>
      </w:r>
    </w:p>
    <w:p w14:paraId="61982A10">
      <w:pPr>
        <w:snapToGrid w:val="0"/>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3.如是法定代表人（负责人或执行事务合伙人）直接参与投标，必须填写《法定代表人（负责人或执行事务合伙人）资格证明书》，可不用填写《法定代表人（负责人或执行事务合伙人）授权书》。</w:t>
      </w:r>
    </w:p>
    <w:p w14:paraId="5A6F4936">
      <w:pPr>
        <w:pStyle w:val="14"/>
        <w:rPr>
          <w:rFonts w:hint="eastAsia" w:ascii="宋体" w:hAnsi="宋体" w:eastAsia="宋体" w:cs="宋体"/>
          <w:color w:val="auto"/>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内容必须填写真实、清</w:t>
      </w:r>
      <w:r>
        <w:rPr>
          <w:rFonts w:hint="eastAsia" w:ascii="宋体" w:hAnsi="宋体" w:eastAsia="宋体" w:cs="宋体"/>
          <w:color w:val="auto"/>
          <w:szCs w:val="21"/>
          <w:lang w:val="en-US" w:eastAsia="zh-CN"/>
        </w:rPr>
        <w:t>楚，涂改无效，不得转让、买卖。</w:t>
      </w:r>
    </w:p>
    <w:p w14:paraId="5B3F3D81">
      <w:pPr>
        <w:pStyle w:val="14"/>
        <w:rPr>
          <w:rFonts w:hint="eastAsia" w:ascii="宋体" w:hAnsi="宋体" w:eastAsia="宋体" w:cs="宋体"/>
          <w:color w:val="auto"/>
        </w:rPr>
      </w:pPr>
    </w:p>
    <w:p w14:paraId="12F5CB5C">
      <w:pPr>
        <w:rPr>
          <w:rFonts w:hint="eastAsia" w:ascii="宋体" w:hAnsi="宋体" w:eastAsia="宋体" w:cs="宋体"/>
          <w:color w:val="auto"/>
        </w:rPr>
      </w:pPr>
    </w:p>
    <w:p w14:paraId="48B0D5EC">
      <w:pPr>
        <w:pStyle w:val="5"/>
        <w:spacing w:before="120" w:after="120"/>
        <w:jc w:val="center"/>
        <w:rPr>
          <w:rFonts w:hint="eastAsia" w:ascii="宋体" w:hAnsi="宋体" w:eastAsia="宋体" w:cs="宋体"/>
          <w:b w:val="0"/>
          <w:color w:val="auto"/>
          <w:sz w:val="24"/>
        </w:rPr>
      </w:pPr>
      <w:r>
        <w:rPr>
          <w:rFonts w:hint="eastAsia" w:ascii="宋体" w:hAnsi="宋体" w:eastAsia="宋体" w:cs="宋体"/>
          <w:b w:val="0"/>
          <w:color w:val="auto"/>
          <w:sz w:val="24"/>
        </w:rPr>
        <w:t>二、投标文件签署授权委托书</w:t>
      </w:r>
    </w:p>
    <w:p w14:paraId="59B72F87">
      <w:pPr>
        <w:keepNext w:val="0"/>
        <w:keepLines w:val="0"/>
        <w:pageBreakBefore w:val="0"/>
        <w:widowControl w:val="0"/>
        <w:snapToGrid/>
        <w:spacing w:line="400" w:lineRule="exact"/>
        <w:jc w:val="left"/>
        <w:rPr>
          <w:rFonts w:hint="eastAsia" w:ascii="宋体" w:hAnsi="宋体" w:eastAsia="宋体" w:cs="宋体"/>
          <w:color w:val="auto"/>
          <w:sz w:val="24"/>
        </w:rPr>
      </w:pPr>
      <w:r>
        <w:rPr>
          <w:rFonts w:hint="eastAsia" w:ascii="宋体" w:hAnsi="宋体" w:eastAsia="宋体" w:cs="宋体"/>
          <w:color w:val="auto"/>
          <w:sz w:val="24"/>
        </w:rPr>
        <w:t>致友和保险经纪有限公司：</w:t>
      </w:r>
    </w:p>
    <w:p w14:paraId="6525C181">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本授权委托书声明：我</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姓名</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系</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投标人名称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的法定代表人（</w:t>
      </w:r>
      <w:r>
        <w:rPr>
          <w:rFonts w:hint="eastAsia" w:ascii="宋体" w:hAnsi="宋体" w:eastAsia="宋体" w:cs="宋体"/>
          <w:color w:val="auto"/>
          <w:sz w:val="24"/>
          <w:lang w:eastAsia="zh-CN"/>
        </w:rPr>
        <w:t>负责人或执行事务合伙人</w:t>
      </w:r>
      <w:r>
        <w:rPr>
          <w:rFonts w:hint="eastAsia" w:ascii="宋体" w:hAnsi="宋体" w:eastAsia="宋体" w:cs="宋体"/>
          <w:color w:val="auto"/>
          <w:sz w:val="24"/>
        </w:rPr>
        <w:t>），现授权委托</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姓名</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为我公司签署本项目已递交的投标文件的法定代表人的授权委托代理人，代理人全权代表我所签署的本项目已递交的投标文件内容我均承认。</w:t>
      </w:r>
    </w:p>
    <w:p w14:paraId="4B240834">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代理人无转委托权，特此委托。</w:t>
      </w:r>
    </w:p>
    <w:p w14:paraId="2C8730B7">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p>
    <w:p w14:paraId="5D212E32">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代理人：</w:t>
      </w:r>
      <w:r>
        <w:rPr>
          <w:rFonts w:hint="eastAsia" w:ascii="宋体" w:hAnsi="宋体" w:eastAsia="宋体" w:cs="宋体"/>
          <w:color w:val="auto"/>
          <w:szCs w:val="21"/>
          <w:u w:val="single"/>
        </w:rPr>
        <w:t xml:space="preserve">                  </w:t>
      </w:r>
      <w:r>
        <w:rPr>
          <w:rFonts w:hint="eastAsia" w:ascii="宋体" w:hAnsi="宋体" w:eastAsia="宋体" w:cs="宋体"/>
          <w:color w:val="auto"/>
          <w:sz w:val="24"/>
        </w:rPr>
        <w:t>性别：</w:t>
      </w:r>
      <w:r>
        <w:rPr>
          <w:rFonts w:hint="eastAsia" w:ascii="宋体" w:hAnsi="宋体" w:eastAsia="宋体" w:cs="宋体"/>
          <w:color w:val="auto"/>
          <w:szCs w:val="21"/>
          <w:u w:val="single"/>
        </w:rPr>
        <w:t xml:space="preserve">                  </w:t>
      </w:r>
      <w:r>
        <w:rPr>
          <w:rFonts w:hint="eastAsia" w:ascii="宋体" w:hAnsi="宋体" w:eastAsia="宋体" w:cs="宋体"/>
          <w:color w:val="auto"/>
          <w:sz w:val="24"/>
        </w:rPr>
        <w:t>年龄：</w:t>
      </w:r>
      <w:r>
        <w:rPr>
          <w:rFonts w:hint="eastAsia" w:ascii="宋体" w:hAnsi="宋体" w:eastAsia="宋体" w:cs="宋体"/>
          <w:color w:val="auto"/>
          <w:szCs w:val="21"/>
          <w:u w:val="single"/>
        </w:rPr>
        <w:t xml:space="preserve">                  </w:t>
      </w:r>
    </w:p>
    <w:p w14:paraId="0A032C88">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 w:val="24"/>
        </w:rPr>
        <w:t>手机：</w:t>
      </w:r>
      <w:r>
        <w:rPr>
          <w:rFonts w:hint="eastAsia" w:ascii="宋体" w:hAnsi="宋体" w:eastAsia="宋体" w:cs="宋体"/>
          <w:color w:val="auto"/>
          <w:szCs w:val="21"/>
          <w:u w:val="single"/>
        </w:rPr>
        <w:t xml:space="preserve">                  </w:t>
      </w:r>
    </w:p>
    <w:p w14:paraId="3AD3E005">
      <w:pPr>
        <w:keepNext w:val="0"/>
        <w:keepLines w:val="0"/>
        <w:pageBreakBefore w:val="0"/>
        <w:widowControl w:val="0"/>
        <w:snapToGrid/>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 w:val="24"/>
        </w:rPr>
        <w:t>职务：</w:t>
      </w:r>
      <w:r>
        <w:rPr>
          <w:rFonts w:hint="eastAsia" w:ascii="宋体" w:hAnsi="宋体" w:eastAsia="宋体" w:cs="宋体"/>
          <w:color w:val="auto"/>
          <w:szCs w:val="21"/>
          <w:u w:val="single"/>
        </w:rPr>
        <w:t xml:space="preserve">                  </w:t>
      </w:r>
    </w:p>
    <w:p w14:paraId="4BCC86A1">
      <w:pPr>
        <w:keepNext w:val="0"/>
        <w:keepLines w:val="0"/>
        <w:pageBreakBefore w:val="0"/>
        <w:widowControl w:val="0"/>
        <w:snapToGrid/>
        <w:spacing w:line="400" w:lineRule="exact"/>
        <w:ind w:firstLine="480" w:firstLineChars="200"/>
        <w:rPr>
          <w:rFonts w:hint="eastAsia" w:ascii="宋体" w:hAnsi="宋体" w:eastAsia="宋体" w:cs="宋体"/>
          <w:color w:val="auto"/>
          <w:sz w:val="24"/>
        </w:rPr>
      </w:pPr>
    </w:p>
    <w:p w14:paraId="3F59BF82">
      <w:pPr>
        <w:keepNext w:val="0"/>
        <w:keepLines w:val="0"/>
        <w:pageBreakBefore w:val="0"/>
        <w:widowControl w:val="0"/>
        <w:snapToGrid/>
        <w:spacing w:line="400" w:lineRule="exact"/>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sz w:val="24"/>
        </w:rPr>
        <w:t>授权委托日期：</w:t>
      </w:r>
      <w:r>
        <w:rPr>
          <w:rFonts w:hint="eastAsia" w:ascii="宋体" w:hAnsi="宋体" w:eastAsia="宋体" w:cs="宋体"/>
          <w:color w:val="auto"/>
          <w:szCs w:val="21"/>
          <w:u w:val="single"/>
        </w:rPr>
        <w:t xml:space="preserve">       </w:t>
      </w:r>
      <w:r>
        <w:rPr>
          <w:rFonts w:hint="eastAsia" w:ascii="宋体" w:hAnsi="宋体" w:eastAsia="宋体" w:cs="宋体"/>
          <w:color w:val="auto"/>
          <w:sz w:val="24"/>
        </w:rPr>
        <w:t>年</w:t>
      </w:r>
      <w:r>
        <w:rPr>
          <w:rFonts w:hint="eastAsia" w:ascii="宋体" w:hAnsi="宋体" w:eastAsia="宋体" w:cs="宋体"/>
          <w:color w:val="auto"/>
          <w:szCs w:val="21"/>
          <w:u w:val="single"/>
        </w:rPr>
        <w:t xml:space="preserve">      </w:t>
      </w:r>
      <w:r>
        <w:rPr>
          <w:rFonts w:hint="eastAsia" w:ascii="宋体" w:hAnsi="宋体" w:eastAsia="宋体" w:cs="宋体"/>
          <w:color w:val="auto"/>
          <w:sz w:val="24"/>
        </w:rPr>
        <w:t>月</w:t>
      </w:r>
      <w:r>
        <w:rPr>
          <w:rFonts w:hint="eastAsia" w:ascii="宋体" w:hAnsi="宋体" w:eastAsia="宋体" w:cs="宋体"/>
          <w:color w:val="auto"/>
          <w:szCs w:val="21"/>
          <w:u w:val="single"/>
        </w:rPr>
        <w:t xml:space="preserve">      </w:t>
      </w:r>
      <w:r>
        <w:rPr>
          <w:rFonts w:hint="eastAsia" w:ascii="宋体" w:hAnsi="宋体" w:eastAsia="宋体" w:cs="宋体"/>
          <w:color w:val="auto"/>
          <w:sz w:val="24"/>
        </w:rPr>
        <w:t>日</w:t>
      </w:r>
      <w:r>
        <w:rPr>
          <w:rFonts w:hint="eastAsia" w:ascii="宋体" w:hAnsi="宋体" w:eastAsia="宋体" w:cs="宋体"/>
          <w:color w:val="auto"/>
          <w:sz w:val="24"/>
          <w:lang w:eastAsia="zh-CN"/>
        </w:rPr>
        <w:t>，有效期至</w:t>
      </w:r>
      <w:r>
        <w:rPr>
          <w:rFonts w:hint="eastAsia" w:ascii="宋体" w:hAnsi="宋体" w:eastAsia="宋体" w:cs="宋体"/>
          <w:color w:val="auto"/>
          <w:szCs w:val="21"/>
          <w:u w:val="single"/>
        </w:rPr>
        <w:t xml:space="preserve">       </w:t>
      </w:r>
      <w:r>
        <w:rPr>
          <w:rFonts w:hint="eastAsia" w:ascii="宋体" w:hAnsi="宋体" w:eastAsia="宋体" w:cs="宋体"/>
          <w:color w:val="auto"/>
          <w:sz w:val="24"/>
        </w:rPr>
        <w:t>年</w:t>
      </w:r>
      <w:r>
        <w:rPr>
          <w:rFonts w:hint="eastAsia" w:ascii="宋体" w:hAnsi="宋体" w:eastAsia="宋体" w:cs="宋体"/>
          <w:color w:val="auto"/>
          <w:szCs w:val="21"/>
          <w:u w:val="single"/>
        </w:rPr>
        <w:t xml:space="preserve">      </w:t>
      </w:r>
      <w:r>
        <w:rPr>
          <w:rFonts w:hint="eastAsia" w:ascii="宋体" w:hAnsi="宋体" w:eastAsia="宋体" w:cs="宋体"/>
          <w:color w:val="auto"/>
          <w:sz w:val="24"/>
        </w:rPr>
        <w:t>月</w:t>
      </w:r>
      <w:r>
        <w:rPr>
          <w:rFonts w:hint="eastAsia" w:ascii="宋体" w:hAnsi="宋体" w:eastAsia="宋体" w:cs="宋体"/>
          <w:color w:val="auto"/>
          <w:szCs w:val="21"/>
          <w:u w:val="single"/>
        </w:rPr>
        <w:t xml:space="preserve">      </w:t>
      </w:r>
      <w:r>
        <w:rPr>
          <w:rFonts w:hint="eastAsia" w:ascii="宋体" w:hAnsi="宋体" w:eastAsia="宋体" w:cs="宋体"/>
          <w:color w:val="auto"/>
          <w:sz w:val="24"/>
        </w:rPr>
        <w:t>日</w:t>
      </w:r>
      <w:r>
        <w:rPr>
          <w:rFonts w:hint="eastAsia" w:ascii="宋体" w:hAnsi="宋体" w:eastAsia="宋体" w:cs="宋体"/>
          <w:color w:val="auto"/>
          <w:sz w:val="24"/>
          <w:lang w:eastAsia="zh-CN"/>
        </w:rPr>
        <w:t>。</w:t>
      </w:r>
    </w:p>
    <w:p w14:paraId="4E776C78">
      <w:pPr>
        <w:spacing w:line="360" w:lineRule="auto"/>
        <w:rPr>
          <w:rFonts w:hint="eastAsia" w:ascii="宋体" w:hAnsi="宋体" w:eastAsia="宋体" w:cs="宋体"/>
          <w:bCs/>
          <w:color w:val="auto"/>
          <w:sz w:val="24"/>
        </w:rPr>
      </w:pPr>
      <w:r>
        <w:rPr>
          <w:rFonts w:hint="eastAsia" w:ascii="宋体" w:hAnsi="宋体" w:eastAsia="宋体" w:cs="宋体"/>
          <w:color w:val="auto"/>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20955</wp:posOffset>
                </wp:positionV>
                <wp:extent cx="2782570" cy="1920875"/>
                <wp:effectExtent l="5080" t="4445" r="12700" b="17780"/>
                <wp:wrapNone/>
                <wp:docPr id="6" name="文本框 12"/>
                <wp:cNvGraphicFramePr/>
                <a:graphic xmlns:a="http://schemas.openxmlformats.org/drawingml/2006/main">
                  <a:graphicData uri="http://schemas.microsoft.com/office/word/2010/wordprocessingShape">
                    <wps:wsp>
                      <wps:cNvSpPr/>
                      <wps:spPr bwMode="auto">
                        <a:xfrm>
                          <a:off x="0" y="0"/>
                          <a:ext cx="2782569" cy="192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131159">
                            <w:pPr>
                              <w:widowControl/>
                              <w:jc w:val="left"/>
                              <w:rPr>
                                <w:rFonts w:ascii="宋体" w:hAnsi="宋体" w:cs="宋体"/>
                                <w:kern w:val="0"/>
                                <w:sz w:val="24"/>
                              </w:rPr>
                            </w:pPr>
                          </w:p>
                          <w:p w14:paraId="2D977EE9">
                            <w:pPr>
                              <w:widowControl/>
                              <w:jc w:val="left"/>
                            </w:pPr>
                          </w:p>
                          <w:p w14:paraId="3B31F913">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wps:txbx>
                      <wps:bodyPr vert="horz" wrap="square" anchor="t" anchorCtr="0" upright="1"/>
                    </wps:wsp>
                  </a:graphicData>
                </a:graphic>
              </wp:anchor>
            </w:drawing>
          </mc:Choice>
          <mc:Fallback>
            <w:pict>
              <v:rect id="文本框 12" o:spid="_x0000_s1026" o:spt="1" style="position:absolute;left:0pt;margin-left:236.2pt;margin-top:1.65pt;height:151.25pt;width:219.1pt;z-index:251662336;mso-width-relative:page;mso-height-relative:page;" fillcolor="#FFFFFF" filled="t" stroked="t" coordsize="21600,21600" o:gfxdata="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WuwN1wAAAAkBAAAPAAAAAAAAAAEAIAAAACIAAABkcnMvZG93bnJldi54bWxQ&#10;SwECFAAUAAAACACHTuJAO7cXUTECAABvBAAADgAAAAAAAAABACAAAAAmAQAAZHJzL2Uyb0RvYy54&#10;bWxQSwUGAAAAAAYABgBZAQAAyQUAAAAA&#10;">
                <v:fill on="t" focussize="0,0"/>
                <v:stroke color="#000000" joinstyle="miter"/>
                <v:imagedata o:title=""/>
                <o:lock v:ext="edit" aspectratio="f"/>
                <v:textbox>
                  <w:txbxContent>
                    <w:p w14:paraId="6E131159">
                      <w:pPr>
                        <w:widowControl/>
                        <w:jc w:val="left"/>
                        <w:rPr>
                          <w:rFonts w:ascii="宋体" w:hAnsi="宋体" w:cs="宋体"/>
                          <w:kern w:val="0"/>
                          <w:sz w:val="24"/>
                        </w:rPr>
                      </w:pPr>
                    </w:p>
                    <w:p w14:paraId="2D977EE9">
                      <w:pPr>
                        <w:widowControl/>
                        <w:jc w:val="left"/>
                      </w:pPr>
                    </w:p>
                    <w:p w14:paraId="3B31F913">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v:textbox>
              </v:rect>
            </w:pict>
          </mc:Fallback>
        </mc:AlternateContent>
      </w:r>
      <w:r>
        <w:rPr>
          <w:rFonts w:hint="eastAsia" w:ascii="宋体" w:hAnsi="宋体" w:eastAsia="宋体" w:cs="宋体"/>
          <w:color w:val="auto"/>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20955</wp:posOffset>
                </wp:positionV>
                <wp:extent cx="2830830" cy="1920875"/>
                <wp:effectExtent l="5080" t="4445" r="21590" b="17780"/>
                <wp:wrapNone/>
                <wp:docPr id="7" name="文本框 11"/>
                <wp:cNvGraphicFramePr/>
                <a:graphic xmlns:a="http://schemas.openxmlformats.org/drawingml/2006/main">
                  <a:graphicData uri="http://schemas.microsoft.com/office/word/2010/wordprocessingShape">
                    <wps:wsp>
                      <wps:cNvSpPr/>
                      <wps:spPr bwMode="auto">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53D025">
                            <w:pPr>
                              <w:widowControl/>
                              <w:jc w:val="left"/>
                              <w:rPr>
                                <w:rFonts w:ascii="宋体" w:hAnsi="宋体" w:cs="宋体"/>
                                <w:kern w:val="0"/>
                                <w:sz w:val="24"/>
                              </w:rPr>
                            </w:pPr>
                          </w:p>
                          <w:p w14:paraId="05C889A4">
                            <w:pPr>
                              <w:widowControl/>
                              <w:jc w:val="left"/>
                            </w:pPr>
                          </w:p>
                          <w:p w14:paraId="55FFD7FE">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wps:txbx>
                      <wps:bodyPr vert="horz" wrap="square" anchor="t" anchorCtr="0" upright="1"/>
                    </wps:wsp>
                  </a:graphicData>
                </a:graphic>
              </wp:anchor>
            </w:drawing>
          </mc:Choice>
          <mc:Fallback>
            <w:pict>
              <v:rect id="文本框 11" o:spid="_x0000_s1026" o:spt="1" style="position:absolute;left:0pt;margin-left:0.15pt;margin-top:1.65pt;height:151.25pt;width:222.9pt;z-index:251661312;mso-width-relative:page;mso-height-relative:page;" fillcolor="#FFFFFF" filled="t" stroked="t" coordsize="21600,21600" o:gfxdata="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fYRxDUAAAABgEAAA8AAAAAAAAAAQAgAAAAIgAAAGRycy9kb3ducmV2LnhtbFBLAQIU&#10;ABQAAAAIAIdO4kDEB1H4MAIAAG8EAAAOAAAAAAAAAAEAIAAAACMBAABkcnMvZTJvRG9jLnhtbFBL&#10;BQYAAAAABgAGAFkBAADFBQAAAAA=&#10;">
                <v:fill on="t" focussize="0,0"/>
                <v:stroke color="#000000" joinstyle="miter"/>
                <v:imagedata o:title=""/>
                <o:lock v:ext="edit" aspectratio="f"/>
                <v:textbox>
                  <w:txbxContent>
                    <w:p w14:paraId="7653D025">
                      <w:pPr>
                        <w:widowControl/>
                        <w:jc w:val="left"/>
                        <w:rPr>
                          <w:rFonts w:ascii="宋体" w:hAnsi="宋体" w:cs="宋体"/>
                          <w:kern w:val="0"/>
                          <w:sz w:val="24"/>
                        </w:rPr>
                      </w:pPr>
                    </w:p>
                    <w:p w14:paraId="05C889A4">
                      <w:pPr>
                        <w:widowControl/>
                        <w:jc w:val="left"/>
                      </w:pPr>
                    </w:p>
                    <w:p w14:paraId="55FFD7FE">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v:textbox>
              </v:rect>
            </w:pict>
          </mc:Fallback>
        </mc:AlternateContent>
      </w:r>
    </w:p>
    <w:p w14:paraId="10E2068F">
      <w:pPr>
        <w:spacing w:line="360" w:lineRule="auto"/>
        <w:rPr>
          <w:rFonts w:hint="eastAsia" w:ascii="宋体" w:hAnsi="宋体" w:eastAsia="宋体" w:cs="宋体"/>
          <w:bCs/>
          <w:color w:val="auto"/>
          <w:sz w:val="24"/>
        </w:rPr>
      </w:pPr>
    </w:p>
    <w:p w14:paraId="64C4FC0A">
      <w:pPr>
        <w:spacing w:line="360" w:lineRule="auto"/>
        <w:rPr>
          <w:rFonts w:hint="eastAsia" w:ascii="宋体" w:hAnsi="宋体" w:eastAsia="宋体" w:cs="宋体"/>
          <w:bCs/>
          <w:color w:val="auto"/>
          <w:sz w:val="24"/>
        </w:rPr>
      </w:pPr>
    </w:p>
    <w:p w14:paraId="15EE6E4A">
      <w:pPr>
        <w:spacing w:line="360" w:lineRule="auto"/>
        <w:rPr>
          <w:rFonts w:hint="eastAsia" w:ascii="宋体" w:hAnsi="宋体" w:eastAsia="宋体" w:cs="宋体"/>
          <w:bCs/>
          <w:color w:val="auto"/>
          <w:sz w:val="24"/>
        </w:rPr>
      </w:pPr>
    </w:p>
    <w:p w14:paraId="3CD8189D">
      <w:pPr>
        <w:rPr>
          <w:rFonts w:hint="eastAsia" w:ascii="宋体" w:hAnsi="宋体" w:eastAsia="宋体" w:cs="宋体"/>
          <w:color w:val="auto"/>
          <w:sz w:val="24"/>
        </w:rPr>
      </w:pPr>
    </w:p>
    <w:p w14:paraId="6C382950">
      <w:pPr>
        <w:rPr>
          <w:rFonts w:hint="eastAsia" w:ascii="宋体" w:hAnsi="宋体" w:eastAsia="宋体" w:cs="宋体"/>
          <w:color w:val="auto"/>
          <w:sz w:val="24"/>
        </w:rPr>
      </w:pPr>
    </w:p>
    <w:p w14:paraId="39B81BD5">
      <w:pPr>
        <w:spacing w:after="60"/>
        <w:rPr>
          <w:rFonts w:hint="eastAsia" w:ascii="宋体" w:hAnsi="宋体" w:eastAsia="宋体" w:cs="宋体"/>
          <w:color w:val="auto"/>
          <w:sz w:val="24"/>
        </w:rPr>
      </w:pPr>
    </w:p>
    <w:p w14:paraId="4F9760F2">
      <w:pPr>
        <w:rPr>
          <w:rFonts w:hint="eastAsia" w:ascii="宋体" w:hAnsi="宋体" w:eastAsia="宋体" w:cs="宋体"/>
          <w:color w:val="auto"/>
          <w:sz w:val="24"/>
        </w:rPr>
      </w:pPr>
    </w:p>
    <w:p w14:paraId="1945F518">
      <w:pPr>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说明：</w:t>
      </w:r>
    </w:p>
    <w:p w14:paraId="029C1912">
      <w:pPr>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如是代理人（受托人）参与投标，则必须提供《法定代表人（负责人或执行事务合伙人）证明书》和《投标文件签署授权委托书》，且《投标函》的委托代理人与《投标文件签署授权委托书》的代理人（受托人）必须一致。</w:t>
      </w:r>
    </w:p>
    <w:p w14:paraId="5672F98D">
      <w:pPr>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2.请提供代理人身份证扫描件（正反两面）；港澳台居民可提供来往通行证扫描件；非中国国籍管辖范围人员，可提供公安部门认可的身份证明材料扫描件。</w:t>
      </w:r>
    </w:p>
    <w:p w14:paraId="6E69DFE9">
      <w:pPr>
        <w:pStyle w:val="14"/>
        <w:rPr>
          <w:rFonts w:hint="eastAsia" w:ascii="宋体" w:hAnsi="宋体" w:eastAsia="宋体" w:cs="宋体"/>
          <w:color w:val="auto"/>
        </w:rPr>
      </w:pPr>
    </w:p>
    <w:p w14:paraId="3209AA41">
      <w:pPr>
        <w:rPr>
          <w:rFonts w:hint="eastAsia" w:ascii="宋体" w:hAnsi="宋体" w:eastAsia="宋体" w:cs="宋体"/>
          <w:color w:val="auto"/>
          <w:szCs w:val="20"/>
        </w:rPr>
      </w:pPr>
    </w:p>
    <w:p w14:paraId="124E6C2B">
      <w:pPr>
        <w:rPr>
          <w:rFonts w:hint="eastAsia" w:ascii="宋体" w:hAnsi="宋体" w:eastAsia="宋体" w:cs="宋体"/>
          <w:color w:val="auto"/>
          <w:szCs w:val="20"/>
        </w:rPr>
      </w:pPr>
    </w:p>
    <w:p w14:paraId="5922DC8D">
      <w:pPr>
        <w:rPr>
          <w:rFonts w:hint="eastAsia" w:ascii="宋体" w:hAnsi="宋体" w:eastAsia="宋体" w:cs="宋体"/>
          <w:color w:val="auto"/>
          <w:szCs w:val="20"/>
        </w:rPr>
      </w:pPr>
    </w:p>
    <w:p w14:paraId="5509E8FD">
      <w:pPr>
        <w:rPr>
          <w:rFonts w:hint="eastAsia" w:ascii="宋体" w:hAnsi="宋体" w:eastAsia="宋体" w:cs="宋体"/>
          <w:color w:val="auto"/>
          <w:szCs w:val="20"/>
        </w:rPr>
      </w:pPr>
    </w:p>
    <w:p w14:paraId="56A0D522">
      <w:pPr>
        <w:rPr>
          <w:rFonts w:hint="eastAsia" w:ascii="宋体" w:hAnsi="宋体" w:eastAsia="宋体" w:cs="宋体"/>
          <w:color w:val="auto"/>
          <w:szCs w:val="20"/>
        </w:rPr>
      </w:pPr>
    </w:p>
    <w:p w14:paraId="6254CCBC">
      <w:pPr>
        <w:pStyle w:val="5"/>
        <w:spacing w:before="120" w:after="120"/>
        <w:jc w:val="center"/>
        <w:rPr>
          <w:rFonts w:hint="eastAsia" w:ascii="宋体" w:hAnsi="宋体" w:eastAsia="宋体" w:cs="宋体"/>
          <w:b w:val="0"/>
          <w:color w:val="auto"/>
          <w:sz w:val="24"/>
          <w:lang w:eastAsia="zh-CN"/>
        </w:rPr>
      </w:pPr>
      <w:r>
        <w:rPr>
          <w:rFonts w:hint="eastAsia" w:ascii="宋体" w:hAnsi="宋体" w:eastAsia="宋体" w:cs="宋体"/>
          <w:b w:val="0"/>
          <w:color w:val="auto"/>
          <w:sz w:val="24"/>
          <w:lang w:eastAsia="zh-CN"/>
        </w:rPr>
        <w:t>三、供应商法定代表人等缴纳社会保险情况一览表</w:t>
      </w:r>
    </w:p>
    <w:p w14:paraId="6930AA21">
      <w:pPr>
        <w:keepNext w:val="0"/>
        <w:keepLines w:val="0"/>
        <w:pageBreakBefore w:val="0"/>
        <w:widowControl/>
        <w:numPr>
          <w:ilvl w:val="0"/>
          <w:numId w:val="0"/>
        </w:numPr>
        <w:snapToGrid w:val="0"/>
        <w:ind w:firstLine="482" w:firstLineChars="200"/>
        <w:outlineLvl w:val="9"/>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根据《深圳经济特区政府采购条例实施细则》第七十五条第一款（二）规定，存在“不同投标供应商的法定代表人、主要经营负责人、项目投标授权代表人、项目负责人、主要技术人员为同一人、属同一单位或者在同一单位缴纳社会保险”情形的，属于串通投标行为。</w:t>
      </w:r>
    </w:p>
    <w:p w14:paraId="5E03E5B9">
      <w:pPr>
        <w:keepNext w:val="0"/>
        <w:keepLines w:val="0"/>
        <w:pageBreakBefore w:val="0"/>
        <w:widowControl/>
        <w:numPr>
          <w:ilvl w:val="0"/>
          <w:numId w:val="0"/>
        </w:numPr>
        <w:snapToGrid w:val="0"/>
        <w:ind w:firstLine="482" w:firstLineChars="200"/>
        <w:outlineLvl w:val="9"/>
        <w:rPr>
          <w:rFonts w:hint="eastAsia" w:ascii="宋体" w:hAnsi="宋体" w:eastAsia="宋体" w:cs="宋体"/>
          <w:b/>
          <w:bCs w:val="0"/>
          <w:color w:val="auto"/>
          <w:szCs w:val="21"/>
          <w:highlight w:val="yellow"/>
          <w:lang w:eastAsia="zh-CN"/>
        </w:rPr>
      </w:pPr>
      <w:r>
        <w:rPr>
          <w:rFonts w:hint="eastAsia" w:ascii="宋体" w:hAnsi="宋体" w:eastAsia="宋体" w:cs="宋体"/>
          <w:b/>
          <w:bCs w:val="0"/>
          <w:color w:val="auto"/>
          <w:szCs w:val="21"/>
          <w:lang w:eastAsia="zh-CN"/>
        </w:rPr>
        <w:t>请供应商按以下格式提供上述法规涉及人员开标前一个月的社保缴纳情况。（注：以下内容将作为评审委员会和主管部门判定本项目不同投标供应商是否涉嫌、属于串通投标的重要依据，请供应商认真填报，并保证所填信息的真实、准确和完整。）</w:t>
      </w:r>
    </w:p>
    <w:p w14:paraId="06C12743">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p>
    <w:p w14:paraId="1F9720B8">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1.情况一览表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2346"/>
        <w:gridCol w:w="1009"/>
        <w:gridCol w:w="1677"/>
        <w:gridCol w:w="2087"/>
        <w:gridCol w:w="1030"/>
      </w:tblGrid>
      <w:tr w14:paraId="1D49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vAlign w:val="center"/>
          </w:tcPr>
          <w:p w14:paraId="7B20FCC7">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序号</w:t>
            </w:r>
          </w:p>
        </w:tc>
        <w:tc>
          <w:tcPr>
            <w:tcW w:w="2346" w:type="dxa"/>
            <w:noWrap w:val="0"/>
            <w:vAlign w:val="center"/>
          </w:tcPr>
          <w:p w14:paraId="4ECA7F0E">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内容</w:t>
            </w:r>
          </w:p>
        </w:tc>
        <w:tc>
          <w:tcPr>
            <w:tcW w:w="1009" w:type="dxa"/>
            <w:noWrap w:val="0"/>
            <w:vAlign w:val="center"/>
          </w:tcPr>
          <w:p w14:paraId="46CC53AC">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姓名</w:t>
            </w:r>
          </w:p>
        </w:tc>
        <w:tc>
          <w:tcPr>
            <w:tcW w:w="1677" w:type="dxa"/>
            <w:noWrap w:val="0"/>
            <w:vAlign w:val="center"/>
          </w:tcPr>
          <w:p w14:paraId="5829109B">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身份证号</w:t>
            </w:r>
          </w:p>
        </w:tc>
        <w:tc>
          <w:tcPr>
            <w:tcW w:w="2087" w:type="dxa"/>
            <w:noWrap w:val="0"/>
            <w:vAlign w:val="center"/>
          </w:tcPr>
          <w:p w14:paraId="362AD883">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社保缴纳单位</w:t>
            </w:r>
          </w:p>
        </w:tc>
        <w:tc>
          <w:tcPr>
            <w:tcW w:w="1030" w:type="dxa"/>
            <w:noWrap w:val="0"/>
            <w:vAlign w:val="center"/>
          </w:tcPr>
          <w:p w14:paraId="71C07286">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社保缴纳年月</w:t>
            </w:r>
          </w:p>
        </w:tc>
      </w:tr>
      <w:tr w14:paraId="7305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196D8112">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1</w:t>
            </w:r>
          </w:p>
        </w:tc>
        <w:tc>
          <w:tcPr>
            <w:tcW w:w="2346" w:type="dxa"/>
            <w:noWrap w:val="0"/>
          </w:tcPr>
          <w:p w14:paraId="4486F72B">
            <w:pPr>
              <w:pStyle w:val="14"/>
              <w:keepNext w:val="0"/>
              <w:keepLines w:val="0"/>
              <w:pageBreakBefore w:val="0"/>
              <w:widowControl/>
              <w:ind w:left="0" w:leftChars="0" w:firstLine="0" w:firstLineChars="0"/>
              <w:jc w:val="center"/>
              <w:outlineLvl w:val="9"/>
              <w:rPr>
                <w:rFonts w:hint="eastAsia" w:ascii="宋体" w:hAnsi="宋体" w:eastAsia="宋体" w:cs="宋体"/>
                <w:color w:val="auto"/>
                <w:vertAlign w:val="baseline"/>
                <w:lang w:eastAsia="zh-CN"/>
              </w:rPr>
            </w:pPr>
            <w:r>
              <w:rPr>
                <w:rFonts w:hint="eastAsia" w:ascii="宋体" w:hAnsi="宋体" w:eastAsia="宋体" w:cs="宋体"/>
                <w:b/>
                <w:color w:val="auto"/>
                <w:szCs w:val="21"/>
                <w:lang w:eastAsia="zh-CN"/>
              </w:rPr>
              <w:t>法定代表人（负责人）</w:t>
            </w:r>
          </w:p>
        </w:tc>
        <w:tc>
          <w:tcPr>
            <w:tcW w:w="1009" w:type="dxa"/>
            <w:noWrap w:val="0"/>
          </w:tcPr>
          <w:p w14:paraId="14DFF0BE">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62DAADCB">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600CB7AC">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0EFE225E">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3DF2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62AB549A">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w:t>
            </w:r>
          </w:p>
        </w:tc>
        <w:tc>
          <w:tcPr>
            <w:tcW w:w="2346" w:type="dxa"/>
            <w:noWrap w:val="0"/>
          </w:tcPr>
          <w:p w14:paraId="7D367921">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主要经营负责人</w:t>
            </w:r>
          </w:p>
        </w:tc>
        <w:tc>
          <w:tcPr>
            <w:tcW w:w="1009" w:type="dxa"/>
            <w:noWrap w:val="0"/>
          </w:tcPr>
          <w:p w14:paraId="78FB16F1">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3CBF5BDE">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2753D3CB">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50363146">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4A8C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30F1D344">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3</w:t>
            </w:r>
          </w:p>
        </w:tc>
        <w:tc>
          <w:tcPr>
            <w:tcW w:w="2346" w:type="dxa"/>
            <w:noWrap w:val="0"/>
          </w:tcPr>
          <w:p w14:paraId="5CF8CF1F">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项目投标授权代表人</w:t>
            </w:r>
          </w:p>
        </w:tc>
        <w:tc>
          <w:tcPr>
            <w:tcW w:w="1009" w:type="dxa"/>
            <w:noWrap w:val="0"/>
          </w:tcPr>
          <w:p w14:paraId="71778903">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1995F20F">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5D6B35C9">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4940BA49">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734F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6827766D">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4</w:t>
            </w:r>
          </w:p>
        </w:tc>
        <w:tc>
          <w:tcPr>
            <w:tcW w:w="2346" w:type="dxa"/>
            <w:noWrap w:val="0"/>
          </w:tcPr>
          <w:p w14:paraId="41592C2A">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项目负责人</w:t>
            </w:r>
          </w:p>
        </w:tc>
        <w:tc>
          <w:tcPr>
            <w:tcW w:w="1009" w:type="dxa"/>
            <w:noWrap w:val="0"/>
          </w:tcPr>
          <w:p w14:paraId="19F79CFE">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5BB78299">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393D2605">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780389F4">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7C56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1594E116">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5</w:t>
            </w:r>
          </w:p>
        </w:tc>
        <w:tc>
          <w:tcPr>
            <w:tcW w:w="2346" w:type="dxa"/>
            <w:noWrap w:val="0"/>
          </w:tcPr>
          <w:p w14:paraId="323E5F5B">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主要技术人员</w:t>
            </w:r>
            <w:r>
              <w:rPr>
                <w:rFonts w:hint="eastAsia" w:ascii="宋体" w:hAnsi="宋体" w:eastAsia="宋体" w:cs="宋体"/>
                <w:b/>
                <w:color w:val="auto"/>
                <w:szCs w:val="21"/>
                <w:lang w:val="en-US" w:eastAsia="zh-CN"/>
              </w:rPr>
              <w:t>1</w:t>
            </w:r>
          </w:p>
        </w:tc>
        <w:tc>
          <w:tcPr>
            <w:tcW w:w="1009" w:type="dxa"/>
            <w:noWrap w:val="0"/>
          </w:tcPr>
          <w:p w14:paraId="6F1151AC">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7A1CED20">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22B2CEB1">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71EF7268">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4A28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1FF7FD60">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6</w:t>
            </w:r>
          </w:p>
        </w:tc>
        <w:tc>
          <w:tcPr>
            <w:tcW w:w="2346" w:type="dxa"/>
            <w:noWrap w:val="0"/>
          </w:tcPr>
          <w:p w14:paraId="53DABF9D">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主要技术人员</w:t>
            </w:r>
            <w:r>
              <w:rPr>
                <w:rFonts w:hint="eastAsia" w:ascii="宋体" w:hAnsi="宋体" w:eastAsia="宋体" w:cs="宋体"/>
                <w:b/>
                <w:color w:val="auto"/>
                <w:szCs w:val="21"/>
                <w:lang w:val="en-US" w:eastAsia="zh-CN"/>
              </w:rPr>
              <w:t>2</w:t>
            </w:r>
          </w:p>
        </w:tc>
        <w:tc>
          <w:tcPr>
            <w:tcW w:w="1009" w:type="dxa"/>
            <w:noWrap w:val="0"/>
          </w:tcPr>
          <w:p w14:paraId="41ACB4B0">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64DDD7AC">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2957AA80">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548240C0">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r w14:paraId="7822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noWrap w:val="0"/>
          </w:tcPr>
          <w:p w14:paraId="752CA95E">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2346" w:type="dxa"/>
            <w:noWrap w:val="0"/>
          </w:tcPr>
          <w:p w14:paraId="4B05056D">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w:t>
            </w:r>
          </w:p>
        </w:tc>
        <w:tc>
          <w:tcPr>
            <w:tcW w:w="1009" w:type="dxa"/>
            <w:noWrap w:val="0"/>
          </w:tcPr>
          <w:p w14:paraId="065193FA">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677" w:type="dxa"/>
            <w:noWrap w:val="0"/>
          </w:tcPr>
          <w:p w14:paraId="4F6E9D84">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2087" w:type="dxa"/>
            <w:noWrap w:val="0"/>
          </w:tcPr>
          <w:p w14:paraId="45217D1F">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c>
          <w:tcPr>
            <w:tcW w:w="1030" w:type="dxa"/>
            <w:noWrap w:val="0"/>
          </w:tcPr>
          <w:p w14:paraId="60893F5E">
            <w:pPr>
              <w:pStyle w:val="14"/>
              <w:keepNext w:val="0"/>
              <w:keepLines w:val="0"/>
              <w:pageBreakBefore w:val="0"/>
              <w:widowControl/>
              <w:ind w:left="0" w:leftChars="0" w:firstLine="0" w:firstLineChars="0"/>
              <w:jc w:val="center"/>
              <w:outlineLvl w:val="9"/>
              <w:rPr>
                <w:rFonts w:hint="eastAsia" w:ascii="宋体" w:hAnsi="宋体" w:eastAsia="宋体" w:cs="宋体"/>
                <w:b/>
                <w:color w:val="auto"/>
                <w:szCs w:val="21"/>
                <w:lang w:eastAsia="zh-CN"/>
              </w:rPr>
            </w:pPr>
          </w:p>
        </w:tc>
      </w:tr>
    </w:tbl>
    <w:p w14:paraId="2BA97C59">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p>
    <w:p w14:paraId="1A81B069">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2.证明材料：</w:t>
      </w:r>
    </w:p>
    <w:p w14:paraId="6CB687DA">
      <w:pPr>
        <w:keepNext w:val="0"/>
        <w:keepLines w:val="0"/>
        <w:pageBreakBefore w:val="0"/>
        <w:widowControl/>
        <w:numPr>
          <w:ilvl w:val="0"/>
          <w:numId w:val="0"/>
        </w:numPr>
        <w:snapToGrid w:val="0"/>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（1）</w:t>
      </w:r>
      <w:r>
        <w:rPr>
          <w:rFonts w:hint="eastAsia" w:ascii="宋体" w:hAnsi="宋体" w:eastAsia="宋体" w:cs="宋体"/>
          <w:b/>
          <w:color w:val="auto"/>
          <w:szCs w:val="21"/>
          <w:lang w:eastAsia="zh-CN"/>
        </w:rPr>
        <w:t>法定代表人（负责人）</w:t>
      </w:r>
    </w:p>
    <w:p w14:paraId="1BAA4C80">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75CBB0A1">
      <w:pPr>
        <w:pStyle w:val="14"/>
        <w:keepNext w:val="0"/>
        <w:keepLines w:val="0"/>
        <w:pageBreakBefore w:val="0"/>
        <w:widowControl/>
        <w:outlineLvl w:val="9"/>
        <w:rPr>
          <w:rFonts w:hint="eastAsia" w:ascii="宋体" w:hAnsi="宋体" w:eastAsia="宋体" w:cs="宋体"/>
          <w:color w:val="auto"/>
          <w:lang w:val="en-US" w:eastAsia="zh-CN"/>
        </w:rPr>
      </w:pPr>
    </w:p>
    <w:p w14:paraId="71BB38FF">
      <w:pPr>
        <w:keepNext w:val="0"/>
        <w:keepLines w:val="0"/>
        <w:pageBreakBefore w:val="0"/>
        <w:widowControl/>
        <w:numPr>
          <w:ilvl w:val="0"/>
          <w:numId w:val="0"/>
        </w:numPr>
        <w:snapToGrid w:val="0"/>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lang w:eastAsia="zh-CN"/>
        </w:rPr>
        <w:t>主要经营负责人</w:t>
      </w:r>
    </w:p>
    <w:p w14:paraId="6B1E4495">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身份证复印件（正反面）：</w:t>
      </w:r>
    </w:p>
    <w:p w14:paraId="2410CCF1">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42D7014F">
      <w:pPr>
        <w:pStyle w:val="14"/>
        <w:keepNext w:val="0"/>
        <w:keepLines w:val="0"/>
        <w:pageBreakBefore w:val="0"/>
        <w:widowControl/>
        <w:outlineLvl w:val="9"/>
        <w:rPr>
          <w:rFonts w:hint="eastAsia" w:ascii="宋体" w:hAnsi="宋体" w:eastAsia="宋体" w:cs="宋体"/>
          <w:color w:val="auto"/>
          <w:lang w:val="en-US" w:eastAsia="zh-CN"/>
        </w:rPr>
      </w:pPr>
    </w:p>
    <w:p w14:paraId="5DBC7989">
      <w:pPr>
        <w:keepNext w:val="0"/>
        <w:keepLines w:val="0"/>
        <w:pageBreakBefore w:val="0"/>
        <w:widowControl/>
        <w:numPr>
          <w:ilvl w:val="0"/>
          <w:numId w:val="0"/>
        </w:numPr>
        <w:snapToGrid w:val="0"/>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（3）</w:t>
      </w:r>
      <w:r>
        <w:rPr>
          <w:rFonts w:hint="eastAsia" w:ascii="宋体" w:hAnsi="宋体" w:eastAsia="宋体" w:cs="宋体"/>
          <w:b/>
          <w:color w:val="auto"/>
          <w:szCs w:val="21"/>
          <w:lang w:eastAsia="zh-CN"/>
        </w:rPr>
        <w:t>项目投标授权代表人</w:t>
      </w:r>
    </w:p>
    <w:p w14:paraId="7F9AB2D7">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60AC33B6">
      <w:pPr>
        <w:pStyle w:val="14"/>
        <w:keepNext w:val="0"/>
        <w:keepLines w:val="0"/>
        <w:pageBreakBefore w:val="0"/>
        <w:widowControl/>
        <w:outlineLvl w:val="9"/>
        <w:rPr>
          <w:rFonts w:hint="eastAsia" w:ascii="宋体" w:hAnsi="宋体" w:eastAsia="宋体" w:cs="宋体"/>
          <w:color w:val="auto"/>
          <w:lang w:val="en-US" w:eastAsia="zh-CN"/>
        </w:rPr>
      </w:pPr>
    </w:p>
    <w:p w14:paraId="5FEC2143">
      <w:pPr>
        <w:keepNext w:val="0"/>
        <w:keepLines w:val="0"/>
        <w:pageBreakBefore w:val="0"/>
        <w:widowControl/>
        <w:numPr>
          <w:ilvl w:val="0"/>
          <w:numId w:val="0"/>
        </w:numPr>
        <w:snapToGrid w:val="0"/>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（4）</w:t>
      </w:r>
      <w:r>
        <w:rPr>
          <w:rFonts w:hint="eastAsia" w:ascii="宋体" w:hAnsi="宋体" w:eastAsia="宋体" w:cs="宋体"/>
          <w:b/>
          <w:color w:val="auto"/>
          <w:szCs w:val="21"/>
          <w:lang w:eastAsia="zh-CN"/>
        </w:rPr>
        <w:t>项目负责人</w:t>
      </w:r>
    </w:p>
    <w:p w14:paraId="1A0CAD4C">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身份证复印件（正反面）：</w:t>
      </w:r>
    </w:p>
    <w:p w14:paraId="0738B7AB">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3904B62C">
      <w:pPr>
        <w:pStyle w:val="14"/>
        <w:keepNext w:val="0"/>
        <w:keepLines w:val="0"/>
        <w:pageBreakBefore w:val="0"/>
        <w:widowControl/>
        <w:outlineLvl w:val="9"/>
        <w:rPr>
          <w:rFonts w:hint="eastAsia" w:ascii="宋体" w:hAnsi="宋体" w:eastAsia="宋体" w:cs="宋体"/>
          <w:color w:val="auto"/>
          <w:lang w:val="en-US" w:eastAsia="zh-CN"/>
        </w:rPr>
      </w:pPr>
    </w:p>
    <w:p w14:paraId="4F343447">
      <w:pPr>
        <w:keepNext w:val="0"/>
        <w:keepLines w:val="0"/>
        <w:pageBreakBefore w:val="0"/>
        <w:widowControl/>
        <w:numPr>
          <w:ilvl w:val="0"/>
          <w:numId w:val="0"/>
        </w:numPr>
        <w:snapToGrid w:val="0"/>
        <w:outlineLvl w:val="9"/>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eastAsia="zh-CN"/>
        </w:rPr>
        <w:t>主要技术人员</w:t>
      </w:r>
      <w:r>
        <w:rPr>
          <w:rFonts w:hint="eastAsia" w:ascii="宋体" w:hAnsi="宋体" w:eastAsia="宋体" w:cs="宋体"/>
          <w:b/>
          <w:color w:val="auto"/>
          <w:szCs w:val="21"/>
          <w:lang w:val="en-US" w:eastAsia="zh-CN"/>
        </w:rPr>
        <w:t>1</w:t>
      </w:r>
    </w:p>
    <w:p w14:paraId="553A8495">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身份证复印件（正反面）：</w:t>
      </w:r>
    </w:p>
    <w:p w14:paraId="6F378B24">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1582976D">
      <w:pPr>
        <w:pStyle w:val="14"/>
        <w:keepNext w:val="0"/>
        <w:keepLines w:val="0"/>
        <w:pageBreakBefore w:val="0"/>
        <w:widowControl/>
        <w:outlineLvl w:val="9"/>
        <w:rPr>
          <w:rFonts w:hint="eastAsia" w:ascii="宋体" w:hAnsi="宋体" w:eastAsia="宋体" w:cs="宋体"/>
          <w:color w:val="auto"/>
          <w:lang w:val="en-US" w:eastAsia="zh-CN"/>
        </w:rPr>
      </w:pPr>
    </w:p>
    <w:p w14:paraId="75919744">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（6）</w:t>
      </w:r>
      <w:r>
        <w:rPr>
          <w:rFonts w:hint="eastAsia" w:ascii="宋体" w:hAnsi="宋体" w:eastAsia="宋体" w:cs="宋体"/>
          <w:b/>
          <w:color w:val="auto"/>
          <w:szCs w:val="21"/>
          <w:lang w:eastAsia="zh-CN"/>
        </w:rPr>
        <w:t>主要技术人员</w:t>
      </w:r>
      <w:r>
        <w:rPr>
          <w:rFonts w:hint="eastAsia" w:ascii="宋体" w:hAnsi="宋体" w:eastAsia="宋体" w:cs="宋体"/>
          <w:b/>
          <w:color w:val="auto"/>
          <w:szCs w:val="21"/>
          <w:lang w:val="en-US" w:eastAsia="zh-CN"/>
        </w:rPr>
        <w:t>2</w:t>
      </w:r>
    </w:p>
    <w:p w14:paraId="27293C06">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身份证复印件（正反面）：</w:t>
      </w:r>
    </w:p>
    <w:p w14:paraId="0D575452">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开标前一个月的社保缴纳凭证：</w:t>
      </w:r>
    </w:p>
    <w:p w14:paraId="66807274">
      <w:pPr>
        <w:pStyle w:val="14"/>
        <w:keepNext w:val="0"/>
        <w:keepLines w:val="0"/>
        <w:pageBreakBefore w:val="0"/>
        <w:widowControl/>
        <w:outlineLvl w:val="9"/>
        <w:rPr>
          <w:rFonts w:hint="eastAsia" w:ascii="宋体" w:hAnsi="宋体" w:eastAsia="宋体" w:cs="宋体"/>
          <w:color w:val="auto"/>
          <w:lang w:val="en-US" w:eastAsia="zh-CN"/>
        </w:rPr>
      </w:pPr>
    </w:p>
    <w:p w14:paraId="27A853AF">
      <w:pPr>
        <w:keepNext w:val="0"/>
        <w:keepLines w:val="0"/>
        <w:pageBreakBefore w:val="0"/>
        <w:widowControl/>
        <w:numPr>
          <w:ilvl w:val="0"/>
          <w:numId w:val="0"/>
        </w:numPr>
        <w:snapToGrid w:val="0"/>
        <w:outlineLvl w:val="9"/>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p w14:paraId="5DF5724B">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eastAsia="zh-CN"/>
        </w:rPr>
        <w:t>四</w:t>
      </w:r>
      <w:r>
        <w:rPr>
          <w:rFonts w:hint="eastAsia" w:ascii="宋体" w:hAnsi="宋体" w:eastAsia="宋体" w:cs="宋体"/>
          <w:bCs w:val="0"/>
          <w:color w:val="auto"/>
          <w:sz w:val="24"/>
        </w:rPr>
        <w:t>、</w:t>
      </w:r>
      <w:bookmarkStart w:id="41" w:name="_Hlk72092634"/>
      <w:r>
        <w:rPr>
          <w:rFonts w:hint="eastAsia" w:ascii="宋体" w:hAnsi="宋体" w:eastAsia="宋体" w:cs="宋体"/>
          <w:bCs w:val="0"/>
          <w:color w:val="auto"/>
          <w:sz w:val="24"/>
        </w:rPr>
        <w:t>实质性条款响应情况表</w:t>
      </w:r>
      <w:bookmarkEnd w:id="41"/>
    </w:p>
    <w:tbl>
      <w:tblPr>
        <w:tblStyle w:val="35"/>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837"/>
        <w:gridCol w:w="3487"/>
        <w:gridCol w:w="1195"/>
        <w:gridCol w:w="676"/>
      </w:tblGrid>
      <w:tr w14:paraId="382D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2" w:type="dxa"/>
            <w:noWrap w:val="0"/>
            <w:vAlign w:val="center"/>
          </w:tcPr>
          <w:p w14:paraId="20C481C5">
            <w:pPr>
              <w:snapToGrid w:val="0"/>
              <w:spacing w:line="360" w:lineRule="auto"/>
              <w:jc w:val="center"/>
              <w:rPr>
                <w:rFonts w:hint="eastAsia" w:ascii="宋体" w:hAnsi="宋体" w:eastAsia="宋体" w:cs="宋体"/>
                <w:b/>
                <w:bCs/>
                <w:color w:val="auto"/>
                <w:sz w:val="21"/>
                <w:szCs w:val="21"/>
              </w:rPr>
            </w:pPr>
            <w:bookmarkStart w:id="42" w:name="_Hlk72092651"/>
            <w:r>
              <w:rPr>
                <w:rFonts w:hint="eastAsia" w:ascii="宋体" w:hAnsi="宋体" w:eastAsia="宋体" w:cs="宋体"/>
                <w:b/>
                <w:bCs/>
                <w:color w:val="auto"/>
                <w:sz w:val="21"/>
                <w:szCs w:val="21"/>
              </w:rPr>
              <w:t>序号</w:t>
            </w:r>
          </w:p>
        </w:tc>
        <w:tc>
          <w:tcPr>
            <w:tcW w:w="3837" w:type="dxa"/>
            <w:noWrap w:val="0"/>
            <w:vAlign w:val="center"/>
          </w:tcPr>
          <w:p w14:paraId="0445B892">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实质性条款具体内容</w:t>
            </w:r>
          </w:p>
        </w:tc>
        <w:tc>
          <w:tcPr>
            <w:tcW w:w="3487" w:type="dxa"/>
            <w:noWrap w:val="0"/>
            <w:vAlign w:val="center"/>
          </w:tcPr>
          <w:p w14:paraId="46FBC5B0">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投标响应</w:t>
            </w:r>
          </w:p>
        </w:tc>
        <w:tc>
          <w:tcPr>
            <w:tcW w:w="1195" w:type="dxa"/>
            <w:noWrap w:val="0"/>
            <w:vAlign w:val="center"/>
          </w:tcPr>
          <w:p w14:paraId="49C41583">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偏离情况</w:t>
            </w:r>
          </w:p>
        </w:tc>
        <w:tc>
          <w:tcPr>
            <w:tcW w:w="676" w:type="dxa"/>
            <w:noWrap w:val="0"/>
            <w:vAlign w:val="center"/>
          </w:tcPr>
          <w:p w14:paraId="50AEB88A">
            <w:pPr>
              <w:snapToGrid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bookmarkEnd w:id="42"/>
          </w:p>
        </w:tc>
      </w:tr>
      <w:tr w14:paraId="2F5C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noWrap w:val="0"/>
            <w:vAlign w:val="top"/>
          </w:tcPr>
          <w:p w14:paraId="5BAAABF0">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Cs w:val="21"/>
              </w:rPr>
              <w:t>1</w:t>
            </w:r>
          </w:p>
        </w:tc>
        <w:tc>
          <w:tcPr>
            <w:tcW w:w="3837" w:type="dxa"/>
            <w:noWrap w:val="0"/>
            <w:vAlign w:val="top"/>
          </w:tcPr>
          <w:p w14:paraId="107D335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lang w:eastAsia="zh-CN"/>
              </w:rPr>
              <w:t>……</w:t>
            </w:r>
          </w:p>
        </w:tc>
        <w:tc>
          <w:tcPr>
            <w:tcW w:w="3487" w:type="dxa"/>
            <w:noWrap w:val="0"/>
          </w:tcPr>
          <w:p w14:paraId="0B934F88">
            <w:pPr>
              <w:snapToGrid w:val="0"/>
              <w:spacing w:line="360" w:lineRule="auto"/>
              <w:rPr>
                <w:rFonts w:hint="eastAsia" w:ascii="宋体" w:hAnsi="宋体" w:eastAsia="宋体" w:cs="宋体"/>
                <w:color w:val="auto"/>
                <w:sz w:val="21"/>
                <w:szCs w:val="21"/>
              </w:rPr>
            </w:pPr>
          </w:p>
        </w:tc>
        <w:tc>
          <w:tcPr>
            <w:tcW w:w="1195" w:type="dxa"/>
            <w:noWrap w:val="0"/>
          </w:tcPr>
          <w:p w14:paraId="7A4A9C1E">
            <w:pPr>
              <w:snapToGrid w:val="0"/>
              <w:spacing w:line="360" w:lineRule="auto"/>
              <w:rPr>
                <w:rFonts w:hint="eastAsia" w:ascii="宋体" w:hAnsi="宋体" w:eastAsia="宋体" w:cs="宋体"/>
                <w:color w:val="auto"/>
                <w:sz w:val="21"/>
                <w:szCs w:val="21"/>
              </w:rPr>
            </w:pPr>
          </w:p>
        </w:tc>
        <w:tc>
          <w:tcPr>
            <w:tcW w:w="676" w:type="dxa"/>
            <w:noWrap w:val="0"/>
          </w:tcPr>
          <w:p w14:paraId="22BE5A4A">
            <w:pPr>
              <w:snapToGrid w:val="0"/>
              <w:spacing w:line="360" w:lineRule="auto"/>
              <w:rPr>
                <w:rFonts w:hint="eastAsia" w:ascii="宋体" w:hAnsi="宋体" w:eastAsia="宋体" w:cs="宋体"/>
                <w:color w:val="auto"/>
                <w:sz w:val="21"/>
                <w:szCs w:val="21"/>
              </w:rPr>
            </w:pPr>
          </w:p>
        </w:tc>
      </w:tr>
      <w:tr w14:paraId="3DAC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noWrap w:val="0"/>
            <w:vAlign w:val="center"/>
          </w:tcPr>
          <w:p w14:paraId="5D41DDD4">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837" w:type="dxa"/>
            <w:noWrap w:val="0"/>
            <w:vAlign w:val="top"/>
          </w:tcPr>
          <w:p w14:paraId="7415E64E">
            <w:pPr>
              <w:snapToGrid w:val="0"/>
              <w:spacing w:line="360" w:lineRule="auto"/>
              <w:rPr>
                <w:rFonts w:hint="eastAsia" w:ascii="宋体" w:hAnsi="宋体" w:eastAsia="宋体" w:cs="宋体"/>
                <w:color w:val="auto"/>
                <w:sz w:val="21"/>
                <w:szCs w:val="21"/>
              </w:rPr>
            </w:pPr>
          </w:p>
        </w:tc>
        <w:tc>
          <w:tcPr>
            <w:tcW w:w="3487" w:type="dxa"/>
            <w:noWrap w:val="0"/>
          </w:tcPr>
          <w:p w14:paraId="700D7851">
            <w:pPr>
              <w:snapToGrid w:val="0"/>
              <w:spacing w:line="360" w:lineRule="auto"/>
              <w:rPr>
                <w:rFonts w:hint="eastAsia" w:ascii="宋体" w:hAnsi="宋体" w:eastAsia="宋体" w:cs="宋体"/>
                <w:color w:val="auto"/>
                <w:sz w:val="21"/>
                <w:szCs w:val="21"/>
              </w:rPr>
            </w:pPr>
          </w:p>
        </w:tc>
        <w:tc>
          <w:tcPr>
            <w:tcW w:w="1195" w:type="dxa"/>
            <w:noWrap w:val="0"/>
          </w:tcPr>
          <w:p w14:paraId="3920FA9C">
            <w:pPr>
              <w:snapToGrid w:val="0"/>
              <w:spacing w:line="360" w:lineRule="auto"/>
              <w:rPr>
                <w:rFonts w:hint="eastAsia" w:ascii="宋体" w:hAnsi="宋体" w:eastAsia="宋体" w:cs="宋体"/>
                <w:color w:val="auto"/>
                <w:sz w:val="21"/>
                <w:szCs w:val="21"/>
              </w:rPr>
            </w:pPr>
          </w:p>
        </w:tc>
        <w:tc>
          <w:tcPr>
            <w:tcW w:w="676" w:type="dxa"/>
            <w:noWrap w:val="0"/>
          </w:tcPr>
          <w:p w14:paraId="65CEC601">
            <w:pPr>
              <w:snapToGrid w:val="0"/>
              <w:spacing w:line="360" w:lineRule="auto"/>
              <w:rPr>
                <w:rFonts w:hint="eastAsia" w:ascii="宋体" w:hAnsi="宋体" w:eastAsia="宋体" w:cs="宋体"/>
                <w:color w:val="auto"/>
                <w:sz w:val="21"/>
                <w:szCs w:val="21"/>
              </w:rPr>
            </w:pPr>
          </w:p>
        </w:tc>
      </w:tr>
      <w:tr w14:paraId="2A4E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noWrap w:val="0"/>
            <w:vAlign w:val="center"/>
          </w:tcPr>
          <w:p w14:paraId="4655C23E">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837" w:type="dxa"/>
            <w:noWrap w:val="0"/>
            <w:vAlign w:val="top"/>
          </w:tcPr>
          <w:p w14:paraId="5C7FB6C5">
            <w:pPr>
              <w:snapToGrid w:val="0"/>
              <w:spacing w:line="360" w:lineRule="auto"/>
              <w:rPr>
                <w:rFonts w:hint="eastAsia" w:ascii="宋体" w:hAnsi="宋体" w:eastAsia="宋体" w:cs="宋体"/>
                <w:color w:val="auto"/>
                <w:sz w:val="21"/>
                <w:szCs w:val="21"/>
              </w:rPr>
            </w:pPr>
          </w:p>
        </w:tc>
        <w:tc>
          <w:tcPr>
            <w:tcW w:w="3487" w:type="dxa"/>
            <w:noWrap w:val="0"/>
          </w:tcPr>
          <w:p w14:paraId="388BFBDC">
            <w:pPr>
              <w:snapToGrid w:val="0"/>
              <w:spacing w:line="360" w:lineRule="auto"/>
              <w:rPr>
                <w:rFonts w:hint="eastAsia" w:ascii="宋体" w:hAnsi="宋体" w:eastAsia="宋体" w:cs="宋体"/>
                <w:color w:val="auto"/>
                <w:sz w:val="21"/>
                <w:szCs w:val="21"/>
              </w:rPr>
            </w:pPr>
          </w:p>
        </w:tc>
        <w:tc>
          <w:tcPr>
            <w:tcW w:w="1195" w:type="dxa"/>
            <w:noWrap w:val="0"/>
          </w:tcPr>
          <w:p w14:paraId="707A7C22">
            <w:pPr>
              <w:snapToGrid w:val="0"/>
              <w:spacing w:line="360" w:lineRule="auto"/>
              <w:rPr>
                <w:rFonts w:hint="eastAsia" w:ascii="宋体" w:hAnsi="宋体" w:eastAsia="宋体" w:cs="宋体"/>
                <w:color w:val="auto"/>
                <w:sz w:val="21"/>
                <w:szCs w:val="21"/>
              </w:rPr>
            </w:pPr>
          </w:p>
        </w:tc>
        <w:tc>
          <w:tcPr>
            <w:tcW w:w="676" w:type="dxa"/>
            <w:noWrap w:val="0"/>
          </w:tcPr>
          <w:p w14:paraId="06FD1448">
            <w:pPr>
              <w:snapToGrid w:val="0"/>
              <w:spacing w:line="360" w:lineRule="auto"/>
              <w:rPr>
                <w:rFonts w:hint="eastAsia" w:ascii="宋体" w:hAnsi="宋体" w:eastAsia="宋体" w:cs="宋体"/>
                <w:color w:val="auto"/>
                <w:sz w:val="21"/>
                <w:szCs w:val="21"/>
              </w:rPr>
            </w:pPr>
          </w:p>
        </w:tc>
      </w:tr>
      <w:tr w14:paraId="222F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noWrap w:val="0"/>
            <w:vAlign w:val="center"/>
          </w:tcPr>
          <w:p w14:paraId="4672375F">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837" w:type="dxa"/>
            <w:noWrap w:val="0"/>
            <w:vAlign w:val="top"/>
          </w:tcPr>
          <w:p w14:paraId="439BA30C">
            <w:pPr>
              <w:snapToGrid w:val="0"/>
              <w:spacing w:line="360" w:lineRule="auto"/>
              <w:rPr>
                <w:rFonts w:hint="eastAsia" w:ascii="宋体" w:hAnsi="宋体" w:eastAsia="宋体" w:cs="宋体"/>
                <w:color w:val="auto"/>
                <w:sz w:val="21"/>
                <w:szCs w:val="21"/>
              </w:rPr>
            </w:pPr>
          </w:p>
        </w:tc>
        <w:tc>
          <w:tcPr>
            <w:tcW w:w="3487" w:type="dxa"/>
            <w:noWrap w:val="0"/>
          </w:tcPr>
          <w:p w14:paraId="36402CC0">
            <w:pPr>
              <w:snapToGrid w:val="0"/>
              <w:spacing w:line="360" w:lineRule="auto"/>
              <w:rPr>
                <w:rFonts w:hint="eastAsia" w:ascii="宋体" w:hAnsi="宋体" w:eastAsia="宋体" w:cs="宋体"/>
                <w:color w:val="auto"/>
                <w:sz w:val="21"/>
                <w:szCs w:val="21"/>
              </w:rPr>
            </w:pPr>
          </w:p>
        </w:tc>
        <w:tc>
          <w:tcPr>
            <w:tcW w:w="1195" w:type="dxa"/>
            <w:noWrap w:val="0"/>
          </w:tcPr>
          <w:p w14:paraId="0E41BBC4">
            <w:pPr>
              <w:snapToGrid w:val="0"/>
              <w:spacing w:line="360" w:lineRule="auto"/>
              <w:rPr>
                <w:rFonts w:hint="eastAsia" w:ascii="宋体" w:hAnsi="宋体" w:eastAsia="宋体" w:cs="宋体"/>
                <w:color w:val="auto"/>
                <w:sz w:val="21"/>
                <w:szCs w:val="21"/>
              </w:rPr>
            </w:pPr>
          </w:p>
        </w:tc>
        <w:tc>
          <w:tcPr>
            <w:tcW w:w="676" w:type="dxa"/>
            <w:noWrap w:val="0"/>
          </w:tcPr>
          <w:p w14:paraId="269F25FC">
            <w:pPr>
              <w:snapToGrid w:val="0"/>
              <w:spacing w:line="360" w:lineRule="auto"/>
              <w:rPr>
                <w:rFonts w:hint="eastAsia" w:ascii="宋体" w:hAnsi="宋体" w:eastAsia="宋体" w:cs="宋体"/>
                <w:color w:val="auto"/>
                <w:sz w:val="21"/>
                <w:szCs w:val="21"/>
              </w:rPr>
            </w:pPr>
          </w:p>
        </w:tc>
      </w:tr>
    </w:tbl>
    <w:p w14:paraId="5909370A">
      <w:pPr>
        <w:rPr>
          <w:rFonts w:hint="eastAsia" w:ascii="宋体" w:hAnsi="宋体" w:eastAsia="宋体" w:cs="宋体"/>
          <w:b/>
          <w:color w:val="auto"/>
          <w:szCs w:val="22"/>
        </w:rPr>
      </w:pPr>
    </w:p>
    <w:p w14:paraId="25465D8A">
      <w:pPr>
        <w:ind w:firstLine="482" w:firstLineChars="200"/>
        <w:rPr>
          <w:rFonts w:hint="eastAsia" w:ascii="宋体" w:hAnsi="宋体" w:eastAsia="宋体" w:cs="宋体"/>
          <w:b/>
          <w:color w:val="auto"/>
          <w:szCs w:val="22"/>
        </w:rPr>
      </w:pPr>
      <w:r>
        <w:rPr>
          <w:rFonts w:hint="eastAsia" w:ascii="宋体" w:hAnsi="宋体" w:eastAsia="宋体" w:cs="宋体"/>
          <w:b/>
          <w:color w:val="auto"/>
          <w:szCs w:val="22"/>
        </w:rPr>
        <w:t>注：</w:t>
      </w:r>
    </w:p>
    <w:p w14:paraId="4E1B1695">
      <w:pPr>
        <w:ind w:firstLine="482" w:firstLineChars="200"/>
        <w:rPr>
          <w:rFonts w:hint="eastAsia" w:ascii="宋体" w:hAnsi="宋体" w:eastAsia="宋体" w:cs="宋体"/>
          <w:b/>
          <w:color w:val="auto"/>
          <w:szCs w:val="22"/>
        </w:rPr>
      </w:pPr>
      <w:r>
        <w:rPr>
          <w:rFonts w:hint="eastAsia" w:ascii="宋体" w:hAnsi="宋体" w:eastAsia="宋体" w:cs="宋体"/>
          <w:b/>
          <w:color w:val="auto"/>
          <w:szCs w:val="22"/>
        </w:rPr>
        <w:t>1. 上表所列各项均为不可负偏离条款。</w:t>
      </w:r>
    </w:p>
    <w:p w14:paraId="6E78C81C">
      <w:pPr>
        <w:ind w:firstLine="482" w:firstLineChars="200"/>
        <w:rPr>
          <w:rFonts w:hint="eastAsia" w:ascii="宋体" w:hAnsi="宋体" w:eastAsia="宋体" w:cs="宋体"/>
          <w:b/>
          <w:color w:val="auto"/>
          <w:szCs w:val="22"/>
        </w:rPr>
      </w:pPr>
      <w:r>
        <w:rPr>
          <w:rFonts w:hint="eastAsia" w:ascii="宋体" w:hAnsi="宋体" w:eastAsia="宋体" w:cs="宋体"/>
          <w:b/>
          <w:color w:val="auto"/>
          <w:szCs w:val="22"/>
        </w:rPr>
        <w:t>2.“投标响应”一栏应当详细填写投标人自身响应情况，而不能不合理照搬照抄招实质性条款具体内容。</w:t>
      </w:r>
    </w:p>
    <w:p w14:paraId="132236EE">
      <w:pPr>
        <w:ind w:firstLine="482" w:firstLineChars="200"/>
        <w:rPr>
          <w:rFonts w:hint="eastAsia" w:ascii="宋体" w:hAnsi="宋体" w:eastAsia="宋体" w:cs="宋体"/>
          <w:b/>
          <w:color w:val="auto"/>
          <w:szCs w:val="22"/>
        </w:rPr>
      </w:pPr>
      <w:r>
        <w:rPr>
          <w:rFonts w:hint="eastAsia" w:ascii="宋体" w:hAnsi="宋体" w:eastAsia="宋体" w:cs="宋体"/>
          <w:b/>
          <w:color w:val="auto"/>
          <w:szCs w:val="22"/>
        </w:rPr>
        <w:t>3.“偏离情况”一栏应填写“正偏离”、“负偏离”或“无偏离”，</w:t>
      </w:r>
      <w:r>
        <w:rPr>
          <w:rFonts w:hint="eastAsia" w:ascii="宋体" w:hAnsi="宋体" w:eastAsia="宋体" w:cs="宋体"/>
          <w:b/>
          <w:color w:val="auto"/>
        </w:rPr>
        <w:t>“正偏离”表示“投标响应优于实质性条款具体内容要求”，“负偏离”表示“投标响应不满足实质性条款具体内容要求”，“无偏离”表示“投标响应与实质性条款具体内容要求一致”。</w:t>
      </w:r>
    </w:p>
    <w:p w14:paraId="3EBD78BF">
      <w:pPr>
        <w:ind w:firstLine="482" w:firstLineChars="200"/>
        <w:rPr>
          <w:rFonts w:hint="eastAsia" w:ascii="宋体" w:hAnsi="宋体" w:eastAsia="宋体" w:cs="宋体"/>
          <w:b/>
          <w:color w:val="auto"/>
        </w:rPr>
      </w:pPr>
      <w:r>
        <w:rPr>
          <w:rFonts w:hint="eastAsia" w:ascii="宋体" w:hAnsi="宋体" w:eastAsia="宋体" w:cs="宋体"/>
          <w:b/>
          <w:color w:val="auto"/>
        </w:rPr>
        <w:t>4.评审委员会有权对投标响应情况作出判断（作出评审结论）。</w:t>
      </w:r>
    </w:p>
    <w:p w14:paraId="43D9A41F">
      <w:pPr>
        <w:ind w:firstLine="482" w:firstLineChars="200"/>
        <w:rPr>
          <w:rFonts w:hint="eastAsia" w:ascii="宋体" w:hAnsi="宋体" w:eastAsia="宋体" w:cs="宋体"/>
          <w:color w:val="auto"/>
        </w:rPr>
      </w:pPr>
      <w:r>
        <w:rPr>
          <w:rFonts w:hint="eastAsia" w:ascii="宋体" w:hAnsi="宋体" w:eastAsia="宋体" w:cs="宋体"/>
          <w:b/>
          <w:color w:val="auto"/>
          <w:szCs w:val="22"/>
        </w:rPr>
        <w:t>5.实质性响应条款“投标响应情况”与投标文件其它内容冲突的，以实质性响应条款“投标响应情况”为准。</w:t>
      </w:r>
    </w:p>
    <w:p w14:paraId="3CD3AD02">
      <w:pPr>
        <w:rPr>
          <w:rFonts w:hint="eastAsia" w:ascii="宋体" w:hAnsi="宋体" w:eastAsia="宋体" w:cs="宋体"/>
          <w:color w:val="auto"/>
        </w:rPr>
      </w:pPr>
    </w:p>
    <w:p w14:paraId="49A9937F">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eastAsia="zh-CN"/>
        </w:rPr>
        <w:t>五</w:t>
      </w:r>
      <w:r>
        <w:rPr>
          <w:rFonts w:hint="eastAsia" w:ascii="宋体" w:hAnsi="宋体" w:eastAsia="宋体" w:cs="宋体"/>
          <w:bCs w:val="0"/>
          <w:color w:val="auto"/>
          <w:sz w:val="24"/>
        </w:rPr>
        <w:t>、商务、</w:t>
      </w:r>
      <w:r>
        <w:rPr>
          <w:rFonts w:hint="eastAsia" w:ascii="宋体" w:hAnsi="宋体" w:eastAsia="宋体" w:cs="宋体"/>
          <w:bCs w:val="0"/>
          <w:color w:val="auto"/>
          <w:sz w:val="24"/>
          <w:lang w:eastAsia="zh-CN"/>
        </w:rPr>
        <w:t>服务</w:t>
      </w:r>
      <w:r>
        <w:rPr>
          <w:rFonts w:hint="eastAsia" w:ascii="宋体" w:hAnsi="宋体" w:eastAsia="宋体" w:cs="宋体"/>
          <w:bCs w:val="0"/>
          <w:color w:val="auto"/>
          <w:sz w:val="24"/>
        </w:rPr>
        <w:t>条款偏离表</w:t>
      </w:r>
    </w:p>
    <w:p w14:paraId="3A7D910E">
      <w:pPr>
        <w:snapToGrid w:val="0"/>
        <w:spacing w:line="360" w:lineRule="auto"/>
        <w:rPr>
          <w:rFonts w:hint="eastAsia" w:ascii="宋体" w:hAnsi="宋体" w:eastAsia="宋体" w:cs="宋体"/>
          <w:color w:val="auto"/>
          <w:u w:val="single"/>
        </w:rPr>
      </w:pPr>
      <w:r>
        <w:rPr>
          <w:rFonts w:hint="eastAsia" w:ascii="宋体" w:hAnsi="宋体" w:eastAsia="宋体" w:cs="宋体"/>
          <w:color w:val="auto"/>
        </w:rPr>
        <w:t>投标单位（投标人）名称：</w:t>
      </w:r>
    </w:p>
    <w:tbl>
      <w:tblPr>
        <w:tblStyle w:val="35"/>
        <w:tblW w:w="968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40"/>
        <w:gridCol w:w="4732"/>
        <w:gridCol w:w="3053"/>
        <w:gridCol w:w="1262"/>
      </w:tblGrid>
      <w:tr w14:paraId="58C0386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640" w:type="dxa"/>
            <w:noWrap w:val="0"/>
            <w:vAlign w:val="center"/>
          </w:tcPr>
          <w:p w14:paraId="23E7E981">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4732" w:type="dxa"/>
            <w:noWrap w:val="0"/>
            <w:vAlign w:val="center"/>
          </w:tcPr>
          <w:p w14:paraId="5F7038A0">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招标文件要求</w:t>
            </w:r>
          </w:p>
        </w:tc>
        <w:tc>
          <w:tcPr>
            <w:tcW w:w="3053" w:type="dxa"/>
            <w:noWrap w:val="0"/>
            <w:vAlign w:val="center"/>
          </w:tcPr>
          <w:p w14:paraId="6C2C13FA">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投标文件响应</w:t>
            </w:r>
          </w:p>
        </w:tc>
        <w:tc>
          <w:tcPr>
            <w:tcW w:w="1262" w:type="dxa"/>
            <w:noWrap w:val="0"/>
            <w:vAlign w:val="center"/>
          </w:tcPr>
          <w:p w14:paraId="5E0FF036">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tc>
      </w:tr>
      <w:tr w14:paraId="51997C5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640" w:type="dxa"/>
            <w:noWrap w:val="0"/>
            <w:vAlign w:val="center"/>
          </w:tcPr>
          <w:p w14:paraId="1679C8E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732" w:type="dxa"/>
            <w:noWrap w:val="0"/>
            <w:vAlign w:val="center"/>
          </w:tcPr>
          <w:p w14:paraId="528FCCF9">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《第三章 用户需求书：四、项目服务要求》中所有条款要求。</w:t>
            </w:r>
          </w:p>
        </w:tc>
        <w:tc>
          <w:tcPr>
            <w:tcW w:w="3053" w:type="dxa"/>
            <w:noWrap w:val="0"/>
            <w:vAlign w:val="center"/>
          </w:tcPr>
          <w:p w14:paraId="76AB1A7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我公司完全响应满足招标文件中此项要求。</w:t>
            </w:r>
          </w:p>
        </w:tc>
        <w:tc>
          <w:tcPr>
            <w:tcW w:w="1262" w:type="dxa"/>
            <w:noWrap w:val="0"/>
            <w:vAlign w:val="center"/>
          </w:tcPr>
          <w:p w14:paraId="01A4C24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无偏离</w:t>
            </w:r>
          </w:p>
        </w:tc>
      </w:tr>
      <w:tr w14:paraId="14C195C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4" w:hRule="atLeast"/>
          <w:jc w:val="center"/>
        </w:trPr>
        <w:tc>
          <w:tcPr>
            <w:tcW w:w="640" w:type="dxa"/>
            <w:noWrap w:val="0"/>
            <w:vAlign w:val="center"/>
          </w:tcPr>
          <w:p w14:paraId="13E8214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732" w:type="dxa"/>
            <w:noWrap w:val="0"/>
          </w:tcPr>
          <w:p w14:paraId="0A57E1B9">
            <w:pPr>
              <w:spacing w:line="360" w:lineRule="auto"/>
              <w:rPr>
                <w:rFonts w:hint="eastAsia" w:ascii="宋体" w:hAnsi="宋体" w:eastAsia="宋体" w:cs="宋体"/>
                <w:b/>
                <w:color w:val="auto"/>
                <w:sz w:val="21"/>
                <w:szCs w:val="21"/>
                <w:highlight w:val="green"/>
              </w:rPr>
            </w:pPr>
            <w:r>
              <w:rPr>
                <w:rFonts w:hint="eastAsia" w:ascii="宋体" w:hAnsi="宋体" w:eastAsia="宋体" w:cs="宋体"/>
                <w:b/>
                <w:color w:val="auto"/>
                <w:sz w:val="21"/>
                <w:szCs w:val="21"/>
              </w:rPr>
              <w:t>《第三章 用户需求书：五、项目商务要求》中所有条款要求。</w:t>
            </w:r>
          </w:p>
        </w:tc>
        <w:tc>
          <w:tcPr>
            <w:tcW w:w="3053" w:type="dxa"/>
            <w:noWrap w:val="0"/>
            <w:vAlign w:val="center"/>
          </w:tcPr>
          <w:p w14:paraId="472DDAD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我公司完全响应满足招标文件中此项要求。</w:t>
            </w:r>
          </w:p>
        </w:tc>
        <w:tc>
          <w:tcPr>
            <w:tcW w:w="1262" w:type="dxa"/>
            <w:noWrap w:val="0"/>
            <w:vAlign w:val="center"/>
          </w:tcPr>
          <w:p w14:paraId="37AF1F6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无偏离</w:t>
            </w:r>
          </w:p>
        </w:tc>
      </w:tr>
    </w:tbl>
    <w:p w14:paraId="291056B2">
      <w:pPr>
        <w:snapToGrid w:val="0"/>
        <w:spacing w:line="360" w:lineRule="auto"/>
        <w:rPr>
          <w:rFonts w:hint="eastAsia" w:ascii="宋体" w:hAnsi="宋体" w:eastAsia="宋体" w:cs="宋体"/>
          <w:b/>
          <w:color w:val="auto"/>
        </w:rPr>
      </w:pPr>
    </w:p>
    <w:p w14:paraId="1978607B">
      <w:pPr>
        <w:snapToGrid w:val="0"/>
        <w:spacing w:line="360" w:lineRule="auto"/>
        <w:rPr>
          <w:rFonts w:hint="eastAsia" w:ascii="宋体" w:hAnsi="宋体" w:eastAsia="宋体" w:cs="宋体"/>
          <w:b/>
          <w:color w:val="auto"/>
        </w:rPr>
      </w:pPr>
      <w:r>
        <w:rPr>
          <w:rFonts w:hint="eastAsia" w:ascii="宋体" w:hAnsi="宋体" w:eastAsia="宋体" w:cs="宋体"/>
          <w:b/>
          <w:color w:val="auto"/>
        </w:rPr>
        <w:t>填写说明：</w:t>
      </w:r>
    </w:p>
    <w:p w14:paraId="5B927275">
      <w:pPr>
        <w:numPr>
          <w:ilvl w:val="0"/>
          <w:numId w:val="7"/>
        </w:numPr>
        <w:snapToGrid w:val="0"/>
        <w:spacing w:after="60" w:afterLines="25" w:line="360" w:lineRule="auto"/>
        <w:ind w:left="360" w:hanging="360"/>
        <w:rPr>
          <w:rFonts w:hint="eastAsia" w:ascii="宋体" w:hAnsi="宋体" w:eastAsia="宋体" w:cs="宋体"/>
          <w:color w:val="auto"/>
        </w:rPr>
      </w:pPr>
      <w:r>
        <w:rPr>
          <w:rFonts w:hint="eastAsia" w:ascii="宋体" w:hAnsi="宋体" w:eastAsia="宋体" w:cs="宋体"/>
          <w:color w:val="auto"/>
        </w:rPr>
        <w:t>如投标人完全响应满足本表【招标文件要求】栏中内容的，建议投标人在对应的【投标文件响应】栏中填写“我公司完全响应满足招标文件中此项要求”即可，除招标文件另有注明外，不强制要求逐条列出响应；</w:t>
      </w:r>
    </w:p>
    <w:p w14:paraId="4655CCE5">
      <w:pPr>
        <w:numPr>
          <w:ilvl w:val="0"/>
          <w:numId w:val="7"/>
        </w:numPr>
        <w:snapToGrid w:val="0"/>
        <w:spacing w:after="60" w:afterLines="25" w:line="360" w:lineRule="auto"/>
        <w:ind w:left="360" w:hanging="360"/>
        <w:rPr>
          <w:rFonts w:hint="eastAsia" w:ascii="宋体" w:hAnsi="宋体" w:eastAsia="宋体" w:cs="宋体"/>
          <w:color w:val="auto"/>
        </w:rPr>
      </w:pPr>
      <w:r>
        <w:rPr>
          <w:rFonts w:hint="eastAsia" w:ascii="宋体" w:hAnsi="宋体" w:eastAsia="宋体" w:cs="宋体"/>
          <w:color w:val="auto"/>
        </w:rPr>
        <w:t>如投标人响应情况优于或低于招标要求的，应在【投标文件响应】栏中作详细说明，如完全满足或符合招标文件要求的则无需说明，参照上一条填写内容即可，</w:t>
      </w:r>
      <w:r>
        <w:rPr>
          <w:rFonts w:hint="eastAsia" w:ascii="宋体" w:hAnsi="宋体" w:eastAsia="宋体" w:cs="宋体"/>
          <w:color w:val="auto"/>
          <w:lang w:eastAsia="zh-CN"/>
        </w:rPr>
        <w:t>评审委员会</w:t>
      </w:r>
      <w:r>
        <w:rPr>
          <w:rFonts w:hint="eastAsia" w:ascii="宋体" w:hAnsi="宋体" w:eastAsia="宋体" w:cs="宋体"/>
          <w:color w:val="auto"/>
        </w:rPr>
        <w:t>将根据具体情况给予是否偏离的认定，并以此认定标准为最终评判标准；</w:t>
      </w:r>
    </w:p>
    <w:p w14:paraId="47AEAC44">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val="en-US" w:eastAsia="zh-CN"/>
        </w:rPr>
        <w:t>六、</w:t>
      </w:r>
      <w:r>
        <w:rPr>
          <w:rFonts w:hint="eastAsia" w:ascii="宋体" w:hAnsi="宋体" w:eastAsia="宋体" w:cs="宋体"/>
          <w:bCs w:val="0"/>
          <w:color w:val="auto"/>
          <w:sz w:val="24"/>
        </w:rPr>
        <w:t>实施方案（格式自定）</w:t>
      </w:r>
    </w:p>
    <w:p w14:paraId="44161C98">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val="en-US" w:eastAsia="zh-CN"/>
        </w:rPr>
        <w:t>七、</w:t>
      </w:r>
      <w:r>
        <w:rPr>
          <w:rFonts w:hint="eastAsia" w:ascii="宋体" w:hAnsi="宋体" w:eastAsia="宋体" w:cs="宋体"/>
          <w:bCs w:val="0"/>
          <w:color w:val="auto"/>
          <w:sz w:val="24"/>
          <w:lang w:eastAsia="zh-CN"/>
        </w:rPr>
        <w:t>项目重点难点分析、应对措施及相关的合理化建议</w:t>
      </w:r>
      <w:r>
        <w:rPr>
          <w:rFonts w:hint="eastAsia" w:ascii="宋体" w:hAnsi="宋体" w:eastAsia="宋体" w:cs="宋体"/>
          <w:bCs w:val="0"/>
          <w:color w:val="auto"/>
          <w:sz w:val="24"/>
        </w:rPr>
        <w:t>（格式自定）</w:t>
      </w:r>
    </w:p>
    <w:p w14:paraId="60C6A8E8">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val="en-US" w:eastAsia="zh-CN"/>
        </w:rPr>
        <w:t>八、</w:t>
      </w:r>
      <w:r>
        <w:rPr>
          <w:rFonts w:hint="eastAsia" w:ascii="宋体" w:hAnsi="宋体" w:eastAsia="宋体" w:cs="宋体"/>
          <w:bCs w:val="0"/>
          <w:color w:val="auto"/>
          <w:sz w:val="24"/>
          <w:lang w:eastAsia="zh-CN"/>
        </w:rPr>
        <w:t>质量（完成时间、安全、环保）保障措施及方案</w:t>
      </w:r>
      <w:r>
        <w:rPr>
          <w:rFonts w:hint="eastAsia" w:ascii="宋体" w:hAnsi="宋体" w:eastAsia="宋体" w:cs="宋体"/>
          <w:bCs w:val="0"/>
          <w:color w:val="auto"/>
          <w:sz w:val="24"/>
        </w:rPr>
        <w:t>（格式自定）</w:t>
      </w:r>
    </w:p>
    <w:p w14:paraId="74A8FFF6">
      <w:pPr>
        <w:pStyle w:val="5"/>
        <w:jc w:val="center"/>
        <w:rPr>
          <w:rFonts w:hint="eastAsia" w:ascii="宋体" w:hAnsi="宋体" w:eastAsia="宋体" w:cs="宋体"/>
          <w:bCs w:val="0"/>
          <w:color w:val="auto"/>
          <w:sz w:val="24"/>
          <w:lang w:val="en-US" w:eastAsia="zh-CN"/>
        </w:rPr>
      </w:pPr>
      <w:r>
        <w:rPr>
          <w:rFonts w:hint="eastAsia" w:ascii="宋体" w:hAnsi="宋体" w:eastAsia="宋体" w:cs="宋体"/>
          <w:bCs w:val="0"/>
          <w:color w:val="auto"/>
          <w:sz w:val="24"/>
          <w:lang w:val="en-US" w:eastAsia="zh-CN"/>
        </w:rPr>
        <w:t>九、项目交接方案</w:t>
      </w:r>
      <w:r>
        <w:rPr>
          <w:rFonts w:hint="eastAsia" w:ascii="宋体" w:hAnsi="宋体" w:eastAsia="宋体" w:cs="宋体"/>
          <w:bCs w:val="0"/>
          <w:color w:val="auto"/>
          <w:sz w:val="24"/>
        </w:rPr>
        <w:t>（格式自定）</w:t>
      </w:r>
    </w:p>
    <w:p w14:paraId="334AA9D3">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val="en-US" w:eastAsia="zh-CN"/>
        </w:rPr>
        <w:t>十、安全保障措施</w:t>
      </w:r>
      <w:r>
        <w:rPr>
          <w:rFonts w:hint="eastAsia" w:ascii="宋体" w:hAnsi="宋体" w:eastAsia="宋体" w:cs="宋体"/>
          <w:bCs w:val="0"/>
          <w:color w:val="auto"/>
          <w:sz w:val="24"/>
        </w:rPr>
        <w:t>（格式自定）</w:t>
      </w:r>
    </w:p>
    <w:p w14:paraId="387D0B7F">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554AAD27">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29FB73FE">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010B1689">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58B307AE">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63FE0F33">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0F6DD956">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2E5E0A95">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2CF4677B">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2B11E79E">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6842B21D">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30D665D7">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3E962376">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08EE718D">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13A87C64">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62B33A64">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34556A64">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1AC3EFAE">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214D98C6">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7F80777">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546D1B3F">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14DB3FD1">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7A1B308F">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5AA5C5F6">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EAED939">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3A366F1D">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134BE4D4">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32A4694">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695B2C8E">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589B6617">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02423A9D">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682D0184">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188ADB86">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14FE92DD">
      <w:pPr>
        <w:keepNext/>
        <w:keepLines/>
        <w:pageBreakBefore w:val="0"/>
        <w:widowControl/>
        <w:snapToGrid/>
        <w:jc w:val="center"/>
        <w:outlineLvl w:val="9"/>
        <w:rPr>
          <w:rFonts w:hint="eastAsia" w:ascii="宋体" w:hAnsi="宋体" w:eastAsia="宋体" w:cs="宋体"/>
          <w:bCs w:val="0"/>
          <w:color w:val="auto"/>
          <w:sz w:val="24"/>
          <w:lang w:val="en-US" w:eastAsia="zh-CN"/>
        </w:rPr>
      </w:pPr>
    </w:p>
    <w:p w14:paraId="44F1B376">
      <w:pPr>
        <w:pStyle w:val="5"/>
        <w:jc w:val="center"/>
        <w:rPr>
          <w:rFonts w:hint="eastAsia" w:ascii="宋体" w:hAnsi="宋体" w:eastAsia="宋体" w:cs="宋体"/>
          <w:bCs w:val="0"/>
          <w:color w:val="auto"/>
          <w:sz w:val="24"/>
        </w:rPr>
      </w:pPr>
      <w:r>
        <w:rPr>
          <w:rFonts w:hint="eastAsia" w:ascii="宋体" w:hAnsi="宋体" w:eastAsia="宋体" w:cs="宋体"/>
          <w:bCs w:val="0"/>
          <w:color w:val="auto"/>
          <w:sz w:val="24"/>
          <w:lang w:val="en-US" w:eastAsia="zh-CN"/>
        </w:rPr>
        <w:t>十一</w:t>
      </w:r>
      <w:r>
        <w:rPr>
          <w:rFonts w:hint="eastAsia" w:ascii="宋体" w:hAnsi="宋体" w:eastAsia="宋体" w:cs="宋体"/>
          <w:bCs w:val="0"/>
          <w:color w:val="auto"/>
          <w:sz w:val="24"/>
        </w:rPr>
        <w:t>、投标人认为需要加以说明的其他内容（格式自定）</w:t>
      </w:r>
    </w:p>
    <w:p w14:paraId="5D61D624">
      <w:pPr>
        <w:rPr>
          <w:rFonts w:hint="eastAsia" w:ascii="宋体" w:hAnsi="宋体" w:eastAsia="宋体" w:cs="宋体"/>
          <w:b/>
          <w:bCs/>
          <w:color w:val="auto"/>
          <w:sz w:val="24"/>
          <w:szCs w:val="20"/>
          <w:lang w:eastAsia="zh-CN"/>
        </w:rPr>
      </w:pPr>
      <w:r>
        <w:rPr>
          <w:rFonts w:hint="eastAsia" w:ascii="宋体" w:hAnsi="宋体" w:eastAsia="宋体" w:cs="宋体"/>
          <w:b/>
          <w:bCs/>
          <w:color w:val="auto"/>
          <w:sz w:val="24"/>
          <w:szCs w:val="20"/>
          <w:lang w:eastAsia="zh-CN"/>
        </w:rPr>
        <w:t>（</w:t>
      </w:r>
      <w:r>
        <w:rPr>
          <w:rFonts w:hint="eastAsia" w:ascii="宋体" w:hAnsi="宋体" w:eastAsia="宋体" w:cs="宋体"/>
          <w:b/>
          <w:bCs/>
          <w:color w:val="auto"/>
          <w:sz w:val="24"/>
          <w:szCs w:val="20"/>
          <w:lang w:val="en-US" w:eastAsia="zh-CN"/>
        </w:rPr>
        <w:t>1</w:t>
      </w:r>
      <w:r>
        <w:rPr>
          <w:rFonts w:hint="eastAsia" w:ascii="宋体" w:hAnsi="宋体" w:eastAsia="宋体" w:cs="宋体"/>
          <w:b/>
          <w:bCs/>
          <w:color w:val="auto"/>
          <w:sz w:val="24"/>
          <w:szCs w:val="20"/>
          <w:lang w:eastAsia="zh-CN"/>
        </w:rPr>
        <w:t>）政府采购违法行为风险知悉确认书</w:t>
      </w:r>
    </w:p>
    <w:p w14:paraId="20ED4D9B">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本公司在投标前已充分知悉以下情形为参与政府采购活动时的重大风险事项，并承诺已对下述风险提示事项重点排查，做到严谨、诚信、依法依规参与政府采购活动。</w:t>
      </w:r>
    </w:p>
    <w:p w14:paraId="3E5FF89C">
      <w:pPr>
        <w:keepNext w:val="0"/>
        <w:keepLines w:val="0"/>
        <w:pageBreakBefore w:val="0"/>
        <w:snapToGrid/>
        <w:spacing w:beforeAutospacing="0" w:afterAutospacing="0" w:line="240" w:lineRule="auto"/>
        <w:ind w:right="0" w:rightChars="0" w:firstLine="422" w:firstLineChars="2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一、本公司已充分知悉“隐瞒真实情况，提供虚假资料”的法定情形，相关情形包括但不限于：</w:t>
      </w:r>
    </w:p>
    <w:p w14:paraId="2FCB6587">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（一）通过转让或者租借等方式从其他单位获取资格或者资质证书投标的。</w:t>
      </w:r>
    </w:p>
    <w:p w14:paraId="2AED819F">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（二）由其他单位或者其他单位负责人在投标供应商编制的投标文件上加盖印章或者签字的。</w:t>
      </w:r>
    </w:p>
    <w:p w14:paraId="38276F6C">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（三）项目负责人或者主要技术人员不是本单位人员的。</w:t>
      </w:r>
    </w:p>
    <w:p w14:paraId="5C283A7D">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（四）投标保证金不是从投标供应商基本账户转出的。</w:t>
      </w:r>
    </w:p>
    <w:p w14:paraId="6310A977">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（五）其他隐瞒真实情况、提供虚假资料的行为。</w:t>
      </w:r>
    </w:p>
    <w:p w14:paraId="21501DE5">
      <w:pPr>
        <w:keepNext w:val="0"/>
        <w:keepLines w:val="0"/>
        <w:pageBreakBefore w:val="0"/>
        <w:snapToGrid/>
        <w:spacing w:beforeAutospacing="0" w:afterAutospacing="0" w:line="240" w:lineRule="auto"/>
        <w:ind w:right="0" w:rightChars="0" w:firstLine="422" w:firstLineChars="2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二、本公司已充分知悉“与其他采购参加人串通投标”的法定情形，相关情形包括但不限于：</w:t>
      </w:r>
    </w:p>
    <w:p w14:paraId="7D0556AC">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（一）投标供应商之间相互约定给予未中标的供应商利益补偿。</w:t>
      </w:r>
    </w:p>
    <w:p w14:paraId="5359BACE">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（二）不同投标供应商的法定代表人、主要经营负责人、项目投标授权代表人、项目负责人、主要技术人员为同一人、属同一单位或者在同一单位缴纳社会保险。</w:t>
      </w:r>
    </w:p>
    <w:p w14:paraId="677619EE">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（三）不同投标供应商的投标文件由同一单位或者同一人编制，或者由同一人分阶段参与编制的。</w:t>
      </w:r>
    </w:p>
    <w:p w14:paraId="322EEBFC">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（四）不同投标供应商的投标文件或部分投标文件相互混装。</w:t>
      </w:r>
    </w:p>
    <w:p w14:paraId="70CF8905">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（五）不同投标供应商的投标文件内容存在非正常一致。</w:t>
      </w:r>
    </w:p>
    <w:p w14:paraId="2BEEFCA7">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（六）由同一单位工作人员为两家以上（含两家）供应商进行同一项投标活动的。</w:t>
      </w:r>
    </w:p>
    <w:p w14:paraId="0993EA57">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（七）不同投标人的投标报价呈规律性差异。</w:t>
      </w:r>
    </w:p>
    <w:p w14:paraId="03347808">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（八）不同投标人的投标保证金从同一单位或者个人的账户转出。</w:t>
      </w:r>
    </w:p>
    <w:p w14:paraId="6BA1D821">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（九）主管部门依照法律、法规认定的其他情形。</w:t>
      </w:r>
    </w:p>
    <w:p w14:paraId="28F4D543">
      <w:pPr>
        <w:keepNext w:val="0"/>
        <w:keepLines w:val="0"/>
        <w:pageBreakBefore w:val="0"/>
        <w:snapToGrid/>
        <w:spacing w:beforeAutospacing="0" w:afterAutospacing="0" w:line="240" w:lineRule="auto"/>
        <w:ind w:right="0" w:rightChars="0" w:firstLine="422" w:firstLineChars="20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三、本公司已充分知悉下列情形所对应的法律风险，并在投标前已对相关风险事项进行排查。</w:t>
      </w:r>
    </w:p>
    <w:p w14:paraId="0B52C79D">
      <w:pPr>
        <w:keepNext w:val="0"/>
        <w:keepLines w:val="0"/>
        <w:pageBreakBefore w:val="0"/>
        <w:autoSpaceDE w:val="0"/>
        <w:autoSpaceDN w:val="0"/>
        <w:snapToGrid/>
        <w:spacing w:beforeAutospacing="0" w:afterAutospacing="0" w:line="240" w:lineRule="auto"/>
        <w:ind w:right="0" w:rightChars="0" w:firstLine="404" w:firstLineChars="200"/>
        <w:rPr>
          <w:rFonts w:hint="eastAsia" w:ascii="宋体" w:hAnsi="宋体" w:eastAsia="宋体" w:cs="宋体"/>
          <w:b/>
          <w:bCs/>
          <w:color w:val="auto"/>
          <w:spacing w:val="-4"/>
          <w:kern w:val="0"/>
          <w:sz w:val="21"/>
          <w:szCs w:val="21"/>
          <w:highlight w:val="yellow"/>
        </w:rPr>
      </w:pPr>
      <w:r>
        <w:rPr>
          <w:rFonts w:hint="eastAsia" w:ascii="宋体" w:hAnsi="宋体" w:eastAsia="宋体" w:cs="宋体"/>
          <w:color w:val="auto"/>
          <w:spacing w:val="-4"/>
          <w:kern w:val="0"/>
          <w:sz w:val="21"/>
          <w:szCs w:val="21"/>
          <w:highlight w:val="yellow"/>
        </w:rPr>
        <w:t>（一）对于从其他主体获取的投标资料，供应商应审慎核查，确保投标资料的真实性。</w:t>
      </w:r>
      <w:r>
        <w:rPr>
          <w:rFonts w:hint="eastAsia" w:ascii="宋体" w:hAnsi="宋体" w:eastAsia="宋体" w:cs="宋体"/>
          <w:b/>
          <w:bCs/>
          <w:color w:val="auto"/>
          <w:spacing w:val="-4"/>
          <w:kern w:val="0"/>
          <w:sz w:val="21"/>
          <w:szCs w:val="21"/>
          <w:highlight w:val="yellow"/>
        </w:rPr>
        <w:t>如主管部门查实投标文件中存在虚假资料的，无论相关资料是否由第三方或本公司员工提供，均不影响主管部门对供应商存在“隐瞒真实情况，提供虚假资料”违法行为的认定。</w:t>
      </w:r>
    </w:p>
    <w:p w14:paraId="129007DB">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（二）对于涉及国家机关出具的公文、证件、证明材料等文件，一旦涉嫌虚假，经查实，主管部门将依法从严处理，并移送有关部门追究法律责任；涉嫌犯罪的，主管部门将一并移送司法机关追究法律责任。</w:t>
      </w:r>
    </w:p>
    <w:p w14:paraId="2DFE643E">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（三）对于涉及安全生产、特种作业、抢险救灾、防疫等政府采购项目，供应商实施提供虚假资料、串通投标等违法行为的，主管部门将依法从严处理。</w:t>
      </w:r>
    </w:p>
    <w:p w14:paraId="0817480D">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1E0C100">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E91162C">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21B3D6F">
      <w:pPr>
        <w:keepNext w:val="0"/>
        <w:keepLines w:val="0"/>
        <w:pageBreakBefore w:val="0"/>
        <w:widowControl w:val="0"/>
        <w:autoSpaceDE w:val="0"/>
        <w:autoSpaceDN w:val="0"/>
        <w:snapToGrid/>
        <w:spacing w:beforeAutospacing="0" w:afterAutospacing="0" w:line="240" w:lineRule="auto"/>
        <w:ind w:right="0" w:rightChars="0" w:firstLine="422" w:firstLineChars="200"/>
        <w:jc w:val="left"/>
        <w:rPr>
          <w:rFonts w:hint="eastAsia" w:ascii="宋体" w:hAnsi="宋体" w:eastAsia="宋体" w:cs="宋体"/>
          <w:b/>
          <w:bCs/>
          <w:color w:val="auto"/>
          <w:kern w:val="0"/>
          <w:sz w:val="21"/>
          <w:szCs w:val="21"/>
          <w:highlight w:val="yellow"/>
          <w:lang w:val="en-US" w:eastAsia="zh-CN" w:bidi="ar-SA"/>
        </w:rPr>
      </w:pPr>
      <w:r>
        <w:rPr>
          <w:rFonts w:hint="eastAsia" w:ascii="宋体" w:hAnsi="宋体" w:eastAsia="宋体" w:cs="宋体"/>
          <w:b/>
          <w:bCs/>
          <w:color w:val="auto"/>
          <w:kern w:val="0"/>
          <w:sz w:val="21"/>
          <w:szCs w:val="21"/>
          <w:highlight w:val="yellow"/>
          <w:lang w:val="en-US" w:eastAsia="zh-CN" w:bidi="ar-SA"/>
        </w:rPr>
        <w:t>四、本公司已充分知悉政府采购违法、违规行为的法律后果。</w:t>
      </w:r>
    </w:p>
    <w:p w14:paraId="6CF19DD8">
      <w:pPr>
        <w:keepNext w:val="0"/>
        <w:keepLines w:val="0"/>
        <w:pageBreakBefore w:val="0"/>
        <w:widowControl w:val="0"/>
        <w:autoSpaceDE w:val="0"/>
        <w:autoSpaceDN w:val="0"/>
        <w:snapToGrid/>
        <w:spacing w:beforeAutospacing="0" w:afterAutospacing="0" w:line="240" w:lineRule="auto"/>
        <w:ind w:right="0" w:rightChars="0" w:firstLine="404" w:firstLineChars="200"/>
        <w:jc w:val="left"/>
        <w:rPr>
          <w:rFonts w:hint="eastAsia" w:ascii="宋体" w:hAnsi="宋体" w:eastAsia="宋体" w:cs="宋体"/>
          <w:b/>
          <w:bCs/>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eastAsia="宋体" w:cs="宋体"/>
          <w:b/>
          <w:bCs/>
          <w:color w:val="auto"/>
          <w:spacing w:val="-4"/>
          <w:kern w:val="0"/>
          <w:sz w:val="21"/>
          <w:szCs w:val="21"/>
          <w:highlight w:val="yellow"/>
          <w:lang w:val="en-US" w:eastAsia="zh-CN" w:bidi="ar-SA"/>
        </w:rPr>
        <w:t>以下文字请投标供应商抄写并确认：“本公司已仔细阅读《政府采购违法行为风险知悉确认书》，充分知悉违法行为的法律后果，并承诺将严谨、诚信、依法依规参与政府采购活动”。</w:t>
      </w:r>
    </w:p>
    <w:tbl>
      <w:tblPr>
        <w:tblStyle w:val="36"/>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7CD5F5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tcPr>
          <w:p w14:paraId="23EB4FDF">
            <w:pPr>
              <w:keepNext w:val="0"/>
              <w:keepLines w:val="0"/>
              <w:pageBreakBefore w:val="0"/>
              <w:widowControl w:val="0"/>
              <w:autoSpaceDE w:val="0"/>
              <w:autoSpaceDN w:val="0"/>
              <w:snapToGrid/>
              <w:spacing w:beforeAutospacing="0" w:afterAutospacing="0" w:line="240" w:lineRule="auto"/>
              <w:ind w:right="0" w:rightChars="0"/>
              <w:jc w:val="left"/>
              <w:rPr>
                <w:rFonts w:hint="eastAsia" w:ascii="宋体" w:hAnsi="宋体" w:eastAsia="宋体" w:cs="宋体"/>
                <w:color w:val="auto"/>
                <w:spacing w:val="-4"/>
                <w:kern w:val="0"/>
                <w:sz w:val="21"/>
                <w:szCs w:val="21"/>
                <w:highlight w:val="green"/>
                <w:vertAlign w:val="baseline"/>
                <w:lang w:val="en-US" w:eastAsia="zh-CN" w:bidi="ar-SA"/>
              </w:rPr>
            </w:pPr>
          </w:p>
        </w:tc>
      </w:tr>
      <w:tr w14:paraId="36DAA4B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tcPr>
          <w:p w14:paraId="28EF5B91">
            <w:pPr>
              <w:keepNext w:val="0"/>
              <w:keepLines w:val="0"/>
              <w:pageBreakBefore w:val="0"/>
              <w:widowControl w:val="0"/>
              <w:autoSpaceDE w:val="0"/>
              <w:autoSpaceDN w:val="0"/>
              <w:snapToGrid/>
              <w:spacing w:beforeAutospacing="0" w:afterAutospacing="0" w:line="240" w:lineRule="auto"/>
              <w:ind w:right="0" w:rightChars="0"/>
              <w:jc w:val="left"/>
              <w:rPr>
                <w:rFonts w:hint="eastAsia" w:ascii="宋体" w:hAnsi="宋体" w:eastAsia="宋体" w:cs="宋体"/>
                <w:color w:val="auto"/>
                <w:spacing w:val="-4"/>
                <w:kern w:val="0"/>
                <w:sz w:val="21"/>
                <w:szCs w:val="21"/>
                <w:highlight w:val="green"/>
                <w:vertAlign w:val="baseline"/>
                <w:lang w:val="en-US" w:eastAsia="zh-CN" w:bidi="ar-SA"/>
              </w:rPr>
            </w:pPr>
          </w:p>
        </w:tc>
      </w:tr>
      <w:tr w14:paraId="5F14902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tcPr>
          <w:p w14:paraId="06ABB8AD">
            <w:pPr>
              <w:keepNext w:val="0"/>
              <w:keepLines w:val="0"/>
              <w:pageBreakBefore w:val="0"/>
              <w:widowControl w:val="0"/>
              <w:autoSpaceDE w:val="0"/>
              <w:autoSpaceDN w:val="0"/>
              <w:snapToGrid/>
              <w:spacing w:beforeAutospacing="0" w:afterAutospacing="0" w:line="240" w:lineRule="auto"/>
              <w:ind w:right="0" w:rightChars="0"/>
              <w:jc w:val="left"/>
              <w:rPr>
                <w:rFonts w:hint="eastAsia" w:ascii="宋体" w:hAnsi="宋体" w:eastAsia="宋体" w:cs="宋体"/>
                <w:color w:val="auto"/>
                <w:spacing w:val="-4"/>
                <w:kern w:val="0"/>
                <w:sz w:val="21"/>
                <w:szCs w:val="21"/>
                <w:highlight w:val="green"/>
                <w:vertAlign w:val="baseline"/>
                <w:lang w:val="en-US" w:eastAsia="zh-CN" w:bidi="ar-SA"/>
              </w:rPr>
            </w:pPr>
          </w:p>
        </w:tc>
      </w:tr>
      <w:tr w14:paraId="65E3E24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tcPr>
          <w:p w14:paraId="2752654B">
            <w:pPr>
              <w:keepNext w:val="0"/>
              <w:keepLines w:val="0"/>
              <w:pageBreakBefore w:val="0"/>
              <w:widowControl w:val="0"/>
              <w:autoSpaceDE w:val="0"/>
              <w:autoSpaceDN w:val="0"/>
              <w:snapToGrid/>
              <w:spacing w:beforeAutospacing="0" w:afterAutospacing="0" w:line="240" w:lineRule="auto"/>
              <w:ind w:right="0" w:rightChars="0"/>
              <w:jc w:val="left"/>
              <w:rPr>
                <w:rFonts w:hint="eastAsia" w:ascii="宋体" w:hAnsi="宋体" w:eastAsia="宋体" w:cs="宋体"/>
                <w:color w:val="auto"/>
                <w:spacing w:val="-4"/>
                <w:kern w:val="0"/>
                <w:sz w:val="21"/>
                <w:szCs w:val="21"/>
                <w:highlight w:val="green"/>
                <w:vertAlign w:val="baseline"/>
                <w:lang w:val="en-US" w:eastAsia="zh-CN" w:bidi="ar-SA"/>
              </w:rPr>
            </w:pPr>
          </w:p>
        </w:tc>
      </w:tr>
    </w:tbl>
    <w:p w14:paraId="55D2D49E">
      <w:pPr>
        <w:keepNext w:val="0"/>
        <w:keepLines w:val="0"/>
        <w:pageBreakBefore w:val="0"/>
        <w:widowControl w:val="0"/>
        <w:autoSpaceDE w:val="0"/>
        <w:autoSpaceDN w:val="0"/>
        <w:snapToGrid/>
        <w:spacing w:beforeAutospacing="0" w:afterAutospacing="0" w:line="240" w:lineRule="auto"/>
        <w:ind w:right="0" w:rightChars="0" w:firstLine="406" w:firstLineChars="200"/>
        <w:jc w:val="left"/>
        <w:rPr>
          <w:rFonts w:hint="eastAsia" w:ascii="宋体" w:hAnsi="宋体" w:eastAsia="宋体" w:cs="宋体"/>
          <w:b/>
          <w:bCs/>
          <w:color w:val="auto"/>
          <w:spacing w:val="-4"/>
          <w:kern w:val="0"/>
          <w:sz w:val="21"/>
          <w:szCs w:val="21"/>
          <w:highlight w:val="yellow"/>
          <w:lang w:val="en-US" w:eastAsia="zh-CN" w:bidi="ar-SA"/>
        </w:rPr>
      </w:pPr>
      <w:r>
        <w:rPr>
          <w:rFonts w:hint="eastAsia" w:ascii="宋体" w:hAnsi="宋体" w:eastAsia="宋体" w:cs="宋体"/>
          <w:b/>
          <w:bCs/>
          <w:color w:val="auto"/>
          <w:spacing w:val="-4"/>
          <w:kern w:val="0"/>
          <w:sz w:val="21"/>
          <w:szCs w:val="21"/>
          <w:highlight w:val="yellow"/>
          <w:lang w:val="en-US" w:eastAsia="zh-CN" w:bidi="ar-SA"/>
        </w:rPr>
        <w:t>注：1.政府采购违法行为风险知悉确认书不作为资格性审查及符合性审查条件。</w:t>
      </w:r>
    </w:p>
    <w:p w14:paraId="29395CAB">
      <w:pPr>
        <w:keepNext w:val="0"/>
        <w:keepLines w:val="0"/>
        <w:pageBreakBefore w:val="0"/>
        <w:widowControl w:val="0"/>
        <w:autoSpaceDE w:val="0"/>
        <w:autoSpaceDN w:val="0"/>
        <w:snapToGrid/>
        <w:spacing w:beforeAutospacing="0" w:afterAutospacing="0" w:line="240" w:lineRule="auto"/>
        <w:ind w:right="0" w:rightChars="0" w:firstLine="406" w:firstLineChars="200"/>
        <w:jc w:val="lef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b/>
          <w:bCs/>
          <w:color w:val="auto"/>
          <w:spacing w:val="-4"/>
          <w:kern w:val="0"/>
          <w:sz w:val="21"/>
          <w:szCs w:val="21"/>
          <w:highlight w:val="yellow"/>
          <w:lang w:val="en-US" w:eastAsia="zh-CN" w:bidi="ar-SA"/>
        </w:rPr>
        <w:t>2.投标供应商负责人或投标授权代表签字并加盖单位公章后，扫描上传至投标文件一并提交。</w:t>
      </w:r>
    </w:p>
    <w:p w14:paraId="16A414D4">
      <w:pPr>
        <w:keepNext w:val="0"/>
        <w:keepLines w:val="0"/>
        <w:pageBreakBefore w:val="0"/>
        <w:widowControl w:val="0"/>
        <w:wordWrap w:val="0"/>
        <w:autoSpaceDE w:val="0"/>
        <w:autoSpaceDN w:val="0"/>
        <w:snapToGrid/>
        <w:spacing w:beforeAutospacing="0" w:afterAutospacing="0" w:line="240" w:lineRule="auto"/>
        <w:ind w:right="0" w:rightChars="0" w:firstLine="404" w:firstLineChars="200"/>
        <w:jc w:val="righ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 xml:space="preserve">负责人/投标授权代表签名：     </w:t>
      </w:r>
    </w:p>
    <w:p w14:paraId="2A71A3AE">
      <w:pPr>
        <w:keepNext w:val="0"/>
        <w:keepLines w:val="0"/>
        <w:pageBreakBefore w:val="0"/>
        <w:widowControl w:val="0"/>
        <w:wordWrap w:val="0"/>
        <w:autoSpaceDE w:val="0"/>
        <w:autoSpaceDN w:val="0"/>
        <w:snapToGrid/>
        <w:spacing w:beforeAutospacing="0" w:afterAutospacing="0" w:line="240" w:lineRule="auto"/>
        <w:ind w:right="0" w:rightChars="0" w:firstLine="404" w:firstLineChars="200"/>
        <w:jc w:val="right"/>
        <w:rPr>
          <w:rFonts w:hint="eastAsia" w:ascii="宋体" w:hAnsi="宋体" w:eastAsia="宋体" w:cs="宋体"/>
          <w:color w:val="auto"/>
          <w:spacing w:val="-4"/>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 xml:space="preserve">知悉人（公章）：     </w:t>
      </w:r>
    </w:p>
    <w:p w14:paraId="7D89A17C">
      <w:pPr>
        <w:keepNext w:val="0"/>
        <w:keepLines w:val="0"/>
        <w:pageBreakBefore w:val="0"/>
        <w:widowControl w:val="0"/>
        <w:wordWrap w:val="0"/>
        <w:autoSpaceDE w:val="0"/>
        <w:autoSpaceDN w:val="0"/>
        <w:snapToGrid/>
        <w:spacing w:beforeAutospacing="0" w:afterAutospacing="0" w:line="240" w:lineRule="auto"/>
        <w:ind w:right="0" w:rightChars="0" w:firstLine="404" w:firstLineChars="200"/>
        <w:jc w:val="right"/>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spacing w:val="-4"/>
          <w:kern w:val="0"/>
          <w:sz w:val="21"/>
          <w:szCs w:val="21"/>
          <w:highlight w:val="yellow"/>
          <w:lang w:val="en-US" w:eastAsia="zh-CN" w:bidi="ar-SA"/>
        </w:rPr>
        <w:t xml:space="preserve">日期：     </w:t>
      </w:r>
    </w:p>
    <w:p w14:paraId="467DF6D4">
      <w:pPr>
        <w:widowControl w:val="0"/>
        <w:spacing w:line="360" w:lineRule="auto"/>
        <w:jc w:val="both"/>
        <w:rPr>
          <w:rFonts w:hint="eastAsia" w:ascii="宋体" w:hAnsi="宋体" w:eastAsia="宋体" w:cs="宋体"/>
          <w:b/>
          <w:bCs/>
          <w:color w:val="auto"/>
          <w:kern w:val="2"/>
          <w:sz w:val="24"/>
          <w:szCs w:val="24"/>
          <w:lang w:val="en-US" w:eastAsia="zh-CN" w:bidi="ar-SA"/>
        </w:rPr>
      </w:pPr>
    </w:p>
    <w:p w14:paraId="27F58196">
      <w:pPr>
        <w:rPr>
          <w:rFonts w:hint="eastAsia" w:ascii="宋体" w:hAnsi="宋体" w:eastAsia="宋体" w:cs="宋体"/>
          <w:color w:val="auto"/>
          <w:sz w:val="24"/>
          <w:szCs w:val="20"/>
          <w:lang w:eastAsia="zh-CN"/>
        </w:rPr>
      </w:pPr>
    </w:p>
    <w:p w14:paraId="35022AB2">
      <w:pPr>
        <w:rPr>
          <w:rFonts w:hint="eastAsia" w:ascii="宋体" w:hAnsi="宋体" w:eastAsia="宋体" w:cs="宋体"/>
          <w:b/>
          <w:bCs/>
          <w:color w:val="auto"/>
        </w:rPr>
      </w:pPr>
      <w:r>
        <w:rPr>
          <w:rFonts w:hint="eastAsia" w:ascii="宋体" w:hAnsi="宋体" w:eastAsia="宋体" w:cs="宋体"/>
          <w:b/>
          <w:bCs/>
          <w:color w:val="auto"/>
          <w:sz w:val="24"/>
          <w:szCs w:val="20"/>
          <w:lang w:eastAsia="zh-CN"/>
        </w:rPr>
        <w:t>（</w:t>
      </w:r>
      <w:r>
        <w:rPr>
          <w:rFonts w:hint="eastAsia" w:ascii="宋体" w:hAnsi="宋体" w:eastAsia="宋体" w:cs="宋体"/>
          <w:b/>
          <w:bCs/>
          <w:color w:val="auto"/>
          <w:sz w:val="24"/>
          <w:szCs w:val="20"/>
          <w:lang w:val="en-US" w:eastAsia="zh-CN"/>
        </w:rPr>
        <w:t>2</w:t>
      </w:r>
      <w:r>
        <w:rPr>
          <w:rFonts w:hint="eastAsia" w:ascii="宋体" w:hAnsi="宋体" w:eastAsia="宋体" w:cs="宋体"/>
          <w:b/>
          <w:bCs/>
          <w:color w:val="auto"/>
          <w:sz w:val="24"/>
          <w:szCs w:val="20"/>
          <w:lang w:eastAsia="zh-CN"/>
        </w:rPr>
        <w:t>）</w:t>
      </w:r>
      <w:r>
        <w:rPr>
          <w:rFonts w:hint="eastAsia" w:ascii="宋体" w:hAnsi="宋体" w:eastAsia="宋体" w:cs="宋体"/>
          <w:b/>
          <w:bCs/>
          <w:color w:val="auto"/>
          <w:sz w:val="24"/>
          <w:szCs w:val="20"/>
        </w:rPr>
        <w:t>投标人认为需要加以说明的其他内容</w:t>
      </w:r>
    </w:p>
    <w:p w14:paraId="337840D0">
      <w:pPr>
        <w:pStyle w:val="14"/>
        <w:rPr>
          <w:rFonts w:hint="eastAsia" w:ascii="宋体" w:hAnsi="宋体" w:eastAsia="宋体" w:cs="宋体"/>
          <w:color w:val="auto"/>
        </w:rPr>
      </w:pPr>
    </w:p>
    <w:p w14:paraId="63FD3CA0">
      <w:pPr>
        <w:rPr>
          <w:rFonts w:hint="eastAsia" w:ascii="宋体" w:hAnsi="宋体" w:eastAsia="宋体" w:cs="宋体"/>
          <w:color w:val="auto"/>
        </w:rPr>
      </w:pPr>
    </w:p>
    <w:p w14:paraId="66EBDA57">
      <w:pPr>
        <w:pStyle w:val="14"/>
        <w:rPr>
          <w:rFonts w:hint="eastAsia" w:ascii="宋体" w:hAnsi="宋体" w:eastAsia="宋体" w:cs="宋体"/>
          <w:color w:val="auto"/>
        </w:rPr>
      </w:pPr>
    </w:p>
    <w:p w14:paraId="09F696D3">
      <w:pPr>
        <w:rPr>
          <w:rFonts w:hint="eastAsia" w:ascii="宋体" w:hAnsi="宋体" w:eastAsia="宋体" w:cs="宋体"/>
          <w:color w:val="auto"/>
        </w:rPr>
      </w:pPr>
    </w:p>
    <w:p w14:paraId="51F4AB86">
      <w:pPr>
        <w:pStyle w:val="14"/>
        <w:rPr>
          <w:rFonts w:hint="eastAsia" w:ascii="宋体" w:hAnsi="宋体" w:eastAsia="宋体" w:cs="宋体"/>
          <w:color w:val="auto"/>
        </w:rPr>
      </w:pPr>
    </w:p>
    <w:p w14:paraId="1836D4A0">
      <w:pPr>
        <w:pStyle w:val="7"/>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第五章  合同条款及格式</w:t>
      </w:r>
    </w:p>
    <w:p w14:paraId="53B72B09">
      <w:pPr>
        <w:spacing w:line="360" w:lineRule="auto"/>
        <w:jc w:val="center"/>
        <w:rPr>
          <w:rFonts w:hint="eastAsia" w:ascii="宋体" w:hAnsi="宋体" w:eastAsia="宋体" w:cs="宋体"/>
          <w:bCs/>
          <w:color w:val="auto"/>
          <w:kern w:val="44"/>
          <w:sz w:val="28"/>
          <w:szCs w:val="44"/>
        </w:rPr>
      </w:pPr>
      <w:bookmarkStart w:id="43" w:name="_Hlk72574405"/>
      <w:r>
        <w:rPr>
          <w:rFonts w:hint="eastAsia" w:ascii="宋体" w:hAnsi="宋体" w:eastAsia="宋体" w:cs="宋体"/>
          <w:b/>
          <w:color w:val="auto"/>
        </w:rPr>
        <w:t>（仅供参考，具体以项目需求及采购结果为准）</w:t>
      </w:r>
      <w:bookmarkEnd w:id="43"/>
    </w:p>
    <w:p w14:paraId="49C1F911">
      <w:pPr>
        <w:snapToGrid w:val="0"/>
        <w:spacing w:line="300" w:lineRule="auto"/>
        <w:rPr>
          <w:rFonts w:hint="eastAsia" w:ascii="宋体" w:hAnsi="宋体" w:eastAsia="宋体" w:cs="宋体"/>
          <w:color w:val="auto"/>
          <w:u w:val="single"/>
        </w:rPr>
      </w:pPr>
      <w:r>
        <w:rPr>
          <w:rFonts w:hint="eastAsia" w:ascii="宋体" w:hAnsi="宋体" w:eastAsia="宋体" w:cs="宋体"/>
          <w:color w:val="auto"/>
        </w:rPr>
        <w:t>甲方：</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rPr>
        <w:t xml:space="preserve">   乙方: </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 xml:space="preserve">  </w:t>
      </w:r>
    </w:p>
    <w:p w14:paraId="04E68DAC">
      <w:pPr>
        <w:snapToGrid w:val="0"/>
        <w:spacing w:line="300" w:lineRule="auto"/>
        <w:rPr>
          <w:rFonts w:hint="eastAsia" w:ascii="宋体" w:hAnsi="宋体" w:eastAsia="宋体" w:cs="宋体"/>
          <w:color w:val="auto"/>
        </w:rPr>
      </w:pPr>
      <w:r>
        <w:rPr>
          <w:rFonts w:hint="eastAsia" w:ascii="宋体" w:hAnsi="宋体" w:eastAsia="宋体" w:cs="宋体"/>
          <w:color w:val="auto"/>
        </w:rPr>
        <w:t>住所地：</w:t>
      </w:r>
      <w:r>
        <w:rPr>
          <w:rFonts w:hint="eastAsia" w:ascii="宋体" w:hAnsi="宋体" w:eastAsia="宋体" w:cs="宋体"/>
          <w:color w:val="auto"/>
          <w:u w:val="single"/>
        </w:rPr>
        <w:t xml:space="preserve">                    </w:t>
      </w:r>
      <w:r>
        <w:rPr>
          <w:rFonts w:hint="eastAsia" w:ascii="宋体" w:hAnsi="宋体" w:eastAsia="宋体" w:cs="宋体"/>
          <w:color w:val="auto"/>
        </w:rPr>
        <w:t xml:space="preserve">   住所地：</w:t>
      </w:r>
      <w:r>
        <w:rPr>
          <w:rFonts w:hint="eastAsia" w:ascii="宋体" w:hAnsi="宋体" w:eastAsia="宋体" w:cs="宋体"/>
          <w:color w:val="auto"/>
          <w:u w:val="single"/>
        </w:rPr>
        <w:t xml:space="preserve">                    </w:t>
      </w:r>
    </w:p>
    <w:p w14:paraId="552CB5B1">
      <w:pPr>
        <w:snapToGrid w:val="0"/>
        <w:spacing w:line="300" w:lineRule="auto"/>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eastAsia="宋体" w:cs="宋体"/>
          <w:color w:val="auto"/>
        </w:rPr>
        <w:t xml:space="preserve">   法定代表人：</w:t>
      </w:r>
      <w:r>
        <w:rPr>
          <w:rFonts w:hint="eastAsia" w:ascii="宋体" w:hAnsi="宋体" w:eastAsia="宋体" w:cs="宋体"/>
          <w:color w:val="auto"/>
          <w:u w:val="single"/>
        </w:rPr>
        <w:t xml:space="preserve">                </w:t>
      </w:r>
    </w:p>
    <w:p w14:paraId="65329169">
      <w:pPr>
        <w:snapToGrid w:val="0"/>
        <w:spacing w:line="300" w:lineRule="auto"/>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rPr>
        <w:t xml:space="preserve">   联系人：</w:t>
      </w:r>
      <w:r>
        <w:rPr>
          <w:rFonts w:hint="eastAsia" w:ascii="宋体" w:hAnsi="宋体" w:eastAsia="宋体" w:cs="宋体"/>
          <w:color w:val="auto"/>
          <w:u w:val="single"/>
        </w:rPr>
        <w:t xml:space="preserve">                    </w:t>
      </w:r>
    </w:p>
    <w:p w14:paraId="68C830A8">
      <w:pPr>
        <w:snapToGrid w:val="0"/>
        <w:spacing w:line="300" w:lineRule="auto"/>
        <w:rPr>
          <w:rFonts w:hint="eastAsia" w:ascii="宋体" w:hAnsi="宋体" w:eastAsia="宋体" w:cs="宋体"/>
          <w:color w:val="auto"/>
        </w:rPr>
      </w:pPr>
      <w:r>
        <w:rPr>
          <w:rFonts w:hint="eastAsia" w:ascii="宋体" w:hAnsi="宋体" w:eastAsia="宋体" w:cs="宋体"/>
          <w:color w:val="auto"/>
        </w:rPr>
        <w:t>电话：</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rPr>
        <w:t xml:space="preserve">   电话：</w:t>
      </w:r>
      <w:r>
        <w:rPr>
          <w:rFonts w:hint="eastAsia" w:ascii="宋体" w:hAnsi="宋体" w:eastAsia="宋体" w:cs="宋体"/>
          <w:color w:val="auto"/>
          <w:u w:val="single"/>
        </w:rPr>
        <w:t xml:space="preserve">                      </w:t>
      </w:r>
    </w:p>
    <w:p w14:paraId="5A973189">
      <w:pPr>
        <w:snapToGrid w:val="0"/>
        <w:spacing w:line="300" w:lineRule="auto"/>
        <w:rPr>
          <w:rFonts w:hint="eastAsia" w:ascii="宋体" w:hAnsi="宋体" w:eastAsia="宋体" w:cs="宋体"/>
          <w:color w:val="auto"/>
        </w:rPr>
      </w:pPr>
      <w:r>
        <w:rPr>
          <w:rFonts w:hint="eastAsia" w:ascii="宋体" w:hAnsi="宋体" w:eastAsia="宋体" w:cs="宋体"/>
          <w:color w:val="auto"/>
        </w:rPr>
        <w:t>传真：</w:t>
      </w:r>
      <w:r>
        <w:rPr>
          <w:rFonts w:hint="eastAsia" w:ascii="宋体" w:hAnsi="宋体" w:eastAsia="宋体" w:cs="宋体"/>
          <w:color w:val="auto"/>
          <w:u w:val="single"/>
        </w:rPr>
        <w:t xml:space="preserve">                      </w:t>
      </w:r>
      <w:r>
        <w:rPr>
          <w:rFonts w:hint="eastAsia" w:ascii="宋体" w:hAnsi="宋体" w:eastAsia="宋体" w:cs="宋体"/>
          <w:color w:val="auto"/>
        </w:rPr>
        <w:t xml:space="preserve">   传真：</w:t>
      </w:r>
      <w:r>
        <w:rPr>
          <w:rFonts w:hint="eastAsia" w:ascii="宋体" w:hAnsi="宋体" w:eastAsia="宋体" w:cs="宋体"/>
          <w:color w:val="auto"/>
          <w:u w:val="single"/>
        </w:rPr>
        <w:t xml:space="preserve">                      </w:t>
      </w:r>
    </w:p>
    <w:p w14:paraId="5FD5064A">
      <w:pPr>
        <w:snapToGrid w:val="0"/>
        <w:spacing w:line="360" w:lineRule="auto"/>
        <w:rPr>
          <w:rFonts w:hint="eastAsia" w:ascii="宋体" w:hAnsi="宋体" w:eastAsia="宋体" w:cs="宋体"/>
          <w:color w:val="auto"/>
        </w:rPr>
      </w:pPr>
    </w:p>
    <w:p w14:paraId="286D6F7E">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第一条 项目基本情况</w:t>
      </w:r>
    </w:p>
    <w:p w14:paraId="3359A9B2">
      <w:pPr>
        <w:tabs>
          <w:tab w:val="left" w:pos="0"/>
        </w:tabs>
        <w:snapToGrid w:val="0"/>
        <w:spacing w:line="300" w:lineRule="auto"/>
        <w:ind w:firstLine="555"/>
        <w:rPr>
          <w:rFonts w:hint="eastAsia" w:ascii="宋体" w:hAnsi="宋体" w:eastAsia="宋体" w:cs="宋体"/>
          <w:color w:val="auto"/>
        </w:rPr>
      </w:pPr>
      <w:r>
        <w:rPr>
          <w:rFonts w:hint="eastAsia" w:ascii="宋体" w:hAnsi="宋体" w:eastAsia="宋体" w:cs="宋体"/>
          <w:color w:val="auto"/>
        </w:rPr>
        <w:t>根据友和保险经纪有限公司</w:t>
      </w:r>
      <w:r>
        <w:rPr>
          <w:rFonts w:hint="eastAsia" w:ascii="宋体" w:hAnsi="宋体" w:eastAsia="宋体" w:cs="宋体"/>
          <w:color w:val="auto"/>
          <w:u w:val="single"/>
        </w:rPr>
        <w:t xml:space="preserve">            </w:t>
      </w:r>
      <w:r>
        <w:rPr>
          <w:rFonts w:hint="eastAsia" w:ascii="宋体" w:hAnsi="宋体" w:eastAsia="宋体" w:cs="宋体"/>
          <w:color w:val="auto"/>
        </w:rPr>
        <w:t>项目（招标编号：</w:t>
      </w:r>
      <w:r>
        <w:rPr>
          <w:rFonts w:hint="eastAsia" w:ascii="宋体" w:hAnsi="宋体" w:eastAsia="宋体" w:cs="宋体"/>
          <w:color w:val="auto"/>
          <w:u w:val="single"/>
        </w:rPr>
        <w:t xml:space="preserve">       </w:t>
      </w:r>
      <w:r>
        <w:rPr>
          <w:rFonts w:hint="eastAsia" w:ascii="宋体" w:hAnsi="宋体" w:eastAsia="宋体" w:cs="宋体"/>
          <w:color w:val="auto"/>
        </w:rPr>
        <w:t>）结果，</w:t>
      </w:r>
      <w:r>
        <w:rPr>
          <w:rFonts w:hint="eastAsia" w:ascii="宋体" w:hAnsi="宋体" w:eastAsia="宋体" w:cs="宋体"/>
          <w:color w:val="auto"/>
          <w:u w:val="single"/>
        </w:rPr>
        <w:t xml:space="preserve">        </w:t>
      </w:r>
      <w:r>
        <w:rPr>
          <w:rFonts w:hint="eastAsia" w:ascii="宋体" w:hAnsi="宋体" w:eastAsia="宋体" w:cs="宋体"/>
          <w:color w:val="auto"/>
        </w:rPr>
        <w:t>为中标人。按照《中华人民共和国民法典》（第三编 合同）》和《深圳经济特区政府采购条例》，经</w:t>
      </w:r>
      <w:r>
        <w:rPr>
          <w:rFonts w:hint="eastAsia" w:ascii="宋体" w:hAnsi="宋体" w:eastAsia="宋体" w:cs="宋体"/>
          <w:color w:val="auto"/>
          <w:u w:val="single"/>
        </w:rPr>
        <w:t xml:space="preserve">        </w:t>
      </w:r>
      <w:r>
        <w:rPr>
          <w:rFonts w:hint="eastAsia" w:ascii="宋体" w:hAnsi="宋体" w:eastAsia="宋体" w:cs="宋体"/>
          <w:color w:val="auto"/>
        </w:rPr>
        <w:t>（以下简称甲方）和</w:t>
      </w:r>
      <w:r>
        <w:rPr>
          <w:rFonts w:hint="eastAsia" w:ascii="宋体" w:hAnsi="宋体" w:eastAsia="宋体" w:cs="宋体"/>
          <w:color w:val="auto"/>
          <w:u w:val="single"/>
        </w:rPr>
        <w:t xml:space="preserve">        </w:t>
      </w:r>
      <w:r>
        <w:rPr>
          <w:rFonts w:hint="eastAsia" w:ascii="宋体" w:hAnsi="宋体" w:eastAsia="宋体" w:cs="宋体"/>
          <w:color w:val="auto"/>
        </w:rPr>
        <w:t>（以下简称乙方）协商，达成本合同条款。</w:t>
      </w:r>
    </w:p>
    <w:p w14:paraId="77BB9BEC">
      <w:pPr>
        <w:tabs>
          <w:tab w:val="left" w:pos="0"/>
        </w:tabs>
        <w:snapToGrid w:val="0"/>
        <w:spacing w:line="360" w:lineRule="auto"/>
        <w:rPr>
          <w:rFonts w:hint="eastAsia" w:ascii="宋体" w:hAnsi="宋体" w:eastAsia="宋体" w:cs="宋体"/>
          <w:color w:val="auto"/>
        </w:rPr>
      </w:pPr>
      <w:r>
        <w:rPr>
          <w:rFonts w:hint="eastAsia" w:ascii="宋体" w:hAnsi="宋体" w:eastAsia="宋体" w:cs="宋体"/>
          <w:b/>
          <w:color w:val="auto"/>
        </w:rPr>
        <w:t>第二条 合同标的内容（标的数量或质量等）</w:t>
      </w:r>
    </w:p>
    <w:p w14:paraId="08DBA211">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第三条 合同价款（金额）</w:t>
      </w:r>
    </w:p>
    <w:p w14:paraId="2D8B5C31">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第四条 项目履约（交付、交货）地点</w:t>
      </w:r>
    </w:p>
    <w:p w14:paraId="3A3B7CF2">
      <w:pPr>
        <w:tabs>
          <w:tab w:val="left" w:pos="0"/>
        </w:tabs>
        <w:snapToGrid w:val="0"/>
        <w:spacing w:line="360" w:lineRule="auto"/>
        <w:ind w:left="-1" w:firstLine="480" w:firstLineChars="200"/>
        <w:rPr>
          <w:rFonts w:hint="eastAsia" w:ascii="宋体" w:hAnsi="宋体" w:eastAsia="宋体" w:cs="宋体"/>
          <w:color w:val="auto"/>
        </w:rPr>
      </w:pPr>
      <w:r>
        <w:rPr>
          <w:rFonts w:hint="eastAsia" w:ascii="宋体" w:hAnsi="宋体" w:eastAsia="宋体" w:cs="宋体"/>
          <w:color w:val="auto"/>
        </w:rPr>
        <w:t>深圳市</w:t>
      </w:r>
      <w:r>
        <w:rPr>
          <w:rFonts w:hint="eastAsia" w:ascii="宋体" w:hAnsi="宋体" w:eastAsia="宋体" w:cs="宋体"/>
          <w:color w:val="auto"/>
          <w:u w:val="single"/>
        </w:rPr>
        <w:t xml:space="preserve">      </w:t>
      </w:r>
      <w:r>
        <w:rPr>
          <w:rFonts w:hint="eastAsia" w:ascii="宋体" w:hAnsi="宋体" w:eastAsia="宋体" w:cs="宋体"/>
          <w:color w:val="auto"/>
        </w:rPr>
        <w:t>区。</w:t>
      </w:r>
    </w:p>
    <w:p w14:paraId="28E0A137">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第五条 项目服务期（完工期、履约时间、交货时间）</w:t>
      </w:r>
    </w:p>
    <w:p w14:paraId="014D998A">
      <w:pPr>
        <w:tabs>
          <w:tab w:val="left" w:pos="0"/>
        </w:tabs>
        <w:snapToGrid w:val="0"/>
        <w:spacing w:line="360" w:lineRule="auto"/>
        <w:ind w:left="-1" w:firstLine="480" w:firstLineChars="200"/>
        <w:rPr>
          <w:rFonts w:hint="eastAsia" w:ascii="宋体" w:hAnsi="宋体" w:eastAsia="宋体" w:cs="宋体"/>
          <w:color w:val="auto"/>
        </w:rPr>
      </w:pPr>
      <w:r>
        <w:rPr>
          <w:rFonts w:hint="eastAsia" w:ascii="宋体" w:hAnsi="宋体" w:eastAsia="宋体" w:cs="宋体"/>
          <w:color w:val="auto"/>
        </w:rPr>
        <w:t>（具体按本项目需求与投标人承诺内容拟定）</w:t>
      </w:r>
    </w:p>
    <w:p w14:paraId="73E24FAA">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第六条 付款期限及方式</w:t>
      </w:r>
    </w:p>
    <w:p w14:paraId="38845F62">
      <w:pPr>
        <w:tabs>
          <w:tab w:val="left" w:pos="0"/>
        </w:tabs>
        <w:snapToGrid w:val="0"/>
        <w:spacing w:line="360" w:lineRule="auto"/>
        <w:ind w:left="-1" w:firstLine="480" w:firstLineChars="200"/>
        <w:rPr>
          <w:rFonts w:hint="eastAsia" w:ascii="宋体" w:hAnsi="宋体" w:eastAsia="宋体" w:cs="宋体"/>
          <w:color w:val="auto"/>
        </w:rPr>
      </w:pPr>
      <w:r>
        <w:rPr>
          <w:rFonts w:hint="eastAsia" w:ascii="宋体" w:hAnsi="宋体" w:eastAsia="宋体" w:cs="宋体"/>
          <w:color w:val="auto"/>
        </w:rPr>
        <w:t>（具体按本项目需求与投标人承诺内容拟定）</w:t>
      </w:r>
    </w:p>
    <w:p w14:paraId="7DDE3EB5">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第七条 项目验收标准及方式</w:t>
      </w:r>
    </w:p>
    <w:p w14:paraId="65204DB1">
      <w:pPr>
        <w:tabs>
          <w:tab w:val="left" w:pos="0"/>
        </w:tabs>
        <w:snapToGrid w:val="0"/>
        <w:spacing w:line="360" w:lineRule="auto"/>
        <w:ind w:left="-1" w:firstLine="480" w:firstLineChars="200"/>
        <w:rPr>
          <w:rFonts w:hint="eastAsia" w:ascii="宋体" w:hAnsi="宋体" w:eastAsia="宋体" w:cs="宋体"/>
          <w:color w:val="auto"/>
        </w:rPr>
      </w:pPr>
      <w:r>
        <w:rPr>
          <w:rFonts w:hint="eastAsia" w:ascii="宋体" w:hAnsi="宋体" w:eastAsia="宋体" w:cs="宋体"/>
          <w:color w:val="auto"/>
        </w:rPr>
        <w:t>（具体按本项目需求与投标人承诺内容拟定）</w:t>
      </w:r>
    </w:p>
    <w:p w14:paraId="27E56A7F">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第八条 甲方的权利和义务</w:t>
      </w:r>
    </w:p>
    <w:p w14:paraId="3D5D6BED">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第九条 乙方的权利和义务</w:t>
      </w:r>
    </w:p>
    <w:p w14:paraId="00C8181A">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第十条 违约责任与争议解决办法</w:t>
      </w:r>
    </w:p>
    <w:p w14:paraId="608635D8">
      <w:pPr>
        <w:tabs>
          <w:tab w:val="left" w:pos="0"/>
        </w:tabs>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1、合同双方之任何一方不能全面履行合同条款，均属违约。违约所造成的经济损失概由违约方承担赔偿。违约造成工期延误责任分担：甲方违约，工期相应顺延；乙方违约，工期不得顺延。</w:t>
      </w:r>
    </w:p>
    <w:p w14:paraId="6BDB0B10">
      <w:pPr>
        <w:tabs>
          <w:tab w:val="left" w:pos="0"/>
        </w:tabs>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2、协商或仲裁：如果发生与本合同的解释或执行中的有关争议，双方首先应通过友好协商解决，否则任何一方可将该争议提交仲裁。仲裁事项应提交深圳仲裁委员会进行裁决。</w:t>
      </w:r>
    </w:p>
    <w:p w14:paraId="7C0B3AEF">
      <w:pPr>
        <w:tabs>
          <w:tab w:val="left" w:pos="0"/>
        </w:tabs>
        <w:snapToGrid w:val="0"/>
        <w:spacing w:line="360" w:lineRule="auto"/>
        <w:rPr>
          <w:rFonts w:hint="eastAsia" w:ascii="宋体" w:hAnsi="宋体" w:eastAsia="宋体" w:cs="宋体"/>
          <w:color w:val="auto"/>
        </w:rPr>
      </w:pPr>
      <w:r>
        <w:rPr>
          <w:rFonts w:hint="eastAsia" w:ascii="宋体" w:hAnsi="宋体" w:eastAsia="宋体" w:cs="宋体"/>
          <w:color w:val="auto"/>
        </w:rPr>
        <w:t>……。</w:t>
      </w:r>
    </w:p>
    <w:p w14:paraId="280C6E01">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第十一条 知识产权、保密或其他事项要求</w:t>
      </w:r>
    </w:p>
    <w:p w14:paraId="63AF374E">
      <w:pPr>
        <w:tabs>
          <w:tab w:val="left" w:pos="0"/>
        </w:tabs>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1、除政府采购合同继续履行将损害国家利益和社会公共利益外，双方不得擅自变更、中止或者终止合同。</w:t>
      </w:r>
    </w:p>
    <w:p w14:paraId="270D3911">
      <w:pPr>
        <w:tabs>
          <w:tab w:val="left" w:pos="0"/>
        </w:tabs>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14:paraId="054BBC61">
      <w:pPr>
        <w:tabs>
          <w:tab w:val="left" w:pos="0"/>
        </w:tabs>
        <w:snapToGrid w:val="0"/>
        <w:spacing w:line="360" w:lineRule="auto"/>
        <w:rPr>
          <w:rFonts w:hint="eastAsia" w:ascii="宋体" w:hAnsi="宋体" w:eastAsia="宋体" w:cs="宋体"/>
          <w:color w:val="auto"/>
        </w:rPr>
      </w:pPr>
      <w:r>
        <w:rPr>
          <w:rFonts w:hint="eastAsia" w:ascii="宋体" w:hAnsi="宋体" w:eastAsia="宋体" w:cs="宋体"/>
          <w:color w:val="auto"/>
        </w:rPr>
        <w:t>……。</w:t>
      </w:r>
    </w:p>
    <w:p w14:paraId="730BEB8A">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第十二条 附件（附录）</w:t>
      </w:r>
      <w:r>
        <w:rPr>
          <w:rFonts w:hint="eastAsia" w:ascii="宋体" w:hAnsi="宋体" w:eastAsia="宋体" w:cs="宋体"/>
          <w:color w:val="auto"/>
        </w:rPr>
        <w:t>（如有，可填写，并附相关内容）</w:t>
      </w:r>
    </w:p>
    <w:p w14:paraId="54A7E9DD">
      <w:pPr>
        <w:tabs>
          <w:tab w:val="left" w:pos="0"/>
        </w:tabs>
        <w:snapToGrid w:val="0"/>
        <w:spacing w:line="360" w:lineRule="auto"/>
        <w:rPr>
          <w:rFonts w:hint="eastAsia" w:ascii="宋体" w:hAnsi="宋体" w:eastAsia="宋体" w:cs="宋体"/>
          <w:color w:val="auto"/>
        </w:rPr>
      </w:pPr>
      <w:r>
        <w:rPr>
          <w:rFonts w:hint="eastAsia" w:ascii="宋体" w:hAnsi="宋体" w:eastAsia="宋体" w:cs="宋体"/>
          <w:color w:val="auto"/>
        </w:rPr>
        <w:t>……。</w:t>
      </w:r>
    </w:p>
    <w:p w14:paraId="1348E586">
      <w:pPr>
        <w:snapToGrid w:val="0"/>
        <w:spacing w:line="360" w:lineRule="auto"/>
        <w:ind w:firstLine="200"/>
        <w:rPr>
          <w:rFonts w:hint="eastAsia" w:ascii="宋体" w:hAnsi="宋体" w:eastAsia="宋体" w:cs="宋体"/>
          <w:color w:val="auto"/>
        </w:rPr>
      </w:pPr>
    </w:p>
    <w:p w14:paraId="6B53A2F9">
      <w:pPr>
        <w:snapToGrid w:val="0"/>
        <w:spacing w:line="360" w:lineRule="auto"/>
        <w:rPr>
          <w:rFonts w:hint="eastAsia" w:ascii="宋体" w:hAnsi="宋体" w:eastAsia="宋体" w:cs="宋体"/>
          <w:color w:val="auto"/>
        </w:rPr>
      </w:pPr>
      <w:r>
        <w:rPr>
          <w:rFonts w:hint="eastAsia" w:ascii="宋体" w:hAnsi="宋体" w:eastAsia="宋体" w:cs="宋体"/>
          <w:color w:val="auto"/>
        </w:rPr>
        <w:t>甲方（公章）：                            乙方（公章）：</w:t>
      </w:r>
    </w:p>
    <w:p w14:paraId="540878BC">
      <w:pPr>
        <w:snapToGrid w:val="0"/>
        <w:spacing w:line="360" w:lineRule="auto"/>
        <w:rPr>
          <w:rFonts w:hint="eastAsia" w:ascii="宋体" w:hAnsi="宋体" w:eastAsia="宋体" w:cs="宋体"/>
          <w:color w:val="auto"/>
        </w:rPr>
      </w:pPr>
      <w:r>
        <w:rPr>
          <w:rFonts w:hint="eastAsia" w:ascii="宋体" w:hAnsi="宋体" w:eastAsia="宋体" w:cs="宋体"/>
          <w:color w:val="auto"/>
        </w:rPr>
        <w:t>法定代表人（签章）</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法定代表人（签章）</w:t>
      </w:r>
    </w:p>
    <w:p w14:paraId="0F0C43B5">
      <w:pPr>
        <w:snapToGrid w:val="0"/>
        <w:spacing w:line="360" w:lineRule="auto"/>
        <w:rPr>
          <w:rFonts w:hint="eastAsia" w:ascii="宋体" w:hAnsi="宋体" w:eastAsia="宋体" w:cs="宋体"/>
          <w:color w:val="auto"/>
        </w:rPr>
      </w:pPr>
      <w:r>
        <w:rPr>
          <w:rFonts w:hint="eastAsia" w:ascii="宋体" w:hAnsi="宋体" w:eastAsia="宋体" w:cs="宋体"/>
          <w:color w:val="auto"/>
        </w:rPr>
        <w:t>或授权代表：</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或授权代表：</w:t>
      </w:r>
    </w:p>
    <w:p w14:paraId="315B5BCD">
      <w:pPr>
        <w:snapToGrid w:val="0"/>
        <w:spacing w:line="360" w:lineRule="auto"/>
        <w:rPr>
          <w:rFonts w:hint="eastAsia" w:ascii="宋体" w:hAnsi="宋体" w:eastAsia="宋体" w:cs="宋体"/>
          <w:color w:val="auto"/>
        </w:rPr>
      </w:pPr>
      <w:r>
        <w:rPr>
          <w:rFonts w:hint="eastAsia" w:ascii="宋体" w:hAnsi="宋体" w:eastAsia="宋体" w:cs="宋体"/>
          <w:color w:val="auto"/>
        </w:rPr>
        <w:t xml:space="preserve">日期：    年   月   日     </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日期：    年   月   日</w:t>
      </w:r>
    </w:p>
    <w:p w14:paraId="37BFE72E">
      <w:pPr>
        <w:rPr>
          <w:rFonts w:hint="eastAsia" w:ascii="宋体" w:hAnsi="宋体" w:eastAsia="宋体" w:cs="宋体"/>
          <w:color w:val="auto"/>
          <w:szCs w:val="21"/>
        </w:rPr>
      </w:pPr>
    </w:p>
    <w:p w14:paraId="2C93C411">
      <w:pPr>
        <w:pStyle w:val="14"/>
        <w:rPr>
          <w:rFonts w:hint="eastAsia" w:ascii="宋体" w:hAnsi="宋体" w:eastAsia="宋体" w:cs="宋体"/>
          <w:color w:val="auto"/>
        </w:rPr>
      </w:pPr>
    </w:p>
    <w:p w14:paraId="3966BCD6">
      <w:pPr>
        <w:rPr>
          <w:rFonts w:hint="eastAsia" w:ascii="宋体" w:hAnsi="宋体" w:eastAsia="宋体" w:cs="宋体"/>
          <w:color w:val="auto"/>
        </w:rPr>
      </w:pPr>
    </w:p>
    <w:p w14:paraId="70B79769">
      <w:pPr>
        <w:pStyle w:val="14"/>
        <w:rPr>
          <w:rFonts w:hint="eastAsia" w:ascii="宋体" w:hAnsi="宋体" w:eastAsia="宋体" w:cs="宋体"/>
          <w:color w:val="auto"/>
        </w:rPr>
      </w:pPr>
    </w:p>
    <w:p w14:paraId="7B1CF709">
      <w:pPr>
        <w:rPr>
          <w:rFonts w:hint="eastAsia" w:ascii="宋体" w:hAnsi="宋体" w:eastAsia="宋体" w:cs="宋体"/>
          <w:color w:val="auto"/>
        </w:rPr>
      </w:pPr>
    </w:p>
    <w:p w14:paraId="0DA9F7D7">
      <w:pPr>
        <w:pStyle w:val="14"/>
        <w:rPr>
          <w:rFonts w:hint="eastAsia" w:ascii="宋体" w:hAnsi="宋体" w:eastAsia="宋体" w:cs="宋体"/>
          <w:color w:val="auto"/>
        </w:rPr>
      </w:pPr>
    </w:p>
    <w:p w14:paraId="12A77A39">
      <w:pPr>
        <w:rPr>
          <w:rFonts w:hint="eastAsia" w:ascii="宋体" w:hAnsi="宋体" w:eastAsia="宋体" w:cs="宋体"/>
          <w:color w:val="auto"/>
        </w:rPr>
      </w:pPr>
    </w:p>
    <w:p w14:paraId="2C242FCB">
      <w:pPr>
        <w:pStyle w:val="14"/>
        <w:rPr>
          <w:rFonts w:hint="eastAsia" w:ascii="宋体" w:hAnsi="宋体" w:eastAsia="宋体" w:cs="宋体"/>
          <w:color w:val="auto"/>
        </w:rPr>
      </w:pPr>
    </w:p>
    <w:p w14:paraId="22A71B65">
      <w:pPr>
        <w:rPr>
          <w:rFonts w:hint="eastAsia" w:ascii="宋体" w:hAnsi="宋体" w:eastAsia="宋体" w:cs="宋体"/>
          <w:color w:val="auto"/>
        </w:rPr>
      </w:pPr>
    </w:p>
    <w:p w14:paraId="77CDE4C9">
      <w:pPr>
        <w:pStyle w:val="14"/>
        <w:rPr>
          <w:rFonts w:hint="eastAsia" w:ascii="宋体" w:hAnsi="宋体" w:eastAsia="宋体" w:cs="宋体"/>
          <w:color w:val="auto"/>
        </w:rPr>
      </w:pPr>
    </w:p>
    <w:p w14:paraId="70F6B3CA">
      <w:pPr>
        <w:rPr>
          <w:rFonts w:hint="eastAsia" w:ascii="宋体" w:hAnsi="宋体" w:eastAsia="宋体" w:cs="宋体"/>
          <w:color w:val="auto"/>
        </w:rPr>
      </w:pPr>
    </w:p>
    <w:p w14:paraId="2B9C0194">
      <w:pPr>
        <w:pStyle w:val="14"/>
        <w:rPr>
          <w:rFonts w:hint="eastAsia" w:ascii="宋体" w:hAnsi="宋体" w:eastAsia="宋体" w:cs="宋体"/>
          <w:color w:val="auto"/>
        </w:rPr>
      </w:pPr>
    </w:p>
    <w:p w14:paraId="27F67D81">
      <w:pPr>
        <w:rPr>
          <w:rFonts w:hint="eastAsia" w:ascii="宋体" w:hAnsi="宋体" w:eastAsia="宋体" w:cs="宋体"/>
          <w:color w:val="auto"/>
        </w:rPr>
      </w:pPr>
    </w:p>
    <w:p w14:paraId="3E5CD63D">
      <w:pPr>
        <w:pStyle w:val="14"/>
        <w:rPr>
          <w:rFonts w:hint="eastAsia" w:ascii="宋体" w:hAnsi="宋体" w:eastAsia="宋体" w:cs="宋体"/>
          <w:color w:val="auto"/>
        </w:rPr>
      </w:pPr>
    </w:p>
    <w:p w14:paraId="5FE79C96">
      <w:pPr>
        <w:rPr>
          <w:rFonts w:hint="eastAsia" w:ascii="宋体" w:hAnsi="宋体" w:eastAsia="宋体" w:cs="宋体"/>
          <w:color w:val="auto"/>
        </w:rPr>
      </w:pPr>
    </w:p>
    <w:p w14:paraId="1AFB8704">
      <w:pPr>
        <w:rPr>
          <w:rFonts w:hint="eastAsia" w:ascii="宋体" w:hAnsi="宋体" w:eastAsia="宋体" w:cs="宋体"/>
          <w:color w:val="auto"/>
        </w:rPr>
      </w:pPr>
    </w:p>
    <w:p w14:paraId="5D86F161">
      <w:pPr>
        <w:pStyle w:val="14"/>
        <w:rPr>
          <w:rFonts w:hint="eastAsia" w:ascii="宋体" w:hAnsi="宋体" w:eastAsia="宋体" w:cs="宋体"/>
          <w:color w:val="auto"/>
        </w:rPr>
      </w:pPr>
    </w:p>
    <w:p w14:paraId="3CA63ACA">
      <w:pPr>
        <w:pStyle w:val="7"/>
        <w:spacing w:before="120" w:beforeLines="50" w:after="120" w:afterLines="50"/>
        <w:ind w:left="562"/>
        <w:rPr>
          <w:rFonts w:hint="eastAsia" w:ascii="宋体" w:hAnsi="宋体" w:eastAsia="宋体" w:cs="宋体"/>
          <w:color w:val="auto"/>
          <w:sz w:val="28"/>
          <w:szCs w:val="28"/>
        </w:rPr>
      </w:pPr>
      <w:r>
        <w:rPr>
          <w:rFonts w:hint="eastAsia" w:ascii="宋体" w:hAnsi="宋体" w:eastAsia="宋体" w:cs="宋体"/>
          <w:color w:val="auto"/>
          <w:sz w:val="28"/>
          <w:szCs w:val="28"/>
        </w:rPr>
        <w:t>第二册  通用条款（公开招标）</w:t>
      </w:r>
    </w:p>
    <w:p w14:paraId="4EA955A7">
      <w:pPr>
        <w:pStyle w:val="7"/>
        <w:numPr>
          <w:ilvl w:val="0"/>
          <w:numId w:val="8"/>
        </w:numPr>
        <w:spacing w:before="120" w:beforeLines="50" w:after="120" w:afterLines="50"/>
        <w:ind w:left="562" w:hanging="562"/>
        <w:rPr>
          <w:rFonts w:hint="eastAsia" w:ascii="宋体" w:hAnsi="宋体" w:eastAsia="宋体" w:cs="宋体"/>
          <w:color w:val="auto"/>
          <w:sz w:val="28"/>
          <w:szCs w:val="28"/>
        </w:rPr>
      </w:pPr>
      <w:bookmarkStart w:id="44" w:name="_Hlk72399513"/>
      <w:r>
        <w:rPr>
          <w:rFonts w:hint="eastAsia" w:ascii="宋体" w:hAnsi="宋体" w:eastAsia="宋体" w:cs="宋体"/>
          <w:color w:val="auto"/>
          <w:sz w:val="28"/>
          <w:szCs w:val="28"/>
        </w:rPr>
        <w:t>总则</w:t>
      </w:r>
      <w:bookmarkEnd w:id="44"/>
    </w:p>
    <w:p w14:paraId="631795ED">
      <w:pPr>
        <w:rPr>
          <w:rFonts w:hint="eastAsia" w:ascii="宋体" w:hAnsi="宋体" w:eastAsia="宋体" w:cs="宋体"/>
          <w:color w:val="auto"/>
        </w:rPr>
      </w:pPr>
      <w:r>
        <w:rPr>
          <w:rFonts w:hint="eastAsia" w:ascii="宋体" w:hAnsi="宋体" w:eastAsia="宋体" w:cs="宋体"/>
          <w:color w:val="auto"/>
        </w:rPr>
        <w:t>1. 通用条款说明</w:t>
      </w:r>
    </w:p>
    <w:p w14:paraId="18E3E9E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1.1</w:t>
      </w:r>
      <w:bookmarkStart w:id="45" w:name="_Hlk72399729"/>
      <w:r>
        <w:rPr>
          <w:rFonts w:hint="eastAsia" w:ascii="宋体" w:hAnsi="宋体" w:eastAsia="宋体" w:cs="宋体"/>
          <w:color w:val="auto"/>
          <w:szCs w:val="21"/>
        </w:rPr>
        <w:t>采购机构可以对通用条款的内容进行补充。</w:t>
      </w:r>
      <w:bookmarkEnd w:id="45"/>
    </w:p>
    <w:p w14:paraId="52C7D53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1.2招标文件分为第一册“专用条款”和第二册“通用条款”。</w:t>
      </w:r>
    </w:p>
    <w:p w14:paraId="2965005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1.3“专用条款”是对本次采购项目的具体要求，包含招标公告、对通用条款的补充内容及其他关键信息、用户需求书、投标文件格式及附件、合同条款及格式等内容。</w:t>
      </w:r>
    </w:p>
    <w:p w14:paraId="569EB2C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1.4“通用条款”是适用于政府采购公开招标项目的基础性条款，具有普遍性和通用性。</w:t>
      </w:r>
    </w:p>
    <w:p w14:paraId="1B3123E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1.5 “专用条款”和“通用条款”表述不一致或有冲突时，以“专用条款”为准。</w:t>
      </w:r>
    </w:p>
    <w:p w14:paraId="2CA54593">
      <w:pPr>
        <w:rPr>
          <w:rFonts w:hint="eastAsia" w:ascii="宋体" w:hAnsi="宋体" w:eastAsia="宋体" w:cs="宋体"/>
          <w:color w:val="auto"/>
        </w:rPr>
      </w:pPr>
      <w:r>
        <w:rPr>
          <w:rFonts w:hint="eastAsia" w:ascii="宋体" w:hAnsi="宋体" w:eastAsia="宋体" w:cs="宋体"/>
          <w:color w:val="auto"/>
        </w:rPr>
        <w:t>2．招标说明</w:t>
      </w:r>
    </w:p>
    <w:p w14:paraId="3DD6F24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本项目按照《深圳经济特区政府采购条例》、《深圳经济特区政府采购条例实施细则》及政府采购其他法律法规，通过公开招标方式确定中标供应商。</w:t>
      </w:r>
    </w:p>
    <w:p w14:paraId="1E88FB6A">
      <w:pPr>
        <w:rPr>
          <w:rFonts w:hint="eastAsia" w:ascii="宋体" w:hAnsi="宋体" w:eastAsia="宋体" w:cs="宋体"/>
          <w:color w:val="auto"/>
        </w:rPr>
      </w:pPr>
      <w:r>
        <w:rPr>
          <w:rFonts w:hint="eastAsia" w:ascii="宋体" w:hAnsi="宋体" w:eastAsia="宋体" w:cs="宋体"/>
          <w:color w:val="auto"/>
        </w:rPr>
        <w:t>3．定义</w:t>
      </w:r>
    </w:p>
    <w:p w14:paraId="627616B0">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招标文件中下列术语应解释为：</w:t>
      </w:r>
    </w:p>
    <w:p w14:paraId="3278374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3.1“采购人”：指利用财政性资金依法进行政府采购的国家机关、事业单位、团体组织；</w:t>
      </w:r>
    </w:p>
    <w:p w14:paraId="4468E3A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3.2 “招标机构”系指根据采购人的委托，代理政府采购事宜的机构，在此特指拥有采购代理资格的</w:t>
      </w:r>
      <w:r>
        <w:rPr>
          <w:rFonts w:hint="eastAsia" w:ascii="宋体" w:hAnsi="宋体" w:eastAsia="宋体" w:cs="宋体"/>
          <w:b/>
          <w:bCs/>
          <w:color w:val="auto"/>
          <w:szCs w:val="21"/>
        </w:rPr>
        <w:t>友和保险经纪有限公司</w:t>
      </w:r>
      <w:r>
        <w:rPr>
          <w:rFonts w:hint="eastAsia" w:ascii="宋体" w:hAnsi="宋体" w:eastAsia="宋体" w:cs="宋体"/>
          <w:color w:val="auto"/>
          <w:szCs w:val="21"/>
        </w:rPr>
        <w:t>；</w:t>
      </w:r>
    </w:p>
    <w:p w14:paraId="2603158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3.3“投标人”，即供应商，指参加投标竞争并愿意按照招标文件要求向采购人提供货物、工程或者服务的依法成立的法人、其他组织或者自然人；</w:t>
      </w:r>
    </w:p>
    <w:p w14:paraId="1505DA6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3.4“评审委员会”是依据《深圳经济特区政府采购条例》、《深圳经济特区政府采购条例实施细则》等有关规定组建的专门负责本次招标其评审工作的临时性机构；</w:t>
      </w:r>
    </w:p>
    <w:p w14:paraId="5636581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3.5“日期”指公历日；</w:t>
      </w:r>
    </w:p>
    <w:p w14:paraId="2E1D8D2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3.6“合同”指由本次招标所产生的合同或合约文件；</w:t>
      </w:r>
    </w:p>
    <w:p w14:paraId="10781D8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3.7“电子投标文件”指利用</w:t>
      </w:r>
      <w:r>
        <w:rPr>
          <w:rFonts w:hint="eastAsia" w:ascii="宋体" w:hAnsi="宋体" w:eastAsia="宋体" w:cs="宋体"/>
          <w:b/>
          <w:bCs/>
          <w:color w:val="auto"/>
          <w:szCs w:val="21"/>
        </w:rPr>
        <w:t>深圳公共资源交易中心（深圳交易集团有限公司政府采购业务分公司）</w:t>
      </w:r>
      <w:r>
        <w:rPr>
          <w:rFonts w:hint="eastAsia" w:ascii="宋体" w:hAnsi="宋体" w:eastAsia="宋体" w:cs="宋体"/>
          <w:color w:val="auto"/>
          <w:szCs w:val="21"/>
        </w:rPr>
        <w:t>网站提供的</w:t>
      </w:r>
      <w:r>
        <w:rPr>
          <w:rFonts w:hint="eastAsia" w:ascii="宋体" w:hAnsi="宋体" w:eastAsia="宋体" w:cs="宋体"/>
          <w:color w:val="auto"/>
        </w:rPr>
        <w:t>深圳智慧采购平台投标文件制作专用软件（以下简称：投标文件制作软件）制作并</w:t>
      </w:r>
      <w:r>
        <w:rPr>
          <w:rFonts w:hint="eastAsia" w:ascii="宋体" w:hAnsi="宋体" w:eastAsia="宋体" w:cs="宋体"/>
          <w:color w:val="auto"/>
          <w:szCs w:val="21"/>
        </w:rPr>
        <w:t>加密的投标文件,适用于网上投标；（投标文件制作软件可从</w:t>
      </w:r>
      <w:r>
        <w:rPr>
          <w:rFonts w:hint="eastAsia" w:ascii="宋体" w:hAnsi="宋体" w:eastAsia="宋体" w:cs="宋体"/>
          <w:color w:val="auto"/>
        </w:rPr>
        <w:t>“下载地址：</w:t>
      </w:r>
      <w:r>
        <w:rPr>
          <w:rFonts w:hint="eastAsia" w:ascii="宋体" w:hAnsi="宋体" w:eastAsia="宋体" w:cs="宋体"/>
          <w:color w:val="auto"/>
          <w:highlight w:val="yellow"/>
        </w:rPr>
        <w:t>http://zfcg.szggzy.com:8081/cgxy/013002/20210923/173e0b2c-7a4c-4246-a0c7-e0ea75d84dd6.html</w:t>
      </w:r>
      <w:r>
        <w:rPr>
          <w:rFonts w:hint="eastAsia" w:ascii="宋体" w:hAnsi="宋体" w:eastAsia="宋体" w:cs="宋体"/>
          <w:color w:val="auto"/>
        </w:rPr>
        <w:t>”</w:t>
      </w:r>
      <w:r>
        <w:rPr>
          <w:rFonts w:hint="eastAsia" w:ascii="宋体" w:hAnsi="宋体" w:eastAsia="宋体" w:cs="宋体"/>
          <w:color w:val="auto"/>
          <w:szCs w:val="21"/>
        </w:rPr>
        <w:t>下载）；</w:t>
      </w:r>
    </w:p>
    <w:p w14:paraId="0A415A9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3.8“网上投标”指通过</w:t>
      </w:r>
      <w:r>
        <w:rPr>
          <w:rFonts w:hint="eastAsia" w:ascii="宋体" w:hAnsi="宋体" w:eastAsia="宋体" w:cs="宋体"/>
          <w:b/>
          <w:bCs/>
          <w:color w:val="auto"/>
          <w:szCs w:val="21"/>
        </w:rPr>
        <w:t>深圳公共资源交易中心（深圳交易集团有限公司政府采购业务分公司）</w:t>
      </w:r>
      <w:r>
        <w:rPr>
          <w:rFonts w:hint="eastAsia" w:ascii="宋体" w:hAnsi="宋体" w:eastAsia="宋体" w:cs="宋体"/>
          <w:color w:val="auto"/>
          <w:szCs w:val="21"/>
        </w:rPr>
        <w:t>网站上传电子投标文件；</w:t>
      </w:r>
    </w:p>
    <w:p w14:paraId="62E2A3D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3.9招标文件中的标题或题名仅起引导作用，而不应视为对招标文件内容的理解和解释。</w:t>
      </w:r>
    </w:p>
    <w:p w14:paraId="5559A011">
      <w:pPr>
        <w:rPr>
          <w:rFonts w:hint="eastAsia" w:ascii="宋体" w:hAnsi="宋体" w:eastAsia="宋体" w:cs="宋体"/>
          <w:color w:val="auto"/>
        </w:rPr>
      </w:pPr>
      <w:r>
        <w:rPr>
          <w:rFonts w:hint="eastAsia" w:ascii="宋体" w:hAnsi="宋体" w:eastAsia="宋体" w:cs="宋体"/>
          <w:color w:val="auto"/>
        </w:rPr>
        <w:t xml:space="preserve">4. </w:t>
      </w:r>
      <w:bookmarkStart w:id="46" w:name="_Hlk72398643"/>
      <w:r>
        <w:rPr>
          <w:rFonts w:hint="eastAsia" w:ascii="宋体" w:hAnsi="宋体" w:eastAsia="宋体" w:cs="宋体"/>
          <w:color w:val="auto"/>
        </w:rPr>
        <w:t>政府采购供应商责任</w:t>
      </w:r>
    </w:p>
    <w:p w14:paraId="65D966F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4.1欢迎诚信、有实力和有社会责任心的供应商参与政府采购事业。</w:t>
      </w:r>
    </w:p>
    <w:p w14:paraId="195164F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4.2投标人应当遵循公平竞争的原则，不得恶意串通，不得妨碍其他投标人的竞争行为，不得损害采购人或者其他投标人的合法权益。如违反上述要求，经核实后，供应商的投标无效。</w:t>
      </w:r>
    </w:p>
    <w:p w14:paraId="55AD94A9">
      <w:pPr>
        <w:rPr>
          <w:rFonts w:hint="eastAsia" w:ascii="宋体" w:hAnsi="宋体" w:eastAsia="宋体" w:cs="宋体"/>
          <w:color w:val="auto"/>
        </w:rPr>
      </w:pPr>
      <w:r>
        <w:rPr>
          <w:rFonts w:hint="eastAsia" w:ascii="宋体" w:hAnsi="宋体" w:eastAsia="宋体" w:cs="宋体"/>
          <w:color w:val="auto"/>
        </w:rPr>
        <w:t>5．投标人参加政府采购的条件</w:t>
      </w:r>
    </w:p>
    <w:p w14:paraId="41007E0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5.1投标人应在投标前到</w:t>
      </w:r>
      <w:r>
        <w:rPr>
          <w:rFonts w:hint="eastAsia" w:ascii="宋体" w:hAnsi="宋体" w:eastAsia="宋体" w:cs="宋体"/>
          <w:b/>
          <w:bCs/>
          <w:color w:val="auto"/>
          <w:szCs w:val="21"/>
        </w:rPr>
        <w:t>深圳公共资源交易中心（具体在深圳交易集团有限公司政府采购业务分公司进行办理）</w:t>
      </w:r>
      <w:r>
        <w:rPr>
          <w:rFonts w:hint="eastAsia" w:ascii="宋体" w:hAnsi="宋体" w:eastAsia="宋体" w:cs="宋体"/>
          <w:color w:val="auto"/>
          <w:szCs w:val="21"/>
        </w:rPr>
        <w:t>进行注册并办理电子密钥。《</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"http://www.szzfcg.cn/viewer.do?id=2455258" \t "documentViewer2455258" </w:instrText>
      </w:r>
      <w:r>
        <w:rPr>
          <w:rFonts w:hint="eastAsia" w:ascii="宋体" w:hAnsi="宋体" w:eastAsia="宋体" w:cs="宋体"/>
          <w:color w:val="auto"/>
        </w:rPr>
        <w:fldChar w:fldCharType="separate"/>
      </w:r>
      <w:r>
        <w:rPr>
          <w:rFonts w:hint="eastAsia" w:ascii="宋体" w:hAnsi="宋体" w:eastAsia="宋体" w:cs="宋体"/>
          <w:color w:val="auto"/>
          <w:szCs w:val="21"/>
        </w:rPr>
        <w:t>供应商注册及电子密钥新申请指引</w:t>
      </w:r>
      <w:r>
        <w:rPr>
          <w:rFonts w:hint="eastAsia" w:ascii="宋体" w:hAnsi="宋体" w:eastAsia="宋体" w:cs="宋体"/>
          <w:color w:val="auto"/>
          <w:szCs w:val="21"/>
        </w:rPr>
        <w:fldChar w:fldCharType="end"/>
      </w:r>
      <w:r>
        <w:rPr>
          <w:rFonts w:hint="eastAsia" w:ascii="宋体" w:hAnsi="宋体" w:eastAsia="宋体" w:cs="宋体"/>
          <w:color w:val="auto"/>
          <w:szCs w:val="21"/>
        </w:rPr>
        <w:t>》详见http://zfcg.szggzy.com:8081/。</w:t>
      </w:r>
    </w:p>
    <w:p w14:paraId="49E2B99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5.2投标人资格要求</w:t>
      </w:r>
    </w:p>
    <w:p w14:paraId="192DB58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参加本项目的投标人应具备的资格条件详见本项目招标公告中 “投标人资格要求”（即申请人的资格要求）的内容。</w:t>
      </w:r>
    </w:p>
    <w:p w14:paraId="2522448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5.3联合体投标</w:t>
      </w:r>
    </w:p>
    <w:p w14:paraId="7626ACB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5.3.1以下有关联合体投标的条款仅适用于允许投标人组成联合体投标的项目。</w:t>
      </w:r>
    </w:p>
    <w:p w14:paraId="4EE3708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5.3.2由两个或两个以上的自然人、法人或者其他组织可以组成一个联合体，以一个供应商的身份共同投标时，应符合以下原则：</w:t>
      </w:r>
    </w:p>
    <w:p w14:paraId="1D7DE94A">
      <w:pPr>
        <w:ind w:firstLine="480" w:firstLineChars="200"/>
        <w:rPr>
          <w:rFonts w:hint="eastAsia" w:ascii="宋体" w:hAnsi="宋体" w:eastAsia="宋体" w:cs="宋体"/>
          <w:color w:val="auto"/>
        </w:rPr>
      </w:pPr>
      <w:r>
        <w:rPr>
          <w:rFonts w:hint="eastAsia" w:ascii="宋体" w:hAnsi="宋体" w:eastAsia="宋体" w:cs="宋体"/>
          <w:color w:val="auto"/>
        </w:rPr>
        <w:t>（1）投标联合体各方参加政府采购活动应当具备下列条件：</w:t>
      </w:r>
    </w:p>
    <w:p w14:paraId="45EE1211">
      <w:pPr>
        <w:ind w:left="480" w:leftChars="200" w:firstLine="470" w:firstLineChars="196"/>
        <w:rPr>
          <w:rFonts w:hint="eastAsia" w:ascii="宋体" w:hAnsi="宋体" w:eastAsia="宋体" w:cs="宋体"/>
          <w:color w:val="auto"/>
        </w:rPr>
      </w:pPr>
      <w:r>
        <w:rPr>
          <w:rFonts w:hint="eastAsia" w:ascii="宋体" w:hAnsi="宋体" w:eastAsia="宋体" w:cs="宋体"/>
          <w:color w:val="auto"/>
        </w:rPr>
        <w:t>1、具有独立承担民事责任的能力；</w:t>
      </w:r>
    </w:p>
    <w:p w14:paraId="14ABEDE0">
      <w:pPr>
        <w:ind w:left="480" w:leftChars="200" w:firstLine="470" w:firstLineChars="196"/>
        <w:rPr>
          <w:rFonts w:hint="eastAsia" w:ascii="宋体" w:hAnsi="宋体" w:eastAsia="宋体" w:cs="宋体"/>
          <w:color w:val="auto"/>
        </w:rPr>
      </w:pPr>
      <w:r>
        <w:rPr>
          <w:rFonts w:hint="eastAsia" w:ascii="宋体" w:hAnsi="宋体" w:eastAsia="宋体" w:cs="宋体"/>
          <w:color w:val="auto"/>
        </w:rPr>
        <w:t>2、有良好的商业信誉和健全的财务会计制度；</w:t>
      </w:r>
    </w:p>
    <w:p w14:paraId="73387983">
      <w:pPr>
        <w:ind w:left="480" w:leftChars="200" w:firstLine="470" w:firstLineChars="196"/>
        <w:rPr>
          <w:rFonts w:hint="eastAsia" w:ascii="宋体" w:hAnsi="宋体" w:eastAsia="宋体" w:cs="宋体"/>
          <w:color w:val="auto"/>
        </w:rPr>
      </w:pPr>
      <w:r>
        <w:rPr>
          <w:rFonts w:hint="eastAsia" w:ascii="宋体" w:hAnsi="宋体" w:eastAsia="宋体" w:cs="宋体"/>
          <w:color w:val="auto"/>
        </w:rPr>
        <w:t>3、具有履行合同所必需的设备和专业技术能力；</w:t>
      </w:r>
    </w:p>
    <w:p w14:paraId="5960AD4E">
      <w:pPr>
        <w:ind w:left="480" w:leftChars="200" w:firstLine="470" w:firstLineChars="196"/>
        <w:rPr>
          <w:rFonts w:hint="eastAsia" w:ascii="宋体" w:hAnsi="宋体" w:eastAsia="宋体" w:cs="宋体"/>
          <w:color w:val="auto"/>
        </w:rPr>
      </w:pPr>
      <w:r>
        <w:rPr>
          <w:rFonts w:hint="eastAsia" w:ascii="宋体" w:hAnsi="宋体" w:eastAsia="宋体" w:cs="宋体"/>
          <w:color w:val="auto"/>
        </w:rPr>
        <w:t>4、有依法缴纳税收和社会保障资金的良好记录；</w:t>
      </w:r>
    </w:p>
    <w:p w14:paraId="3FB0A1E9">
      <w:pPr>
        <w:ind w:left="480" w:leftChars="200" w:firstLine="470" w:firstLineChars="196"/>
        <w:rPr>
          <w:rFonts w:hint="eastAsia" w:ascii="宋体" w:hAnsi="宋体" w:eastAsia="宋体" w:cs="宋体"/>
          <w:color w:val="auto"/>
        </w:rPr>
      </w:pPr>
      <w:r>
        <w:rPr>
          <w:rFonts w:hint="eastAsia" w:ascii="宋体" w:hAnsi="宋体" w:eastAsia="宋体" w:cs="宋体"/>
          <w:color w:val="auto"/>
        </w:rPr>
        <w:t>5、参加政府采购活动前三年内，在经营活动中没有重大违法记录；</w:t>
      </w:r>
    </w:p>
    <w:p w14:paraId="2AEA9E4B">
      <w:pPr>
        <w:ind w:left="480" w:leftChars="200" w:firstLine="470" w:firstLineChars="196"/>
        <w:rPr>
          <w:rFonts w:hint="eastAsia" w:ascii="宋体" w:hAnsi="宋体" w:eastAsia="宋体" w:cs="宋体"/>
          <w:color w:val="auto"/>
        </w:rPr>
      </w:pPr>
      <w:r>
        <w:rPr>
          <w:rFonts w:hint="eastAsia" w:ascii="宋体" w:hAnsi="宋体" w:eastAsia="宋体" w:cs="宋体"/>
          <w:color w:val="auto"/>
        </w:rPr>
        <w:t>6、法律、行政法规规定的其他条件。</w:t>
      </w:r>
    </w:p>
    <w:p w14:paraId="1AFBB12D">
      <w:pPr>
        <w:ind w:firstLine="480" w:firstLineChars="200"/>
        <w:rPr>
          <w:rFonts w:hint="eastAsia" w:ascii="宋体" w:hAnsi="宋体" w:eastAsia="宋体" w:cs="宋体"/>
          <w:color w:val="auto"/>
        </w:rPr>
      </w:pPr>
      <w:r>
        <w:rPr>
          <w:rFonts w:hint="eastAsia" w:ascii="宋体" w:hAnsi="宋体" w:eastAsia="宋体" w:cs="宋体"/>
          <w:color w:val="auto"/>
        </w:rPr>
        <w:t>（2）在投标截止前，投标联合体各方均应注册成</w:t>
      </w:r>
      <w:r>
        <w:rPr>
          <w:rFonts w:hint="eastAsia" w:ascii="宋体" w:hAnsi="宋体" w:eastAsia="宋体" w:cs="宋体"/>
          <w:color w:val="auto"/>
          <w:lang w:eastAsia="zh-CN"/>
        </w:rPr>
        <w:t>政府采购</w:t>
      </w:r>
      <w:r>
        <w:rPr>
          <w:rFonts w:hint="eastAsia" w:ascii="宋体" w:hAnsi="宋体" w:eastAsia="宋体" w:cs="宋体"/>
          <w:color w:val="auto"/>
        </w:rPr>
        <w:t>供应商；</w:t>
      </w:r>
    </w:p>
    <w:p w14:paraId="23D87BD4">
      <w:pPr>
        <w:ind w:firstLine="470" w:firstLineChars="196"/>
        <w:rPr>
          <w:rFonts w:hint="eastAsia" w:ascii="宋体" w:hAnsi="宋体" w:eastAsia="宋体" w:cs="宋体"/>
          <w:color w:val="auto"/>
        </w:rPr>
      </w:pPr>
      <w:r>
        <w:rPr>
          <w:rFonts w:hint="eastAsia" w:ascii="宋体" w:hAnsi="宋体" w:eastAsia="宋体" w:cs="宋体"/>
          <w:color w:val="auto"/>
        </w:rPr>
        <w:t>（3）联合体中有同类资质的供应商按照联合体分工承担相同工作的，应当按照资质等级较低的供应商确定资质等级；</w:t>
      </w:r>
    </w:p>
    <w:p w14:paraId="7E3267A5">
      <w:pPr>
        <w:ind w:firstLine="470" w:firstLineChars="196"/>
        <w:rPr>
          <w:rFonts w:hint="eastAsia" w:ascii="宋体" w:hAnsi="宋体" w:eastAsia="宋体" w:cs="宋体"/>
          <w:color w:val="auto"/>
        </w:rPr>
      </w:pPr>
      <w:r>
        <w:rPr>
          <w:rFonts w:hint="eastAsia" w:ascii="宋体" w:hAnsi="宋体" w:eastAsia="宋体" w:cs="宋体"/>
          <w:color w:val="auto"/>
        </w:rPr>
        <w:t>（4）是否允许联合体参加投标，应当由采购人和采购代理机构根据项目的实际情况和潜在供应商的数量自主决定，如果决定接受联合体投标则应当在招标公告中明示；</w:t>
      </w:r>
    </w:p>
    <w:p w14:paraId="12D50831">
      <w:pPr>
        <w:ind w:firstLine="470" w:firstLineChars="196"/>
        <w:rPr>
          <w:rFonts w:hint="eastAsia" w:ascii="宋体" w:hAnsi="宋体" w:eastAsia="宋体" w:cs="宋体"/>
          <w:color w:val="auto"/>
        </w:rPr>
      </w:pPr>
      <w:r>
        <w:rPr>
          <w:rFonts w:hint="eastAsia" w:ascii="宋体" w:hAnsi="宋体" w:eastAsia="宋体" w:cs="宋体"/>
          <w:color w:val="auto"/>
        </w:rPr>
        <w:t>（5）投标人的投标文件及中标后签署的合同协议对联合体各方均具法律约束力；</w:t>
      </w:r>
    </w:p>
    <w:p w14:paraId="4B8BB9C2">
      <w:pPr>
        <w:ind w:firstLine="470" w:firstLineChars="196"/>
        <w:rPr>
          <w:rFonts w:hint="eastAsia" w:ascii="宋体" w:hAnsi="宋体" w:eastAsia="宋体" w:cs="宋体"/>
          <w:color w:val="auto"/>
        </w:rPr>
      </w:pPr>
      <w:r>
        <w:rPr>
          <w:rFonts w:hint="eastAsia" w:ascii="宋体" w:hAnsi="宋体" w:eastAsia="宋体" w:cs="宋体"/>
          <w:color w:val="auto"/>
        </w:rPr>
        <w:t>（6）联合体各方应当签订联合体投标协议，明确约定各方拟承担的工作和责任，并将该协议随投标文件一并递交给招标机构；</w:t>
      </w:r>
    </w:p>
    <w:p w14:paraId="4D6B1FF5">
      <w:pPr>
        <w:ind w:firstLine="470" w:firstLineChars="196"/>
        <w:rPr>
          <w:rFonts w:hint="eastAsia" w:ascii="宋体" w:hAnsi="宋体" w:eastAsia="宋体" w:cs="宋体"/>
          <w:color w:val="auto"/>
        </w:rPr>
      </w:pPr>
      <w:r>
        <w:rPr>
          <w:rFonts w:hint="eastAsia" w:ascii="宋体" w:hAnsi="宋体" w:eastAsia="宋体" w:cs="宋体"/>
          <w:color w:val="auto"/>
        </w:rPr>
        <w:t>（7）联合体中标后，联合体各方应当共同与采购人签订合同，就中标项目向采购人承担连带责任；</w:t>
      </w:r>
    </w:p>
    <w:p w14:paraId="45F8201E">
      <w:pPr>
        <w:ind w:firstLine="470" w:firstLineChars="196"/>
        <w:rPr>
          <w:rFonts w:hint="eastAsia" w:ascii="宋体" w:hAnsi="宋体" w:eastAsia="宋体" w:cs="宋体"/>
          <w:color w:val="auto"/>
        </w:rPr>
      </w:pPr>
      <w:r>
        <w:rPr>
          <w:rFonts w:hint="eastAsia" w:ascii="宋体" w:hAnsi="宋体" w:eastAsia="宋体" w:cs="宋体"/>
          <w:color w:val="auto"/>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5A96E0C4">
      <w:pPr>
        <w:ind w:firstLine="470" w:firstLineChars="196"/>
        <w:rPr>
          <w:rFonts w:hint="eastAsia" w:ascii="宋体" w:hAnsi="宋体" w:eastAsia="宋体" w:cs="宋体"/>
          <w:color w:val="auto"/>
          <w:szCs w:val="21"/>
        </w:rPr>
      </w:pPr>
      <w:r>
        <w:rPr>
          <w:rFonts w:hint="eastAsia" w:ascii="宋体" w:hAnsi="宋体" w:eastAsia="宋体" w:cs="宋体"/>
          <w:color w:val="auto"/>
        </w:rPr>
        <w:t>（9）本通用条款中“投标人”一词亦指联合体各方，专用条款另有规定或说明的除外。</w:t>
      </w:r>
    </w:p>
    <w:p w14:paraId="4AF24133">
      <w:pPr>
        <w:rPr>
          <w:rFonts w:hint="eastAsia" w:ascii="宋体" w:hAnsi="宋体" w:eastAsia="宋体" w:cs="宋体"/>
          <w:color w:val="auto"/>
        </w:rPr>
      </w:pPr>
      <w:r>
        <w:rPr>
          <w:rFonts w:hint="eastAsia" w:ascii="宋体" w:hAnsi="宋体" w:eastAsia="宋体" w:cs="宋体"/>
          <w:color w:val="auto"/>
        </w:rPr>
        <w:t>6．政策导向</w:t>
      </w:r>
    </w:p>
    <w:p w14:paraId="0B46C70E">
      <w:pPr>
        <w:ind w:firstLine="470" w:firstLineChars="196"/>
        <w:rPr>
          <w:rFonts w:hint="eastAsia" w:ascii="宋体" w:hAnsi="宋体" w:eastAsia="宋体" w:cs="宋体"/>
          <w:color w:val="auto"/>
        </w:rPr>
      </w:pPr>
      <w:r>
        <w:rPr>
          <w:rFonts w:hint="eastAsia" w:ascii="宋体" w:hAnsi="宋体" w:eastAsia="宋体" w:cs="宋体"/>
          <w:color w:val="auto"/>
        </w:rPr>
        <w:t>6.1政府采购扶持贫困地区、中小企业、监狱企业和残疾人福利性单位发展，支持节能减排、环境保护。</w:t>
      </w:r>
    </w:p>
    <w:p w14:paraId="47014113">
      <w:pPr>
        <w:ind w:firstLine="405"/>
        <w:rPr>
          <w:rFonts w:hint="eastAsia" w:ascii="宋体" w:hAnsi="宋体" w:eastAsia="宋体" w:cs="宋体"/>
          <w:color w:val="auto"/>
          <w:shd w:val="clear" w:color="auto" w:fill="FFFFFF"/>
        </w:rPr>
      </w:pPr>
      <w:r>
        <w:rPr>
          <w:rFonts w:hint="eastAsia" w:ascii="宋体" w:hAnsi="宋体" w:eastAsia="宋体" w:cs="宋体"/>
          <w:color w:val="auto"/>
        </w:rPr>
        <w:t>6.2本项目落实深圳市政府采购供应商诚信管理政策要求。</w:t>
      </w:r>
    </w:p>
    <w:p w14:paraId="30BC263A">
      <w:pPr>
        <w:rPr>
          <w:rFonts w:hint="eastAsia" w:ascii="宋体" w:hAnsi="宋体" w:eastAsia="宋体" w:cs="宋体"/>
          <w:color w:val="auto"/>
        </w:rPr>
      </w:pPr>
      <w:r>
        <w:rPr>
          <w:rFonts w:hint="eastAsia" w:ascii="宋体" w:hAnsi="宋体" w:eastAsia="宋体" w:cs="宋体"/>
          <w:color w:val="auto"/>
        </w:rPr>
        <w:t>7. 本项目若涉及采购货物，则合格的货物及相应服务应满足以下要求：</w:t>
      </w:r>
    </w:p>
    <w:p w14:paraId="393F46DC">
      <w:pPr>
        <w:ind w:firstLine="470" w:firstLineChars="196"/>
        <w:rPr>
          <w:rFonts w:hint="eastAsia" w:ascii="宋体" w:hAnsi="宋体" w:eastAsia="宋体" w:cs="宋体"/>
          <w:color w:val="auto"/>
        </w:rPr>
      </w:pPr>
      <w:r>
        <w:rPr>
          <w:rFonts w:hint="eastAsia" w:ascii="宋体" w:hAnsi="宋体" w:eastAsia="宋体" w:cs="宋体"/>
          <w:color w:val="auto"/>
        </w:rPr>
        <w:t>7.1必须是全新、未使用过的原装合格正品（包括零部件），如安装或配置了软件的，须为正版软件。</w:t>
      </w:r>
    </w:p>
    <w:p w14:paraId="1329A648">
      <w:pPr>
        <w:ind w:firstLine="470" w:firstLineChars="196"/>
        <w:rPr>
          <w:rFonts w:hint="eastAsia" w:ascii="宋体" w:hAnsi="宋体" w:eastAsia="宋体" w:cs="宋体"/>
          <w:color w:val="auto"/>
        </w:rPr>
      </w:pPr>
      <w:r>
        <w:rPr>
          <w:rFonts w:hint="eastAsia" w:ascii="宋体" w:hAnsi="宋体" w:eastAsia="宋体" w:cs="宋体"/>
          <w:color w:val="auto"/>
        </w:rPr>
        <w:t>7.2国产的货物及其有关服务必须符合中华人民共和国的设计、制造生产标准及行业标准。招标公告有其他要求的，亦应符合其要求。</w:t>
      </w:r>
    </w:p>
    <w:p w14:paraId="2CE7BEEE">
      <w:pPr>
        <w:ind w:firstLine="470" w:firstLineChars="196"/>
        <w:rPr>
          <w:rFonts w:hint="eastAsia" w:ascii="宋体" w:hAnsi="宋体" w:eastAsia="宋体" w:cs="宋体"/>
          <w:color w:val="auto"/>
        </w:rPr>
      </w:pPr>
      <w:r>
        <w:rPr>
          <w:rFonts w:hint="eastAsia" w:ascii="宋体" w:hAnsi="宋体" w:eastAsia="宋体" w:cs="宋体"/>
          <w:color w:val="auto"/>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EDF6781">
      <w:pPr>
        <w:ind w:firstLine="470" w:firstLineChars="196"/>
        <w:rPr>
          <w:rFonts w:hint="eastAsia" w:ascii="宋体" w:hAnsi="宋体" w:eastAsia="宋体" w:cs="宋体"/>
          <w:color w:val="auto"/>
        </w:rPr>
      </w:pPr>
      <w:r>
        <w:rPr>
          <w:rFonts w:hint="eastAsia" w:ascii="宋体" w:hAnsi="宋体" w:eastAsia="宋体" w:cs="宋体"/>
          <w:color w:val="auto"/>
        </w:rPr>
        <w:t>7.4投标人</w:t>
      </w:r>
      <w:bookmarkStart w:id="47" w:name="_Hlk72152753"/>
      <w:r>
        <w:rPr>
          <w:rFonts w:hint="eastAsia" w:ascii="宋体" w:hAnsi="宋体" w:eastAsia="宋体" w:cs="宋体"/>
          <w:color w:val="auto"/>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14:paraId="6E699D3E">
      <w:pPr>
        <w:ind w:firstLine="470" w:firstLineChars="196"/>
        <w:rPr>
          <w:rFonts w:hint="eastAsia" w:ascii="宋体" w:hAnsi="宋体" w:eastAsia="宋体" w:cs="宋体"/>
          <w:color w:val="auto"/>
        </w:rPr>
      </w:pPr>
      <w:r>
        <w:rPr>
          <w:rFonts w:hint="eastAsia" w:ascii="宋体" w:hAnsi="宋体" w:eastAsia="宋体" w:cs="宋体"/>
          <w:color w:val="auto"/>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53DFEBE">
      <w:pPr>
        <w:ind w:firstLine="470" w:firstLineChars="196"/>
        <w:rPr>
          <w:rFonts w:hint="eastAsia" w:ascii="宋体" w:hAnsi="宋体" w:eastAsia="宋体" w:cs="宋体"/>
          <w:color w:val="auto"/>
        </w:rPr>
      </w:pPr>
      <w:r>
        <w:rPr>
          <w:rFonts w:hint="eastAsia" w:ascii="宋体" w:hAnsi="宋体" w:eastAsia="宋体" w:cs="宋体"/>
          <w:color w:val="auto"/>
        </w:rPr>
        <w:t>7.6工期要求：投标人在投标时对其所投项目应提交交货进度、交货计划等，在合同规定的时间内完成项目实施工作。</w:t>
      </w:r>
    </w:p>
    <w:p w14:paraId="3CA2B2B5">
      <w:pPr>
        <w:ind w:firstLine="470" w:firstLineChars="196"/>
        <w:rPr>
          <w:rFonts w:hint="eastAsia" w:ascii="宋体" w:hAnsi="宋体" w:eastAsia="宋体" w:cs="宋体"/>
          <w:color w:val="auto"/>
        </w:rPr>
      </w:pPr>
      <w:r>
        <w:rPr>
          <w:rFonts w:hint="eastAsia" w:ascii="宋体" w:hAnsi="宋体" w:eastAsia="宋体" w:cs="宋体"/>
          <w:color w:val="auto"/>
        </w:rPr>
        <w:t>7.7投标人必须承担的设备运输、安装调试、验收检测和提供设备操作说明书、图纸等其他相关及类似的义务。</w:t>
      </w:r>
    </w:p>
    <w:p w14:paraId="17AF0A92">
      <w:pPr>
        <w:rPr>
          <w:rFonts w:hint="eastAsia" w:ascii="宋体" w:hAnsi="宋体" w:eastAsia="宋体" w:cs="宋体"/>
          <w:color w:val="auto"/>
        </w:rPr>
      </w:pPr>
      <w:r>
        <w:rPr>
          <w:rFonts w:hint="eastAsia" w:ascii="宋体" w:hAnsi="宋体" w:eastAsia="宋体" w:cs="宋体"/>
          <w:color w:val="auto"/>
        </w:rPr>
        <w:t>8．投标费用</w:t>
      </w:r>
    </w:p>
    <w:p w14:paraId="616B24B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不论投标结果如何，投标人应承担其编制投标文件与递交投标文件所涉及的一切费用。</w:t>
      </w:r>
    </w:p>
    <w:p w14:paraId="75A42CD6">
      <w:pPr>
        <w:rPr>
          <w:rFonts w:hint="eastAsia" w:ascii="宋体" w:hAnsi="宋体" w:eastAsia="宋体" w:cs="宋体"/>
          <w:color w:val="auto"/>
        </w:rPr>
      </w:pPr>
      <w:r>
        <w:rPr>
          <w:rFonts w:hint="eastAsia" w:ascii="宋体" w:hAnsi="宋体" w:eastAsia="宋体" w:cs="宋体"/>
          <w:color w:val="auto"/>
        </w:rPr>
        <w:t>9．踏勘现场</w:t>
      </w:r>
    </w:p>
    <w:p w14:paraId="3071AFA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9.1如有需要（详见专用条款），采购人或招标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3CDB9FD">
      <w:pPr>
        <w:ind w:firstLine="470" w:firstLineChars="196"/>
        <w:rPr>
          <w:rFonts w:hint="eastAsia" w:ascii="宋体" w:hAnsi="宋体" w:eastAsia="宋体" w:cs="宋体"/>
          <w:color w:val="auto"/>
        </w:rPr>
      </w:pPr>
      <w:r>
        <w:rPr>
          <w:rFonts w:hint="eastAsia" w:ascii="宋体" w:hAnsi="宋体" w:eastAsia="宋体" w:cs="宋体"/>
          <w:color w:val="auto"/>
        </w:rPr>
        <w:t>9.2投标人及其人员经过采购人的允许，可以进入采购人的项目现场踏勘。若招标文件要求投标人于统一时间地点踏勘现场的，投标人应当按时前往。</w:t>
      </w:r>
    </w:p>
    <w:p w14:paraId="05AE746B">
      <w:pPr>
        <w:ind w:firstLine="470" w:firstLineChars="196"/>
        <w:rPr>
          <w:rFonts w:hint="eastAsia" w:ascii="宋体" w:hAnsi="宋体" w:eastAsia="宋体" w:cs="宋体"/>
          <w:color w:val="auto"/>
        </w:rPr>
      </w:pPr>
      <w:r>
        <w:rPr>
          <w:rFonts w:hint="eastAsia" w:ascii="宋体" w:hAnsi="宋体" w:eastAsia="宋体" w:cs="宋体"/>
          <w:color w:val="auto"/>
        </w:rPr>
        <w:t>9.3采购人应当通过招标机构向投标人提供有关现场的书面资料和数据。</w:t>
      </w:r>
    </w:p>
    <w:p w14:paraId="6483962C">
      <w:pPr>
        <w:ind w:firstLine="470" w:firstLineChars="196"/>
        <w:rPr>
          <w:rFonts w:hint="eastAsia" w:ascii="宋体" w:hAnsi="宋体" w:eastAsia="宋体" w:cs="宋体"/>
          <w:color w:val="auto"/>
        </w:rPr>
      </w:pPr>
      <w:r>
        <w:rPr>
          <w:rFonts w:hint="eastAsia" w:ascii="宋体" w:hAnsi="宋体" w:eastAsia="宋体" w:cs="宋体"/>
          <w:color w:val="auto"/>
        </w:rPr>
        <w:t>9.4任何人或任何组织在踏勘现场时向投标人提供的任何书面资料或口头承诺，未经招标机构在网上发布或书面通知，均作无效处理。</w:t>
      </w:r>
    </w:p>
    <w:p w14:paraId="44CDE485">
      <w:pPr>
        <w:ind w:firstLine="470" w:firstLineChars="196"/>
        <w:rPr>
          <w:rFonts w:hint="eastAsia" w:ascii="宋体" w:hAnsi="宋体" w:eastAsia="宋体" w:cs="宋体"/>
          <w:color w:val="auto"/>
        </w:rPr>
      </w:pPr>
      <w:r>
        <w:rPr>
          <w:rFonts w:hint="eastAsia" w:ascii="宋体" w:hAnsi="宋体" w:eastAsia="宋体" w:cs="宋体"/>
          <w:color w:val="auto"/>
          <w:szCs w:val="21"/>
        </w:rPr>
        <w:t>9.5未参与踏勘现场不作为否定投标人资格的理由。</w:t>
      </w:r>
    </w:p>
    <w:p w14:paraId="546EF1FB">
      <w:pPr>
        <w:rPr>
          <w:rFonts w:hint="eastAsia" w:ascii="宋体" w:hAnsi="宋体" w:eastAsia="宋体" w:cs="宋体"/>
          <w:color w:val="auto"/>
          <w:szCs w:val="21"/>
        </w:rPr>
      </w:pPr>
      <w:r>
        <w:rPr>
          <w:rFonts w:hint="eastAsia" w:ascii="宋体" w:hAnsi="宋体" w:eastAsia="宋体" w:cs="宋体"/>
          <w:color w:val="auto"/>
        </w:rPr>
        <w:t>10．标前会议</w:t>
      </w:r>
    </w:p>
    <w:p w14:paraId="0D6AD4E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10.1如采购人或招标机构认为有必要组织标前会议，投标人应按照招标文件规定的时间或招标机构另行书面通知（包括招标机构网站发布方式，如更正公告等）的时间和地点，参与标前会议。</w:t>
      </w:r>
    </w:p>
    <w:p w14:paraId="759ACB74">
      <w:pPr>
        <w:ind w:firstLine="470" w:firstLineChars="196"/>
        <w:rPr>
          <w:rFonts w:hint="eastAsia" w:ascii="宋体" w:hAnsi="宋体" w:eastAsia="宋体" w:cs="宋体"/>
          <w:color w:val="auto"/>
          <w:szCs w:val="21"/>
        </w:rPr>
      </w:pPr>
      <w:r>
        <w:rPr>
          <w:rFonts w:hint="eastAsia" w:ascii="宋体" w:hAnsi="宋体" w:eastAsia="宋体" w:cs="宋体"/>
          <w:color w:val="auto"/>
        </w:rPr>
        <w:t>10.2任何人或任何组织在标前会议时向投标人提供的任何书面资料或口头承诺，未经招标机构在网上发布或书面通知，均作无效处理。</w:t>
      </w:r>
    </w:p>
    <w:p w14:paraId="4C99E80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10.3未参与标前会议不作为否定投标人资格的理由。</w:t>
      </w:r>
    </w:p>
    <w:p w14:paraId="5578FB8E">
      <w:pPr>
        <w:pStyle w:val="14"/>
        <w:rPr>
          <w:rFonts w:hint="eastAsia" w:ascii="宋体" w:hAnsi="宋体" w:eastAsia="宋体" w:cs="宋体"/>
          <w:color w:val="auto"/>
        </w:rPr>
      </w:pPr>
    </w:p>
    <w:bookmarkEnd w:id="46"/>
    <w:p w14:paraId="3DA52B16">
      <w:pPr>
        <w:rPr>
          <w:rFonts w:hint="eastAsia" w:ascii="宋体" w:hAnsi="宋体" w:eastAsia="宋体" w:cs="宋体"/>
          <w:color w:val="auto"/>
        </w:rPr>
      </w:pPr>
    </w:p>
    <w:p w14:paraId="3B0FA436">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招标文件</w:t>
      </w:r>
    </w:p>
    <w:p w14:paraId="2A461128">
      <w:pPr>
        <w:rPr>
          <w:rFonts w:hint="eastAsia" w:ascii="宋体" w:hAnsi="宋体" w:eastAsia="宋体" w:cs="宋体"/>
          <w:color w:val="auto"/>
        </w:rPr>
      </w:pPr>
      <w:r>
        <w:rPr>
          <w:rFonts w:hint="eastAsia" w:ascii="宋体" w:hAnsi="宋体" w:eastAsia="宋体" w:cs="宋体"/>
          <w:color w:val="auto"/>
        </w:rPr>
        <w:t>11．</w:t>
      </w:r>
      <w:bookmarkStart w:id="48" w:name="_Hlk72399819"/>
      <w:r>
        <w:rPr>
          <w:rFonts w:hint="eastAsia" w:ascii="宋体" w:hAnsi="宋体" w:eastAsia="宋体" w:cs="宋体"/>
          <w:color w:val="auto"/>
        </w:rPr>
        <w:t>招标文件的编制与组成</w:t>
      </w:r>
    </w:p>
    <w:p w14:paraId="241460B7">
      <w:pPr>
        <w:snapToGrid w:val="0"/>
        <w:ind w:firstLine="480" w:firstLineChars="200"/>
        <w:rPr>
          <w:rFonts w:hint="eastAsia" w:ascii="宋体" w:hAnsi="宋体" w:eastAsia="宋体" w:cs="宋体"/>
          <w:color w:val="auto"/>
          <w:szCs w:val="21"/>
        </w:rPr>
      </w:pPr>
      <w:r>
        <w:rPr>
          <w:rFonts w:hint="eastAsia" w:ascii="宋体" w:hAnsi="宋体" w:eastAsia="宋体" w:cs="宋体"/>
          <w:color w:val="auto"/>
          <w:szCs w:val="21"/>
        </w:rPr>
        <w:t>11.1招标文件除以下内容外，招标机构在招标期间发出的澄清或修改等相关公告或通知内容，均是招标文件的组成部分，对投标人起约束作用；</w:t>
      </w:r>
    </w:p>
    <w:p w14:paraId="68AAE79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招标文件包括下列内容：</w:t>
      </w:r>
    </w:p>
    <w:p w14:paraId="5B659BA4">
      <w:pPr>
        <w:ind w:left="480" w:leftChars="200" w:firstLine="472" w:firstLineChars="196"/>
        <w:rPr>
          <w:rFonts w:hint="eastAsia" w:ascii="宋体" w:hAnsi="宋体" w:eastAsia="宋体" w:cs="宋体"/>
          <w:b/>
          <w:color w:val="auto"/>
          <w:szCs w:val="21"/>
        </w:rPr>
      </w:pPr>
      <w:r>
        <w:rPr>
          <w:rFonts w:hint="eastAsia" w:ascii="宋体" w:hAnsi="宋体" w:eastAsia="宋体" w:cs="宋体"/>
          <w:b/>
          <w:color w:val="auto"/>
          <w:szCs w:val="21"/>
        </w:rPr>
        <w:t>第一册  专用条款</w:t>
      </w:r>
    </w:p>
    <w:p w14:paraId="7EC4D2CE">
      <w:pPr>
        <w:ind w:left="1234" w:leftChars="514"/>
        <w:rPr>
          <w:rFonts w:hint="eastAsia" w:ascii="宋体" w:hAnsi="宋体" w:eastAsia="宋体" w:cs="宋体"/>
          <w:b/>
          <w:color w:val="auto"/>
          <w:szCs w:val="21"/>
        </w:rPr>
      </w:pPr>
      <w:r>
        <w:rPr>
          <w:rFonts w:hint="eastAsia" w:ascii="宋体" w:hAnsi="宋体" w:eastAsia="宋体" w:cs="宋体"/>
          <w:b/>
          <w:color w:val="auto"/>
          <w:szCs w:val="21"/>
        </w:rPr>
        <w:t>关键信息</w:t>
      </w:r>
    </w:p>
    <w:p w14:paraId="32987671">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第一章  招标公告</w:t>
      </w:r>
    </w:p>
    <w:p w14:paraId="329FBE89">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第二章  对通用条款的补充内容及其他关键信息</w:t>
      </w:r>
    </w:p>
    <w:p w14:paraId="675E78BE">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第三章  用户需求书</w:t>
      </w:r>
    </w:p>
    <w:p w14:paraId="6DE09FDE">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rPr>
        <w:t>第四章 投标文件格式及附件</w:t>
      </w:r>
    </w:p>
    <w:p w14:paraId="276DDDC4">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第五章  合同条款及格式</w:t>
      </w:r>
    </w:p>
    <w:p w14:paraId="48C508AD">
      <w:pPr>
        <w:ind w:left="480" w:leftChars="200" w:firstLine="472" w:firstLineChars="196"/>
        <w:rPr>
          <w:rFonts w:hint="eastAsia" w:ascii="宋体" w:hAnsi="宋体" w:eastAsia="宋体" w:cs="宋体"/>
          <w:b/>
          <w:color w:val="auto"/>
          <w:szCs w:val="21"/>
        </w:rPr>
      </w:pPr>
      <w:r>
        <w:rPr>
          <w:rFonts w:hint="eastAsia" w:ascii="宋体" w:hAnsi="宋体" w:eastAsia="宋体" w:cs="宋体"/>
          <w:b/>
          <w:color w:val="auto"/>
          <w:szCs w:val="21"/>
        </w:rPr>
        <w:t>第二册  通用条款</w:t>
      </w:r>
    </w:p>
    <w:p w14:paraId="4C22DAC4">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第一章  总则</w:t>
      </w:r>
    </w:p>
    <w:p w14:paraId="6976DA2D">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第二章  招标文件</w:t>
      </w:r>
    </w:p>
    <w:p w14:paraId="62A603A1">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第三章  投标文件的编制</w:t>
      </w:r>
    </w:p>
    <w:p w14:paraId="037F03AA">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第四章  投标文件的递交</w:t>
      </w:r>
    </w:p>
    <w:p w14:paraId="70F070A9">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第五章  开标</w:t>
      </w:r>
    </w:p>
    <w:p w14:paraId="3E888072">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第六章  评审要求</w:t>
      </w:r>
    </w:p>
    <w:p w14:paraId="5A8B71C6">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第七章  评审程序及评审方法</w:t>
      </w:r>
    </w:p>
    <w:p w14:paraId="5428E252">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第八章  定标及公示</w:t>
      </w:r>
    </w:p>
    <w:p w14:paraId="0CC7BABF">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第九章  公开招标失败的后续处理</w:t>
      </w:r>
    </w:p>
    <w:p w14:paraId="59ADA2D0">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第十章  合同的授予与备案</w:t>
      </w:r>
    </w:p>
    <w:p w14:paraId="0F1AC2DB">
      <w:pPr>
        <w:ind w:left="720" w:leftChars="300" w:firstLine="470" w:firstLineChars="196"/>
        <w:rPr>
          <w:rFonts w:hint="eastAsia" w:ascii="宋体" w:hAnsi="宋体" w:eastAsia="宋体" w:cs="宋体"/>
          <w:color w:val="auto"/>
          <w:szCs w:val="21"/>
        </w:rPr>
      </w:pPr>
      <w:r>
        <w:rPr>
          <w:rFonts w:hint="eastAsia" w:ascii="宋体" w:hAnsi="宋体" w:eastAsia="宋体" w:cs="宋体"/>
          <w:color w:val="auto"/>
          <w:szCs w:val="21"/>
        </w:rPr>
        <w:t>第十一章  质疑处理</w:t>
      </w:r>
    </w:p>
    <w:p w14:paraId="7AE279F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11.2投标人下载招标文件后，应仔细检查招标文件的所有内容，如有疑问应在答疑截止时间之前向招标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225DF6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11.3</w:t>
      </w:r>
      <w:r>
        <w:rPr>
          <w:rFonts w:hint="eastAsia" w:ascii="宋体" w:hAnsi="宋体" w:eastAsia="宋体" w:cs="宋体"/>
          <w:color w:val="auto"/>
        </w:rPr>
        <w:t>任何人或任何组织向投标人提交的任何书面或口头资料，未经招标机构在网上发布或书面通知，均作无效处理，不得作为招标文件的组成部分。招标机构对投标人由此而做出的推论、理解和结论概不负责。</w:t>
      </w:r>
    </w:p>
    <w:p w14:paraId="15747BAC">
      <w:pPr>
        <w:rPr>
          <w:rFonts w:hint="eastAsia" w:ascii="宋体" w:hAnsi="宋体" w:eastAsia="宋体" w:cs="宋体"/>
          <w:color w:val="auto"/>
        </w:rPr>
      </w:pPr>
      <w:r>
        <w:rPr>
          <w:rFonts w:hint="eastAsia" w:ascii="宋体" w:hAnsi="宋体" w:eastAsia="宋体" w:cs="宋体"/>
          <w:color w:val="auto"/>
        </w:rPr>
        <w:t>12．招标文件的澄清</w:t>
      </w:r>
    </w:p>
    <w:p w14:paraId="18A7B18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12.1招标文件澄清的目的是澄清、解答投标人在查阅招标文件后或现场踏勘中可能提出的与投标有关的疑问或询问。</w:t>
      </w:r>
    </w:p>
    <w:p w14:paraId="024E056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12.2投标人如对招标文件内容有疑问，应当在招标公告规定的澄清（提问）截止时间前以网上提问的形式通过网上政府采购系统提交招标机构。</w:t>
      </w:r>
    </w:p>
    <w:p w14:paraId="3E6FDB0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12.3不论是招标机构根据需要主动对招标文件进行必要的澄清或是根据投标人的要求对招标文件做出澄清，招标机构都将在投标截止日期前以书面形式（包括招标机构网站发布方式）答复或发送给所有投标人。答复内容是招标文件的组成部分，对投标人起约束作用，其有效性按照本通用条款第13.3、13.4款规定执行。</w:t>
      </w:r>
    </w:p>
    <w:p w14:paraId="52BEDD43">
      <w:pPr>
        <w:rPr>
          <w:rFonts w:hint="eastAsia" w:ascii="宋体" w:hAnsi="宋体" w:eastAsia="宋体" w:cs="宋体"/>
          <w:color w:val="auto"/>
        </w:rPr>
      </w:pPr>
      <w:r>
        <w:rPr>
          <w:rFonts w:hint="eastAsia" w:ascii="宋体" w:hAnsi="宋体" w:eastAsia="宋体" w:cs="宋体"/>
          <w:color w:val="auto"/>
        </w:rPr>
        <w:t>13．招标文件的修改</w:t>
      </w:r>
    </w:p>
    <w:p w14:paraId="5E0B0EC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13.1招标文件发出后，在投标截止日期前任何时候，确需要变更招标文件内容的，招标机构可主动或在解答投标人提出的澄清问题时对招标文件进行修改。</w:t>
      </w:r>
    </w:p>
    <w:p w14:paraId="293CC7A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13.2招标文件的修改以书面形式（包括招标机构网站发布方式，如更正公告等）发送给所有投标人，招标文件的修改内容作为招标文件的组成部分，并具有约束力。</w:t>
      </w:r>
    </w:p>
    <w:p w14:paraId="1DFF24C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13.3招标文件、招标文件澄清答复内容、招标文件修改补充内容均以书面形式（包括招标机构网站公开发布方式，如更正公告等）明确的内容为准。当招标文件、修改补充通知、招标文件澄清答复内容相互矛盾时，以最后发出的内容为准。</w:t>
      </w:r>
    </w:p>
    <w:p w14:paraId="4CF8808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13.4招标机构保证招标文件澄清答复内容和招标文件修改补充内容在投标截止时间前以书面形式（包括招标机构网站发布方式，如更正公告等）发送给所有投标人。为使投标人在编制投标文件时有充分时间对招标文件的修改部分进行研究，招标机构可以酌情延长递交投标文件的截止日期。</w:t>
      </w:r>
      <w:bookmarkEnd w:id="48"/>
    </w:p>
    <w:p w14:paraId="7EDEB9F4">
      <w:pPr>
        <w:pStyle w:val="14"/>
        <w:rPr>
          <w:rFonts w:hint="eastAsia" w:ascii="宋体" w:hAnsi="宋体" w:eastAsia="宋体" w:cs="宋体"/>
          <w:color w:val="auto"/>
        </w:rPr>
      </w:pPr>
    </w:p>
    <w:p w14:paraId="7629AF5F">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投标文件的编制</w:t>
      </w:r>
    </w:p>
    <w:p w14:paraId="24E4B0B9">
      <w:pPr>
        <w:rPr>
          <w:rFonts w:hint="eastAsia" w:ascii="宋体" w:hAnsi="宋体" w:eastAsia="宋体" w:cs="宋体"/>
          <w:color w:val="auto"/>
        </w:rPr>
      </w:pPr>
      <w:r>
        <w:rPr>
          <w:rFonts w:hint="eastAsia" w:ascii="宋体" w:hAnsi="宋体" w:eastAsia="宋体" w:cs="宋体"/>
          <w:color w:val="auto"/>
        </w:rPr>
        <w:t>14．</w:t>
      </w:r>
      <w:bookmarkStart w:id="49" w:name="_Hlk72400236"/>
      <w:r>
        <w:rPr>
          <w:rFonts w:hint="eastAsia" w:ascii="宋体" w:hAnsi="宋体" w:eastAsia="宋体" w:cs="宋体"/>
          <w:color w:val="auto"/>
        </w:rPr>
        <w:t>投标文件的语言及度量单位</w:t>
      </w:r>
    </w:p>
    <w:p w14:paraId="27F163B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14.1投标人与招标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489416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14.2除技术规范另有规定外，投标文件使用的度量单位，均采用中华人民共和国法定计量单位。</w:t>
      </w:r>
      <w:bookmarkEnd w:id="49"/>
    </w:p>
    <w:p w14:paraId="613BD7E0">
      <w:pPr>
        <w:rPr>
          <w:rFonts w:hint="eastAsia" w:ascii="宋体" w:hAnsi="宋体" w:eastAsia="宋体" w:cs="宋体"/>
          <w:color w:val="auto"/>
        </w:rPr>
      </w:pPr>
      <w:r>
        <w:rPr>
          <w:rFonts w:hint="eastAsia" w:ascii="宋体" w:hAnsi="宋体" w:eastAsia="宋体" w:cs="宋体"/>
          <w:color w:val="auto"/>
        </w:rPr>
        <w:t>15．</w:t>
      </w:r>
      <w:bookmarkStart w:id="50" w:name="_Hlk72401567"/>
      <w:r>
        <w:rPr>
          <w:rFonts w:hint="eastAsia" w:ascii="宋体" w:hAnsi="宋体" w:eastAsia="宋体" w:cs="宋体"/>
          <w:color w:val="auto"/>
        </w:rPr>
        <w:t>投标文件的组成</w:t>
      </w:r>
    </w:p>
    <w:p w14:paraId="5E02710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具体内容在招标文件专用条款中进行规定。</w:t>
      </w:r>
    </w:p>
    <w:p w14:paraId="2F56BF5F">
      <w:pPr>
        <w:rPr>
          <w:rFonts w:hint="eastAsia" w:ascii="宋体" w:hAnsi="宋体" w:eastAsia="宋体" w:cs="宋体"/>
          <w:color w:val="auto"/>
        </w:rPr>
      </w:pPr>
      <w:r>
        <w:rPr>
          <w:rFonts w:hint="eastAsia" w:ascii="宋体" w:hAnsi="宋体" w:eastAsia="宋体" w:cs="宋体"/>
          <w:color w:val="auto"/>
        </w:rPr>
        <w:t>16．投标文件格式</w:t>
      </w:r>
    </w:p>
    <w:p w14:paraId="11D7F50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投标文件包括本通用条款第15条中规定的内容。如招标文件提供了投标文件格式，则</w:t>
      </w:r>
      <w:r>
        <w:rPr>
          <w:rFonts w:hint="eastAsia" w:ascii="宋体" w:hAnsi="宋体" w:eastAsia="宋体" w:cs="宋体"/>
          <w:b/>
          <w:bCs/>
          <w:color w:val="auto"/>
          <w:szCs w:val="21"/>
        </w:rPr>
        <w:t>投标人提交的投标文件应毫无例外地使用招标文件所提供的相应格式</w:t>
      </w:r>
      <w:r>
        <w:rPr>
          <w:rFonts w:hint="eastAsia" w:ascii="宋体" w:hAnsi="宋体" w:eastAsia="宋体" w:cs="宋体"/>
          <w:color w:val="auto"/>
          <w:szCs w:val="21"/>
        </w:rPr>
        <w:t>（表格均可按同样格式扩展）。</w:t>
      </w:r>
    </w:p>
    <w:p w14:paraId="769DFDA6">
      <w:pPr>
        <w:rPr>
          <w:rFonts w:hint="eastAsia" w:ascii="宋体" w:hAnsi="宋体" w:eastAsia="宋体" w:cs="宋体"/>
          <w:color w:val="auto"/>
        </w:rPr>
      </w:pPr>
      <w:r>
        <w:rPr>
          <w:rFonts w:hint="eastAsia" w:ascii="宋体" w:hAnsi="宋体" w:eastAsia="宋体" w:cs="宋体"/>
          <w:color w:val="auto"/>
        </w:rPr>
        <w:t>17．投标货币</w:t>
      </w:r>
    </w:p>
    <w:p w14:paraId="2E2440A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本项目的投标报价应以人民币计。</w:t>
      </w:r>
      <w:bookmarkEnd w:id="50"/>
    </w:p>
    <w:p w14:paraId="3D4831E7">
      <w:pPr>
        <w:rPr>
          <w:rFonts w:hint="eastAsia" w:ascii="宋体" w:hAnsi="宋体" w:eastAsia="宋体" w:cs="宋体"/>
          <w:color w:val="auto"/>
        </w:rPr>
      </w:pPr>
      <w:r>
        <w:rPr>
          <w:rFonts w:hint="eastAsia" w:ascii="宋体" w:hAnsi="宋体" w:eastAsia="宋体" w:cs="宋体"/>
          <w:color w:val="auto"/>
        </w:rPr>
        <w:t>18．</w:t>
      </w:r>
      <w:bookmarkStart w:id="51" w:name="_Hlk72401735"/>
      <w:r>
        <w:rPr>
          <w:rFonts w:hint="eastAsia" w:ascii="宋体" w:hAnsi="宋体" w:eastAsia="宋体" w:cs="宋体"/>
          <w:color w:val="auto"/>
        </w:rPr>
        <w:t>证明投标文件投标技术方案的合格性和符合招标文件规定的文件要求</w:t>
      </w:r>
    </w:p>
    <w:p w14:paraId="015D43D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18.1投标人应提交证明文件，证明其投标技术方案项下的货物和服务的合格性符合招标文件规定。该投标技术方案及其证明文件均作为投标文件组成部分。</w:t>
      </w:r>
    </w:p>
    <w:p w14:paraId="1C08CBE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031B8F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18.2.1主要技术指标和性能的详细说明。</w:t>
      </w:r>
    </w:p>
    <w:p w14:paraId="0412EA2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18.2.2投标产品从采购人开始使用至招标文件中规定的周期内正常、连续地使用所必须的备件和专用工具清单，包括备件和专用工具的货源及现行价格。</w:t>
      </w:r>
    </w:p>
    <w:p w14:paraId="46C3CF6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7F17A2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宋体" w:hAnsi="宋体" w:eastAsia="宋体" w:cs="宋体"/>
          <w:color w:val="auto"/>
        </w:rPr>
        <w:t>清晰度要求能够使用电脑阅读、识别和判断</w:t>
      </w:r>
      <w:r>
        <w:rPr>
          <w:rFonts w:hint="eastAsia" w:ascii="宋体" w:hAnsi="宋体" w:eastAsia="宋体" w:cs="宋体"/>
          <w:color w:val="auto"/>
          <w:szCs w:val="21"/>
        </w:rPr>
        <w:t>；</w:t>
      </w:r>
    </w:p>
    <w:p w14:paraId="0D623EF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18.2.5我国政府机构出具的产品检验和核准证件应为证件正面、背面和附件标注的全部具体内容；产品检验和核准证件的尺寸和清晰度应该能够在电脑上被阅读、识别和判断，提供原件扫描件。</w:t>
      </w:r>
    </w:p>
    <w:p w14:paraId="3EE1DF8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18.3相关资料不符合18.2款要求的，评审委员会有权认定为投标技术方案不合格响应，其相关分数予以扣减或作投标无效处理。</w:t>
      </w:r>
    </w:p>
    <w:p w14:paraId="3EBB388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宋体" w:hAnsi="宋体" w:eastAsia="宋体" w:cs="宋体"/>
          <w:color w:val="auto"/>
        </w:rPr>
        <w:t>满足要求</w:t>
      </w:r>
      <w:r>
        <w:rPr>
          <w:rFonts w:hint="eastAsia" w:ascii="宋体" w:hAnsi="宋体" w:eastAsia="宋体" w:cs="宋体"/>
          <w:color w:val="auto"/>
          <w:szCs w:val="21"/>
        </w:rPr>
        <w:t>，由评审委员会来评判。</w:t>
      </w:r>
    </w:p>
    <w:p w14:paraId="2597FCC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18.5除非另有规定或说明，投标人对同一项目投标时，不得同时提供两套或两套以上的投标方案。</w:t>
      </w:r>
      <w:bookmarkEnd w:id="51"/>
    </w:p>
    <w:p w14:paraId="7AD4E539">
      <w:pPr>
        <w:rPr>
          <w:rFonts w:hint="eastAsia" w:ascii="宋体" w:hAnsi="宋体" w:eastAsia="宋体" w:cs="宋体"/>
          <w:color w:val="auto"/>
        </w:rPr>
      </w:pPr>
      <w:r>
        <w:rPr>
          <w:rFonts w:hint="eastAsia" w:ascii="宋体" w:hAnsi="宋体" w:eastAsia="宋体" w:cs="宋体"/>
          <w:color w:val="auto"/>
        </w:rPr>
        <w:t>19．</w:t>
      </w:r>
      <w:bookmarkStart w:id="52" w:name="_Hlk72402034"/>
      <w:r>
        <w:rPr>
          <w:rFonts w:hint="eastAsia" w:ascii="宋体" w:hAnsi="宋体" w:eastAsia="宋体" w:cs="宋体"/>
          <w:color w:val="auto"/>
        </w:rPr>
        <w:t>投标文件其他证明文件的要求</w:t>
      </w:r>
    </w:p>
    <w:p w14:paraId="69ACF3D6">
      <w:pPr>
        <w:rPr>
          <w:rFonts w:hint="eastAsia" w:ascii="宋体" w:hAnsi="宋体" w:eastAsia="宋体" w:cs="宋体"/>
          <w:color w:val="auto"/>
          <w:szCs w:val="21"/>
        </w:rPr>
      </w:pPr>
      <w:r>
        <w:rPr>
          <w:rFonts w:hint="eastAsia" w:ascii="宋体" w:hAnsi="宋体" w:eastAsia="宋体" w:cs="宋体"/>
          <w:color w:val="auto"/>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3" w:name="_Hlk71407299"/>
      <w:bookmarkEnd w:id="53"/>
    </w:p>
    <w:p w14:paraId="57C9B23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A5220CF">
      <w:pPr>
        <w:rPr>
          <w:rFonts w:hint="eastAsia" w:ascii="宋体" w:hAnsi="宋体" w:eastAsia="宋体" w:cs="宋体"/>
          <w:color w:val="auto"/>
        </w:rPr>
      </w:pPr>
      <w:r>
        <w:rPr>
          <w:rFonts w:hint="eastAsia" w:ascii="宋体" w:hAnsi="宋体" w:eastAsia="宋体" w:cs="宋体"/>
          <w:color w:val="auto"/>
        </w:rPr>
        <w:t>20．投标有效期</w:t>
      </w:r>
      <w:bookmarkEnd w:id="52"/>
    </w:p>
    <w:p w14:paraId="1251BC57">
      <w:pPr>
        <w:ind w:firstLine="470" w:firstLineChars="196"/>
        <w:rPr>
          <w:rFonts w:hint="eastAsia" w:ascii="宋体" w:hAnsi="宋体" w:eastAsia="宋体" w:cs="宋体"/>
          <w:color w:val="auto"/>
          <w:szCs w:val="21"/>
        </w:rPr>
      </w:pPr>
      <w:bookmarkStart w:id="54" w:name="_Hlk72402214"/>
      <w:r>
        <w:rPr>
          <w:rFonts w:hint="eastAsia" w:ascii="宋体" w:hAnsi="宋体" w:eastAsia="宋体" w:cs="宋体"/>
          <w:color w:val="auto"/>
          <w:szCs w:val="21"/>
        </w:rPr>
        <w:t>20.1投标有效期为从投标截止之日算起的日历天数。在此期限内，所有投标文件均保持有效。</w:t>
      </w:r>
    </w:p>
    <w:p w14:paraId="34BE2CF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20.2 在特殊情况下，招标机构在原定的投标有效期满之前，招标机构可以根据需要以书面形式（包括招标机构网站公开发布方式）向投标人提出延长投标有效期的要求，对此要求投标人须以书面形式予以答复，投标人可以拒绝招标机构此项要求，其投标在原投标有效期满后不再有效。同意延长投标有效期的投标人不能要求也不允许修改其投标文件。</w:t>
      </w:r>
    </w:p>
    <w:p w14:paraId="184E4FE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20.3中标供应商的投标文件有效期，截止于完成本招标文件规定的全部项目内容，并通过竣工验收及保修期结束。</w:t>
      </w:r>
      <w:bookmarkEnd w:id="54"/>
    </w:p>
    <w:p w14:paraId="26755D6C">
      <w:pPr>
        <w:rPr>
          <w:rFonts w:hint="eastAsia" w:ascii="宋体" w:hAnsi="宋体" w:eastAsia="宋体" w:cs="宋体"/>
          <w:color w:val="auto"/>
        </w:rPr>
      </w:pPr>
      <w:r>
        <w:rPr>
          <w:rFonts w:hint="eastAsia" w:ascii="宋体" w:hAnsi="宋体" w:eastAsia="宋体" w:cs="宋体"/>
          <w:color w:val="auto"/>
        </w:rPr>
        <w:t>21．</w:t>
      </w:r>
      <w:bookmarkStart w:id="55" w:name="_Hlk72402325"/>
      <w:r>
        <w:rPr>
          <w:rFonts w:hint="eastAsia" w:ascii="宋体" w:hAnsi="宋体" w:eastAsia="宋体" w:cs="宋体"/>
          <w:color w:val="auto"/>
        </w:rPr>
        <w:t xml:space="preserve">关于投标保证金 </w:t>
      </w:r>
    </w:p>
    <w:p w14:paraId="35720146">
      <w:pPr>
        <w:rPr>
          <w:rFonts w:hint="eastAsia" w:ascii="宋体" w:hAnsi="宋体" w:eastAsia="宋体" w:cs="宋体"/>
          <w:color w:val="auto"/>
          <w:szCs w:val="21"/>
        </w:rPr>
      </w:pPr>
      <w:r>
        <w:rPr>
          <w:rFonts w:hint="eastAsia" w:ascii="宋体" w:hAnsi="宋体" w:eastAsia="宋体" w:cs="宋体"/>
          <w:color w:val="auto"/>
          <w:szCs w:val="21"/>
        </w:rPr>
        <w:t xml:space="preserve">   21.1 </w:t>
      </w:r>
      <w:r>
        <w:rPr>
          <w:rFonts w:hint="eastAsia" w:ascii="宋体" w:hAnsi="宋体" w:eastAsia="宋体" w:cs="宋体"/>
          <w:color w:val="auto"/>
        </w:rPr>
        <w:t>根据《深圳市财政局关于明确政府采购保证金管理工作的通知》（深财购[2019]42号）文的规定，本项目不收取投标保证金。</w:t>
      </w:r>
    </w:p>
    <w:p w14:paraId="3AE89608">
      <w:pPr>
        <w:rPr>
          <w:rFonts w:hint="eastAsia" w:ascii="宋体" w:hAnsi="宋体" w:eastAsia="宋体" w:cs="宋体"/>
          <w:color w:val="auto"/>
        </w:rPr>
      </w:pPr>
      <w:r>
        <w:rPr>
          <w:rFonts w:hint="eastAsia" w:ascii="宋体" w:hAnsi="宋体" w:eastAsia="宋体" w:cs="宋体"/>
          <w:color w:val="auto"/>
        </w:rPr>
        <w:t>22．投标人的替代方案</w:t>
      </w:r>
    </w:p>
    <w:p w14:paraId="6854B15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336F44A">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55"/>
    </w:p>
    <w:p w14:paraId="5DC5C445">
      <w:pPr>
        <w:rPr>
          <w:rFonts w:hint="eastAsia" w:ascii="宋体" w:hAnsi="宋体" w:eastAsia="宋体" w:cs="宋体"/>
          <w:color w:val="auto"/>
        </w:rPr>
      </w:pPr>
      <w:r>
        <w:rPr>
          <w:rFonts w:hint="eastAsia" w:ascii="宋体" w:hAnsi="宋体" w:eastAsia="宋体" w:cs="宋体"/>
          <w:color w:val="auto"/>
        </w:rPr>
        <w:t>23．</w:t>
      </w:r>
      <w:bookmarkStart w:id="56" w:name="_Hlk72402860"/>
      <w:r>
        <w:rPr>
          <w:rFonts w:hint="eastAsia" w:ascii="宋体" w:hAnsi="宋体" w:eastAsia="宋体" w:cs="宋体"/>
          <w:color w:val="auto"/>
        </w:rPr>
        <w:t>投标文件的制作要求</w:t>
      </w:r>
    </w:p>
    <w:p w14:paraId="0C9072EB">
      <w:pPr>
        <w:ind w:firstLine="470" w:firstLineChars="196"/>
        <w:rPr>
          <w:rFonts w:hint="eastAsia" w:ascii="宋体" w:hAnsi="宋体" w:eastAsia="宋体" w:cs="宋体"/>
          <w:color w:val="auto"/>
        </w:rPr>
      </w:pPr>
      <w:r>
        <w:rPr>
          <w:rFonts w:hint="eastAsia" w:ascii="宋体" w:hAnsi="宋体" w:eastAsia="宋体" w:cs="宋体"/>
          <w:color w:val="auto"/>
        </w:rPr>
        <w:t>23.1投标人应准备所投项目的电子投标文件一份。此电子投标文件须由投标人根据招标机构提供的后缀名为.szczf的电子招标文件，下载并使用相应的深圳智慧采购平台投标文件制作专用软件打开招标文件（.szczf格式）【下载地址：</w:t>
      </w:r>
      <w:r>
        <w:rPr>
          <w:rFonts w:hint="eastAsia" w:ascii="宋体" w:hAnsi="宋体" w:eastAsia="宋体" w:cs="宋体"/>
          <w:color w:val="auto"/>
          <w:highlight w:val="yellow"/>
        </w:rPr>
        <w:t>http://zfcg.szggzy.com:8081/cgxy/013002/20210923/173e0b2c-7a4c-4246-a0c7-e0ea75d84dd6.html</w:t>
      </w:r>
      <w:r>
        <w:rPr>
          <w:rFonts w:hint="eastAsia" w:ascii="宋体" w:hAnsi="宋体" w:eastAsia="宋体" w:cs="宋体"/>
          <w:color w:val="auto"/>
        </w:rPr>
        <w:t>】。</w:t>
      </w:r>
    </w:p>
    <w:p w14:paraId="69797F12">
      <w:pPr>
        <w:ind w:firstLine="470" w:firstLineChars="196"/>
        <w:rPr>
          <w:rFonts w:hint="eastAsia" w:ascii="宋体" w:hAnsi="宋体" w:eastAsia="宋体" w:cs="宋体"/>
          <w:color w:val="auto"/>
        </w:rPr>
      </w:pPr>
      <w:r>
        <w:rPr>
          <w:rFonts w:hint="eastAsia" w:ascii="宋体" w:hAnsi="宋体" w:eastAsia="宋体" w:cs="宋体"/>
          <w:color w:val="auto"/>
        </w:rPr>
        <w:t>23.2投标人在使用《投标文件制作软件》编制投标书时须注意：</w:t>
      </w:r>
    </w:p>
    <w:p w14:paraId="7A44F943">
      <w:pPr>
        <w:ind w:firstLine="470" w:firstLineChars="196"/>
        <w:rPr>
          <w:rFonts w:hint="eastAsia" w:ascii="宋体" w:hAnsi="宋体" w:eastAsia="宋体" w:cs="宋体"/>
          <w:color w:val="auto"/>
        </w:rPr>
      </w:pPr>
      <w:r>
        <w:rPr>
          <w:rFonts w:hint="eastAsia" w:ascii="宋体" w:hAnsi="宋体" w:eastAsia="宋体" w:cs="宋体"/>
          <w:color w:val="auto"/>
        </w:rPr>
        <w:t>23.2.1导入《投标文件制作软件》的招标文件项目编号、包号应与以此制作的投标文件项目编号、包号一致。例如，不能将甲项目A包的招标书导入《投标文件制作软件》，制作乙项目B包的投标书。</w:t>
      </w:r>
    </w:p>
    <w:p w14:paraId="52D78F62">
      <w:pPr>
        <w:ind w:firstLine="470" w:firstLineChars="196"/>
        <w:rPr>
          <w:rFonts w:hint="eastAsia" w:ascii="宋体" w:hAnsi="宋体" w:eastAsia="宋体" w:cs="宋体"/>
          <w:color w:val="auto"/>
        </w:rPr>
      </w:pPr>
      <w:r>
        <w:rPr>
          <w:rFonts w:hint="eastAsia" w:ascii="宋体" w:hAnsi="宋体" w:eastAsia="宋体" w:cs="宋体"/>
          <w:color w:val="auto"/>
        </w:rPr>
        <w:t>23.2.2不能用非本公司的电子密钥加密本公司的投标文件，或者用其它公司的登录用户上传本公司的投标文件。</w:t>
      </w:r>
    </w:p>
    <w:p w14:paraId="72FC43AC">
      <w:pPr>
        <w:ind w:firstLine="470" w:firstLineChars="196"/>
        <w:rPr>
          <w:rFonts w:hint="eastAsia" w:ascii="宋体" w:hAnsi="宋体" w:eastAsia="宋体" w:cs="宋体"/>
          <w:color w:val="auto"/>
        </w:rPr>
      </w:pPr>
      <w:r>
        <w:rPr>
          <w:rFonts w:hint="eastAsia" w:ascii="宋体" w:hAnsi="宋体" w:eastAsia="宋体" w:cs="宋体"/>
          <w:color w:val="auto"/>
        </w:rPr>
        <w:t>23.2.3要求用《投标文件制作软件》编制投标书的包，不能用其它方式编制投标书。编制投标文件时，电脑须连通互联网。</w:t>
      </w:r>
    </w:p>
    <w:p w14:paraId="77CBE539">
      <w:pPr>
        <w:ind w:firstLine="470" w:firstLineChars="196"/>
        <w:rPr>
          <w:rFonts w:hint="eastAsia" w:ascii="宋体" w:hAnsi="宋体" w:eastAsia="宋体" w:cs="宋体"/>
          <w:color w:val="auto"/>
        </w:rPr>
      </w:pPr>
      <w:r>
        <w:rPr>
          <w:rFonts w:hint="eastAsia" w:ascii="宋体" w:hAnsi="宋体" w:eastAsia="宋体" w:cs="宋体"/>
          <w:color w:val="auto"/>
        </w:rPr>
        <w:t>23.2.4投标文件不能带病毒。招标机构将用专业杀毒软件对投标文件进行病毒检测，如果这两种软件均报告发现病毒，则招标机构认为该投标文件带病毒。</w:t>
      </w:r>
    </w:p>
    <w:p w14:paraId="361B3748">
      <w:pPr>
        <w:ind w:firstLine="470" w:firstLineChars="196"/>
        <w:rPr>
          <w:rFonts w:hint="eastAsia" w:ascii="宋体" w:hAnsi="宋体" w:eastAsia="宋体" w:cs="宋体"/>
          <w:color w:val="auto"/>
        </w:rPr>
      </w:pPr>
      <w:r>
        <w:rPr>
          <w:rFonts w:hint="eastAsia" w:ascii="宋体" w:hAnsi="宋体" w:eastAsia="宋体" w:cs="宋体"/>
          <w:color w:val="auto"/>
        </w:rPr>
        <w:t>23.2.5完整填写“投标关键信息”，如下图所示：</w:t>
      </w:r>
    </w:p>
    <w:p w14:paraId="4CF427D4">
      <w:pPr>
        <w:ind w:firstLine="470" w:firstLineChars="196"/>
        <w:rPr>
          <w:rFonts w:hint="eastAsia" w:ascii="宋体" w:hAnsi="宋体" w:eastAsia="宋体" w:cs="宋体"/>
          <w:color w:val="auto"/>
        </w:rPr>
      </w:pPr>
      <w:r>
        <w:rPr>
          <w:rFonts w:hint="eastAsia" w:ascii="宋体" w:hAnsi="宋体" w:eastAsia="宋体" w:cs="宋体"/>
          <w:color w:val="auto"/>
        </w:rPr>
        <w:drawing>
          <wp:inline distT="0" distB="0" distL="0" distR="0">
            <wp:extent cx="5278755" cy="2721610"/>
            <wp:effectExtent l="0" t="0" r="0" b="2540"/>
            <wp:docPr id="8"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图形用户界面, 应用程序&#10;&#10;描述已自动生成"/>
                    <pic:cNvPicPr>
                      <a:picLocks noChangeAspect="1"/>
                    </pic:cNvPicPr>
                  </pic:nvPicPr>
                  <pic:blipFill>
                    <a:blip r:embed="rId11"/>
                    <a:stretch>
                      <a:fillRect/>
                    </a:stretch>
                  </pic:blipFill>
                  <pic:spPr>
                    <a:xfrm>
                      <a:off x="0" y="0"/>
                      <a:ext cx="5278755" cy="2721610"/>
                    </a:xfrm>
                    <a:prstGeom prst="rect">
                      <a:avLst/>
                    </a:prstGeom>
                    <a:noFill/>
                    <a:ln>
                      <a:noFill/>
                    </a:ln>
                  </pic:spPr>
                </pic:pic>
              </a:graphicData>
            </a:graphic>
          </wp:inline>
        </w:drawing>
      </w:r>
    </w:p>
    <w:p w14:paraId="6D618F4B">
      <w:pPr>
        <w:ind w:firstLine="472" w:firstLineChars="196"/>
        <w:rPr>
          <w:rFonts w:hint="eastAsia" w:ascii="宋体" w:hAnsi="宋体" w:eastAsia="宋体" w:cs="宋体"/>
          <w:b/>
          <w:color w:val="auto"/>
        </w:rPr>
      </w:pPr>
      <w:r>
        <w:rPr>
          <w:rFonts w:hint="eastAsia" w:ascii="宋体" w:hAnsi="宋体" w:eastAsia="宋体" w:cs="宋体"/>
          <w:b/>
          <w:color w:val="auto"/>
        </w:rPr>
        <w:t>备注：上述“开标一览表”中的“投标总价”将作为价格分计算依据；其它信息仅是对投标文件相关内容的概括性表述，不作为评审依据。</w:t>
      </w:r>
    </w:p>
    <w:p w14:paraId="62C6DD29">
      <w:pPr>
        <w:ind w:firstLine="470" w:firstLineChars="196"/>
        <w:rPr>
          <w:rFonts w:hint="eastAsia" w:ascii="宋体" w:hAnsi="宋体" w:eastAsia="宋体" w:cs="宋体"/>
          <w:color w:val="auto"/>
        </w:rPr>
      </w:pPr>
      <w:r>
        <w:rPr>
          <w:rFonts w:hint="eastAsia" w:ascii="宋体" w:hAnsi="宋体" w:eastAsia="宋体" w:cs="宋体"/>
          <w:color w:val="auto"/>
        </w:rPr>
        <w:t>23.2.6投标人在编辑投标文件时，</w:t>
      </w:r>
      <w:r>
        <w:rPr>
          <w:rFonts w:hint="eastAsia" w:ascii="宋体" w:hAnsi="宋体" w:eastAsia="宋体" w:cs="宋体"/>
          <w:b/>
          <w:color w:val="auto"/>
        </w:rPr>
        <w:t>在投标文件目录中属于本节点内容的必须在本节点中填写，填写到其他节点或附件，</w:t>
      </w:r>
      <w:r>
        <w:rPr>
          <w:rFonts w:hint="eastAsia" w:ascii="宋体" w:hAnsi="宋体" w:eastAsia="宋体" w:cs="宋体"/>
          <w:color w:val="auto"/>
        </w:rPr>
        <w:t>一切后果由供应商自行承担。</w:t>
      </w:r>
    </w:p>
    <w:p w14:paraId="16F7CD06">
      <w:pPr>
        <w:ind w:firstLine="470" w:firstLineChars="196"/>
        <w:rPr>
          <w:rFonts w:hint="eastAsia" w:ascii="宋体" w:hAnsi="宋体" w:eastAsia="宋体" w:cs="宋体"/>
          <w:color w:val="auto"/>
        </w:rPr>
      </w:pPr>
      <w:r>
        <w:rPr>
          <w:rFonts w:hint="eastAsia" w:ascii="宋体" w:hAnsi="宋体" w:eastAsia="宋体" w:cs="宋体"/>
          <w:color w:val="auto"/>
        </w:rPr>
        <w:t>23.2.7投标文件编写完成后，</w:t>
      </w:r>
      <w:r>
        <w:rPr>
          <w:rFonts w:hint="eastAsia" w:ascii="宋体" w:hAnsi="宋体" w:eastAsia="宋体" w:cs="宋体"/>
          <w:b/>
          <w:color w:val="auto"/>
        </w:rPr>
        <w:t>必须用属于投标人的电子密钥进行加密，否则视同未盖公章，将导致投标文件无效。</w:t>
      </w:r>
    </w:p>
    <w:p w14:paraId="50993CB9">
      <w:pPr>
        <w:ind w:firstLine="470" w:firstLineChars="196"/>
        <w:rPr>
          <w:rFonts w:hint="eastAsia" w:ascii="宋体" w:hAnsi="宋体" w:eastAsia="宋体" w:cs="宋体"/>
          <w:color w:val="auto"/>
        </w:rPr>
      </w:pPr>
      <w:r>
        <w:rPr>
          <w:rFonts w:hint="eastAsia" w:ascii="宋体" w:hAnsi="宋体" w:eastAsia="宋体" w:cs="宋体"/>
          <w:color w:val="auto"/>
        </w:rPr>
        <w:t>23.2.8招标机构不接受投标截止时间后递交的纸质、电子、传真等所有形式的投标文件。由于对网上政府采购系统操作不熟悉或自身电脑、网络等原因导致不能在投标截止时间之前上传投标文件，招标机构概不负责。建议于开标前一个工作日完成投标文件的制作与上传，如上传确有困难，请及时咨询。</w:t>
      </w:r>
    </w:p>
    <w:p w14:paraId="1F6D26BA">
      <w:pPr>
        <w:ind w:firstLine="470" w:firstLineChars="196"/>
        <w:rPr>
          <w:rFonts w:hint="eastAsia" w:ascii="宋体" w:hAnsi="宋体" w:eastAsia="宋体" w:cs="宋体"/>
          <w:color w:val="auto"/>
        </w:rPr>
      </w:pPr>
      <w:r>
        <w:rPr>
          <w:rFonts w:hint="eastAsia" w:ascii="宋体" w:hAnsi="宋体" w:eastAsia="宋体" w:cs="宋体"/>
          <w:color w:val="auto"/>
        </w:rPr>
        <w:t>23.2.9如果开标时出现网络故障、技术故障，影响了政府采购活动，招标机构有权采取措施如延期、接受无法从网上上传的投标书等，以保障政府采购活动的公开、公平和公正。</w:t>
      </w:r>
    </w:p>
    <w:p w14:paraId="6DF4B97D">
      <w:pPr>
        <w:ind w:firstLine="470" w:firstLineChars="196"/>
        <w:rPr>
          <w:rFonts w:hint="eastAsia" w:ascii="宋体" w:hAnsi="宋体" w:eastAsia="宋体" w:cs="宋体"/>
          <w:color w:val="auto"/>
        </w:rPr>
      </w:pPr>
      <w:r>
        <w:rPr>
          <w:rFonts w:hint="eastAsia" w:ascii="宋体" w:hAnsi="宋体" w:eastAsia="宋体" w:cs="宋体"/>
          <w:color w:val="auto"/>
        </w:rPr>
        <w:t>23.3电报、电话、传真形式的投标概不接受。</w:t>
      </w:r>
    </w:p>
    <w:p w14:paraId="7B852932">
      <w:pPr>
        <w:ind w:firstLine="472" w:firstLineChars="196"/>
        <w:rPr>
          <w:rFonts w:hint="eastAsia" w:ascii="宋体" w:hAnsi="宋体" w:eastAsia="宋体" w:cs="宋体"/>
          <w:b/>
          <w:color w:val="auto"/>
        </w:rPr>
      </w:pPr>
      <w:r>
        <w:rPr>
          <w:rFonts w:hint="eastAsia" w:ascii="宋体" w:hAnsi="宋体" w:eastAsia="宋体" w:cs="宋体"/>
          <w:b/>
          <w:color w:val="auto"/>
        </w:rPr>
        <w:t>23.4经投标人电子密钥加密的投标文件无须盖章或签字，</w:t>
      </w:r>
      <w:r>
        <w:rPr>
          <w:rFonts w:hint="eastAsia" w:ascii="宋体" w:hAnsi="宋体" w:eastAsia="宋体" w:cs="宋体"/>
          <w:color w:val="auto"/>
        </w:rPr>
        <w:t>专用条款另有要求的除外。</w:t>
      </w:r>
    </w:p>
    <w:p w14:paraId="65B524B5">
      <w:pPr>
        <w:ind w:firstLine="472" w:firstLineChars="196"/>
        <w:rPr>
          <w:rFonts w:hint="eastAsia" w:ascii="宋体" w:hAnsi="宋体" w:eastAsia="宋体" w:cs="宋体"/>
          <w:color w:val="auto"/>
        </w:rPr>
      </w:pPr>
      <w:r>
        <w:rPr>
          <w:rFonts w:hint="eastAsia" w:ascii="宋体" w:hAnsi="宋体" w:eastAsia="宋体" w:cs="宋体"/>
          <w:b/>
          <w:color w:val="auto"/>
        </w:rPr>
        <w:t>23.5</w:t>
      </w:r>
      <w:r>
        <w:rPr>
          <w:rFonts w:hint="eastAsia" w:ascii="宋体" w:hAnsi="宋体" w:eastAsia="宋体" w:cs="宋体"/>
          <w:color w:val="auto"/>
        </w:rPr>
        <w:t xml:space="preserve"> 各类资格（资质）文件提供扫描件，专用条款另有要求的除外。</w:t>
      </w:r>
      <w:bookmarkEnd w:id="56"/>
    </w:p>
    <w:p w14:paraId="1685DCFF">
      <w:pPr>
        <w:pStyle w:val="14"/>
        <w:rPr>
          <w:rFonts w:hint="eastAsia" w:ascii="宋体" w:hAnsi="宋体" w:eastAsia="宋体" w:cs="宋体"/>
          <w:color w:val="auto"/>
        </w:rPr>
      </w:pPr>
    </w:p>
    <w:p w14:paraId="43CCD0F6">
      <w:pPr>
        <w:rPr>
          <w:rFonts w:hint="eastAsia" w:ascii="宋体" w:hAnsi="宋体" w:eastAsia="宋体" w:cs="宋体"/>
          <w:color w:val="auto"/>
        </w:rPr>
      </w:pPr>
    </w:p>
    <w:p w14:paraId="5FFAAC34">
      <w:pPr>
        <w:pStyle w:val="14"/>
        <w:rPr>
          <w:rFonts w:hint="eastAsia" w:ascii="宋体" w:hAnsi="宋体" w:eastAsia="宋体" w:cs="宋体"/>
          <w:color w:val="auto"/>
        </w:rPr>
      </w:pPr>
    </w:p>
    <w:p w14:paraId="4395ACB3">
      <w:pPr>
        <w:rPr>
          <w:rFonts w:hint="eastAsia" w:ascii="宋体" w:hAnsi="宋体" w:eastAsia="宋体" w:cs="宋体"/>
          <w:color w:val="auto"/>
        </w:rPr>
      </w:pPr>
    </w:p>
    <w:p w14:paraId="30827400">
      <w:pPr>
        <w:pStyle w:val="14"/>
        <w:rPr>
          <w:rFonts w:hint="eastAsia" w:ascii="宋体" w:hAnsi="宋体" w:eastAsia="宋体" w:cs="宋体"/>
          <w:color w:val="auto"/>
        </w:rPr>
      </w:pPr>
    </w:p>
    <w:p w14:paraId="307D834F">
      <w:pPr>
        <w:rPr>
          <w:rFonts w:hint="eastAsia" w:ascii="宋体" w:hAnsi="宋体" w:eastAsia="宋体" w:cs="宋体"/>
          <w:color w:val="auto"/>
        </w:rPr>
      </w:pPr>
    </w:p>
    <w:p w14:paraId="4998112C">
      <w:pPr>
        <w:pStyle w:val="14"/>
        <w:rPr>
          <w:rFonts w:hint="eastAsia" w:ascii="宋体" w:hAnsi="宋体" w:eastAsia="宋体" w:cs="宋体"/>
          <w:color w:val="auto"/>
        </w:rPr>
      </w:pPr>
    </w:p>
    <w:p w14:paraId="26D57D49">
      <w:pPr>
        <w:rPr>
          <w:rFonts w:hint="eastAsia" w:ascii="宋体" w:hAnsi="宋体" w:eastAsia="宋体" w:cs="宋体"/>
          <w:color w:val="auto"/>
        </w:rPr>
      </w:pPr>
    </w:p>
    <w:p w14:paraId="7EB44465">
      <w:pPr>
        <w:pStyle w:val="14"/>
        <w:rPr>
          <w:rFonts w:hint="eastAsia" w:ascii="宋体" w:hAnsi="宋体" w:eastAsia="宋体" w:cs="宋体"/>
          <w:color w:val="auto"/>
        </w:rPr>
      </w:pPr>
    </w:p>
    <w:p w14:paraId="3533D768">
      <w:pPr>
        <w:rPr>
          <w:rFonts w:hint="eastAsia" w:ascii="宋体" w:hAnsi="宋体" w:eastAsia="宋体" w:cs="宋体"/>
          <w:color w:val="auto"/>
        </w:rPr>
      </w:pPr>
    </w:p>
    <w:p w14:paraId="3AA83AB2">
      <w:pPr>
        <w:pStyle w:val="14"/>
        <w:rPr>
          <w:rFonts w:hint="eastAsia" w:ascii="宋体" w:hAnsi="宋体" w:eastAsia="宋体" w:cs="宋体"/>
          <w:color w:val="auto"/>
        </w:rPr>
      </w:pPr>
    </w:p>
    <w:p w14:paraId="742DE18E">
      <w:pPr>
        <w:rPr>
          <w:rFonts w:hint="eastAsia" w:ascii="宋体" w:hAnsi="宋体" w:eastAsia="宋体" w:cs="宋体"/>
          <w:color w:val="auto"/>
        </w:rPr>
      </w:pPr>
    </w:p>
    <w:p w14:paraId="5DCD71AE">
      <w:pPr>
        <w:pStyle w:val="14"/>
        <w:rPr>
          <w:rFonts w:hint="eastAsia" w:ascii="宋体" w:hAnsi="宋体" w:eastAsia="宋体" w:cs="宋体"/>
          <w:color w:val="auto"/>
        </w:rPr>
      </w:pPr>
    </w:p>
    <w:p w14:paraId="3A6C31E4">
      <w:pPr>
        <w:pStyle w:val="14"/>
        <w:rPr>
          <w:rFonts w:hint="eastAsia" w:ascii="宋体" w:hAnsi="宋体" w:eastAsia="宋体" w:cs="宋体"/>
          <w:color w:val="auto"/>
        </w:rPr>
      </w:pPr>
    </w:p>
    <w:p w14:paraId="74F9854F">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投标文件的递交</w:t>
      </w:r>
      <w:bookmarkStart w:id="57" w:name="_Hlk72405459"/>
    </w:p>
    <w:p w14:paraId="2B645785">
      <w:pPr>
        <w:rPr>
          <w:rFonts w:hint="eastAsia" w:ascii="宋体" w:hAnsi="宋体" w:eastAsia="宋体" w:cs="宋体"/>
          <w:color w:val="auto"/>
        </w:rPr>
      </w:pPr>
      <w:r>
        <w:rPr>
          <w:rFonts w:hint="eastAsia" w:ascii="宋体" w:hAnsi="宋体" w:eastAsia="宋体" w:cs="宋体"/>
          <w:color w:val="auto"/>
        </w:rPr>
        <w:t>24．投标书的保密</w:t>
      </w:r>
    </w:p>
    <w:p w14:paraId="3953BA6A">
      <w:pPr>
        <w:ind w:firstLine="470" w:firstLineChars="196"/>
        <w:rPr>
          <w:rFonts w:hint="eastAsia" w:ascii="宋体" w:hAnsi="宋体" w:eastAsia="宋体" w:cs="宋体"/>
          <w:color w:val="auto"/>
        </w:rPr>
      </w:pPr>
      <w:r>
        <w:rPr>
          <w:rFonts w:hint="eastAsia" w:ascii="宋体" w:hAnsi="宋体" w:eastAsia="宋体" w:cs="宋体"/>
          <w:color w:val="auto"/>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4BFA7B41">
      <w:pPr>
        <w:ind w:firstLine="470" w:firstLineChars="196"/>
        <w:rPr>
          <w:rFonts w:hint="eastAsia" w:ascii="宋体" w:hAnsi="宋体" w:eastAsia="宋体" w:cs="宋体"/>
          <w:color w:val="auto"/>
        </w:rPr>
      </w:pPr>
      <w:r>
        <w:rPr>
          <w:rFonts w:hint="eastAsia" w:ascii="宋体" w:hAnsi="宋体" w:eastAsia="宋体" w:cs="宋体"/>
          <w:color w:val="auto"/>
        </w:rPr>
        <w:drawing>
          <wp:inline distT="0" distB="0" distL="0" distR="0">
            <wp:extent cx="5278755" cy="2721610"/>
            <wp:effectExtent l="0" t="0" r="0" b="2540"/>
            <wp:docPr id="9"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形用户界面, 应用程序&#10;&#10;描述已自动生成"/>
                    <pic:cNvPicPr>
                      <a:picLocks noChangeAspect="1"/>
                    </pic:cNvPicPr>
                  </pic:nvPicPr>
                  <pic:blipFill>
                    <a:blip r:embed="rId11"/>
                    <a:stretch>
                      <a:fillRect/>
                    </a:stretch>
                  </pic:blipFill>
                  <pic:spPr>
                    <a:xfrm>
                      <a:off x="0" y="0"/>
                      <a:ext cx="5278755" cy="2721610"/>
                    </a:xfrm>
                    <a:prstGeom prst="rect">
                      <a:avLst/>
                    </a:prstGeom>
                    <a:noFill/>
                    <a:ln>
                      <a:noFill/>
                    </a:ln>
                  </pic:spPr>
                </pic:pic>
              </a:graphicData>
            </a:graphic>
          </wp:inline>
        </w:drawing>
      </w:r>
    </w:p>
    <w:p w14:paraId="0CFB8A45">
      <w:pPr>
        <w:ind w:firstLine="470" w:firstLineChars="196"/>
        <w:rPr>
          <w:rFonts w:hint="eastAsia" w:ascii="宋体" w:hAnsi="宋体" w:eastAsia="宋体" w:cs="宋体"/>
          <w:color w:val="auto"/>
        </w:rPr>
      </w:pPr>
      <w:r>
        <w:rPr>
          <w:rFonts w:hint="eastAsia" w:ascii="宋体" w:hAnsi="宋体" w:eastAsia="宋体" w:cs="宋体"/>
          <w:color w:val="auto"/>
        </w:rPr>
        <w:t>在投标文件制作软件点击【生成标书】按钮进入【填写开标一览表界面】界面，在该界面填写完开标一览表信息后点击【确定】，进入投标文件生成环节。</w:t>
      </w:r>
      <w:r>
        <w:rPr>
          <w:rFonts w:hint="eastAsia" w:ascii="宋体" w:hAnsi="宋体" w:eastAsia="宋体" w:cs="宋体"/>
          <w:color w:val="auto"/>
        </w:rPr>
        <w:drawing>
          <wp:inline distT="0" distB="0" distL="0" distR="0">
            <wp:extent cx="5278755" cy="2732405"/>
            <wp:effectExtent l="0" t="0" r="0" b="0"/>
            <wp:docPr id="10"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图形用户界面&#10;&#10;描述已自动生成"/>
                    <pic:cNvPicPr>
                      <a:picLocks noChangeAspect="1"/>
                    </pic:cNvPicPr>
                  </pic:nvPicPr>
                  <pic:blipFill>
                    <a:blip r:embed="rId12"/>
                    <a:stretch>
                      <a:fillRect/>
                    </a:stretch>
                  </pic:blipFill>
                  <pic:spPr>
                    <a:xfrm>
                      <a:off x="0" y="0"/>
                      <a:ext cx="5278755" cy="2732405"/>
                    </a:xfrm>
                    <a:prstGeom prst="rect">
                      <a:avLst/>
                    </a:prstGeom>
                    <a:noFill/>
                    <a:ln>
                      <a:noFill/>
                    </a:ln>
                  </pic:spPr>
                </pic:pic>
              </a:graphicData>
            </a:graphic>
          </wp:inline>
        </w:drawing>
      </w:r>
    </w:p>
    <w:p w14:paraId="24F39C57">
      <w:pPr>
        <w:ind w:firstLine="470" w:firstLineChars="196"/>
        <w:rPr>
          <w:rFonts w:hint="eastAsia" w:ascii="宋体" w:hAnsi="宋体" w:eastAsia="宋体" w:cs="宋体"/>
          <w:color w:val="auto"/>
        </w:rPr>
      </w:pPr>
      <w:r>
        <w:rPr>
          <w:rFonts w:hint="eastAsia" w:ascii="宋体" w:hAnsi="宋体" w:eastAsia="宋体" w:cs="宋体"/>
          <w:color w:val="auto"/>
        </w:rPr>
        <w:t>投标文件制作软件会在投标文件生成过程中，提示用户输入密码，输入密码后对标文件自动进行加密。</w:t>
      </w:r>
    </w:p>
    <w:p w14:paraId="690799F5">
      <w:pPr>
        <w:ind w:firstLine="482" w:firstLineChars="200"/>
        <w:rPr>
          <w:rFonts w:hint="eastAsia" w:ascii="宋体" w:hAnsi="宋体" w:eastAsia="宋体" w:cs="宋体"/>
          <w:b/>
          <w:color w:val="auto"/>
        </w:rPr>
      </w:pPr>
      <w:r>
        <w:rPr>
          <w:rFonts w:hint="eastAsia" w:ascii="宋体" w:hAnsi="宋体" w:eastAsia="宋体" w:cs="宋体"/>
          <w:b/>
          <w:color w:val="auto"/>
        </w:rPr>
        <w:t>24.2若采购项目出现延期情况：</w:t>
      </w:r>
    </w:p>
    <w:p w14:paraId="4701F700">
      <w:pPr>
        <w:ind w:firstLine="482" w:firstLineChars="200"/>
        <w:rPr>
          <w:rFonts w:hint="eastAsia" w:ascii="宋体" w:hAnsi="宋体" w:eastAsia="宋体" w:cs="宋体"/>
          <w:b/>
          <w:color w:val="auto"/>
        </w:rPr>
      </w:pPr>
      <w:r>
        <w:rPr>
          <w:rFonts w:hint="eastAsia" w:ascii="宋体" w:hAnsi="宋体" w:eastAsia="宋体" w:cs="宋体"/>
          <w:b/>
          <w:color w:val="auto"/>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453DE8FA">
      <w:pPr>
        <w:rPr>
          <w:rFonts w:hint="eastAsia" w:ascii="宋体" w:hAnsi="宋体" w:eastAsia="宋体" w:cs="宋体"/>
          <w:color w:val="auto"/>
        </w:rPr>
      </w:pPr>
      <w:r>
        <w:rPr>
          <w:rFonts w:hint="eastAsia" w:ascii="宋体" w:hAnsi="宋体" w:eastAsia="宋体" w:cs="宋体"/>
          <w:color w:val="auto"/>
        </w:rPr>
        <w:t>25．上传投标文件及投标截止日期</w:t>
      </w:r>
    </w:p>
    <w:p w14:paraId="7495D302">
      <w:pPr>
        <w:ind w:firstLine="480" w:firstLineChars="200"/>
        <w:rPr>
          <w:rFonts w:hint="eastAsia" w:ascii="宋体" w:hAnsi="宋体" w:eastAsia="宋体" w:cs="宋体"/>
          <w:bCs/>
          <w:color w:val="auto"/>
        </w:rPr>
      </w:pPr>
      <w:r>
        <w:rPr>
          <w:rFonts w:hint="eastAsia" w:ascii="宋体" w:hAnsi="宋体" w:eastAsia="宋体" w:cs="宋体"/>
          <w:bCs/>
          <w:color w:val="auto"/>
        </w:rPr>
        <w:t>25.1实行网上投标，投标人必须在招标文件规定的投标截止时间前用电子密钥登录“深圳政府采购智慧平台用户网上办事子系统（</w:t>
      </w:r>
      <w:r>
        <w:rPr>
          <w:rFonts w:hint="eastAsia" w:ascii="宋体" w:hAnsi="宋体" w:eastAsia="宋体" w:cs="宋体"/>
          <w:bCs/>
          <w:color w:val="auto"/>
          <w:highlight w:val="yellow"/>
        </w:rPr>
        <w:t>http://zfcg.szggzy.com:8081/TPBidder/memberLogin</w:t>
      </w:r>
      <w:r>
        <w:rPr>
          <w:rFonts w:hint="eastAsia" w:ascii="宋体" w:hAnsi="宋体" w:eastAsia="宋体" w:cs="宋体"/>
          <w:bCs/>
          <w:color w:val="auto"/>
        </w:rPr>
        <w:t>）”，用“【我的项目】→【项目流程】→【递交投标(应答)文件】”功能点上传投标文件。如上传过程中遇到问题，可拨打技术支持电话，联系方式：</w:t>
      </w:r>
      <w:r>
        <w:rPr>
          <w:rFonts w:hint="eastAsia" w:ascii="宋体" w:hAnsi="宋体" w:eastAsia="宋体" w:cs="宋体"/>
          <w:color w:val="auto"/>
          <w:highlight w:val="yellow"/>
          <w:lang w:eastAsia="zh-CN"/>
        </w:rPr>
        <w:t>0755-88653300</w:t>
      </w:r>
      <w:r>
        <w:rPr>
          <w:rFonts w:hint="eastAsia" w:ascii="宋体" w:hAnsi="宋体" w:eastAsia="宋体" w:cs="宋体"/>
          <w:color w:val="auto"/>
          <w:highlight w:val="yellow"/>
          <w:lang w:val="en-US" w:eastAsia="zh-CN"/>
        </w:rPr>
        <w:t>-</w:t>
      </w:r>
      <w:r>
        <w:rPr>
          <w:rFonts w:hint="eastAsia" w:ascii="宋体" w:hAnsi="宋体" w:eastAsia="宋体" w:cs="宋体"/>
          <w:color w:val="auto"/>
          <w:highlight w:val="yellow"/>
          <w:lang w:eastAsia="zh-CN"/>
        </w:rPr>
        <w:t>6</w:t>
      </w:r>
      <w:r>
        <w:rPr>
          <w:rFonts w:hint="eastAsia" w:ascii="宋体" w:hAnsi="宋体" w:eastAsia="宋体" w:cs="宋体"/>
          <w:bCs/>
          <w:color w:val="auto"/>
        </w:rPr>
        <w:t>。</w:t>
      </w:r>
    </w:p>
    <w:p w14:paraId="13400F05">
      <w:pPr>
        <w:ind w:firstLine="480" w:firstLineChars="200"/>
        <w:rPr>
          <w:rFonts w:hint="eastAsia" w:ascii="宋体" w:hAnsi="宋体" w:eastAsia="宋体" w:cs="宋体"/>
          <w:bCs/>
          <w:color w:val="auto"/>
        </w:rPr>
      </w:pPr>
      <w:r>
        <w:rPr>
          <w:rFonts w:hint="eastAsia" w:ascii="宋体" w:hAnsi="宋体" w:eastAsia="宋体" w:cs="宋体"/>
          <w:bCs/>
          <w:color w:val="auto"/>
        </w:rPr>
        <w:t>25.2招标机构可以按本通用条款第13条规定，通过修改招标文件自行决定酌情延长投标截止期。在此情况下，招标机构、采购人和投标人受投标截止期制约的所有权利和义务均应延长至新的截止期。</w:t>
      </w:r>
    </w:p>
    <w:p w14:paraId="131EA015">
      <w:pPr>
        <w:ind w:firstLine="480" w:firstLineChars="200"/>
        <w:rPr>
          <w:rFonts w:hint="eastAsia" w:ascii="宋体" w:hAnsi="宋体" w:eastAsia="宋体" w:cs="宋体"/>
          <w:bCs/>
          <w:color w:val="auto"/>
        </w:rPr>
      </w:pPr>
      <w:r>
        <w:rPr>
          <w:rFonts w:hint="eastAsia" w:ascii="宋体" w:hAnsi="宋体" w:eastAsia="宋体" w:cs="宋体"/>
          <w:bCs/>
          <w:color w:val="auto"/>
        </w:rPr>
        <w:t>25.3投标截止时间以后不得上传投标文件。</w:t>
      </w:r>
    </w:p>
    <w:p w14:paraId="4B4DDAA1">
      <w:pPr>
        <w:ind w:firstLine="480" w:firstLineChars="200"/>
        <w:rPr>
          <w:rFonts w:hint="eastAsia" w:ascii="宋体" w:hAnsi="宋体" w:eastAsia="宋体" w:cs="宋体"/>
          <w:bCs/>
          <w:color w:val="auto"/>
        </w:rPr>
      </w:pPr>
      <w:r>
        <w:rPr>
          <w:rFonts w:hint="eastAsia" w:ascii="宋体" w:hAnsi="宋体" w:eastAsia="宋体" w:cs="宋体"/>
          <w:bCs/>
          <w:color w:val="auto"/>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bookmarkEnd w:id="57"/>
    </w:p>
    <w:p w14:paraId="3318B92F">
      <w:pPr>
        <w:rPr>
          <w:rFonts w:hint="eastAsia" w:ascii="宋体" w:hAnsi="宋体" w:eastAsia="宋体" w:cs="宋体"/>
          <w:color w:val="auto"/>
        </w:rPr>
      </w:pPr>
      <w:r>
        <w:rPr>
          <w:rFonts w:hint="eastAsia" w:ascii="宋体" w:hAnsi="宋体" w:eastAsia="宋体" w:cs="宋体"/>
          <w:color w:val="auto"/>
        </w:rPr>
        <w:t>26. 样品、现场演示、方案讲解</w:t>
      </w:r>
    </w:p>
    <w:p w14:paraId="08C9AE2D">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26.1 样品、现场演示、方案讲解等事项在招标文件专用条款中进行规定。</w:t>
      </w:r>
    </w:p>
    <w:p w14:paraId="351A9BDB">
      <w:pPr>
        <w:rPr>
          <w:rFonts w:hint="eastAsia" w:ascii="宋体" w:hAnsi="宋体" w:eastAsia="宋体" w:cs="宋体"/>
          <w:color w:val="auto"/>
        </w:rPr>
      </w:pPr>
      <w:bookmarkStart w:id="58" w:name="_Hlk72428346"/>
      <w:r>
        <w:rPr>
          <w:rFonts w:hint="eastAsia" w:ascii="宋体" w:hAnsi="宋体" w:eastAsia="宋体" w:cs="宋体"/>
          <w:color w:val="auto"/>
        </w:rPr>
        <w:t>27．投标文件的修改和撤销</w:t>
      </w:r>
    </w:p>
    <w:p w14:paraId="5C56DBD3">
      <w:pPr>
        <w:ind w:firstLine="470" w:firstLineChars="196"/>
        <w:rPr>
          <w:rFonts w:hint="eastAsia" w:ascii="宋体" w:hAnsi="宋体" w:eastAsia="宋体" w:cs="宋体"/>
          <w:color w:val="auto"/>
        </w:rPr>
      </w:pPr>
      <w:r>
        <w:rPr>
          <w:rFonts w:hint="eastAsia" w:ascii="宋体" w:hAnsi="宋体" w:eastAsia="宋体" w:cs="宋体"/>
          <w:color w:val="auto"/>
        </w:rPr>
        <w:t>27.1投标方在提交投标文件后可对其投标文件进行修改并重新上传投标文件或在网上进行撤销投标的操作。</w:t>
      </w:r>
    </w:p>
    <w:p w14:paraId="3059D3C6">
      <w:pPr>
        <w:ind w:firstLine="470" w:firstLineChars="196"/>
        <w:rPr>
          <w:rFonts w:hint="eastAsia" w:ascii="宋体" w:hAnsi="宋体" w:eastAsia="宋体" w:cs="宋体"/>
          <w:color w:val="auto"/>
        </w:rPr>
      </w:pPr>
      <w:r>
        <w:rPr>
          <w:rFonts w:hint="eastAsia" w:ascii="宋体" w:hAnsi="宋体" w:eastAsia="宋体" w:cs="宋体"/>
          <w:color w:val="auto"/>
        </w:rPr>
        <w:t>27.2投标截止时间以后不得修改投标文件。</w:t>
      </w:r>
    </w:p>
    <w:p w14:paraId="6171F4D6">
      <w:pPr>
        <w:ind w:firstLine="470" w:firstLineChars="196"/>
        <w:rPr>
          <w:rFonts w:hint="eastAsia" w:ascii="宋体" w:hAnsi="宋体" w:eastAsia="宋体" w:cs="宋体"/>
          <w:color w:val="auto"/>
        </w:rPr>
      </w:pPr>
      <w:r>
        <w:rPr>
          <w:rFonts w:hint="eastAsia" w:ascii="宋体" w:hAnsi="宋体" w:eastAsia="宋体" w:cs="宋体"/>
          <w:color w:val="auto"/>
        </w:rPr>
        <w:t>27.3从投标截止期至投标人在投标文件中确定的投标有效期之间的这段时间内，投标人不得撤回其投标。</w:t>
      </w:r>
    </w:p>
    <w:p w14:paraId="50B7A93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27.4招标机构不退还投标文件，专用条款另有规定的除外。</w:t>
      </w:r>
      <w:bookmarkEnd w:id="58"/>
    </w:p>
    <w:p w14:paraId="084F2188">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开标</w:t>
      </w:r>
    </w:p>
    <w:p w14:paraId="7D55F86E">
      <w:pPr>
        <w:rPr>
          <w:rFonts w:hint="eastAsia" w:ascii="宋体" w:hAnsi="宋体" w:eastAsia="宋体" w:cs="宋体"/>
          <w:color w:val="auto"/>
        </w:rPr>
      </w:pPr>
      <w:r>
        <w:rPr>
          <w:rFonts w:hint="eastAsia" w:ascii="宋体" w:hAnsi="宋体" w:eastAsia="宋体" w:cs="宋体"/>
          <w:color w:val="auto"/>
        </w:rPr>
        <w:t>28．开标</w:t>
      </w:r>
    </w:p>
    <w:p w14:paraId="05EE7682">
      <w:pPr>
        <w:ind w:firstLine="480" w:firstLineChars="200"/>
        <w:rPr>
          <w:rFonts w:hint="eastAsia" w:ascii="宋体" w:hAnsi="宋体" w:eastAsia="宋体" w:cs="宋体"/>
          <w:color w:val="auto"/>
        </w:rPr>
      </w:pPr>
      <w:r>
        <w:rPr>
          <w:rFonts w:hint="eastAsia" w:ascii="宋体" w:hAnsi="宋体" w:eastAsia="宋体" w:cs="宋体"/>
          <w:color w:val="auto"/>
          <w:szCs w:val="21"/>
        </w:rPr>
        <w:t>28.1</w:t>
      </w:r>
      <w:r>
        <w:rPr>
          <w:rFonts w:hint="eastAsia" w:ascii="宋体" w:hAnsi="宋体" w:eastAsia="宋体" w:cs="宋体"/>
          <w:color w:val="auto"/>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4DD87E14">
      <w:pPr>
        <w:ind w:firstLine="410" w:firstLineChars="171"/>
        <w:rPr>
          <w:rFonts w:hint="eastAsia" w:ascii="宋体" w:hAnsi="宋体" w:eastAsia="宋体" w:cs="宋体"/>
          <w:color w:val="auto"/>
          <w:szCs w:val="21"/>
        </w:rPr>
      </w:pPr>
      <w:r>
        <w:rPr>
          <w:rFonts w:hint="eastAsia" w:ascii="宋体" w:hAnsi="宋体" w:eastAsia="宋体" w:cs="宋体"/>
          <w:color w:val="auto"/>
          <w:szCs w:val="21"/>
        </w:rPr>
        <w:t>28.2 招标机构将在满足开标条件（</w:t>
      </w:r>
      <w:r>
        <w:rPr>
          <w:rFonts w:hint="eastAsia" w:ascii="宋体" w:hAnsi="宋体" w:eastAsia="宋体" w:cs="宋体"/>
          <w:color w:val="auto"/>
          <w:sz w:val="20"/>
          <w:szCs w:val="20"/>
          <w:shd w:val="clear" w:color="auto" w:fill="FFFFFF"/>
        </w:rPr>
        <w:t>①</w:t>
      </w:r>
      <w:r>
        <w:rPr>
          <w:rFonts w:hint="eastAsia" w:ascii="宋体" w:hAnsi="宋体" w:eastAsia="宋体" w:cs="宋体"/>
          <w:color w:val="auto"/>
          <w:szCs w:val="21"/>
        </w:rPr>
        <w:t>解密时间结束，解密后的投标供应商数量满足开标要求或</w:t>
      </w:r>
      <w:r>
        <w:rPr>
          <w:rFonts w:hint="eastAsia" w:ascii="宋体" w:hAnsi="宋体" w:eastAsia="宋体" w:cs="宋体"/>
          <w:color w:val="auto"/>
          <w:sz w:val="20"/>
          <w:szCs w:val="20"/>
          <w:shd w:val="clear" w:color="auto" w:fill="FFFFFF"/>
        </w:rPr>
        <w:t>②</w:t>
      </w:r>
      <w:r>
        <w:rPr>
          <w:rFonts w:hint="eastAsia" w:ascii="宋体" w:hAnsi="宋体" w:eastAsia="宋体" w:cs="宋体"/>
          <w:color w:val="auto"/>
          <w:szCs w:val="21"/>
        </w:rPr>
        <w:t>解密时间结束前所有投标供应商均完成投标文件解密）后，对投标文件进行开标，并在网上公布开标结果。</w:t>
      </w:r>
    </w:p>
    <w:p w14:paraId="4683C048">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评审要求</w:t>
      </w:r>
    </w:p>
    <w:p w14:paraId="78948E7F">
      <w:pPr>
        <w:rPr>
          <w:rFonts w:hint="eastAsia" w:ascii="宋体" w:hAnsi="宋体" w:eastAsia="宋体" w:cs="宋体"/>
          <w:color w:val="auto"/>
        </w:rPr>
      </w:pPr>
      <w:r>
        <w:rPr>
          <w:rFonts w:hint="eastAsia" w:ascii="宋体" w:hAnsi="宋体" w:eastAsia="宋体" w:cs="宋体"/>
          <w:color w:val="auto"/>
        </w:rPr>
        <w:t>29．评审委员会组成</w:t>
      </w:r>
    </w:p>
    <w:p w14:paraId="3FD20998">
      <w:pPr>
        <w:ind w:firstLine="470" w:firstLineChars="196"/>
        <w:rPr>
          <w:rFonts w:hint="eastAsia" w:ascii="宋体" w:hAnsi="宋体" w:eastAsia="宋体" w:cs="宋体"/>
          <w:color w:val="auto"/>
        </w:rPr>
      </w:pPr>
      <w:r>
        <w:rPr>
          <w:rFonts w:hint="eastAsia" w:ascii="宋体" w:hAnsi="宋体" w:eastAsia="宋体" w:cs="宋体"/>
          <w:color w:val="auto"/>
        </w:rPr>
        <w:t>29.1网上开标结束后召开评审会议，</w:t>
      </w:r>
      <w:r>
        <w:rPr>
          <w:rFonts w:hint="eastAsia" w:ascii="宋体" w:hAnsi="宋体" w:eastAsia="宋体" w:cs="宋体"/>
          <w:color w:val="auto"/>
          <w:szCs w:val="21"/>
        </w:rPr>
        <w:t>评审委员会</w:t>
      </w:r>
      <w:r>
        <w:rPr>
          <w:rFonts w:hint="eastAsia" w:ascii="宋体" w:hAnsi="宋体" w:eastAsia="宋体" w:cs="宋体"/>
          <w:color w:val="auto"/>
        </w:rPr>
        <w:t>由</w:t>
      </w:r>
      <w:r>
        <w:rPr>
          <w:rFonts w:hint="eastAsia" w:ascii="宋体" w:hAnsi="宋体" w:eastAsia="宋体" w:cs="宋体"/>
          <w:color w:val="auto"/>
          <w:lang w:eastAsia="zh-CN"/>
        </w:rPr>
        <w:t>政府采购代理机构</w:t>
      </w:r>
      <w:r>
        <w:rPr>
          <w:rFonts w:hint="eastAsia" w:ascii="宋体" w:hAnsi="宋体" w:eastAsia="宋体" w:cs="宋体"/>
          <w:color w:val="auto"/>
        </w:rPr>
        <w:t>依法组建，负责评审活动。</w:t>
      </w:r>
    </w:p>
    <w:p w14:paraId="3790928A">
      <w:pPr>
        <w:ind w:firstLine="470" w:firstLineChars="196"/>
        <w:rPr>
          <w:rFonts w:hint="eastAsia" w:ascii="宋体" w:hAnsi="宋体" w:eastAsia="宋体" w:cs="宋体"/>
          <w:color w:val="auto"/>
        </w:rPr>
      </w:pPr>
      <w:bookmarkStart w:id="59" w:name="_Hlk72436580"/>
      <w:r>
        <w:rPr>
          <w:rFonts w:hint="eastAsia" w:ascii="宋体" w:hAnsi="宋体" w:eastAsia="宋体" w:cs="宋体"/>
          <w:color w:val="auto"/>
        </w:rPr>
        <w:t>评审委员会由采购人代表和评审专家组成，成员人数应当为5人以上单数（部分条件下为7人以上单数），其中评审专家不得少于成员总数的三分之二。</w:t>
      </w:r>
      <w:bookmarkEnd w:id="59"/>
      <w:r>
        <w:rPr>
          <w:rFonts w:hint="eastAsia" w:ascii="宋体" w:hAnsi="宋体" w:eastAsia="宋体" w:cs="宋体"/>
          <w:color w:val="auto"/>
        </w:rPr>
        <w:t>评定分离项目评审专家均由评审专家组成。</w:t>
      </w:r>
      <w:r>
        <w:rPr>
          <w:rFonts w:hint="eastAsia" w:ascii="宋体" w:hAnsi="宋体" w:eastAsia="宋体" w:cs="宋体"/>
          <w:color w:val="auto"/>
          <w:szCs w:val="21"/>
        </w:rPr>
        <w:t>评审专家一般是</w:t>
      </w:r>
      <w:r>
        <w:rPr>
          <w:rFonts w:hint="eastAsia" w:ascii="宋体" w:hAnsi="宋体" w:eastAsia="宋体" w:cs="宋体"/>
          <w:color w:val="auto"/>
        </w:rPr>
        <w:t>从深圳市政府采购评审专家库中随机抽取。采购人代表须持本单位签发的《评审授权书》参加评审。</w:t>
      </w:r>
    </w:p>
    <w:p w14:paraId="3604696E">
      <w:pPr>
        <w:ind w:firstLine="470" w:firstLineChars="196"/>
        <w:rPr>
          <w:rFonts w:hint="eastAsia" w:ascii="宋体" w:hAnsi="宋体" w:eastAsia="宋体" w:cs="宋体"/>
          <w:color w:val="auto"/>
        </w:rPr>
      </w:pPr>
      <w:r>
        <w:rPr>
          <w:rFonts w:hint="eastAsia" w:ascii="宋体" w:hAnsi="宋体" w:eastAsia="宋体" w:cs="宋体"/>
          <w:color w:val="auto"/>
        </w:rPr>
        <w:t>29.2评审定标应当遵循公平、公正、科学、择优的原则。</w:t>
      </w:r>
    </w:p>
    <w:p w14:paraId="745C9409">
      <w:pPr>
        <w:ind w:firstLine="470" w:firstLineChars="196"/>
        <w:rPr>
          <w:rFonts w:hint="eastAsia" w:ascii="宋体" w:hAnsi="宋体" w:eastAsia="宋体" w:cs="宋体"/>
          <w:color w:val="auto"/>
        </w:rPr>
      </w:pPr>
      <w:r>
        <w:rPr>
          <w:rFonts w:hint="eastAsia" w:ascii="宋体" w:hAnsi="宋体" w:eastAsia="宋体" w:cs="宋体"/>
          <w:color w:val="auto"/>
        </w:rPr>
        <w:t>29.3评审活动依法进行，任何单位和个人不得非法干预评标过程和结果。</w:t>
      </w:r>
    </w:p>
    <w:p w14:paraId="490A697D">
      <w:pPr>
        <w:ind w:firstLine="470" w:firstLineChars="196"/>
        <w:rPr>
          <w:rFonts w:hint="eastAsia" w:ascii="宋体" w:hAnsi="宋体" w:eastAsia="宋体" w:cs="宋体"/>
          <w:color w:val="auto"/>
        </w:rPr>
      </w:pPr>
      <w:r>
        <w:rPr>
          <w:rFonts w:hint="eastAsia" w:ascii="宋体" w:hAnsi="宋体" w:eastAsia="宋体" w:cs="宋体"/>
          <w:color w:val="auto"/>
        </w:rPr>
        <w:t>29.4评审过程中不允许违背评标程序或采用招标文件未载明的评标方法或评标因素进行评标。</w:t>
      </w:r>
    </w:p>
    <w:p w14:paraId="51A9AD4F">
      <w:pPr>
        <w:ind w:firstLine="470" w:firstLineChars="196"/>
        <w:rPr>
          <w:rFonts w:hint="eastAsia" w:ascii="宋体" w:hAnsi="宋体" w:eastAsia="宋体" w:cs="宋体"/>
          <w:bCs/>
          <w:color w:val="auto"/>
        </w:rPr>
      </w:pPr>
      <w:r>
        <w:rPr>
          <w:rFonts w:hint="eastAsia" w:ascii="宋体" w:hAnsi="宋体" w:eastAsia="宋体" w:cs="宋体"/>
          <w:bCs/>
          <w:color w:val="auto"/>
        </w:rPr>
        <w:t>29.5 开标后，直到签订合同为止，凡属于对投标文件的审查、澄清、评价和比较的有关资料以及中标候选人的推荐情况、与评审有关的其他任何情况均严格保密（</w:t>
      </w:r>
      <w:r>
        <w:rPr>
          <w:rFonts w:hint="eastAsia" w:ascii="宋体" w:hAnsi="宋体" w:eastAsia="宋体" w:cs="宋体"/>
          <w:color w:val="auto"/>
        </w:rPr>
        <w:t>信息公开的内容除外</w:t>
      </w:r>
      <w:r>
        <w:rPr>
          <w:rFonts w:hint="eastAsia" w:ascii="宋体" w:hAnsi="宋体" w:eastAsia="宋体" w:cs="宋体"/>
          <w:bCs/>
          <w:color w:val="auto"/>
        </w:rPr>
        <w:t>）。</w:t>
      </w:r>
    </w:p>
    <w:p w14:paraId="6E20A13A">
      <w:pPr>
        <w:rPr>
          <w:rFonts w:hint="eastAsia" w:ascii="宋体" w:hAnsi="宋体" w:eastAsia="宋体" w:cs="宋体"/>
          <w:color w:val="auto"/>
        </w:rPr>
      </w:pPr>
      <w:r>
        <w:rPr>
          <w:rFonts w:hint="eastAsia" w:ascii="宋体" w:hAnsi="宋体" w:eastAsia="宋体" w:cs="宋体"/>
          <w:color w:val="auto"/>
        </w:rPr>
        <w:t>30．向评审委员会提供的资料</w:t>
      </w:r>
    </w:p>
    <w:p w14:paraId="61FBDCC7">
      <w:pPr>
        <w:ind w:firstLine="470" w:firstLineChars="196"/>
        <w:rPr>
          <w:rFonts w:hint="eastAsia" w:ascii="宋体" w:hAnsi="宋体" w:eastAsia="宋体" w:cs="宋体"/>
          <w:color w:val="auto"/>
        </w:rPr>
      </w:pPr>
      <w:r>
        <w:rPr>
          <w:rFonts w:hint="eastAsia" w:ascii="宋体" w:hAnsi="宋体" w:eastAsia="宋体" w:cs="宋体"/>
          <w:color w:val="auto"/>
        </w:rPr>
        <w:t>30.1公开发布的招标文件，包括图纸、服务清单、答疑文件等；</w:t>
      </w:r>
    </w:p>
    <w:p w14:paraId="2F25CAB5">
      <w:pPr>
        <w:ind w:firstLine="470" w:firstLineChars="196"/>
        <w:rPr>
          <w:rFonts w:hint="eastAsia" w:ascii="宋体" w:hAnsi="宋体" w:eastAsia="宋体" w:cs="宋体"/>
          <w:color w:val="auto"/>
        </w:rPr>
      </w:pPr>
      <w:r>
        <w:rPr>
          <w:rFonts w:hint="eastAsia" w:ascii="宋体" w:hAnsi="宋体" w:eastAsia="宋体" w:cs="宋体"/>
          <w:color w:val="auto"/>
        </w:rPr>
        <w:t>30.2其他评标必须的资料。</w:t>
      </w:r>
    </w:p>
    <w:p w14:paraId="2921AFDB">
      <w:pPr>
        <w:ind w:firstLine="470" w:firstLineChars="196"/>
        <w:rPr>
          <w:rFonts w:hint="eastAsia" w:ascii="宋体" w:hAnsi="宋体" w:eastAsia="宋体" w:cs="宋体"/>
          <w:color w:val="auto"/>
        </w:rPr>
      </w:pPr>
      <w:r>
        <w:rPr>
          <w:rFonts w:hint="eastAsia" w:ascii="宋体" w:hAnsi="宋体" w:eastAsia="宋体" w:cs="宋体"/>
          <w:color w:val="auto"/>
        </w:rPr>
        <w:t>30.3</w:t>
      </w:r>
      <w:r>
        <w:rPr>
          <w:rFonts w:hint="eastAsia" w:ascii="宋体" w:hAnsi="宋体" w:eastAsia="宋体" w:cs="宋体"/>
          <w:color w:val="auto"/>
          <w:szCs w:val="21"/>
        </w:rPr>
        <w:t>评审委员会</w:t>
      </w:r>
      <w:r>
        <w:rPr>
          <w:rFonts w:hint="eastAsia" w:ascii="宋体" w:hAnsi="宋体" w:eastAsia="宋体" w:cs="宋体"/>
          <w:color w:val="auto"/>
        </w:rPr>
        <w:t>应当认真研究招标文件，至少应了解熟悉以下内容：</w:t>
      </w:r>
    </w:p>
    <w:p w14:paraId="29D9BDA4">
      <w:pPr>
        <w:ind w:firstLine="470" w:firstLineChars="196"/>
        <w:rPr>
          <w:rFonts w:hint="eastAsia" w:ascii="宋体" w:hAnsi="宋体" w:eastAsia="宋体" w:cs="宋体"/>
          <w:color w:val="auto"/>
        </w:rPr>
      </w:pPr>
      <w:r>
        <w:rPr>
          <w:rFonts w:hint="eastAsia" w:ascii="宋体" w:hAnsi="宋体" w:eastAsia="宋体" w:cs="宋体"/>
          <w:color w:val="auto"/>
        </w:rPr>
        <w:t>（1）招标的目的；</w:t>
      </w:r>
    </w:p>
    <w:p w14:paraId="24B05888">
      <w:pPr>
        <w:ind w:firstLine="470" w:firstLineChars="196"/>
        <w:rPr>
          <w:rFonts w:hint="eastAsia" w:ascii="宋体" w:hAnsi="宋体" w:eastAsia="宋体" w:cs="宋体"/>
          <w:color w:val="auto"/>
        </w:rPr>
      </w:pPr>
      <w:r>
        <w:rPr>
          <w:rFonts w:hint="eastAsia" w:ascii="宋体" w:hAnsi="宋体" w:eastAsia="宋体" w:cs="宋体"/>
          <w:color w:val="auto"/>
        </w:rPr>
        <w:t>（2）招标项目需求的范围和性质；</w:t>
      </w:r>
    </w:p>
    <w:p w14:paraId="2A438EF1">
      <w:pPr>
        <w:ind w:firstLine="470" w:firstLineChars="196"/>
        <w:rPr>
          <w:rFonts w:hint="eastAsia" w:ascii="宋体" w:hAnsi="宋体" w:eastAsia="宋体" w:cs="宋体"/>
          <w:color w:val="auto"/>
        </w:rPr>
      </w:pPr>
      <w:r>
        <w:rPr>
          <w:rFonts w:hint="eastAsia" w:ascii="宋体" w:hAnsi="宋体" w:eastAsia="宋体" w:cs="宋体"/>
          <w:color w:val="auto"/>
        </w:rPr>
        <w:t>（3）招标文件规定的投标人的资格、财政预算限额、商务条款；</w:t>
      </w:r>
    </w:p>
    <w:p w14:paraId="7762D0E5">
      <w:pPr>
        <w:ind w:firstLine="470" w:firstLineChars="196"/>
        <w:rPr>
          <w:rFonts w:hint="eastAsia" w:ascii="宋体" w:hAnsi="宋体" w:eastAsia="宋体" w:cs="宋体"/>
          <w:color w:val="auto"/>
        </w:rPr>
      </w:pPr>
      <w:r>
        <w:rPr>
          <w:rFonts w:hint="eastAsia" w:ascii="宋体" w:hAnsi="宋体" w:eastAsia="宋体" w:cs="宋体"/>
          <w:color w:val="auto"/>
        </w:rPr>
        <w:t>（4）招标文件规定的评标程序、评标方法和评标因素；</w:t>
      </w:r>
    </w:p>
    <w:p w14:paraId="44E239CF">
      <w:pPr>
        <w:ind w:firstLine="470" w:firstLineChars="196"/>
        <w:rPr>
          <w:rFonts w:hint="eastAsia" w:ascii="宋体" w:hAnsi="宋体" w:eastAsia="宋体" w:cs="宋体"/>
          <w:color w:val="auto"/>
        </w:rPr>
      </w:pPr>
      <w:r>
        <w:rPr>
          <w:rFonts w:hint="eastAsia" w:ascii="宋体" w:hAnsi="宋体" w:eastAsia="宋体" w:cs="宋体"/>
          <w:color w:val="auto"/>
        </w:rPr>
        <w:t>（5）招标文件所列示的资格性审查表及符合性审查表。</w:t>
      </w:r>
    </w:p>
    <w:p w14:paraId="75B4D1A0">
      <w:pPr>
        <w:rPr>
          <w:rFonts w:hint="eastAsia" w:ascii="宋体" w:hAnsi="宋体" w:eastAsia="宋体" w:cs="宋体"/>
          <w:color w:val="auto"/>
        </w:rPr>
      </w:pPr>
      <w:r>
        <w:rPr>
          <w:rFonts w:hint="eastAsia" w:ascii="宋体" w:hAnsi="宋体" w:eastAsia="宋体" w:cs="宋体"/>
          <w:color w:val="auto"/>
        </w:rPr>
        <w:t>31．独立评审</w:t>
      </w:r>
    </w:p>
    <w:p w14:paraId="766CE2D0">
      <w:pPr>
        <w:ind w:firstLine="470" w:firstLineChars="196"/>
        <w:rPr>
          <w:rFonts w:hint="eastAsia" w:ascii="宋体" w:hAnsi="宋体" w:eastAsia="宋体" w:cs="宋体"/>
          <w:bCs/>
          <w:color w:val="auto"/>
        </w:rPr>
      </w:pPr>
      <w:r>
        <w:rPr>
          <w:rFonts w:hint="eastAsia" w:ascii="宋体" w:hAnsi="宋体" w:eastAsia="宋体" w:cs="宋体"/>
          <w:bCs/>
          <w:color w:val="auto"/>
        </w:rPr>
        <w:t>31.1</w:t>
      </w:r>
      <w:r>
        <w:rPr>
          <w:rFonts w:hint="eastAsia" w:ascii="宋体" w:hAnsi="宋体" w:eastAsia="宋体" w:cs="宋体"/>
          <w:color w:val="auto"/>
          <w:szCs w:val="21"/>
        </w:rPr>
        <w:t>评审委员会</w:t>
      </w:r>
      <w:r>
        <w:rPr>
          <w:rFonts w:hint="eastAsia" w:ascii="宋体" w:hAnsi="宋体" w:eastAsia="宋体" w:cs="宋体"/>
          <w:bCs/>
          <w:color w:val="auto"/>
        </w:rPr>
        <w:t>成员的评标活动应当独立进行，并应遵循投标文件初审、澄清有关问题、比较与评价、确定中标供应商、编写评审报告的工作程序。</w:t>
      </w:r>
    </w:p>
    <w:p w14:paraId="2664EDF9">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评审程序及评审方法</w:t>
      </w:r>
    </w:p>
    <w:p w14:paraId="0B4B24B6">
      <w:pPr>
        <w:rPr>
          <w:rFonts w:hint="eastAsia" w:ascii="宋体" w:hAnsi="宋体" w:eastAsia="宋体" w:cs="宋体"/>
          <w:color w:val="auto"/>
        </w:rPr>
      </w:pPr>
      <w:r>
        <w:rPr>
          <w:rFonts w:hint="eastAsia" w:ascii="宋体" w:hAnsi="宋体" w:eastAsia="宋体" w:cs="宋体"/>
          <w:color w:val="auto"/>
        </w:rPr>
        <w:t>32．投标文件初审</w:t>
      </w:r>
    </w:p>
    <w:p w14:paraId="1A24CCBA">
      <w:pPr>
        <w:ind w:firstLine="470" w:firstLineChars="196"/>
        <w:rPr>
          <w:rFonts w:hint="eastAsia" w:ascii="宋体" w:hAnsi="宋体" w:eastAsia="宋体" w:cs="宋体"/>
          <w:color w:val="auto"/>
        </w:rPr>
      </w:pPr>
      <w:r>
        <w:rPr>
          <w:rFonts w:hint="eastAsia" w:ascii="宋体" w:hAnsi="宋体" w:eastAsia="宋体" w:cs="宋体"/>
          <w:color w:val="auto"/>
        </w:rPr>
        <w:t>32.1投标文件初审包括资格性审查和符合性审查。</w:t>
      </w:r>
    </w:p>
    <w:p w14:paraId="29F3D1D3">
      <w:pPr>
        <w:ind w:firstLine="470" w:firstLineChars="196"/>
        <w:rPr>
          <w:rFonts w:hint="eastAsia" w:ascii="宋体" w:hAnsi="宋体" w:eastAsia="宋体" w:cs="宋体"/>
          <w:color w:val="auto"/>
        </w:rPr>
      </w:pPr>
      <w:r>
        <w:rPr>
          <w:rFonts w:hint="eastAsia" w:ascii="宋体" w:hAnsi="宋体" w:eastAsia="宋体" w:cs="宋体"/>
          <w:color w:val="auto"/>
        </w:rPr>
        <w:t>资格性审查：依据法律法规和招标文件的规定，对投标文件中的资格证明等进行审查，以确定投标供应商是否具备投标资格。</w:t>
      </w:r>
    </w:p>
    <w:p w14:paraId="4C9E3CA1">
      <w:pPr>
        <w:ind w:firstLine="470" w:firstLineChars="196"/>
        <w:rPr>
          <w:rFonts w:hint="eastAsia" w:ascii="宋体" w:hAnsi="宋体" w:eastAsia="宋体" w:cs="宋体"/>
          <w:color w:val="auto"/>
        </w:rPr>
      </w:pPr>
      <w:r>
        <w:rPr>
          <w:rFonts w:hint="eastAsia" w:ascii="宋体" w:hAnsi="宋体" w:eastAsia="宋体" w:cs="宋体"/>
          <w:color w:val="auto"/>
        </w:rPr>
        <w:t>符合性审查：依据招标文件的规定，对投标文件的有效性、完整性和对招标文件的响应程度进行审查，以确定是否满足符合性审查的要求。</w:t>
      </w:r>
    </w:p>
    <w:p w14:paraId="3F077686">
      <w:pPr>
        <w:ind w:firstLine="470" w:firstLineChars="196"/>
        <w:rPr>
          <w:rFonts w:hint="eastAsia" w:ascii="宋体" w:hAnsi="宋体" w:eastAsia="宋体" w:cs="宋体"/>
          <w:color w:val="auto"/>
        </w:rPr>
      </w:pPr>
      <w:r>
        <w:rPr>
          <w:rFonts w:hint="eastAsia" w:ascii="宋体" w:hAnsi="宋体" w:eastAsia="宋体" w:cs="宋体"/>
          <w:color w:val="auto"/>
        </w:rPr>
        <w:t>32.2 投标文件初审内容请详见《资格性审查表》和《符合性审查表》部分。投标人若有一条审查不通过则按投标无效处理。</w:t>
      </w:r>
    </w:p>
    <w:p w14:paraId="797EF5C9">
      <w:pPr>
        <w:ind w:firstLine="470" w:firstLineChars="196"/>
        <w:rPr>
          <w:rFonts w:hint="eastAsia" w:ascii="宋体" w:hAnsi="宋体" w:eastAsia="宋体" w:cs="宋体"/>
          <w:bCs/>
          <w:color w:val="auto"/>
        </w:rPr>
      </w:pPr>
      <w:r>
        <w:rPr>
          <w:rFonts w:hint="eastAsia" w:ascii="宋体" w:hAnsi="宋体" w:eastAsia="宋体" w:cs="宋体"/>
          <w:bCs/>
          <w:color w:val="auto"/>
        </w:rPr>
        <w:t>32.3 投标文件初审中关于供应商家数的计算:</w:t>
      </w:r>
    </w:p>
    <w:p w14:paraId="72E714AE">
      <w:pPr>
        <w:ind w:firstLine="470" w:firstLineChars="196"/>
        <w:rPr>
          <w:rFonts w:hint="eastAsia" w:ascii="宋体" w:hAnsi="宋体" w:eastAsia="宋体" w:cs="宋体"/>
          <w:bCs/>
          <w:color w:val="auto"/>
        </w:rPr>
      </w:pPr>
      <w:r>
        <w:rPr>
          <w:rFonts w:hint="eastAsia" w:ascii="宋体" w:hAnsi="宋体" w:eastAsia="宋体" w:cs="宋体"/>
          <w:bCs/>
          <w:color w:val="auto"/>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AD7DAE3">
      <w:pPr>
        <w:ind w:firstLine="470" w:firstLineChars="196"/>
        <w:rPr>
          <w:rFonts w:hint="eastAsia" w:ascii="宋体" w:hAnsi="宋体" w:eastAsia="宋体" w:cs="宋体"/>
          <w:bCs/>
          <w:color w:val="auto"/>
        </w:rPr>
      </w:pPr>
      <w:r>
        <w:rPr>
          <w:rFonts w:hint="eastAsia" w:ascii="宋体" w:hAnsi="宋体" w:eastAsia="宋体" w:cs="宋体"/>
          <w:bCs/>
          <w:color w:val="auto"/>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宋体"/>
          <w:bCs/>
          <w:color w:val="auto"/>
          <w:szCs w:val="21"/>
        </w:rPr>
        <w:t>评审委员会</w:t>
      </w:r>
      <w:r>
        <w:rPr>
          <w:rFonts w:hint="eastAsia" w:ascii="宋体" w:hAnsi="宋体" w:eastAsia="宋体" w:cs="宋体"/>
          <w:bCs/>
          <w:color w:val="auto"/>
        </w:rPr>
        <w:t>按照招标文件规定的方式确定一个投标人获得中标人推荐资格，招标文件未规定的采取随机抽取方式确定，其他同品牌投标人不作为中标候选人。</w:t>
      </w:r>
    </w:p>
    <w:p w14:paraId="4ADE048C">
      <w:pPr>
        <w:ind w:firstLine="470" w:firstLineChars="196"/>
        <w:rPr>
          <w:rFonts w:hint="eastAsia" w:ascii="宋体" w:hAnsi="宋体" w:eastAsia="宋体" w:cs="宋体"/>
          <w:bCs/>
          <w:color w:val="auto"/>
        </w:rPr>
      </w:pPr>
      <w:r>
        <w:rPr>
          <w:rFonts w:hint="eastAsia" w:ascii="宋体" w:hAnsi="宋体" w:eastAsia="宋体" w:cs="宋体"/>
          <w:bCs/>
          <w:color w:val="auto"/>
        </w:rPr>
        <w:t>32.3.3非单一产品采购项目，采购人应当根据采购项目技术构成、产品价格比重等合理确定核心产品，并在招标文件中载明。多家投标人提供的核心产品品牌相同的，按前两款规定处理。</w:t>
      </w:r>
    </w:p>
    <w:p w14:paraId="3344CD90">
      <w:pPr>
        <w:ind w:firstLine="470" w:firstLineChars="196"/>
        <w:rPr>
          <w:rFonts w:hint="eastAsia" w:ascii="宋体" w:hAnsi="宋体" w:eastAsia="宋体" w:cs="宋体"/>
          <w:color w:val="auto"/>
        </w:rPr>
      </w:pPr>
      <w:r>
        <w:rPr>
          <w:rFonts w:hint="eastAsia" w:ascii="宋体" w:hAnsi="宋体" w:eastAsia="宋体" w:cs="宋体"/>
          <w:color w:val="auto"/>
        </w:rPr>
        <w:t>32.4投标人投标文件作无效处理的情形，具体包括但不限于以下：</w:t>
      </w:r>
    </w:p>
    <w:p w14:paraId="443BE50B">
      <w:pPr>
        <w:ind w:firstLine="470" w:firstLineChars="196"/>
        <w:rPr>
          <w:rFonts w:hint="eastAsia" w:ascii="宋体" w:hAnsi="宋体" w:eastAsia="宋体" w:cs="宋体"/>
          <w:color w:val="auto"/>
        </w:rPr>
      </w:pPr>
      <w:r>
        <w:rPr>
          <w:rFonts w:hint="eastAsia" w:ascii="宋体" w:hAnsi="宋体" w:eastAsia="宋体" w:cs="宋体"/>
          <w:color w:val="auto"/>
        </w:rPr>
        <w:t>32.4.1不同投标人的投标文件由同一单位或者同一个人编制，或者由同一个人分阶段参与编制；</w:t>
      </w:r>
    </w:p>
    <w:p w14:paraId="764F77E5">
      <w:pPr>
        <w:ind w:firstLine="470" w:firstLineChars="196"/>
        <w:rPr>
          <w:rFonts w:hint="eastAsia" w:ascii="宋体" w:hAnsi="宋体" w:eastAsia="宋体" w:cs="宋体"/>
          <w:color w:val="auto"/>
        </w:rPr>
      </w:pPr>
      <w:r>
        <w:rPr>
          <w:rFonts w:hint="eastAsia" w:ascii="宋体" w:hAnsi="宋体" w:eastAsia="宋体" w:cs="宋体"/>
          <w:color w:val="auto"/>
        </w:rPr>
        <w:t>32.4.2不同投标人委托同一单位或者个人办理投标事宜；</w:t>
      </w:r>
    </w:p>
    <w:p w14:paraId="591161D2">
      <w:pPr>
        <w:ind w:firstLine="470" w:firstLineChars="196"/>
        <w:rPr>
          <w:rFonts w:hint="eastAsia" w:ascii="宋体" w:hAnsi="宋体" w:eastAsia="宋体" w:cs="宋体"/>
          <w:color w:val="auto"/>
        </w:rPr>
      </w:pPr>
      <w:r>
        <w:rPr>
          <w:rFonts w:hint="eastAsia" w:ascii="宋体" w:hAnsi="宋体" w:eastAsia="宋体" w:cs="宋体"/>
          <w:color w:val="auto"/>
        </w:rPr>
        <w:t>32.4.3不同投标人的投标文件载明的项目管理成员或者联系人员为同一人；</w:t>
      </w:r>
    </w:p>
    <w:p w14:paraId="16849911">
      <w:pPr>
        <w:ind w:firstLine="470" w:firstLineChars="196"/>
        <w:rPr>
          <w:rFonts w:hint="eastAsia" w:ascii="宋体" w:hAnsi="宋体" w:eastAsia="宋体" w:cs="宋体"/>
          <w:color w:val="auto"/>
        </w:rPr>
      </w:pPr>
      <w:r>
        <w:rPr>
          <w:rFonts w:hint="eastAsia" w:ascii="宋体" w:hAnsi="宋体" w:eastAsia="宋体" w:cs="宋体"/>
          <w:color w:val="auto"/>
        </w:rPr>
        <w:t>32.4.4不同投标人的投标文件异常一致或者投标报价呈规律性差异；</w:t>
      </w:r>
    </w:p>
    <w:p w14:paraId="5B833A8E">
      <w:pPr>
        <w:ind w:firstLine="470" w:firstLineChars="196"/>
        <w:rPr>
          <w:rFonts w:hint="eastAsia" w:ascii="宋体" w:hAnsi="宋体" w:eastAsia="宋体" w:cs="宋体"/>
          <w:color w:val="auto"/>
        </w:rPr>
      </w:pPr>
      <w:r>
        <w:rPr>
          <w:rFonts w:hint="eastAsia" w:ascii="宋体" w:hAnsi="宋体" w:eastAsia="宋体" w:cs="宋体"/>
          <w:color w:val="auto"/>
        </w:rPr>
        <w:t>32.4.5不同投标供应商的投标文件或部分投标文件相互混装；</w:t>
      </w:r>
    </w:p>
    <w:p w14:paraId="2C68558F">
      <w:pPr>
        <w:ind w:firstLine="470" w:firstLineChars="196"/>
        <w:rPr>
          <w:rFonts w:hint="eastAsia" w:ascii="宋体" w:hAnsi="宋体" w:eastAsia="宋体" w:cs="宋体"/>
          <w:color w:val="auto"/>
        </w:rPr>
      </w:pPr>
      <w:r>
        <w:rPr>
          <w:rFonts w:hint="eastAsia" w:ascii="宋体" w:hAnsi="宋体" w:eastAsia="宋体" w:cs="宋体"/>
          <w:color w:val="auto"/>
        </w:rPr>
        <w:t>32.4.6投标供应商之间相互约定给予未中标的供应商利益补偿；</w:t>
      </w:r>
    </w:p>
    <w:p w14:paraId="0D2DA1D9">
      <w:pPr>
        <w:ind w:firstLine="470" w:firstLineChars="196"/>
        <w:rPr>
          <w:rFonts w:hint="eastAsia" w:ascii="宋体" w:hAnsi="宋体" w:eastAsia="宋体" w:cs="宋体"/>
          <w:color w:val="auto"/>
        </w:rPr>
      </w:pPr>
      <w:r>
        <w:rPr>
          <w:rFonts w:hint="eastAsia" w:ascii="宋体" w:hAnsi="宋体" w:eastAsia="宋体" w:cs="宋体"/>
          <w:color w:val="auto"/>
        </w:rPr>
        <w:t>32.4.7不同投标供应商的法定代表人、主要经营负责人、项目投标授权代表人、项目负责人、主要技术人员为同一人、属同一单位或者同一单位缴纳社会保险；</w:t>
      </w:r>
    </w:p>
    <w:p w14:paraId="61207054">
      <w:pPr>
        <w:ind w:firstLine="470" w:firstLineChars="196"/>
        <w:rPr>
          <w:rFonts w:hint="eastAsia" w:ascii="宋体" w:hAnsi="宋体" w:eastAsia="宋体" w:cs="宋体"/>
          <w:color w:val="auto"/>
        </w:rPr>
      </w:pPr>
      <w:r>
        <w:rPr>
          <w:rFonts w:hint="eastAsia" w:ascii="宋体" w:hAnsi="宋体" w:eastAsia="宋体" w:cs="宋体"/>
          <w:color w:val="auto"/>
        </w:rPr>
        <w:t>32.4.8不同投标供应商的投标文件内容存在非正常一致；</w:t>
      </w:r>
    </w:p>
    <w:p w14:paraId="3308567D">
      <w:pPr>
        <w:ind w:firstLine="470" w:firstLineChars="196"/>
        <w:rPr>
          <w:rFonts w:hint="eastAsia" w:ascii="宋体" w:hAnsi="宋体" w:eastAsia="宋体" w:cs="宋体"/>
          <w:color w:val="auto"/>
        </w:rPr>
      </w:pPr>
      <w:r>
        <w:rPr>
          <w:rFonts w:hint="eastAsia" w:ascii="宋体" w:hAnsi="宋体" w:eastAsia="宋体" w:cs="宋体"/>
          <w:color w:val="auto"/>
        </w:rPr>
        <w:t>32.4.9在同一单位工作人员为两家以上（含两家）供应商进行同一项投标活动；</w:t>
      </w:r>
    </w:p>
    <w:p w14:paraId="3CD936F5">
      <w:pPr>
        <w:ind w:firstLine="470" w:firstLineChars="196"/>
        <w:rPr>
          <w:rFonts w:hint="eastAsia" w:ascii="宋体" w:hAnsi="宋体" w:eastAsia="宋体" w:cs="宋体"/>
          <w:color w:val="auto"/>
        </w:rPr>
      </w:pPr>
      <w:r>
        <w:rPr>
          <w:rFonts w:hint="eastAsia" w:ascii="宋体" w:hAnsi="宋体" w:eastAsia="宋体" w:cs="宋体"/>
          <w:color w:val="auto"/>
        </w:rPr>
        <w:t>32.4.10主管部门依照法律、法规认定的其他情形。</w:t>
      </w:r>
    </w:p>
    <w:p w14:paraId="7D574DF7">
      <w:pPr>
        <w:ind w:firstLine="470" w:firstLineChars="196"/>
        <w:rPr>
          <w:rFonts w:hint="eastAsia" w:ascii="宋体" w:hAnsi="宋体" w:eastAsia="宋体" w:cs="宋体"/>
          <w:color w:val="auto"/>
        </w:rPr>
      </w:pPr>
      <w:r>
        <w:rPr>
          <w:rFonts w:hint="eastAsia" w:ascii="宋体" w:hAnsi="宋体" w:eastAsia="宋体" w:cs="宋体"/>
          <w:color w:val="auto"/>
        </w:rPr>
        <w:t>32.5对不属于《资格性审查表》和《符合性审查表》所列的其他情形，除专用条款另有规定和32.4条款所列情形外，不得作为投标无效的理由。</w:t>
      </w:r>
    </w:p>
    <w:p w14:paraId="2BCBD140">
      <w:pPr>
        <w:rPr>
          <w:rFonts w:hint="eastAsia" w:ascii="宋体" w:hAnsi="宋体" w:eastAsia="宋体" w:cs="宋体"/>
          <w:color w:val="auto"/>
        </w:rPr>
      </w:pPr>
      <w:r>
        <w:rPr>
          <w:rFonts w:hint="eastAsia" w:ascii="宋体" w:hAnsi="宋体" w:eastAsia="宋体" w:cs="宋体"/>
          <w:color w:val="auto"/>
        </w:rPr>
        <w:t>33．澄清有关问题</w:t>
      </w:r>
    </w:p>
    <w:p w14:paraId="36ADA020">
      <w:pPr>
        <w:ind w:firstLine="470" w:firstLineChars="196"/>
        <w:rPr>
          <w:rFonts w:hint="eastAsia" w:ascii="宋体" w:hAnsi="宋体" w:eastAsia="宋体" w:cs="宋体"/>
          <w:color w:val="auto"/>
        </w:rPr>
      </w:pPr>
      <w:bookmarkStart w:id="60" w:name="_Hlk71407321"/>
      <w:r>
        <w:rPr>
          <w:rFonts w:hint="eastAsia" w:ascii="宋体" w:hAnsi="宋体" w:eastAsia="宋体" w:cs="宋体"/>
          <w:color w:val="auto"/>
        </w:rPr>
        <w:t>33.1对招标文件中描述有歧义或前后不一致的地方（不含</w:t>
      </w:r>
      <w:r>
        <w:rPr>
          <w:rFonts w:hint="eastAsia" w:ascii="宋体" w:hAnsi="宋体" w:eastAsia="宋体" w:cs="宋体"/>
          <w:color w:val="auto"/>
          <w:szCs w:val="21"/>
        </w:rPr>
        <w:t>招标文件存在歧义、重大缺陷导致评审工作无法进行的情况）</w:t>
      </w:r>
      <w:r>
        <w:rPr>
          <w:rFonts w:hint="eastAsia" w:ascii="宋体" w:hAnsi="宋体" w:eastAsia="宋体" w:cs="宋体"/>
          <w:color w:val="auto"/>
        </w:rPr>
        <w:t>，评审委员会有权进行评判，但对同一条款的评判应适用于每个投标人。</w:t>
      </w:r>
      <w:bookmarkEnd w:id="60"/>
    </w:p>
    <w:p w14:paraId="4239DA05">
      <w:pPr>
        <w:ind w:firstLine="470" w:firstLineChars="196"/>
        <w:rPr>
          <w:rFonts w:hint="eastAsia" w:ascii="宋体" w:hAnsi="宋体" w:eastAsia="宋体" w:cs="宋体"/>
          <w:color w:val="auto"/>
        </w:rPr>
      </w:pPr>
      <w:r>
        <w:rPr>
          <w:rFonts w:hint="eastAsia" w:ascii="宋体" w:hAnsi="宋体" w:eastAsia="宋体" w:cs="宋体"/>
          <w:color w:val="auto"/>
        </w:rPr>
        <w:t>33.2</w:t>
      </w:r>
      <w:r>
        <w:rPr>
          <w:rFonts w:hint="eastAsia" w:ascii="宋体" w:hAnsi="宋体" w:eastAsia="宋体" w:cs="宋体"/>
          <w:color w:val="auto"/>
          <w:szCs w:val="21"/>
        </w:rPr>
        <w:t>评审委员会发现招标文件存在歧义、重大缺陷导致评审工作无法进行，或者招标文件内容违反国家有关强制性规定的，应当停止评审工作，与招标机构沟通并作书面记录。经确认后，项目应当修改招标文件，重新组织采购活动。</w:t>
      </w:r>
    </w:p>
    <w:p w14:paraId="7C194A01">
      <w:pPr>
        <w:ind w:firstLine="470" w:firstLineChars="196"/>
        <w:rPr>
          <w:rFonts w:hint="eastAsia" w:ascii="宋体" w:hAnsi="宋体" w:eastAsia="宋体" w:cs="宋体"/>
          <w:color w:val="auto"/>
        </w:rPr>
      </w:pPr>
      <w:r>
        <w:rPr>
          <w:rFonts w:hint="eastAsia" w:ascii="宋体" w:hAnsi="宋体" w:eastAsia="宋体" w:cs="宋体"/>
          <w:color w:val="auto"/>
        </w:rPr>
        <w:t>33.3对于投标文件中含义不明确、同类问题表述不一致或者有明显文字和计算错误的内容，评审委员会应当以书面形式要求投标人作出必要的澄清、说明或者补正。</w:t>
      </w:r>
    </w:p>
    <w:p w14:paraId="5174B01F">
      <w:pPr>
        <w:ind w:firstLine="470" w:firstLineChars="196"/>
        <w:rPr>
          <w:rFonts w:hint="eastAsia" w:ascii="宋体" w:hAnsi="宋体" w:eastAsia="宋体" w:cs="宋体"/>
          <w:color w:val="auto"/>
        </w:rPr>
      </w:pPr>
      <w:r>
        <w:rPr>
          <w:rFonts w:hint="eastAsia" w:ascii="宋体" w:hAnsi="宋体" w:eastAsia="宋体" w:cs="宋体"/>
          <w:color w:val="auto"/>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5DDEDB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根据本通用条款第34条，凡属于评审委员会在评审中发现的算术错误进行核实的修改不在此列。</w:t>
      </w:r>
    </w:p>
    <w:p w14:paraId="3686A763">
      <w:pPr>
        <w:rPr>
          <w:rFonts w:hint="eastAsia" w:ascii="宋体" w:hAnsi="宋体" w:eastAsia="宋体" w:cs="宋体"/>
          <w:color w:val="auto"/>
        </w:rPr>
      </w:pPr>
      <w:bookmarkStart w:id="61" w:name="_Toc73521669"/>
      <w:bookmarkStart w:id="62" w:name="_Toc73521581"/>
      <w:bookmarkStart w:id="63" w:name="_Toc73517673"/>
      <w:bookmarkStart w:id="64" w:name="_Toc73518151"/>
      <w:bookmarkStart w:id="65" w:name="_Toc100052400"/>
      <w:r>
        <w:rPr>
          <w:rFonts w:hint="eastAsia" w:ascii="宋体" w:hAnsi="宋体" w:eastAsia="宋体" w:cs="宋体"/>
          <w:color w:val="auto"/>
        </w:rPr>
        <w:t>34．错误的修正</w:t>
      </w:r>
      <w:bookmarkEnd w:id="61"/>
      <w:bookmarkEnd w:id="62"/>
      <w:bookmarkEnd w:id="63"/>
      <w:bookmarkEnd w:id="64"/>
      <w:bookmarkEnd w:id="65"/>
    </w:p>
    <w:p w14:paraId="13E0888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投标文件报价出现前后不一致的，除专用条款另有规定外，按照下列规定修正：</w:t>
      </w:r>
    </w:p>
    <w:p w14:paraId="7890D1E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34.1投标文件中开标一览表投标报价内容与投标文件中投标报价相应内容不一致的，以开标一览表为准；</w:t>
      </w:r>
    </w:p>
    <w:p w14:paraId="4776879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34.2大写金额和小写金额不一致的，以大写金额为准；</w:t>
      </w:r>
    </w:p>
    <w:p w14:paraId="7E008A3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34.3单价金额小数点或者百分比有明显错位，以开标一览表的总价为准，并修改单价；</w:t>
      </w:r>
    </w:p>
    <w:p w14:paraId="34B8573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34.4总价金额与按单价汇总金额不一致的，以单价金额计算结果为准。</w:t>
      </w:r>
    </w:p>
    <w:p w14:paraId="0EA8D42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34.5同时出现两种以上不一致的，按照前款规定的顺序修正。修正后的报价按照本通用条款33条的规定，经投标人确认后产生约束力，投标人不确认的，其投标无效。</w:t>
      </w:r>
    </w:p>
    <w:p w14:paraId="334271F7">
      <w:pPr>
        <w:rPr>
          <w:rFonts w:hint="eastAsia" w:ascii="宋体" w:hAnsi="宋体" w:eastAsia="宋体" w:cs="宋体"/>
          <w:color w:val="auto"/>
        </w:rPr>
      </w:pPr>
      <w:r>
        <w:rPr>
          <w:rFonts w:hint="eastAsia" w:ascii="宋体" w:hAnsi="宋体" w:eastAsia="宋体" w:cs="宋体"/>
          <w:color w:val="auto"/>
        </w:rPr>
        <w:t>35．投标文件的比较与评价</w:t>
      </w:r>
    </w:p>
    <w:p w14:paraId="7A1488C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4C28B4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评审委员会成员对需要共同认定的事项存在争议的，应当按照少数服从多数的原则作出结论。持不同意见的评审委员会成员应当书面作出说明，否则视为无异议。</w:t>
      </w:r>
    </w:p>
    <w:p w14:paraId="7985B057">
      <w:pPr>
        <w:rPr>
          <w:rFonts w:hint="eastAsia" w:ascii="宋体" w:hAnsi="宋体" w:eastAsia="宋体" w:cs="宋体"/>
          <w:color w:val="auto"/>
        </w:rPr>
      </w:pPr>
      <w:r>
        <w:rPr>
          <w:rFonts w:hint="eastAsia" w:ascii="宋体" w:hAnsi="宋体" w:eastAsia="宋体" w:cs="宋体"/>
          <w:color w:val="auto"/>
        </w:rPr>
        <w:t>36. 实地考察或资料查验</w:t>
      </w:r>
    </w:p>
    <w:p w14:paraId="578CD25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36.1在评审过程中，评审委员会有权决定是否对本项目投标人进行实地考察或资料查验（原件）。投标人应随时做好接受实地考察或资料查验的准备。</w:t>
      </w:r>
    </w:p>
    <w:p w14:paraId="632EEAE2">
      <w:pPr>
        <w:rPr>
          <w:rFonts w:hint="eastAsia" w:ascii="宋体" w:hAnsi="宋体" w:eastAsia="宋体" w:cs="宋体"/>
          <w:color w:val="auto"/>
        </w:rPr>
      </w:pPr>
      <w:r>
        <w:rPr>
          <w:rFonts w:hint="eastAsia" w:ascii="宋体" w:hAnsi="宋体" w:eastAsia="宋体" w:cs="宋体"/>
          <w:color w:val="auto"/>
        </w:rPr>
        <w:t>37．评审方法</w:t>
      </w:r>
    </w:p>
    <w:p w14:paraId="33B88C2E">
      <w:pPr>
        <w:ind w:firstLine="472" w:firstLineChars="196"/>
        <w:rPr>
          <w:rFonts w:hint="eastAsia" w:ascii="宋体" w:hAnsi="宋体" w:eastAsia="宋体" w:cs="宋体"/>
          <w:b/>
          <w:bCs/>
          <w:color w:val="auto"/>
          <w:szCs w:val="21"/>
        </w:rPr>
      </w:pPr>
      <w:r>
        <w:rPr>
          <w:rFonts w:hint="eastAsia" w:ascii="宋体" w:hAnsi="宋体" w:eastAsia="宋体" w:cs="宋体"/>
          <w:b/>
          <w:bCs/>
          <w:color w:val="auto"/>
          <w:szCs w:val="21"/>
        </w:rPr>
        <w:t>37.1.1最低价法</w:t>
      </w:r>
    </w:p>
    <w:p w14:paraId="46097C91">
      <w:pPr>
        <w:ind w:firstLine="470" w:firstLineChars="196"/>
        <w:rPr>
          <w:rFonts w:hint="eastAsia" w:ascii="宋体" w:hAnsi="宋体" w:eastAsia="宋体" w:cs="宋体"/>
          <w:color w:val="auto"/>
        </w:rPr>
      </w:pPr>
      <w:bookmarkStart w:id="66" w:name="_Hlk72438142"/>
      <w:r>
        <w:rPr>
          <w:rFonts w:hint="eastAsia" w:ascii="宋体" w:hAnsi="宋体" w:eastAsia="宋体" w:cs="宋体"/>
          <w:color w:val="auto"/>
        </w:rPr>
        <w:t>最低价法，是指完全满足招标文件实质性要求，按照报价由低到高的顺序，依据招标文件中规定的数量或者比例推荐候选中标供应商。</w:t>
      </w:r>
    </w:p>
    <w:p w14:paraId="1F91828D">
      <w:pPr>
        <w:ind w:firstLine="472" w:firstLineChars="196"/>
        <w:rPr>
          <w:rFonts w:hint="eastAsia" w:ascii="宋体" w:hAnsi="宋体" w:eastAsia="宋体" w:cs="宋体"/>
          <w:b/>
          <w:bCs/>
          <w:color w:val="auto"/>
          <w:szCs w:val="21"/>
        </w:rPr>
      </w:pPr>
      <w:r>
        <w:rPr>
          <w:rFonts w:hint="eastAsia" w:ascii="宋体" w:hAnsi="宋体" w:eastAsia="宋体" w:cs="宋体"/>
          <w:b/>
          <w:bCs/>
          <w:color w:val="auto"/>
          <w:szCs w:val="21"/>
        </w:rPr>
        <w:t>37.1.2综合评分法</w:t>
      </w:r>
    </w:p>
    <w:p w14:paraId="71E9061E">
      <w:pPr>
        <w:ind w:firstLine="470" w:firstLineChars="196"/>
        <w:rPr>
          <w:rFonts w:hint="eastAsia" w:ascii="宋体" w:hAnsi="宋体" w:eastAsia="宋体" w:cs="宋体"/>
          <w:color w:val="auto"/>
        </w:rPr>
      </w:pPr>
      <w:r>
        <w:rPr>
          <w:rFonts w:hint="eastAsia" w:ascii="宋体" w:hAnsi="宋体" w:eastAsia="宋体" w:cs="宋体"/>
          <w:color w:val="auto"/>
        </w:rPr>
        <w:t>综合评分法，是指在满足招标文件全部实质性要求的前提下，按照招标文件中规定的各项因素进行综合评审，评审总得分排名前列的投标人，作为推荐的候选中标供应商。</w:t>
      </w:r>
      <w:bookmarkEnd w:id="66"/>
    </w:p>
    <w:p w14:paraId="2E1CEABB">
      <w:pPr>
        <w:ind w:firstLine="472" w:firstLineChars="196"/>
        <w:rPr>
          <w:rFonts w:hint="eastAsia" w:ascii="宋体" w:hAnsi="宋体" w:eastAsia="宋体" w:cs="宋体"/>
          <w:b/>
          <w:bCs/>
          <w:color w:val="auto"/>
          <w:szCs w:val="21"/>
        </w:rPr>
      </w:pPr>
      <w:r>
        <w:rPr>
          <w:rFonts w:hint="eastAsia" w:ascii="宋体" w:hAnsi="宋体" w:eastAsia="宋体" w:cs="宋体"/>
          <w:b/>
          <w:bCs/>
          <w:color w:val="auto"/>
          <w:szCs w:val="21"/>
        </w:rPr>
        <w:t>37.2 本项目采用的评审方法见本项目招标文件第一册“专用条款”的相关内容。</w:t>
      </w:r>
    </w:p>
    <w:p w14:paraId="76825FBC">
      <w:pPr>
        <w:ind w:firstLine="472" w:firstLineChars="196"/>
        <w:rPr>
          <w:rFonts w:hint="eastAsia" w:ascii="宋体" w:hAnsi="宋体" w:eastAsia="宋体" w:cs="宋体"/>
          <w:b/>
          <w:bCs/>
          <w:color w:val="auto"/>
          <w:szCs w:val="21"/>
        </w:rPr>
      </w:pPr>
      <w:r>
        <w:rPr>
          <w:rFonts w:hint="eastAsia" w:ascii="宋体" w:hAnsi="宋体" w:eastAsia="宋体" w:cs="宋体"/>
          <w:b/>
          <w:bCs/>
          <w:color w:val="auto"/>
          <w:szCs w:val="21"/>
        </w:rPr>
        <w:t>37.3重新评审的情形</w:t>
      </w:r>
    </w:p>
    <w:p w14:paraId="1AC17D95">
      <w:pPr>
        <w:ind w:firstLine="470" w:firstLineChars="196"/>
        <w:rPr>
          <w:rFonts w:hint="eastAsia" w:ascii="宋体" w:hAnsi="宋体" w:eastAsia="宋体" w:cs="宋体"/>
          <w:b/>
          <w:bCs/>
          <w:color w:val="auto"/>
          <w:szCs w:val="21"/>
        </w:rPr>
      </w:pPr>
      <w:r>
        <w:rPr>
          <w:rFonts w:hint="eastAsia" w:ascii="宋体" w:hAnsi="宋体" w:eastAsia="宋体" w:cs="宋体"/>
          <w:color w:val="auto"/>
          <w:szCs w:val="21"/>
        </w:rPr>
        <w:t>评审结果汇总完成后，除下列情形外，任何人不得修改评审结果：</w:t>
      </w:r>
    </w:p>
    <w:p w14:paraId="5BD70A8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37.3.1分值汇总计算错误的；</w:t>
      </w:r>
    </w:p>
    <w:p w14:paraId="3F81F16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37.3.2分项评分超出评分标准范围的；</w:t>
      </w:r>
    </w:p>
    <w:p w14:paraId="6D5C248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37.3.3评审委员会成员对客观评审因素评分不一致的；</w:t>
      </w:r>
    </w:p>
    <w:p w14:paraId="7B84152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37.3.4经评审委员会认定评分畸高、畸低的。</w:t>
      </w:r>
    </w:p>
    <w:p w14:paraId="178CEA1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BBF06F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投标人对本条第一款情形提出质疑的，采购人或者采购代理机构可以组织原评审委员会进行重新评审，重新评审改变评审结果的，应当书面报告本级财政部门。</w:t>
      </w:r>
    </w:p>
    <w:p w14:paraId="727980F9">
      <w:pPr>
        <w:ind w:firstLine="472" w:firstLineChars="196"/>
        <w:rPr>
          <w:rFonts w:hint="eastAsia" w:ascii="宋体" w:hAnsi="宋体" w:eastAsia="宋体" w:cs="宋体"/>
          <w:b/>
          <w:bCs/>
          <w:color w:val="auto"/>
          <w:szCs w:val="21"/>
        </w:rPr>
      </w:pPr>
      <w:r>
        <w:rPr>
          <w:rFonts w:hint="eastAsia" w:ascii="宋体" w:hAnsi="宋体" w:eastAsia="宋体" w:cs="宋体"/>
          <w:b/>
          <w:bCs/>
          <w:color w:val="auto"/>
          <w:szCs w:val="21"/>
        </w:rPr>
        <w:t xml:space="preserve"> 37.4重新组建评审委员会的情形</w:t>
      </w:r>
    </w:p>
    <w:p w14:paraId="5008621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评审委员会或者其成员存在下列情形导致评审结果无效的，重新组建评审委员会进行评标，并书面报告本级财政部门：</w:t>
      </w:r>
    </w:p>
    <w:p w14:paraId="2EB8AD7A">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37.4.1评审委员会组成不符合《政府采购货物和服务招标投标管理办法》规定的；</w:t>
      </w:r>
    </w:p>
    <w:p w14:paraId="1C6229D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37.4.2有《政府采购货物和服务招标投标管理办法》第六十二条第一至五项情形的；</w:t>
      </w:r>
    </w:p>
    <w:p w14:paraId="1DD4DB9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37.4.3评审委员会及其成员独立评标受到非法干预的；</w:t>
      </w:r>
    </w:p>
    <w:p w14:paraId="3DF2E61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37.4.4有政府采购法实施条例第七十五条规定的违法行为的。</w:t>
      </w:r>
    </w:p>
    <w:p w14:paraId="252229A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有违法违规行为的原评审委员会成员不得参加重新组建的评审委员会。</w:t>
      </w:r>
    </w:p>
    <w:p w14:paraId="42009309">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定标及公示</w:t>
      </w:r>
    </w:p>
    <w:p w14:paraId="5B965747">
      <w:pPr>
        <w:rPr>
          <w:rFonts w:hint="eastAsia" w:ascii="宋体" w:hAnsi="宋体" w:eastAsia="宋体" w:cs="宋体"/>
          <w:color w:val="auto"/>
        </w:rPr>
      </w:pPr>
      <w:r>
        <w:rPr>
          <w:rFonts w:hint="eastAsia" w:ascii="宋体" w:hAnsi="宋体" w:eastAsia="宋体" w:cs="宋体"/>
          <w:color w:val="auto"/>
        </w:rPr>
        <w:t>38．定标方法</w:t>
      </w:r>
    </w:p>
    <w:p w14:paraId="26FD37F6">
      <w:pPr>
        <w:ind w:firstLine="470" w:firstLineChars="196"/>
        <w:rPr>
          <w:rFonts w:hint="eastAsia" w:ascii="宋体" w:hAnsi="宋体" w:eastAsia="宋体" w:cs="宋体"/>
          <w:color w:val="auto"/>
          <w:szCs w:val="21"/>
        </w:rPr>
      </w:pPr>
      <w:bookmarkStart w:id="67" w:name="_Hlk73782795"/>
      <w:r>
        <w:rPr>
          <w:rFonts w:hint="eastAsia" w:ascii="宋体" w:hAnsi="宋体" w:eastAsia="宋体" w:cs="宋体"/>
          <w:color w:val="auto"/>
          <w:szCs w:val="21"/>
        </w:rPr>
        <w:t>38.1非评定分离项目定标方法</w:t>
      </w:r>
    </w:p>
    <w:p w14:paraId="49A7C00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38.1.1评审委员会依据本项目招标文件所约定的评审方法进行评审和比较，向</w:t>
      </w:r>
      <w:r>
        <w:rPr>
          <w:rFonts w:hint="eastAsia" w:ascii="宋体" w:hAnsi="宋体" w:eastAsia="宋体" w:cs="宋体"/>
          <w:color w:val="auto"/>
          <w:szCs w:val="21"/>
          <w:lang w:eastAsia="zh-CN"/>
        </w:rPr>
        <w:t>政府采购代理机构</w:t>
      </w:r>
      <w:r>
        <w:rPr>
          <w:rFonts w:hint="eastAsia" w:ascii="宋体" w:hAnsi="宋体" w:eastAsia="宋体" w:cs="宋体"/>
          <w:color w:val="auto"/>
          <w:szCs w:val="21"/>
        </w:rPr>
        <w:t>提交书面评审报告，并根据评审方法比较评价结果从优到劣进行排序，确定候选中标供应商。</w:t>
      </w:r>
    </w:p>
    <w:p w14:paraId="3C139FE4">
      <w:pPr>
        <w:ind w:firstLine="470" w:firstLineChars="196"/>
        <w:rPr>
          <w:rFonts w:hint="eastAsia" w:ascii="宋体" w:hAnsi="宋体" w:eastAsia="宋体" w:cs="宋体"/>
          <w:color w:val="auto"/>
        </w:rPr>
      </w:pPr>
      <w:r>
        <w:rPr>
          <w:rFonts w:hint="eastAsia" w:ascii="宋体" w:hAnsi="宋体" w:eastAsia="宋体" w:cs="宋体"/>
          <w:color w:val="auto"/>
          <w:szCs w:val="21"/>
        </w:rPr>
        <w:t>38.1.2</w:t>
      </w:r>
      <w:r>
        <w:rPr>
          <w:rFonts w:hint="eastAsia" w:ascii="宋体" w:hAnsi="宋体" w:eastAsia="宋体" w:cs="宋体"/>
          <w:color w:val="auto"/>
        </w:rPr>
        <w:t>采用最低价法的，评审结果按投标报价由低到高顺序排列。投标报价相同的并列。投标文件满足招标文件全部实质性要求且投标报价最低的投标人为</w:t>
      </w:r>
      <w:bookmarkStart w:id="68" w:name="_Hlk73821177"/>
      <w:r>
        <w:rPr>
          <w:rFonts w:hint="eastAsia" w:ascii="宋体" w:hAnsi="宋体" w:eastAsia="宋体" w:cs="宋体"/>
          <w:color w:val="auto"/>
        </w:rPr>
        <w:t>中标供应商（排名第二的投标人为第一替补中标候选人、排名第三的投标人为第二替补中标候选人</w:t>
      </w:r>
      <w:bookmarkEnd w:id="68"/>
      <w:r>
        <w:rPr>
          <w:rFonts w:hint="eastAsia" w:ascii="宋体" w:hAnsi="宋体" w:eastAsia="宋体" w:cs="宋体"/>
          <w:color w:val="auto"/>
        </w:rPr>
        <w:t>）。</w:t>
      </w:r>
    </w:p>
    <w:p w14:paraId="223FA636">
      <w:pPr>
        <w:ind w:firstLine="470" w:firstLineChars="196"/>
        <w:rPr>
          <w:rFonts w:hint="eastAsia" w:ascii="宋体" w:hAnsi="宋体" w:eastAsia="宋体" w:cs="宋体"/>
          <w:color w:val="auto"/>
        </w:rPr>
      </w:pPr>
      <w:r>
        <w:rPr>
          <w:rFonts w:hint="eastAsia" w:ascii="宋体" w:hAnsi="宋体" w:eastAsia="宋体" w:cs="宋体"/>
          <w:color w:val="auto"/>
          <w:szCs w:val="21"/>
        </w:rPr>
        <w:t>38.1.3采</w:t>
      </w:r>
      <w:r>
        <w:rPr>
          <w:rFonts w:hint="eastAsia" w:ascii="宋体" w:hAnsi="宋体" w:eastAsia="宋体" w:cs="宋体"/>
          <w:color w:val="auto"/>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14:paraId="07FB396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38.2评定分离项目定标方法</w:t>
      </w:r>
    </w:p>
    <w:p w14:paraId="1A02B2C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B59CB3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 xml:space="preserve">38.2.2 </w:t>
      </w:r>
      <w:bookmarkStart w:id="69" w:name="_Hlk71469733"/>
      <w:r>
        <w:rPr>
          <w:rFonts w:hint="eastAsia" w:ascii="宋体" w:hAnsi="宋体" w:eastAsia="宋体" w:cs="宋体"/>
          <w:color w:val="auto"/>
        </w:rPr>
        <w:t>适用评定分离的政府采购项目，采用综合评分法评审。</w:t>
      </w:r>
      <w:r>
        <w:rPr>
          <w:rFonts w:hint="eastAsia" w:ascii="宋体" w:hAnsi="宋体" w:eastAsia="宋体" w:cs="宋体"/>
          <w:color w:val="auto"/>
          <w:szCs w:val="21"/>
        </w:rPr>
        <w:t>评审委员会按照评审结果，推荐</w:t>
      </w:r>
      <w:r>
        <w:rPr>
          <w:rFonts w:hint="eastAsia" w:ascii="宋体" w:hAnsi="宋体" w:eastAsia="宋体" w:cs="宋体"/>
          <w:color w:val="auto"/>
        </w:rPr>
        <w:t>三个合格的候选中标供应商。</w:t>
      </w:r>
    </w:p>
    <w:p w14:paraId="47F7FCD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38.2.3</w:t>
      </w:r>
      <w:bookmarkStart w:id="70" w:name="_Hlk71469688"/>
      <w:r>
        <w:rPr>
          <w:rFonts w:hint="eastAsia" w:ascii="宋体" w:hAnsi="宋体" w:eastAsia="宋体" w:cs="宋体"/>
          <w:color w:val="auto"/>
        </w:rPr>
        <w:t>适用评定分离的政府采购项目，</w:t>
      </w:r>
      <w:r>
        <w:rPr>
          <w:rFonts w:hint="eastAsia" w:ascii="宋体" w:hAnsi="宋体" w:eastAsia="宋体" w:cs="宋体"/>
          <w:color w:val="auto"/>
          <w:szCs w:val="21"/>
        </w:rPr>
        <w:t>按照自定法确定中标供应商：自定法是指采购人组织定标委员会，由定标委员会在三家候选中标供应商中确定中标供应商。</w:t>
      </w:r>
      <w:bookmarkEnd w:id="69"/>
      <w:bookmarkEnd w:id="70"/>
    </w:p>
    <w:p w14:paraId="3F202DA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38.2.4</w:t>
      </w:r>
      <w:r>
        <w:rPr>
          <w:rFonts w:hint="eastAsia" w:ascii="宋体" w:hAnsi="宋体" w:eastAsia="宋体" w:cs="宋体"/>
          <w:color w:val="auto"/>
          <w:szCs w:val="21"/>
          <w:lang w:eastAsia="zh-CN"/>
        </w:rPr>
        <w:t>政府采购代理机构</w:t>
      </w:r>
      <w:r>
        <w:rPr>
          <w:rFonts w:hint="eastAsia" w:ascii="宋体" w:hAnsi="宋体" w:eastAsia="宋体" w:cs="宋体"/>
          <w:color w:val="auto"/>
        </w:rPr>
        <w:t>应当自评审结束之日起两个工作日内将候选中标供应商名单及其投标文件、评审报告送交采购人</w:t>
      </w:r>
      <w:r>
        <w:rPr>
          <w:rFonts w:hint="eastAsia" w:ascii="宋体" w:hAnsi="宋体" w:eastAsia="宋体" w:cs="宋体"/>
          <w:color w:val="auto"/>
          <w:szCs w:val="21"/>
        </w:rPr>
        <w:t>。</w:t>
      </w:r>
      <w:r>
        <w:rPr>
          <w:rFonts w:hint="eastAsia" w:ascii="宋体" w:hAnsi="宋体" w:eastAsia="宋体" w:cs="宋体"/>
          <w:color w:val="auto"/>
        </w:rPr>
        <w:t>采购人应当安排专人对定标过程进行书面记录，形成定标报告，作为采购文件的组成部分存档，并及时将定标结果反馈</w:t>
      </w:r>
      <w:r>
        <w:rPr>
          <w:rFonts w:hint="eastAsia" w:ascii="宋体" w:hAnsi="宋体" w:eastAsia="宋体" w:cs="宋体"/>
          <w:color w:val="auto"/>
          <w:lang w:eastAsia="zh-CN"/>
        </w:rPr>
        <w:t>政府采购代理机构</w:t>
      </w:r>
      <w:r>
        <w:rPr>
          <w:rFonts w:hint="eastAsia" w:ascii="宋体" w:hAnsi="宋体" w:eastAsia="宋体" w:cs="宋体"/>
          <w:color w:val="auto"/>
        </w:rPr>
        <w:t>。具体定标程序及相关要求以按照《深圳市财政局关于印发〈深圳市政府采购评标定标分离管理办法〉的通知》（深财规【2020】1号）执行。</w:t>
      </w:r>
    </w:p>
    <w:p w14:paraId="09F2D3E7">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说明：采购人及投标供应商应按照上述方法提前做好相关准备。</w:t>
      </w:r>
    </w:p>
    <w:p w14:paraId="404D83A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38.3专用条款另有规定的，按专用条款相关要求定标。</w:t>
      </w:r>
      <w:bookmarkEnd w:id="67"/>
    </w:p>
    <w:p w14:paraId="5C6B2FB4">
      <w:pPr>
        <w:rPr>
          <w:rFonts w:hint="eastAsia" w:ascii="宋体" w:hAnsi="宋体" w:eastAsia="宋体" w:cs="宋体"/>
          <w:color w:val="auto"/>
        </w:rPr>
      </w:pPr>
      <w:r>
        <w:rPr>
          <w:rFonts w:hint="eastAsia" w:ascii="宋体" w:hAnsi="宋体" w:eastAsia="宋体" w:cs="宋体"/>
          <w:color w:val="auto"/>
        </w:rPr>
        <w:t>39．编写评审报告</w:t>
      </w:r>
    </w:p>
    <w:p w14:paraId="79A67FC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8809B36">
      <w:pPr>
        <w:rPr>
          <w:rFonts w:hint="eastAsia" w:ascii="宋体" w:hAnsi="宋体" w:eastAsia="宋体" w:cs="宋体"/>
          <w:color w:val="auto"/>
        </w:rPr>
      </w:pPr>
      <w:r>
        <w:rPr>
          <w:rFonts w:hint="eastAsia" w:ascii="宋体" w:hAnsi="宋体" w:eastAsia="宋体" w:cs="宋体"/>
          <w:color w:val="auto"/>
        </w:rPr>
        <w:t>40．中标公告</w:t>
      </w:r>
    </w:p>
    <w:p w14:paraId="4C8E0FC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40.1</w:t>
      </w:r>
      <w:bookmarkStart w:id="71" w:name="_Hlk72438709"/>
      <w:r>
        <w:rPr>
          <w:rFonts w:hint="eastAsia" w:ascii="宋体" w:hAnsi="宋体" w:eastAsia="宋体" w:cs="宋体"/>
          <w:color w:val="auto"/>
          <w:szCs w:val="21"/>
        </w:rPr>
        <w:t>为体现“公开、公平、公正”的原则，评审结束后经采购人确认（确定）评审结果，招标机构将在“深圳政府采购智慧平台（http://zfcg.szggzy.com:8081/）”上发布中标结果公告。</w:t>
      </w:r>
      <w:bookmarkEnd w:id="71"/>
      <w:bookmarkStart w:id="72" w:name="_Hlk72438751"/>
      <w:r>
        <w:rPr>
          <w:rFonts w:hint="eastAsia" w:ascii="宋体" w:hAnsi="宋体" w:eastAsia="宋体" w:cs="宋体"/>
          <w:color w:val="auto"/>
          <w:szCs w:val="21"/>
        </w:rPr>
        <w:t>供应商如对评审结果有异议，可在发布公示日期起七个工作日内向招标机构提出。电话：0755</w:t>
      </w:r>
      <w:r>
        <w:rPr>
          <w:rFonts w:hint="eastAsia" w:ascii="宋体" w:hAnsi="宋体" w:eastAsia="宋体" w:cs="宋体"/>
          <w:color w:val="auto"/>
          <w:szCs w:val="21"/>
          <w:lang w:val="en-US" w:eastAsia="zh-CN"/>
        </w:rPr>
        <w:t>-</w:t>
      </w:r>
      <w:r>
        <w:rPr>
          <w:rFonts w:hint="eastAsia" w:ascii="宋体" w:hAnsi="宋体" w:eastAsia="宋体" w:cs="宋体"/>
          <w:color w:val="auto"/>
          <w:szCs w:val="21"/>
        </w:rPr>
        <w:t>83881111。若在公示期内未提出质疑，则视为认同该评审结果。</w:t>
      </w:r>
      <w:bookmarkEnd w:id="72"/>
    </w:p>
    <w:p w14:paraId="772FB41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40.2质疑、投诉供应商应保证质疑、投诉内容的真实性和可靠性，并承担相应的法律责任。</w:t>
      </w:r>
    </w:p>
    <w:p w14:paraId="67B734FE">
      <w:pPr>
        <w:rPr>
          <w:rFonts w:hint="eastAsia" w:ascii="宋体" w:hAnsi="宋体" w:eastAsia="宋体" w:cs="宋体"/>
          <w:color w:val="auto"/>
        </w:rPr>
      </w:pPr>
      <w:r>
        <w:rPr>
          <w:rFonts w:hint="eastAsia" w:ascii="宋体" w:hAnsi="宋体" w:eastAsia="宋体" w:cs="宋体"/>
          <w:color w:val="auto"/>
        </w:rPr>
        <w:t>41．中标通知书、招标代理服务费</w:t>
      </w:r>
    </w:p>
    <w:p w14:paraId="7B62704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41.1</w:t>
      </w:r>
      <w:bookmarkStart w:id="73" w:name="_Hlk72438863"/>
      <w:r>
        <w:rPr>
          <w:rFonts w:hint="eastAsia" w:ascii="宋体" w:hAnsi="宋体" w:eastAsia="宋体" w:cs="宋体"/>
          <w:color w:val="auto"/>
          <w:szCs w:val="21"/>
        </w:rPr>
        <w:t>中标公告公布以后无异常的情况下,中标供应商和采购人可自行在“深圳政府采购智慧平台（http://zfcg.szggzy.com:8081/）”上打印</w:t>
      </w:r>
      <w:r>
        <w:rPr>
          <w:rFonts w:hint="eastAsia" w:ascii="宋体" w:hAnsi="宋体" w:eastAsia="宋体" w:cs="宋体"/>
          <w:b w:val="0"/>
          <w:bCs/>
          <w:color w:val="auto"/>
          <w:szCs w:val="21"/>
        </w:rPr>
        <w:t>《数字中标通知书》</w:t>
      </w:r>
      <w:r>
        <w:rPr>
          <w:rFonts w:hint="eastAsia" w:ascii="宋体" w:hAnsi="宋体" w:eastAsia="宋体" w:cs="宋体"/>
          <w:b/>
          <w:color w:val="auto"/>
          <w:szCs w:val="21"/>
        </w:rPr>
        <w:t>（</w:t>
      </w:r>
      <w:r>
        <w:rPr>
          <w:rFonts w:hint="eastAsia" w:ascii="宋体" w:hAnsi="宋体" w:eastAsia="宋体" w:cs="宋体"/>
          <w:color w:val="auto"/>
          <w:szCs w:val="21"/>
        </w:rPr>
        <w:t>咨询电话：</w:t>
      </w:r>
      <w:r>
        <w:rPr>
          <w:rFonts w:hint="eastAsia" w:ascii="宋体" w:hAnsi="宋体" w:eastAsia="宋体" w:cs="宋体"/>
          <w:b/>
          <w:bCs/>
          <w:color w:val="auto"/>
          <w:szCs w:val="21"/>
        </w:rPr>
        <w:t>0755-83881111、83881995</w:t>
      </w:r>
      <w:r>
        <w:rPr>
          <w:rFonts w:hint="eastAsia" w:ascii="宋体" w:hAnsi="宋体" w:eastAsia="宋体" w:cs="宋体"/>
          <w:color w:val="auto"/>
          <w:szCs w:val="21"/>
        </w:rPr>
        <w:t>）</w:t>
      </w:r>
      <w:r>
        <w:rPr>
          <w:rFonts w:hint="eastAsia" w:ascii="宋体" w:hAnsi="宋体" w:eastAsia="宋体" w:cs="宋体"/>
          <w:color w:val="auto"/>
          <w:szCs w:val="21"/>
          <w:lang w:val="en-US" w:eastAsia="zh-CN"/>
        </w:rPr>
        <w:t>或</w:t>
      </w:r>
      <w:r>
        <w:rPr>
          <w:rFonts w:hint="eastAsia" w:ascii="宋体" w:hAnsi="宋体" w:eastAsia="宋体" w:cs="宋体"/>
          <w:color w:val="auto"/>
          <w:szCs w:val="21"/>
        </w:rPr>
        <w:t>中标人凭单位证明和本人身份证到友和保险经纪有限公司领取《中标通知书》。</w:t>
      </w:r>
      <w:bookmarkEnd w:id="73"/>
    </w:p>
    <w:p w14:paraId="7397368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41.2中标通知书是合同的重要组成部分。</w:t>
      </w:r>
    </w:p>
    <w:p w14:paraId="7D7542AB">
      <w:pPr>
        <w:ind w:firstLine="470" w:firstLineChars="196"/>
        <w:rPr>
          <w:rFonts w:hint="eastAsia" w:ascii="宋体" w:hAnsi="宋体" w:eastAsia="宋体" w:cs="宋体"/>
          <w:color w:val="auto"/>
          <w:szCs w:val="21"/>
        </w:rPr>
      </w:pPr>
      <w:bookmarkStart w:id="74" w:name="_Hlk71407340"/>
      <w:r>
        <w:rPr>
          <w:rFonts w:hint="eastAsia" w:ascii="宋体" w:hAnsi="宋体" w:eastAsia="宋体" w:cs="宋体"/>
          <w:color w:val="auto"/>
          <w:szCs w:val="21"/>
        </w:rPr>
        <w:t>41.3因质疑投诉或其它原因导致项目结果变更或采购终止的，招标机构有权吊销中标通知书。</w:t>
      </w:r>
    </w:p>
    <w:p w14:paraId="2DD41872">
      <w:pPr>
        <w:ind w:firstLine="470" w:firstLineChars="196"/>
        <w:rPr>
          <w:rFonts w:hint="eastAsia" w:ascii="宋体" w:hAnsi="宋体" w:eastAsia="宋体" w:cs="宋体"/>
          <w:color w:val="auto"/>
          <w:szCs w:val="21"/>
        </w:rPr>
      </w:pPr>
      <w:r>
        <w:rPr>
          <w:rFonts w:hint="eastAsia" w:ascii="宋体" w:hAnsi="宋体" w:eastAsia="宋体" w:cs="宋体"/>
          <w:color w:val="auto"/>
          <w:szCs w:val="21"/>
          <w:lang w:val="en-US" w:eastAsia="zh-CN"/>
        </w:rPr>
        <w:t>41.4.1</w:t>
      </w:r>
      <w:r>
        <w:rPr>
          <w:rFonts w:hint="eastAsia" w:ascii="宋体" w:hAnsi="宋体" w:eastAsia="宋体" w:cs="宋体"/>
          <w:color w:val="auto"/>
          <w:szCs w:val="21"/>
        </w:rPr>
        <w:t>代理费由中标人支付，代理费收费标准按《深圳市财政委员会关于规范深圳市社会采购代理机构管理有关事项的补充通知》（深财购〔2018〕27号）执行，收费标准如下表所列。招标代理服务费以中标金额为基数，按差额定率累进法计算</w:t>
      </w:r>
      <w:r>
        <w:rPr>
          <w:rFonts w:hint="eastAsia" w:ascii="宋体" w:hAnsi="宋体" w:eastAsia="宋体" w:cs="宋体"/>
          <w:color w:val="auto"/>
          <w:szCs w:val="21"/>
          <w:lang w:eastAsia="zh-CN"/>
        </w:rPr>
        <w:t>，</w:t>
      </w:r>
      <w:r>
        <w:rPr>
          <w:rFonts w:hint="eastAsia" w:ascii="宋体" w:hAnsi="宋体" w:eastAsia="宋体" w:cs="宋体"/>
          <w:color w:val="auto"/>
          <w:szCs w:val="21"/>
        </w:rPr>
        <w:t>不足人民币陆仟元的按照固定额陆仟元收取。具体计取费率标准如下表所示：</w:t>
      </w:r>
    </w:p>
    <w:tbl>
      <w:tblPr>
        <w:tblStyle w:val="35"/>
        <w:tblW w:w="78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47"/>
        <w:gridCol w:w="1788"/>
        <w:gridCol w:w="1788"/>
        <w:gridCol w:w="1788"/>
      </w:tblGrid>
      <w:tr w14:paraId="3F86C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 w:hRule="atLeast"/>
          <w:jc w:val="center"/>
        </w:trPr>
        <w:tc>
          <w:tcPr>
            <w:tcW w:w="2447" w:type="dxa"/>
            <w:noWrap w:val="0"/>
            <w:vAlign w:val="center"/>
          </w:tcPr>
          <w:p w14:paraId="1274FDD4">
            <w:pPr>
              <w:snapToGrid w:val="0"/>
              <w:spacing w:line="360" w:lineRule="auto"/>
              <w:ind w:firstLine="1200" w:firstLineChars="500"/>
              <w:jc w:val="center"/>
              <w:rPr>
                <w:rFonts w:hint="eastAsia" w:ascii="宋体" w:hAnsi="宋体" w:eastAsia="宋体" w:cs="宋体"/>
                <w:color w:val="auto"/>
                <w:szCs w:val="21"/>
              </w:rPr>
            </w:pPr>
            <w:r>
              <w:rPr>
                <w:rFonts w:hint="eastAsia" w:ascii="宋体" w:hAnsi="宋体" w:eastAsia="宋体" w:cs="宋体"/>
                <w:color w:val="auto"/>
                <w:szCs w:val="21"/>
              </w:rPr>
              <w:t>服务类型</w:t>
            </w:r>
          </w:p>
          <w:p w14:paraId="7289E9B2">
            <w:pPr>
              <w:pStyle w:val="14"/>
              <w:ind w:firstLine="0"/>
              <w:jc w:val="both"/>
              <w:rPr>
                <w:rFonts w:hint="eastAsia" w:ascii="宋体" w:hAnsi="宋体" w:eastAsia="宋体" w:cs="宋体"/>
                <w:color w:val="auto"/>
                <w:szCs w:val="21"/>
              </w:rPr>
            </w:pPr>
            <w:r>
              <w:rPr>
                <w:rFonts w:hint="eastAsia" w:ascii="宋体" w:hAnsi="宋体" w:eastAsia="宋体" w:cs="宋体"/>
                <w:color w:val="auto"/>
                <w:szCs w:val="21"/>
              </w:rPr>
              <w:t>中标金额(万元)</w:t>
            </w:r>
          </w:p>
        </w:tc>
        <w:tc>
          <w:tcPr>
            <w:tcW w:w="1788" w:type="dxa"/>
            <w:noWrap w:val="0"/>
            <w:vAlign w:val="center"/>
          </w:tcPr>
          <w:p w14:paraId="42C69462">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788" w:type="dxa"/>
            <w:noWrap w:val="0"/>
            <w:vAlign w:val="center"/>
          </w:tcPr>
          <w:p w14:paraId="13CC601F">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1788" w:type="dxa"/>
            <w:noWrap w:val="0"/>
            <w:vAlign w:val="center"/>
          </w:tcPr>
          <w:p w14:paraId="4270E8B0">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14:paraId="7DE5E6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4C12CE0C">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100以下</w:t>
            </w:r>
          </w:p>
        </w:tc>
        <w:tc>
          <w:tcPr>
            <w:tcW w:w="1788" w:type="dxa"/>
            <w:noWrap w:val="0"/>
          </w:tcPr>
          <w:p w14:paraId="033FC1C9">
            <w:pPr>
              <w:spacing w:line="360" w:lineRule="auto"/>
              <w:jc w:val="center"/>
              <w:rPr>
                <w:rFonts w:hint="eastAsia" w:ascii="宋体" w:hAnsi="宋体" w:eastAsia="宋体" w:cs="宋体"/>
                <w:color w:val="auto"/>
              </w:rPr>
            </w:pPr>
            <w:r>
              <w:rPr>
                <w:rFonts w:hint="eastAsia" w:ascii="宋体" w:hAnsi="宋体" w:eastAsia="宋体" w:cs="宋体"/>
                <w:color w:val="auto"/>
              </w:rPr>
              <w:t>1.50%</w:t>
            </w:r>
          </w:p>
        </w:tc>
        <w:tc>
          <w:tcPr>
            <w:tcW w:w="1788" w:type="dxa"/>
            <w:noWrap w:val="0"/>
          </w:tcPr>
          <w:p w14:paraId="065EB04A">
            <w:pPr>
              <w:spacing w:line="360" w:lineRule="auto"/>
              <w:jc w:val="center"/>
              <w:rPr>
                <w:rFonts w:hint="eastAsia" w:ascii="宋体" w:hAnsi="宋体" w:eastAsia="宋体" w:cs="宋体"/>
                <w:color w:val="auto"/>
              </w:rPr>
            </w:pPr>
            <w:r>
              <w:rPr>
                <w:rFonts w:hint="eastAsia" w:ascii="宋体" w:hAnsi="宋体" w:eastAsia="宋体" w:cs="宋体"/>
                <w:color w:val="auto"/>
              </w:rPr>
              <w:t>1.50%</w:t>
            </w:r>
          </w:p>
        </w:tc>
        <w:tc>
          <w:tcPr>
            <w:tcW w:w="1788" w:type="dxa"/>
            <w:noWrap w:val="0"/>
          </w:tcPr>
          <w:p w14:paraId="404814DC">
            <w:pPr>
              <w:spacing w:line="360" w:lineRule="auto"/>
              <w:jc w:val="center"/>
              <w:rPr>
                <w:rFonts w:hint="eastAsia" w:ascii="宋体" w:hAnsi="宋体" w:eastAsia="宋体" w:cs="宋体"/>
                <w:color w:val="auto"/>
              </w:rPr>
            </w:pPr>
            <w:r>
              <w:rPr>
                <w:rFonts w:hint="eastAsia" w:ascii="宋体" w:hAnsi="宋体" w:eastAsia="宋体" w:cs="宋体"/>
                <w:color w:val="auto"/>
              </w:rPr>
              <w:t>1.00%</w:t>
            </w:r>
          </w:p>
        </w:tc>
      </w:tr>
      <w:tr w14:paraId="616D5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5395F653">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100-500</w:t>
            </w:r>
          </w:p>
        </w:tc>
        <w:tc>
          <w:tcPr>
            <w:tcW w:w="1788" w:type="dxa"/>
            <w:noWrap w:val="0"/>
          </w:tcPr>
          <w:p w14:paraId="4AE482AC">
            <w:pPr>
              <w:spacing w:line="360" w:lineRule="auto"/>
              <w:jc w:val="center"/>
              <w:rPr>
                <w:rFonts w:hint="eastAsia" w:ascii="宋体" w:hAnsi="宋体" w:eastAsia="宋体" w:cs="宋体"/>
                <w:color w:val="auto"/>
              </w:rPr>
            </w:pPr>
            <w:r>
              <w:rPr>
                <w:rFonts w:hint="eastAsia" w:ascii="宋体" w:hAnsi="宋体" w:eastAsia="宋体" w:cs="宋体"/>
                <w:color w:val="auto"/>
              </w:rPr>
              <w:t>1.10%</w:t>
            </w:r>
          </w:p>
        </w:tc>
        <w:tc>
          <w:tcPr>
            <w:tcW w:w="1788" w:type="dxa"/>
            <w:noWrap w:val="0"/>
          </w:tcPr>
          <w:p w14:paraId="4B3EBC12">
            <w:pPr>
              <w:spacing w:line="360" w:lineRule="auto"/>
              <w:jc w:val="center"/>
              <w:rPr>
                <w:rFonts w:hint="eastAsia" w:ascii="宋体" w:hAnsi="宋体" w:eastAsia="宋体" w:cs="宋体"/>
                <w:color w:val="auto"/>
              </w:rPr>
            </w:pPr>
            <w:r>
              <w:rPr>
                <w:rFonts w:hint="eastAsia" w:ascii="宋体" w:hAnsi="宋体" w:eastAsia="宋体" w:cs="宋体"/>
                <w:color w:val="auto"/>
              </w:rPr>
              <w:t>0.80%</w:t>
            </w:r>
          </w:p>
        </w:tc>
        <w:tc>
          <w:tcPr>
            <w:tcW w:w="1788" w:type="dxa"/>
            <w:noWrap w:val="0"/>
          </w:tcPr>
          <w:p w14:paraId="12337F3F">
            <w:pPr>
              <w:spacing w:line="360" w:lineRule="auto"/>
              <w:jc w:val="center"/>
              <w:rPr>
                <w:rFonts w:hint="eastAsia" w:ascii="宋体" w:hAnsi="宋体" w:eastAsia="宋体" w:cs="宋体"/>
                <w:color w:val="auto"/>
              </w:rPr>
            </w:pPr>
            <w:r>
              <w:rPr>
                <w:rFonts w:hint="eastAsia" w:ascii="宋体" w:hAnsi="宋体" w:eastAsia="宋体" w:cs="宋体"/>
                <w:color w:val="auto"/>
              </w:rPr>
              <w:t>0.70%</w:t>
            </w:r>
          </w:p>
        </w:tc>
      </w:tr>
      <w:tr w14:paraId="611E83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7A3219A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500-1000</w:t>
            </w:r>
          </w:p>
        </w:tc>
        <w:tc>
          <w:tcPr>
            <w:tcW w:w="1788" w:type="dxa"/>
            <w:noWrap w:val="0"/>
          </w:tcPr>
          <w:p w14:paraId="3DE92432">
            <w:pPr>
              <w:spacing w:line="360" w:lineRule="auto"/>
              <w:jc w:val="center"/>
              <w:rPr>
                <w:rFonts w:hint="eastAsia" w:ascii="宋体" w:hAnsi="宋体" w:eastAsia="宋体" w:cs="宋体"/>
                <w:color w:val="auto"/>
              </w:rPr>
            </w:pPr>
            <w:r>
              <w:rPr>
                <w:rFonts w:hint="eastAsia" w:ascii="宋体" w:hAnsi="宋体" w:eastAsia="宋体" w:cs="宋体"/>
                <w:color w:val="auto"/>
              </w:rPr>
              <w:t>0.80%</w:t>
            </w:r>
          </w:p>
        </w:tc>
        <w:tc>
          <w:tcPr>
            <w:tcW w:w="1788" w:type="dxa"/>
            <w:noWrap w:val="0"/>
          </w:tcPr>
          <w:p w14:paraId="5013B181">
            <w:pPr>
              <w:spacing w:line="360" w:lineRule="auto"/>
              <w:jc w:val="center"/>
              <w:rPr>
                <w:rFonts w:hint="eastAsia" w:ascii="宋体" w:hAnsi="宋体" w:eastAsia="宋体" w:cs="宋体"/>
                <w:color w:val="auto"/>
              </w:rPr>
            </w:pPr>
            <w:r>
              <w:rPr>
                <w:rFonts w:hint="eastAsia" w:ascii="宋体" w:hAnsi="宋体" w:eastAsia="宋体" w:cs="宋体"/>
                <w:color w:val="auto"/>
              </w:rPr>
              <w:t>0.45%</w:t>
            </w:r>
          </w:p>
        </w:tc>
        <w:tc>
          <w:tcPr>
            <w:tcW w:w="1788" w:type="dxa"/>
            <w:noWrap w:val="0"/>
          </w:tcPr>
          <w:p w14:paraId="6D26CA1A">
            <w:pPr>
              <w:spacing w:line="360" w:lineRule="auto"/>
              <w:jc w:val="center"/>
              <w:rPr>
                <w:rFonts w:hint="eastAsia" w:ascii="宋体" w:hAnsi="宋体" w:eastAsia="宋体" w:cs="宋体"/>
                <w:color w:val="auto"/>
              </w:rPr>
            </w:pPr>
            <w:r>
              <w:rPr>
                <w:rFonts w:hint="eastAsia" w:ascii="宋体" w:hAnsi="宋体" w:eastAsia="宋体" w:cs="宋体"/>
                <w:color w:val="auto"/>
              </w:rPr>
              <w:t>0.55%</w:t>
            </w:r>
          </w:p>
        </w:tc>
      </w:tr>
      <w:tr w14:paraId="78235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0984FBEA">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1000-5000</w:t>
            </w:r>
          </w:p>
        </w:tc>
        <w:tc>
          <w:tcPr>
            <w:tcW w:w="1788" w:type="dxa"/>
            <w:noWrap w:val="0"/>
          </w:tcPr>
          <w:p w14:paraId="12FBFB9D">
            <w:pPr>
              <w:spacing w:line="360" w:lineRule="auto"/>
              <w:jc w:val="center"/>
              <w:rPr>
                <w:rFonts w:hint="eastAsia" w:ascii="宋体" w:hAnsi="宋体" w:eastAsia="宋体" w:cs="宋体"/>
                <w:color w:val="auto"/>
              </w:rPr>
            </w:pPr>
            <w:r>
              <w:rPr>
                <w:rFonts w:hint="eastAsia" w:ascii="宋体" w:hAnsi="宋体" w:eastAsia="宋体" w:cs="宋体"/>
                <w:color w:val="auto"/>
              </w:rPr>
              <w:t>0.50%</w:t>
            </w:r>
          </w:p>
        </w:tc>
        <w:tc>
          <w:tcPr>
            <w:tcW w:w="1788" w:type="dxa"/>
            <w:noWrap w:val="0"/>
          </w:tcPr>
          <w:p w14:paraId="4FC93652">
            <w:pPr>
              <w:spacing w:line="360" w:lineRule="auto"/>
              <w:jc w:val="center"/>
              <w:rPr>
                <w:rFonts w:hint="eastAsia" w:ascii="宋体" w:hAnsi="宋体" w:eastAsia="宋体" w:cs="宋体"/>
                <w:color w:val="auto"/>
              </w:rPr>
            </w:pPr>
            <w:r>
              <w:rPr>
                <w:rFonts w:hint="eastAsia" w:ascii="宋体" w:hAnsi="宋体" w:eastAsia="宋体" w:cs="宋体"/>
                <w:color w:val="auto"/>
              </w:rPr>
              <w:t>0.25%</w:t>
            </w:r>
          </w:p>
        </w:tc>
        <w:tc>
          <w:tcPr>
            <w:tcW w:w="1788" w:type="dxa"/>
            <w:noWrap w:val="0"/>
          </w:tcPr>
          <w:p w14:paraId="3136E45A">
            <w:pPr>
              <w:spacing w:line="360" w:lineRule="auto"/>
              <w:jc w:val="center"/>
              <w:rPr>
                <w:rFonts w:hint="eastAsia" w:ascii="宋体" w:hAnsi="宋体" w:eastAsia="宋体" w:cs="宋体"/>
                <w:color w:val="auto"/>
              </w:rPr>
            </w:pPr>
            <w:r>
              <w:rPr>
                <w:rFonts w:hint="eastAsia" w:ascii="宋体" w:hAnsi="宋体" w:eastAsia="宋体" w:cs="宋体"/>
                <w:color w:val="auto"/>
              </w:rPr>
              <w:t>0.35%</w:t>
            </w:r>
          </w:p>
        </w:tc>
      </w:tr>
      <w:tr w14:paraId="737A1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25E39266">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5000-10000</w:t>
            </w:r>
          </w:p>
        </w:tc>
        <w:tc>
          <w:tcPr>
            <w:tcW w:w="1788" w:type="dxa"/>
            <w:noWrap w:val="0"/>
          </w:tcPr>
          <w:p w14:paraId="11866BA5">
            <w:pPr>
              <w:spacing w:line="360" w:lineRule="auto"/>
              <w:jc w:val="center"/>
              <w:rPr>
                <w:rFonts w:hint="eastAsia" w:ascii="宋体" w:hAnsi="宋体" w:eastAsia="宋体" w:cs="宋体"/>
                <w:color w:val="auto"/>
              </w:rPr>
            </w:pPr>
            <w:r>
              <w:rPr>
                <w:rFonts w:hint="eastAsia" w:ascii="宋体" w:hAnsi="宋体" w:eastAsia="宋体" w:cs="宋体"/>
                <w:color w:val="auto"/>
              </w:rPr>
              <w:t>0.25%</w:t>
            </w:r>
          </w:p>
        </w:tc>
        <w:tc>
          <w:tcPr>
            <w:tcW w:w="1788" w:type="dxa"/>
            <w:noWrap w:val="0"/>
          </w:tcPr>
          <w:p w14:paraId="0102CE0F">
            <w:pPr>
              <w:spacing w:line="360" w:lineRule="auto"/>
              <w:jc w:val="center"/>
              <w:rPr>
                <w:rFonts w:hint="eastAsia" w:ascii="宋体" w:hAnsi="宋体" w:eastAsia="宋体" w:cs="宋体"/>
                <w:color w:val="auto"/>
              </w:rPr>
            </w:pPr>
            <w:r>
              <w:rPr>
                <w:rFonts w:hint="eastAsia" w:ascii="宋体" w:hAnsi="宋体" w:eastAsia="宋体" w:cs="宋体"/>
                <w:color w:val="auto"/>
              </w:rPr>
              <w:t>0.10%</w:t>
            </w:r>
          </w:p>
        </w:tc>
        <w:tc>
          <w:tcPr>
            <w:tcW w:w="1788" w:type="dxa"/>
            <w:noWrap w:val="0"/>
          </w:tcPr>
          <w:p w14:paraId="5B5DDBF5">
            <w:pPr>
              <w:spacing w:line="360" w:lineRule="auto"/>
              <w:jc w:val="center"/>
              <w:rPr>
                <w:rFonts w:hint="eastAsia" w:ascii="宋体" w:hAnsi="宋体" w:eastAsia="宋体" w:cs="宋体"/>
                <w:color w:val="auto"/>
              </w:rPr>
            </w:pPr>
            <w:r>
              <w:rPr>
                <w:rFonts w:hint="eastAsia" w:ascii="宋体" w:hAnsi="宋体" w:eastAsia="宋体" w:cs="宋体"/>
                <w:color w:val="auto"/>
              </w:rPr>
              <w:t>0.20%</w:t>
            </w:r>
          </w:p>
        </w:tc>
      </w:tr>
      <w:tr w14:paraId="3B4742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1395C7BC">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10000-100000</w:t>
            </w:r>
          </w:p>
        </w:tc>
        <w:tc>
          <w:tcPr>
            <w:tcW w:w="1788" w:type="dxa"/>
            <w:noWrap w:val="0"/>
          </w:tcPr>
          <w:p w14:paraId="3BFA529F">
            <w:pPr>
              <w:spacing w:line="360" w:lineRule="auto"/>
              <w:jc w:val="center"/>
              <w:rPr>
                <w:rFonts w:hint="eastAsia" w:ascii="宋体" w:hAnsi="宋体" w:eastAsia="宋体" w:cs="宋体"/>
                <w:color w:val="auto"/>
              </w:rPr>
            </w:pPr>
            <w:r>
              <w:rPr>
                <w:rFonts w:hint="eastAsia" w:ascii="宋体" w:hAnsi="宋体" w:eastAsia="宋体" w:cs="宋体"/>
                <w:color w:val="auto"/>
              </w:rPr>
              <w:t>0.05%</w:t>
            </w:r>
          </w:p>
        </w:tc>
        <w:tc>
          <w:tcPr>
            <w:tcW w:w="1788" w:type="dxa"/>
            <w:noWrap w:val="0"/>
          </w:tcPr>
          <w:p w14:paraId="70B4F872">
            <w:pPr>
              <w:spacing w:line="360" w:lineRule="auto"/>
              <w:jc w:val="center"/>
              <w:rPr>
                <w:rFonts w:hint="eastAsia" w:ascii="宋体" w:hAnsi="宋体" w:eastAsia="宋体" w:cs="宋体"/>
                <w:color w:val="auto"/>
              </w:rPr>
            </w:pPr>
            <w:r>
              <w:rPr>
                <w:rFonts w:hint="eastAsia" w:ascii="宋体" w:hAnsi="宋体" w:eastAsia="宋体" w:cs="宋体"/>
                <w:color w:val="auto"/>
              </w:rPr>
              <w:t>0.05%</w:t>
            </w:r>
          </w:p>
        </w:tc>
        <w:tc>
          <w:tcPr>
            <w:tcW w:w="1788" w:type="dxa"/>
            <w:noWrap w:val="0"/>
          </w:tcPr>
          <w:p w14:paraId="609F64E8">
            <w:pPr>
              <w:spacing w:line="360" w:lineRule="auto"/>
              <w:jc w:val="center"/>
              <w:rPr>
                <w:rFonts w:hint="eastAsia" w:ascii="宋体" w:hAnsi="宋体" w:eastAsia="宋体" w:cs="宋体"/>
                <w:color w:val="auto"/>
              </w:rPr>
            </w:pPr>
            <w:r>
              <w:rPr>
                <w:rFonts w:hint="eastAsia" w:ascii="宋体" w:hAnsi="宋体" w:eastAsia="宋体" w:cs="宋体"/>
                <w:color w:val="auto"/>
              </w:rPr>
              <w:t>0.05%</w:t>
            </w:r>
          </w:p>
        </w:tc>
      </w:tr>
      <w:tr w14:paraId="06619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noWrap w:val="0"/>
            <w:vAlign w:val="center"/>
          </w:tcPr>
          <w:p w14:paraId="2FB326FC">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1000000以上</w:t>
            </w:r>
          </w:p>
        </w:tc>
        <w:tc>
          <w:tcPr>
            <w:tcW w:w="1788" w:type="dxa"/>
            <w:noWrap w:val="0"/>
          </w:tcPr>
          <w:p w14:paraId="5703ADFC">
            <w:pPr>
              <w:spacing w:line="360" w:lineRule="auto"/>
              <w:jc w:val="center"/>
              <w:rPr>
                <w:rFonts w:hint="eastAsia" w:ascii="宋体" w:hAnsi="宋体" w:eastAsia="宋体" w:cs="宋体"/>
                <w:color w:val="auto"/>
              </w:rPr>
            </w:pPr>
            <w:r>
              <w:rPr>
                <w:rFonts w:hint="eastAsia" w:ascii="宋体" w:hAnsi="宋体" w:eastAsia="宋体" w:cs="宋体"/>
                <w:color w:val="auto"/>
              </w:rPr>
              <w:t>0.01%</w:t>
            </w:r>
          </w:p>
        </w:tc>
        <w:tc>
          <w:tcPr>
            <w:tcW w:w="1788" w:type="dxa"/>
            <w:noWrap w:val="0"/>
          </w:tcPr>
          <w:p w14:paraId="0BCFD3D2">
            <w:pPr>
              <w:spacing w:line="360" w:lineRule="auto"/>
              <w:jc w:val="center"/>
              <w:rPr>
                <w:rFonts w:hint="eastAsia" w:ascii="宋体" w:hAnsi="宋体" w:eastAsia="宋体" w:cs="宋体"/>
                <w:color w:val="auto"/>
              </w:rPr>
            </w:pPr>
            <w:r>
              <w:rPr>
                <w:rFonts w:hint="eastAsia" w:ascii="宋体" w:hAnsi="宋体" w:eastAsia="宋体" w:cs="宋体"/>
                <w:color w:val="auto"/>
              </w:rPr>
              <w:t>0.01%</w:t>
            </w:r>
          </w:p>
        </w:tc>
        <w:tc>
          <w:tcPr>
            <w:tcW w:w="1788" w:type="dxa"/>
            <w:noWrap w:val="0"/>
          </w:tcPr>
          <w:p w14:paraId="32B1CC24">
            <w:pPr>
              <w:spacing w:line="360" w:lineRule="auto"/>
              <w:jc w:val="center"/>
              <w:rPr>
                <w:rFonts w:hint="eastAsia" w:ascii="宋体" w:hAnsi="宋体" w:eastAsia="宋体" w:cs="宋体"/>
                <w:color w:val="auto"/>
              </w:rPr>
            </w:pPr>
            <w:r>
              <w:rPr>
                <w:rFonts w:hint="eastAsia" w:ascii="宋体" w:hAnsi="宋体" w:eastAsia="宋体" w:cs="宋体"/>
                <w:color w:val="auto"/>
              </w:rPr>
              <w:t>0.01%</w:t>
            </w:r>
          </w:p>
        </w:tc>
      </w:tr>
    </w:tbl>
    <w:p w14:paraId="490F2F4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例如：某服务招标代理业务中标金额为600万元，计算招标代理服务收费额如下：</w:t>
      </w:r>
    </w:p>
    <w:p w14:paraId="3B73ADD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100万元×1.5%=1.5万元</w:t>
      </w:r>
    </w:p>
    <w:p w14:paraId="324BCC5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（500-100）万元×0.8%=3.2万元</w:t>
      </w:r>
    </w:p>
    <w:p w14:paraId="6D82E95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（600-500）万元×0.45%=0.45万元</w:t>
      </w:r>
    </w:p>
    <w:p w14:paraId="15A63963">
      <w:pPr>
        <w:ind w:firstLine="470" w:firstLineChars="196"/>
        <w:rPr>
          <w:rFonts w:hint="eastAsia" w:ascii="宋体" w:hAnsi="宋体" w:eastAsia="宋体" w:cs="宋体"/>
          <w:color w:val="auto"/>
          <w:szCs w:val="21"/>
          <w:lang w:val="en-US" w:eastAsia="zh-CN"/>
        </w:rPr>
      </w:pPr>
      <w:r>
        <w:rPr>
          <w:rFonts w:hint="eastAsia" w:ascii="宋体" w:hAnsi="宋体" w:eastAsia="宋体" w:cs="宋体"/>
          <w:color w:val="auto"/>
          <w:szCs w:val="21"/>
        </w:rPr>
        <w:t>合计收费=1.5+3.2+0.45=5.15万元：</w:t>
      </w:r>
    </w:p>
    <w:p w14:paraId="01F32C8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中标人须在中标公告公示期结束后，领取《中标通知书》前，向招标代理机构缴纳中标服务费。</w:t>
      </w:r>
    </w:p>
    <w:p w14:paraId="70D9C55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auto"/>
          <w:szCs w:val="21"/>
          <w:lang w:val="en-US" w:eastAsia="zh-CN"/>
        </w:rPr>
        <w:t>4.2</w:t>
      </w:r>
      <w:r>
        <w:rPr>
          <w:rFonts w:hint="eastAsia" w:ascii="宋体" w:hAnsi="宋体" w:eastAsia="宋体" w:cs="宋体"/>
          <w:color w:val="auto"/>
          <w:szCs w:val="21"/>
        </w:rPr>
        <w:t xml:space="preserve"> 招标代理服务费以转账、现金形式交付。</w:t>
      </w:r>
    </w:p>
    <w:bookmarkEnd w:id="74"/>
    <w:p w14:paraId="47B3335F">
      <w:pPr>
        <w:rPr>
          <w:rFonts w:hint="eastAsia" w:ascii="宋体" w:hAnsi="宋体" w:eastAsia="宋体" w:cs="宋体"/>
          <w:color w:val="auto"/>
        </w:rPr>
      </w:pPr>
    </w:p>
    <w:p w14:paraId="73078E40">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公开招标失败的后续处理</w:t>
      </w:r>
    </w:p>
    <w:p w14:paraId="50A9E2C3">
      <w:pPr>
        <w:rPr>
          <w:rFonts w:hint="eastAsia" w:ascii="宋体" w:hAnsi="宋体" w:eastAsia="宋体" w:cs="宋体"/>
          <w:color w:val="auto"/>
        </w:rPr>
      </w:pPr>
      <w:r>
        <w:rPr>
          <w:rFonts w:hint="eastAsia" w:ascii="宋体" w:hAnsi="宋体" w:eastAsia="宋体" w:cs="宋体"/>
          <w:color w:val="auto"/>
        </w:rPr>
        <w:t>42．公开招标失败的处理</w:t>
      </w:r>
    </w:p>
    <w:p w14:paraId="0A6D358E">
      <w:pPr>
        <w:ind w:firstLine="470" w:firstLineChars="196"/>
        <w:rPr>
          <w:rFonts w:hint="eastAsia" w:ascii="宋体" w:hAnsi="宋体" w:eastAsia="宋体" w:cs="宋体"/>
          <w:color w:val="auto"/>
        </w:rPr>
      </w:pPr>
      <w:r>
        <w:rPr>
          <w:rFonts w:hint="eastAsia" w:ascii="宋体" w:hAnsi="宋体" w:eastAsia="宋体" w:cs="宋体"/>
          <w:color w:val="auto"/>
          <w:szCs w:val="21"/>
        </w:rPr>
        <w:t>42.1本项目公开招标过程中若由于投标截止后</w:t>
      </w:r>
      <w:r>
        <w:rPr>
          <w:rFonts w:hint="eastAsia" w:ascii="宋体" w:hAnsi="宋体" w:eastAsia="宋体" w:cs="宋体"/>
          <w:color w:val="auto"/>
        </w:rPr>
        <w:t>实际递交投标文件的供应商数量不足、经</w:t>
      </w:r>
      <w:r>
        <w:rPr>
          <w:rFonts w:hint="eastAsia" w:ascii="宋体" w:hAnsi="宋体" w:eastAsia="宋体" w:cs="宋体"/>
          <w:color w:val="auto"/>
          <w:szCs w:val="21"/>
        </w:rPr>
        <w:t>评审委员会</w:t>
      </w:r>
      <w:r>
        <w:rPr>
          <w:rFonts w:hint="eastAsia" w:ascii="宋体" w:hAnsi="宋体" w:eastAsia="宋体" w:cs="宋体"/>
          <w:color w:val="auto"/>
        </w:rPr>
        <w:t>评审对招标文件作实质响应的供应商不足等原因造成公开招标失败，可由招标机构重新组织采购。</w:t>
      </w:r>
    </w:p>
    <w:p w14:paraId="2CA1B1F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42.2对公开招标失败的项目，评审委员会在出具该项目招标失败结论的同时，可以提出重新采购组织形式的建议，以及进一步完善招标文件的资格、技术、商务要求的修改建议。</w:t>
      </w:r>
    </w:p>
    <w:p w14:paraId="6C1FDD9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42.3重新组织采购有以下两种组织形式：</w:t>
      </w:r>
    </w:p>
    <w:p w14:paraId="2629BE55">
      <w:pPr>
        <w:ind w:firstLine="470" w:firstLineChars="196"/>
        <w:rPr>
          <w:rFonts w:hint="eastAsia" w:ascii="宋体" w:hAnsi="宋体" w:eastAsia="宋体" w:cs="宋体"/>
          <w:color w:val="auto"/>
        </w:rPr>
      </w:pPr>
      <w:r>
        <w:rPr>
          <w:rFonts w:hint="eastAsia" w:ascii="宋体" w:hAnsi="宋体" w:eastAsia="宋体" w:cs="宋体"/>
          <w:color w:val="auto"/>
        </w:rPr>
        <w:t>（1）由招标机构重新组织公开招标；</w:t>
      </w:r>
    </w:p>
    <w:p w14:paraId="49D82969">
      <w:pPr>
        <w:ind w:firstLine="470" w:firstLineChars="196"/>
        <w:rPr>
          <w:rFonts w:hint="eastAsia" w:ascii="宋体" w:hAnsi="宋体" w:eastAsia="宋体" w:cs="宋体"/>
          <w:color w:val="auto"/>
        </w:rPr>
      </w:pPr>
      <w:r>
        <w:rPr>
          <w:rFonts w:hint="eastAsia" w:ascii="宋体" w:hAnsi="宋体" w:eastAsia="宋体" w:cs="宋体"/>
          <w:color w:val="auto"/>
        </w:rPr>
        <w:t>（2）根据实际情况需要向同级财政部门提出非公开招标方式申请，经同级财政部门批准，公开招标失败采购项目可转为竞争性谈判或单一来源谈判方式采购。</w:t>
      </w:r>
    </w:p>
    <w:p w14:paraId="25C2DEE1">
      <w:pPr>
        <w:ind w:firstLine="470" w:firstLineChars="196"/>
        <w:rPr>
          <w:rFonts w:hint="eastAsia" w:ascii="宋体" w:hAnsi="宋体" w:eastAsia="宋体" w:cs="宋体"/>
          <w:color w:val="auto"/>
        </w:rPr>
      </w:pPr>
      <w:r>
        <w:rPr>
          <w:rFonts w:hint="eastAsia" w:ascii="宋体" w:hAnsi="宋体" w:eastAsia="宋体" w:cs="宋体"/>
          <w:color w:val="auto"/>
        </w:rPr>
        <w:t>42.4公开招标失败的采购项目重新组织公开招标，由招标机构重新按公开招标流程组织采购活动。</w:t>
      </w:r>
    </w:p>
    <w:p w14:paraId="57A8C16D">
      <w:pPr>
        <w:ind w:firstLine="470" w:firstLineChars="196"/>
        <w:rPr>
          <w:rFonts w:hint="eastAsia" w:ascii="宋体" w:hAnsi="宋体" w:eastAsia="宋体" w:cs="宋体"/>
          <w:color w:val="auto"/>
        </w:rPr>
      </w:pPr>
      <w:r>
        <w:rPr>
          <w:rFonts w:hint="eastAsia" w:ascii="宋体" w:hAnsi="宋体" w:eastAsia="宋体" w:cs="宋体"/>
          <w:color w:val="auto"/>
        </w:rPr>
        <w:t>42.5公开招标失败的采购项目经同级财政部门批准转为竞争性谈判或单一来源谈判方式采购的，按规定要求组织政府采购工作。</w:t>
      </w:r>
    </w:p>
    <w:p w14:paraId="7F55C557">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bookmarkStart w:id="75" w:name="_Hlk72439043"/>
      <w:r>
        <w:rPr>
          <w:rFonts w:hint="eastAsia" w:ascii="宋体" w:hAnsi="宋体" w:eastAsia="宋体" w:cs="宋体"/>
          <w:color w:val="auto"/>
          <w:sz w:val="28"/>
          <w:szCs w:val="28"/>
        </w:rPr>
        <w:t>合同的授予与备案</w:t>
      </w:r>
      <w:bookmarkEnd w:id="75"/>
    </w:p>
    <w:p w14:paraId="72BD9F69">
      <w:pPr>
        <w:rPr>
          <w:rFonts w:hint="eastAsia" w:ascii="宋体" w:hAnsi="宋体" w:eastAsia="宋体" w:cs="宋体"/>
          <w:color w:val="auto"/>
        </w:rPr>
      </w:pPr>
      <w:bookmarkStart w:id="76" w:name="_Toc73521674"/>
      <w:bookmarkStart w:id="77" w:name="_Toc100052408"/>
      <w:bookmarkStart w:id="78" w:name="_Toc73518157"/>
      <w:bookmarkStart w:id="79" w:name="_Toc73521586"/>
      <w:bookmarkStart w:id="80" w:name="_Toc73517679"/>
      <w:bookmarkStart w:id="81" w:name="_Hlk72439088"/>
      <w:r>
        <w:rPr>
          <w:rFonts w:hint="eastAsia" w:ascii="宋体" w:hAnsi="宋体" w:eastAsia="宋体" w:cs="宋体"/>
          <w:color w:val="auto"/>
        </w:rPr>
        <w:t>43．合同授予标准</w:t>
      </w:r>
      <w:bookmarkEnd w:id="76"/>
      <w:bookmarkEnd w:id="77"/>
      <w:bookmarkEnd w:id="78"/>
      <w:bookmarkEnd w:id="79"/>
      <w:bookmarkEnd w:id="80"/>
    </w:p>
    <w:p w14:paraId="6264C0F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本项目的合同将授予经本招标文件规定评审确定的中标供应商。</w:t>
      </w:r>
    </w:p>
    <w:p w14:paraId="5CDEECD0">
      <w:pPr>
        <w:rPr>
          <w:rFonts w:hint="eastAsia" w:ascii="宋体" w:hAnsi="宋体" w:eastAsia="宋体" w:cs="宋体"/>
          <w:color w:val="auto"/>
        </w:rPr>
      </w:pPr>
      <w:bookmarkStart w:id="82" w:name="_Toc73521587"/>
      <w:bookmarkStart w:id="83" w:name="_Toc73521675"/>
      <w:bookmarkStart w:id="84" w:name="_Toc73518158"/>
      <w:bookmarkStart w:id="85" w:name="_Toc100052409"/>
      <w:bookmarkStart w:id="86" w:name="_Toc73517680"/>
      <w:r>
        <w:rPr>
          <w:rFonts w:hint="eastAsia" w:ascii="宋体" w:hAnsi="宋体" w:eastAsia="宋体" w:cs="宋体"/>
          <w:color w:val="auto"/>
        </w:rPr>
        <w:t>44．</w:t>
      </w:r>
      <w:bookmarkEnd w:id="82"/>
      <w:bookmarkEnd w:id="83"/>
      <w:bookmarkEnd w:id="84"/>
      <w:bookmarkEnd w:id="85"/>
      <w:bookmarkEnd w:id="86"/>
      <w:r>
        <w:rPr>
          <w:rFonts w:hint="eastAsia" w:ascii="宋体" w:hAnsi="宋体" w:eastAsia="宋体" w:cs="宋体"/>
          <w:color w:val="auto"/>
        </w:rPr>
        <w:t>接受和拒绝任何或所有投标的权力</w:t>
      </w:r>
    </w:p>
    <w:p w14:paraId="62D0FAC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招标机构和采购人保留在投标之前任何时候接受或拒绝任何投标或所有投标，以及宣布招标无效的权力，对受影响的投标人不承担任何责任，也无义务向受影响的投标人解释采取这一行动的理由。</w:t>
      </w:r>
    </w:p>
    <w:p w14:paraId="61A7891F">
      <w:pPr>
        <w:rPr>
          <w:rFonts w:hint="eastAsia" w:ascii="宋体" w:hAnsi="宋体" w:eastAsia="宋体" w:cs="宋体"/>
          <w:color w:val="auto"/>
        </w:rPr>
      </w:pPr>
      <w:bookmarkStart w:id="87" w:name="_Toc73521589"/>
      <w:bookmarkStart w:id="88" w:name="_Toc73517682"/>
      <w:bookmarkStart w:id="89" w:name="_Toc100052410"/>
      <w:bookmarkStart w:id="90" w:name="_Toc73518160"/>
      <w:bookmarkStart w:id="91" w:name="_Toc73521677"/>
      <w:r>
        <w:rPr>
          <w:rFonts w:hint="eastAsia" w:ascii="宋体" w:hAnsi="宋体" w:eastAsia="宋体" w:cs="宋体"/>
          <w:color w:val="auto"/>
        </w:rPr>
        <w:t>45．合同的签订</w:t>
      </w:r>
      <w:bookmarkEnd w:id="87"/>
      <w:bookmarkEnd w:id="88"/>
      <w:bookmarkEnd w:id="89"/>
      <w:bookmarkEnd w:id="90"/>
      <w:bookmarkEnd w:id="91"/>
    </w:p>
    <w:p w14:paraId="664DB3B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45.1中标人将于中标通知书发出之日起十个工作日内，按照采购文件（招标文件和投标文件等）内容与采购人签订政府采购合同；合同的实质性内容应当符合招标文件的规定；</w:t>
      </w:r>
    </w:p>
    <w:p w14:paraId="0F4A5033">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45.2中标人如不按本通用条款第45.1款的规定与采购人签订合同，情节严重的，由同级财政部门记入供应商诚信档案，予以通报；</w:t>
      </w:r>
    </w:p>
    <w:p w14:paraId="66AAEB4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45.3中标人应当按照合同约定履行义务，完成中标项目，不得将中标项目转让（转包）给他人。</w:t>
      </w:r>
    </w:p>
    <w:p w14:paraId="6673F1CC">
      <w:pPr>
        <w:rPr>
          <w:rFonts w:hint="eastAsia" w:ascii="宋体" w:hAnsi="宋体" w:eastAsia="宋体" w:cs="宋体"/>
          <w:color w:val="auto"/>
        </w:rPr>
      </w:pPr>
      <w:bookmarkStart w:id="92" w:name="_Toc73521590"/>
      <w:bookmarkStart w:id="93" w:name="_Toc73518161"/>
      <w:bookmarkStart w:id="94" w:name="_Toc100052411"/>
      <w:bookmarkStart w:id="95" w:name="_Toc73517683"/>
      <w:bookmarkStart w:id="96" w:name="_Toc73521678"/>
      <w:r>
        <w:rPr>
          <w:rFonts w:hint="eastAsia" w:ascii="宋体" w:hAnsi="宋体" w:eastAsia="宋体" w:cs="宋体"/>
          <w:color w:val="auto"/>
        </w:rPr>
        <w:t>46．履约担保</w:t>
      </w:r>
      <w:bookmarkEnd w:id="92"/>
      <w:bookmarkEnd w:id="93"/>
      <w:bookmarkEnd w:id="94"/>
      <w:bookmarkEnd w:id="95"/>
      <w:bookmarkEnd w:id="96"/>
    </w:p>
    <w:p w14:paraId="037E849B">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46.1在签订项目合同的同时，中标人应按“对通用条款的补充内容”中规定的金额向采购人提交履约担保；</w:t>
      </w:r>
    </w:p>
    <w:p w14:paraId="56DF5F99">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46.2允许供应商自主选择以支票、汇票、本票、保函等非现金方式提交履约担保；</w:t>
      </w:r>
      <w:r>
        <w:rPr>
          <w:rFonts w:hint="eastAsia" w:ascii="宋体" w:hAnsi="宋体" w:eastAsia="宋体" w:cs="宋体"/>
          <w:color w:val="auto"/>
        </w:rPr>
        <w:t>中标人提交履约担保不是合同签订的前提条件，不要求中标人提供除法律、法规明确规定外的其他担保。</w:t>
      </w:r>
    </w:p>
    <w:p w14:paraId="7D1A51ED">
      <w:pPr>
        <w:rPr>
          <w:rFonts w:hint="eastAsia" w:ascii="宋体" w:hAnsi="宋体" w:eastAsia="宋体" w:cs="宋体"/>
          <w:color w:val="auto"/>
        </w:rPr>
      </w:pPr>
      <w:r>
        <w:rPr>
          <w:rFonts w:hint="eastAsia" w:ascii="宋体" w:hAnsi="宋体" w:eastAsia="宋体" w:cs="宋体"/>
          <w:color w:val="auto"/>
        </w:rPr>
        <w:t>47. 合同备案</w:t>
      </w:r>
    </w:p>
    <w:p w14:paraId="4062BD22">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采购人与中标人应于合同签订之日起十日内，由采购人或委托中标人将采购合同副本抄送合同备案工作实施机构备案。</w:t>
      </w:r>
    </w:p>
    <w:p w14:paraId="76A624FB">
      <w:pPr>
        <w:rPr>
          <w:rFonts w:hint="eastAsia" w:ascii="宋体" w:hAnsi="宋体" w:eastAsia="宋体" w:cs="宋体"/>
          <w:color w:val="auto"/>
        </w:rPr>
      </w:pPr>
      <w:r>
        <w:rPr>
          <w:rFonts w:hint="eastAsia" w:ascii="宋体" w:hAnsi="宋体" w:eastAsia="宋体" w:cs="宋体"/>
          <w:color w:val="auto"/>
        </w:rPr>
        <w:t>48. 合同变更</w:t>
      </w:r>
    </w:p>
    <w:p w14:paraId="7FF7097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合同变更事宜按《深圳市财政局 深圳市政府采购中心关于进一步加强市本级政府采购合同备案管理工作的通知》（深财购〔2019〕43号）相关规定执行。</w:t>
      </w:r>
    </w:p>
    <w:p w14:paraId="3FC66C7D">
      <w:pPr>
        <w:rPr>
          <w:rFonts w:hint="eastAsia" w:ascii="宋体" w:hAnsi="宋体" w:eastAsia="宋体" w:cs="宋体"/>
          <w:color w:val="auto"/>
        </w:rPr>
      </w:pPr>
      <w:r>
        <w:rPr>
          <w:rFonts w:hint="eastAsia" w:ascii="宋体" w:hAnsi="宋体" w:eastAsia="宋体" w:cs="宋体"/>
          <w:color w:val="auto"/>
        </w:rPr>
        <w:t>49. 项目验收</w:t>
      </w:r>
    </w:p>
    <w:p w14:paraId="17C57A40">
      <w:pPr>
        <w:ind w:right="176" w:firstLine="420"/>
        <w:rPr>
          <w:rFonts w:hint="eastAsia" w:ascii="宋体" w:hAnsi="宋体" w:eastAsia="宋体" w:cs="宋体"/>
          <w:color w:val="auto"/>
        </w:rPr>
      </w:pPr>
      <w:r>
        <w:rPr>
          <w:rFonts w:hint="eastAsia" w:ascii="宋体" w:hAnsi="宋体" w:eastAsia="宋体" w:cs="宋体"/>
          <w:color w:val="auto"/>
        </w:rPr>
        <w:t>49.1采购人应当按照招标文件和合同规定的标准和方法，及时组织验收。</w:t>
      </w:r>
    </w:p>
    <w:p w14:paraId="45F99274">
      <w:pPr>
        <w:rPr>
          <w:rFonts w:hint="eastAsia" w:ascii="宋体" w:hAnsi="宋体" w:eastAsia="宋体" w:cs="宋体"/>
          <w:color w:val="auto"/>
        </w:rPr>
      </w:pPr>
      <w:r>
        <w:rPr>
          <w:rFonts w:hint="eastAsia" w:ascii="宋体" w:hAnsi="宋体" w:eastAsia="宋体" w:cs="宋体"/>
          <w:color w:val="auto"/>
        </w:rPr>
        <w:t>50. 宣传</w:t>
      </w:r>
    </w:p>
    <w:p w14:paraId="16A572A7">
      <w:pPr>
        <w:ind w:left="240" w:leftChars="100" w:firstLine="470" w:firstLineChars="196"/>
        <w:rPr>
          <w:rFonts w:hint="eastAsia" w:ascii="宋体" w:hAnsi="宋体" w:eastAsia="宋体" w:cs="宋体"/>
          <w:color w:val="auto"/>
        </w:rPr>
      </w:pPr>
      <w:r>
        <w:rPr>
          <w:rFonts w:hint="eastAsia" w:ascii="宋体" w:hAnsi="宋体" w:eastAsia="宋体" w:cs="宋体"/>
          <w:color w:val="auto"/>
        </w:rPr>
        <w:t>凡与政府采购活动有关的宣传或广告，若当中提及政府采购，必须事先将具体对外宣传方案报同级财政部门和招标机构，并征得其同意。对外市场宣传包括但不限于以下形式：</w:t>
      </w:r>
    </w:p>
    <w:p w14:paraId="513BDAE1">
      <w:pPr>
        <w:ind w:left="240" w:leftChars="100" w:firstLine="470" w:firstLineChars="196"/>
        <w:rPr>
          <w:rFonts w:hint="eastAsia" w:ascii="宋体" w:hAnsi="宋体" w:eastAsia="宋体" w:cs="宋体"/>
          <w:color w:val="auto"/>
        </w:rPr>
      </w:pPr>
      <w:r>
        <w:rPr>
          <w:rFonts w:hint="eastAsia" w:ascii="宋体" w:hAnsi="宋体" w:eastAsia="宋体" w:cs="宋体"/>
          <w:color w:val="auto"/>
        </w:rPr>
        <w:t>a.名片、宣传册、广告标语等；</w:t>
      </w:r>
    </w:p>
    <w:p w14:paraId="307087CE">
      <w:pPr>
        <w:ind w:left="240" w:leftChars="100" w:firstLine="470" w:firstLineChars="196"/>
        <w:rPr>
          <w:rFonts w:hint="eastAsia" w:ascii="宋体" w:hAnsi="宋体" w:eastAsia="宋体" w:cs="宋体"/>
          <w:color w:val="auto"/>
        </w:rPr>
      </w:pPr>
      <w:r>
        <w:rPr>
          <w:rFonts w:hint="eastAsia" w:ascii="宋体" w:hAnsi="宋体" w:eastAsia="宋体" w:cs="宋体"/>
          <w:color w:val="auto"/>
        </w:rPr>
        <w:t>b.案例介绍、推广等；</w:t>
      </w:r>
    </w:p>
    <w:p w14:paraId="52932AF2">
      <w:pPr>
        <w:ind w:left="240" w:leftChars="100" w:firstLine="470" w:firstLineChars="196"/>
        <w:rPr>
          <w:rFonts w:hint="eastAsia" w:ascii="宋体" w:hAnsi="宋体" w:eastAsia="宋体" w:cs="宋体"/>
          <w:color w:val="auto"/>
        </w:rPr>
      </w:pPr>
      <w:r>
        <w:rPr>
          <w:rFonts w:hint="eastAsia" w:ascii="宋体" w:hAnsi="宋体" w:eastAsia="宋体" w:cs="宋体"/>
          <w:color w:val="auto"/>
        </w:rPr>
        <w:t>c.工作人员向其他消费群体宣传。</w:t>
      </w:r>
    </w:p>
    <w:p w14:paraId="2CBCC88C">
      <w:pPr>
        <w:rPr>
          <w:rFonts w:hint="eastAsia" w:ascii="宋体" w:hAnsi="宋体" w:eastAsia="宋体" w:cs="宋体"/>
          <w:color w:val="auto"/>
        </w:rPr>
      </w:pPr>
      <w:r>
        <w:rPr>
          <w:rFonts w:hint="eastAsia" w:ascii="宋体" w:hAnsi="宋体" w:eastAsia="宋体" w:cs="宋体"/>
          <w:color w:val="auto"/>
        </w:rPr>
        <w:t>51. 供应商违法责任</w:t>
      </w:r>
    </w:p>
    <w:p w14:paraId="32E5552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A6FBBC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（1）在采购活动中应当回避而未回避的；</w:t>
      </w:r>
    </w:p>
    <w:p w14:paraId="548827D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（2）未按本条例规定签订、履行采购合同，造成严重后果的；</w:t>
      </w:r>
    </w:p>
    <w:p w14:paraId="6AB483D4">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（3）隐瞒真实情况，提供虚假资料的；</w:t>
      </w:r>
    </w:p>
    <w:p w14:paraId="5FF68980">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（4）以非法手段排斥其他供应商参与竞争的；</w:t>
      </w:r>
    </w:p>
    <w:p w14:paraId="3C6F87D1">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（5）与其他采购参加人串通投标的；</w:t>
      </w:r>
    </w:p>
    <w:p w14:paraId="18201C6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（6）恶意投诉的；</w:t>
      </w:r>
    </w:p>
    <w:p w14:paraId="4CCC82F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（7）向采购项目相关人行贿或者提供其他不当利益的；</w:t>
      </w:r>
    </w:p>
    <w:p w14:paraId="4F95B63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（8）阻碍、抗拒主管部门监督检查的；</w:t>
      </w:r>
    </w:p>
    <w:p w14:paraId="1F5692CF">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（9）其他违反本条例规定的行为。</w:t>
      </w:r>
    </w:p>
    <w:p w14:paraId="7E132728">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51.2 根据《深圳市财政局关于明确政府采购保证金管理工作的通知》（深财购[2019]42号）的要求，供应商在政府采购活动中出现《深圳经济特区政府采购条例实施细则》第八十四条所列情形的，</w:t>
      </w:r>
      <w:bookmarkStart w:id="97" w:name="_Hlk72440769"/>
      <w:r>
        <w:rPr>
          <w:rFonts w:hint="eastAsia" w:ascii="宋体" w:hAnsi="宋体" w:eastAsia="宋体" w:cs="宋体"/>
          <w:color w:val="auto"/>
          <w:szCs w:val="21"/>
        </w:rPr>
        <w:t>采购人或</w:t>
      </w:r>
      <w:bookmarkEnd w:id="97"/>
      <w:r>
        <w:rPr>
          <w:rFonts w:hint="eastAsia" w:ascii="宋体" w:hAnsi="宋体" w:eastAsia="宋体" w:cs="宋体"/>
          <w:color w:val="auto"/>
          <w:szCs w:val="21"/>
        </w:rPr>
        <w:t>招标机构可将有关情况报同级财政部门，由财政部门根据实际情况记入供应商诚信档案，予以通报：</w:t>
      </w:r>
    </w:p>
    <w:p w14:paraId="096466E6">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（1）投标截止后，撤销投标的；</w:t>
      </w:r>
    </w:p>
    <w:p w14:paraId="3209094C">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（2）中标后无正当理由未在规定期限内签订合同的；</w:t>
      </w:r>
    </w:p>
    <w:p w14:paraId="08EEC6CE">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（3）将中标项目转让给他人、或者在投标文件中未说明且未经采购人、采购招标机构同意，将中标项目分包给他人的；</w:t>
      </w:r>
    </w:p>
    <w:p w14:paraId="16663E95">
      <w:pPr>
        <w:ind w:firstLine="470" w:firstLineChars="196"/>
        <w:rPr>
          <w:rFonts w:hint="eastAsia" w:ascii="宋体" w:hAnsi="宋体" w:eastAsia="宋体" w:cs="宋体"/>
          <w:color w:val="auto"/>
          <w:szCs w:val="21"/>
        </w:rPr>
      </w:pPr>
      <w:r>
        <w:rPr>
          <w:rFonts w:hint="eastAsia" w:ascii="宋体" w:hAnsi="宋体" w:eastAsia="宋体" w:cs="宋体"/>
          <w:color w:val="auto"/>
          <w:szCs w:val="21"/>
        </w:rPr>
        <w:t>（4）拒绝履行合同义务的。</w:t>
      </w:r>
      <w:bookmarkEnd w:id="81"/>
    </w:p>
    <w:p w14:paraId="0A526B50">
      <w:pPr>
        <w:pStyle w:val="7"/>
        <w:numPr>
          <w:ilvl w:val="0"/>
          <w:numId w:val="8"/>
        </w:numPr>
        <w:tabs>
          <w:tab w:val="left" w:pos="360"/>
          <w:tab w:val="clear" w:pos="720"/>
        </w:tabs>
        <w:spacing w:before="120" w:beforeLines="50" w:after="120" w:afterLines="50"/>
        <w:ind w:left="562" w:hanging="562"/>
        <w:rPr>
          <w:rFonts w:hint="eastAsia" w:ascii="宋体" w:hAnsi="宋体" w:eastAsia="宋体" w:cs="宋体"/>
          <w:color w:val="auto"/>
          <w:sz w:val="28"/>
          <w:szCs w:val="28"/>
        </w:rPr>
      </w:pPr>
      <w:r>
        <w:rPr>
          <w:rFonts w:hint="eastAsia" w:ascii="宋体" w:hAnsi="宋体" w:eastAsia="宋体" w:cs="宋体"/>
          <w:color w:val="auto"/>
          <w:sz w:val="28"/>
          <w:szCs w:val="28"/>
        </w:rPr>
        <w:t>质疑处理</w:t>
      </w:r>
    </w:p>
    <w:p w14:paraId="05AE034B">
      <w:pPr>
        <w:rPr>
          <w:rFonts w:hint="eastAsia" w:ascii="宋体" w:hAnsi="宋体" w:eastAsia="宋体" w:cs="宋体"/>
          <w:color w:val="auto"/>
        </w:rPr>
      </w:pPr>
      <w:bookmarkStart w:id="98" w:name="_Hlk72439706"/>
      <w:r>
        <w:rPr>
          <w:rFonts w:hint="eastAsia" w:ascii="宋体" w:hAnsi="宋体" w:eastAsia="宋体" w:cs="宋体"/>
          <w:color w:val="auto"/>
        </w:rPr>
        <w:t>52.质疑提出与答复</w:t>
      </w:r>
    </w:p>
    <w:p w14:paraId="777244E1">
      <w:pPr>
        <w:rPr>
          <w:rFonts w:hint="eastAsia" w:ascii="宋体" w:hAnsi="宋体" w:eastAsia="宋体" w:cs="宋体"/>
          <w:color w:val="auto"/>
          <w:szCs w:val="21"/>
        </w:rPr>
      </w:pPr>
      <w:r>
        <w:rPr>
          <w:rFonts w:hint="eastAsia" w:ascii="宋体" w:hAnsi="宋体" w:eastAsia="宋体" w:cs="宋体"/>
          <w:color w:val="auto"/>
          <w:szCs w:val="21"/>
        </w:rPr>
        <w:t xml:space="preserve">    52.1提出质疑</w:t>
      </w:r>
    </w:p>
    <w:p w14:paraId="178AADA5">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参与政府采购活动的供应商认为自己的权益在采购活动中受到损害的，应当自知道或者应当知道其权益受到损害之日起七个工作日内向采购人、招标机构以书面形式提出质疑。</w:t>
      </w:r>
    </w:p>
    <w:p w14:paraId="1D11B0DC">
      <w:pPr>
        <w:rPr>
          <w:rFonts w:hint="eastAsia" w:ascii="宋体" w:hAnsi="宋体" w:eastAsia="宋体" w:cs="宋体"/>
          <w:color w:val="auto"/>
          <w:szCs w:val="21"/>
        </w:rPr>
      </w:pPr>
      <w:r>
        <w:rPr>
          <w:rFonts w:hint="eastAsia" w:ascii="宋体" w:hAnsi="宋体" w:eastAsia="宋体" w:cs="宋体"/>
          <w:color w:val="auto"/>
          <w:szCs w:val="21"/>
        </w:rPr>
        <w:t xml:space="preserve">    52.2法律依据</w:t>
      </w:r>
    </w:p>
    <w:p w14:paraId="4A05E04E">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5F479A">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52.3质疑条件</w:t>
      </w:r>
    </w:p>
    <w:p w14:paraId="40D86398">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52.3.1提出质疑的供应商应当是参与所质疑项目采购活动的供应商；</w:t>
      </w:r>
      <w:bookmarkStart w:id="99" w:name="_Hlk75374941"/>
      <w:r>
        <w:rPr>
          <w:rFonts w:hint="eastAsia" w:ascii="宋体" w:hAnsi="宋体" w:eastAsia="宋体" w:cs="宋体"/>
          <w:color w:val="auto"/>
          <w:szCs w:val="21"/>
        </w:rPr>
        <w:t>以联合体形式参与的，质疑应当由组成联合体的所有成员共同提出</w:t>
      </w:r>
      <w:bookmarkEnd w:id="99"/>
      <w:r>
        <w:rPr>
          <w:rFonts w:hint="eastAsia" w:ascii="宋体" w:hAnsi="宋体" w:eastAsia="宋体" w:cs="宋体"/>
          <w:color w:val="auto"/>
          <w:szCs w:val="21"/>
        </w:rPr>
        <w:t>；</w:t>
      </w:r>
    </w:p>
    <w:p w14:paraId="1FFC41C3">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3ADB656">
      <w:pPr>
        <w:ind w:firstLine="420"/>
        <w:rPr>
          <w:rFonts w:hint="eastAsia" w:ascii="宋体" w:hAnsi="宋体" w:eastAsia="宋体" w:cs="宋体"/>
          <w:color w:val="auto"/>
          <w:szCs w:val="21"/>
        </w:rPr>
      </w:pPr>
      <w:r>
        <w:rPr>
          <w:rFonts w:hint="eastAsia" w:ascii="宋体" w:hAnsi="宋体" w:eastAsia="宋体" w:cs="宋体"/>
          <w:color w:val="auto"/>
          <w:szCs w:val="21"/>
        </w:rPr>
        <w:t>52.3.3应提交书面质疑函，质疑函应当包括以下内容：</w:t>
      </w:r>
    </w:p>
    <w:p w14:paraId="39277379">
      <w:pPr>
        <w:ind w:firstLine="420"/>
        <w:rPr>
          <w:rFonts w:hint="eastAsia" w:ascii="宋体" w:hAnsi="宋体" w:eastAsia="宋体" w:cs="宋体"/>
          <w:color w:val="auto"/>
          <w:szCs w:val="21"/>
        </w:rPr>
      </w:pPr>
      <w:r>
        <w:rPr>
          <w:rFonts w:hint="eastAsia" w:ascii="宋体" w:hAnsi="宋体" w:eastAsia="宋体" w:cs="宋体"/>
          <w:color w:val="auto"/>
          <w:szCs w:val="21"/>
        </w:rPr>
        <w:t>（1）供应商的名称（或者姓名）、地址、邮编、邮箱、联系人及联系电话；</w:t>
      </w:r>
    </w:p>
    <w:p w14:paraId="27340D8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（2）质疑项目的名称、编号；</w:t>
      </w:r>
    </w:p>
    <w:p w14:paraId="030F01A5">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（3）具体、明确的质疑对象、质疑事项和质疑请求；</w:t>
      </w:r>
    </w:p>
    <w:p w14:paraId="105A64AC">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（4）因质疑事项而受损害的权益；</w:t>
      </w:r>
    </w:p>
    <w:p w14:paraId="7C69AB3D">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（5）事实依据；</w:t>
      </w:r>
    </w:p>
    <w:p w14:paraId="05B7F260">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（6）必要的法律依据；</w:t>
      </w:r>
    </w:p>
    <w:p w14:paraId="174E7418">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（7）提出质疑的日期。</w:t>
      </w:r>
    </w:p>
    <w:p w14:paraId="2AFB8F2B">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供应商为自然人的，应当由本人签字；供应商为法人或者其他组织的，应当由法定代表人（负责人），或者其授权代理人签字或者盖章，并加盖公章。</w:t>
      </w:r>
    </w:p>
    <w:p w14:paraId="3E0E1BC1">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52.4提交材料</w:t>
      </w:r>
    </w:p>
    <w:p w14:paraId="78506407">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7A3769A">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5976EE7">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52.5提交方式</w:t>
      </w:r>
    </w:p>
    <w:p w14:paraId="0C81FD30">
      <w:pPr>
        <w:ind w:firstLine="420"/>
        <w:rPr>
          <w:rFonts w:hint="eastAsia" w:ascii="宋体" w:hAnsi="宋体" w:eastAsia="宋体" w:cs="宋体"/>
          <w:color w:val="auto"/>
          <w:szCs w:val="21"/>
        </w:rPr>
      </w:pPr>
      <w:r>
        <w:rPr>
          <w:rFonts w:hint="eastAsia" w:ascii="宋体" w:hAnsi="宋体" w:eastAsia="宋体" w:cs="宋体"/>
          <w:color w:val="auto"/>
          <w:szCs w:val="21"/>
        </w:rPr>
        <w:t>52.5.1供应商登录“深圳政府采购智慧平台用户网上办事子系统（http://zfcg.szggzy.com:8081/TPBidder/memberLogin）”，在“【我的项目】→【项目流程】→【质疑】”中提出质疑。</w:t>
      </w:r>
    </w:p>
    <w:p w14:paraId="74E12E2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52.5.2请质疑供应商根据深圳政府采购智慧平台（http://zfcg.szggzy.com:8081/）所发布的质疑指引、质疑函模板填写质疑函并提交质疑材料。</w:t>
      </w:r>
      <w:r>
        <w:rPr>
          <w:rFonts w:hint="eastAsia" w:ascii="宋体" w:hAnsi="宋体" w:eastAsia="宋体" w:cs="宋体"/>
          <w:b/>
          <w:bCs/>
          <w:color w:val="auto"/>
          <w:szCs w:val="21"/>
        </w:rPr>
        <w:t>地址：深圳市福田区福田体育公园西北角友和招标代理服务中心（靠近北门），质疑咨询电话：0755-8388</w:t>
      </w:r>
      <w:r>
        <w:rPr>
          <w:rFonts w:hint="eastAsia" w:ascii="宋体" w:hAnsi="宋体" w:eastAsia="宋体" w:cs="宋体"/>
          <w:b/>
          <w:bCs/>
          <w:color w:val="auto"/>
          <w:szCs w:val="21"/>
          <w:lang w:val="en-US" w:eastAsia="zh-CN"/>
        </w:rPr>
        <w:t>XXXX</w:t>
      </w:r>
      <w:r>
        <w:rPr>
          <w:rFonts w:hint="eastAsia" w:ascii="宋体" w:hAnsi="宋体" w:eastAsia="宋体" w:cs="宋体"/>
          <w:b/>
          <w:bCs/>
          <w:color w:val="auto"/>
          <w:szCs w:val="21"/>
        </w:rPr>
        <w:t>。</w:t>
      </w:r>
    </w:p>
    <w:p w14:paraId="4C7EB70C">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52.6收文办理程序</w:t>
      </w:r>
    </w:p>
    <w:p w14:paraId="444DDE07">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52.6.1供应商提交的质疑符合受理条件的，招标机构自收到质疑材料之日起即为受理，应当向供应商出具质疑函收文回执并可以要求其递交质疑的法定代表人（负责人）或者授权代理人签署质疑文书送达地址确认书。</w:t>
      </w:r>
    </w:p>
    <w:p w14:paraId="1FFC105E">
      <w:pPr>
        <w:ind w:firstLine="480" w:firstLineChars="200"/>
        <w:rPr>
          <w:rFonts w:hint="eastAsia" w:ascii="宋体" w:hAnsi="宋体" w:eastAsia="宋体" w:cs="宋体"/>
          <w:color w:val="auto"/>
          <w:sz w:val="28"/>
          <w:szCs w:val="28"/>
        </w:rPr>
      </w:pPr>
      <w:r>
        <w:rPr>
          <w:rFonts w:hint="eastAsia" w:ascii="宋体" w:hAnsi="宋体" w:eastAsia="宋体" w:cs="宋体"/>
          <w:color w:val="auto"/>
          <w:szCs w:val="21"/>
        </w:rPr>
        <w:t>52.6.2供应商提交的质疑材料不符合质疑条件的，视情况处理：</w:t>
      </w:r>
    </w:p>
    <w:p w14:paraId="670A216A">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供应商提交的质疑材料不全或者未按要求签字或者盖章的，招标机构应当一次性告知供应商需补正的内容和补正期限。</w:t>
      </w:r>
    </w:p>
    <w:p w14:paraId="3561444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供应商提交的质疑存在下列情形之一的，不予受理：</w:t>
      </w:r>
    </w:p>
    <w:p w14:paraId="594EFB7C">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（1）质疑主体不满足要求的；</w:t>
      </w:r>
    </w:p>
    <w:p w14:paraId="56F54EC1">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（2）供应商自身权益未受到损害的；</w:t>
      </w:r>
    </w:p>
    <w:p w14:paraId="47CB22DE">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（3）供应商未在法定质疑期限内提出质疑的；</w:t>
      </w:r>
    </w:p>
    <w:p w14:paraId="4DA00C56">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（4）质疑材料不全或者未按要求签字或者盖章的情况下，要求补正后，逾期未补正或者补正后仍不符合规定的；</w:t>
      </w:r>
    </w:p>
    <w:p w14:paraId="43A53F4C">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（5）其他不符合受理条件情形的。</w:t>
      </w:r>
    </w:p>
    <w:p w14:paraId="5EB41E46">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质疑事项不予受理的，招标机构应当向供应商出具不符合质疑条件告知书。</w:t>
      </w:r>
    </w:p>
    <w:p w14:paraId="7D549600">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52.7质疑答复时限</w:t>
      </w:r>
    </w:p>
    <w:p w14:paraId="5854E215">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自收文之日起七个工作日内。</w:t>
      </w:r>
    </w:p>
    <w:p w14:paraId="68E7F1D9">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52.8投诉</w:t>
      </w:r>
    </w:p>
    <w:p w14:paraId="725103D5">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对质疑答复不满意或者未在规定时间内答复的，提出质疑的供应商可以在答复期满后15个工作日内向同级财政部门投诉。</w:t>
      </w:r>
    </w:p>
    <w:p w14:paraId="35421FB4">
      <w:pPr>
        <w:ind w:firstLine="482" w:firstLineChars="200"/>
        <w:rPr>
          <w:rFonts w:hint="eastAsia" w:ascii="宋体" w:hAnsi="宋体" w:eastAsia="宋体" w:cs="宋体"/>
          <w:b/>
          <w:bCs/>
          <w:color w:val="auto"/>
          <w:szCs w:val="21"/>
        </w:rPr>
      </w:pPr>
      <w:r>
        <w:rPr>
          <w:rFonts w:hint="eastAsia" w:ascii="宋体" w:hAnsi="宋体" w:eastAsia="宋体" w:cs="宋体"/>
          <w:b/>
          <w:bCs/>
          <w:color w:val="auto"/>
          <w:szCs w:val="21"/>
        </w:rPr>
        <w:t xml:space="preserve">53. 质疑后续处理   </w:t>
      </w:r>
    </w:p>
    <w:p w14:paraId="6EEA0E76">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53.1供应商质疑不成立，或者成立但未对中标、成交结果构成影响的，继续开展采购活动。</w:t>
      </w:r>
    </w:p>
    <w:p w14:paraId="3B6B2806">
      <w:pPr>
        <w:ind w:firstLine="480" w:firstLineChars="200"/>
        <w:rPr>
          <w:rFonts w:hint="eastAsia" w:ascii="宋体" w:hAnsi="宋体" w:eastAsia="宋体" w:cs="宋体"/>
          <w:color w:val="auto"/>
        </w:rPr>
      </w:pPr>
      <w:r>
        <w:rPr>
          <w:rFonts w:hint="eastAsia" w:ascii="宋体" w:hAnsi="宋体" w:eastAsia="宋体" w:cs="宋体"/>
          <w:color w:val="auto"/>
          <w:szCs w:val="21"/>
        </w:rPr>
        <w:t>53.2供</w:t>
      </w:r>
      <w:r>
        <w:rPr>
          <w:rFonts w:hint="eastAsia" w:ascii="宋体" w:hAnsi="宋体" w:eastAsia="宋体" w:cs="宋体"/>
          <w:color w:val="auto"/>
        </w:rPr>
        <w:t>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6C11F25">
      <w:pPr>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54违约责任</w:t>
      </w:r>
    </w:p>
    <w:p w14:paraId="1B9CE067">
      <w:pPr>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54.1供应商若在政府采购活动存在下列违法行为，给采购人、采购代理机造成损失的，应当承担赔偿责任。</w:t>
      </w:r>
    </w:p>
    <w:p w14:paraId="15DF0CB0">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（1）未按照规定签订、履行采购合同；</w:t>
      </w:r>
    </w:p>
    <w:p w14:paraId="16BDC007">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（2）提供虚假材料谋取中标、成交的；</w:t>
      </w:r>
    </w:p>
    <w:p w14:paraId="3A143047">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（3）采取不正当手段诋毁、排挤其他供应商的；</w:t>
      </w:r>
    </w:p>
    <w:p w14:paraId="6795B774">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（4）与其他供应商恶意串通的；</w:t>
      </w:r>
    </w:p>
    <w:p w14:paraId="0AFED536">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（5）拒绝有关部门监督检查或者提供虚假情况的；</w:t>
      </w:r>
    </w:p>
    <w:p w14:paraId="7562271E">
      <w:pPr>
        <w:pStyle w:val="14"/>
        <w:rPr>
          <w:rFonts w:hint="eastAsia" w:ascii="宋体" w:hAnsi="宋体" w:eastAsia="宋体" w:cs="宋体"/>
          <w:color w:val="auto"/>
          <w:lang w:val="en-US" w:eastAsia="zh-CN"/>
        </w:rPr>
      </w:pPr>
      <w:r>
        <w:rPr>
          <w:rFonts w:hint="eastAsia" w:ascii="宋体" w:hAnsi="宋体" w:eastAsia="宋体" w:cs="宋体"/>
          <w:color w:val="auto"/>
          <w:lang w:val="en-US" w:eastAsia="zh-CN"/>
        </w:rPr>
        <w:t>（6）经主管部门认定的其他违法采购相关法律法规的行为。</w:t>
      </w:r>
    </w:p>
    <w:p w14:paraId="2F63E980">
      <w:pPr>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54.2采购人、采购代理机构有权对违法供应商造成的损失进行追偿，可优先在已缴纳的代理服务费中进行抵扣，已缴纳的代理服务费不足以赔偿采购人、采购代理机构损失的，采购人、采购代理机构有权向人民法院提起诉讼。</w:t>
      </w:r>
    </w:p>
    <w:p w14:paraId="668E070F">
      <w:pPr>
        <w:pStyle w:val="14"/>
        <w:rPr>
          <w:rFonts w:hint="eastAsia" w:ascii="宋体" w:hAnsi="宋体" w:eastAsia="宋体" w:cs="宋体"/>
          <w:color w:val="auto"/>
        </w:rPr>
      </w:pPr>
    </w:p>
    <w:p w14:paraId="64EEC331">
      <w:pPr>
        <w:jc w:val="center"/>
        <w:rPr>
          <w:rFonts w:hint="eastAsia" w:ascii="宋体" w:hAnsi="宋体" w:eastAsia="宋体" w:cs="宋体"/>
          <w:color w:val="auto"/>
        </w:rPr>
      </w:pPr>
      <w:r>
        <w:rPr>
          <w:rFonts w:hint="eastAsia" w:ascii="宋体" w:hAnsi="宋体" w:eastAsia="宋体" w:cs="宋体"/>
          <w:color w:val="auto"/>
        </w:rPr>
        <w:t>---- END ----</w:t>
      </w:r>
      <w:bookmarkEnd w:id="98"/>
    </w:p>
    <w:p w14:paraId="0B8C7476">
      <w:pPr>
        <w:rPr>
          <w:rFonts w:hint="eastAsia" w:ascii="宋体" w:hAnsi="宋体" w:eastAsia="宋体" w:cs="宋体"/>
          <w:color w:val="auto"/>
          <w:szCs w:val="21"/>
        </w:rPr>
      </w:pPr>
    </w:p>
    <w:p w14:paraId="71BFDE4D">
      <w:pPr>
        <w:rPr>
          <w:rFonts w:hint="eastAsia" w:ascii="宋体" w:hAnsi="宋体" w:eastAsia="宋体" w:cs="宋体"/>
          <w:color w:val="auto"/>
        </w:rPr>
      </w:pPr>
    </w:p>
    <w:p w14:paraId="50667447">
      <w:pPr>
        <w:rPr>
          <w:rFonts w:hint="eastAsia" w:ascii="宋体" w:hAnsi="宋体" w:eastAsia="宋体" w:cs="宋体"/>
          <w:color w:val="auto"/>
        </w:rPr>
      </w:pPr>
    </w:p>
    <w:sectPr>
      <w:footerReference r:id="rId7" w:type="default"/>
      <w:type w:val="continuous"/>
      <w:pgSz w:w="11906" w:h="16838"/>
      <w:pgMar w:top="1440" w:right="1800" w:bottom="1440" w:left="1800"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3B472">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F35BB">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1CF35BB">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6D6C">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83DE8">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783DE8">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4DD13">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C4516">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y3/S1AAAAAUBAAAPAAAAAAAAAAEAIAAAACIAAABkcnMvZG93bnJldi54&#10;bWxQSwECFAAUAAAACACHTuJAaKIrBzcCAABlBAAADgAAAAAAAAABACAAAAAjAQAAZHJzL2Uyb0Rv&#10;Yy54bWxQSwUGAAAAAAYABgBZAQAAzAUAAAAA&#10;">
              <v:fill on="f" focussize="0,0"/>
              <v:stroke on="f" weight="0.5pt"/>
              <v:imagedata o:title=""/>
              <o:lock v:ext="edit" aspectratio="f"/>
              <v:textbox inset="0mm,0mm,0mm,0mm" style="mso-fit-shape-to-text:t;">
                <w:txbxContent>
                  <w:p w14:paraId="1CEC4516">
                    <w:pPr>
                      <w:pStyle w:val="2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39DE"/>
    <w:multiLevelType w:val="singleLevel"/>
    <w:tmpl w:val="A7FF39DE"/>
    <w:lvl w:ilvl="0" w:tentative="0">
      <w:start w:val="1"/>
      <w:numFmt w:val="decimal"/>
      <w:suff w:val="nothing"/>
      <w:lvlText w:val="（%1）"/>
      <w:lvlJc w:val="left"/>
    </w:lvl>
  </w:abstractNum>
  <w:abstractNum w:abstractNumId="1">
    <w:nsid w:val="AE9FD6D8"/>
    <w:multiLevelType w:val="multilevel"/>
    <w:tmpl w:val="AE9FD6D8"/>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7F93B5E"/>
    <w:multiLevelType w:val="multilevel"/>
    <w:tmpl w:val="B7F93B5E"/>
    <w:lvl w:ilvl="0" w:tentative="0">
      <w:start w:val="3"/>
      <w:numFmt w:val="decimal"/>
      <w:suff w:val="nothing"/>
      <w:lvlText w:val="（%1）"/>
      <w:lvlJc w:val="left"/>
      <w:rPr>
        <w:rFonts w:hint="default"/>
        <w:b/>
        <w:bC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BFAFF7F7"/>
    <w:multiLevelType w:val="singleLevel"/>
    <w:tmpl w:val="BFAFF7F7"/>
    <w:lvl w:ilvl="0" w:tentative="0">
      <w:start w:val="1"/>
      <w:numFmt w:val="decimal"/>
      <w:suff w:val="nothing"/>
      <w:lvlText w:val="（%1）"/>
      <w:lvlJc w:val="left"/>
    </w:lvl>
  </w:abstractNum>
  <w:abstractNum w:abstractNumId="4">
    <w:nsid w:val="FFB7CCCA"/>
    <w:multiLevelType w:val="singleLevel"/>
    <w:tmpl w:val="FFB7CCCA"/>
    <w:lvl w:ilvl="0" w:tentative="0">
      <w:start w:val="1"/>
      <w:numFmt w:val="decimal"/>
      <w:suff w:val="nothing"/>
      <w:lvlText w:val="（%1）"/>
      <w:lvlJc w:val="left"/>
    </w:lvl>
  </w:abstractNum>
  <w:abstractNum w:abstractNumId="5">
    <w:nsid w:val="46DC5BE4"/>
    <w:multiLevelType w:val="multilevel"/>
    <w:tmpl w:val="46DC5BE4"/>
    <w:lvl w:ilvl="0" w:tentative="0">
      <w:start w:val="1"/>
      <w:numFmt w:val="chineseCountingThousand"/>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FF0AD7"/>
    <w:multiLevelType w:val="singleLevel"/>
    <w:tmpl w:val="49FF0AD7"/>
    <w:lvl w:ilvl="0" w:tentative="0">
      <w:start w:val="1"/>
      <w:numFmt w:val="decimal"/>
      <w:lvlText w:val="%1."/>
      <w:lvlJc w:val="left"/>
      <w:pPr>
        <w:tabs>
          <w:tab w:val="left" w:pos="312"/>
        </w:tabs>
      </w:pPr>
    </w:lvl>
  </w:abstractNum>
  <w:abstractNum w:abstractNumId="7">
    <w:nsid w:val="739FED4D"/>
    <w:multiLevelType w:val="multilevel"/>
    <w:tmpl w:val="739FED4D"/>
    <w:lvl w:ilvl="0" w:tentative="0">
      <w:start w:val="1"/>
      <w:numFmt w:val="chineseCountingThousand"/>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6"/>
  </w:num>
  <w:num w:numId="2">
    <w:abstractNumId w:val="2"/>
  </w:num>
  <w:num w:numId="3">
    <w:abstractNumId w:val="7"/>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777E"/>
    <w:rsid w:val="014F4893"/>
    <w:rsid w:val="01DE1773"/>
    <w:rsid w:val="034445B5"/>
    <w:rsid w:val="045F4DED"/>
    <w:rsid w:val="04727D76"/>
    <w:rsid w:val="062F07EF"/>
    <w:rsid w:val="07504EC1"/>
    <w:rsid w:val="07FD6770"/>
    <w:rsid w:val="0FF6A560"/>
    <w:rsid w:val="116E48C1"/>
    <w:rsid w:val="13637D2A"/>
    <w:rsid w:val="143516C6"/>
    <w:rsid w:val="18722EE9"/>
    <w:rsid w:val="189574C1"/>
    <w:rsid w:val="19FB6F0E"/>
    <w:rsid w:val="1C2324A2"/>
    <w:rsid w:val="1D2E3961"/>
    <w:rsid w:val="1F205DE8"/>
    <w:rsid w:val="1F5E5F75"/>
    <w:rsid w:val="20AE7D0E"/>
    <w:rsid w:val="271E423C"/>
    <w:rsid w:val="2B520958"/>
    <w:rsid w:val="2BB37649"/>
    <w:rsid w:val="31B5579D"/>
    <w:rsid w:val="31F568E1"/>
    <w:rsid w:val="3281224F"/>
    <w:rsid w:val="33C728B0"/>
    <w:rsid w:val="345B0C6D"/>
    <w:rsid w:val="353A7B82"/>
    <w:rsid w:val="35D03610"/>
    <w:rsid w:val="3A86059F"/>
    <w:rsid w:val="3A8D79BF"/>
    <w:rsid w:val="3CCA47F2"/>
    <w:rsid w:val="3F4F0FDF"/>
    <w:rsid w:val="3F744EE9"/>
    <w:rsid w:val="3F7D12E0"/>
    <w:rsid w:val="3FAA26B9"/>
    <w:rsid w:val="447E48BF"/>
    <w:rsid w:val="45C82AE5"/>
    <w:rsid w:val="45D40490"/>
    <w:rsid w:val="45E701C3"/>
    <w:rsid w:val="4721125F"/>
    <w:rsid w:val="4C8B78B5"/>
    <w:rsid w:val="4CBD704D"/>
    <w:rsid w:val="4ECDE63F"/>
    <w:rsid w:val="4EDE412D"/>
    <w:rsid w:val="513949B1"/>
    <w:rsid w:val="52B70F1D"/>
    <w:rsid w:val="563E31AC"/>
    <w:rsid w:val="56646662"/>
    <w:rsid w:val="567E9CCF"/>
    <w:rsid w:val="5A135D35"/>
    <w:rsid w:val="5BD36D0A"/>
    <w:rsid w:val="5BD448EE"/>
    <w:rsid w:val="5CB70498"/>
    <w:rsid w:val="5E6D4B86"/>
    <w:rsid w:val="5F567DB0"/>
    <w:rsid w:val="62EE44E7"/>
    <w:rsid w:val="67EE4F89"/>
    <w:rsid w:val="6A640604"/>
    <w:rsid w:val="6A6D03E7"/>
    <w:rsid w:val="6C04149E"/>
    <w:rsid w:val="6DBB3B60"/>
    <w:rsid w:val="6F4F22A0"/>
    <w:rsid w:val="72A51A7B"/>
    <w:rsid w:val="73FC458A"/>
    <w:rsid w:val="770F5481"/>
    <w:rsid w:val="78A3591C"/>
    <w:rsid w:val="7A8D1B5B"/>
    <w:rsid w:val="7B0A1C83"/>
    <w:rsid w:val="7B6EF2F8"/>
    <w:rsid w:val="7F0778B3"/>
    <w:rsid w:val="7F682284"/>
    <w:rsid w:val="7F7F6A46"/>
    <w:rsid w:val="7FBFB531"/>
    <w:rsid w:val="7FCB1681"/>
    <w:rsid w:val="7FCF4AD3"/>
    <w:rsid w:val="96DF9183"/>
    <w:rsid w:val="EB97A3F1"/>
    <w:rsid w:val="F07F2325"/>
    <w:rsid w:val="F77CC79C"/>
    <w:rsid w:val="F9EE2235"/>
    <w:rsid w:val="FBD58FF2"/>
    <w:rsid w:val="FCFE41D2"/>
    <w:rsid w:val="FD6A1C6E"/>
    <w:rsid w:val="FE7D5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left"/>
    </w:pPr>
    <w:rPr>
      <w:rFonts w:hint="default" w:ascii="Times New Roman" w:hAnsi="Times New Roman" w:eastAsia="Times New Roman" w:cs="Times New Roman"/>
      <w:color w:val="auto"/>
      <w:spacing w:val="0"/>
      <w:position w:val="0"/>
      <w:sz w:val="24"/>
      <w:szCs w:val="24"/>
      <w:lang w:val="en-US" w:eastAsia="en-US" w:bidi="en-US"/>
    </w:rPr>
  </w:style>
  <w:style w:type="paragraph" w:styleId="4">
    <w:name w:val="heading 1"/>
    <w:basedOn w:val="5"/>
    <w:next w:val="1"/>
    <w:link w:val="194"/>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195"/>
    <w:qFormat/>
    <w:uiPriority w:val="0"/>
    <w:pPr>
      <w:jc w:val="center"/>
      <w:outlineLvl w:val="1"/>
    </w:pPr>
    <w:rPr>
      <w:sz w:val="24"/>
      <w:szCs w:val="20"/>
    </w:rPr>
  </w:style>
  <w:style w:type="paragraph" w:styleId="5">
    <w:name w:val="heading 3"/>
    <w:basedOn w:val="6"/>
    <w:next w:val="1"/>
    <w:link w:val="193"/>
    <w:qFormat/>
    <w:uiPriority w:val="9"/>
    <w:pPr>
      <w:spacing w:before="260" w:after="260" w:line="240" w:lineRule="auto"/>
      <w:outlineLvl w:val="2"/>
    </w:pPr>
    <w:rPr>
      <w:rFonts w:ascii="宋体" w:hAnsi="宋体" w:eastAsia="宋体"/>
      <w:szCs w:val="32"/>
    </w:rPr>
  </w:style>
  <w:style w:type="paragraph" w:styleId="6">
    <w:name w:val="heading 4"/>
    <w:basedOn w:val="1"/>
    <w:next w:val="1"/>
    <w:link w:val="19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5"/>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9">
    <w:name w:val="heading 6"/>
    <w:basedOn w:val="1"/>
    <w:next w:val="1"/>
    <w:link w:val="46"/>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10">
    <w:name w:val="heading 7"/>
    <w:basedOn w:val="1"/>
    <w:next w:val="1"/>
    <w:link w:val="47"/>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1">
    <w:name w:val="heading 8"/>
    <w:basedOn w:val="1"/>
    <w:next w:val="1"/>
    <w:link w:val="48"/>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2">
    <w:name w:val="heading 9"/>
    <w:basedOn w:val="1"/>
    <w:next w:val="1"/>
    <w:link w:val="49"/>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Body Text"/>
    <w:basedOn w:val="1"/>
    <w:next w:val="3"/>
    <w:link w:val="197"/>
    <w:qFormat/>
    <w:uiPriority w:val="0"/>
    <w:pPr>
      <w:spacing w:line="360" w:lineRule="auto"/>
    </w:pPr>
    <w:rPr>
      <w:b/>
      <w:bCs/>
    </w:rPr>
  </w:style>
  <w:style w:type="paragraph" w:styleId="3">
    <w:name w:val="Body Text 2"/>
    <w:basedOn w:val="1"/>
    <w:qFormat/>
    <w:uiPriority w:val="0"/>
    <w:pPr>
      <w:spacing w:line="360" w:lineRule="auto"/>
    </w:pPr>
    <w:rPr>
      <w:sz w:val="24"/>
    </w:rPr>
  </w:style>
  <w:style w:type="paragraph" w:styleId="13">
    <w:name w:val="toc 7"/>
    <w:basedOn w:val="1"/>
    <w:next w:val="1"/>
    <w:unhideWhenUsed/>
    <w:qFormat/>
    <w:uiPriority w:val="39"/>
    <w:pPr>
      <w:overflowPunct w:val="0"/>
      <w:autoSpaceDE w:val="0"/>
      <w:autoSpaceDN w:val="0"/>
      <w:spacing w:after="57"/>
      <w:ind w:left="1701" w:right="0" w:firstLine="0"/>
    </w:pPr>
  </w:style>
  <w:style w:type="paragraph" w:styleId="14">
    <w:name w:val="Normal Indent"/>
    <w:basedOn w:val="1"/>
    <w:link w:val="191"/>
    <w:qFormat/>
    <w:uiPriority w:val="0"/>
    <w:pPr>
      <w:ind w:firstLine="420"/>
    </w:pPr>
    <w:rPr>
      <w:szCs w:val="20"/>
    </w:rPr>
  </w:style>
  <w:style w:type="paragraph" w:styleId="15">
    <w:name w:val="caption"/>
    <w:basedOn w:val="1"/>
    <w:next w:val="1"/>
    <w:semiHidden/>
    <w:unhideWhenUsed/>
    <w:qFormat/>
    <w:uiPriority w:val="35"/>
    <w:pPr>
      <w:overflowPunct w:val="0"/>
      <w:autoSpaceDE w:val="0"/>
      <w:autoSpaceDN w:val="0"/>
      <w:spacing w:line="276" w:lineRule="auto"/>
    </w:pPr>
    <w:rPr>
      <w:b/>
      <w:bCs/>
      <w:color w:val="4F81BD" w:themeColor="accent1"/>
      <w:sz w:val="18"/>
      <w:szCs w:val="18"/>
      <w14:textFill>
        <w14:solidFill>
          <w14:schemeClr w14:val="accent1"/>
        </w14:solidFill>
      </w14:textFill>
    </w:rPr>
  </w:style>
  <w:style w:type="paragraph" w:styleId="16">
    <w:name w:val="annotation text"/>
    <w:basedOn w:val="1"/>
    <w:link w:val="196"/>
    <w:unhideWhenUsed/>
    <w:qFormat/>
    <w:uiPriority w:val="0"/>
  </w:style>
  <w:style w:type="paragraph" w:styleId="17">
    <w:name w:val="Body Text Indent"/>
    <w:basedOn w:val="1"/>
    <w:qFormat/>
    <w:uiPriority w:val="99"/>
    <w:pPr>
      <w:spacing w:after="120"/>
      <w:ind w:left="420" w:leftChars="200"/>
    </w:pPr>
    <w:rPr>
      <w:rFonts w:ascii="Times New Roman" w:hAnsi="Times New Roman" w:eastAsia="宋体" w:cs="Times New Roman"/>
      <w:sz w:val="21"/>
    </w:rPr>
  </w:style>
  <w:style w:type="paragraph" w:styleId="18">
    <w:name w:val="toc 5"/>
    <w:basedOn w:val="1"/>
    <w:next w:val="1"/>
    <w:unhideWhenUsed/>
    <w:qFormat/>
    <w:uiPriority w:val="39"/>
    <w:pPr>
      <w:overflowPunct w:val="0"/>
      <w:autoSpaceDE w:val="0"/>
      <w:autoSpaceDN w:val="0"/>
      <w:spacing w:after="57"/>
      <w:ind w:left="1134" w:right="0" w:firstLine="0"/>
    </w:pPr>
  </w:style>
  <w:style w:type="paragraph" w:styleId="19">
    <w:name w:val="toc 3"/>
    <w:basedOn w:val="1"/>
    <w:next w:val="1"/>
    <w:unhideWhenUsed/>
    <w:qFormat/>
    <w:uiPriority w:val="39"/>
    <w:pPr>
      <w:overflowPunct w:val="0"/>
      <w:autoSpaceDE w:val="0"/>
      <w:autoSpaceDN w:val="0"/>
      <w:spacing w:after="57"/>
      <w:ind w:left="567" w:right="0" w:firstLine="0"/>
    </w:pPr>
  </w:style>
  <w:style w:type="paragraph" w:styleId="20">
    <w:name w:val="Plain Text"/>
    <w:basedOn w:val="1"/>
    <w:unhideWhenUsed/>
    <w:qFormat/>
    <w:uiPriority w:val="99"/>
    <w:rPr>
      <w:rFonts w:ascii="宋体" w:hAnsi="Courier New" w:cs="Times New Roman"/>
    </w:rPr>
  </w:style>
  <w:style w:type="paragraph" w:styleId="21">
    <w:name w:val="toc 8"/>
    <w:basedOn w:val="1"/>
    <w:next w:val="1"/>
    <w:unhideWhenUsed/>
    <w:qFormat/>
    <w:uiPriority w:val="39"/>
    <w:pPr>
      <w:overflowPunct w:val="0"/>
      <w:autoSpaceDE w:val="0"/>
      <w:autoSpaceDN w:val="0"/>
      <w:spacing w:after="57"/>
      <w:ind w:left="1984" w:right="0" w:firstLine="0"/>
    </w:p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toc 1"/>
    <w:basedOn w:val="1"/>
    <w:next w:val="1"/>
    <w:unhideWhenUsed/>
    <w:qFormat/>
    <w:uiPriority w:val="39"/>
    <w:pPr>
      <w:overflowPunct w:val="0"/>
      <w:autoSpaceDE w:val="0"/>
      <w:autoSpaceDN w:val="0"/>
      <w:spacing w:after="57"/>
      <w:ind w:left="0" w:right="0" w:firstLine="0"/>
    </w:pPr>
  </w:style>
  <w:style w:type="paragraph" w:styleId="26">
    <w:name w:val="toc 4"/>
    <w:basedOn w:val="1"/>
    <w:next w:val="1"/>
    <w:unhideWhenUsed/>
    <w:qFormat/>
    <w:uiPriority w:val="39"/>
    <w:pPr>
      <w:overflowPunct w:val="0"/>
      <w:autoSpaceDE w:val="0"/>
      <w:autoSpaceDN w:val="0"/>
      <w:spacing w:after="57"/>
      <w:ind w:left="850" w:right="0" w:firstLine="0"/>
    </w:pPr>
  </w:style>
  <w:style w:type="paragraph" w:styleId="27">
    <w:name w:val="Subtitle"/>
    <w:basedOn w:val="1"/>
    <w:next w:val="1"/>
    <w:link w:val="53"/>
    <w:qFormat/>
    <w:uiPriority w:val="11"/>
    <w:pPr>
      <w:overflowPunct w:val="0"/>
      <w:autoSpaceDE w:val="0"/>
      <w:autoSpaceDN w:val="0"/>
      <w:spacing w:before="200" w:after="200"/>
    </w:pPr>
    <w:rPr>
      <w:sz w:val="24"/>
      <w:szCs w:val="24"/>
    </w:rPr>
  </w:style>
  <w:style w:type="paragraph" w:styleId="28">
    <w:name w:val="footnote text"/>
    <w:basedOn w:val="1"/>
    <w:link w:val="186"/>
    <w:semiHidden/>
    <w:unhideWhenUsed/>
    <w:qFormat/>
    <w:uiPriority w:val="99"/>
    <w:pPr>
      <w:overflowPunct w:val="0"/>
      <w:autoSpaceDE w:val="0"/>
      <w:autoSpaceDN w:val="0"/>
      <w:spacing w:after="40" w:line="240" w:lineRule="auto"/>
    </w:pPr>
    <w:rPr>
      <w:sz w:val="18"/>
    </w:rPr>
  </w:style>
  <w:style w:type="paragraph" w:styleId="29">
    <w:name w:val="toc 6"/>
    <w:basedOn w:val="1"/>
    <w:next w:val="1"/>
    <w:unhideWhenUsed/>
    <w:qFormat/>
    <w:uiPriority w:val="39"/>
    <w:pPr>
      <w:overflowPunct w:val="0"/>
      <w:autoSpaceDE w:val="0"/>
      <w:autoSpaceDN w:val="0"/>
      <w:spacing w:after="57"/>
      <w:ind w:left="1417" w:right="0" w:firstLine="0"/>
    </w:pPr>
  </w:style>
  <w:style w:type="paragraph" w:styleId="30">
    <w:name w:val="toc 2"/>
    <w:basedOn w:val="1"/>
    <w:next w:val="1"/>
    <w:unhideWhenUsed/>
    <w:qFormat/>
    <w:uiPriority w:val="39"/>
    <w:pPr>
      <w:overflowPunct w:val="0"/>
      <w:autoSpaceDE w:val="0"/>
      <w:autoSpaceDN w:val="0"/>
      <w:spacing w:after="57"/>
      <w:ind w:left="283" w:right="0" w:firstLine="0"/>
    </w:pPr>
  </w:style>
  <w:style w:type="paragraph" w:styleId="31">
    <w:name w:val="toc 9"/>
    <w:basedOn w:val="1"/>
    <w:next w:val="1"/>
    <w:unhideWhenUsed/>
    <w:qFormat/>
    <w:uiPriority w:val="39"/>
    <w:pPr>
      <w:overflowPunct w:val="0"/>
      <w:autoSpaceDE w:val="0"/>
      <w:autoSpaceDN w:val="0"/>
      <w:spacing w:after="57"/>
      <w:ind w:left="2268" w:right="0" w:firstLine="0"/>
    </w:pPr>
  </w:style>
  <w:style w:type="paragraph" w:styleId="32">
    <w:name w:val="Normal (Web)"/>
    <w:basedOn w:val="1"/>
    <w:link w:val="189"/>
    <w:qFormat/>
    <w:uiPriority w:val="99"/>
  </w:style>
  <w:style w:type="paragraph" w:styleId="33">
    <w:name w:val="Title"/>
    <w:basedOn w:val="1"/>
    <w:next w:val="1"/>
    <w:link w:val="52"/>
    <w:qFormat/>
    <w:uiPriority w:val="10"/>
    <w:pPr>
      <w:overflowPunct w:val="0"/>
      <w:autoSpaceDE w:val="0"/>
      <w:autoSpaceDN w:val="0"/>
      <w:spacing w:before="300" w:after="200"/>
      <w:contextualSpacing/>
    </w:pPr>
    <w:rPr>
      <w:sz w:val="48"/>
      <w:szCs w:val="48"/>
    </w:rPr>
  </w:style>
  <w:style w:type="paragraph" w:styleId="34">
    <w:name w:val="Body Text First Indent 2"/>
    <w:basedOn w:val="17"/>
    <w:qFormat/>
    <w:uiPriority w:val="99"/>
    <w:pPr>
      <w:ind w:firstLine="420" w:firstLineChars="200"/>
    </w:pPr>
  </w:style>
  <w:style w:type="table" w:styleId="36">
    <w:name w:val="Table Grid"/>
    <w:basedOn w:val="35"/>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0"/>
    <w:rPr>
      <w:b/>
    </w:rPr>
  </w:style>
  <w:style w:type="character" w:styleId="39">
    <w:name w:val="Hyperlink"/>
    <w:qFormat/>
    <w:uiPriority w:val="99"/>
    <w:rPr>
      <w:color w:val="0000FF"/>
      <w:u w:val="single"/>
    </w:rPr>
  </w:style>
  <w:style w:type="character" w:styleId="40">
    <w:name w:val="footnote reference"/>
    <w:basedOn w:val="37"/>
    <w:unhideWhenUsed/>
    <w:qFormat/>
    <w:uiPriority w:val="99"/>
    <w:rPr>
      <w:vertAlign w:val="superscript"/>
    </w:rPr>
  </w:style>
  <w:style w:type="character" w:customStyle="1" w:styleId="41">
    <w:name w:val="Heading 1 Char"/>
    <w:basedOn w:val="37"/>
    <w:qFormat/>
    <w:uiPriority w:val="9"/>
    <w:rPr>
      <w:rFonts w:ascii="Arial" w:hAnsi="Arial" w:eastAsia="Arial" w:cs="Arial"/>
      <w:sz w:val="40"/>
      <w:szCs w:val="40"/>
    </w:rPr>
  </w:style>
  <w:style w:type="character" w:customStyle="1" w:styleId="42">
    <w:name w:val="Heading 2 Char"/>
    <w:basedOn w:val="37"/>
    <w:qFormat/>
    <w:uiPriority w:val="9"/>
    <w:rPr>
      <w:rFonts w:ascii="Arial" w:hAnsi="Arial" w:eastAsia="Arial" w:cs="Arial"/>
      <w:sz w:val="34"/>
    </w:rPr>
  </w:style>
  <w:style w:type="character" w:customStyle="1" w:styleId="43">
    <w:name w:val="Heading 3 Char"/>
    <w:basedOn w:val="37"/>
    <w:qFormat/>
    <w:uiPriority w:val="9"/>
    <w:rPr>
      <w:rFonts w:ascii="Arial" w:hAnsi="Arial" w:eastAsia="Arial" w:cs="Arial"/>
      <w:sz w:val="30"/>
      <w:szCs w:val="30"/>
    </w:rPr>
  </w:style>
  <w:style w:type="character" w:customStyle="1" w:styleId="44">
    <w:name w:val="Heading 4 Char"/>
    <w:basedOn w:val="37"/>
    <w:qFormat/>
    <w:uiPriority w:val="9"/>
    <w:rPr>
      <w:rFonts w:ascii="Arial" w:hAnsi="Arial" w:eastAsia="Arial" w:cs="Arial"/>
      <w:b/>
      <w:bCs/>
      <w:sz w:val="26"/>
      <w:szCs w:val="26"/>
    </w:rPr>
  </w:style>
  <w:style w:type="character" w:customStyle="1" w:styleId="45">
    <w:name w:val="Heading 5 Char"/>
    <w:basedOn w:val="37"/>
    <w:link w:val="8"/>
    <w:qFormat/>
    <w:uiPriority w:val="9"/>
    <w:rPr>
      <w:rFonts w:ascii="Arial" w:hAnsi="Arial" w:eastAsia="Arial" w:cs="Arial"/>
      <w:b/>
      <w:bCs/>
      <w:sz w:val="24"/>
      <w:szCs w:val="24"/>
    </w:rPr>
  </w:style>
  <w:style w:type="character" w:customStyle="1" w:styleId="46">
    <w:name w:val="Heading 6 Char"/>
    <w:basedOn w:val="37"/>
    <w:link w:val="9"/>
    <w:qFormat/>
    <w:uiPriority w:val="9"/>
    <w:rPr>
      <w:rFonts w:ascii="Arial" w:hAnsi="Arial" w:eastAsia="Arial" w:cs="Arial"/>
      <w:b/>
      <w:bCs/>
      <w:sz w:val="22"/>
      <w:szCs w:val="22"/>
    </w:rPr>
  </w:style>
  <w:style w:type="character" w:customStyle="1" w:styleId="47">
    <w:name w:val="Heading 7 Char"/>
    <w:basedOn w:val="37"/>
    <w:link w:val="10"/>
    <w:qFormat/>
    <w:uiPriority w:val="9"/>
    <w:rPr>
      <w:rFonts w:ascii="Arial" w:hAnsi="Arial" w:eastAsia="Arial" w:cs="Arial"/>
      <w:b/>
      <w:bCs/>
      <w:i/>
      <w:iCs/>
      <w:sz w:val="22"/>
      <w:szCs w:val="22"/>
    </w:rPr>
  </w:style>
  <w:style w:type="character" w:customStyle="1" w:styleId="48">
    <w:name w:val="Heading 8 Char"/>
    <w:basedOn w:val="37"/>
    <w:link w:val="11"/>
    <w:qFormat/>
    <w:uiPriority w:val="9"/>
    <w:rPr>
      <w:rFonts w:ascii="Arial" w:hAnsi="Arial" w:eastAsia="Arial" w:cs="Arial"/>
      <w:i/>
      <w:iCs/>
      <w:sz w:val="22"/>
      <w:szCs w:val="22"/>
    </w:rPr>
  </w:style>
  <w:style w:type="character" w:customStyle="1" w:styleId="49">
    <w:name w:val="Heading 9 Char"/>
    <w:basedOn w:val="37"/>
    <w:link w:val="12"/>
    <w:qFormat/>
    <w:uiPriority w:val="9"/>
    <w:rPr>
      <w:rFonts w:ascii="Arial" w:hAnsi="Arial" w:eastAsia="Arial" w:cs="Arial"/>
      <w:i/>
      <w:iCs/>
      <w:sz w:val="21"/>
      <w:szCs w:val="21"/>
    </w:rPr>
  </w:style>
  <w:style w:type="paragraph" w:styleId="50">
    <w:name w:val="List Paragraph"/>
    <w:basedOn w:val="1"/>
    <w:qFormat/>
    <w:uiPriority w:val="34"/>
    <w:pPr>
      <w:overflowPunct w:val="0"/>
      <w:autoSpaceDE w:val="0"/>
      <w:autoSpaceDN w:val="0"/>
      <w:ind w:left="720"/>
      <w:contextualSpacing/>
    </w:pPr>
  </w:style>
  <w:style w:type="paragraph" w:styleId="51">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4"/>
      <w:szCs w:val="22"/>
      <w:lang w:val="en-US" w:eastAsia="en-US" w:bidi="en-US"/>
    </w:rPr>
  </w:style>
  <w:style w:type="character" w:customStyle="1" w:styleId="52">
    <w:name w:val="Title Char"/>
    <w:basedOn w:val="37"/>
    <w:link w:val="33"/>
    <w:qFormat/>
    <w:uiPriority w:val="10"/>
    <w:rPr>
      <w:sz w:val="48"/>
      <w:szCs w:val="48"/>
    </w:rPr>
  </w:style>
  <w:style w:type="character" w:customStyle="1" w:styleId="53">
    <w:name w:val="Subtitle Char"/>
    <w:basedOn w:val="37"/>
    <w:link w:val="27"/>
    <w:qFormat/>
    <w:uiPriority w:val="11"/>
    <w:rPr>
      <w:sz w:val="24"/>
      <w:szCs w:val="24"/>
    </w:rPr>
  </w:style>
  <w:style w:type="paragraph" w:styleId="54">
    <w:name w:val="Quote"/>
    <w:basedOn w:val="1"/>
    <w:next w:val="1"/>
    <w:link w:val="55"/>
    <w:qFormat/>
    <w:uiPriority w:val="29"/>
    <w:pPr>
      <w:overflowPunct w:val="0"/>
      <w:autoSpaceDE w:val="0"/>
      <w:autoSpaceDN w:val="0"/>
      <w:ind w:left="720" w:right="720"/>
    </w:pPr>
    <w:rPr>
      <w:i/>
    </w:rPr>
  </w:style>
  <w:style w:type="character" w:customStyle="1" w:styleId="55">
    <w:name w:val="Quote Char"/>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7">
    <w:name w:val="Intense Quote Char"/>
    <w:link w:val="56"/>
    <w:qFormat/>
    <w:uiPriority w:val="30"/>
    <w:rPr>
      <w:i/>
    </w:rPr>
  </w:style>
  <w:style w:type="character" w:customStyle="1" w:styleId="58">
    <w:name w:val="Header Char"/>
    <w:basedOn w:val="37"/>
    <w:qFormat/>
    <w:uiPriority w:val="99"/>
  </w:style>
  <w:style w:type="character" w:customStyle="1" w:styleId="59">
    <w:name w:val="Footer Char"/>
    <w:basedOn w:val="37"/>
    <w:qFormat/>
    <w:uiPriority w:val="99"/>
  </w:style>
  <w:style w:type="character" w:customStyle="1" w:styleId="60">
    <w:name w:val="Caption Char"/>
    <w:qFormat/>
    <w:uiPriority w:val="99"/>
  </w:style>
  <w:style w:type="table" w:customStyle="1" w:styleId="61">
    <w:name w:val="Table Grid Light"/>
    <w:basedOn w:val="35"/>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2">
    <w:name w:val="Plain Table 1"/>
    <w:basedOn w:val="35"/>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63">
    <w:name w:val="Plain Table 2"/>
    <w:basedOn w:val="35"/>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4">
    <w:name w:val="Plain Table 3"/>
    <w:basedOn w:val="35"/>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5">
    <w:name w:val="Plain Table 4"/>
    <w:basedOn w:val="35"/>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6">
    <w:name w:val="Plain Table 5"/>
    <w:basedOn w:val="35"/>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7">
    <w:name w:val="Grid Table 1 Light"/>
    <w:basedOn w:val="35"/>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8">
    <w:name w:val="Grid Table 1 Light - Accent 1"/>
    <w:basedOn w:val="35"/>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9">
    <w:name w:val="Grid Table 1 Light - Accent 2"/>
    <w:basedOn w:val="35"/>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70">
    <w:name w:val="Grid Table 1 Light - Accent 3"/>
    <w:basedOn w:val="35"/>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71">
    <w:name w:val="Grid Table 1 Light - Accent 4"/>
    <w:basedOn w:val="35"/>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72">
    <w:name w:val="Grid Table 1 Light - Accent 5"/>
    <w:basedOn w:val="35"/>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73">
    <w:name w:val="Grid Table 1 Light - Accent 6"/>
    <w:basedOn w:val="35"/>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4">
    <w:name w:val="Grid Table 2"/>
    <w:basedOn w:val="35"/>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5">
    <w:name w:val="Grid Table 2 - Accent 1"/>
    <w:basedOn w:val="35"/>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76">
    <w:name w:val="Grid Table 2 - Accent 2"/>
    <w:basedOn w:val="35"/>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77">
    <w:name w:val="Grid Table 2 - Accent 3"/>
    <w:basedOn w:val="35"/>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78">
    <w:name w:val="Grid Table 2 - Accent 4"/>
    <w:basedOn w:val="35"/>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79">
    <w:name w:val="Grid Table 2 - Accent 5"/>
    <w:basedOn w:val="35"/>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0">
    <w:name w:val="Grid Table 2 - Accent 6"/>
    <w:basedOn w:val="35"/>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1">
    <w:name w:val="Grid Table 3"/>
    <w:basedOn w:val="35"/>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2">
    <w:name w:val="Grid Table 3 - Accent 1"/>
    <w:basedOn w:val="35"/>
    <w:qFormat/>
    <w:uiPriority w:val="99"/>
    <w:pPr>
      <w:overflowPunct w:val="0"/>
      <w:autoSpaceDE w:val="0"/>
      <w:autoSpaceDN w:val="0"/>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tblStylePr w:type="neCell"/>
    <w:tblStylePr w:type="nwCell"/>
    <w:tblStylePr w:type="seCell"/>
    <w:tblStylePr w:type="swCell"/>
  </w:style>
  <w:style w:type="table" w:customStyle="1" w:styleId="83">
    <w:name w:val="Grid Table 3 - Accent 2"/>
    <w:basedOn w:val="35"/>
    <w:qFormat/>
    <w:uiPriority w:val="99"/>
    <w:pPr>
      <w:overflowPunct w:val="0"/>
      <w:autoSpaceDE w:val="0"/>
      <w:autoSpaceDN w:val="0"/>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84">
    <w:name w:val="Grid Table 3 - Accent 3"/>
    <w:basedOn w:val="35"/>
    <w:qFormat/>
    <w:uiPriority w:val="99"/>
    <w:pPr>
      <w:overflowPunct w:val="0"/>
      <w:autoSpaceDE w:val="0"/>
      <w:autoSpaceDN w:val="0"/>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85">
    <w:name w:val="Grid Table 3 - Accent 4"/>
    <w:basedOn w:val="35"/>
    <w:qFormat/>
    <w:uiPriority w:val="99"/>
    <w:pPr>
      <w:overflowPunct w:val="0"/>
      <w:autoSpaceDE w:val="0"/>
      <w:autoSpaceDN w:val="0"/>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86">
    <w:name w:val="Grid Table 3 - Accent 5"/>
    <w:basedOn w:val="35"/>
    <w:qFormat/>
    <w:uiPriority w:val="99"/>
    <w:pPr>
      <w:overflowPunct w:val="0"/>
      <w:autoSpaceDE w:val="0"/>
      <w:autoSpaceDN w:val="0"/>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87">
    <w:name w:val="Grid Table 3 - Accent 6"/>
    <w:basedOn w:val="35"/>
    <w:qFormat/>
    <w:uiPriority w:val="99"/>
    <w:pPr>
      <w:overflowPunct w:val="0"/>
      <w:autoSpaceDE w:val="0"/>
      <w:autoSpaceDN w:val="0"/>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88">
    <w:name w:val="Grid Table 4"/>
    <w:basedOn w:val="35"/>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9">
    <w:name w:val="Grid Table 4 - Accent 1"/>
    <w:basedOn w:val="35"/>
    <w:qFormat/>
    <w:uiPriority w:val="5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tblStylePr w:type="neCell"/>
    <w:tblStylePr w:type="nwCell"/>
    <w:tblStylePr w:type="seCell"/>
    <w:tblStylePr w:type="swCell"/>
  </w:style>
  <w:style w:type="table" w:customStyle="1" w:styleId="90">
    <w:name w:val="Grid Table 4 - Accent 2"/>
    <w:basedOn w:val="35"/>
    <w:qFormat/>
    <w:uiPriority w:val="5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tblStylePr w:type="neCell"/>
    <w:tblStylePr w:type="nwCell"/>
    <w:tblStylePr w:type="seCell"/>
    <w:tblStylePr w:type="swCell"/>
  </w:style>
  <w:style w:type="table" w:customStyle="1" w:styleId="91">
    <w:name w:val="Grid Table 4 - Accent 3"/>
    <w:basedOn w:val="35"/>
    <w:qFormat/>
    <w:uiPriority w:val="5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tblStylePr w:type="neCell"/>
    <w:tblStylePr w:type="nwCell"/>
    <w:tblStylePr w:type="seCell"/>
    <w:tblStylePr w:type="swCell"/>
  </w:style>
  <w:style w:type="table" w:customStyle="1" w:styleId="92">
    <w:name w:val="Grid Table 4 - Accent 4"/>
    <w:basedOn w:val="35"/>
    <w:qFormat/>
    <w:uiPriority w:val="5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tblStylePr w:type="neCell"/>
    <w:tblStylePr w:type="nwCell"/>
    <w:tblStylePr w:type="seCell"/>
    <w:tblStylePr w:type="swCell"/>
  </w:style>
  <w:style w:type="table" w:customStyle="1" w:styleId="93">
    <w:name w:val="Grid Table 4 - Accent 5"/>
    <w:basedOn w:val="35"/>
    <w:qFormat/>
    <w:uiPriority w:val="5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94">
    <w:name w:val="Grid Table 4 - Accent 6"/>
    <w:basedOn w:val="35"/>
    <w:qFormat/>
    <w:uiPriority w:val="5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95">
    <w:name w:val="Grid Table 5 Dark"/>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6">
    <w:name w:val="Grid Table 5 Dark- Accent 1"/>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tblStylePr w:type="neCell"/>
    <w:tblStylePr w:type="nwCell"/>
    <w:tblStylePr w:type="seCell"/>
    <w:tblStylePr w:type="swCell"/>
  </w:style>
  <w:style w:type="table" w:customStyle="1" w:styleId="97">
    <w:name w:val="Grid Table 5 Dark - Accent 2"/>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tblStylePr w:type="neCell"/>
    <w:tblStylePr w:type="nwCell"/>
    <w:tblStylePr w:type="seCell"/>
    <w:tblStylePr w:type="swCell"/>
  </w:style>
  <w:style w:type="table" w:customStyle="1" w:styleId="98">
    <w:name w:val="Grid Table 5 Dark - Accent 3"/>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tblStylePr w:type="neCell"/>
    <w:tblStylePr w:type="nwCell"/>
    <w:tblStylePr w:type="seCell"/>
    <w:tblStylePr w:type="swCell"/>
  </w:style>
  <w:style w:type="table" w:customStyle="1" w:styleId="99">
    <w:name w:val="Grid Table 5 Dark- Accent 4"/>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tblStylePr w:type="neCell"/>
    <w:tblStylePr w:type="nwCell"/>
    <w:tblStylePr w:type="seCell"/>
    <w:tblStylePr w:type="swCell"/>
  </w:style>
  <w:style w:type="table" w:customStyle="1" w:styleId="100">
    <w:name w:val="Grid Table 5 Dark - Accent 5"/>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tblStylePr w:type="neCell"/>
    <w:tblStylePr w:type="nwCell"/>
    <w:tblStylePr w:type="seCell"/>
    <w:tblStylePr w:type="swCell"/>
  </w:style>
  <w:style w:type="table" w:customStyle="1" w:styleId="101">
    <w:name w:val="Grid Table 5 Dark - Accent 6"/>
    <w:basedOn w:val="35"/>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tblStylePr w:type="neCell"/>
    <w:tblStylePr w:type="nwCell"/>
    <w:tblStylePr w:type="seCell"/>
    <w:tblStylePr w:type="swCell"/>
  </w:style>
  <w:style w:type="table" w:customStyle="1" w:styleId="102">
    <w:name w:val="Grid Table 6 Colorful"/>
    <w:basedOn w:val="35"/>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6 Colorful - Accent 1"/>
    <w:basedOn w:val="35"/>
    <w:qFormat/>
    <w:uiPriority w:val="99"/>
    <w:pPr>
      <w:overflowPunct w:val="0"/>
      <w:autoSpaceDE w:val="0"/>
      <w:autoSpaceDN w:val="0"/>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6 Colorful - Accent 2"/>
    <w:basedOn w:val="35"/>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6 Colorful - Accent 3"/>
    <w:basedOn w:val="35"/>
    <w:qFormat/>
    <w:uiPriority w:val="99"/>
    <w:pPr>
      <w:overflowPunct w:val="0"/>
      <w:autoSpaceDE w:val="0"/>
      <w:autoSpaceDN w:val="0"/>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6 Colorful - Accent 4"/>
    <w:basedOn w:val="35"/>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6 Colorful - Accent 5"/>
    <w:basedOn w:val="35"/>
    <w:qFormat/>
    <w:uiPriority w:val="99"/>
    <w:pPr>
      <w:overflowPunct w:val="0"/>
      <w:autoSpaceDE w:val="0"/>
      <w:autoSpaceDN w:val="0"/>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6 Colorful - Accent 6"/>
    <w:basedOn w:val="35"/>
    <w:qFormat/>
    <w:uiPriority w:val="99"/>
    <w:pPr>
      <w:overflowPunct w:val="0"/>
      <w:autoSpaceDE w:val="0"/>
      <w:autoSpaceDN w:val="0"/>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2Vert"/>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9">
    <w:name w:val="Grid Table 7 Colorful"/>
    <w:basedOn w:val="35"/>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0">
    <w:name w:val="Grid Table 7 Colorful - Accent 1"/>
    <w:basedOn w:val="35"/>
    <w:qFormat/>
    <w:uiPriority w:val="99"/>
    <w:pPr>
      <w:overflowPunct w:val="0"/>
      <w:autoSpaceDE w:val="0"/>
      <w:autoSpaceDN w:val="0"/>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auto"/>
      </w:tcPr>
    </w:tblStylePr>
    <w:tblStylePr w:type="band1Vert">
      <w:tcPr>
        <w:shd w:val="clear" w:color="auto"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1">
    <w:name w:val="Grid Table 7 Colorful - Accent 2"/>
    <w:basedOn w:val="35"/>
    <w:qFormat/>
    <w:uiPriority w:val="99"/>
    <w:pPr>
      <w:overflowPunct w:val="0"/>
      <w:autoSpaceDE w:val="0"/>
      <w:autoSpaceDN w:val="0"/>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2">
    <w:name w:val="Grid Table 7 Colorful - Accent 3"/>
    <w:basedOn w:val="35"/>
    <w:qFormat/>
    <w:uiPriority w:val="99"/>
    <w:pPr>
      <w:overflowPunct w:val="0"/>
      <w:autoSpaceDE w:val="0"/>
      <w:autoSpaceDN w:val="0"/>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auto"/>
      </w:tcPr>
    </w:tblStylePr>
    <w:tblStylePr w:type="band1Vert">
      <w:tcPr>
        <w:shd w:val="clear" w:color="auto"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3">
    <w:name w:val="Grid Table 7 Colorful - Accent 4"/>
    <w:basedOn w:val="35"/>
    <w:qFormat/>
    <w:uiPriority w:val="99"/>
    <w:pPr>
      <w:overflowPunct w:val="0"/>
      <w:autoSpaceDE w:val="0"/>
      <w:autoSpaceDN w:val="0"/>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4">
    <w:name w:val="Grid Table 7 Colorful - Accent 5"/>
    <w:basedOn w:val="35"/>
    <w:qFormat/>
    <w:uiPriority w:val="99"/>
    <w:pPr>
      <w:overflowPunct w:val="0"/>
      <w:autoSpaceDE w:val="0"/>
      <w:autoSpaceDN w:val="0"/>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auto"/>
      </w:tcPr>
    </w:tblStylePr>
    <w:tblStylePr w:type="band1Vert">
      <w:tcPr>
        <w:shd w:val="clear" w:color="auto" w:fill="DAEEF3" w:themeFill="accent5" w:themeFillTint="34"/>
      </w:tcPr>
    </w:tblStylePr>
    <w:tblStylePr w:type="band2Vert"/>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5">
    <w:name w:val="Grid Table 7 Colorful - Accent 6"/>
    <w:basedOn w:val="35"/>
    <w:qFormat/>
    <w:uiPriority w:val="99"/>
    <w:pPr>
      <w:overflowPunct w:val="0"/>
      <w:autoSpaceDE w:val="0"/>
      <w:autoSpaceDN w:val="0"/>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auto"/>
      </w:tcPr>
    </w:tblStylePr>
    <w:tblStylePr w:type="band1Vert">
      <w:tcPr>
        <w:shd w:val="clear" w:color="auto" w:fill="FDE9D9" w:themeFill="accent6" w:themeFillTint="34"/>
      </w:tcPr>
    </w:tblStylePr>
    <w:tblStylePr w:type="band2Vert"/>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6">
    <w:name w:val="List Table 1 Light"/>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7">
    <w:name w:val="List Table 1 Light - Accent 1"/>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tblStylePr w:type="neCell"/>
    <w:tblStylePr w:type="nwCell"/>
    <w:tblStylePr w:type="seCell"/>
    <w:tblStylePr w:type="swCell"/>
  </w:style>
  <w:style w:type="table" w:customStyle="1" w:styleId="118">
    <w:name w:val="List Table 1 Light - Accent 2"/>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tblStylePr w:type="neCell"/>
    <w:tblStylePr w:type="nwCell"/>
    <w:tblStylePr w:type="seCell"/>
    <w:tblStylePr w:type="swCell"/>
  </w:style>
  <w:style w:type="table" w:customStyle="1" w:styleId="119">
    <w:name w:val="List Table 1 Light - Accent 3"/>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tblStylePr w:type="neCell"/>
    <w:tblStylePr w:type="nwCell"/>
    <w:tblStylePr w:type="seCell"/>
    <w:tblStylePr w:type="swCell"/>
  </w:style>
  <w:style w:type="table" w:customStyle="1" w:styleId="120">
    <w:name w:val="List Table 1 Light - Accent 4"/>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tblStylePr w:type="neCell"/>
    <w:tblStylePr w:type="nwCell"/>
    <w:tblStylePr w:type="seCell"/>
    <w:tblStylePr w:type="swCell"/>
  </w:style>
  <w:style w:type="table" w:customStyle="1" w:styleId="121">
    <w:name w:val="List Table 1 Light - Accent 5"/>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tblStylePr w:type="neCell"/>
    <w:tblStylePr w:type="nwCell"/>
    <w:tblStylePr w:type="seCell"/>
    <w:tblStylePr w:type="swCell"/>
  </w:style>
  <w:style w:type="table" w:customStyle="1" w:styleId="122">
    <w:name w:val="List Table 1 Light - Accent 6"/>
    <w:basedOn w:val="35"/>
    <w:qFormat/>
    <w:uiPriority w:val="99"/>
    <w:pPr>
      <w:overflowPunct w:val="0"/>
      <w:autoSpaceDE w:val="0"/>
      <w:autoSpaceDN w:val="0"/>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tblStylePr w:type="neCell"/>
    <w:tblStylePr w:type="nwCell"/>
    <w:tblStylePr w:type="seCell"/>
    <w:tblStylePr w:type="swCell"/>
  </w:style>
  <w:style w:type="table" w:customStyle="1" w:styleId="123">
    <w:name w:val="List Table 2"/>
    <w:basedOn w:val="35"/>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4">
    <w:name w:val="List Table 2 - Accent 1"/>
    <w:basedOn w:val="35"/>
    <w:qFormat/>
    <w:uiPriority w:val="99"/>
    <w:pPr>
      <w:overflowPunct w:val="0"/>
      <w:autoSpaceDE w:val="0"/>
      <w:autoSpaceDN w:val="0"/>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25">
    <w:name w:val="List Table 2 - Accent 2"/>
    <w:basedOn w:val="35"/>
    <w:qFormat/>
    <w:uiPriority w:val="99"/>
    <w:pPr>
      <w:overflowPunct w:val="0"/>
      <w:autoSpaceDE w:val="0"/>
      <w:autoSpaceDN w:val="0"/>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26">
    <w:name w:val="List Table 2 - Accent 3"/>
    <w:basedOn w:val="35"/>
    <w:qFormat/>
    <w:uiPriority w:val="99"/>
    <w:pPr>
      <w:overflowPunct w:val="0"/>
      <w:autoSpaceDE w:val="0"/>
      <w:autoSpaceDN w:val="0"/>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27">
    <w:name w:val="List Table 2 - Accent 4"/>
    <w:basedOn w:val="35"/>
    <w:qFormat/>
    <w:uiPriority w:val="99"/>
    <w:pPr>
      <w:overflowPunct w:val="0"/>
      <w:autoSpaceDE w:val="0"/>
      <w:autoSpaceDN w:val="0"/>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28">
    <w:name w:val="List Table 2 - Accent 5"/>
    <w:basedOn w:val="35"/>
    <w:qFormat/>
    <w:uiPriority w:val="99"/>
    <w:pPr>
      <w:overflowPunct w:val="0"/>
      <w:autoSpaceDE w:val="0"/>
      <w:autoSpaceDN w:val="0"/>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29">
    <w:name w:val="List Table 2 - Accent 6"/>
    <w:basedOn w:val="35"/>
    <w:qFormat/>
    <w:uiPriority w:val="99"/>
    <w:pPr>
      <w:overflowPunct w:val="0"/>
      <w:autoSpaceDE w:val="0"/>
      <w:autoSpaceDN w:val="0"/>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30">
    <w:name w:val="List Table 3"/>
    <w:basedOn w:val="35"/>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1">
    <w:name w:val="List Table 3 - Accent 1"/>
    <w:basedOn w:val="35"/>
    <w:qFormat/>
    <w:uiPriority w:val="99"/>
    <w:pPr>
      <w:overflowPunct w:val="0"/>
      <w:autoSpaceDE w:val="0"/>
      <w:autoSpaceDN w:val="0"/>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32">
    <w:name w:val="List Table 3 - Accent 2"/>
    <w:basedOn w:val="35"/>
    <w:qFormat/>
    <w:uiPriority w:val="99"/>
    <w:pPr>
      <w:overflowPunct w:val="0"/>
      <w:autoSpaceDE w:val="0"/>
      <w:autoSpaceDN w:val="0"/>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33">
    <w:name w:val="List Table 3 - Accent 3"/>
    <w:basedOn w:val="35"/>
    <w:qFormat/>
    <w:uiPriority w:val="99"/>
    <w:pPr>
      <w:overflowPunct w:val="0"/>
      <w:autoSpaceDE w:val="0"/>
      <w:autoSpaceDN w:val="0"/>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4">
    <w:name w:val="List Table 3 - Accent 4"/>
    <w:basedOn w:val="35"/>
    <w:qFormat/>
    <w:uiPriority w:val="99"/>
    <w:pPr>
      <w:overflowPunct w:val="0"/>
      <w:autoSpaceDE w:val="0"/>
      <w:autoSpaceDN w:val="0"/>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5">
    <w:name w:val="List Table 3 - Accent 5"/>
    <w:basedOn w:val="35"/>
    <w:qFormat/>
    <w:uiPriority w:val="99"/>
    <w:pPr>
      <w:overflowPunct w:val="0"/>
      <w:autoSpaceDE w:val="0"/>
      <w:autoSpaceDN w:val="0"/>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6">
    <w:name w:val="List Table 3 - Accent 6"/>
    <w:basedOn w:val="35"/>
    <w:qFormat/>
    <w:uiPriority w:val="99"/>
    <w:pPr>
      <w:overflowPunct w:val="0"/>
      <w:autoSpaceDE w:val="0"/>
      <w:autoSpaceDN w:val="0"/>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7">
    <w:name w:val="List Table 4"/>
    <w:basedOn w:val="35"/>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8">
    <w:name w:val="List Table 4 - Accent 1"/>
    <w:basedOn w:val="35"/>
    <w:qFormat/>
    <w:uiPriority w:val="99"/>
    <w:pPr>
      <w:overflowPunct w:val="0"/>
      <w:autoSpaceDE w:val="0"/>
      <w:autoSpaceDN w:val="0"/>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tblStylePr w:type="neCell"/>
    <w:tblStylePr w:type="nwCell"/>
    <w:tblStylePr w:type="seCell"/>
    <w:tblStylePr w:type="swCell"/>
  </w:style>
  <w:style w:type="table" w:customStyle="1" w:styleId="139">
    <w:name w:val="List Table 4 - Accent 2"/>
    <w:basedOn w:val="35"/>
    <w:qFormat/>
    <w:uiPriority w:val="99"/>
    <w:pPr>
      <w:overflowPunct w:val="0"/>
      <w:autoSpaceDE w:val="0"/>
      <w:autoSpaceDN w:val="0"/>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tblStylePr w:type="neCell"/>
    <w:tblStylePr w:type="nwCell"/>
    <w:tblStylePr w:type="seCell"/>
    <w:tblStylePr w:type="swCell"/>
  </w:style>
  <w:style w:type="table" w:customStyle="1" w:styleId="140">
    <w:name w:val="List Table 4 - Accent 3"/>
    <w:basedOn w:val="35"/>
    <w:qFormat/>
    <w:uiPriority w:val="99"/>
    <w:pPr>
      <w:overflowPunct w:val="0"/>
      <w:autoSpaceDE w:val="0"/>
      <w:autoSpaceDN w:val="0"/>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tblStylePr w:type="neCell"/>
    <w:tblStylePr w:type="nwCell"/>
    <w:tblStylePr w:type="seCell"/>
    <w:tblStylePr w:type="swCell"/>
  </w:style>
  <w:style w:type="table" w:customStyle="1" w:styleId="141">
    <w:name w:val="List Table 4 - Accent 4"/>
    <w:basedOn w:val="35"/>
    <w:qFormat/>
    <w:uiPriority w:val="99"/>
    <w:pPr>
      <w:overflowPunct w:val="0"/>
      <w:autoSpaceDE w:val="0"/>
      <w:autoSpaceDN w:val="0"/>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tblStylePr w:type="neCell"/>
    <w:tblStylePr w:type="nwCell"/>
    <w:tblStylePr w:type="seCell"/>
    <w:tblStylePr w:type="swCell"/>
  </w:style>
  <w:style w:type="table" w:customStyle="1" w:styleId="142">
    <w:name w:val="List Table 4 - Accent 5"/>
    <w:basedOn w:val="35"/>
    <w:qFormat/>
    <w:uiPriority w:val="99"/>
    <w:pPr>
      <w:overflowPunct w:val="0"/>
      <w:autoSpaceDE w:val="0"/>
      <w:autoSpaceDN w:val="0"/>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tblStylePr w:type="neCell"/>
    <w:tblStylePr w:type="nwCell"/>
    <w:tblStylePr w:type="seCell"/>
    <w:tblStylePr w:type="swCell"/>
  </w:style>
  <w:style w:type="table" w:customStyle="1" w:styleId="143">
    <w:name w:val="List Table 4 - Accent 6"/>
    <w:basedOn w:val="35"/>
    <w:qFormat/>
    <w:uiPriority w:val="99"/>
    <w:pPr>
      <w:overflowPunct w:val="0"/>
      <w:autoSpaceDE w:val="0"/>
      <w:autoSpaceDN w:val="0"/>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tblStylePr w:type="neCell"/>
    <w:tblStylePr w:type="nwCell"/>
    <w:tblStylePr w:type="seCell"/>
    <w:tblStylePr w:type="swCell"/>
  </w:style>
  <w:style w:type="table" w:customStyle="1" w:styleId="144">
    <w:name w:val="List Table 5 Dark"/>
    <w:basedOn w:val="35"/>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5">
    <w:name w:val="List Table 5 Dark - Accent 1"/>
    <w:basedOn w:val="35"/>
    <w:qFormat/>
    <w:uiPriority w:val="99"/>
    <w:pPr>
      <w:overflowPunct w:val="0"/>
      <w:autoSpaceDE w:val="0"/>
      <w:autoSpaceDN w:val="0"/>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tblStylePr w:type="neCell"/>
    <w:tblStylePr w:type="nwCell"/>
    <w:tblStylePr w:type="seCell"/>
    <w:tblStylePr w:type="swCell"/>
  </w:style>
  <w:style w:type="table" w:customStyle="1" w:styleId="146">
    <w:name w:val="List Table 5 Dark - Accent 2"/>
    <w:basedOn w:val="35"/>
    <w:qFormat/>
    <w:uiPriority w:val="99"/>
    <w:pPr>
      <w:overflowPunct w:val="0"/>
      <w:autoSpaceDE w:val="0"/>
      <w:autoSpaceDN w:val="0"/>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tblStylePr w:type="neCell"/>
    <w:tblStylePr w:type="nwCell"/>
    <w:tblStylePr w:type="seCell"/>
    <w:tblStylePr w:type="swCell"/>
  </w:style>
  <w:style w:type="table" w:customStyle="1" w:styleId="147">
    <w:name w:val="List Table 5 Dark - Accent 3"/>
    <w:basedOn w:val="35"/>
    <w:qFormat/>
    <w:uiPriority w:val="99"/>
    <w:pPr>
      <w:overflowPunct w:val="0"/>
      <w:autoSpaceDE w:val="0"/>
      <w:autoSpaceDN w:val="0"/>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tblStylePr w:type="neCell"/>
    <w:tblStylePr w:type="nwCell"/>
    <w:tblStylePr w:type="seCell"/>
    <w:tblStylePr w:type="swCell"/>
  </w:style>
  <w:style w:type="table" w:customStyle="1" w:styleId="148">
    <w:name w:val="List Table 5 Dark - Accent 4"/>
    <w:basedOn w:val="35"/>
    <w:qFormat/>
    <w:uiPriority w:val="99"/>
    <w:pPr>
      <w:overflowPunct w:val="0"/>
      <w:autoSpaceDE w:val="0"/>
      <w:autoSpaceDN w:val="0"/>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tblStylePr w:type="neCell"/>
    <w:tblStylePr w:type="nwCell"/>
    <w:tblStylePr w:type="seCell"/>
    <w:tblStylePr w:type="swCell"/>
  </w:style>
  <w:style w:type="table" w:customStyle="1" w:styleId="149">
    <w:name w:val="List Table 5 Dark - Accent 5"/>
    <w:basedOn w:val="35"/>
    <w:qFormat/>
    <w:uiPriority w:val="99"/>
    <w:pPr>
      <w:overflowPunct w:val="0"/>
      <w:autoSpaceDE w:val="0"/>
      <w:autoSpaceDN w:val="0"/>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tblStylePr w:type="neCell"/>
    <w:tblStylePr w:type="nwCell"/>
    <w:tblStylePr w:type="seCell"/>
    <w:tblStylePr w:type="swCell"/>
  </w:style>
  <w:style w:type="table" w:customStyle="1" w:styleId="150">
    <w:name w:val="List Table 5 Dark - Accent 6"/>
    <w:basedOn w:val="35"/>
    <w:qFormat/>
    <w:uiPriority w:val="99"/>
    <w:pPr>
      <w:overflowPunct w:val="0"/>
      <w:autoSpaceDE w:val="0"/>
      <w:autoSpaceDN w:val="0"/>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tblStylePr w:type="neCell"/>
    <w:tblStylePr w:type="nwCell"/>
    <w:tblStylePr w:type="seCell"/>
    <w:tblStylePr w:type="swCell"/>
  </w:style>
  <w:style w:type="table" w:customStyle="1" w:styleId="151">
    <w:name w:val="List Table 6 Colorful"/>
    <w:basedOn w:val="35"/>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2">
    <w:name w:val="List Table 6 Colorful - Accent 1"/>
    <w:basedOn w:val="35"/>
    <w:qFormat/>
    <w:uiPriority w:val="99"/>
    <w:pPr>
      <w:overflowPunct w:val="0"/>
      <w:autoSpaceDE w:val="0"/>
      <w:autoSpaceDN w:val="0"/>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6 Colorful - Accent 2"/>
    <w:basedOn w:val="35"/>
    <w:qFormat/>
    <w:uiPriority w:val="99"/>
    <w:pPr>
      <w:overflowPunct w:val="0"/>
      <w:autoSpaceDE w:val="0"/>
      <w:autoSpaceDN w:val="0"/>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6 Colorful - Accent 3"/>
    <w:basedOn w:val="35"/>
    <w:qFormat/>
    <w:uiPriority w:val="99"/>
    <w:pPr>
      <w:overflowPunct w:val="0"/>
      <w:autoSpaceDE w:val="0"/>
      <w:autoSpaceDN w:val="0"/>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6 Colorful - Accent 4"/>
    <w:basedOn w:val="35"/>
    <w:qFormat/>
    <w:uiPriority w:val="99"/>
    <w:pPr>
      <w:overflowPunct w:val="0"/>
      <w:autoSpaceDE w:val="0"/>
      <w:autoSpaceDN w:val="0"/>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5"/>
    <w:basedOn w:val="35"/>
    <w:qFormat/>
    <w:uiPriority w:val="99"/>
    <w:pPr>
      <w:overflowPunct w:val="0"/>
      <w:autoSpaceDE w:val="0"/>
      <w:autoSpaceDN w:val="0"/>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6 Colorful - Accent 6"/>
    <w:basedOn w:val="35"/>
    <w:qFormat/>
    <w:uiPriority w:val="99"/>
    <w:pPr>
      <w:overflowPunct w:val="0"/>
      <w:autoSpaceDE w:val="0"/>
      <w:autoSpaceDN w:val="0"/>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st Table 7 Colorful"/>
    <w:basedOn w:val="35"/>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9">
    <w:name w:val="List Table 7 Colorful - Accent 1"/>
    <w:basedOn w:val="35"/>
    <w:qFormat/>
    <w:uiPriority w:val="99"/>
    <w:pPr>
      <w:overflowPunct w:val="0"/>
      <w:autoSpaceDE w:val="0"/>
      <w:autoSpaceDN w:val="0"/>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auto"/>
      </w:tcPr>
    </w:tblStylePr>
    <w:tblStylePr w:type="band1Vert">
      <w:tcPr>
        <w:shd w:val="clear" w:color="auto" w:fill="D2DFEE" w:themeFill="accent1" w:themeFillTint="40"/>
      </w:tcPr>
    </w:tblStylePr>
    <w:tblStylePr w:type="band2Vert"/>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60">
    <w:name w:val="List Table 7 Colorful - Accent 2"/>
    <w:basedOn w:val="35"/>
    <w:qFormat/>
    <w:uiPriority w:val="99"/>
    <w:pPr>
      <w:overflowPunct w:val="0"/>
      <w:autoSpaceDE w:val="0"/>
      <w:autoSpaceDN w:val="0"/>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auto"/>
      </w:tcPr>
    </w:tblStylePr>
    <w:tblStylePr w:type="band1Vert">
      <w:tcPr>
        <w:shd w:val="clear" w:color="auto"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1">
    <w:name w:val="List Table 7 Colorful - Accent 3"/>
    <w:basedOn w:val="35"/>
    <w:qFormat/>
    <w:uiPriority w:val="99"/>
    <w:pPr>
      <w:overflowPunct w:val="0"/>
      <w:autoSpaceDE w:val="0"/>
      <w:autoSpaceDN w:val="0"/>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auto"/>
      </w:tcPr>
    </w:tblStylePr>
    <w:tblStylePr w:type="band1Vert">
      <w:tcPr>
        <w:shd w:val="clear" w:color="auto"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2">
    <w:name w:val="List Table 7 Colorful - Accent 4"/>
    <w:basedOn w:val="35"/>
    <w:qFormat/>
    <w:uiPriority w:val="99"/>
    <w:pPr>
      <w:overflowPunct w:val="0"/>
      <w:autoSpaceDE w:val="0"/>
      <w:autoSpaceDN w:val="0"/>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auto"/>
      </w:tcPr>
    </w:tblStylePr>
    <w:tblStylePr w:type="band1Vert">
      <w:tcPr>
        <w:shd w:val="clear" w:color="auto"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5"/>
    <w:basedOn w:val="35"/>
    <w:qFormat/>
    <w:uiPriority w:val="99"/>
    <w:pPr>
      <w:overflowPunct w:val="0"/>
      <w:autoSpaceDE w:val="0"/>
      <w:autoSpaceDN w:val="0"/>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auto"/>
      </w:tcPr>
    </w:tblStylePr>
    <w:tblStylePr w:type="band1Vert">
      <w:tcPr>
        <w:shd w:val="clear" w:color="auto"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4">
    <w:name w:val="List Table 7 Colorful - Accent 6"/>
    <w:basedOn w:val="35"/>
    <w:qFormat/>
    <w:uiPriority w:val="99"/>
    <w:pPr>
      <w:overflowPunct w:val="0"/>
      <w:autoSpaceDE w:val="0"/>
      <w:autoSpaceDN w:val="0"/>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auto"/>
      </w:tcPr>
    </w:tblStylePr>
    <w:tblStylePr w:type="band1Vert">
      <w:tcPr>
        <w:shd w:val="clear" w:color="auto"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5">
    <w:name w:val="Lined - Accent"/>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6">
    <w:name w:val="Lined - Accent 1"/>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7">
    <w:name w:val="Lined - Accent 2"/>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8">
    <w:name w:val="Lined - Accent 3"/>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9">
    <w:name w:val="Lined - Accent 4"/>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70">
    <w:name w:val="Lined - Accent 5"/>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71">
    <w:name w:val="Lined - Accent 6"/>
    <w:basedOn w:val="35"/>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2">
    <w:name w:val="Bordered &amp; Lined - Accent"/>
    <w:basedOn w:val="35"/>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73">
    <w:name w:val="Bordered &amp; Lined - Accent 1"/>
    <w:basedOn w:val="35"/>
    <w:qFormat/>
    <w:uiPriority w:val="99"/>
    <w:pPr>
      <w:overflowPunct w:val="0"/>
      <w:autoSpaceDE w:val="0"/>
      <w:autoSpaceDN w:val="0"/>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74">
    <w:name w:val="Bordered &amp; Lined - Accent 2"/>
    <w:basedOn w:val="35"/>
    <w:qFormat/>
    <w:uiPriority w:val="99"/>
    <w:pPr>
      <w:overflowPunct w:val="0"/>
      <w:autoSpaceDE w:val="0"/>
      <w:autoSpaceDN w:val="0"/>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75">
    <w:name w:val="Bordered &amp; Lined - Accent 3"/>
    <w:basedOn w:val="35"/>
    <w:qFormat/>
    <w:uiPriority w:val="99"/>
    <w:pPr>
      <w:overflowPunct w:val="0"/>
      <w:autoSpaceDE w:val="0"/>
      <w:autoSpaceDN w:val="0"/>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76">
    <w:name w:val="Bordered &amp; Lined - Accent 4"/>
    <w:basedOn w:val="35"/>
    <w:qFormat/>
    <w:uiPriority w:val="99"/>
    <w:pPr>
      <w:overflowPunct w:val="0"/>
      <w:autoSpaceDE w:val="0"/>
      <w:autoSpaceDN w:val="0"/>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77">
    <w:name w:val="Bordered &amp; Lined - Accent 5"/>
    <w:basedOn w:val="35"/>
    <w:qFormat/>
    <w:uiPriority w:val="99"/>
    <w:pPr>
      <w:overflowPunct w:val="0"/>
      <w:autoSpaceDE w:val="0"/>
      <w:autoSpaceDN w:val="0"/>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neCell"/>
    <w:tblStylePr w:type="nwCell"/>
    <w:tblStylePr w:type="seCell"/>
    <w:tblStylePr w:type="swCell"/>
  </w:style>
  <w:style w:type="table" w:customStyle="1" w:styleId="178">
    <w:name w:val="Bordered &amp; Lined - Accent 6"/>
    <w:basedOn w:val="35"/>
    <w:qFormat/>
    <w:uiPriority w:val="99"/>
    <w:pPr>
      <w:overflowPunct w:val="0"/>
      <w:autoSpaceDE w:val="0"/>
      <w:autoSpaceDN w:val="0"/>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tblStylePr w:type="neCell"/>
    <w:tblStylePr w:type="nwCell"/>
    <w:tblStylePr w:type="seCell"/>
    <w:tblStylePr w:type="swCell"/>
  </w:style>
  <w:style w:type="table" w:customStyle="1" w:styleId="179">
    <w:name w:val="Bordered"/>
    <w:basedOn w:val="35"/>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0">
    <w:name w:val="Bordered - Accent 1"/>
    <w:basedOn w:val="35"/>
    <w:qFormat/>
    <w:uiPriority w:val="99"/>
    <w:pPr>
      <w:overflowPunct w:val="0"/>
      <w:autoSpaceDE w:val="0"/>
      <w:autoSpaceDN w:val="0"/>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81">
    <w:name w:val="Bordered - Accent 2"/>
    <w:basedOn w:val="35"/>
    <w:qFormat/>
    <w:uiPriority w:val="99"/>
    <w:pPr>
      <w:overflowPunct w:val="0"/>
      <w:autoSpaceDE w:val="0"/>
      <w:autoSpaceDN w:val="0"/>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82">
    <w:name w:val="Bordered - Accent 3"/>
    <w:basedOn w:val="35"/>
    <w:qFormat/>
    <w:uiPriority w:val="99"/>
    <w:pPr>
      <w:overflowPunct w:val="0"/>
      <w:autoSpaceDE w:val="0"/>
      <w:autoSpaceDN w:val="0"/>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83">
    <w:name w:val="Bordered - Accent 4"/>
    <w:basedOn w:val="35"/>
    <w:qFormat/>
    <w:uiPriority w:val="99"/>
    <w:pPr>
      <w:overflowPunct w:val="0"/>
      <w:autoSpaceDE w:val="0"/>
      <w:autoSpaceDN w:val="0"/>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4">
    <w:name w:val="Bordered - Accent 5"/>
    <w:basedOn w:val="35"/>
    <w:qFormat/>
    <w:uiPriority w:val="99"/>
    <w:pPr>
      <w:overflowPunct w:val="0"/>
      <w:autoSpaceDE w:val="0"/>
      <w:autoSpaceDN w:val="0"/>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5">
    <w:name w:val="Bordered - Accent 6"/>
    <w:basedOn w:val="35"/>
    <w:qFormat/>
    <w:uiPriority w:val="99"/>
    <w:pPr>
      <w:overflowPunct w:val="0"/>
      <w:autoSpaceDE w:val="0"/>
      <w:autoSpaceDN w:val="0"/>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6">
    <w:name w:val="Footnote Text Char"/>
    <w:link w:val="28"/>
    <w:qFormat/>
    <w:uiPriority w:val="99"/>
    <w:rPr>
      <w:sz w:val="18"/>
    </w:rPr>
  </w:style>
  <w:style w:type="paragraph" w:customStyle="1" w:styleId="187">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4"/>
      <w:szCs w:val="22"/>
      <w:lang w:val="en-US" w:eastAsia="en-US" w:bidi="en-US"/>
    </w:rPr>
  </w:style>
  <w:style w:type="paragraph" w:customStyle="1" w:styleId="188">
    <w:name w:val="AONormal"/>
    <w:qFormat/>
    <w:uiPriority w:val="0"/>
    <w:pPr>
      <w:pBdr>
        <w:top w:val="none" w:color="000000" w:sz="0" w:space="0"/>
        <w:left w:val="none" w:color="000000" w:sz="0" w:space="0"/>
        <w:bottom w:val="none" w:color="000000" w:sz="0" w:space="0"/>
        <w:right w:val="none" w:color="000000" w:sz="0" w:space="0"/>
        <w:between w:val="none" w:color="000000" w:sz="0" w:space="0"/>
      </w:pBdr>
      <w:shd w:val="clear" w:fill="auto"/>
      <w:autoSpaceDE w:val="0"/>
      <w:autoSpaceDN w:val="0"/>
      <w:spacing w:before="0" w:beforeAutospacing="0" w:after="0" w:afterAutospacing="0" w:line="400" w:lineRule="exact"/>
      <w:ind w:left="0" w:right="0" w:firstLine="440" w:firstLineChars="200"/>
      <w:jc w:val="left"/>
    </w:pPr>
    <w:rPr>
      <w:rFonts w:hint="default" w:ascii="华文楷体" w:hAnsi="华文楷体" w:eastAsia="华文楷体" w:cs="华文楷体"/>
      <w:color w:val="auto"/>
      <w:spacing w:val="0"/>
      <w:position w:val="0"/>
      <w:sz w:val="22"/>
      <w:szCs w:val="21"/>
      <w:lang w:val="en-US" w:eastAsia="zh-CN" w:bidi="ar-SA"/>
    </w:rPr>
  </w:style>
  <w:style w:type="character" w:customStyle="1" w:styleId="189">
    <w:name w:val="普通(网站) Char"/>
    <w:link w:val="32"/>
    <w:qFormat/>
    <w:uiPriority w:val="0"/>
    <w:rPr>
      <w:kern w:val="2"/>
      <w:sz w:val="24"/>
      <w:szCs w:val="24"/>
    </w:rPr>
  </w:style>
  <w:style w:type="paragraph" w:customStyle="1" w:styleId="190">
    <w:name w:val="Table Paragraph"/>
    <w:basedOn w:val="1"/>
    <w:qFormat/>
    <w:uiPriority w:val="1"/>
    <w:rPr>
      <w:rFonts w:ascii="宋体" w:hAnsi="宋体" w:cs="宋体"/>
      <w:lang w:val="zh-CN" w:bidi="zh-CN"/>
    </w:rPr>
  </w:style>
  <w:style w:type="character" w:customStyle="1" w:styleId="191">
    <w:name w:val="正文缩进 Char"/>
    <w:link w:val="14"/>
    <w:qFormat/>
    <w:uiPriority w:val="0"/>
    <w:rPr>
      <w:rFonts w:eastAsia="宋体"/>
      <w:kern w:val="2"/>
      <w:sz w:val="21"/>
      <w:lang w:val="en-US" w:eastAsia="zh-CN" w:bidi="ar-SA"/>
    </w:rPr>
  </w:style>
  <w:style w:type="character" w:customStyle="1" w:styleId="192">
    <w:name w:val="标题 4 Char"/>
    <w:link w:val="6"/>
    <w:qFormat/>
    <w:uiPriority w:val="9"/>
    <w:rPr>
      <w:rFonts w:ascii="Arial" w:hAnsi="Arial" w:eastAsia="黑体"/>
      <w:b/>
      <w:bCs/>
      <w:kern w:val="2"/>
      <w:sz w:val="28"/>
      <w:szCs w:val="28"/>
      <w:lang w:val="en-US" w:eastAsia="zh-CN" w:bidi="ar-SA"/>
    </w:rPr>
  </w:style>
  <w:style w:type="character" w:customStyle="1" w:styleId="193">
    <w:name w:val="标题 3 Char1"/>
    <w:link w:val="5"/>
    <w:qFormat/>
    <w:uiPriority w:val="9"/>
    <w:rPr>
      <w:rFonts w:ascii="宋体" w:hAnsi="宋体" w:eastAsia="宋体"/>
      <w:b/>
      <w:bCs/>
      <w:kern w:val="2"/>
      <w:sz w:val="28"/>
      <w:szCs w:val="32"/>
      <w:lang w:val="en-US" w:eastAsia="zh-CN" w:bidi="ar-SA"/>
    </w:rPr>
  </w:style>
  <w:style w:type="character" w:customStyle="1" w:styleId="194">
    <w:name w:val="标题 1 Char"/>
    <w:link w:val="4"/>
    <w:qFormat/>
    <w:uiPriority w:val="0"/>
    <w:rPr>
      <w:rFonts w:ascii="宋体" w:hAnsi="宋体" w:eastAsia="黑体"/>
      <w:b/>
      <w:bCs/>
      <w:kern w:val="44"/>
      <w:sz w:val="28"/>
      <w:szCs w:val="44"/>
      <w:lang w:val="en-US" w:eastAsia="zh-CN" w:bidi="ar-SA"/>
    </w:rPr>
  </w:style>
  <w:style w:type="character" w:customStyle="1" w:styleId="195">
    <w:name w:val="标题 2 Char"/>
    <w:link w:val="7"/>
    <w:qFormat/>
    <w:uiPriority w:val="0"/>
    <w:rPr>
      <w:rFonts w:ascii="宋体" w:hAnsi="宋体" w:eastAsia="宋体"/>
      <w:b/>
      <w:bCs/>
      <w:sz w:val="24"/>
      <w:lang w:val="en-US" w:eastAsia="zh-CN" w:bidi="ar-SA"/>
    </w:rPr>
  </w:style>
  <w:style w:type="character" w:customStyle="1" w:styleId="196">
    <w:name w:val="批注文字 Char"/>
    <w:basedOn w:val="37"/>
    <w:link w:val="16"/>
    <w:qFormat/>
    <w:uiPriority w:val="0"/>
    <w:rPr>
      <w:sz w:val="24"/>
      <w:szCs w:val="24"/>
    </w:rPr>
  </w:style>
  <w:style w:type="character" w:customStyle="1" w:styleId="197">
    <w:name w:val="正文文本 Char"/>
    <w:link w:val="2"/>
    <w:qFormat/>
    <w:uiPriority w:val="0"/>
    <w:rPr>
      <w:rFonts w:eastAsia="宋体"/>
      <w:b/>
      <w:bCs/>
      <w:kern w:val="2"/>
      <w:sz w:val="24"/>
      <w:szCs w:val="24"/>
      <w:lang w:val="en-US" w:eastAsia="zh-CN" w:bidi="ar-SA"/>
    </w:rPr>
  </w:style>
  <w:style w:type="character" w:customStyle="1" w:styleId="198">
    <w:name w:val="标题 3 Char"/>
    <w:qFormat/>
    <w:uiPriority w:val="0"/>
    <w:rPr>
      <w:rFonts w:ascii="黑体" w:eastAsia="黑体"/>
      <w:bCs/>
      <w:sz w:val="30"/>
    </w:rPr>
  </w:style>
  <w:style w:type="paragraph" w:customStyle="1" w:styleId="199">
    <w:name w:val="正文1"/>
    <w:basedOn w:val="1"/>
    <w:qFormat/>
    <w:uiPriority w:val="0"/>
    <w:pPr>
      <w:tabs>
        <w:tab w:val="left" w:pos="4"/>
      </w:tabs>
    </w:pPr>
    <w:rPr>
      <w:rFonts w:ascii="宋体" w:hAnsi="宋体"/>
      <w:sz w:val="18"/>
    </w:rPr>
  </w:style>
  <w:style w:type="paragraph" w:customStyle="1" w:styleId="200">
    <w:name w:val="彩色列表 - 强调文字颜色 111"/>
    <w:basedOn w:val="1"/>
    <w:qFormat/>
    <w:uiPriority w:val="0"/>
    <w:pPr>
      <w:ind w:firstLine="420" w:firstLineChars="200"/>
    </w:pPr>
  </w:style>
  <w:style w:type="paragraph" w:customStyle="1" w:styleId="201">
    <w:name w:val="表格文字"/>
    <w:basedOn w:val="1"/>
    <w:qFormat/>
    <w:uiPriority w:val="99"/>
    <w:pPr>
      <w:spacing w:before="25" w:after="25"/>
    </w:pPr>
    <w:rPr>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81</Pages>
  <Words>16460</Words>
  <Characters>17992</Characters>
  <TotalTime>3</TotalTime>
  <ScaleCrop>false</ScaleCrop>
  <LinksUpToDate>false</LinksUpToDate>
  <CharactersWithSpaces>18100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2022-05-30T08:55:00Z</dcterms:created>
  <dc:creator>lenovo01</dc:creator>
  <cp:lastModifiedBy>吴丹余</cp:lastModifiedBy>
  <cp:lastPrinted>2025-02-28T09:01:00Z</cp:lastPrinted>
  <dcterms:modified xsi:type="dcterms:W3CDTF">2025-02-28T03:21:38Z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DC70783638FA2065CB6E90673391D003</vt:lpwstr>
  </property>
  <property fmtid="{D5CDD505-2E9C-101B-9397-08002B2CF9AE}" pid="4" name="KSOTemplateDocerSaveRecord">
    <vt:lpwstr>eyJoZGlkIjoiM2Y0MGZiYjQ5OGZlMWM1MTRjNmI5ZGFmMzY2ODNiY2YiLCJ1c2VySWQiOiIxMDc2Nzg1MTI1In0=</vt:lpwstr>
  </property>
</Properties>
</file>