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29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/>
          <w:lang w:val="en-US" w:eastAsia="zh-CN"/>
        </w:rPr>
      </w:pPr>
      <w:bookmarkStart w:id="0" w:name="_Hlk22055263"/>
      <w:r>
        <w:rPr>
          <w:rFonts w:hint="eastAsia"/>
          <w:lang w:val="en-US" w:eastAsia="zh-CN"/>
        </w:rPr>
        <w:t>南山一站式中转仓材料采购项目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预询价公告</w:t>
      </w:r>
    </w:p>
    <w:p w14:paraId="20D5C79C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深圳市深水生态环境技术有限公司</w:t>
      </w:r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南山一站式中转仓材料采购</w:t>
      </w:r>
      <w:r>
        <w:rPr>
          <w:rFonts w:hint="eastAsia" w:ascii="微软雅黑" w:hAnsi="微软雅黑" w:eastAsia="微软雅黑" w:cs="微软雅黑"/>
          <w:sz w:val="28"/>
          <w:szCs w:val="28"/>
        </w:rPr>
        <w:t>进行预询价，欢迎有意向的供应商提交预询价报价，有关事项如下：</w:t>
      </w:r>
    </w:p>
    <w:p w14:paraId="56418C04">
      <w:pPr>
        <w:pStyle w:val="2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预询价方</w:t>
      </w:r>
      <w:bookmarkStart w:id="1" w:name="_Hlk45207260"/>
      <w:r>
        <w:rPr>
          <w:rFonts w:hint="eastAsia" w:ascii="微软雅黑" w:hAnsi="微软雅黑" w:eastAsia="微软雅黑" w:cs="微软雅黑"/>
          <w:sz w:val="28"/>
          <w:szCs w:val="28"/>
        </w:rPr>
        <w:t>：深圳市深水生态环境技术有限公司</w:t>
      </w:r>
      <w:bookmarkEnd w:id="1"/>
    </w:p>
    <w:p w14:paraId="2ED9ECBD">
      <w:pPr>
        <w:pStyle w:val="2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项目名称：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南山一站式中转仓材料采购项目</w:t>
      </w:r>
    </w:p>
    <w:p w14:paraId="5C93FACE">
      <w:pPr>
        <w:pStyle w:val="2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报价人资格要求</w:t>
      </w:r>
    </w:p>
    <w:p w14:paraId="7272550B">
      <w:pPr>
        <w:numPr>
          <w:ilvl w:val="0"/>
          <w:numId w:val="3"/>
        </w:num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2" w:name="OLE_LINK1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投标人须为中国境内注册的独立企业法人，具有合法经营资格；</w:t>
      </w:r>
    </w:p>
    <w:p w14:paraId="3D98A73D">
      <w:pPr>
        <w:numPr>
          <w:ilvl w:val="0"/>
          <w:numId w:val="3"/>
        </w:num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投标人企业及法定代表人，近三年内（从本项目发布招标公告之日起倒算）无行贿犯罪记录、无违法行为。（由供应商在《履约情况及社会信誉承诺书》中作出声明，加盖投标人公章。）</w:t>
      </w:r>
    </w:p>
    <w:p w14:paraId="7F5DA2FD">
      <w:pPr>
        <w:numPr>
          <w:ilvl w:val="0"/>
          <w:numId w:val="3"/>
        </w:num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投标人近3年内（从招标公告发布日期倒算）企业及法定代表人没有行贿骗取中标和严重违约、提供的产品没有重大质量问题及安全事故。（由供应商在《履约情况及社会信誉承诺书》中作出声明，加盖投标人公章。）</w:t>
      </w:r>
    </w:p>
    <w:p w14:paraId="77449DE6">
      <w:pPr>
        <w:numPr>
          <w:ilvl w:val="0"/>
          <w:numId w:val="3"/>
        </w:num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本项目不接受联合体投标。</w:t>
      </w:r>
    </w:p>
    <w:bookmarkEnd w:id="2"/>
    <w:p w14:paraId="7E618FA1">
      <w:pPr>
        <w:pStyle w:val="2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采购需求</w:t>
      </w:r>
    </w:p>
    <w:p w14:paraId="7DDF81B3"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根据项目需求，本次采购内容包括：</w:t>
      </w:r>
    </w:p>
    <w:p w14:paraId="4F369CA7">
      <w:pPr>
        <w:numPr>
          <w:ilvl w:val="0"/>
          <w:numId w:val="4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根据现场电缆清册需求、采购电缆、桥架一批，包含现场接线；</w:t>
      </w:r>
    </w:p>
    <w:p w14:paraId="23370EDC">
      <w:pPr>
        <w:numPr>
          <w:ilvl w:val="0"/>
          <w:numId w:val="4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采购彩钢板房一套，含现场组装；</w:t>
      </w:r>
    </w:p>
    <w:p w14:paraId="2A4A820B">
      <w:pPr>
        <w:numPr>
          <w:ilvl w:val="0"/>
          <w:numId w:val="4"/>
        </w:numPr>
        <w:ind w:left="0" w:leftChars="0"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现场部分设备组装。</w:t>
      </w:r>
    </w:p>
    <w:p w14:paraId="125CF1DF">
      <w:pPr>
        <w:pStyle w:val="2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采购清单</w:t>
      </w:r>
    </w:p>
    <w:tbl>
      <w:tblPr>
        <w:tblStyle w:val="13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58"/>
        <w:gridCol w:w="2886"/>
        <w:gridCol w:w="2070"/>
        <w:gridCol w:w="769"/>
        <w:gridCol w:w="769"/>
      </w:tblGrid>
      <w:tr w14:paraId="53CD9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807C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9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F9D6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主要参数及说明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A0CD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品牌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06B0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627D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</w:tr>
      <w:tr w14:paraId="6BC0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D715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D61A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电线电缆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670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bookmarkStart w:id="3" w:name="_GoBack"/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drawing>
                <wp:inline distT="0" distB="0" distL="114300" distR="114300">
                  <wp:extent cx="1693545" cy="3912870"/>
                  <wp:effectExtent l="0" t="0" r="8255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391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14:paraId="40C2820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含桥架及支架、线管、线饵、辅材等供货及桥架安装现场接线。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F2CF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国产名优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FFA3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980E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批</w:t>
            </w:r>
          </w:p>
        </w:tc>
      </w:tr>
      <w:tr w14:paraId="243E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61F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EDBE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彩钢板房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EED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  <w:t>5000*3000*3000mm</w:t>
            </w:r>
          </w:p>
          <w:p w14:paraId="18A26D7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  <w:t>基板材质:镀锌钢板或镀铝锌钢板</w:t>
            </w:r>
          </w:p>
          <w:p w14:paraId="6A26185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  <w:t>填充物:岩棉、玻璃丝棉等防火保温材料</w:t>
            </w:r>
          </w:p>
          <w:p w14:paraId="2EF1978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  <w:t>基板厚度:≥0.8mm</w:t>
            </w:r>
          </w:p>
          <w:p w14:paraId="666AEB9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  <w:t>包含组装安装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EFFCD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国产名优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996E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E1440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 w14:paraId="64E4B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CF6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F399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现场设备</w:t>
            </w:r>
          </w:p>
          <w:p w14:paraId="10335F3F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组装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B4C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料仓模块、自动清洗系统模块、伸缩卸料系统模块、负压除尘系统模块、总控系统模块整体组装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97EC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A2F3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1FD9E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</w:tr>
    </w:tbl>
    <w:p w14:paraId="6F52B853">
      <w:pPr>
        <w:pStyle w:val="2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商务要求</w:t>
      </w:r>
    </w:p>
    <w:p w14:paraId="607C4125">
      <w:pPr>
        <w:numPr>
          <w:ilvl w:val="0"/>
          <w:numId w:val="6"/>
        </w:numPr>
        <w:bidi w:val="0"/>
        <w:ind w:left="0" w:leftChars="0"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采购方式：本次采购采用公开招标方式。</w:t>
      </w:r>
    </w:p>
    <w:p w14:paraId="3D40D68D">
      <w:pPr>
        <w:numPr>
          <w:ilvl w:val="0"/>
          <w:numId w:val="6"/>
        </w:numPr>
        <w:bidi w:val="0"/>
        <w:ind w:left="0" w:leftChars="0"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交货期：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人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应根据发包方的进度要求，并在遵守进度要求的前提下，按最有利的情况来制定其工作计划表。中标通知书发出后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30天内完成设备供货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。（交货期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工期要求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中所指时间为日历天）。</w:t>
      </w:r>
    </w:p>
    <w:p w14:paraId="6A98970A">
      <w:pPr>
        <w:numPr>
          <w:ilvl w:val="0"/>
          <w:numId w:val="6"/>
        </w:numPr>
        <w:bidi w:val="0"/>
        <w:ind w:left="0" w:leftChars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质保期：</w:t>
      </w:r>
    </w:p>
    <w:p w14:paraId="0A740468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</w:t>
      </w:r>
      <w:r>
        <w:rPr>
          <w:rFonts w:hint="eastAsia" w:ascii="微软雅黑" w:hAnsi="微软雅黑" w:eastAsia="微软雅黑" w:cs="微软雅黑"/>
          <w:sz w:val="28"/>
          <w:szCs w:val="28"/>
        </w:rPr>
        <w:t>投标人保证向用户提供至少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8"/>
          <w:szCs w:val="28"/>
        </w:rPr>
        <w:t>年（自验收合格之日起）的保修服务。质保期内，任何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正常使用时产生</w:t>
      </w:r>
      <w:r>
        <w:rPr>
          <w:rFonts w:hint="eastAsia" w:ascii="微软雅黑" w:hAnsi="微软雅黑" w:eastAsia="微软雅黑" w:cs="微软雅黑"/>
          <w:sz w:val="28"/>
          <w:szCs w:val="28"/>
        </w:rPr>
        <w:t>的质量问题，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 w:val="28"/>
          <w:szCs w:val="28"/>
        </w:rPr>
        <w:t>负责免费维修。</w:t>
      </w:r>
    </w:p>
    <w:p w14:paraId="367BD1D1">
      <w:pPr>
        <w:numPr>
          <w:ilvl w:val="0"/>
          <w:numId w:val="6"/>
        </w:numPr>
        <w:bidi w:val="0"/>
        <w:ind w:left="0" w:leftChars="0"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付款方式：</w:t>
      </w:r>
    </w:p>
    <w:p w14:paraId="2CFA504D">
      <w:pPr>
        <w:numPr>
          <w:ilvl w:val="0"/>
          <w:numId w:val="7"/>
        </w:numPr>
        <w:ind w:left="5" w:leftChars="0" w:firstLine="475" w:firstLineChars="0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预付款：在合同签订后，甲方在收到乙方提供的合同总金额30%开具的增值税专用发票后15个工作日内，甲方向乙方支付合同总金额30%的合同款作为预付款。</w:t>
      </w:r>
    </w:p>
    <w:p w14:paraId="7B6EEB27">
      <w:pPr>
        <w:numPr>
          <w:ilvl w:val="0"/>
          <w:numId w:val="7"/>
        </w:numPr>
        <w:ind w:left="5" w:leftChars="0" w:firstLine="475" w:firstLineChars="0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到货款：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合同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全部安装、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组装、调试完成、设备整体外观无缺陷、经甲方到货验收后，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甲方在收到乙方提供的按照合同总金额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%开具的增值税专用发票后15个工作日内，甲方向乙方支付合同总金额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%作为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到货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款。</w:t>
      </w:r>
    </w:p>
    <w:p w14:paraId="37A385B7">
      <w:pPr>
        <w:numPr>
          <w:ilvl w:val="0"/>
          <w:numId w:val="7"/>
        </w:numPr>
        <w:ind w:left="5" w:leftChars="0" w:firstLine="475" w:firstLineChars="0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验收款：合同货物全部安装、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组装、调试完成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、验证全部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技术参数、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设备文件、并经甲方核查各项功能满足招标文件及合同要求且所有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在出厂性能测试、安装、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组装、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调试中出现的问题均已圆满解决，设备验收合格的，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完成设备交付及交付培训的，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甲方在收到乙方提供的按照合同总金额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%开具的增值税专用发票后15个工作日内，甲方向乙方支付合同总金额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%作为验收款。</w:t>
      </w:r>
    </w:p>
    <w:p w14:paraId="39D32557">
      <w:pPr>
        <w:numPr>
          <w:ilvl w:val="0"/>
          <w:numId w:val="7"/>
        </w:numPr>
        <w:bidi w:val="0"/>
        <w:ind w:left="5" w:leftChars="0" w:firstLine="475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质保金：质保期届满后，经甲方确认已完成质保任务，并办理相关手续，甲方向乙方支付合同总金额5%的合同款。</w:t>
      </w:r>
    </w:p>
    <w:p w14:paraId="56A0ED32">
      <w:pPr>
        <w:pStyle w:val="2"/>
        <w:tabs>
          <w:tab w:val="left" w:pos="0"/>
        </w:tabs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报价要求</w:t>
      </w:r>
    </w:p>
    <w:p w14:paraId="34D3B7F7">
      <w:pPr>
        <w:widowControl w:val="0"/>
        <w:adjustRightInd w:val="0"/>
        <w:snapToGrid w:val="0"/>
        <w:spacing w:after="120" w:line="560" w:lineRule="exact"/>
        <w:ind w:left="0" w:leftChars="0" w:firstLine="560" w:firstLineChars="200"/>
        <w:jc w:val="both"/>
        <w:textAlignment w:val="baseline"/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  <w:t>1.报价格式自拟（附上满足资格要求的相关证明文件，均需加盖公章）。</w:t>
      </w:r>
    </w:p>
    <w:p w14:paraId="29AE2234">
      <w:pPr>
        <w:widowControl w:val="0"/>
        <w:adjustRightInd w:val="0"/>
        <w:snapToGrid w:val="0"/>
        <w:spacing w:after="120" w:line="560" w:lineRule="exact"/>
        <w:ind w:left="0" w:leftChars="0" w:firstLine="560" w:firstLineChars="200"/>
        <w:jc w:val="both"/>
        <w:textAlignment w:val="baseline"/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  <w:t>2.本次投标采用总价包干，包括但不限于设计费、材料费、加工费、工厂检验和试验费、出厂检验费、包装费、运输费、安装调试费、装卸费、保险费、税费、质保期的维修费等。</w:t>
      </w:r>
    </w:p>
    <w:p w14:paraId="523647B1">
      <w:pPr>
        <w:widowControl w:val="0"/>
        <w:adjustRightInd w:val="0"/>
        <w:snapToGrid w:val="0"/>
        <w:spacing w:after="120" w:line="560" w:lineRule="exact"/>
        <w:ind w:left="0" w:leftChars="0" w:firstLine="560" w:firstLineChars="200"/>
        <w:jc w:val="both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  <w:t>3.在服务期限内，如遇国家税率调整，以中标未税综合包干价、调整后税率为依据结算支付采购费用。</w:t>
      </w:r>
    </w:p>
    <w:p w14:paraId="1636E76C">
      <w:pPr>
        <w:pStyle w:val="2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递交报价文件的截止时间、地点</w:t>
      </w:r>
    </w:p>
    <w:p w14:paraId="6F6B4688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1．方式：所有报价文件可通过电子邮件发送至联系人邮箱，邮件标题格式：“报价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单-</w:t>
      </w:r>
      <w:r>
        <w:rPr>
          <w:rFonts w:hint="eastAsia" w:ascii="微软雅黑" w:hAnsi="微软雅黑" w:eastAsia="微软雅黑" w:cs="微软雅黑"/>
          <w:sz w:val="28"/>
          <w:szCs w:val="28"/>
        </w:rPr>
        <w:t>项目名称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sz w:val="28"/>
          <w:szCs w:val="28"/>
        </w:rPr>
        <w:t>投标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人/公司</w:t>
      </w:r>
      <w:r>
        <w:rPr>
          <w:rFonts w:hint="eastAsia" w:ascii="微软雅黑" w:hAnsi="微软雅黑" w:eastAsia="微软雅黑" w:cs="微软雅黑"/>
          <w:sz w:val="28"/>
          <w:szCs w:val="28"/>
        </w:rPr>
        <w:t>全称”；</w:t>
      </w:r>
    </w:p>
    <w:p w14:paraId="5C461DBC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2．接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收报价文件截止时间：202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59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（北京时间）之</w:t>
      </w:r>
      <w:r>
        <w:rPr>
          <w:rFonts w:hint="eastAsia" w:ascii="微软雅黑" w:hAnsi="微软雅黑" w:eastAsia="微软雅黑" w:cs="微软雅黑"/>
          <w:sz w:val="28"/>
          <w:szCs w:val="28"/>
        </w:rPr>
        <w:t>前，逾期或不符合规定的报价文件恕不接受。</w:t>
      </w:r>
    </w:p>
    <w:p w14:paraId="1E81CBD5">
      <w:pPr>
        <w:pStyle w:val="2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本项目的联系方式</w:t>
      </w:r>
    </w:p>
    <w:p w14:paraId="46BA899A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可按下列地址以书面或邮箱的形式查询：</w:t>
      </w:r>
    </w:p>
    <w:p w14:paraId="662E1104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公开询价方：深圳市深水生态环境技术有限公司</w:t>
      </w:r>
    </w:p>
    <w:p w14:paraId="7241B2B2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地址：深圳市福田区南园街道东园社区深南中路1019号万德大厦22层2203室</w:t>
      </w:r>
    </w:p>
    <w:p w14:paraId="21F0A7C0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联系人：黎工 19925219214</w:t>
      </w:r>
    </w:p>
    <w:p w14:paraId="1F0ED567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联系人邮箱：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</w:rPr>
        <w:instrText xml:space="preserve"> HYPERLINK "mailto:li.yongqi@szwatereco.com" </w:instrTex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separate"/>
      </w:r>
      <w:r>
        <w:rPr>
          <w:rStyle w:val="15"/>
          <w:rFonts w:hint="eastAsia" w:ascii="微软雅黑" w:hAnsi="微软雅黑" w:eastAsia="微软雅黑" w:cs="微软雅黑"/>
          <w:sz w:val="28"/>
          <w:szCs w:val="28"/>
        </w:rPr>
        <w:t>li.yongqi@szwatereco.com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end"/>
      </w:r>
    </w:p>
    <w:p w14:paraId="63786F5D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</w:p>
    <w:p w14:paraId="5BE5BBF9">
      <w:pPr>
        <w:bidi w:val="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深圳市深水生态环境技术有限公司</w:t>
      </w:r>
    </w:p>
    <w:p w14:paraId="1113D708">
      <w:pPr>
        <w:bidi w:val="0"/>
        <w:jc w:val="right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20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14日</w:t>
      </w:r>
    </w:p>
    <w:p w14:paraId="0738D967">
      <w:pP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br w:type="page"/>
      </w:r>
    </w:p>
    <w:p w14:paraId="6A4B093D">
      <w:pPr>
        <w:pageBreakBefore w:val="0"/>
        <w:tabs>
          <w:tab w:val="left" w:pos="7560"/>
        </w:tabs>
        <w:kinsoku/>
        <w:overflowPunct/>
        <w:topLinePunct w:val="0"/>
        <w:bidi w:val="0"/>
        <w:spacing w:line="560" w:lineRule="atLeast"/>
        <w:ind w:left="0" w:leftChars="0" w:firstLine="0" w:firstLineChars="0"/>
        <w:jc w:val="left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附件1：</w:t>
      </w:r>
    </w:p>
    <w:p w14:paraId="0811BC14">
      <w:pPr>
        <w:pageBreakBefore w:val="0"/>
        <w:tabs>
          <w:tab w:val="left" w:pos="7560"/>
        </w:tabs>
        <w:kinsoku/>
        <w:overflowPunct/>
        <w:topLinePunct w:val="0"/>
        <w:bidi w:val="0"/>
        <w:spacing w:line="560" w:lineRule="atLeast"/>
        <w:jc w:val="center"/>
        <w:rPr>
          <w:szCs w:val="21"/>
        </w:rPr>
      </w:pPr>
      <w:r>
        <w:rPr>
          <w:rFonts w:hint="eastAsia" w:cs="宋体"/>
          <w:szCs w:val="21"/>
        </w:rPr>
        <w:t>履约情况及社会信誉</w:t>
      </w:r>
      <w:r>
        <w:rPr>
          <w:szCs w:val="21"/>
        </w:rPr>
        <w:t>承诺书</w:t>
      </w:r>
    </w:p>
    <w:p w14:paraId="30C81DAF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rPr>
          <w:szCs w:val="21"/>
        </w:rPr>
      </w:pPr>
      <w:r>
        <w:rPr>
          <w:rFonts w:hint="eastAsia"/>
          <w:szCs w:val="21"/>
        </w:rPr>
        <w:t>致：</w:t>
      </w:r>
      <w:r>
        <w:rPr>
          <w:rFonts w:hint="eastAsia"/>
          <w:szCs w:val="21"/>
          <w:u w:val="single"/>
        </w:rPr>
        <w:t xml:space="preserve">   （招标人）     </w:t>
      </w:r>
    </w:p>
    <w:p w14:paraId="1AE86B2B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我司在此郑重承诺：</w:t>
      </w:r>
    </w:p>
    <w:p w14:paraId="0DA5CAC5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1、诚信参与贵司招标活动，所提供的</w:t>
      </w:r>
      <w:r>
        <w:rPr>
          <w:rFonts w:hint="eastAsia" w:cs="宋体"/>
          <w:szCs w:val="21"/>
          <w:lang w:val="en-US" w:eastAsia="zh-CN"/>
        </w:rPr>
        <w:t>报价</w:t>
      </w:r>
      <w:r>
        <w:rPr>
          <w:rFonts w:hint="eastAsia" w:cs="宋体"/>
          <w:szCs w:val="21"/>
        </w:rPr>
        <w:t>文件等所有资料均真实可信。</w:t>
      </w:r>
    </w:p>
    <w:p w14:paraId="5F38894A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szCs w:val="21"/>
        </w:rPr>
      </w:pPr>
      <w:r>
        <w:rPr>
          <w:rFonts w:hint="eastAsia" w:cs="宋体"/>
          <w:szCs w:val="21"/>
        </w:rPr>
        <w:t>2、</w:t>
      </w:r>
      <w:r>
        <w:rPr>
          <w:rFonts w:hint="eastAsia"/>
          <w:szCs w:val="21"/>
          <w:u w:val="single"/>
        </w:rPr>
        <w:t xml:space="preserve">（投标人名称）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自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截止时间，没有处于被责令停业、或投标资格被取消</w:t>
      </w:r>
      <w:r>
        <w:rPr>
          <w:szCs w:val="21"/>
        </w:rPr>
        <w:t>，</w:t>
      </w:r>
      <w:r>
        <w:rPr>
          <w:rFonts w:hint="eastAsia"/>
          <w:szCs w:val="21"/>
        </w:rPr>
        <w:t>或</w:t>
      </w:r>
      <w:r>
        <w:rPr>
          <w:szCs w:val="21"/>
        </w:rPr>
        <w:t>财产被接管、冻结、破产状态；</w:t>
      </w:r>
      <w:r>
        <w:rPr>
          <w:rFonts w:hint="eastAsia"/>
          <w:szCs w:val="21"/>
        </w:rPr>
        <w:t>没有骗取中标或严重违约引起的合同终止、纠纷、争议、仲裁和诉讼记录，没有重大质量问题</w:t>
      </w:r>
      <w:r>
        <w:rPr>
          <w:rFonts w:hint="eastAsia" w:cs="宋体"/>
          <w:szCs w:val="21"/>
        </w:rPr>
        <w:t>，我司或者法定代表人无行贿犯罪记录</w:t>
      </w:r>
      <w:r>
        <w:rPr>
          <w:rFonts w:hint="eastAsia"/>
          <w:szCs w:val="21"/>
        </w:rPr>
        <w:t>。</w:t>
      </w:r>
    </w:p>
    <w:p w14:paraId="235DE213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（投标人名称）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自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截止时间，提供的产品在中国国内项目中无重大安全事故。</w:t>
      </w:r>
    </w:p>
    <w:p w14:paraId="5F40A96E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、</w:t>
      </w:r>
      <w:r>
        <w:rPr>
          <w:rFonts w:hint="eastAsia"/>
          <w:szCs w:val="21"/>
          <w:u w:val="single"/>
        </w:rPr>
        <w:t xml:space="preserve">（投标人名称）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自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</w:t>
      </w:r>
      <w:r>
        <w:rPr>
          <w:rFonts w:hint="eastAsia" w:cs="宋体"/>
          <w:szCs w:val="21"/>
        </w:rPr>
        <w:t>我司无因串通投标、转包、以他人名义投标、违规违法分包、提供投标虚假材料等违法行为，受到行政部门行政处罚或被招标单位因此取消投标资格或中标资格。</w:t>
      </w:r>
    </w:p>
    <w:p w14:paraId="02D763E9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 xml:space="preserve">    如本承诺不属实，我司愿意无条件接受：</w:t>
      </w:r>
    </w:p>
    <w:p w14:paraId="0DCA95FA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（一）宣布我司</w:t>
      </w:r>
      <w:r>
        <w:rPr>
          <w:rFonts w:hint="eastAsia" w:cs="宋体"/>
          <w:szCs w:val="21"/>
          <w:lang w:val="en-US" w:eastAsia="zh-CN"/>
        </w:rPr>
        <w:t>报价无效。</w:t>
      </w:r>
    </w:p>
    <w:p w14:paraId="1E82669E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（二）列入投标黑名单。</w:t>
      </w:r>
    </w:p>
    <w:p w14:paraId="5E08B495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</w:t>
      </w:r>
      <w:r>
        <w:rPr>
          <w:rFonts w:hint="eastAsia" w:cs="宋体"/>
          <w:szCs w:val="21"/>
          <w:lang w:val="en-US" w:eastAsia="zh-CN"/>
        </w:rPr>
        <w:t>三</w:t>
      </w:r>
      <w:r>
        <w:rPr>
          <w:rFonts w:hint="eastAsia" w:cs="宋体"/>
          <w:szCs w:val="21"/>
        </w:rPr>
        <w:t xml:space="preserve">）不予退还投标保证金。  </w:t>
      </w:r>
    </w:p>
    <w:p w14:paraId="7E5A7D61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24" w:firstLineChars="1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>）我方同意给你方造成的损失予以赔偿。</w:t>
      </w:r>
    </w:p>
    <w:p w14:paraId="7A01A682">
      <w:pPr>
        <w:pStyle w:val="12"/>
        <w:rPr>
          <w:rFonts w:hint="eastAsia"/>
        </w:rPr>
      </w:pPr>
    </w:p>
    <w:p w14:paraId="24D065E8"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atLeast"/>
        <w:rPr>
          <w:szCs w:val="20"/>
        </w:rPr>
      </w:pPr>
      <w:r>
        <w:rPr>
          <w:rFonts w:hint="eastAsia"/>
          <w:szCs w:val="20"/>
        </w:rPr>
        <w:t>投标人名称：</w:t>
      </w:r>
      <w:r>
        <w:rPr>
          <w:rFonts w:hint="eastAsia"/>
          <w:szCs w:val="20"/>
          <w:u w:val="single"/>
        </w:rPr>
        <w:t xml:space="preserve">                                      </w:t>
      </w:r>
      <w:r>
        <w:rPr>
          <w:rFonts w:hint="eastAsia"/>
          <w:szCs w:val="20"/>
        </w:rPr>
        <w:t>（加盖公章）</w:t>
      </w:r>
    </w:p>
    <w:p w14:paraId="48E65D57"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atLeast"/>
        <w:rPr>
          <w:rFonts w:hint="eastAsia" w:cs="方正仿宋_GB2312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Cs w:val="20"/>
        </w:rPr>
        <w:t>日期：</w:t>
      </w:r>
      <w:r>
        <w:rPr>
          <w:szCs w:val="20"/>
          <w:u w:val="single"/>
        </w:rPr>
        <w:t xml:space="preserve">      </w:t>
      </w:r>
      <w:r>
        <w:rPr>
          <w:rFonts w:hint="eastAsia"/>
          <w:szCs w:val="20"/>
        </w:rPr>
        <w:t>年</w:t>
      </w:r>
      <w:r>
        <w:rPr>
          <w:rFonts w:hint="eastAsia"/>
          <w:szCs w:val="20"/>
          <w:u w:val="single"/>
        </w:rPr>
        <w:t xml:space="preserve">   </w:t>
      </w:r>
      <w:r>
        <w:rPr>
          <w:rFonts w:hint="eastAsia"/>
          <w:szCs w:val="20"/>
        </w:rPr>
        <w:t>月</w:t>
      </w:r>
      <w:r>
        <w:rPr>
          <w:rFonts w:hint="eastAsia"/>
          <w:szCs w:val="20"/>
          <w:u w:val="single"/>
        </w:rPr>
        <w:t xml:space="preserve">   </w:t>
      </w:r>
      <w:r>
        <w:rPr>
          <w:rFonts w:hint="eastAsia"/>
          <w:szCs w:val="2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3252D37C-ECB8-420A-B81B-2D9A6E4CAE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2CEB868-BF2B-41F9-8F9A-8F0A09972A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4C732"/>
    <w:multiLevelType w:val="singleLevel"/>
    <w:tmpl w:val="8C84C7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D98C075"/>
    <w:multiLevelType w:val="multilevel"/>
    <w:tmpl w:val="DD98C075"/>
    <w:lvl w:ilvl="0" w:tentative="0">
      <w:start w:val="1"/>
      <w:numFmt w:val="decimal"/>
      <w:suff w:val="space"/>
      <w:lvlText w:val="（%1）"/>
      <w:lvlJc w:val="center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tabs>
          <w:tab w:val="left" w:pos="0"/>
        </w:tabs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8CE92DB"/>
    <w:multiLevelType w:val="singleLevel"/>
    <w:tmpl w:val="E8CE92D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3">
    <w:nsid w:val="F606A0C3"/>
    <w:multiLevelType w:val="multilevel"/>
    <w:tmpl w:val="F606A0C3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（%2）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、"/>
      <w:lvlJc w:val="left"/>
      <w:pPr>
        <w:tabs>
          <w:tab w:val="left" w:pos="0"/>
        </w:tabs>
        <w:ind w:left="0" w:firstLine="40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4">
    <w:nsid w:val="2DE4FF6E"/>
    <w:multiLevelType w:val="singleLevel"/>
    <w:tmpl w:val="2DE4FF6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69A59B5"/>
    <w:multiLevelType w:val="singleLevel"/>
    <w:tmpl w:val="369A59B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56AE7824"/>
    <w:multiLevelType w:val="singleLevel"/>
    <w:tmpl w:val="56AE78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WM2NmZkMWRiMWUxMmE0YjZlMmRjZDE2ZTQwMzcifQ=="/>
  </w:docVars>
  <w:rsids>
    <w:rsidRoot w:val="00000000"/>
    <w:rsid w:val="01085071"/>
    <w:rsid w:val="07945D63"/>
    <w:rsid w:val="096506FA"/>
    <w:rsid w:val="099B25B0"/>
    <w:rsid w:val="0A326E9C"/>
    <w:rsid w:val="0AA729AD"/>
    <w:rsid w:val="0D241155"/>
    <w:rsid w:val="0D4A53C2"/>
    <w:rsid w:val="0DE90818"/>
    <w:rsid w:val="0FAD3CA4"/>
    <w:rsid w:val="10D33DA9"/>
    <w:rsid w:val="133441FF"/>
    <w:rsid w:val="19C11BC4"/>
    <w:rsid w:val="1FD63642"/>
    <w:rsid w:val="201F2242"/>
    <w:rsid w:val="22974748"/>
    <w:rsid w:val="255676EF"/>
    <w:rsid w:val="268576F5"/>
    <w:rsid w:val="283E6825"/>
    <w:rsid w:val="2B5C5333"/>
    <w:rsid w:val="2BDA6D32"/>
    <w:rsid w:val="2CBD47AF"/>
    <w:rsid w:val="2E233988"/>
    <w:rsid w:val="2E41718E"/>
    <w:rsid w:val="2E6D1386"/>
    <w:rsid w:val="30752778"/>
    <w:rsid w:val="3099504D"/>
    <w:rsid w:val="309E1C29"/>
    <w:rsid w:val="31715D8A"/>
    <w:rsid w:val="337B2D15"/>
    <w:rsid w:val="35D942E6"/>
    <w:rsid w:val="3814754E"/>
    <w:rsid w:val="399F745E"/>
    <w:rsid w:val="3BB42874"/>
    <w:rsid w:val="3DAF2161"/>
    <w:rsid w:val="3E9500FC"/>
    <w:rsid w:val="3F5566AA"/>
    <w:rsid w:val="43B040A8"/>
    <w:rsid w:val="472C7B57"/>
    <w:rsid w:val="47A606DD"/>
    <w:rsid w:val="4B864CA0"/>
    <w:rsid w:val="4E17757C"/>
    <w:rsid w:val="4EC76443"/>
    <w:rsid w:val="54DC4C6B"/>
    <w:rsid w:val="55A768BA"/>
    <w:rsid w:val="55BE546A"/>
    <w:rsid w:val="567019A9"/>
    <w:rsid w:val="589159DA"/>
    <w:rsid w:val="58AC3B0E"/>
    <w:rsid w:val="59E83579"/>
    <w:rsid w:val="5B4F2426"/>
    <w:rsid w:val="5BD042B3"/>
    <w:rsid w:val="5DE1777B"/>
    <w:rsid w:val="61300CFB"/>
    <w:rsid w:val="61BA4586"/>
    <w:rsid w:val="62793C7C"/>
    <w:rsid w:val="63840429"/>
    <w:rsid w:val="656C2E15"/>
    <w:rsid w:val="66403B74"/>
    <w:rsid w:val="667557A7"/>
    <w:rsid w:val="66A27520"/>
    <w:rsid w:val="683C4A76"/>
    <w:rsid w:val="69262E7E"/>
    <w:rsid w:val="6C5902DA"/>
    <w:rsid w:val="6F690D5D"/>
    <w:rsid w:val="752E55CB"/>
    <w:rsid w:val="75EF5461"/>
    <w:rsid w:val="7685084B"/>
    <w:rsid w:val="76E557A9"/>
    <w:rsid w:val="7955164D"/>
    <w:rsid w:val="79FF663A"/>
    <w:rsid w:val="7A085681"/>
    <w:rsid w:val="7A8C150B"/>
    <w:rsid w:val="7B734EB1"/>
    <w:rsid w:val="7C4B768B"/>
    <w:rsid w:val="7D1666BD"/>
    <w:rsid w:val="7D732538"/>
    <w:rsid w:val="7D74249E"/>
    <w:rsid w:val="7DA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/>
      <w:adjustRightInd w:val="0"/>
      <w:snapToGrid w:val="0"/>
      <w:spacing w:line="560" w:lineRule="exact"/>
      <w:ind w:firstLine="480" w:firstLineChars="200"/>
      <w:jc w:val="left"/>
    </w:pPr>
    <w:rPr>
      <w:rFonts w:cs="方正仿宋_GB2312" w:asciiTheme="minorEastAsia" w:hAnsiTheme="minorEastAsia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pageBreakBefore w:val="0"/>
      <w:numPr>
        <w:ilvl w:val="0"/>
        <w:numId w:val="1"/>
      </w:numPr>
      <w:tabs>
        <w:tab w:val="left" w:pos="420"/>
        <w:tab w:val="clear" w:pos="0"/>
      </w:tabs>
      <w:spacing w:line="560" w:lineRule="exact"/>
      <w:ind w:left="0" w:right="0" w:firstLine="403" w:firstLineChars="0"/>
      <w:jc w:val="left"/>
      <w:outlineLvl w:val="0"/>
    </w:pPr>
    <w:rPr>
      <w:rFonts w:ascii="黑体" w:hAnsi="黑体" w:eastAsia="黑体"/>
      <w:szCs w:val="24"/>
      <w:lang w:bidi="hi-IN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left="0" w:firstLine="400" w:firstLineChars="0"/>
      <w:outlineLvl w:val="1"/>
    </w:pPr>
    <w:rPr>
      <w:lang w:bidi="hi-IN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40" w:firstLineChars="0"/>
      <w:outlineLvl w:val="2"/>
    </w:pPr>
    <w:rPr>
      <w:rFonts w:ascii="宋体" w:hAnsi="宋体" w:eastAsia="仿宋" w:cs="Times New Roman"/>
      <w:lang w:bidi="hi-IN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2"/>
      </w:numPr>
      <w:tabs>
        <w:tab w:val="left" w:pos="420"/>
        <w:tab w:val="clear" w:pos="0"/>
      </w:tabs>
      <w:adjustRightInd w:val="0"/>
      <w:snapToGrid w:val="0"/>
      <w:spacing w:beforeLines="0" w:beforeAutospacing="0" w:afterLines="0" w:afterAutospacing="0" w:line="560" w:lineRule="exact"/>
      <w:ind w:left="709" w:hanging="709" w:firstLineChars="0"/>
      <w:outlineLvl w:val="3"/>
    </w:pPr>
    <w:rPr>
      <w:rFonts w:ascii="仿宋" w:hAnsi="仿宋" w:eastAsia="仿宋" w:cs="Times New Roma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semiHidden/>
    <w:unhideWhenUsed/>
    <w:qFormat/>
    <w:uiPriority w:val="0"/>
    <w:pPr>
      <w:ind w:firstLine="0" w:firstLineChars="0"/>
      <w:jc w:val="center"/>
    </w:pPr>
    <w:rPr>
      <w:rFonts w:ascii="Arial" w:hAnsi="Arial" w:eastAsia="黑体" w:cs="Times New Roman"/>
      <w:sz w:val="24"/>
    </w:r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Lines="0" w:beforeAutospacing="0" w:after="100" w:afterLines="100" w:afterAutospacing="1"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12">
    <w:name w:val="Body Text First Indent 2"/>
    <w:basedOn w:val="8"/>
    <w:autoRedefine/>
    <w:qFormat/>
    <w:uiPriority w:val="0"/>
    <w:pPr>
      <w:ind w:firstLine="420" w:firstLineChars="20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表格"/>
    <w:basedOn w:val="1"/>
    <w:autoRedefine/>
    <w:qFormat/>
    <w:uiPriority w:val="0"/>
    <w:pPr>
      <w:keepNext/>
      <w:spacing w:after="120" w:afterLines="0" w:line="400" w:lineRule="exact"/>
      <w:ind w:left="0" w:leftChars="0" w:firstLine="0" w:firstLineChars="0"/>
      <w:jc w:val="center"/>
    </w:pPr>
    <w:rPr>
      <w:rFonts w:ascii="Times New Roman" w:hAnsi="Times New Roman"/>
      <w:sz w:val="30"/>
    </w:rPr>
  </w:style>
  <w:style w:type="paragraph" w:customStyle="1" w:styleId="17">
    <w:name w:val="图表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8"/>
    </w:rPr>
  </w:style>
  <w:style w:type="paragraph" w:customStyle="1" w:styleId="18">
    <w:name w:val="图片"/>
    <w:basedOn w:val="1"/>
    <w:next w:val="6"/>
    <w:autoRedefine/>
    <w:qFormat/>
    <w:uiPriority w:val="0"/>
    <w:pPr>
      <w:keepNext/>
      <w:spacing w:line="240" w:lineRule="auto"/>
      <w:ind w:firstLine="0" w:firstLineChars="0"/>
      <w:jc w:val="center"/>
    </w:pPr>
    <w:rPr>
      <w:rFonts w:asciiTheme="majorAscii" w:hAnsiTheme="majorAscii" w:eastAsiaTheme="majorEastAsia" w:cstheme="majorEastAsia"/>
      <w:b/>
      <w:sz w:val="24"/>
    </w:rPr>
  </w:style>
  <w:style w:type="character" w:customStyle="1" w:styleId="19">
    <w:name w:val="标题 1 Char"/>
    <w:link w:val="2"/>
    <w:autoRedefine/>
    <w:qFormat/>
    <w:uiPriority w:val="0"/>
    <w:rPr>
      <w:rFonts w:ascii="黑体" w:hAnsi="黑体" w:eastAsia="黑体" w:cs="Times New Roman"/>
      <w:sz w:val="32"/>
      <w:szCs w:val="24"/>
      <w:lang w:bidi="hi-IN"/>
    </w:rPr>
  </w:style>
  <w:style w:type="character" w:customStyle="1" w:styleId="20">
    <w:name w:val="标题 2 Char"/>
    <w:link w:val="3"/>
    <w:autoRedefine/>
    <w:qFormat/>
    <w:uiPriority w:val="0"/>
    <w:rPr>
      <w:rFonts w:ascii="仿宋" w:hAnsi="仿宋" w:eastAsia="仿宋" w:cs="Times New Roman"/>
      <w:sz w:val="32"/>
      <w:lang w:bidi="hi-IN"/>
    </w:rPr>
  </w:style>
  <w:style w:type="character" w:customStyle="1" w:styleId="21">
    <w:name w:val="标题 3 Char"/>
    <w:link w:val="4"/>
    <w:autoRedefine/>
    <w:qFormat/>
    <w:uiPriority w:val="0"/>
    <w:rPr>
      <w:rFonts w:ascii="宋体" w:hAnsi="宋体" w:eastAsia="仿宋" w:cs="Times New Roman"/>
      <w:sz w:val="32"/>
      <w:lang w:bidi="hi-IN"/>
    </w:rPr>
  </w:style>
  <w:style w:type="paragraph" w:customStyle="1" w:styleId="22">
    <w:name w:val="表注"/>
    <w:basedOn w:val="1"/>
    <w:autoRedefine/>
    <w:qFormat/>
    <w:uiPriority w:val="0"/>
    <w:pPr>
      <w:keepNext/>
      <w:ind w:firstLine="0" w:firstLineChars="0"/>
      <w:jc w:val="center"/>
    </w:pPr>
    <w:rPr>
      <w:rFonts w:hint="eastAsia" w:ascii="Arial" w:hAnsi="Arial" w:eastAsia="黑体" w:cs="Times New Roman"/>
      <w:sz w:val="24"/>
    </w:rPr>
  </w:style>
  <w:style w:type="paragraph" w:customStyle="1" w:styleId="23">
    <w:name w:val="Body text|2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1934</Words>
  <Characters>2025</Characters>
  <Lines>0</Lines>
  <Paragraphs>0</Paragraphs>
  <TotalTime>4</TotalTime>
  <ScaleCrop>false</ScaleCrop>
  <LinksUpToDate>false</LinksUpToDate>
  <CharactersWithSpaces>2115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2022-09-27T07:37:00Z</dcterms:created>
  <dc:creator>LYQ</dc:creator>
  <cp:lastModifiedBy></cp:lastModifiedBy>
  <dcterms:modified xsi:type="dcterms:W3CDTF">2025-04-14T06:32:11Z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3CE087EE1AB540F293BAB91150E6DE2A_13</vt:lpwstr>
  </property>
  <property fmtid="{D5CDD505-2E9C-101B-9397-08002B2CF9AE}" pid="4" name="KSOTemplateDocerSaveRecord">
    <vt:lpwstr>eyJoZGlkIjoiNzIxM2NkNWQ5MTEyZDU0YTlkM2VhMDE5OGI1ZmJkMWMiLCJ1c2VySWQiOiIzMzQ5MzMwOTYifQ==</vt:lpwstr>
  </property>
</Properties>
</file>