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4E240">
      <w:pPr>
        <w:widowControl/>
        <w:adjustRightInd w:val="0"/>
        <w:spacing w:before="100" w:beforeAutospacing="1" w:after="100" w:afterAutospacing="1" w:line="360" w:lineRule="auto"/>
        <w:jc w:val="center"/>
        <w:outlineLvl w:val="0"/>
        <w:rPr>
          <w:rFonts w:hint="eastAsia" w:ascii="宋体" w:hAnsi="宋体" w:eastAsia="宋体" w:cs="宋体"/>
          <w:bCs/>
          <w:kern w:val="36"/>
          <w:sz w:val="36"/>
          <w:szCs w:val="44"/>
        </w:rPr>
      </w:pPr>
      <w:r>
        <w:rPr>
          <w:rFonts w:hint="eastAsia" w:ascii="宋体" w:hAnsi="宋体" w:eastAsia="宋体" w:cs="宋体"/>
          <w:bCs/>
          <w:kern w:val="36"/>
          <w:sz w:val="36"/>
          <w:szCs w:val="44"/>
        </w:rPr>
        <w:t>预询价公告</w:t>
      </w:r>
    </w:p>
    <w:p w14:paraId="5EB38BAE">
      <w:pPr>
        <w:ind w:firstLine="420" w:firstLineChars="200"/>
        <w:rPr>
          <w:rFonts w:hint="eastAsia" w:ascii="宋体" w:hAnsi="宋体" w:eastAsia="宋体" w:cs="宋体"/>
        </w:rPr>
      </w:pPr>
      <w:r>
        <w:rPr>
          <w:rFonts w:hint="eastAsia" w:ascii="宋体" w:hAnsi="宋体" w:eastAsia="宋体" w:cs="宋体"/>
          <w:kern w:val="0"/>
          <w:szCs w:val="21"/>
        </w:rPr>
        <w:t>深圳市深水生态环境技术有限公司就</w:t>
      </w:r>
      <w:r>
        <w:rPr>
          <w:rFonts w:hint="eastAsia" w:ascii="宋体" w:hAnsi="宋体" w:eastAsia="宋体" w:cs="宋体"/>
          <w:kern w:val="0"/>
          <w:szCs w:val="21"/>
          <w:u w:val="single"/>
          <w:lang w:val="en-US" w:eastAsia="zh-CN"/>
        </w:rPr>
        <w:t xml:space="preserve"> 移动式龙门架葫芦吊</w:t>
      </w:r>
      <w:r>
        <w:rPr>
          <w:rFonts w:hint="eastAsia" w:ascii="宋体" w:hAnsi="宋体" w:eastAsia="宋体" w:cs="宋体"/>
          <w:kern w:val="0"/>
          <w:szCs w:val="21"/>
          <w:u w:val="single"/>
        </w:rPr>
        <w:t>采购项目</w:t>
      </w:r>
      <w:r>
        <w:rPr>
          <w:rFonts w:hint="eastAsia" w:ascii="宋体" w:hAnsi="宋体" w:eastAsia="宋体" w:cs="宋体"/>
          <w:kern w:val="0"/>
          <w:szCs w:val="21"/>
        </w:rPr>
        <w:t>进行公开预询价，欢迎各</w:t>
      </w:r>
      <w:r>
        <w:rPr>
          <w:rFonts w:hint="eastAsia" w:ascii="宋体" w:hAnsi="宋体" w:eastAsia="宋体" w:cs="宋体"/>
        </w:rPr>
        <w:t>潜在供应商积极参与报价。本次询价结果仅作为采购限价的参考依据。</w:t>
      </w:r>
    </w:p>
    <w:p w14:paraId="09A765C3">
      <w:pPr>
        <w:keepNext/>
        <w:keepLines/>
        <w:spacing w:before="260"/>
        <w:jc w:val="left"/>
        <w:outlineLvl w:val="1"/>
        <w:rPr>
          <w:rFonts w:hint="eastAsia" w:ascii="宋体" w:hAnsi="宋体" w:eastAsia="宋体" w:cs="宋体"/>
          <w:b/>
          <w:bCs/>
          <w:szCs w:val="21"/>
        </w:rPr>
      </w:pPr>
      <w:bookmarkStart w:id="0" w:name="_Toc52363201"/>
      <w:bookmarkStart w:id="1" w:name="_Toc53088894"/>
      <w:r>
        <w:rPr>
          <w:rFonts w:hint="eastAsia" w:ascii="宋体" w:hAnsi="宋体" w:eastAsia="宋体" w:cs="宋体"/>
          <w:b/>
          <w:bCs/>
          <w:szCs w:val="21"/>
        </w:rPr>
        <w:t>一、</w:t>
      </w:r>
      <w:bookmarkEnd w:id="0"/>
      <w:bookmarkEnd w:id="1"/>
      <w:r>
        <w:rPr>
          <w:rFonts w:hint="eastAsia" w:ascii="宋体" w:hAnsi="宋体" w:eastAsia="宋体" w:cs="宋体"/>
          <w:b/>
          <w:bCs/>
          <w:szCs w:val="21"/>
        </w:rPr>
        <w:t>报价单位资格要求</w:t>
      </w:r>
    </w:p>
    <w:p w14:paraId="76F15309">
      <w:pPr>
        <w:spacing w:line="360" w:lineRule="auto"/>
        <w:ind w:firstLine="420" w:firstLineChars="200"/>
        <w:rPr>
          <w:rFonts w:hint="eastAsia" w:ascii="宋体" w:hAnsi="宋体" w:eastAsia="宋体" w:cs="宋体"/>
          <w:kern w:val="0"/>
          <w:szCs w:val="21"/>
        </w:rPr>
      </w:pPr>
      <w:bookmarkStart w:id="2" w:name="_Toc53088895"/>
      <w:bookmarkStart w:id="3" w:name="_Toc52363202"/>
      <w:r>
        <w:rPr>
          <w:rFonts w:hint="eastAsia" w:ascii="宋体" w:hAnsi="宋体" w:eastAsia="宋体" w:cs="宋体"/>
          <w:kern w:val="0"/>
          <w:szCs w:val="21"/>
        </w:rPr>
        <w:t>1.投标人须为中国境内注册的独立企业法人，具有合法经营资格。（提供营业执照扫描件加盖公章）</w:t>
      </w:r>
    </w:p>
    <w:p w14:paraId="607D3DFE">
      <w:pPr>
        <w:pStyle w:val="2"/>
        <w:rPr>
          <w:rFonts w:hint="default" w:eastAsia="宋体"/>
          <w:lang w:val="en-US" w:eastAsia="zh-CN"/>
        </w:rPr>
      </w:pPr>
      <w:r>
        <w:rPr>
          <w:rFonts w:hint="eastAsia" w:ascii="宋体" w:hAnsi="宋体" w:eastAsia="宋体" w:cs="宋体"/>
          <w:kern w:val="0"/>
          <w:szCs w:val="21"/>
          <w:lang w:val="en-US" w:eastAsia="zh-CN"/>
        </w:rPr>
        <w:t>2.投标人需具有特种设备制造许可证C级及以上。（提供扫描件加盖公章）</w:t>
      </w:r>
    </w:p>
    <w:p w14:paraId="0A828492">
      <w:pPr>
        <w:spacing w:line="360" w:lineRule="auto"/>
        <w:ind w:firstLine="420" w:firstLineChars="200"/>
        <w:rPr>
          <w:rFonts w:hint="eastAsia" w:ascii="宋体" w:hAnsi="宋体" w:eastAsia="宋体" w:cs="宋体"/>
          <w:kern w:val="0"/>
          <w:szCs w:val="21"/>
        </w:rPr>
      </w:pPr>
      <w:r>
        <w:rPr>
          <w:rFonts w:hint="eastAsia" w:ascii="宋体" w:hAnsi="宋体" w:eastAsia="宋体" w:cs="宋体"/>
          <w:szCs w:val="21"/>
          <w:lang w:val="en-US" w:eastAsia="zh-CN"/>
        </w:rPr>
        <w:t>3.</w:t>
      </w:r>
      <w:r>
        <w:rPr>
          <w:rFonts w:hint="eastAsia" w:ascii="宋体" w:hAnsi="宋体" w:eastAsia="宋体" w:cs="宋体"/>
          <w:kern w:val="0"/>
          <w:szCs w:val="21"/>
        </w:rPr>
        <w:t>投标人企业及法定代表人，近三年内（从本项目发布招标公告之日起倒算）无行贿犯罪记录、无违法行为。</w:t>
      </w:r>
    </w:p>
    <w:p w14:paraId="54FEA5C5">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.投标人近3年内（从招标公告发布日期倒算）企业及法定代表人没有行贿骗取中标和严重违约、提供的产品没有重大质量问题及安全事故。</w:t>
      </w:r>
    </w:p>
    <w:p w14:paraId="7720F1CF">
      <w:pPr>
        <w:pStyle w:val="22"/>
        <w:spacing w:line="360" w:lineRule="auto"/>
        <w:rPr>
          <w:rFonts w:hint="eastAsia" w:ascii="宋体" w:hAnsi="宋体" w:eastAsia="宋体" w:cs="宋体"/>
          <w:kern w:val="0"/>
          <w:szCs w:val="21"/>
        </w:rPr>
      </w:pPr>
      <w:r>
        <w:rPr>
          <w:rFonts w:hint="eastAsia" w:ascii="宋体" w:hAnsi="宋体" w:eastAsia="宋体" w:cs="宋体"/>
          <w:kern w:val="0"/>
          <w:szCs w:val="21"/>
          <w:lang w:val="en-US" w:eastAsia="zh-CN"/>
        </w:rPr>
        <w:t>5</w:t>
      </w:r>
      <w:r>
        <w:rPr>
          <w:rFonts w:hint="eastAsia" w:ascii="宋体" w:hAnsi="宋体" w:eastAsia="宋体" w:cs="宋体"/>
          <w:kern w:val="0"/>
          <w:szCs w:val="21"/>
        </w:rPr>
        <w:t>.202</w:t>
      </w:r>
      <w:r>
        <w:rPr>
          <w:rFonts w:hint="eastAsia" w:ascii="宋体" w:hAnsi="宋体" w:eastAsia="宋体" w:cs="宋体"/>
          <w:kern w:val="0"/>
          <w:szCs w:val="21"/>
          <w:lang w:val="en-US" w:eastAsia="zh-CN"/>
        </w:rPr>
        <w:t>2</w:t>
      </w:r>
      <w:r>
        <w:rPr>
          <w:rFonts w:hint="eastAsia" w:ascii="宋体" w:hAnsi="宋体" w:eastAsia="宋体" w:cs="宋体"/>
          <w:kern w:val="0"/>
          <w:szCs w:val="21"/>
        </w:rPr>
        <w:t>年1月1日至投标截止时间，投标人须提供至少一项国内类似的移动式龙门架葫芦吊的制造</w:t>
      </w:r>
      <w:r>
        <w:rPr>
          <w:rFonts w:hint="eastAsia" w:ascii="宋体" w:hAnsi="宋体" w:eastAsia="宋体" w:cs="宋体"/>
          <w:kern w:val="0"/>
          <w:szCs w:val="21"/>
          <w:lang w:val="en-US" w:eastAsia="zh-CN"/>
        </w:rPr>
        <w:t>或</w:t>
      </w:r>
      <w:r>
        <w:rPr>
          <w:rFonts w:hint="eastAsia" w:ascii="宋体" w:hAnsi="宋体" w:eastAsia="宋体" w:cs="宋体"/>
          <w:kern w:val="0"/>
          <w:szCs w:val="21"/>
        </w:rPr>
        <w:t>供货业绩。（提供合同关键页作为证明材料，需体现制造</w:t>
      </w:r>
      <w:r>
        <w:rPr>
          <w:rFonts w:hint="eastAsia" w:ascii="宋体" w:hAnsi="宋体" w:eastAsia="宋体" w:cs="宋体"/>
          <w:kern w:val="0"/>
          <w:szCs w:val="21"/>
          <w:lang w:val="en-US" w:eastAsia="zh-CN"/>
        </w:rPr>
        <w:t>或</w:t>
      </w:r>
      <w:r>
        <w:rPr>
          <w:rFonts w:hint="eastAsia" w:ascii="宋体" w:hAnsi="宋体" w:eastAsia="宋体" w:cs="宋体"/>
          <w:kern w:val="0"/>
          <w:szCs w:val="21"/>
        </w:rPr>
        <w:t>供货内容）</w:t>
      </w:r>
    </w:p>
    <w:p w14:paraId="46B4D2D5">
      <w:pPr>
        <w:pStyle w:val="22"/>
        <w:spacing w:line="360" w:lineRule="auto"/>
        <w:rPr>
          <w:rFonts w:hint="eastAsia" w:ascii="宋体" w:hAnsi="宋体" w:eastAsia="宋体" w:cs="宋体"/>
          <w:kern w:val="0"/>
          <w:szCs w:val="21"/>
        </w:rPr>
      </w:pPr>
      <w:r>
        <w:rPr>
          <w:rFonts w:hint="eastAsia" w:ascii="宋体" w:hAnsi="宋体" w:eastAsia="宋体" w:cs="宋体"/>
          <w:kern w:val="0"/>
          <w:szCs w:val="21"/>
          <w:lang w:val="en-US" w:eastAsia="zh-CN"/>
        </w:rPr>
        <w:t>6</w:t>
      </w:r>
      <w:r>
        <w:rPr>
          <w:rFonts w:hint="eastAsia" w:ascii="宋体" w:hAnsi="宋体" w:eastAsia="宋体" w:cs="宋体"/>
          <w:kern w:val="0"/>
          <w:szCs w:val="21"/>
        </w:rPr>
        <w:t>.</w:t>
      </w:r>
      <w:bookmarkStart w:id="4" w:name="OLE_LINK1"/>
      <w:r>
        <w:rPr>
          <w:rFonts w:hint="eastAsia" w:ascii="宋体" w:hAnsi="宋体" w:eastAsia="宋体" w:cs="宋体"/>
          <w:kern w:val="0"/>
          <w:szCs w:val="21"/>
        </w:rPr>
        <w:t>本项目不接受联合体投标，不允许转包、违法分包。</w:t>
      </w:r>
      <w:bookmarkEnd w:id="4"/>
    </w:p>
    <w:p w14:paraId="0DA0DC79">
      <w:pPr>
        <w:keepNext/>
        <w:keepLines/>
        <w:spacing w:before="260"/>
        <w:jc w:val="left"/>
        <w:outlineLvl w:val="1"/>
        <w:rPr>
          <w:rFonts w:hint="eastAsia" w:ascii="宋体" w:hAnsi="宋体" w:eastAsia="宋体" w:cs="宋体"/>
          <w:b/>
          <w:bCs/>
          <w:szCs w:val="21"/>
        </w:rPr>
      </w:pPr>
      <w:r>
        <w:rPr>
          <w:rFonts w:hint="eastAsia" w:ascii="宋体" w:hAnsi="宋体" w:eastAsia="宋体" w:cs="宋体"/>
          <w:b/>
          <w:bCs/>
          <w:szCs w:val="21"/>
        </w:rPr>
        <w:t>二、</w:t>
      </w:r>
      <w:bookmarkEnd w:id="2"/>
      <w:bookmarkEnd w:id="3"/>
      <w:r>
        <w:rPr>
          <w:rFonts w:hint="eastAsia" w:ascii="宋体" w:hAnsi="宋体" w:eastAsia="宋体" w:cs="宋体"/>
          <w:b/>
          <w:bCs/>
          <w:szCs w:val="21"/>
        </w:rPr>
        <w:t>项目需求</w:t>
      </w:r>
    </w:p>
    <w:p w14:paraId="168CDD20">
      <w:pPr>
        <w:numPr>
          <w:ilvl w:val="0"/>
          <w:numId w:val="2"/>
        </w:numPr>
        <w:spacing w:line="360" w:lineRule="auto"/>
        <w:rPr>
          <w:rFonts w:hint="eastAsia" w:ascii="宋体" w:hAnsi="宋体" w:eastAsia="宋体" w:cs="宋体"/>
          <w:b/>
          <w:bCs/>
          <w:kern w:val="0"/>
          <w:szCs w:val="21"/>
        </w:rPr>
      </w:pPr>
      <w:r>
        <w:rPr>
          <w:rFonts w:hint="eastAsia" w:ascii="宋体" w:hAnsi="宋体" w:eastAsia="宋体" w:cs="宋体"/>
          <w:b/>
          <w:bCs/>
          <w:kern w:val="0"/>
          <w:szCs w:val="21"/>
        </w:rPr>
        <w:t>项目概况</w:t>
      </w:r>
    </w:p>
    <w:p w14:paraId="1AB9EDA5">
      <w:pPr>
        <w:spacing w:line="36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为对公司自主开发设备进行组装测试，拟在福田水质净化厂组装测试基地内配备一台移动式龙门架葫芦吊。</w:t>
      </w:r>
    </w:p>
    <w:p w14:paraId="3CB83F50">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工作边界</w:t>
      </w:r>
    </w:p>
    <w:p w14:paraId="5EDEE1AA">
      <w:pPr>
        <w:spacing w:line="360" w:lineRule="auto"/>
        <w:ind w:firstLine="420" w:firstLineChars="20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投标人根据招标人需求在约定时间内完成移动式龙门架葫芦吊的深化设计、制造、供货、组装、调试试运行。</w:t>
      </w:r>
    </w:p>
    <w:p w14:paraId="34535BA1">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主要采购清单</w:t>
      </w:r>
    </w:p>
    <w:tbl>
      <w:tblPr>
        <w:tblStyle w:val="14"/>
        <w:tblW w:w="49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134"/>
        <w:gridCol w:w="4844"/>
        <w:gridCol w:w="427"/>
        <w:gridCol w:w="428"/>
        <w:gridCol w:w="1194"/>
      </w:tblGrid>
      <w:tr w14:paraId="2E831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2" w:type="pct"/>
            <w:vAlign w:val="center"/>
          </w:tcPr>
          <w:p w14:paraId="5A2486B5">
            <w:pPr>
              <w:pStyle w:val="22"/>
              <w:adjustRightInd w:val="0"/>
              <w:snapToGrid w:val="0"/>
              <w:ind w:firstLine="0" w:firstLineChars="0"/>
              <w:jc w:val="center"/>
              <w:rPr>
                <w:rFonts w:hint="eastAsia" w:ascii="宋体" w:hAnsi="宋体" w:eastAsia="宋体" w:cs="宋体"/>
                <w:b/>
                <w:bCs/>
                <w:szCs w:val="21"/>
              </w:rPr>
            </w:pPr>
            <w:r>
              <w:rPr>
                <w:rFonts w:hint="eastAsia" w:ascii="宋体" w:hAnsi="宋体" w:eastAsia="宋体" w:cs="宋体"/>
                <w:b/>
                <w:bCs/>
                <w:szCs w:val="21"/>
              </w:rPr>
              <w:t>序号</w:t>
            </w:r>
          </w:p>
        </w:tc>
        <w:tc>
          <w:tcPr>
            <w:tcW w:w="671" w:type="pct"/>
            <w:vAlign w:val="center"/>
          </w:tcPr>
          <w:p w14:paraId="763BAC1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设备名称</w:t>
            </w:r>
          </w:p>
        </w:tc>
        <w:tc>
          <w:tcPr>
            <w:tcW w:w="2864" w:type="pct"/>
            <w:vAlign w:val="center"/>
          </w:tcPr>
          <w:p w14:paraId="3FF17670">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规格参数</w:t>
            </w:r>
          </w:p>
        </w:tc>
        <w:tc>
          <w:tcPr>
            <w:tcW w:w="252" w:type="pct"/>
            <w:vAlign w:val="center"/>
          </w:tcPr>
          <w:p w14:paraId="213BF0A8">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数量</w:t>
            </w:r>
          </w:p>
        </w:tc>
        <w:tc>
          <w:tcPr>
            <w:tcW w:w="252" w:type="pct"/>
            <w:vAlign w:val="center"/>
          </w:tcPr>
          <w:p w14:paraId="6AD665AC">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单位</w:t>
            </w:r>
          </w:p>
        </w:tc>
        <w:tc>
          <w:tcPr>
            <w:tcW w:w="706" w:type="pct"/>
            <w:vAlign w:val="center"/>
          </w:tcPr>
          <w:p w14:paraId="26E9AEF6">
            <w:pPr>
              <w:adjustRightInd w:val="0"/>
              <w:snapToGrid w:val="0"/>
              <w:jc w:val="center"/>
              <w:rPr>
                <w:rFonts w:hint="eastAsia" w:ascii="宋体" w:hAnsi="宋体" w:eastAsia="宋体" w:cs="宋体"/>
                <w:b/>
                <w:bCs/>
                <w:szCs w:val="21"/>
              </w:rPr>
            </w:pPr>
            <w:r>
              <w:rPr>
                <w:rFonts w:hint="eastAsia" w:ascii="宋体" w:hAnsi="宋体" w:eastAsia="宋体" w:cs="宋体"/>
                <w:b/>
                <w:bCs/>
                <w:szCs w:val="21"/>
              </w:rPr>
              <w:t>备注</w:t>
            </w:r>
          </w:p>
        </w:tc>
      </w:tr>
      <w:tr w14:paraId="7A14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 w:type="pct"/>
            <w:vAlign w:val="center"/>
          </w:tcPr>
          <w:p w14:paraId="6B122CD1">
            <w:pPr>
              <w:adjustRightInd w:val="0"/>
              <w:snapToGrid w:val="0"/>
              <w:jc w:val="center"/>
              <w:rPr>
                <w:rFonts w:hint="eastAsia"/>
                <w:lang w:val="en-US" w:eastAsia="zh-CN"/>
              </w:rPr>
            </w:pPr>
            <w:r>
              <w:rPr>
                <w:rFonts w:hint="eastAsia" w:ascii="宋体" w:hAnsi="宋体" w:eastAsia="宋体" w:cs="宋体"/>
                <w:szCs w:val="21"/>
                <w:lang w:val="en-US" w:eastAsia="zh-CN"/>
              </w:rPr>
              <w:t>1</w:t>
            </w:r>
          </w:p>
        </w:tc>
        <w:tc>
          <w:tcPr>
            <w:tcW w:w="671" w:type="pct"/>
            <w:vAlign w:val="center"/>
          </w:tcPr>
          <w:p w14:paraId="210F071A">
            <w:pPr>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移动式龙门架葫芦吊</w:t>
            </w:r>
          </w:p>
        </w:tc>
        <w:tc>
          <w:tcPr>
            <w:tcW w:w="2864" w:type="pct"/>
            <w:vAlign w:val="center"/>
          </w:tcPr>
          <w:p w14:paraId="479E24F1">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1.额定起重：5T</w:t>
            </w:r>
          </w:p>
          <w:p w14:paraId="38D30FF6">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2.跨度4米，提升高度5米</w:t>
            </w:r>
          </w:p>
          <w:p w14:paraId="63941D8B">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3.可电动走行和横移，遥控升降</w:t>
            </w:r>
          </w:p>
          <w:p w14:paraId="00269D18">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default"/>
                <w:lang w:val="en-US" w:eastAsia="zh-CN"/>
              </w:rPr>
            </w:pPr>
            <w:r>
              <w:rPr>
                <w:rFonts w:hint="eastAsia" w:ascii="宋体" w:hAnsi="宋体" w:eastAsia="宋体" w:cs="宋体"/>
                <w:szCs w:val="21"/>
                <w:lang w:val="en-US" w:eastAsia="zh-CN"/>
              </w:rPr>
              <w:t>4.轮式走行</w:t>
            </w:r>
          </w:p>
        </w:tc>
        <w:tc>
          <w:tcPr>
            <w:tcW w:w="252" w:type="pct"/>
            <w:vAlign w:val="center"/>
          </w:tcPr>
          <w:p w14:paraId="2648B57C">
            <w:pPr>
              <w:adjustRightInd w:val="0"/>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252" w:type="pct"/>
            <w:vAlign w:val="center"/>
          </w:tcPr>
          <w:p w14:paraId="0F57A7B9">
            <w:pPr>
              <w:adjustRightInd w:val="0"/>
              <w:snapToGrid w:val="0"/>
              <w:jc w:val="center"/>
              <w:rPr>
                <w:rFonts w:hint="default" w:ascii="宋体" w:hAnsi="宋体" w:eastAsia="宋体" w:cs="宋体"/>
                <w:szCs w:val="21"/>
                <w:lang w:val="en-US" w:eastAsia="zh-CN"/>
              </w:rPr>
            </w:pPr>
            <w:r>
              <w:rPr>
                <w:rFonts w:hint="eastAsia" w:ascii="宋体" w:hAnsi="宋体" w:eastAsia="宋体" w:cs="宋体"/>
                <w:szCs w:val="21"/>
                <w:lang w:val="en-US" w:eastAsia="zh-CN"/>
              </w:rPr>
              <w:t>台</w:t>
            </w:r>
          </w:p>
        </w:tc>
        <w:tc>
          <w:tcPr>
            <w:tcW w:w="706" w:type="pct"/>
            <w:vAlign w:val="center"/>
          </w:tcPr>
          <w:p w14:paraId="0FFAFCAF">
            <w:pPr>
              <w:adjustRightInd w:val="0"/>
              <w:snapToGrid w:val="0"/>
              <w:jc w:val="center"/>
              <w:rPr>
                <w:rFonts w:hint="default" w:ascii="宋体" w:hAnsi="宋体" w:eastAsia="宋体" w:cs="宋体"/>
                <w:color w:val="000000"/>
                <w:szCs w:val="21"/>
                <w:lang w:val="en-US"/>
              </w:rPr>
            </w:pPr>
            <w:r>
              <w:rPr>
                <w:rFonts w:hint="default" w:ascii="宋体" w:hAnsi="宋体" w:eastAsia="宋体" w:cs="宋体"/>
                <w:color w:val="000000"/>
                <w:szCs w:val="21"/>
                <w:lang w:val="en-US"/>
              </w:rPr>
              <w:t>需完成特种设备备案</w:t>
            </w:r>
          </w:p>
        </w:tc>
      </w:tr>
    </w:tbl>
    <w:p w14:paraId="685C1EC5">
      <w:pPr>
        <w:adjustRightInd w:val="0"/>
        <w:snapToGrid w:val="0"/>
        <w:spacing w:line="360" w:lineRule="auto"/>
        <w:ind w:firstLine="480"/>
        <w:rPr>
          <w:rFonts w:hint="eastAsia" w:ascii="宋体" w:hAnsi="宋体" w:eastAsia="宋体" w:cs="宋体"/>
          <w:szCs w:val="21"/>
        </w:rPr>
      </w:pPr>
      <w:r>
        <w:rPr>
          <w:rFonts w:hint="eastAsia" w:ascii="宋体" w:hAnsi="宋体" w:eastAsia="宋体" w:cs="宋体"/>
          <w:szCs w:val="21"/>
        </w:rPr>
        <w:t>备注：1、上表为本项目采购的主要设备，</w:t>
      </w:r>
      <w:bookmarkStart w:id="5" w:name="_Hlk153988903"/>
      <w:r>
        <w:rPr>
          <w:rFonts w:hint="eastAsia" w:ascii="宋体" w:hAnsi="宋体" w:eastAsia="宋体" w:cs="宋体"/>
          <w:szCs w:val="21"/>
        </w:rPr>
        <w:t>所需附件及专用工具、备品备件</w:t>
      </w:r>
      <w:bookmarkEnd w:id="5"/>
      <w:r>
        <w:rPr>
          <w:rFonts w:hint="eastAsia" w:ascii="宋体" w:hAnsi="宋体" w:eastAsia="宋体" w:cs="宋体"/>
          <w:szCs w:val="21"/>
        </w:rPr>
        <w:t>等，由投标人自行考虑，包含在投标报价内；</w:t>
      </w:r>
    </w:p>
    <w:p w14:paraId="0B9CD679">
      <w:pPr>
        <w:adjustRightInd w:val="0"/>
        <w:snapToGrid w:val="0"/>
        <w:spacing w:line="360" w:lineRule="auto"/>
        <w:ind w:firstLine="480"/>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、确认中标人后，中标人需根据招标人实际需求，进行</w:t>
      </w:r>
      <w:r>
        <w:rPr>
          <w:rFonts w:hint="eastAsia" w:ascii="宋体" w:hAnsi="宋体" w:eastAsia="宋体" w:cs="宋体"/>
          <w:kern w:val="0"/>
          <w:szCs w:val="21"/>
          <w:lang w:val="en-US" w:eastAsia="zh-CN"/>
        </w:rPr>
        <w:t>移动式龙门架葫芦吊</w:t>
      </w:r>
      <w:r>
        <w:rPr>
          <w:rFonts w:hint="eastAsia" w:ascii="宋体" w:hAnsi="宋体" w:eastAsia="宋体" w:cs="宋体"/>
          <w:szCs w:val="21"/>
        </w:rPr>
        <w:t>设计，经双方确认后进行生产，完成生产后需完成出厂检测，并提供相关材料，包括但不限于出厂检测报告、检测过程视频记录</w:t>
      </w:r>
      <w:r>
        <w:rPr>
          <w:rFonts w:hint="eastAsia" w:ascii="宋体" w:hAnsi="宋体" w:eastAsia="宋体" w:cs="宋体"/>
          <w:szCs w:val="21"/>
          <w:lang w:eastAsia="zh-CN"/>
        </w:rPr>
        <w:t>。</w:t>
      </w:r>
    </w:p>
    <w:p w14:paraId="06EB9FB3">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技术要求</w:t>
      </w:r>
    </w:p>
    <w:p w14:paraId="6991D78E">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1、产品质量要符合国家标准，行业规范规定等。</w:t>
      </w:r>
    </w:p>
    <w:p w14:paraId="45F32270">
      <w:pPr>
        <w:adjustRightInd w:val="0"/>
        <w:snapToGrid w:val="0"/>
        <w:spacing w:line="360" w:lineRule="auto"/>
        <w:rPr>
          <w:rFonts w:hint="eastAsia" w:ascii="宋体" w:hAnsi="宋体" w:eastAsia="宋体" w:cs="宋体"/>
          <w:szCs w:val="21"/>
          <w:lang w:eastAsia="zh-CN"/>
        </w:rPr>
      </w:pPr>
      <w:r>
        <w:rPr>
          <w:rFonts w:hint="eastAsia" w:ascii="宋体" w:hAnsi="宋体" w:eastAsia="宋体" w:cs="宋体"/>
          <w:szCs w:val="21"/>
        </w:rPr>
        <w:t>2、投标人所提供的的</w:t>
      </w:r>
      <w:r>
        <w:rPr>
          <w:rFonts w:hint="eastAsia" w:ascii="宋体" w:hAnsi="宋体" w:eastAsia="宋体" w:cs="宋体"/>
          <w:kern w:val="0"/>
          <w:szCs w:val="21"/>
          <w:lang w:val="en-US" w:eastAsia="zh-CN"/>
        </w:rPr>
        <w:t>移</w:t>
      </w:r>
      <w:r>
        <w:rPr>
          <w:rFonts w:hint="eastAsia" w:ascii="宋体" w:hAnsi="宋体" w:eastAsia="宋体" w:cs="宋体"/>
          <w:szCs w:val="21"/>
          <w:lang w:val="en-US" w:eastAsia="zh-CN"/>
        </w:rPr>
        <w:t>动式龙门架葫芦吊</w:t>
      </w:r>
      <w:r>
        <w:rPr>
          <w:rFonts w:hint="eastAsia" w:ascii="宋体" w:hAnsi="宋体" w:eastAsia="宋体" w:cs="宋体"/>
          <w:szCs w:val="21"/>
        </w:rPr>
        <w:t>需满足</w:t>
      </w:r>
      <w:r>
        <w:rPr>
          <w:rFonts w:hint="eastAsia" w:ascii="宋体" w:hAnsi="宋体" w:eastAsia="宋体" w:cs="宋体"/>
          <w:szCs w:val="21"/>
          <w:lang w:val="en-US" w:eastAsia="zh-CN"/>
        </w:rPr>
        <w:t>采购清单中规格参数</w:t>
      </w:r>
      <w:r>
        <w:rPr>
          <w:rFonts w:hint="eastAsia" w:ascii="宋体" w:hAnsi="宋体" w:eastAsia="宋体" w:cs="宋体"/>
          <w:szCs w:val="21"/>
        </w:rPr>
        <w:t>要求</w:t>
      </w:r>
      <w:r>
        <w:rPr>
          <w:rFonts w:hint="eastAsia" w:ascii="宋体" w:hAnsi="宋体" w:eastAsia="宋体" w:cs="宋体"/>
          <w:szCs w:val="21"/>
          <w:lang w:eastAsia="zh-CN"/>
        </w:rPr>
        <w:t>。</w:t>
      </w:r>
    </w:p>
    <w:p w14:paraId="75919815">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设备一般要求</w:t>
      </w:r>
    </w:p>
    <w:p w14:paraId="23202172">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1、机械设备</w:t>
      </w:r>
    </w:p>
    <w:p w14:paraId="6949F73E">
      <w:pPr>
        <w:adjustRightInd w:val="0"/>
        <w:snapToGrid w:val="0"/>
        <w:spacing w:line="360" w:lineRule="auto"/>
        <w:rPr>
          <w:rFonts w:hint="eastAsia" w:ascii="宋体" w:hAnsi="宋体" w:eastAsia="宋体" w:cs="宋体"/>
          <w:szCs w:val="21"/>
        </w:rPr>
      </w:pPr>
      <w:bookmarkStart w:id="6" w:name="_Toc153271862"/>
      <w:bookmarkStart w:id="7" w:name="_Toc409452896"/>
      <w:bookmarkStart w:id="8" w:name="_Toc163462541"/>
      <w:bookmarkStart w:id="9" w:name="_Toc4096"/>
      <w:bookmarkStart w:id="10" w:name="_Toc406663052"/>
      <w:r>
        <w:rPr>
          <w:rFonts w:hint="eastAsia" w:ascii="宋体" w:hAnsi="宋体" w:eastAsia="宋体" w:cs="宋体"/>
          <w:szCs w:val="21"/>
        </w:rPr>
        <w:t>（1）制造技术与材料</w:t>
      </w:r>
      <w:bookmarkEnd w:id="6"/>
      <w:bookmarkEnd w:id="7"/>
      <w:bookmarkEnd w:id="8"/>
      <w:bookmarkEnd w:id="9"/>
      <w:bookmarkEnd w:id="10"/>
    </w:p>
    <w:p w14:paraId="74CF843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w:t>
      </w:r>
      <w:r>
        <w:rPr>
          <w:rFonts w:hint="eastAsia" w:ascii="宋体" w:hAnsi="宋体" w:eastAsia="宋体" w:cs="宋体"/>
          <w:szCs w:val="21"/>
          <w:lang w:val="en-US" w:eastAsia="zh-CN"/>
        </w:rPr>
        <w:t>移动式龙门架葫芦吊</w:t>
      </w:r>
      <w:r>
        <w:rPr>
          <w:rFonts w:hint="eastAsia" w:ascii="宋体" w:hAnsi="宋体" w:eastAsia="宋体" w:cs="宋体"/>
          <w:szCs w:val="21"/>
        </w:rPr>
        <w:t>由同一厂家整体装配生产，且提供的设备必须是全新未使用过的，应采用成熟的先进技术制造，做到结构合理、可靠性高、能耗低、噪音低、不污染环境、操作及维护保养简便。</w:t>
      </w:r>
    </w:p>
    <w:p w14:paraId="48C9026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②所有设备必须依据最新、最佳的技术和工艺进行设计、制造与装配等工作。技术性能满足工厂的正常安全运行。设备的各部分零件应按标准的尺寸和规格制造，相同的零件应能互相更替。</w:t>
      </w:r>
    </w:p>
    <w:p w14:paraId="22DC7A1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③材质应适合各种操作情况，选择金属材料要考虑其强度、延伸性及耐用性。铸铁应结构致密，不得有气孔、缺陷和龟裂；承受应力的锻件应是细质的、均匀的。</w:t>
      </w:r>
    </w:p>
    <w:p w14:paraId="19E1F798">
      <w:pPr>
        <w:adjustRightInd w:val="0"/>
        <w:snapToGrid w:val="0"/>
        <w:spacing w:line="360" w:lineRule="auto"/>
        <w:rPr>
          <w:rFonts w:hint="eastAsia" w:ascii="宋体" w:hAnsi="宋体" w:eastAsia="宋体" w:cs="宋体"/>
          <w:szCs w:val="21"/>
        </w:rPr>
      </w:pPr>
      <w:bookmarkStart w:id="11" w:name="_Toc163462542"/>
      <w:bookmarkStart w:id="12" w:name="_Toc10064"/>
      <w:bookmarkStart w:id="13" w:name="_Toc406663053"/>
      <w:bookmarkStart w:id="14" w:name="_Toc153271863"/>
      <w:bookmarkStart w:id="15" w:name="_Toc409452897"/>
      <w:r>
        <w:rPr>
          <w:rFonts w:hint="eastAsia" w:ascii="宋体" w:hAnsi="宋体" w:eastAsia="宋体" w:cs="宋体"/>
          <w:szCs w:val="21"/>
        </w:rPr>
        <w:t>（2）安全防护</w:t>
      </w:r>
      <w:bookmarkEnd w:id="11"/>
      <w:bookmarkEnd w:id="12"/>
      <w:bookmarkEnd w:id="13"/>
      <w:bookmarkEnd w:id="14"/>
      <w:bookmarkEnd w:id="15"/>
    </w:p>
    <w:p w14:paraId="6D3EBF7E">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w:t>
      </w:r>
      <w:r>
        <w:rPr>
          <w:rFonts w:hint="eastAsia" w:ascii="宋体" w:hAnsi="宋体" w:eastAsia="宋体" w:cs="宋体"/>
          <w:szCs w:val="21"/>
          <w:lang w:val="en-US" w:eastAsia="zh-CN"/>
        </w:rPr>
        <w:t>移动式龙门架葫芦吊</w:t>
      </w:r>
      <w:r>
        <w:rPr>
          <w:rFonts w:hint="eastAsia" w:ascii="宋体" w:hAnsi="宋体" w:eastAsia="宋体" w:cs="宋体"/>
          <w:szCs w:val="21"/>
        </w:rPr>
        <w:t>须具有良好的防尘、防腐和安全防护性能，在运输和安装、运行过程中不得出现凹凸变形。</w:t>
      </w:r>
    </w:p>
    <w:p w14:paraId="5C0DABDC">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②移动式龙门架葫芦吊</w:t>
      </w:r>
      <w:r>
        <w:rPr>
          <w:rFonts w:hint="eastAsia" w:ascii="宋体" w:hAnsi="宋体" w:eastAsia="宋体" w:cs="宋体"/>
          <w:szCs w:val="21"/>
        </w:rPr>
        <w:t>表面应无划伤、锈斑和压痕，表面光洁，喷涂层均匀，色调一致，不得有剥落、卷皮、裂纹、气泡、流痕、杂色等现象。</w:t>
      </w:r>
    </w:p>
    <w:p w14:paraId="2BBEE8F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③所有设备的联轴、暴露的中心轴以及其他转动部分必须有安全防护盖。</w:t>
      </w:r>
    </w:p>
    <w:p w14:paraId="4A5ACA7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④</w:t>
      </w:r>
      <w:r>
        <w:rPr>
          <w:rFonts w:hint="eastAsia" w:ascii="宋体" w:hAnsi="宋体" w:eastAsia="宋体" w:cs="宋体"/>
          <w:szCs w:val="21"/>
        </w:rPr>
        <w:t>安全防护应为制造厂标准产品或电镀、镀锌金属片制造；每一防护设备应易于安装与拆卸，并须附有所需的支撑及附件；户外安全防护设备须能防止雨水溅入。</w:t>
      </w:r>
    </w:p>
    <w:p w14:paraId="518FEC0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⑤</w:t>
      </w:r>
      <w:r>
        <w:rPr>
          <w:rFonts w:hint="eastAsia" w:ascii="宋体" w:hAnsi="宋体" w:eastAsia="宋体" w:cs="宋体"/>
          <w:szCs w:val="21"/>
        </w:rPr>
        <w:t>表面有油漆者，应能防止冲击、磨损、褪色或其他损坏。</w:t>
      </w:r>
    </w:p>
    <w:p w14:paraId="245E26EE">
      <w:pPr>
        <w:adjustRightInd w:val="0"/>
        <w:snapToGrid w:val="0"/>
        <w:spacing w:line="360" w:lineRule="auto"/>
        <w:rPr>
          <w:rFonts w:hint="eastAsia" w:ascii="宋体" w:hAnsi="宋体" w:eastAsia="宋体" w:cs="宋体"/>
          <w:szCs w:val="21"/>
        </w:rPr>
      </w:pPr>
      <w:bookmarkStart w:id="16" w:name="_Toc153271865"/>
      <w:bookmarkStart w:id="17" w:name="_Toc163462544"/>
      <w:bookmarkStart w:id="18" w:name="_Toc409452899"/>
      <w:bookmarkStart w:id="19" w:name="_Toc406663055"/>
      <w:bookmarkStart w:id="20" w:name="_Toc23539"/>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）紧固件</w:t>
      </w:r>
      <w:bookmarkEnd w:id="16"/>
      <w:bookmarkEnd w:id="17"/>
      <w:bookmarkEnd w:id="18"/>
      <w:bookmarkEnd w:id="19"/>
      <w:bookmarkEnd w:id="20"/>
    </w:p>
    <w:p w14:paraId="3E6F03D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中标人提供设备安装所需要的螺栓、垫圈和螺帽等，紧固件的材质应为SUS304不锈钢。</w:t>
      </w:r>
    </w:p>
    <w:p w14:paraId="24CA53BB">
      <w:pPr>
        <w:adjustRightInd w:val="0"/>
        <w:snapToGrid w:val="0"/>
        <w:spacing w:line="360" w:lineRule="auto"/>
        <w:rPr>
          <w:rFonts w:hint="eastAsia" w:ascii="宋体" w:hAnsi="宋体" w:eastAsia="宋体" w:cs="宋体"/>
          <w:szCs w:val="21"/>
        </w:rPr>
      </w:pPr>
      <w:bookmarkStart w:id="21" w:name="_Toc9857"/>
      <w:bookmarkStart w:id="22" w:name="_Toc163462545"/>
      <w:bookmarkStart w:id="23" w:name="_Toc153271866"/>
      <w:bookmarkStart w:id="24" w:name="_Toc409452900"/>
      <w:bookmarkStart w:id="25" w:name="_Toc406663056"/>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）特殊工具与附属设备</w:t>
      </w:r>
      <w:bookmarkEnd w:id="21"/>
      <w:bookmarkEnd w:id="22"/>
      <w:bookmarkEnd w:id="23"/>
      <w:bookmarkEnd w:id="24"/>
      <w:bookmarkEnd w:id="25"/>
    </w:p>
    <w:p w14:paraId="7BBA921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中标人必须提供机械设备周期性维修与调整所需的特殊工具、仪表以及维护所需的附属设备。</w:t>
      </w:r>
    </w:p>
    <w:p w14:paraId="6EDCB2F1">
      <w:pPr>
        <w:adjustRightInd w:val="0"/>
        <w:snapToGrid w:val="0"/>
        <w:spacing w:line="360" w:lineRule="auto"/>
        <w:rPr>
          <w:rFonts w:hint="eastAsia" w:ascii="宋体" w:hAnsi="宋体" w:eastAsia="宋体" w:cs="宋体"/>
          <w:szCs w:val="21"/>
        </w:rPr>
      </w:pPr>
      <w:bookmarkStart w:id="26" w:name="_Toc153271867"/>
      <w:bookmarkStart w:id="27" w:name="_Toc163462546"/>
      <w:bookmarkStart w:id="28" w:name="_Toc409452901"/>
      <w:bookmarkStart w:id="29" w:name="_Toc406663057"/>
      <w:bookmarkStart w:id="30" w:name="_Toc14919"/>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）铭牌</w:t>
      </w:r>
      <w:bookmarkEnd w:id="26"/>
      <w:bookmarkEnd w:id="27"/>
      <w:bookmarkEnd w:id="28"/>
      <w:bookmarkEnd w:id="29"/>
      <w:bookmarkEnd w:id="30"/>
    </w:p>
    <w:p w14:paraId="3837CE6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设备的铭牌应当刻在或贴在金属片上，并紧固在设备外壳上，安装好后能清楚地看到。铭牌上写下述内容：</w:t>
      </w:r>
    </w:p>
    <w:p w14:paraId="6E92BEF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①制造厂名称。</w:t>
      </w:r>
    </w:p>
    <w:p w14:paraId="3F72A8C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②设备的机型及其规格、性能参数指标等。</w:t>
      </w:r>
    </w:p>
    <w:p w14:paraId="72D3B20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③序列号。</w:t>
      </w:r>
    </w:p>
    <w:p w14:paraId="7C9EC8E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④出厂年月。</w:t>
      </w:r>
    </w:p>
    <w:p w14:paraId="73E1F216">
      <w:pPr>
        <w:adjustRightInd w:val="0"/>
        <w:snapToGrid w:val="0"/>
        <w:spacing w:line="360" w:lineRule="auto"/>
        <w:rPr>
          <w:rFonts w:hint="eastAsia" w:ascii="宋体" w:hAnsi="宋体" w:eastAsia="宋体" w:cs="宋体"/>
          <w:szCs w:val="21"/>
        </w:rPr>
      </w:pPr>
      <w:bookmarkStart w:id="31" w:name="_Toc163462547"/>
      <w:bookmarkStart w:id="32" w:name="_Toc153271868"/>
      <w:bookmarkStart w:id="33" w:name="_Toc22419"/>
      <w:bookmarkStart w:id="34" w:name="_Toc406663058"/>
      <w:bookmarkStart w:id="35" w:name="_Toc409452902"/>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）润滑</w:t>
      </w:r>
      <w:bookmarkEnd w:id="31"/>
      <w:bookmarkEnd w:id="32"/>
      <w:bookmarkEnd w:id="33"/>
      <w:bookmarkEnd w:id="34"/>
      <w:bookmarkEnd w:id="35"/>
    </w:p>
    <w:p w14:paraId="4C208C7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①机械设备在连续运转期间应能进行润滑工作。润滑剂的种类应由设备制造厂商建议，并应提供</w:t>
      </w:r>
      <w:r>
        <w:rPr>
          <w:rFonts w:hint="eastAsia" w:ascii="宋体" w:hAnsi="宋体" w:eastAsia="宋体" w:cs="宋体"/>
          <w:szCs w:val="21"/>
          <w:highlight w:val="none"/>
        </w:rPr>
        <w:t>足够</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年连</w:t>
      </w:r>
      <w:r>
        <w:rPr>
          <w:rFonts w:hint="eastAsia" w:ascii="宋体" w:hAnsi="宋体" w:eastAsia="宋体" w:cs="宋体"/>
          <w:szCs w:val="21"/>
        </w:rPr>
        <w:t>续运转所需用量。</w:t>
      </w:r>
    </w:p>
    <w:p w14:paraId="66673E8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②中标人应说明机械设备的润滑方式、润滑剂成份以及每年所需的润滑剂量，并建议润滑时间。</w:t>
      </w:r>
    </w:p>
    <w:p w14:paraId="72E664F9">
      <w:pPr>
        <w:adjustRightInd w:val="0"/>
        <w:snapToGrid w:val="0"/>
        <w:spacing w:line="360" w:lineRule="auto"/>
        <w:rPr>
          <w:rFonts w:hint="eastAsia" w:ascii="宋体" w:hAnsi="宋体" w:eastAsia="宋体" w:cs="宋体"/>
          <w:szCs w:val="21"/>
        </w:rPr>
      </w:pPr>
      <w:bookmarkStart w:id="36" w:name="_Toc7423"/>
      <w:bookmarkStart w:id="37" w:name="_Toc409452903"/>
      <w:bookmarkStart w:id="38" w:name="_Toc406663059"/>
      <w:r>
        <w:rPr>
          <w:rFonts w:hint="eastAsia" w:ascii="宋体" w:hAnsi="宋体" w:eastAsia="宋体" w:cs="宋体"/>
          <w:szCs w:val="21"/>
        </w:rPr>
        <w:t>（</w:t>
      </w:r>
      <w:r>
        <w:rPr>
          <w:rFonts w:hint="eastAsia" w:ascii="宋体" w:hAnsi="宋体" w:eastAsia="宋体" w:cs="宋体"/>
          <w:szCs w:val="21"/>
          <w:lang w:val="en-US" w:eastAsia="zh-CN"/>
        </w:rPr>
        <w:t>7</w:t>
      </w:r>
      <w:r>
        <w:rPr>
          <w:rFonts w:hint="eastAsia" w:ascii="宋体" w:hAnsi="宋体" w:eastAsia="宋体" w:cs="宋体"/>
          <w:szCs w:val="21"/>
        </w:rPr>
        <w:t>）防潮措施</w:t>
      </w:r>
      <w:bookmarkEnd w:id="36"/>
      <w:bookmarkEnd w:id="37"/>
      <w:bookmarkEnd w:id="38"/>
    </w:p>
    <w:p w14:paraId="48EA31D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应该采取特别的预防措施，防止由于潮气、降雨和湿气而造成的腐蚀。</w:t>
      </w:r>
    </w:p>
    <w:p w14:paraId="707AA67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安装在墙壁上的设备，都应该装有隔离挡板，以提供最小5mm的间隙。设备上所有的空洞，都应有效的密封，以防止水的进入。所有暴露在空气中或水中的部件，均不得有集水装置，必要时应提供排水孔，防止积水。</w:t>
      </w:r>
    </w:p>
    <w:p w14:paraId="690635F6">
      <w:pPr>
        <w:adjustRightInd w:val="0"/>
        <w:snapToGrid w:val="0"/>
        <w:spacing w:line="360" w:lineRule="auto"/>
        <w:rPr>
          <w:rFonts w:hint="eastAsia" w:ascii="宋体" w:hAnsi="宋体" w:eastAsia="宋体" w:cs="宋体"/>
          <w:szCs w:val="21"/>
        </w:rPr>
      </w:pPr>
      <w:bookmarkStart w:id="39" w:name="_Toc406663060"/>
      <w:bookmarkStart w:id="40" w:name="_Toc16188"/>
      <w:bookmarkStart w:id="41" w:name="_Toc409452904"/>
      <w:bookmarkStart w:id="42" w:name="_Toc153271870"/>
      <w:bookmarkStart w:id="43" w:name="_Toc163462549"/>
      <w:r>
        <w:rPr>
          <w:rFonts w:hint="eastAsia" w:ascii="宋体" w:hAnsi="宋体" w:eastAsia="宋体" w:cs="宋体"/>
          <w:szCs w:val="21"/>
        </w:rPr>
        <w:t>（</w:t>
      </w:r>
      <w:r>
        <w:rPr>
          <w:rFonts w:hint="eastAsia" w:ascii="宋体" w:hAnsi="宋体" w:eastAsia="宋体" w:cs="宋体"/>
          <w:szCs w:val="21"/>
          <w:lang w:val="en-US" w:eastAsia="zh-CN"/>
        </w:rPr>
        <w:t>8</w:t>
      </w:r>
      <w:r>
        <w:rPr>
          <w:rFonts w:hint="eastAsia" w:ascii="宋体" w:hAnsi="宋体" w:eastAsia="宋体" w:cs="宋体"/>
          <w:szCs w:val="21"/>
        </w:rPr>
        <w:t>）材料的防腐蚀</w:t>
      </w:r>
      <w:bookmarkEnd w:id="39"/>
      <w:bookmarkEnd w:id="40"/>
      <w:bookmarkEnd w:id="41"/>
      <w:bookmarkEnd w:id="42"/>
      <w:bookmarkEnd w:id="43"/>
    </w:p>
    <w:p w14:paraId="4E9D27B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中标人应特别注意由于不同种类金属的紧密连接面引起的锈蚀问题，应防止此类问题发生。当必须使用不同类金属相接触时，应使电化</w:t>
      </w:r>
      <w:r>
        <w:rPr>
          <w:rFonts w:hint="eastAsia" w:ascii="宋体" w:hAnsi="宋体" w:eastAsia="宋体" w:cs="宋体"/>
          <w:szCs w:val="21"/>
          <w:lang w:val="en-US" w:eastAsia="zh-CN"/>
        </w:rPr>
        <w:t>学</w:t>
      </w:r>
      <w:r>
        <w:rPr>
          <w:rFonts w:hint="eastAsia" w:ascii="宋体" w:hAnsi="宋体" w:eastAsia="宋体" w:cs="宋体"/>
          <w:szCs w:val="21"/>
        </w:rPr>
        <w:t>势不大于0.5mV。</w:t>
      </w:r>
    </w:p>
    <w:p w14:paraId="4243F107">
      <w:pPr>
        <w:adjustRightInd w:val="0"/>
        <w:snapToGrid w:val="0"/>
        <w:spacing w:line="360" w:lineRule="auto"/>
        <w:rPr>
          <w:rFonts w:hint="eastAsia" w:ascii="宋体" w:hAnsi="宋体" w:eastAsia="宋体" w:cs="宋体"/>
          <w:szCs w:val="21"/>
        </w:rPr>
      </w:pPr>
      <w:bookmarkStart w:id="44" w:name="_Toc25013"/>
      <w:bookmarkStart w:id="45" w:name="_Toc406663061"/>
      <w:bookmarkStart w:id="46" w:name="_Toc409452905"/>
      <w:r>
        <w:rPr>
          <w:rFonts w:hint="eastAsia" w:ascii="宋体" w:hAnsi="宋体" w:eastAsia="宋体" w:cs="宋体"/>
          <w:szCs w:val="21"/>
        </w:rPr>
        <w:t>（</w:t>
      </w:r>
      <w:r>
        <w:rPr>
          <w:rFonts w:hint="eastAsia" w:ascii="宋体" w:hAnsi="宋体" w:eastAsia="宋体" w:cs="宋体"/>
          <w:szCs w:val="21"/>
          <w:lang w:val="en-US" w:eastAsia="zh-CN"/>
        </w:rPr>
        <w:t>9</w:t>
      </w:r>
      <w:r>
        <w:rPr>
          <w:rFonts w:hint="eastAsia" w:ascii="宋体" w:hAnsi="宋体" w:eastAsia="宋体" w:cs="宋体"/>
          <w:szCs w:val="21"/>
        </w:rPr>
        <w:t>）噪音和震动</w:t>
      </w:r>
      <w:bookmarkEnd w:id="44"/>
      <w:bookmarkEnd w:id="45"/>
      <w:bookmarkEnd w:id="46"/>
    </w:p>
    <w:p w14:paraId="4F213D6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在装置的设计中，应包括有关隔音材料、防震装置和其他适当的设施和设计，以保证设备在最终安装位置</w:t>
      </w:r>
      <w:r>
        <w:rPr>
          <w:rFonts w:hint="eastAsia" w:ascii="宋体" w:hAnsi="宋体" w:eastAsia="宋体" w:cs="宋体"/>
          <w:szCs w:val="21"/>
          <w:highlight w:val="none"/>
        </w:rPr>
        <w:t>运行时，没有超过标准规定的噪音和振动要求值。在厂区内（车间外）任意一点听到机械噪音，都不能大于35分贝。而单个设备在距离其表面1米的地方，所听到噪音不能大于</w:t>
      </w:r>
      <w:r>
        <w:rPr>
          <w:rFonts w:hint="eastAsia" w:ascii="宋体" w:hAnsi="宋体" w:eastAsia="宋体" w:cs="宋体"/>
          <w:szCs w:val="21"/>
          <w:highlight w:val="none"/>
          <w:lang w:val="en-US" w:eastAsia="zh-CN"/>
        </w:rPr>
        <w:t>70</w:t>
      </w:r>
      <w:r>
        <w:rPr>
          <w:rFonts w:hint="eastAsia" w:ascii="宋体" w:hAnsi="宋体" w:eastAsia="宋体" w:cs="宋体"/>
          <w:szCs w:val="21"/>
          <w:highlight w:val="none"/>
        </w:rPr>
        <w:t>分贝。中标人应该采</w:t>
      </w:r>
      <w:r>
        <w:rPr>
          <w:rFonts w:hint="eastAsia" w:ascii="宋体" w:hAnsi="宋体" w:eastAsia="宋体" w:cs="宋体"/>
          <w:szCs w:val="21"/>
        </w:rPr>
        <w:t>取所规定的所有噪音防护设施。</w:t>
      </w:r>
    </w:p>
    <w:p w14:paraId="17CDBE6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所有传动部件，均必须做静平衡和动平衡，以便在部件在加速运行、全速运行以及在最大负荷状态运行的任意一种情况，机器本身的任何部位以及机器相邻的任何结构，都没有超过标准规定的振动要求值。</w:t>
      </w:r>
    </w:p>
    <w:p w14:paraId="0E31D001">
      <w:pPr>
        <w:adjustRightInd w:val="0"/>
        <w:snapToGrid w:val="0"/>
        <w:spacing w:line="360" w:lineRule="auto"/>
        <w:rPr>
          <w:rFonts w:hint="eastAsia" w:ascii="宋体" w:hAnsi="宋体" w:eastAsia="宋体" w:cs="宋体"/>
          <w:szCs w:val="21"/>
          <w:highlight w:val="none"/>
        </w:rPr>
      </w:pPr>
      <w:bookmarkStart w:id="47" w:name="_Toc2161404"/>
      <w:bookmarkStart w:id="48" w:name="_Toc130477385"/>
      <w:r>
        <w:rPr>
          <w:rFonts w:hint="eastAsia" w:ascii="宋体" w:hAnsi="宋体" w:eastAsia="宋体" w:cs="宋体"/>
          <w:szCs w:val="21"/>
          <w:highlight w:val="none"/>
        </w:rPr>
        <w:t>2、旋转电动机</w:t>
      </w:r>
      <w:bookmarkEnd w:id="47"/>
      <w:bookmarkEnd w:id="48"/>
    </w:p>
    <w:p w14:paraId="2FEAD43B">
      <w:pPr>
        <w:adjustRightInd w:val="0"/>
        <w:snapToGrid w:val="0"/>
        <w:spacing w:line="360" w:lineRule="auto"/>
        <w:rPr>
          <w:rFonts w:hint="eastAsia" w:ascii="宋体" w:hAnsi="宋体" w:eastAsia="宋体" w:cs="宋体"/>
          <w:szCs w:val="21"/>
        </w:rPr>
      </w:pPr>
      <w:bookmarkStart w:id="49" w:name="_Toc2161405"/>
      <w:r>
        <w:rPr>
          <w:rFonts w:hint="eastAsia" w:ascii="宋体" w:hAnsi="宋体" w:eastAsia="宋体" w:cs="宋体"/>
          <w:szCs w:val="21"/>
        </w:rPr>
        <w:t>（1）一般电气要求</w:t>
      </w:r>
      <w:bookmarkEnd w:id="49"/>
    </w:p>
    <w:p w14:paraId="448F636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机械设备制造商必须选择并提供与机械相配的所有电动机。</w:t>
      </w:r>
    </w:p>
    <w:p w14:paraId="4F6D3AA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电动机的设计、制造、安装、测试应服从IEC和国家标准，电机效率不低于《GB18613-2020电动机能效限定及能效等级》</w:t>
      </w:r>
      <w:r>
        <w:rPr>
          <w:rFonts w:hint="eastAsia" w:ascii="宋体" w:hAnsi="宋体" w:eastAsia="宋体" w:cs="宋体"/>
          <w:szCs w:val="21"/>
          <w:lang w:val="en-US" w:eastAsia="zh-CN"/>
        </w:rPr>
        <w:t>2</w:t>
      </w:r>
      <w:r>
        <w:rPr>
          <w:rFonts w:hint="eastAsia" w:ascii="宋体" w:hAnsi="宋体" w:eastAsia="宋体" w:cs="宋体"/>
          <w:szCs w:val="21"/>
        </w:rPr>
        <w:t>级能效要求。</w:t>
      </w:r>
    </w:p>
    <w:p w14:paraId="4DA997D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①每一电动机的机械特性，必须适合被驱动设备的负载特性。</w:t>
      </w:r>
    </w:p>
    <w:p w14:paraId="75A8065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②电动机功率</w:t>
      </w:r>
    </w:p>
    <w:p w14:paraId="35CF68F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电动机功率不得小于每个被驱动机械在驱动范围内所需功率，其储备系数须为1.3。</w:t>
      </w:r>
    </w:p>
    <w:p w14:paraId="56E1B31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电动机功率小于50KW时，采用直接起动。</w:t>
      </w:r>
    </w:p>
    <w:p w14:paraId="32DDA50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所估最低功率不足以符合上述要求或其他需要，中标人应提供较大功率的电动机，因增加电动机功率而引起的一切变更，如增加起动器电流、增大的电气开关、增加导管及导线等，均应由中标人自行负责，而不再向买方要求增加任何费用。</w:t>
      </w:r>
    </w:p>
    <w:p w14:paraId="4ECB448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③施工与标准件</w:t>
      </w:r>
    </w:p>
    <w:p w14:paraId="603B4F9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所有电动机必须依照最新版中国国家标准（或IEC标准）或等同的其他标准而设计、制造、试车及测试。</w:t>
      </w:r>
    </w:p>
    <w:p w14:paraId="1137D25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每部电动机须安装一永久性、不会腐蚀的铭牌，该铭牌应安装在明显位置，所有的电动机资料均应以中文记载在铭牌上。</w:t>
      </w:r>
    </w:p>
    <w:p w14:paraId="7218AE0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如电源电压小于电动机铭牌记载电压的10%，该电动机也必须有足够的扭力。</w:t>
      </w:r>
    </w:p>
    <w:p w14:paraId="3FA5458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除非另有注明，所有电动机在满载时须能连续运转。</w:t>
      </w:r>
    </w:p>
    <w:p w14:paraId="125E369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小于30KW的电动机应使用预先润滑的滚珠轴承。</w:t>
      </w:r>
    </w:p>
    <w:p w14:paraId="5574E06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大于30KW的水平式电动机应装设有抗磨的轴承，而且必须有油脂入口与出口栓塞，应当可以随时润滑，并允许排除润滑废油而不需作任何拆卸。</w:t>
      </w:r>
    </w:p>
    <w:p w14:paraId="3019BA3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每一部垂直式电动机必须装设有滚柱或滚珠状的推力轴承，应足以承受自重及操作时所产生的推力。</w:t>
      </w:r>
    </w:p>
    <w:p w14:paraId="7709FAA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每部电动机必须有一铭牌说明其轴承和润滑方法。</w:t>
      </w:r>
    </w:p>
    <w:p w14:paraId="15839CD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轴承的设计应于电动机在100%的负载下操作时，能达到五年运转寿命。</w:t>
      </w:r>
    </w:p>
    <w:p w14:paraId="7F0B82B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④绝缘等级与温升</w:t>
      </w:r>
    </w:p>
    <w:p w14:paraId="5830AB18">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每部电动机必须有IEC标准或等同标准规定的F级或接近H级材质绝缘。</w:t>
      </w:r>
    </w:p>
    <w:p w14:paraId="0C1AA5A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为使电动机能有一较长的使用寿命，当电动机在满载而不超载连续运转的情况下，该电动机的升温必须不超过GB755-20</w:t>
      </w:r>
      <w:r>
        <w:rPr>
          <w:rFonts w:hint="eastAsia" w:ascii="宋体" w:hAnsi="宋体" w:eastAsia="宋体" w:cs="宋体"/>
          <w:szCs w:val="21"/>
          <w:lang w:val="en-US" w:eastAsia="zh-CN"/>
        </w:rPr>
        <w:t>19</w:t>
      </w:r>
      <w:r>
        <w:rPr>
          <w:rFonts w:hint="eastAsia" w:ascii="宋体" w:hAnsi="宋体" w:eastAsia="宋体" w:cs="宋体"/>
          <w:szCs w:val="21"/>
        </w:rPr>
        <w:t>或等同标准绝缘材质所规定的限度。</w:t>
      </w:r>
    </w:p>
    <w:p w14:paraId="4C80EEE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电动机周围的气温加上运转时温度上升的总温度不得超过采用标准所规定的限度。（</w:t>
      </w:r>
      <w:r>
        <w:rPr>
          <w:rFonts w:hint="eastAsia" w:ascii="宋体" w:hAnsi="宋体" w:eastAsia="宋体" w:cs="宋体"/>
          <w:szCs w:val="21"/>
          <w:lang w:val="en-US" w:eastAsia="zh-CN"/>
        </w:rPr>
        <w:t>试验基地</w:t>
      </w:r>
      <w:r>
        <w:rPr>
          <w:rFonts w:hint="eastAsia" w:ascii="宋体" w:hAnsi="宋体" w:eastAsia="宋体" w:cs="宋体"/>
          <w:szCs w:val="21"/>
        </w:rPr>
        <w:t>白天气温可能高达40℃）</w:t>
      </w:r>
    </w:p>
    <w:p w14:paraId="402347B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设备运到现场后，电动机绝缘必须依照采用的标准规定的方法进行试验，如电动机有任何缺陷或绝缘抵抗力未达到标准规定，中标人必须无偿更换一部新电动机。</w:t>
      </w:r>
    </w:p>
    <w:p w14:paraId="23AE9C1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电动机绕组应是由绝缘铜线绕制的、经真空压力浸漆的绝缘线圈，绝缘等级为F级，绕组温升等级为B级，最大工作温度可达155℃。</w:t>
      </w:r>
    </w:p>
    <w:p w14:paraId="7346E84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⑤电流平衡</w:t>
      </w:r>
    </w:p>
    <w:p w14:paraId="08D0AF94">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当电动机在其正常使用范围内之任何负载情况下运转，且是一个平衡电压供给系统时，多相电动机各极的不平衡电流不得超过以下所列数值：</w:t>
      </w:r>
    </w:p>
    <w:p w14:paraId="0456E61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30KW以下5%（不平衡度）</w:t>
      </w:r>
    </w:p>
    <w:p w14:paraId="78E34CE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30KW或以上2%（不平衡度）</w:t>
      </w:r>
    </w:p>
    <w:p w14:paraId="593AA61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虽然不平衡电流小于上表所列，但如果不平衡电流仍引起机械震动，中标人应负责修正该问题。</w:t>
      </w:r>
    </w:p>
    <w:p w14:paraId="3064490A">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⑥其他</w:t>
      </w:r>
    </w:p>
    <w:p w14:paraId="1C795CD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所有电动机应有外壳、轴承托架、风扇盖以及电线管，防水和完全密闭式电动机，在电动机接线盒与电线管之间必须安装有硅质橡胶衬垫。</w:t>
      </w:r>
    </w:p>
    <w:p w14:paraId="26A7381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所有金属零件必须抗腐蚀，电动机必须依照制造厂商的标准涂装。</w:t>
      </w:r>
    </w:p>
    <w:p w14:paraId="5FEEFF7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电动机的风扇为耐腐蚀材质，须适合任何方向的旋转，并且在装配经过精确的平衡。风扇外壳不得采用非金属材料。</w:t>
      </w:r>
    </w:p>
    <w:p w14:paraId="65AE5C7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电动机的转子须经过动平衡校正，最大振幅在低于1800rpm时，不得超过0.04mm；在同步转速为3600rpm时，不得超过0.03mm。</w:t>
      </w:r>
    </w:p>
    <w:p w14:paraId="06FAED5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电动机能在频率为49-51Hz，电压在正常额定电压下波动5%变化中连续运行。</w:t>
      </w:r>
    </w:p>
    <w:p w14:paraId="4FF5C01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当频率正常而电压为0.8</w:t>
      </w:r>
      <w:r>
        <w:rPr>
          <w:rFonts w:hint="eastAsia" w:ascii="宋体" w:hAnsi="宋体" w:eastAsia="宋体" w:cs="宋体"/>
          <w:szCs w:val="21"/>
          <w:lang w:val="en-US" w:eastAsia="zh-CN"/>
        </w:rPr>
        <w:t>U</w:t>
      </w:r>
      <w:r>
        <w:rPr>
          <w:rFonts w:hint="eastAsia" w:ascii="宋体" w:hAnsi="宋体" w:eastAsia="宋体" w:cs="宋体"/>
          <w:szCs w:val="21"/>
        </w:rPr>
        <w:t>e时，电动机和接触器能继续运行5min</w:t>
      </w:r>
      <w:r>
        <w:rPr>
          <w:rFonts w:hint="eastAsia" w:ascii="宋体" w:hAnsi="宋体" w:eastAsia="宋体" w:cs="宋体"/>
          <w:szCs w:val="21"/>
          <w:lang w:eastAsia="zh-CN"/>
        </w:rPr>
        <w:t>，</w:t>
      </w:r>
      <w:r>
        <w:rPr>
          <w:rFonts w:hint="eastAsia" w:ascii="宋体" w:hAnsi="宋体" w:eastAsia="宋体" w:cs="宋体"/>
          <w:szCs w:val="21"/>
        </w:rPr>
        <w:t>而不产生有害过热，且能在相间电压产生2%的不平衡电压情况下继续运行。</w:t>
      </w:r>
    </w:p>
    <w:p w14:paraId="1794915B">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应保证电动机额定负荷条件下的功率因数不低于0.85。</w:t>
      </w:r>
    </w:p>
    <w:p w14:paraId="5889A30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要求电动机在额定工况下连续运行的平均寿命不少于10年。</w:t>
      </w:r>
    </w:p>
    <w:p w14:paraId="6C4868D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要求电动机为低噪声，符合IEC和中国标准。</w:t>
      </w:r>
    </w:p>
    <w:p w14:paraId="57595B65">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电动机全部轴承都要求带有润滑油或润滑剂。</w:t>
      </w:r>
    </w:p>
    <w:p w14:paraId="1C53FBE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要求电动机外壳带有提升环和接地螺丝。</w:t>
      </w:r>
    </w:p>
    <w:p w14:paraId="68BF7F2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电缆接线盒与电动机的外壳框架稳固安装在一起或铸为一体，全封闭防水、防潮、防盐雾、耐腐蚀，经得起冲撞，盒内应有联接电动机绕组抽头的端子，它们是大小适当的双头螺钉，且按标准标明端子之间的关系，电缆是由接线盒的底部进入并用密封垫圈加以密封，用于电动机绕组测温元件引出的接点端子应与电动机绕组电缆接线的端子适当隔离。</w:t>
      </w:r>
    </w:p>
    <w:p w14:paraId="6B461A1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所有电动机都要根据要求对外壳进行接地，接地线和接地端子由中标人随每台电动机设备一起提供。</w:t>
      </w:r>
    </w:p>
    <w:p w14:paraId="3C9C14CA">
      <w:pPr>
        <w:adjustRightInd w:val="0"/>
        <w:snapToGrid w:val="0"/>
        <w:spacing w:line="360" w:lineRule="auto"/>
        <w:rPr>
          <w:rFonts w:hint="eastAsia" w:ascii="宋体" w:hAnsi="宋体" w:eastAsia="宋体" w:cs="宋体"/>
          <w:szCs w:val="21"/>
        </w:rPr>
      </w:pPr>
      <w:bookmarkStart w:id="50" w:name="_Toc153271883"/>
      <w:bookmarkStart w:id="51" w:name="_Toc406663065"/>
      <w:bookmarkStart w:id="52" w:name="_Toc130477387"/>
      <w:bookmarkStart w:id="53" w:name="_Toc17695"/>
      <w:bookmarkStart w:id="54" w:name="_Toc409452909"/>
      <w:bookmarkStart w:id="55" w:name="_Toc163462561"/>
      <w:r>
        <w:rPr>
          <w:rFonts w:hint="eastAsia" w:ascii="宋体" w:hAnsi="宋体" w:eastAsia="宋体" w:cs="宋体"/>
          <w:szCs w:val="21"/>
        </w:rPr>
        <w:t>3、防蚀与涂装</w:t>
      </w:r>
      <w:bookmarkEnd w:id="50"/>
      <w:bookmarkEnd w:id="51"/>
      <w:bookmarkEnd w:id="52"/>
      <w:bookmarkEnd w:id="53"/>
      <w:bookmarkEnd w:id="54"/>
      <w:bookmarkEnd w:id="55"/>
      <w:bookmarkStart w:id="56" w:name="_Toc163462562"/>
      <w:bookmarkStart w:id="57" w:name="_Toc153271884"/>
    </w:p>
    <w:p w14:paraId="7C6D05B7">
      <w:pPr>
        <w:adjustRightInd w:val="0"/>
        <w:snapToGrid w:val="0"/>
        <w:spacing w:line="360" w:lineRule="auto"/>
        <w:rPr>
          <w:rFonts w:hint="eastAsia" w:ascii="宋体" w:hAnsi="宋体" w:eastAsia="宋体" w:cs="宋体"/>
          <w:szCs w:val="21"/>
        </w:rPr>
      </w:pPr>
      <w:bookmarkStart w:id="58" w:name="_Toc406663066"/>
      <w:bookmarkStart w:id="59" w:name="_Toc409452910"/>
      <w:bookmarkStart w:id="60" w:name="_Toc3508"/>
      <w:r>
        <w:rPr>
          <w:rFonts w:hint="eastAsia" w:ascii="宋体" w:hAnsi="宋体" w:eastAsia="宋体" w:cs="宋体"/>
          <w:szCs w:val="21"/>
        </w:rPr>
        <w:t>（1）工厂内涂装</w:t>
      </w:r>
      <w:bookmarkEnd w:id="56"/>
      <w:bookmarkEnd w:id="57"/>
      <w:bookmarkEnd w:id="58"/>
      <w:bookmarkEnd w:id="59"/>
      <w:bookmarkEnd w:id="60"/>
    </w:p>
    <w:p w14:paraId="4E1F306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①除非另有规定，所有机械和电气的设备，以及黑色金属所制造的设备，都应在制作现场进行涂装。</w:t>
      </w:r>
    </w:p>
    <w:p w14:paraId="3620AFC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除非另有规定，设备的表面防腐处理可以根据制造商的设备防护涂层系统进行工程准备、打光和完成涂层，要求设备的表面防腐处理应具有优良的耐腐蚀性，制造商应提供该设备表面处理的方法、涂层名称、厚度等技术说明，并提供防腐寿命的年限。</w:t>
      </w:r>
    </w:p>
    <w:p w14:paraId="6353B1D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工厂涂装过的构件，要等到干燥期结束后，才可搬运。工厂内的涂装包括除锈打底漆和涂面漆。</w:t>
      </w:r>
    </w:p>
    <w:p w14:paraId="75028CE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②所有的构造钢件、金属外壳以及其他的黑色金属构件，应当在工厂内除锈打底漆。</w:t>
      </w:r>
    </w:p>
    <w:p w14:paraId="1475E9C6">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③工厂内涂装面层习惯上要做搪瓷表层的所有设备，或者需要做标准性工厂内的最后一道面层的所有设备，都应很好地进行涂装，以增强海洋运输或存放期过长时的保护作用。</w:t>
      </w:r>
    </w:p>
    <w:p w14:paraId="3CC0B13C">
      <w:pPr>
        <w:adjustRightInd w:val="0"/>
        <w:snapToGrid w:val="0"/>
        <w:spacing w:line="360" w:lineRule="auto"/>
        <w:rPr>
          <w:rFonts w:hint="eastAsia" w:ascii="宋体" w:hAnsi="宋体" w:eastAsia="宋体" w:cs="宋体"/>
          <w:szCs w:val="21"/>
        </w:rPr>
      </w:pPr>
      <w:bookmarkStart w:id="61" w:name="_Toc409452911"/>
      <w:bookmarkStart w:id="62" w:name="_Toc406663067"/>
      <w:bookmarkStart w:id="63" w:name="_Toc163462563"/>
      <w:bookmarkStart w:id="64" w:name="_Toc6441"/>
      <w:bookmarkStart w:id="65" w:name="_Toc153271885"/>
      <w:r>
        <w:rPr>
          <w:rFonts w:hint="eastAsia" w:ascii="宋体" w:hAnsi="宋体" w:eastAsia="宋体" w:cs="宋体"/>
          <w:szCs w:val="21"/>
        </w:rPr>
        <w:t>（2）涂料体系标准</w:t>
      </w:r>
      <w:bookmarkEnd w:id="61"/>
      <w:bookmarkEnd w:id="62"/>
      <w:bookmarkEnd w:id="63"/>
      <w:bookmarkEnd w:id="64"/>
      <w:bookmarkEnd w:id="65"/>
    </w:p>
    <w:p w14:paraId="77F4783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本文件所规定的需进行的涂料体系，都要进行涂装前的表面处理工作。表面处理应遵守中国标准GB/T8923.1-2011的规定或国际上等同或优于标准，</w:t>
      </w:r>
      <w:r>
        <w:rPr>
          <w:rFonts w:hint="eastAsia" w:ascii="宋体" w:hAnsi="宋体" w:eastAsia="宋体" w:cs="宋体"/>
          <w:szCs w:val="21"/>
          <w:lang w:val="en-US" w:eastAsia="zh-CN"/>
        </w:rPr>
        <w:t>粗糙</w:t>
      </w:r>
      <w:r>
        <w:rPr>
          <w:rFonts w:hint="eastAsia" w:ascii="宋体" w:hAnsi="宋体" w:eastAsia="宋体" w:cs="宋体"/>
          <w:szCs w:val="21"/>
        </w:rPr>
        <w:t>度不超过100μm。</w:t>
      </w:r>
    </w:p>
    <w:p w14:paraId="0BB37B24">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体系A（环氧树脂漆体系）</w:t>
      </w:r>
    </w:p>
    <w:p w14:paraId="5B71D92C">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drawing>
          <wp:inline distT="0" distB="0" distL="114300" distR="114300">
            <wp:extent cx="5270500" cy="1705610"/>
            <wp:effectExtent l="0" t="0" r="635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0500" cy="1705610"/>
                    </a:xfrm>
                    <a:prstGeom prst="rect">
                      <a:avLst/>
                    </a:prstGeom>
                    <a:noFill/>
                    <a:ln>
                      <a:noFill/>
                    </a:ln>
                  </pic:spPr>
                </pic:pic>
              </a:graphicData>
            </a:graphic>
          </wp:inline>
        </w:drawing>
      </w:r>
    </w:p>
    <w:p w14:paraId="160A016B">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体系B（沥青环氧树脂漆体系）</w:t>
      </w:r>
    </w:p>
    <w:p w14:paraId="1C5D6EA0">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drawing>
          <wp:inline distT="0" distB="0" distL="114300" distR="114300">
            <wp:extent cx="5271770" cy="1512570"/>
            <wp:effectExtent l="0" t="0" r="5080" b="11430"/>
            <wp:docPr id="460981502" name="图片 46098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981502" name="图片 460981502"/>
                    <pic:cNvPicPr>
                      <a:picLocks noChangeAspect="1"/>
                    </pic:cNvPicPr>
                  </pic:nvPicPr>
                  <pic:blipFill>
                    <a:blip r:embed="rId5"/>
                    <a:stretch>
                      <a:fillRect/>
                    </a:stretch>
                  </pic:blipFill>
                  <pic:spPr>
                    <a:xfrm>
                      <a:off x="0" y="0"/>
                      <a:ext cx="5271770" cy="1512570"/>
                    </a:xfrm>
                    <a:prstGeom prst="rect">
                      <a:avLst/>
                    </a:prstGeom>
                    <a:noFill/>
                    <a:ln>
                      <a:noFill/>
                    </a:ln>
                  </pic:spPr>
                </pic:pic>
              </a:graphicData>
            </a:graphic>
          </wp:inline>
        </w:drawing>
      </w:r>
    </w:p>
    <w:p w14:paraId="27B4E340">
      <w:pPr>
        <w:adjustRightInd w:val="0"/>
        <w:snapToGrid w:val="0"/>
        <w:spacing w:line="360" w:lineRule="auto"/>
        <w:rPr>
          <w:rFonts w:hint="eastAsia" w:ascii="宋体" w:hAnsi="宋体" w:eastAsia="宋体" w:cs="宋体"/>
          <w:szCs w:val="21"/>
        </w:rPr>
      </w:pPr>
      <w:r>
        <w:rPr>
          <w:rFonts w:hint="eastAsia" w:ascii="宋体" w:hAnsi="宋体" w:eastAsia="宋体" w:cs="宋体"/>
          <w:szCs w:val="21"/>
        </w:rPr>
        <w:t>体系C（镀锌面的涂料体系）</w:t>
      </w:r>
    </w:p>
    <w:p w14:paraId="0A4B132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表面处理和底漆。表面应当无潮气，无尘埃和其他的污染物质，应当用溶剂清洁剂来洗净表面，缺损的镀锌表面可用手动或电动的工具来刷净，应当遵守GB/T8923.1-2011或等同标准的规定来做表面处理和涂上蚀刻底漆，干化后的蚀刻底漆最小厚度为20μm。</w:t>
      </w:r>
    </w:p>
    <w:p w14:paraId="2D4729E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②涂层。表面处理过程结束后，体系A、B、C的涂料层即可实施，除非另有说明。</w:t>
      </w:r>
    </w:p>
    <w:p w14:paraId="1742B803">
      <w:pPr>
        <w:adjustRightInd w:val="0"/>
        <w:snapToGrid w:val="0"/>
        <w:spacing w:line="360" w:lineRule="auto"/>
        <w:rPr>
          <w:rFonts w:hint="eastAsia" w:ascii="宋体" w:hAnsi="宋体" w:eastAsia="宋体" w:cs="宋体"/>
          <w:szCs w:val="21"/>
        </w:rPr>
      </w:pPr>
      <w:bookmarkStart w:id="66" w:name="_Toc163462564"/>
      <w:bookmarkStart w:id="67" w:name="_Toc406663068"/>
      <w:bookmarkStart w:id="68" w:name="_Toc409452912"/>
      <w:bookmarkStart w:id="69" w:name="_Toc153271886"/>
      <w:bookmarkStart w:id="70" w:name="_Toc1948"/>
      <w:r>
        <w:rPr>
          <w:rFonts w:hint="eastAsia" w:ascii="宋体" w:hAnsi="宋体" w:eastAsia="宋体" w:cs="宋体"/>
          <w:szCs w:val="21"/>
        </w:rPr>
        <w:t>（3）涂装范围</w:t>
      </w:r>
      <w:bookmarkEnd w:id="66"/>
      <w:bookmarkEnd w:id="67"/>
      <w:bookmarkEnd w:id="68"/>
      <w:bookmarkEnd w:id="69"/>
      <w:bookmarkEnd w:id="70"/>
    </w:p>
    <w:p w14:paraId="77D036E1">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①前面规定的涂料体系，应当敷于下列的物体和表面上（除非另有规定）：</w:t>
      </w:r>
    </w:p>
    <w:p w14:paraId="37FB3F3F">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在腐蚀环境下，室内服务的未镀锌黑色金属表面：使用体系A。</w:t>
      </w:r>
    </w:p>
    <w:p w14:paraId="3D49116E">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②浸入水中或间断浸水的钢表面（除不锈钢外）：使用体系B。</w:t>
      </w:r>
    </w:p>
    <w:p w14:paraId="4FFB9D2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③浸入水中或间断浸入水中的镀锌钢表面：使用体系C再加体系B。</w:t>
      </w:r>
    </w:p>
    <w:p w14:paraId="17F616B2">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④涂装表面应当采取保护措施，使油漆后的表面不遭受撞击、摩擦、褪色以及其他因素的损伤，在设备被验收前所遭到的损坏，应当消除后再加涂，直到取得招标人的同意后，才算合格。</w:t>
      </w:r>
    </w:p>
    <w:p w14:paraId="75631E1C">
      <w:pPr>
        <w:adjustRightInd w:val="0"/>
        <w:snapToGrid w:val="0"/>
        <w:spacing w:line="360" w:lineRule="auto"/>
        <w:rPr>
          <w:rFonts w:hint="eastAsia" w:ascii="宋体" w:hAnsi="宋体" w:eastAsia="宋体" w:cs="宋体"/>
          <w:szCs w:val="21"/>
        </w:rPr>
      </w:pPr>
      <w:bookmarkStart w:id="71" w:name="_Toc409452914"/>
      <w:bookmarkStart w:id="72" w:name="_Toc130477388"/>
      <w:bookmarkStart w:id="73" w:name="_Toc406663070"/>
      <w:bookmarkStart w:id="74" w:name="_Toc25854"/>
      <w:bookmarkStart w:id="75" w:name="_Toc153271894"/>
      <w:bookmarkStart w:id="76" w:name="_Toc163462571"/>
      <w:r>
        <w:rPr>
          <w:rFonts w:hint="eastAsia" w:ascii="宋体" w:hAnsi="宋体" w:eastAsia="宋体" w:cs="宋体"/>
          <w:szCs w:val="21"/>
        </w:rPr>
        <w:t>4、备品及其他</w:t>
      </w:r>
      <w:bookmarkEnd w:id="71"/>
      <w:bookmarkEnd w:id="72"/>
      <w:bookmarkEnd w:id="73"/>
      <w:bookmarkEnd w:id="74"/>
      <w:bookmarkEnd w:id="75"/>
      <w:bookmarkEnd w:id="76"/>
    </w:p>
    <w:p w14:paraId="11B8BFC8">
      <w:pPr>
        <w:adjustRightInd w:val="0"/>
        <w:snapToGrid w:val="0"/>
        <w:spacing w:line="360" w:lineRule="auto"/>
        <w:ind w:firstLine="420" w:firstLineChars="200"/>
        <w:rPr>
          <w:rFonts w:hint="eastAsia" w:ascii="宋体" w:hAnsi="宋体" w:eastAsia="宋体" w:cs="宋体"/>
        </w:rPr>
      </w:pPr>
      <w:r>
        <w:rPr>
          <w:rFonts w:hint="eastAsia" w:ascii="宋体" w:hAnsi="宋体" w:eastAsia="宋体" w:cs="宋体"/>
          <w:szCs w:val="21"/>
        </w:rPr>
        <w:t>中标人应当提供所供设备的随机备件和必备附件、专用工具，并列出详细清单。提供的所有备件应是全新的、未使用过的，并与所需更换的备件完全吻合。这些备件应经过处理和包装，能在工地气候条件下长期有效储存。在每个备件的包装侧面应明显标出备件的名称、用途或标出编号。如果在一箱或其他集装箱内有一种以上的备件，在箱子或集装箱侧面应标明内装备件的概括说明。在箱内应有包装清单。所有箱子、集装箱或其他包装，当要求检查时应容易拆开。同时，包装的设计应便于开启，然后再包装。</w:t>
      </w:r>
    </w:p>
    <w:p w14:paraId="72D194E4">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报价要求</w:t>
      </w:r>
    </w:p>
    <w:p w14:paraId="3FA4AEBD">
      <w:pPr>
        <w:adjustRightInd w:val="0"/>
        <w:snapToGrid w:val="0"/>
        <w:spacing w:line="360" w:lineRule="auto"/>
        <w:ind w:firstLine="420" w:firstLineChars="200"/>
        <w:rPr>
          <w:rFonts w:hint="eastAsia" w:ascii="宋体" w:hAnsi="宋体" w:eastAsia="宋体" w:cs="宋体"/>
          <w:szCs w:val="21"/>
        </w:rPr>
      </w:pPr>
      <w:bookmarkStart w:id="77" w:name="_Hlk145087345"/>
      <w:r>
        <w:rPr>
          <w:rFonts w:hint="eastAsia" w:ascii="宋体" w:hAnsi="宋体" w:eastAsia="宋体" w:cs="宋体"/>
          <w:szCs w:val="21"/>
        </w:rPr>
        <w:t>（1）本次投标采用总价包干。</w:t>
      </w:r>
      <w:r>
        <w:rPr>
          <w:rFonts w:hint="eastAsia" w:cs="宋体"/>
          <w:szCs w:val="21"/>
        </w:rPr>
        <w:t>投标总价被视为包括但不限于货物的价格；深化设计；</w:t>
      </w:r>
      <w:r>
        <w:rPr>
          <w:szCs w:val="21"/>
        </w:rPr>
        <w:t>工厂试验费</w:t>
      </w:r>
      <w:r>
        <w:rPr>
          <w:rFonts w:hint="eastAsia"/>
          <w:szCs w:val="21"/>
        </w:rPr>
        <w:t>；</w:t>
      </w:r>
      <w:r>
        <w:rPr>
          <w:szCs w:val="21"/>
        </w:rPr>
        <w:t>技术联络及培训费；</w:t>
      </w:r>
      <w:r>
        <w:rPr>
          <w:rFonts w:hint="eastAsia"/>
          <w:szCs w:val="21"/>
        </w:rPr>
        <w:t>包装</w:t>
      </w:r>
      <w:r>
        <w:rPr>
          <w:szCs w:val="21"/>
        </w:rPr>
        <w:t>费；运输</w:t>
      </w:r>
      <w:r>
        <w:rPr>
          <w:rFonts w:hint="eastAsia"/>
          <w:szCs w:val="21"/>
        </w:rPr>
        <w:t>保险费；</w:t>
      </w:r>
      <w:r>
        <w:rPr>
          <w:rFonts w:hint="eastAsia"/>
          <w:szCs w:val="21"/>
          <w:lang w:val="en-US" w:eastAsia="zh-CN"/>
        </w:rPr>
        <w:t>组装、</w:t>
      </w:r>
      <w:r>
        <w:rPr>
          <w:rFonts w:hint="eastAsia"/>
          <w:szCs w:val="21"/>
        </w:rPr>
        <w:t>安装、</w:t>
      </w:r>
      <w:r>
        <w:rPr>
          <w:szCs w:val="21"/>
        </w:rPr>
        <w:t>调试费</w:t>
      </w:r>
      <w:r>
        <w:rPr>
          <w:rFonts w:hint="eastAsia"/>
          <w:szCs w:val="21"/>
        </w:rPr>
        <w:t>；</w:t>
      </w:r>
      <w:r>
        <w:rPr>
          <w:szCs w:val="21"/>
        </w:rPr>
        <w:t>试运行费</w:t>
      </w:r>
      <w:r>
        <w:rPr>
          <w:rFonts w:hint="eastAsia"/>
          <w:kern w:val="0"/>
          <w:szCs w:val="21"/>
        </w:rPr>
        <w:t>（含但不限于试运行期内的油品）</w:t>
      </w:r>
      <w:r>
        <w:rPr>
          <w:rFonts w:hint="eastAsia"/>
          <w:szCs w:val="21"/>
        </w:rPr>
        <w:t>；质</w:t>
      </w:r>
      <w:r>
        <w:rPr>
          <w:szCs w:val="21"/>
        </w:rPr>
        <w:t>保期内所有</w:t>
      </w:r>
      <w:r>
        <w:rPr>
          <w:rFonts w:hint="eastAsia"/>
          <w:szCs w:val="21"/>
        </w:rPr>
        <w:t>备</w:t>
      </w:r>
      <w:r>
        <w:rPr>
          <w:szCs w:val="21"/>
        </w:rPr>
        <w:t>品备件等</w:t>
      </w:r>
      <w:r>
        <w:rPr>
          <w:rFonts w:hint="eastAsia"/>
          <w:szCs w:val="21"/>
        </w:rPr>
        <w:t>等全过程所产生的所有成本以及保险、管理费、利润、规费、税金（包含1</w:t>
      </w:r>
      <w:r>
        <w:rPr>
          <w:szCs w:val="21"/>
        </w:rPr>
        <w:t>3</w:t>
      </w:r>
      <w:r>
        <w:rPr>
          <w:rFonts w:hint="eastAsia"/>
          <w:szCs w:val="21"/>
        </w:rPr>
        <w:t>%的增值税）、原材料价格变动及供货期变化等风险</w:t>
      </w:r>
      <w:r>
        <w:rPr>
          <w:rFonts w:hint="eastAsia" w:cs="宋体"/>
          <w:szCs w:val="21"/>
        </w:rPr>
        <w:t>。</w:t>
      </w:r>
    </w:p>
    <w:bookmarkEnd w:id="77"/>
    <w:p w14:paraId="47538F8A">
      <w:pPr>
        <w:adjustRightInd w:val="0"/>
        <w:snapToGrid w:val="0"/>
        <w:spacing w:line="360" w:lineRule="auto"/>
        <w:ind w:firstLine="420" w:firstLineChars="200"/>
        <w:rPr>
          <w:rFonts w:hint="eastAsia" w:ascii="宋体" w:hAnsi="宋体" w:eastAsia="宋体" w:cs="宋体"/>
          <w:szCs w:val="21"/>
        </w:rPr>
      </w:pPr>
      <w:bookmarkStart w:id="78" w:name="_Hlk145087366"/>
      <w:r>
        <w:rPr>
          <w:rFonts w:hint="eastAsia" w:ascii="宋体" w:hAnsi="宋体" w:eastAsia="宋体" w:cs="宋体"/>
          <w:szCs w:val="21"/>
        </w:rPr>
        <w:t>（2）投标人已充分考虑停电、停水、扰民等所有因素对供货期造成的影响，并已在合同单价中综合考虑了各种因素影响所增加的费用。在</w:t>
      </w:r>
      <w:r>
        <w:rPr>
          <w:rFonts w:hint="eastAsia" w:ascii="宋体" w:hAnsi="宋体" w:eastAsia="宋体" w:cs="宋体"/>
          <w:szCs w:val="21"/>
          <w:lang w:val="en-US" w:eastAsia="zh-CN"/>
        </w:rPr>
        <w:t>组装、</w:t>
      </w:r>
      <w:r>
        <w:rPr>
          <w:rFonts w:hint="eastAsia" w:ascii="宋体" w:hAnsi="宋体" w:eastAsia="宋体" w:cs="宋体"/>
          <w:szCs w:val="21"/>
        </w:rPr>
        <w:t>安装、指导调试过程中，如发现有漏项、缺件，投标人应无条件无偿补齐，所发生的一切费用，视为已全部包含在报价之中，且并不因此而影响交付招标人使用的时间</w:t>
      </w:r>
      <w:bookmarkEnd w:id="78"/>
      <w:r>
        <w:rPr>
          <w:rFonts w:hint="eastAsia" w:ascii="宋体" w:hAnsi="宋体" w:eastAsia="宋体" w:cs="宋体"/>
          <w:szCs w:val="21"/>
        </w:rPr>
        <w:t>。</w:t>
      </w:r>
    </w:p>
    <w:p w14:paraId="0C7D960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后续签订合同后，本项目合同总金额的不含增值税价格（未税单价）不因税率变化而提高，若在合同履行期间，如国家相关政策对相关的增值税税率进行调整的，则双方应根据最新适用的增值税税率，按照固定不变的不含税价调整合同总金额。</w:t>
      </w:r>
    </w:p>
    <w:p w14:paraId="2E129A15">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供货期</w:t>
      </w:r>
    </w:p>
    <w:p w14:paraId="5CC2163A">
      <w:pPr>
        <w:adjustRightInd w:val="0"/>
        <w:snapToGrid w:val="0"/>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中标结果公告发布之日起，</w:t>
      </w:r>
      <w:r>
        <w:rPr>
          <w:rFonts w:hint="eastAsia" w:ascii="宋体" w:hAnsi="宋体" w:eastAsia="宋体" w:cs="宋体"/>
          <w:szCs w:val="21"/>
          <w:highlight w:val="none"/>
          <w:lang w:val="en-US" w:eastAsia="zh-CN"/>
        </w:rPr>
        <w:t>30</w:t>
      </w:r>
      <w:r>
        <w:rPr>
          <w:rFonts w:hint="eastAsia" w:ascii="宋体" w:hAnsi="宋体" w:eastAsia="宋体" w:cs="宋体"/>
          <w:szCs w:val="21"/>
          <w:highlight w:val="none"/>
        </w:rPr>
        <w:t>个日历天内供货到招标人指定地点，到货后7个日历天内完成</w:t>
      </w:r>
      <w:r>
        <w:rPr>
          <w:rFonts w:hint="eastAsia" w:ascii="宋体" w:hAnsi="宋体" w:eastAsia="宋体" w:cs="宋体"/>
          <w:szCs w:val="21"/>
          <w:highlight w:val="none"/>
          <w:lang w:val="en-US" w:eastAsia="zh-CN"/>
        </w:rPr>
        <w:t>组装、</w:t>
      </w:r>
      <w:r>
        <w:rPr>
          <w:rFonts w:hint="eastAsia" w:ascii="宋体" w:hAnsi="宋体" w:eastAsia="宋体" w:cs="宋体"/>
          <w:szCs w:val="21"/>
          <w:highlight w:val="none"/>
        </w:rPr>
        <w:t>调试</w:t>
      </w:r>
      <w:r>
        <w:rPr>
          <w:rFonts w:hint="eastAsia" w:ascii="宋体" w:hAnsi="宋体" w:eastAsia="宋体" w:cs="宋体"/>
          <w:szCs w:val="21"/>
          <w:highlight w:val="none"/>
          <w:lang w:val="en-US" w:eastAsia="zh-CN"/>
        </w:rPr>
        <w:t>及试运行</w:t>
      </w:r>
      <w:r>
        <w:rPr>
          <w:rFonts w:hint="eastAsia" w:ascii="宋体" w:hAnsi="宋体" w:eastAsia="宋体" w:cs="宋体"/>
          <w:szCs w:val="21"/>
          <w:highlight w:val="none"/>
        </w:rPr>
        <w:t>。</w:t>
      </w:r>
    </w:p>
    <w:p w14:paraId="4D6A55EE">
      <w:pPr>
        <w:numPr>
          <w:ilvl w:val="0"/>
          <w:numId w:val="2"/>
        </w:numPr>
        <w:spacing w:line="360" w:lineRule="auto"/>
        <w:ind w:firstLine="422" w:firstLineChars="200"/>
        <w:rPr>
          <w:rFonts w:hint="eastAsia" w:ascii="宋体" w:hAnsi="宋体" w:eastAsia="宋体" w:cs="宋体"/>
          <w:b/>
          <w:bCs/>
          <w:kern w:val="0"/>
          <w:szCs w:val="21"/>
          <w:highlight w:val="none"/>
        </w:rPr>
      </w:pPr>
      <w:r>
        <w:rPr>
          <w:rFonts w:hint="eastAsia" w:ascii="宋体" w:hAnsi="宋体" w:eastAsia="宋体" w:cs="宋体"/>
          <w:b/>
          <w:bCs/>
          <w:kern w:val="0"/>
          <w:szCs w:val="21"/>
          <w:highlight w:val="none"/>
        </w:rPr>
        <w:t>付款方式</w:t>
      </w:r>
    </w:p>
    <w:p w14:paraId="05B20960">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（1）预付款：</w:t>
      </w:r>
      <w:r>
        <w:rPr>
          <w:rFonts w:hint="eastAsia" w:ascii="宋体" w:hAnsi="宋体" w:eastAsia="宋体" w:cs="宋体"/>
          <w:bCs/>
          <w:szCs w:val="21"/>
        </w:rPr>
        <w:t>在合同签订后，甲方在收到乙方提供的合同总金额30%开具的增值税专用发票后15个工作日内，甲方向乙方支付合同总金额30%的合同款作为预付款。</w:t>
      </w:r>
    </w:p>
    <w:p w14:paraId="5B1D3B3C">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（2）到货款：合同签订后，在合同规定的交货期内，经甲方确认符合要求的合同货物全部送达项目现场，经甲方</w:t>
      </w:r>
      <w:r>
        <w:rPr>
          <w:rFonts w:hint="eastAsia" w:ascii="宋体" w:hAnsi="宋体" w:eastAsia="宋体" w:cs="宋体"/>
          <w:szCs w:val="21"/>
          <w:lang w:val="en-US" w:eastAsia="zh-CN"/>
        </w:rPr>
        <w:t>开箱验收</w:t>
      </w:r>
      <w:r>
        <w:rPr>
          <w:rFonts w:hint="eastAsia" w:ascii="宋体" w:hAnsi="宋体" w:eastAsia="宋体" w:cs="宋体"/>
          <w:szCs w:val="21"/>
        </w:rPr>
        <w:t>后，甲方在收到乙方提供的按照合同总金额的</w:t>
      </w:r>
      <w:r>
        <w:rPr>
          <w:rFonts w:hint="eastAsia" w:ascii="宋体" w:hAnsi="宋体" w:eastAsia="宋体" w:cs="宋体"/>
          <w:szCs w:val="21"/>
          <w:lang w:val="en-US" w:eastAsia="zh-CN"/>
        </w:rPr>
        <w:t>65</w:t>
      </w:r>
      <w:r>
        <w:rPr>
          <w:rFonts w:hint="eastAsia" w:ascii="宋体" w:hAnsi="宋体" w:eastAsia="宋体" w:cs="宋体"/>
          <w:szCs w:val="21"/>
        </w:rPr>
        <w:t>%开具的增值税专用发票后</w:t>
      </w:r>
      <w:r>
        <w:rPr>
          <w:rFonts w:hint="eastAsia" w:ascii="宋体" w:hAnsi="宋体" w:eastAsia="宋体" w:cs="宋体"/>
          <w:szCs w:val="21"/>
          <w:lang w:val="en-US" w:eastAsia="zh-CN"/>
        </w:rPr>
        <w:t>15</w:t>
      </w:r>
      <w:r>
        <w:rPr>
          <w:rFonts w:hint="eastAsia" w:ascii="宋体" w:hAnsi="宋体" w:eastAsia="宋体" w:cs="宋体"/>
          <w:szCs w:val="21"/>
        </w:rPr>
        <w:t>个工作日内，甲方向乙方支付合同总金额的</w:t>
      </w:r>
      <w:r>
        <w:rPr>
          <w:rFonts w:hint="eastAsia" w:ascii="宋体" w:hAnsi="宋体" w:eastAsia="宋体" w:cs="宋体"/>
          <w:szCs w:val="21"/>
          <w:lang w:val="en-US" w:eastAsia="zh-CN"/>
        </w:rPr>
        <w:t>65</w:t>
      </w:r>
      <w:r>
        <w:rPr>
          <w:rFonts w:hint="eastAsia" w:ascii="宋体" w:hAnsi="宋体" w:eastAsia="宋体" w:cs="宋体"/>
          <w:szCs w:val="21"/>
        </w:rPr>
        <w:t>%作为到货款</w:t>
      </w:r>
      <w:r>
        <w:rPr>
          <w:rFonts w:hint="eastAsia" w:ascii="宋体" w:hAnsi="宋体" w:eastAsia="宋体" w:cs="宋体"/>
          <w:bCs/>
          <w:szCs w:val="21"/>
          <w:lang w:val="zh-CN"/>
        </w:rPr>
        <w:t>。</w:t>
      </w:r>
    </w:p>
    <w:p w14:paraId="186B883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质保金：质保期届满后，经甲方确认已完成质保任务，并办理相关手续，甲方在收到乙方提供的合同总金额5%开具的增值税专用发票后15个工作日内，甲方向乙方支付合同总金额5%的合同款。</w:t>
      </w:r>
    </w:p>
    <w:p w14:paraId="0D40D99A">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验收要求</w:t>
      </w:r>
    </w:p>
    <w:p w14:paraId="7D7CE486">
      <w:pPr>
        <w:adjustRightInd w:val="0"/>
        <w:snapToGrid w:val="0"/>
        <w:spacing w:line="360" w:lineRule="auto"/>
        <w:ind w:firstLine="420" w:firstLineChars="200"/>
        <w:rPr>
          <w:rFonts w:hint="eastAsia" w:ascii="宋体" w:hAnsi="宋体" w:eastAsia="宋体" w:cs="宋体"/>
          <w:szCs w:val="21"/>
        </w:rPr>
      </w:pPr>
      <w:bookmarkStart w:id="79" w:name="_Hlk145087451"/>
      <w:r>
        <w:rPr>
          <w:rFonts w:hint="eastAsia" w:ascii="宋体" w:hAnsi="宋体" w:eastAsia="宋体" w:cs="宋体"/>
          <w:szCs w:val="21"/>
        </w:rPr>
        <w:t>（1）乙方在将设备出厂前完成出厂检验并提供相关报告；</w:t>
      </w:r>
    </w:p>
    <w:p w14:paraId="4D30273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（2）乙方已完成所有供货、安装、</w:t>
      </w:r>
      <w:r>
        <w:rPr>
          <w:rFonts w:hint="eastAsia" w:ascii="宋体" w:hAnsi="宋体" w:eastAsia="宋体" w:cs="宋体"/>
          <w:szCs w:val="21"/>
          <w:lang w:val="en-US" w:eastAsia="zh-CN"/>
        </w:rPr>
        <w:t>组装、</w:t>
      </w:r>
      <w:r>
        <w:rPr>
          <w:rFonts w:hint="eastAsia" w:ascii="宋体" w:hAnsi="宋体" w:eastAsia="宋体" w:cs="宋体"/>
          <w:szCs w:val="21"/>
        </w:rPr>
        <w:t>调试过程，满足询价文件、技术要求及相关附件及合同要求，需要整改的项目均已完成，并已交付甲方使用</w:t>
      </w:r>
      <w:bookmarkEnd w:id="79"/>
      <w:r>
        <w:rPr>
          <w:rFonts w:hint="eastAsia" w:ascii="宋体" w:hAnsi="宋体" w:eastAsia="宋体" w:cs="宋体"/>
          <w:szCs w:val="21"/>
        </w:rPr>
        <w:t>；</w:t>
      </w:r>
    </w:p>
    <w:p w14:paraId="16151C27">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（3）乙方已按照合同规定提供了全部产品及完整的技术资料（如出厂检测报告、产品合格证、设备图纸、安装图纸、产品操作手册、维护保养手册等）；</w:t>
      </w:r>
    </w:p>
    <w:p w14:paraId="65E177AD">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（4）在最终验收前对甲方现场人员进行操作维护培训。</w:t>
      </w:r>
    </w:p>
    <w:p w14:paraId="00EF8B2D">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质保期</w:t>
      </w:r>
    </w:p>
    <w:p w14:paraId="757DE9C9">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质保期应不少于</w:t>
      </w:r>
      <w:r>
        <w:rPr>
          <w:rFonts w:hint="eastAsia" w:ascii="宋体" w:hAnsi="宋体" w:eastAsia="宋体" w:cs="宋体"/>
          <w:szCs w:val="21"/>
          <w:highlight w:val="none"/>
        </w:rPr>
        <w:t>12个月</w:t>
      </w:r>
      <w:r>
        <w:rPr>
          <w:rFonts w:hint="eastAsia" w:ascii="宋体" w:hAnsi="宋体" w:eastAsia="宋体" w:cs="宋体"/>
          <w:szCs w:val="21"/>
        </w:rPr>
        <w:t>（含易损件，消耗油品除外），自整体设备验收报告记载的验收合格之日起算。质保期内，乙方应承担保修责任，在质保期内若货物及安装质量出现问题，乙方应无条件接收甲方意见进行整改补救措施，并在质保金中扣除甲方因乙方质量问题造成的损失。</w:t>
      </w:r>
    </w:p>
    <w:p w14:paraId="09157443">
      <w:pPr>
        <w:numPr>
          <w:ilvl w:val="0"/>
          <w:numId w:val="2"/>
        </w:numPr>
        <w:spacing w:line="360" w:lineRule="auto"/>
        <w:ind w:firstLine="422" w:firstLineChars="200"/>
        <w:rPr>
          <w:rFonts w:hint="eastAsia" w:ascii="宋体" w:hAnsi="宋体" w:eastAsia="宋体" w:cs="宋体"/>
          <w:b/>
          <w:bCs/>
          <w:kern w:val="0"/>
          <w:szCs w:val="21"/>
        </w:rPr>
      </w:pPr>
      <w:r>
        <w:rPr>
          <w:rFonts w:hint="eastAsia" w:ascii="宋体" w:hAnsi="宋体" w:eastAsia="宋体" w:cs="宋体"/>
          <w:b/>
          <w:bCs/>
          <w:kern w:val="0"/>
          <w:szCs w:val="21"/>
        </w:rPr>
        <w:t>其他要求</w:t>
      </w:r>
    </w:p>
    <w:p w14:paraId="41434A5D">
      <w:pPr>
        <w:adjustRightInd w:val="0"/>
        <w:snapToGrid w:val="0"/>
        <w:spacing w:line="360" w:lineRule="auto"/>
        <w:ind w:firstLine="420" w:firstLineChars="200"/>
        <w:rPr>
          <w:rFonts w:hint="eastAsia" w:ascii="宋体" w:hAnsi="宋体" w:eastAsia="宋体" w:cs="宋体"/>
          <w:szCs w:val="21"/>
        </w:rPr>
      </w:pPr>
      <w:bookmarkStart w:id="80" w:name="_Toc52363203"/>
      <w:bookmarkStart w:id="81" w:name="_Toc53088896"/>
      <w:r>
        <w:rPr>
          <w:rFonts w:hint="eastAsia" w:ascii="宋体" w:hAnsi="宋体" w:eastAsia="宋体" w:cs="宋体"/>
          <w:szCs w:val="21"/>
        </w:rPr>
        <w:t>（1）如果乙方未能按合同规定的时间供货，每逾期一天，甲方有权要求乙方合同金额的</w:t>
      </w:r>
      <w:r>
        <w:rPr>
          <w:rFonts w:hint="eastAsia" w:ascii="宋体" w:hAnsi="宋体" w:eastAsia="宋体" w:cs="宋体"/>
          <w:szCs w:val="21"/>
          <w:lang w:val="en-US" w:eastAsia="zh-CN"/>
        </w:rPr>
        <w:t>1</w:t>
      </w:r>
      <w:r>
        <w:rPr>
          <w:rFonts w:hint="eastAsia" w:ascii="宋体" w:hAnsi="宋体" w:eastAsia="宋体" w:cs="宋体"/>
          <w:szCs w:val="21"/>
        </w:rPr>
        <w:t>%作为违约金，甲方有权从当期应支付给乙方的货款中直接扣减违约金，违约金的最高限额不超过合同金额的</w:t>
      </w:r>
      <w:r>
        <w:rPr>
          <w:rFonts w:hint="eastAsia" w:ascii="宋体" w:hAnsi="宋体" w:eastAsia="宋体" w:cs="宋体"/>
          <w:szCs w:val="21"/>
          <w:lang w:val="en-US" w:eastAsia="zh-CN"/>
        </w:rPr>
        <w:t>1</w:t>
      </w:r>
      <w:r>
        <w:rPr>
          <w:rFonts w:hint="eastAsia" w:ascii="宋体" w:hAnsi="宋体" w:eastAsia="宋体" w:cs="宋体"/>
          <w:szCs w:val="21"/>
        </w:rPr>
        <w:t>0%。乙方支付违约金后，并不解除其按照合同继续交货的义务，一旦违约金超过最高限额，甲方有权终止合同，但不影响乙方上述违约金的支付。</w:t>
      </w:r>
    </w:p>
    <w:p w14:paraId="7F4B9AE3">
      <w:pPr>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b/>
          <w:bCs/>
          <w:kern w:val="0"/>
          <w:szCs w:val="21"/>
        </w:rPr>
        <w:t>乙方提供的产品无法达到双方预定的设计性能要求，乙方需负责无偿改造，直至达到预定要求；若</w:t>
      </w:r>
      <w:r>
        <w:rPr>
          <w:rFonts w:hint="eastAsia" w:ascii="宋体" w:hAnsi="宋体" w:eastAsia="宋体" w:cs="宋体"/>
          <w:b/>
          <w:bCs/>
          <w:kern w:val="0"/>
          <w:szCs w:val="21"/>
          <w:lang w:val="en-US" w:eastAsia="zh-CN"/>
        </w:rPr>
        <w:t>调试完成后1年内，</w:t>
      </w:r>
      <w:r>
        <w:rPr>
          <w:rFonts w:hint="eastAsia" w:ascii="宋体" w:hAnsi="宋体" w:eastAsia="宋体" w:cs="宋体"/>
          <w:b/>
          <w:bCs/>
          <w:kern w:val="0"/>
          <w:szCs w:val="21"/>
        </w:rPr>
        <w:t>经过多轮改造，仍未达到预定要求，甲方有权不予支付货款，且货物需由乙方在约定时间内自行拆除、装卸并运回，产生相关费用由乙方自理</w:t>
      </w:r>
      <w:r>
        <w:rPr>
          <w:rFonts w:hint="eastAsia" w:ascii="宋体" w:hAnsi="宋体" w:eastAsia="宋体" w:cs="宋体"/>
          <w:szCs w:val="21"/>
        </w:rPr>
        <w:t>。</w:t>
      </w:r>
      <w:bookmarkStart w:id="94" w:name="_GoBack"/>
      <w:bookmarkEnd w:id="94"/>
    </w:p>
    <w:p w14:paraId="6161D49F">
      <w:pPr>
        <w:keepNext/>
        <w:keepLines/>
        <w:spacing w:before="260"/>
        <w:jc w:val="left"/>
        <w:outlineLvl w:val="1"/>
        <w:rPr>
          <w:rFonts w:hint="eastAsia" w:ascii="宋体" w:hAnsi="宋体" w:eastAsia="宋体" w:cs="宋体"/>
          <w:b/>
          <w:bCs/>
          <w:szCs w:val="21"/>
        </w:rPr>
      </w:pPr>
      <w:r>
        <w:rPr>
          <w:rFonts w:hint="eastAsia" w:ascii="宋体" w:hAnsi="宋体" w:eastAsia="宋体" w:cs="宋体"/>
          <w:b/>
          <w:bCs/>
          <w:szCs w:val="21"/>
        </w:rPr>
        <w:t>三、</w:t>
      </w:r>
      <w:bookmarkEnd w:id="80"/>
      <w:bookmarkEnd w:id="81"/>
      <w:r>
        <w:rPr>
          <w:rFonts w:hint="eastAsia" w:ascii="宋体" w:hAnsi="宋体" w:eastAsia="宋体" w:cs="宋体"/>
          <w:b/>
          <w:bCs/>
          <w:szCs w:val="21"/>
        </w:rPr>
        <w:t>报价方式</w:t>
      </w:r>
    </w:p>
    <w:p w14:paraId="17504B36">
      <w:pPr>
        <w:adjustRightInd w:val="0"/>
        <w:spacing w:before="100"/>
        <w:ind w:firstLine="420" w:firstLineChars="200"/>
        <w:rPr>
          <w:rFonts w:hint="eastAsia" w:ascii="宋体" w:hAnsi="宋体" w:eastAsia="宋体" w:cs="宋体"/>
          <w:kern w:val="0"/>
          <w:szCs w:val="21"/>
        </w:rPr>
      </w:pPr>
      <w:bookmarkStart w:id="82" w:name="_Toc52363204"/>
      <w:bookmarkStart w:id="83" w:name="_Toc53088897"/>
      <w:r>
        <w:rPr>
          <w:rFonts w:hint="eastAsia" w:ascii="宋体" w:hAnsi="宋体" w:eastAsia="宋体" w:cs="宋体"/>
          <w:kern w:val="0"/>
          <w:szCs w:val="21"/>
        </w:rPr>
        <w:t>有意向参与本次公开询价的潜在供应商，应按以下方式提交报价文件：</w:t>
      </w:r>
    </w:p>
    <w:p w14:paraId="4D612BFC">
      <w:pPr>
        <w:pStyle w:val="22"/>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截止时间：</w:t>
      </w:r>
      <w:r>
        <w:rPr>
          <w:rFonts w:hint="eastAsia" w:ascii="宋体" w:hAnsi="宋体" w:eastAsia="宋体" w:cs="宋体"/>
          <w:kern w:val="0"/>
          <w:szCs w:val="21"/>
          <w:highlight w:val="none"/>
        </w:rPr>
        <w:t>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月</w:t>
      </w:r>
      <w:r>
        <w:rPr>
          <w:rFonts w:hint="eastAsia" w:ascii="宋体" w:hAnsi="宋体" w:eastAsia="宋体" w:cs="宋体"/>
          <w:kern w:val="0"/>
          <w:szCs w:val="21"/>
          <w:highlight w:val="none"/>
          <w:lang w:val="en-US" w:eastAsia="zh-CN"/>
        </w:rPr>
        <w:t>30</w:t>
      </w:r>
      <w:r>
        <w:rPr>
          <w:rFonts w:hint="eastAsia" w:ascii="宋体" w:hAnsi="宋体" w:eastAsia="宋体" w:cs="宋体"/>
          <w:kern w:val="0"/>
          <w:szCs w:val="21"/>
          <w:highlight w:val="none"/>
        </w:rPr>
        <w:t>日</w:t>
      </w:r>
      <w:r>
        <w:rPr>
          <w:rFonts w:hint="eastAsia" w:ascii="宋体" w:hAnsi="宋体" w:eastAsia="宋体" w:cs="宋体"/>
          <w:kern w:val="0"/>
          <w:szCs w:val="21"/>
          <w:highlight w:val="none"/>
          <w:lang w:val="en-US" w:eastAsia="zh-CN"/>
        </w:rPr>
        <w:t>12</w:t>
      </w:r>
      <w:r>
        <w:rPr>
          <w:rFonts w:hint="eastAsia" w:ascii="宋体" w:hAnsi="宋体" w:eastAsia="宋体" w:cs="宋体"/>
          <w:kern w:val="0"/>
          <w:szCs w:val="21"/>
          <w:highlight w:val="none"/>
        </w:rPr>
        <w:t>:00。</w:t>
      </w:r>
    </w:p>
    <w:p w14:paraId="242677E1">
      <w:pPr>
        <w:pStyle w:val="22"/>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提交资料：</w:t>
      </w:r>
      <w:r>
        <w:rPr>
          <w:rFonts w:hint="eastAsia" w:ascii="宋体" w:hAnsi="宋体" w:eastAsia="宋体" w:cs="宋体"/>
          <w:kern w:val="0"/>
          <w:szCs w:val="21"/>
        </w:rPr>
        <w:t>加盖公章的报价函、承诺函、营业执照、</w:t>
      </w:r>
      <w:r>
        <w:rPr>
          <w:rFonts w:hint="eastAsia" w:ascii="宋体" w:hAnsi="宋体" w:eastAsia="宋体" w:cs="宋体"/>
          <w:kern w:val="0"/>
          <w:szCs w:val="21"/>
          <w:lang w:val="en-US" w:eastAsia="zh-CN"/>
        </w:rPr>
        <w:t>资质证明、</w:t>
      </w:r>
      <w:r>
        <w:rPr>
          <w:rFonts w:hint="eastAsia" w:ascii="宋体" w:hAnsi="宋体" w:eastAsia="宋体" w:cs="宋体"/>
          <w:kern w:val="0"/>
          <w:szCs w:val="21"/>
        </w:rPr>
        <w:t>业绩证明、法人资格证明书、法人委托证明书。相关格式详见附件。</w:t>
      </w:r>
    </w:p>
    <w:p w14:paraId="2A8D3C04">
      <w:pPr>
        <w:pStyle w:val="22"/>
        <w:numPr>
          <w:ilvl w:val="0"/>
          <w:numId w:val="3"/>
        </w:numPr>
        <w:adjustRightInd w:val="0"/>
        <w:spacing w:before="100"/>
        <w:ind w:firstLineChars="0"/>
        <w:rPr>
          <w:rFonts w:hint="eastAsia" w:ascii="宋体" w:hAnsi="宋体" w:eastAsia="宋体" w:cs="宋体"/>
          <w:kern w:val="0"/>
          <w:szCs w:val="21"/>
        </w:rPr>
      </w:pPr>
      <w:r>
        <w:rPr>
          <w:rFonts w:hint="eastAsia" w:ascii="宋体" w:hAnsi="宋体" w:eastAsia="宋体" w:cs="宋体"/>
          <w:b/>
          <w:kern w:val="0"/>
          <w:szCs w:val="21"/>
        </w:rPr>
        <w:t>提交方式：</w:t>
      </w:r>
      <w:r>
        <w:rPr>
          <w:rFonts w:hint="eastAsia" w:ascii="宋体" w:hAnsi="宋体" w:eastAsia="宋体" w:cs="宋体"/>
          <w:kern w:val="0"/>
          <w:szCs w:val="21"/>
        </w:rPr>
        <w:t>发送至</w:t>
      </w:r>
      <w:r>
        <w:rPr>
          <w:rFonts w:hint="eastAsia" w:ascii="宋体" w:hAnsi="宋体" w:eastAsia="宋体" w:cs="宋体"/>
          <w:sz w:val="24"/>
          <w:szCs w:val="24"/>
        </w:rPr>
        <w:t>zhu.shuying@szwatereco.com</w:t>
      </w:r>
    </w:p>
    <w:bookmarkEnd w:id="82"/>
    <w:bookmarkEnd w:id="83"/>
    <w:p w14:paraId="1A8D9269">
      <w:pPr>
        <w:keepNext/>
        <w:keepLines/>
        <w:spacing w:before="260"/>
        <w:jc w:val="left"/>
        <w:outlineLvl w:val="1"/>
        <w:rPr>
          <w:rFonts w:hint="eastAsia" w:ascii="宋体" w:hAnsi="宋体" w:eastAsia="宋体" w:cs="宋体"/>
          <w:b/>
          <w:bCs/>
          <w:szCs w:val="21"/>
        </w:rPr>
      </w:pPr>
      <w:bookmarkStart w:id="84" w:name="_Toc53088900"/>
      <w:bookmarkStart w:id="85" w:name="_Toc52363207"/>
      <w:r>
        <w:rPr>
          <w:rFonts w:hint="eastAsia" w:ascii="宋体" w:hAnsi="宋体" w:eastAsia="宋体" w:cs="宋体"/>
          <w:b/>
          <w:bCs/>
          <w:szCs w:val="21"/>
        </w:rPr>
        <w:t>四、联系方式</w:t>
      </w:r>
      <w:bookmarkEnd w:id="84"/>
      <w:bookmarkEnd w:id="85"/>
    </w:p>
    <w:p w14:paraId="382B4E73">
      <w:pPr>
        <w:adjustRightInd w:val="0"/>
        <w:spacing w:before="100"/>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朱</w:t>
      </w:r>
      <w:r>
        <w:rPr>
          <w:rFonts w:hint="eastAsia" w:ascii="宋体" w:hAnsi="宋体" w:eastAsia="宋体" w:cs="宋体"/>
          <w:kern w:val="0"/>
          <w:szCs w:val="21"/>
        </w:rPr>
        <w:t>工</w:t>
      </w:r>
    </w:p>
    <w:p w14:paraId="47382BA2">
      <w:pPr>
        <w:adjustRightInd w:val="0"/>
        <w:spacing w:before="100"/>
        <w:ind w:firstLine="420" w:firstLineChars="200"/>
        <w:jc w:val="left"/>
        <w:rPr>
          <w:rFonts w:hint="default" w:ascii="宋体" w:hAnsi="宋体" w:eastAsia="宋体" w:cs="宋体"/>
          <w:kern w:val="0"/>
          <w:szCs w:val="21"/>
          <w:lang w:val="en-US" w:eastAsia="zh-CN"/>
        </w:rPr>
      </w:pPr>
      <w:r>
        <w:rPr>
          <w:rFonts w:hint="eastAsia" w:ascii="宋体" w:hAnsi="宋体" w:eastAsia="宋体" w:cs="宋体"/>
          <w:kern w:val="0"/>
          <w:szCs w:val="21"/>
        </w:rPr>
        <w:t>电　话：1</w:t>
      </w:r>
      <w:r>
        <w:rPr>
          <w:rFonts w:hint="eastAsia" w:ascii="宋体" w:hAnsi="宋体" w:eastAsia="宋体" w:cs="宋体"/>
          <w:kern w:val="0"/>
          <w:szCs w:val="21"/>
          <w:lang w:val="en-US" w:eastAsia="zh-CN"/>
        </w:rPr>
        <w:t>8711668871</w:t>
      </w:r>
    </w:p>
    <w:p w14:paraId="5645F1A0">
      <w:pPr>
        <w:adjustRightInd w:val="0"/>
        <w:spacing w:before="100"/>
        <w:jc w:val="left"/>
        <w:rPr>
          <w:rFonts w:hint="eastAsia" w:ascii="宋体" w:hAnsi="宋体" w:eastAsia="宋体" w:cs="宋体"/>
          <w:kern w:val="0"/>
          <w:szCs w:val="21"/>
          <w:u w:val="single"/>
        </w:rPr>
      </w:pPr>
    </w:p>
    <w:p w14:paraId="0C34379F">
      <w:pPr>
        <w:adjustRightInd w:val="0"/>
        <w:jc w:val="left"/>
        <w:rPr>
          <w:rFonts w:hint="eastAsia" w:ascii="宋体" w:hAnsi="宋体" w:eastAsia="宋体" w:cs="宋体"/>
          <w:kern w:val="0"/>
          <w:szCs w:val="21"/>
        </w:rPr>
      </w:pPr>
    </w:p>
    <w:p w14:paraId="6F8BE85B">
      <w:pPr>
        <w:adjustRightInd w:val="0"/>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深圳市深水生态环境技术有限公司</w:t>
      </w:r>
    </w:p>
    <w:p w14:paraId="0C3AC3BA">
      <w:pPr>
        <w:adjustRightInd w:val="0"/>
        <w:ind w:firstLine="420" w:firstLineChars="200"/>
        <w:jc w:val="right"/>
        <w:rPr>
          <w:rFonts w:hint="eastAsia" w:ascii="宋体" w:hAnsi="宋体" w:eastAsia="宋体" w:cs="宋体"/>
          <w:kern w:val="0"/>
          <w:szCs w:val="21"/>
        </w:rPr>
      </w:pPr>
      <w:r>
        <w:rPr>
          <w:rFonts w:hint="eastAsia" w:ascii="宋体" w:hAnsi="宋体" w:eastAsia="宋体" w:cs="宋体"/>
          <w:kern w:val="0"/>
          <w:szCs w:val="21"/>
        </w:rPr>
        <w:t>202</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r>
        <w:rPr>
          <w:rFonts w:hint="eastAsia" w:ascii="宋体" w:hAnsi="宋体" w:eastAsia="宋体" w:cs="宋体"/>
          <w:kern w:val="0"/>
          <w:szCs w:val="21"/>
          <w:lang w:val="en-US" w:eastAsia="zh-CN"/>
        </w:rPr>
        <w:t>4</w:t>
      </w:r>
      <w:r>
        <w:rPr>
          <w:rFonts w:hint="eastAsia" w:ascii="宋体" w:hAnsi="宋体" w:eastAsia="宋体" w:cs="宋体"/>
          <w:kern w:val="0"/>
          <w:szCs w:val="21"/>
        </w:rPr>
        <w:t>月</w:t>
      </w:r>
      <w:r>
        <w:rPr>
          <w:rFonts w:hint="eastAsia" w:ascii="宋体" w:hAnsi="宋体" w:eastAsia="宋体" w:cs="宋体"/>
          <w:kern w:val="0"/>
          <w:szCs w:val="21"/>
          <w:lang w:val="en-US" w:eastAsia="zh-CN"/>
        </w:rPr>
        <w:t>29</w:t>
      </w:r>
      <w:r>
        <w:rPr>
          <w:rFonts w:hint="eastAsia" w:ascii="宋体" w:hAnsi="宋体" w:eastAsia="宋体" w:cs="宋体"/>
          <w:kern w:val="0"/>
          <w:szCs w:val="21"/>
        </w:rPr>
        <w:t>日</w:t>
      </w:r>
    </w:p>
    <w:p w14:paraId="22F09B6C">
      <w:pPr>
        <w:pStyle w:val="6"/>
        <w:rPr>
          <w:rFonts w:hint="eastAsia" w:ascii="宋体" w:hAnsi="宋体" w:eastAsia="宋体" w:cs="宋体"/>
        </w:rPr>
      </w:pPr>
    </w:p>
    <w:p w14:paraId="0C9AF37E">
      <w:pPr>
        <w:rPr>
          <w:rFonts w:hint="eastAsia" w:ascii="宋体" w:hAnsi="宋体" w:eastAsia="宋体" w:cs="宋体"/>
          <w:bCs/>
          <w:kern w:val="36"/>
          <w:sz w:val="36"/>
          <w:szCs w:val="44"/>
        </w:rPr>
      </w:pPr>
      <w:r>
        <w:rPr>
          <w:rFonts w:hint="eastAsia" w:ascii="宋体" w:hAnsi="宋体" w:eastAsia="宋体" w:cs="宋体"/>
          <w:bCs/>
          <w:kern w:val="36"/>
          <w:sz w:val="36"/>
          <w:szCs w:val="44"/>
        </w:rPr>
        <w:br w:type="page"/>
      </w:r>
    </w:p>
    <w:p w14:paraId="59F3137C">
      <w:pPr>
        <w:widowControl/>
        <w:adjustRightInd w:val="0"/>
        <w:spacing w:before="100" w:beforeAutospacing="1" w:after="100" w:afterAutospacing="1" w:line="360" w:lineRule="auto"/>
        <w:jc w:val="left"/>
        <w:outlineLvl w:val="0"/>
        <w:rPr>
          <w:rFonts w:hint="eastAsia" w:ascii="宋体" w:hAnsi="宋体" w:eastAsia="宋体" w:cs="宋体"/>
          <w:bCs/>
          <w:kern w:val="36"/>
          <w:sz w:val="36"/>
          <w:szCs w:val="44"/>
        </w:rPr>
        <w:sectPr>
          <w:pgSz w:w="11906" w:h="16838"/>
          <w:pgMar w:top="1440" w:right="1800" w:bottom="1440" w:left="1800" w:header="851" w:footer="992" w:gutter="0"/>
          <w:cols w:space="425" w:num="1"/>
          <w:docGrid w:type="lines" w:linePitch="312" w:charSpace="0"/>
        </w:sectPr>
      </w:pPr>
    </w:p>
    <w:p w14:paraId="1A9FB44C">
      <w:pPr>
        <w:widowControl/>
        <w:adjustRightInd w:val="0"/>
        <w:spacing w:before="100" w:beforeAutospacing="1" w:after="100" w:afterAutospacing="1" w:line="360" w:lineRule="auto"/>
        <w:jc w:val="left"/>
        <w:outlineLvl w:val="0"/>
        <w:rPr>
          <w:rFonts w:hint="eastAsia" w:ascii="宋体" w:hAnsi="宋体" w:eastAsia="宋体" w:cs="宋体"/>
        </w:rPr>
      </w:pPr>
      <w:r>
        <w:rPr>
          <w:rFonts w:hint="eastAsia" w:ascii="宋体" w:hAnsi="宋体" w:eastAsia="宋体" w:cs="宋体"/>
          <w:bCs/>
          <w:kern w:val="36"/>
          <w:sz w:val="36"/>
          <w:szCs w:val="44"/>
        </w:rPr>
        <w:t>公告附件</w:t>
      </w:r>
    </w:p>
    <w:p w14:paraId="189C0FD2">
      <w:pPr>
        <w:keepNext/>
        <w:keepLines/>
        <w:numPr>
          <w:ilvl w:val="0"/>
          <w:numId w:val="4"/>
        </w:numPr>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报价函</w:t>
      </w:r>
    </w:p>
    <w:tbl>
      <w:tblPr>
        <w:tblStyle w:val="14"/>
        <w:tblW w:w="13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130"/>
        <w:gridCol w:w="4535"/>
        <w:gridCol w:w="1077"/>
        <w:gridCol w:w="1077"/>
        <w:gridCol w:w="2163"/>
        <w:gridCol w:w="1918"/>
        <w:gridCol w:w="1154"/>
      </w:tblGrid>
      <w:tr w14:paraId="462C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04E4C93D">
            <w:pPr>
              <w:jc w:val="center"/>
              <w:rPr>
                <w:rFonts w:hint="eastAsia" w:ascii="宋体" w:hAnsi="宋体" w:eastAsia="宋体" w:cs="宋体"/>
                <w:sz w:val="22"/>
              </w:rPr>
            </w:pPr>
            <w:r>
              <w:rPr>
                <w:rFonts w:hint="eastAsia" w:ascii="宋体" w:hAnsi="宋体" w:eastAsia="宋体" w:cs="宋体"/>
                <w:sz w:val="22"/>
              </w:rPr>
              <w:t>序号</w:t>
            </w:r>
          </w:p>
        </w:tc>
        <w:tc>
          <w:tcPr>
            <w:tcW w:w="1130" w:type="dxa"/>
            <w:vAlign w:val="center"/>
          </w:tcPr>
          <w:p w14:paraId="15A22EA3">
            <w:pPr>
              <w:jc w:val="center"/>
              <w:rPr>
                <w:rFonts w:hint="eastAsia" w:ascii="宋体" w:hAnsi="宋体" w:eastAsia="宋体" w:cs="宋体"/>
                <w:sz w:val="22"/>
              </w:rPr>
            </w:pPr>
            <w:r>
              <w:rPr>
                <w:rFonts w:hint="eastAsia" w:ascii="宋体" w:hAnsi="宋体" w:eastAsia="宋体" w:cs="宋体"/>
                <w:sz w:val="22"/>
              </w:rPr>
              <w:t>设备名称</w:t>
            </w:r>
          </w:p>
        </w:tc>
        <w:tc>
          <w:tcPr>
            <w:tcW w:w="4535" w:type="dxa"/>
            <w:vAlign w:val="center"/>
          </w:tcPr>
          <w:p w14:paraId="5CB58D8D">
            <w:pPr>
              <w:jc w:val="center"/>
              <w:rPr>
                <w:rFonts w:hint="eastAsia" w:ascii="宋体" w:hAnsi="宋体" w:eastAsia="宋体" w:cs="宋体"/>
                <w:sz w:val="22"/>
              </w:rPr>
            </w:pPr>
            <w:r>
              <w:rPr>
                <w:rFonts w:hint="eastAsia" w:ascii="宋体" w:hAnsi="宋体" w:eastAsia="宋体" w:cs="宋体"/>
                <w:sz w:val="22"/>
              </w:rPr>
              <w:t>规格参数</w:t>
            </w:r>
          </w:p>
        </w:tc>
        <w:tc>
          <w:tcPr>
            <w:tcW w:w="1077" w:type="dxa"/>
            <w:vAlign w:val="center"/>
          </w:tcPr>
          <w:p w14:paraId="7A89AC63">
            <w:pPr>
              <w:jc w:val="center"/>
              <w:rPr>
                <w:rFonts w:hint="eastAsia" w:ascii="宋体" w:hAnsi="宋体" w:eastAsia="宋体" w:cs="宋体"/>
                <w:sz w:val="22"/>
              </w:rPr>
            </w:pPr>
            <w:r>
              <w:rPr>
                <w:rFonts w:hint="eastAsia" w:ascii="宋体" w:hAnsi="宋体" w:eastAsia="宋体" w:cs="宋体"/>
                <w:sz w:val="22"/>
              </w:rPr>
              <w:t>数量</w:t>
            </w:r>
          </w:p>
        </w:tc>
        <w:tc>
          <w:tcPr>
            <w:tcW w:w="1077" w:type="dxa"/>
            <w:vAlign w:val="center"/>
          </w:tcPr>
          <w:p w14:paraId="49A92184">
            <w:pPr>
              <w:jc w:val="center"/>
              <w:rPr>
                <w:rFonts w:hint="eastAsia" w:ascii="宋体" w:hAnsi="宋体" w:eastAsia="宋体" w:cs="宋体"/>
                <w:sz w:val="22"/>
              </w:rPr>
            </w:pPr>
            <w:r>
              <w:rPr>
                <w:rFonts w:hint="eastAsia" w:ascii="宋体" w:hAnsi="宋体" w:eastAsia="宋体" w:cs="宋体"/>
                <w:sz w:val="22"/>
              </w:rPr>
              <w:t>单位</w:t>
            </w:r>
          </w:p>
        </w:tc>
        <w:tc>
          <w:tcPr>
            <w:tcW w:w="2163" w:type="dxa"/>
            <w:vAlign w:val="center"/>
          </w:tcPr>
          <w:p w14:paraId="1162CA38">
            <w:pPr>
              <w:jc w:val="center"/>
              <w:rPr>
                <w:rFonts w:hint="eastAsia" w:ascii="宋体" w:hAnsi="宋体" w:eastAsia="宋体" w:cs="宋体"/>
                <w:sz w:val="22"/>
              </w:rPr>
            </w:pPr>
            <w:r>
              <w:rPr>
                <w:rFonts w:hint="eastAsia" w:ascii="宋体" w:hAnsi="宋体" w:eastAsia="宋体" w:cs="宋体"/>
                <w:sz w:val="22"/>
              </w:rPr>
              <w:t>单项（万元，含13%税）</w:t>
            </w:r>
          </w:p>
        </w:tc>
        <w:tc>
          <w:tcPr>
            <w:tcW w:w="1918" w:type="dxa"/>
            <w:vAlign w:val="center"/>
          </w:tcPr>
          <w:p w14:paraId="1D67FE00">
            <w:pPr>
              <w:jc w:val="center"/>
              <w:rPr>
                <w:rFonts w:hint="eastAsia" w:ascii="宋体" w:hAnsi="宋体" w:eastAsia="宋体" w:cs="宋体"/>
                <w:sz w:val="22"/>
              </w:rPr>
            </w:pPr>
            <w:r>
              <w:rPr>
                <w:rFonts w:hint="eastAsia" w:ascii="宋体" w:hAnsi="宋体" w:eastAsia="宋体" w:cs="宋体"/>
                <w:sz w:val="22"/>
              </w:rPr>
              <w:t>小计（万元，含13%税）</w:t>
            </w:r>
          </w:p>
        </w:tc>
        <w:tc>
          <w:tcPr>
            <w:tcW w:w="1154" w:type="dxa"/>
            <w:vAlign w:val="center"/>
          </w:tcPr>
          <w:p w14:paraId="7E7AB90F">
            <w:pPr>
              <w:jc w:val="center"/>
              <w:rPr>
                <w:rFonts w:hint="eastAsia" w:ascii="宋体" w:hAnsi="宋体" w:eastAsia="宋体" w:cs="宋体"/>
                <w:sz w:val="22"/>
              </w:rPr>
            </w:pPr>
            <w:r>
              <w:rPr>
                <w:rFonts w:hint="eastAsia" w:ascii="宋体" w:hAnsi="宋体" w:eastAsia="宋体" w:cs="宋体"/>
                <w:sz w:val="22"/>
              </w:rPr>
              <w:t>备注</w:t>
            </w:r>
          </w:p>
        </w:tc>
      </w:tr>
      <w:tr w14:paraId="762E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53" w:type="dxa"/>
            <w:vAlign w:val="center"/>
          </w:tcPr>
          <w:p w14:paraId="71797C92">
            <w:pPr>
              <w:adjustRightInd w:val="0"/>
              <w:snapToGrid w:val="0"/>
              <w:jc w:val="center"/>
              <w:rPr>
                <w:rFonts w:hint="eastAsia" w:ascii="宋体" w:hAnsi="宋体" w:eastAsia="宋体" w:cs="宋体"/>
                <w:sz w:val="22"/>
              </w:rPr>
            </w:pPr>
            <w:r>
              <w:rPr>
                <w:rFonts w:hint="eastAsia" w:ascii="宋体" w:hAnsi="宋体" w:eastAsia="宋体" w:cs="宋体"/>
                <w:szCs w:val="21"/>
                <w:lang w:val="en-US" w:eastAsia="zh-CN"/>
              </w:rPr>
              <w:t>1</w:t>
            </w:r>
          </w:p>
        </w:tc>
        <w:tc>
          <w:tcPr>
            <w:tcW w:w="1130" w:type="dxa"/>
            <w:vAlign w:val="center"/>
          </w:tcPr>
          <w:p w14:paraId="182832DD">
            <w:pPr>
              <w:adjustRightInd w:val="0"/>
              <w:snapToGrid w:val="0"/>
              <w:jc w:val="center"/>
              <w:rPr>
                <w:rFonts w:hint="eastAsia" w:ascii="宋体" w:hAnsi="宋体" w:eastAsia="宋体" w:cs="宋体"/>
                <w:sz w:val="22"/>
              </w:rPr>
            </w:pPr>
            <w:r>
              <w:rPr>
                <w:rFonts w:hint="eastAsia" w:ascii="宋体" w:hAnsi="宋体" w:eastAsia="宋体" w:cs="宋体"/>
                <w:kern w:val="0"/>
                <w:szCs w:val="21"/>
                <w:lang w:val="en-US" w:eastAsia="zh-CN"/>
              </w:rPr>
              <w:t>移动式龙门架葫芦吊主体</w:t>
            </w:r>
          </w:p>
        </w:tc>
        <w:tc>
          <w:tcPr>
            <w:tcW w:w="4535" w:type="dxa"/>
            <w:vAlign w:val="center"/>
          </w:tcPr>
          <w:p w14:paraId="2DB09B8E">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1.额定起重：5T</w:t>
            </w:r>
          </w:p>
          <w:p w14:paraId="54D064A0">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2.跨度4米，提升高度5米</w:t>
            </w:r>
          </w:p>
          <w:p w14:paraId="3322D4D2">
            <w:pPr>
              <w:keepNext w:val="0"/>
              <w:keepLines w:val="0"/>
              <w:pageBreakBefore w:val="0"/>
              <w:widowControl w:val="0"/>
              <w:numPr>
                <w:ilvl w:val="0"/>
                <w:numId w:val="0"/>
              </w:numPr>
              <w:kinsoku/>
              <w:wordWrap/>
              <w:overflowPunct/>
              <w:topLinePunct w:val="0"/>
              <w:autoSpaceDE/>
              <w:autoSpaceDN/>
              <w:bidi w:val="0"/>
              <w:adjustRightInd w:val="0"/>
              <w:snapToGrid w:val="0"/>
              <w:ind w:firstLine="0" w:firstLineChars="0"/>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3.可电动走行和横移，遥控升降</w:t>
            </w:r>
          </w:p>
          <w:p w14:paraId="1F8480A3">
            <w:pPr>
              <w:pStyle w:val="2"/>
              <w:ind w:left="0" w:leftChars="0" w:firstLine="0" w:firstLineChars="0"/>
              <w:rPr>
                <w:rFonts w:hint="default"/>
                <w:lang w:val="en-US"/>
              </w:rPr>
            </w:pPr>
            <w:r>
              <w:rPr>
                <w:rFonts w:hint="eastAsia" w:ascii="宋体" w:hAnsi="宋体" w:eastAsia="宋体" w:cs="宋体"/>
                <w:szCs w:val="21"/>
                <w:lang w:val="en-US" w:eastAsia="zh-CN"/>
              </w:rPr>
              <w:t>4.轮式走行</w:t>
            </w:r>
          </w:p>
        </w:tc>
        <w:tc>
          <w:tcPr>
            <w:tcW w:w="1077" w:type="dxa"/>
            <w:vAlign w:val="center"/>
          </w:tcPr>
          <w:p w14:paraId="4D3C1BA2">
            <w:pPr>
              <w:adjustRightInd w:val="0"/>
              <w:snapToGrid w:val="0"/>
              <w:jc w:val="center"/>
              <w:rPr>
                <w:rFonts w:hint="eastAsia" w:ascii="宋体" w:hAnsi="宋体" w:eastAsia="宋体" w:cs="宋体"/>
                <w:sz w:val="22"/>
              </w:rPr>
            </w:pPr>
            <w:r>
              <w:rPr>
                <w:rFonts w:hint="eastAsia" w:ascii="宋体" w:hAnsi="宋体" w:eastAsia="宋体" w:cs="宋体"/>
                <w:szCs w:val="21"/>
                <w:lang w:val="en-US" w:eastAsia="zh-CN"/>
              </w:rPr>
              <w:t>1</w:t>
            </w:r>
          </w:p>
        </w:tc>
        <w:tc>
          <w:tcPr>
            <w:tcW w:w="1077" w:type="dxa"/>
            <w:vAlign w:val="center"/>
          </w:tcPr>
          <w:p w14:paraId="1762E6EA">
            <w:pPr>
              <w:adjustRightInd w:val="0"/>
              <w:snapToGrid w:val="0"/>
              <w:jc w:val="center"/>
              <w:rPr>
                <w:rFonts w:hint="eastAsia" w:ascii="宋体" w:hAnsi="宋体" w:eastAsia="宋体" w:cs="宋体"/>
                <w:sz w:val="22"/>
              </w:rPr>
            </w:pPr>
            <w:r>
              <w:rPr>
                <w:rFonts w:hint="eastAsia" w:ascii="宋体" w:hAnsi="宋体" w:eastAsia="宋体" w:cs="宋体"/>
                <w:szCs w:val="21"/>
                <w:lang w:val="en-US" w:eastAsia="zh-CN"/>
              </w:rPr>
              <w:t>台</w:t>
            </w:r>
          </w:p>
        </w:tc>
        <w:tc>
          <w:tcPr>
            <w:tcW w:w="2163" w:type="dxa"/>
            <w:vAlign w:val="center"/>
          </w:tcPr>
          <w:p w14:paraId="69A9E24D">
            <w:pPr>
              <w:adjustRightInd w:val="0"/>
              <w:snapToGrid w:val="0"/>
              <w:jc w:val="center"/>
              <w:rPr>
                <w:rFonts w:hint="eastAsia" w:ascii="宋体" w:hAnsi="宋体" w:eastAsia="宋体" w:cs="宋体"/>
                <w:sz w:val="22"/>
              </w:rPr>
            </w:pPr>
          </w:p>
        </w:tc>
        <w:tc>
          <w:tcPr>
            <w:tcW w:w="1918" w:type="dxa"/>
            <w:vAlign w:val="center"/>
          </w:tcPr>
          <w:p w14:paraId="325808EA">
            <w:pPr>
              <w:jc w:val="center"/>
              <w:rPr>
                <w:rFonts w:hint="eastAsia" w:ascii="宋体" w:hAnsi="宋体" w:eastAsia="宋体" w:cs="宋体"/>
                <w:sz w:val="22"/>
              </w:rPr>
            </w:pPr>
          </w:p>
        </w:tc>
        <w:tc>
          <w:tcPr>
            <w:tcW w:w="1154" w:type="dxa"/>
            <w:vAlign w:val="center"/>
          </w:tcPr>
          <w:p w14:paraId="7F3CBB50">
            <w:pPr>
              <w:adjustRightInd w:val="0"/>
              <w:snapToGrid w:val="0"/>
              <w:jc w:val="center"/>
              <w:rPr>
                <w:rFonts w:hint="eastAsia" w:ascii="宋体" w:hAnsi="宋体" w:eastAsia="宋体" w:cs="宋体"/>
                <w:color w:val="000000"/>
                <w:kern w:val="2"/>
                <w:sz w:val="21"/>
                <w:szCs w:val="21"/>
                <w:lang w:val="en-US" w:eastAsia="zh-CN" w:bidi="ar-SA"/>
              </w:rPr>
            </w:pPr>
            <w:r>
              <w:rPr>
                <w:rFonts w:hint="default" w:ascii="宋体" w:hAnsi="宋体" w:eastAsia="宋体" w:cs="宋体"/>
                <w:color w:val="000000"/>
                <w:szCs w:val="21"/>
                <w:lang w:val="en-US"/>
              </w:rPr>
              <w:t>需完成特种设备备案</w:t>
            </w:r>
          </w:p>
        </w:tc>
      </w:tr>
      <w:tr w14:paraId="0EB6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0835" w:type="dxa"/>
            <w:gridSpan w:val="6"/>
            <w:vAlign w:val="center"/>
          </w:tcPr>
          <w:p w14:paraId="1AD5C0CF">
            <w:pPr>
              <w:jc w:val="center"/>
              <w:rPr>
                <w:rFonts w:hint="eastAsia" w:ascii="宋体" w:hAnsi="宋体" w:eastAsia="宋体" w:cs="宋体"/>
                <w:b/>
                <w:bCs/>
                <w:sz w:val="22"/>
              </w:rPr>
            </w:pPr>
            <w:r>
              <w:rPr>
                <w:rFonts w:hint="eastAsia" w:ascii="宋体" w:hAnsi="宋体" w:eastAsia="宋体" w:cs="宋体"/>
                <w:b/>
                <w:bCs/>
                <w:sz w:val="22"/>
              </w:rPr>
              <w:t>总价（万元，含13%税</w:t>
            </w:r>
            <w:r>
              <w:rPr>
                <w:rFonts w:hint="eastAsia" w:ascii="宋体" w:hAnsi="宋体" w:eastAsia="宋体" w:cs="宋体"/>
                <w:b/>
                <w:bCs/>
                <w:sz w:val="22"/>
                <w:lang w:eastAsia="zh-CN"/>
              </w:rPr>
              <w:t>，</w:t>
            </w:r>
            <w:r>
              <w:rPr>
                <w:rFonts w:hint="eastAsia" w:ascii="宋体" w:hAnsi="宋体" w:eastAsia="宋体" w:cs="宋体"/>
                <w:b/>
                <w:bCs/>
                <w:sz w:val="22"/>
                <w:lang w:val="en-US" w:eastAsia="zh-CN"/>
              </w:rPr>
              <w:t>含运费</w:t>
            </w:r>
            <w:r>
              <w:rPr>
                <w:rFonts w:hint="eastAsia" w:ascii="宋体" w:hAnsi="宋体" w:eastAsia="宋体" w:cs="宋体"/>
                <w:b/>
                <w:bCs/>
                <w:sz w:val="22"/>
              </w:rPr>
              <w:t>）</w:t>
            </w:r>
          </w:p>
        </w:tc>
        <w:tc>
          <w:tcPr>
            <w:tcW w:w="1918" w:type="dxa"/>
            <w:vAlign w:val="center"/>
          </w:tcPr>
          <w:p w14:paraId="65C0293C">
            <w:pPr>
              <w:jc w:val="center"/>
              <w:rPr>
                <w:rFonts w:hint="eastAsia" w:ascii="宋体" w:hAnsi="宋体" w:eastAsia="宋体" w:cs="宋体"/>
                <w:sz w:val="22"/>
              </w:rPr>
            </w:pPr>
          </w:p>
        </w:tc>
        <w:tc>
          <w:tcPr>
            <w:tcW w:w="1154" w:type="dxa"/>
            <w:vAlign w:val="center"/>
          </w:tcPr>
          <w:p w14:paraId="4D0F6C52">
            <w:pPr>
              <w:jc w:val="center"/>
              <w:rPr>
                <w:rFonts w:hint="eastAsia" w:ascii="宋体" w:hAnsi="宋体" w:eastAsia="宋体" w:cs="宋体"/>
                <w:sz w:val="22"/>
              </w:rPr>
            </w:pPr>
          </w:p>
        </w:tc>
      </w:tr>
    </w:tbl>
    <w:p w14:paraId="23FB39ED">
      <w:pPr>
        <w:rPr>
          <w:rFonts w:hint="eastAsia" w:ascii="宋体" w:hAnsi="宋体" w:eastAsia="宋体" w:cs="宋体"/>
          <w:kern w:val="0"/>
          <w:sz w:val="22"/>
        </w:rPr>
      </w:pPr>
    </w:p>
    <w:p w14:paraId="10C034BB">
      <w:pPr>
        <w:pStyle w:val="2"/>
        <w:rPr>
          <w:rFonts w:hint="eastAsia" w:ascii="宋体" w:hAnsi="宋体" w:eastAsia="宋体" w:cs="宋体"/>
          <w:kern w:val="0"/>
          <w:sz w:val="22"/>
        </w:rPr>
      </w:pPr>
    </w:p>
    <w:p w14:paraId="72C11493">
      <w:pPr>
        <w:rPr>
          <w:rFonts w:hint="eastAsia" w:ascii="宋体" w:hAnsi="宋体" w:eastAsia="宋体" w:cs="宋体"/>
          <w:kern w:val="0"/>
          <w:sz w:val="22"/>
        </w:rPr>
      </w:pPr>
      <w:r>
        <w:rPr>
          <w:rFonts w:hint="eastAsia" w:ascii="宋体" w:hAnsi="宋体" w:eastAsia="宋体" w:cs="宋体"/>
          <w:kern w:val="0"/>
          <w:sz w:val="22"/>
        </w:rPr>
        <w:t>注：</w:t>
      </w:r>
    </w:p>
    <w:p w14:paraId="116C875B">
      <w:pPr>
        <w:numPr>
          <w:ilvl w:val="0"/>
          <w:numId w:val="5"/>
        </w:numPr>
        <w:rPr>
          <w:rFonts w:hint="eastAsia" w:ascii="宋体" w:hAnsi="宋体" w:eastAsia="宋体" w:cs="宋体"/>
          <w:kern w:val="0"/>
          <w:sz w:val="22"/>
        </w:rPr>
      </w:pPr>
      <w:r>
        <w:rPr>
          <w:rFonts w:hint="eastAsia" w:ascii="宋体" w:hAnsi="宋体" w:eastAsia="宋体" w:cs="宋体"/>
          <w:kern w:val="0"/>
          <w:sz w:val="22"/>
        </w:rPr>
        <w:t>报价有效期：自公告发布之日起，三个月内。</w:t>
      </w:r>
    </w:p>
    <w:p w14:paraId="24EC45A5">
      <w:pPr>
        <w:numPr>
          <w:ilvl w:val="0"/>
          <w:numId w:val="5"/>
        </w:numPr>
        <w:rPr>
          <w:rFonts w:hint="eastAsia" w:ascii="宋体" w:hAnsi="宋体" w:eastAsia="宋体" w:cs="宋体"/>
          <w:sz w:val="22"/>
        </w:rPr>
      </w:pPr>
      <w:r>
        <w:rPr>
          <w:rFonts w:hint="eastAsia" w:ascii="宋体" w:hAnsi="宋体" w:eastAsia="宋体" w:cs="宋体"/>
          <w:kern w:val="0"/>
          <w:sz w:val="22"/>
        </w:rPr>
        <w:t>货币单位：人民币元。</w:t>
      </w:r>
    </w:p>
    <w:p w14:paraId="3075FBC2">
      <w:pPr>
        <w:numPr>
          <w:ilvl w:val="0"/>
          <w:numId w:val="5"/>
        </w:numPr>
        <w:rPr>
          <w:rFonts w:hint="eastAsia" w:ascii="宋体" w:hAnsi="宋体" w:eastAsia="宋体" w:cs="宋体"/>
          <w:sz w:val="22"/>
        </w:rPr>
      </w:pPr>
      <w:r>
        <w:rPr>
          <w:rFonts w:hint="eastAsia" w:ascii="宋体" w:hAnsi="宋体" w:eastAsia="宋体" w:cs="宋体"/>
          <w:kern w:val="0"/>
          <w:sz w:val="22"/>
        </w:rPr>
        <w:t>上</w:t>
      </w:r>
      <w:r>
        <w:rPr>
          <w:rFonts w:hint="eastAsia" w:ascii="宋体" w:hAnsi="宋体" w:eastAsia="宋体" w:cs="宋体"/>
          <w:sz w:val="22"/>
        </w:rPr>
        <w:t>表格式仅供参考，报价单位可结合实际情况细化内容及对应报价。</w:t>
      </w:r>
    </w:p>
    <w:p w14:paraId="488269F1">
      <w:pPr>
        <w:spacing w:line="360" w:lineRule="auto"/>
        <w:ind w:firstLine="4180" w:firstLineChars="1900"/>
        <w:jc w:val="left"/>
        <w:rPr>
          <w:rFonts w:hint="eastAsia" w:ascii="宋体" w:hAnsi="宋体" w:eastAsia="宋体" w:cs="宋体"/>
          <w:sz w:val="22"/>
          <w:szCs w:val="24"/>
        </w:rPr>
      </w:pPr>
    </w:p>
    <w:p w14:paraId="09ECCBB1">
      <w:pPr>
        <w:spacing w:line="360" w:lineRule="auto"/>
        <w:ind w:firstLine="10120" w:firstLineChars="46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10598D7C">
      <w:pPr>
        <w:spacing w:line="360" w:lineRule="auto"/>
        <w:ind w:firstLine="440" w:firstLineChars="200"/>
        <w:jc w:val="right"/>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25D320B6">
      <w:pPr>
        <w:rPr>
          <w:rFonts w:hint="eastAsia" w:ascii="宋体" w:hAnsi="宋体" w:eastAsia="宋体" w:cs="宋体"/>
        </w:rPr>
      </w:pPr>
    </w:p>
    <w:p w14:paraId="04832BFE">
      <w:pPr>
        <w:keepNext/>
        <w:keepLines/>
        <w:pageBreakBefore/>
        <w:spacing w:before="280" w:after="290" w:line="377" w:lineRule="auto"/>
        <w:jc w:val="center"/>
        <w:outlineLvl w:val="3"/>
        <w:rPr>
          <w:rFonts w:hint="eastAsia" w:ascii="宋体" w:hAnsi="宋体" w:eastAsia="宋体" w:cs="宋体"/>
          <w:b/>
          <w:bCs/>
          <w:sz w:val="28"/>
          <w:szCs w:val="28"/>
        </w:rPr>
        <w:sectPr>
          <w:pgSz w:w="16838" w:h="11906" w:orient="landscape"/>
          <w:pgMar w:top="1803" w:right="1440" w:bottom="1803" w:left="1440" w:header="851" w:footer="992" w:gutter="0"/>
          <w:cols w:space="0" w:num="1"/>
          <w:docGrid w:type="lines" w:linePitch="319" w:charSpace="0"/>
        </w:sectPr>
      </w:pPr>
    </w:p>
    <w:p w14:paraId="19E9EFE8">
      <w:pPr>
        <w:keepNext/>
        <w:keepLines/>
        <w:pageBreakBefore/>
        <w:spacing w:before="280" w:after="290" w:line="377" w:lineRule="auto"/>
        <w:jc w:val="center"/>
        <w:outlineLvl w:val="3"/>
        <w:rPr>
          <w:rFonts w:hint="eastAsia" w:ascii="宋体" w:hAnsi="宋体" w:eastAsia="宋体" w:cs="宋体"/>
          <w:b/>
          <w:bCs/>
          <w:sz w:val="28"/>
          <w:szCs w:val="28"/>
        </w:rPr>
      </w:pPr>
      <w:r>
        <w:rPr>
          <w:rFonts w:hint="eastAsia" w:ascii="宋体" w:hAnsi="宋体" w:eastAsia="宋体" w:cs="宋体"/>
          <w:b/>
          <w:bCs/>
          <w:sz w:val="28"/>
          <w:szCs w:val="28"/>
        </w:rPr>
        <w:t>二、承诺函</w:t>
      </w:r>
    </w:p>
    <w:p w14:paraId="5ED4576E">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70C25202">
      <w:pPr>
        <w:spacing w:line="360" w:lineRule="auto"/>
        <w:ind w:firstLine="420" w:firstLineChars="200"/>
        <w:rPr>
          <w:rFonts w:hint="eastAsia" w:ascii="宋体" w:hAnsi="宋体" w:eastAsia="宋体" w:cs="宋体"/>
          <w:bCs/>
          <w:szCs w:val="21"/>
        </w:rPr>
      </w:pPr>
    </w:p>
    <w:p w14:paraId="22327D0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据此函，本人代表报价单位保证，所提供的全部资料是真实的。本人承诺：</w:t>
      </w:r>
    </w:p>
    <w:p w14:paraId="5F303C5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（1）我单位符合询价公告中“报价单位资格要求”的全部要求。</w:t>
      </w:r>
    </w:p>
    <w:p w14:paraId="2D2F9FD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我单位已详细阅读询价公告中“项目需求”的全部要求，我单位提供的报价是在满足其全部要求的前提下作出的；如我单位无法全部满足“项目需求”的全部要求，将作出说明（格式自拟）；未作出任何说明的，视为全部满足。</w:t>
      </w:r>
    </w:p>
    <w:p w14:paraId="50DD9485">
      <w:pPr>
        <w:spacing w:line="360" w:lineRule="auto"/>
        <w:ind w:firstLine="420" w:firstLineChars="200"/>
        <w:rPr>
          <w:rFonts w:hint="eastAsia" w:ascii="宋体" w:hAnsi="宋体" w:eastAsia="宋体" w:cs="宋体"/>
        </w:rPr>
      </w:pPr>
      <w:r>
        <w:rPr>
          <w:rFonts w:hint="eastAsia" w:ascii="宋体" w:hAnsi="宋体" w:eastAsia="宋体" w:cs="宋体"/>
          <w:szCs w:val="21"/>
        </w:rPr>
        <w:t>（3）我单位明白，本次询价结果将可能作为</w:t>
      </w:r>
      <w:r>
        <w:rPr>
          <w:rFonts w:hint="eastAsia" w:ascii="宋体" w:hAnsi="宋体" w:eastAsia="宋体" w:cs="宋体"/>
        </w:rPr>
        <w:t>本项目招标控制价设置的参考依据。</w:t>
      </w:r>
    </w:p>
    <w:p w14:paraId="07599363">
      <w:pPr>
        <w:spacing w:line="360" w:lineRule="auto"/>
        <w:ind w:firstLine="420" w:firstLineChars="200"/>
        <w:rPr>
          <w:rFonts w:hint="eastAsia" w:ascii="宋体" w:hAnsi="宋体" w:eastAsia="宋体" w:cs="宋体"/>
        </w:rPr>
      </w:pPr>
      <w:r>
        <w:rPr>
          <w:rFonts w:hint="eastAsia" w:ascii="宋体" w:hAnsi="宋体" w:eastAsia="宋体" w:cs="宋体"/>
        </w:rPr>
        <w:t>（4）我单位承诺，本次提供的全部资料均为真实有效的。如存在恶意提供虚假资料的情形，三年内不得参加</w:t>
      </w:r>
      <w:r>
        <w:rPr>
          <w:rFonts w:hint="eastAsia" w:ascii="宋体" w:hAnsi="宋体" w:eastAsia="宋体" w:cs="宋体"/>
          <w:snapToGrid w:val="0"/>
          <w:szCs w:val="21"/>
        </w:rPr>
        <w:t>深圳市深水生态环境技术有限公司的</w:t>
      </w:r>
      <w:r>
        <w:rPr>
          <w:rFonts w:hint="eastAsia" w:ascii="宋体" w:hAnsi="宋体" w:eastAsia="宋体" w:cs="宋体"/>
        </w:rPr>
        <w:t>采购活动。</w:t>
      </w:r>
    </w:p>
    <w:p w14:paraId="6170EF72">
      <w:pPr>
        <w:spacing w:line="360" w:lineRule="auto"/>
        <w:ind w:firstLine="420" w:firstLineChars="200"/>
        <w:rPr>
          <w:rFonts w:hint="eastAsia" w:ascii="宋体" w:hAnsi="宋体" w:eastAsia="宋体" w:cs="宋体"/>
        </w:rPr>
      </w:pPr>
    </w:p>
    <w:p w14:paraId="3C5F7198">
      <w:pPr>
        <w:autoSpaceDE w:val="0"/>
        <w:autoSpaceDN w:val="0"/>
        <w:adjustRightInd w:val="0"/>
        <w:spacing w:line="360" w:lineRule="auto"/>
        <w:ind w:firstLine="480" w:firstLineChars="200"/>
        <w:jc w:val="left"/>
        <w:rPr>
          <w:rFonts w:hint="eastAsia" w:ascii="宋体" w:hAnsi="宋体" w:eastAsia="宋体" w:cs="宋体"/>
          <w:kern w:val="0"/>
          <w:sz w:val="24"/>
          <w:szCs w:val="24"/>
        </w:rPr>
      </w:pPr>
    </w:p>
    <w:p w14:paraId="61CD9B03">
      <w:pPr>
        <w:spacing w:line="360" w:lineRule="auto"/>
        <w:ind w:firstLine="4180" w:firstLineChars="1900"/>
        <w:jc w:val="left"/>
        <w:rPr>
          <w:rFonts w:hint="eastAsia" w:ascii="宋体" w:hAnsi="宋体" w:eastAsia="宋体" w:cs="宋体"/>
          <w:sz w:val="22"/>
          <w:szCs w:val="24"/>
        </w:rPr>
      </w:pPr>
      <w:r>
        <w:rPr>
          <w:rFonts w:hint="eastAsia" w:ascii="宋体" w:hAnsi="宋体" w:eastAsia="宋体" w:cs="宋体"/>
          <w:sz w:val="22"/>
          <w:szCs w:val="24"/>
        </w:rPr>
        <w:t>报价单位（</w:t>
      </w:r>
      <w:r>
        <w:rPr>
          <w:rFonts w:hint="eastAsia" w:ascii="宋体" w:hAnsi="宋体" w:eastAsia="宋体" w:cs="宋体"/>
          <w:b/>
          <w:sz w:val="22"/>
          <w:szCs w:val="24"/>
        </w:rPr>
        <w:t>公章</w:t>
      </w:r>
      <w:r>
        <w:rPr>
          <w:rFonts w:hint="eastAsia" w:ascii="宋体" w:hAnsi="宋体" w:eastAsia="宋体" w:cs="宋体"/>
          <w:sz w:val="22"/>
          <w:szCs w:val="24"/>
        </w:rPr>
        <w:t>）：</w:t>
      </w:r>
    </w:p>
    <w:p w14:paraId="6C91ED2C">
      <w:pPr>
        <w:spacing w:line="360" w:lineRule="auto"/>
        <w:ind w:firstLine="2520" w:firstLineChars="1200"/>
        <w:jc w:val="left"/>
        <w:rPr>
          <w:rFonts w:hint="eastAsia" w:ascii="宋体" w:hAnsi="宋体" w:eastAsia="宋体" w:cs="宋体"/>
          <w:szCs w:val="24"/>
        </w:rPr>
      </w:pPr>
      <w:r>
        <w:rPr>
          <w:rFonts w:hint="eastAsia" w:ascii="宋体" w:hAnsi="宋体" w:eastAsia="宋体" w:cs="宋体"/>
          <w:szCs w:val="24"/>
        </w:rPr>
        <w:t>法定代表人或其授权委托人（</w:t>
      </w:r>
      <w:r>
        <w:rPr>
          <w:rFonts w:hint="eastAsia" w:ascii="宋体" w:hAnsi="宋体" w:eastAsia="宋体" w:cs="宋体"/>
          <w:b/>
          <w:szCs w:val="24"/>
        </w:rPr>
        <w:t>签名</w:t>
      </w:r>
      <w:r>
        <w:rPr>
          <w:rFonts w:hint="eastAsia" w:ascii="宋体" w:hAnsi="宋体" w:eastAsia="宋体" w:cs="宋体"/>
          <w:szCs w:val="24"/>
        </w:rPr>
        <w:t>）：</w:t>
      </w:r>
    </w:p>
    <w:p w14:paraId="0B69F1AE">
      <w:pPr>
        <w:spacing w:line="360" w:lineRule="auto"/>
        <w:ind w:firstLine="440" w:firstLineChars="200"/>
        <w:rPr>
          <w:rFonts w:hint="eastAsia" w:ascii="宋体" w:hAnsi="宋体" w:eastAsia="宋体" w:cs="宋体"/>
          <w:sz w:val="22"/>
          <w:szCs w:val="24"/>
        </w:rPr>
      </w:pPr>
      <w:r>
        <w:rPr>
          <w:rFonts w:hint="eastAsia" w:ascii="宋体" w:hAnsi="宋体" w:eastAsia="宋体" w:cs="宋体"/>
          <w:sz w:val="22"/>
          <w:szCs w:val="24"/>
        </w:rPr>
        <w:t xml:space="preserve">                                    </w:t>
      </w:r>
      <w:r>
        <w:rPr>
          <w:rFonts w:hint="eastAsia" w:ascii="宋体" w:hAnsi="宋体" w:eastAsia="宋体" w:cs="宋体"/>
          <w:szCs w:val="24"/>
        </w:rPr>
        <w:t xml:space="preserve">           日期：       年  月  日</w:t>
      </w:r>
    </w:p>
    <w:p w14:paraId="368F64C8">
      <w:pPr>
        <w:rPr>
          <w:rFonts w:hint="eastAsia" w:ascii="宋体" w:hAnsi="宋体" w:eastAsia="宋体" w:cs="宋体"/>
        </w:rPr>
      </w:pPr>
    </w:p>
    <w:p w14:paraId="3F06BD95">
      <w:pPr>
        <w:keepNext/>
        <w:keepLines/>
        <w:pageBreakBefore/>
        <w:spacing w:before="280" w:after="290" w:line="377" w:lineRule="auto"/>
        <w:jc w:val="center"/>
        <w:outlineLvl w:val="3"/>
        <w:rPr>
          <w:rFonts w:hint="eastAsia" w:ascii="宋体" w:hAnsi="宋体" w:eastAsia="宋体" w:cs="宋体"/>
          <w:b/>
          <w:bCs/>
          <w:sz w:val="28"/>
          <w:szCs w:val="28"/>
        </w:rPr>
      </w:pPr>
      <w:bookmarkStart w:id="86" w:name="_Toc78188135"/>
      <w:bookmarkStart w:id="87" w:name="_Toc86250221"/>
      <w:bookmarkStart w:id="88" w:name="_Toc78188237"/>
      <w:bookmarkStart w:id="89" w:name="_Toc76993859"/>
      <w:r>
        <w:rPr>
          <w:rFonts w:hint="eastAsia" w:ascii="宋体" w:hAnsi="宋体" w:eastAsia="宋体" w:cs="宋体"/>
          <w:b/>
          <w:bCs/>
          <w:sz w:val="28"/>
          <w:szCs w:val="28"/>
        </w:rPr>
        <w:t>三、营业执照、业绩证明</w:t>
      </w:r>
    </w:p>
    <w:p w14:paraId="16873E7B">
      <w:pPr>
        <w:jc w:val="center"/>
        <w:rPr>
          <w:rFonts w:hint="eastAsia" w:ascii="宋体" w:hAnsi="宋体" w:eastAsia="宋体" w:cs="宋体"/>
        </w:rPr>
      </w:pPr>
      <w:r>
        <w:rPr>
          <w:rFonts w:hint="eastAsia" w:ascii="宋体" w:hAnsi="宋体" w:eastAsia="宋体" w:cs="宋体"/>
        </w:rPr>
        <w:t>（请提供报价单位的营业执照、企业资质扫描件</w:t>
      </w:r>
      <w:r>
        <w:rPr>
          <w:rFonts w:hint="eastAsia" w:ascii="宋体" w:hAnsi="宋体" w:eastAsia="宋体" w:cs="宋体"/>
          <w:lang w:eastAsia="zh-CN"/>
        </w:rPr>
        <w:t>、</w:t>
      </w:r>
      <w:r>
        <w:rPr>
          <w:rFonts w:hint="eastAsia" w:ascii="宋体" w:hAnsi="宋体" w:eastAsia="宋体" w:cs="宋体"/>
          <w:lang w:val="en-US" w:eastAsia="zh-CN"/>
        </w:rPr>
        <w:t>业绩证明文件</w:t>
      </w:r>
      <w:r>
        <w:rPr>
          <w:rFonts w:hint="eastAsia" w:ascii="宋体" w:hAnsi="宋体" w:eastAsia="宋体" w:cs="宋体"/>
        </w:rPr>
        <w:t>并加盖公章）</w:t>
      </w:r>
    </w:p>
    <w:p w14:paraId="0239DDEE">
      <w:pPr>
        <w:keepNext/>
        <w:keepLines/>
        <w:pageBreakBefore/>
        <w:spacing w:before="280" w:after="290" w:line="377" w:lineRule="auto"/>
        <w:jc w:val="center"/>
        <w:outlineLvl w:val="3"/>
        <w:rPr>
          <w:rFonts w:hint="eastAsia" w:ascii="宋体" w:hAnsi="宋体" w:eastAsia="宋体" w:cs="宋体"/>
          <w:b/>
          <w:bCs/>
          <w:sz w:val="32"/>
          <w:szCs w:val="32"/>
        </w:rPr>
      </w:pPr>
      <w:r>
        <w:rPr>
          <w:rFonts w:hint="eastAsia" w:ascii="宋体" w:hAnsi="宋体" w:eastAsia="宋体" w:cs="宋体"/>
          <w:b/>
          <w:bCs/>
          <w:sz w:val="28"/>
          <w:szCs w:val="28"/>
        </w:rPr>
        <w:t>四、法定代表人资格证明书</w:t>
      </w:r>
      <w:bookmarkEnd w:id="86"/>
      <w:bookmarkEnd w:id="87"/>
      <w:bookmarkEnd w:id="88"/>
      <w:bookmarkEnd w:id="89"/>
    </w:p>
    <w:p w14:paraId="73601D78">
      <w:pPr>
        <w:tabs>
          <w:tab w:val="left" w:pos="7560"/>
        </w:tabs>
        <w:snapToGrid w:val="0"/>
        <w:spacing w:line="360" w:lineRule="auto"/>
        <w:ind w:firstLine="480"/>
        <w:jc w:val="center"/>
        <w:rPr>
          <w:rFonts w:hint="eastAsia" w:ascii="宋体" w:hAnsi="宋体" w:eastAsia="宋体" w:cs="宋体"/>
          <w:sz w:val="24"/>
        </w:rPr>
      </w:pPr>
      <w:bookmarkStart w:id="90" w:name="_Toc78188238"/>
      <w:bookmarkStart w:id="91" w:name="_Toc86250222"/>
      <w:bookmarkStart w:id="92" w:name="_Toc76993860"/>
      <w:bookmarkStart w:id="93" w:name="_Toc78188136"/>
      <w:r>
        <w:rPr>
          <w:rFonts w:hint="eastAsia" w:ascii="宋体" w:hAnsi="宋体" w:eastAsia="宋体" w:cs="宋体"/>
          <w:sz w:val="24"/>
        </w:rPr>
        <w:t>法定代表人资格证明书</w:t>
      </w:r>
    </w:p>
    <w:p w14:paraId="18F7886D">
      <w:pPr>
        <w:tabs>
          <w:tab w:val="left" w:pos="7560"/>
        </w:tabs>
        <w:snapToGrid w:val="0"/>
        <w:spacing w:line="360" w:lineRule="auto"/>
        <w:ind w:firstLine="420" w:firstLineChars="200"/>
        <w:rPr>
          <w:rFonts w:hint="eastAsia" w:ascii="宋体" w:hAnsi="宋体" w:eastAsia="宋体" w:cs="宋体"/>
          <w:szCs w:val="21"/>
        </w:rPr>
      </w:pPr>
    </w:p>
    <w:p w14:paraId="2CEED8A1">
      <w:pPr>
        <w:pStyle w:val="12"/>
        <w:snapToGrid w:val="0"/>
        <w:spacing w:after="0" w:line="360" w:lineRule="auto"/>
        <w:rPr>
          <w:rFonts w:hint="eastAsia" w:ascii="宋体" w:hAnsi="宋体" w:eastAsia="宋体" w:cs="宋体"/>
        </w:rPr>
      </w:pPr>
    </w:p>
    <w:p w14:paraId="403976E7">
      <w:pPr>
        <w:tabs>
          <w:tab w:val="left" w:pos="7560"/>
        </w:tabs>
        <w:snapToGrid w:val="0"/>
        <w:spacing w:line="360" w:lineRule="auto"/>
        <w:ind w:firstLine="420" w:firstLineChars="200"/>
        <w:rPr>
          <w:rFonts w:hint="eastAsia" w:ascii="宋体" w:hAnsi="宋体" w:eastAsia="宋体" w:cs="宋体"/>
          <w:szCs w:val="21"/>
        </w:rPr>
      </w:pPr>
    </w:p>
    <w:p w14:paraId="3B2356F8">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报价单位名称：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9B55C57">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9CF29B5">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u w:val="single"/>
          <w:bdr w:val="single" w:color="auto" w:sz="4" w:space="0"/>
        </w:rPr>
        <w:t xml:space="preserve">      </w:t>
      </w:r>
      <w:r>
        <w:rPr>
          <w:rFonts w:hint="eastAsia" w:ascii="宋体" w:hAnsi="宋体" w:eastAsia="宋体" w:cs="宋体"/>
          <w:szCs w:val="21"/>
        </w:rPr>
        <w:t xml:space="preserve">      </w:t>
      </w:r>
    </w:p>
    <w:p w14:paraId="048660D1">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（投标人名称）的法定代表人（单位负责人）。</w:t>
      </w:r>
    </w:p>
    <w:p w14:paraId="4609A3FC">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特此证明。</w:t>
      </w:r>
    </w:p>
    <w:p w14:paraId="33FB98A8">
      <w:pPr>
        <w:tabs>
          <w:tab w:val="left" w:pos="7560"/>
        </w:tabs>
        <w:snapToGrid w:val="0"/>
        <w:spacing w:line="360" w:lineRule="auto"/>
        <w:ind w:firstLine="420" w:firstLineChars="200"/>
        <w:rPr>
          <w:rFonts w:hint="eastAsia" w:ascii="宋体" w:hAnsi="宋体" w:eastAsia="宋体" w:cs="宋体"/>
          <w:szCs w:val="21"/>
        </w:rPr>
      </w:pPr>
    </w:p>
    <w:p w14:paraId="6456A013">
      <w:pPr>
        <w:tabs>
          <w:tab w:val="left" w:pos="7560"/>
        </w:tabs>
        <w:snapToGrid w:val="0"/>
        <w:spacing w:line="360" w:lineRule="auto"/>
        <w:ind w:firstLine="420" w:firstLineChars="200"/>
        <w:rPr>
          <w:rFonts w:hint="eastAsia" w:ascii="宋体" w:hAnsi="宋体" w:eastAsia="宋体" w:cs="宋体"/>
          <w:szCs w:val="21"/>
        </w:rPr>
      </w:pPr>
    </w:p>
    <w:p w14:paraId="5B970C1E">
      <w:pPr>
        <w:widowControl/>
        <w:snapToGrid w:val="0"/>
        <w:spacing w:line="360" w:lineRule="auto"/>
        <w:ind w:firstLine="480"/>
        <w:jc w:val="left"/>
        <w:rPr>
          <w:rFonts w:hint="eastAsia" w:ascii="宋体" w:hAnsi="宋体" w:eastAsia="宋体" w:cs="宋体"/>
          <w:kern w:val="0"/>
          <w:szCs w:val="21"/>
        </w:rPr>
      </w:pPr>
    </w:p>
    <w:p w14:paraId="687A2FC8">
      <w:pPr>
        <w:widowControl/>
        <w:snapToGrid w:val="0"/>
        <w:spacing w:line="360" w:lineRule="auto"/>
        <w:ind w:firstLine="480"/>
        <w:jc w:val="center"/>
        <w:rPr>
          <w:rFonts w:hint="eastAsia" w:ascii="宋体" w:hAnsi="宋体" w:eastAsia="宋体" w:cs="宋体"/>
          <w:kern w:val="0"/>
          <w:szCs w:val="21"/>
        </w:rPr>
      </w:pPr>
    </w:p>
    <w:p w14:paraId="16982904">
      <w:pPr>
        <w:widowControl/>
        <w:snapToGrid w:val="0"/>
        <w:spacing w:line="360" w:lineRule="auto"/>
        <w:ind w:firstLine="480"/>
        <w:jc w:val="left"/>
        <w:rPr>
          <w:rFonts w:hint="eastAsia" w:ascii="宋体" w:hAnsi="宋体" w:eastAsia="宋体" w:cs="宋体"/>
          <w:kern w:val="0"/>
          <w:szCs w:val="21"/>
        </w:rPr>
      </w:pPr>
    </w:p>
    <w:p w14:paraId="521ED1BC">
      <w:pPr>
        <w:widowControl/>
        <w:snapToGrid w:val="0"/>
        <w:spacing w:line="360" w:lineRule="auto"/>
        <w:ind w:firstLine="480"/>
        <w:jc w:val="left"/>
        <w:rPr>
          <w:rFonts w:hint="eastAsia" w:ascii="宋体" w:hAnsi="宋体" w:eastAsia="宋体" w:cs="宋体"/>
          <w:kern w:val="0"/>
          <w:szCs w:val="21"/>
        </w:rPr>
      </w:pPr>
    </w:p>
    <w:p w14:paraId="01CD7544">
      <w:pPr>
        <w:widowControl/>
        <w:snapToGrid w:val="0"/>
        <w:spacing w:line="360" w:lineRule="auto"/>
        <w:ind w:firstLine="480"/>
        <w:jc w:val="left"/>
        <w:rPr>
          <w:rFonts w:hint="eastAsia" w:ascii="宋体" w:hAnsi="宋体" w:eastAsia="宋体" w:cs="宋体"/>
          <w:kern w:val="0"/>
          <w:szCs w:val="21"/>
        </w:rPr>
      </w:pPr>
    </w:p>
    <w:p w14:paraId="44DDCEDF">
      <w:pPr>
        <w:widowControl/>
        <w:snapToGrid w:val="0"/>
        <w:spacing w:line="360" w:lineRule="auto"/>
        <w:ind w:firstLine="480"/>
        <w:jc w:val="left"/>
        <w:rPr>
          <w:rFonts w:hint="eastAsia" w:ascii="宋体" w:hAnsi="宋体" w:eastAsia="宋体" w:cs="宋体"/>
          <w:kern w:val="0"/>
          <w:szCs w:val="21"/>
        </w:rPr>
      </w:pPr>
    </w:p>
    <w:p w14:paraId="69E94FDF">
      <w:pPr>
        <w:widowControl/>
        <w:snapToGrid w:val="0"/>
        <w:spacing w:line="360" w:lineRule="auto"/>
        <w:ind w:firstLine="480"/>
        <w:jc w:val="left"/>
        <w:rPr>
          <w:rFonts w:hint="eastAsia" w:ascii="宋体" w:hAnsi="宋体" w:eastAsia="宋体" w:cs="宋体"/>
          <w:kern w:val="0"/>
          <w:szCs w:val="21"/>
        </w:rPr>
      </w:pPr>
    </w:p>
    <w:p w14:paraId="3B5AE755">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法定代表人身份证复印件（加盖公章）</w:t>
      </w:r>
    </w:p>
    <w:p w14:paraId="770A8FF0">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74E7DFBC">
      <w:pPr>
        <w:widowControl/>
        <w:snapToGrid w:val="0"/>
        <w:spacing w:line="360" w:lineRule="auto"/>
        <w:ind w:firstLine="480"/>
        <w:jc w:val="left"/>
        <w:rPr>
          <w:rFonts w:hint="eastAsia" w:ascii="宋体" w:hAnsi="宋体" w:eastAsia="宋体" w:cs="宋体"/>
          <w:kern w:val="0"/>
          <w:szCs w:val="21"/>
        </w:rPr>
      </w:pPr>
    </w:p>
    <w:p w14:paraId="4F032701">
      <w:pPr>
        <w:widowControl/>
        <w:snapToGrid w:val="0"/>
        <w:spacing w:line="360" w:lineRule="auto"/>
        <w:ind w:firstLine="480"/>
        <w:jc w:val="left"/>
        <w:rPr>
          <w:rFonts w:hint="eastAsia" w:ascii="宋体" w:hAnsi="宋体" w:eastAsia="宋体" w:cs="宋体"/>
          <w:kern w:val="0"/>
          <w:szCs w:val="21"/>
        </w:rPr>
      </w:pPr>
    </w:p>
    <w:p w14:paraId="5C941AB5">
      <w:pPr>
        <w:tabs>
          <w:tab w:val="left" w:pos="7560"/>
        </w:tabs>
        <w:snapToGrid w:val="0"/>
        <w:spacing w:line="360" w:lineRule="auto"/>
        <w:ind w:firstLine="480"/>
        <w:rPr>
          <w:rFonts w:hint="eastAsia" w:ascii="宋体" w:hAnsi="宋体" w:eastAsia="宋体" w:cs="宋体"/>
          <w:szCs w:val="21"/>
        </w:rPr>
      </w:pPr>
    </w:p>
    <w:p w14:paraId="136D932F">
      <w:pPr>
        <w:tabs>
          <w:tab w:val="left" w:pos="7560"/>
        </w:tabs>
        <w:snapToGrid w:val="0"/>
        <w:spacing w:line="360" w:lineRule="auto"/>
        <w:ind w:firstLine="480"/>
        <w:rPr>
          <w:rFonts w:hint="eastAsia" w:ascii="宋体" w:hAnsi="宋体" w:eastAsia="宋体" w:cs="宋体"/>
          <w:szCs w:val="21"/>
        </w:rPr>
      </w:pPr>
    </w:p>
    <w:p w14:paraId="41A9FE1F">
      <w:pPr>
        <w:tabs>
          <w:tab w:val="left" w:pos="7560"/>
        </w:tabs>
        <w:snapToGrid w:val="0"/>
        <w:spacing w:line="360" w:lineRule="auto"/>
        <w:ind w:firstLine="480"/>
        <w:rPr>
          <w:rFonts w:hint="eastAsia" w:ascii="宋体" w:hAnsi="宋体" w:eastAsia="宋体" w:cs="宋体"/>
          <w:szCs w:val="21"/>
        </w:rPr>
      </w:pPr>
    </w:p>
    <w:p w14:paraId="093D04E2">
      <w:pPr>
        <w:tabs>
          <w:tab w:val="left" w:pos="7560"/>
        </w:tabs>
        <w:snapToGrid w:val="0"/>
        <w:spacing w:line="360" w:lineRule="auto"/>
        <w:ind w:firstLine="480"/>
        <w:rPr>
          <w:rFonts w:hint="eastAsia" w:ascii="宋体" w:hAnsi="宋体" w:eastAsia="宋体" w:cs="宋体"/>
          <w:szCs w:val="21"/>
        </w:rPr>
      </w:pPr>
    </w:p>
    <w:p w14:paraId="6B39DEB7">
      <w:pPr>
        <w:pStyle w:val="12"/>
        <w:snapToGrid w:val="0"/>
        <w:spacing w:after="0" w:line="360" w:lineRule="auto"/>
        <w:rPr>
          <w:rFonts w:hint="eastAsia" w:ascii="宋体" w:hAnsi="宋体" w:eastAsia="宋体" w:cs="宋体"/>
          <w:szCs w:val="21"/>
        </w:rPr>
      </w:pPr>
    </w:p>
    <w:p w14:paraId="15E03EF4">
      <w:pPr>
        <w:tabs>
          <w:tab w:val="left" w:pos="7560"/>
        </w:tabs>
        <w:snapToGrid w:val="0"/>
        <w:spacing w:line="360" w:lineRule="auto"/>
        <w:ind w:firstLine="480"/>
        <w:jc w:val="left"/>
        <w:rPr>
          <w:rFonts w:hint="eastAsia" w:ascii="宋体" w:hAnsi="宋体" w:eastAsia="宋体" w:cs="宋体"/>
          <w:szCs w:val="21"/>
        </w:rPr>
      </w:pPr>
    </w:p>
    <w:p w14:paraId="1771A45C">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报价（盖章）：</w:t>
      </w:r>
      <w:r>
        <w:rPr>
          <w:rFonts w:hint="eastAsia" w:ascii="宋体" w:hAnsi="宋体" w:eastAsia="宋体" w:cs="宋体"/>
          <w:szCs w:val="21"/>
          <w:u w:val="single"/>
        </w:rPr>
        <w:t xml:space="preserve">                        </w:t>
      </w:r>
    </w:p>
    <w:p w14:paraId="608A8C73">
      <w:pPr>
        <w:tabs>
          <w:tab w:val="left" w:pos="7560"/>
        </w:tabs>
        <w:snapToGrid w:val="0"/>
        <w:spacing w:line="360" w:lineRule="auto"/>
        <w:ind w:firstLine="480"/>
        <w:jc w:val="left"/>
        <w:rPr>
          <w:rFonts w:hint="eastAsia" w:ascii="宋体" w:hAnsi="宋体" w:eastAsia="宋体" w:cs="宋体"/>
          <w:szCs w:val="21"/>
        </w:rPr>
      </w:pPr>
    </w:p>
    <w:p w14:paraId="5AC2065C">
      <w:pPr>
        <w:tabs>
          <w:tab w:val="left" w:pos="7560"/>
        </w:tabs>
        <w:snapToGrid w:val="0"/>
        <w:spacing w:line="360" w:lineRule="auto"/>
        <w:ind w:right="1680" w:firstLine="480"/>
        <w:jc w:val="left"/>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7A3F2200">
      <w:pPr>
        <w:keepNext/>
        <w:keepLines/>
        <w:pageBreakBefore/>
        <w:spacing w:before="280" w:after="290" w:line="377" w:lineRule="auto"/>
        <w:jc w:val="center"/>
        <w:outlineLvl w:val="3"/>
        <w:rPr>
          <w:rFonts w:hint="eastAsia" w:ascii="宋体" w:hAnsi="宋体" w:eastAsia="宋体" w:cs="宋体"/>
          <w:bCs/>
          <w:szCs w:val="32"/>
        </w:rPr>
      </w:pPr>
      <w:r>
        <w:rPr>
          <w:rFonts w:hint="eastAsia" w:ascii="宋体" w:hAnsi="宋体" w:eastAsia="宋体" w:cs="宋体"/>
          <w:b/>
          <w:bCs/>
          <w:sz w:val="28"/>
          <w:szCs w:val="28"/>
        </w:rPr>
        <w:t>五、法定代表人授权书</w:t>
      </w:r>
      <w:bookmarkEnd w:id="90"/>
      <w:bookmarkEnd w:id="91"/>
      <w:bookmarkEnd w:id="92"/>
      <w:bookmarkEnd w:id="93"/>
    </w:p>
    <w:p w14:paraId="3037208F">
      <w:pPr>
        <w:rPr>
          <w:rFonts w:hint="eastAsia" w:ascii="宋体" w:hAnsi="宋体" w:eastAsia="宋体" w:cs="宋体"/>
          <w:bCs/>
          <w:szCs w:val="21"/>
        </w:rPr>
      </w:pPr>
      <w:r>
        <w:rPr>
          <w:rFonts w:hint="eastAsia" w:ascii="宋体" w:hAnsi="宋体" w:eastAsia="宋体" w:cs="宋体"/>
          <w:bCs/>
          <w:szCs w:val="21"/>
        </w:rPr>
        <w:t>致深圳市深水生态环境技术有限公司：</w:t>
      </w:r>
    </w:p>
    <w:p w14:paraId="59800CC4">
      <w:pPr>
        <w:rPr>
          <w:rFonts w:hint="eastAsia" w:ascii="宋体" w:hAnsi="宋体" w:eastAsia="宋体" w:cs="宋体"/>
          <w:bCs/>
          <w:szCs w:val="21"/>
        </w:rPr>
      </w:pPr>
    </w:p>
    <w:p w14:paraId="2D7D1DDE">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u w:val="single"/>
        </w:rPr>
        <w:t xml:space="preserve">  （报价单位全称）  </w:t>
      </w:r>
      <w:r>
        <w:rPr>
          <w:rFonts w:hint="eastAsia" w:ascii="宋体" w:hAnsi="宋体" w:eastAsia="宋体" w:cs="宋体"/>
          <w:bCs/>
          <w:szCs w:val="21"/>
        </w:rPr>
        <w:t xml:space="preserve">的法定代表人 </w:t>
      </w:r>
      <w:r>
        <w:rPr>
          <w:rFonts w:hint="eastAsia" w:ascii="宋体" w:hAnsi="宋体" w:eastAsia="宋体" w:cs="宋体"/>
          <w:bCs/>
          <w:szCs w:val="21"/>
          <w:u w:val="single"/>
        </w:rPr>
        <w:t xml:space="preserve"> （姓名、职务）   </w:t>
      </w:r>
      <w:r>
        <w:rPr>
          <w:rFonts w:hint="eastAsia" w:ascii="宋体" w:hAnsi="宋体" w:eastAsia="宋体" w:cs="宋体"/>
          <w:bCs/>
          <w:szCs w:val="21"/>
        </w:rPr>
        <w:t>授权</w:t>
      </w:r>
      <w:r>
        <w:rPr>
          <w:rFonts w:hint="eastAsia" w:ascii="宋体" w:hAnsi="宋体" w:eastAsia="宋体" w:cs="宋体"/>
          <w:bCs/>
          <w:szCs w:val="21"/>
          <w:u w:val="single"/>
        </w:rPr>
        <w:t xml:space="preserve">   （代理人姓名、职务）</w:t>
      </w:r>
      <w:r>
        <w:rPr>
          <w:rFonts w:hint="eastAsia" w:ascii="宋体" w:hAnsi="宋体" w:eastAsia="宋体" w:cs="宋体"/>
          <w:bCs/>
          <w:szCs w:val="21"/>
        </w:rPr>
        <w:t>为本公司合法代理人，参加本次</w:t>
      </w:r>
      <w:r>
        <w:rPr>
          <w:rFonts w:hint="eastAsia" w:ascii="宋体" w:hAnsi="宋体" w:eastAsia="宋体" w:cs="宋体"/>
          <w:kern w:val="0"/>
          <w:szCs w:val="21"/>
        </w:rPr>
        <w:t>报价工作。</w:t>
      </w:r>
      <w:r>
        <w:rPr>
          <w:rFonts w:hint="eastAsia" w:ascii="宋体" w:hAnsi="宋体" w:eastAsia="宋体" w:cs="宋体"/>
          <w:bCs/>
          <w:szCs w:val="21"/>
        </w:rPr>
        <w:t>报价单位代表在本次报价过程中提供的一切文件和处理与之有关的一切事务，本公司均予以认可并对此承担责任。被授权人代表无转委权。特此授权。</w:t>
      </w:r>
    </w:p>
    <w:p w14:paraId="15562301">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本授权书于</w:t>
      </w:r>
      <w:r>
        <w:rPr>
          <w:rFonts w:hint="eastAsia" w:ascii="宋体" w:hAnsi="宋体" w:eastAsia="宋体" w:cs="宋体"/>
          <w:bCs/>
          <w:szCs w:val="21"/>
          <w:u w:val="single"/>
        </w:rPr>
        <w:t xml:space="preserve">    年   月  日</w:t>
      </w:r>
      <w:r>
        <w:rPr>
          <w:rFonts w:hint="eastAsia" w:ascii="宋体" w:hAnsi="宋体" w:eastAsia="宋体" w:cs="宋体"/>
          <w:bCs/>
          <w:szCs w:val="21"/>
        </w:rPr>
        <w:t>签字生效,特此声明。</w:t>
      </w:r>
    </w:p>
    <w:p w14:paraId="114882C8">
      <w:pPr>
        <w:spacing w:line="360" w:lineRule="auto"/>
        <w:ind w:firstLine="105" w:firstLineChars="50"/>
        <w:rPr>
          <w:rFonts w:hint="eastAsia" w:ascii="宋体" w:hAnsi="宋体" w:eastAsia="宋体" w:cs="宋体"/>
          <w:bCs/>
          <w:szCs w:val="21"/>
        </w:rPr>
      </w:pPr>
    </w:p>
    <w:p w14:paraId="1041F22B">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D514043">
      <w:pPr>
        <w:tabs>
          <w:tab w:val="left" w:pos="7560"/>
        </w:tabs>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r>
        <w:rPr>
          <w:rFonts w:hint="eastAsia" w:ascii="宋体" w:hAnsi="宋体" w:eastAsia="宋体" w:cs="宋体"/>
          <w:szCs w:val="21"/>
        </w:rPr>
        <w:t xml:space="preserve"> 职务：</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20FC40">
      <w:pPr>
        <w:rPr>
          <w:rFonts w:hint="eastAsia" w:ascii="宋体" w:hAnsi="宋体" w:eastAsia="宋体" w:cs="宋体"/>
          <w:szCs w:val="24"/>
        </w:rPr>
      </w:pPr>
    </w:p>
    <w:p w14:paraId="380CED7A">
      <w:pPr>
        <w:pStyle w:val="6"/>
        <w:rPr>
          <w:rFonts w:hint="eastAsia" w:ascii="宋体" w:hAnsi="宋体" w:eastAsia="宋体" w:cs="宋体"/>
        </w:rPr>
      </w:pPr>
    </w:p>
    <w:p w14:paraId="4718671A">
      <w:pPr>
        <w:rPr>
          <w:rFonts w:hint="eastAsia" w:ascii="宋体" w:hAnsi="宋体" w:eastAsia="宋体" w:cs="宋体"/>
        </w:rPr>
      </w:pPr>
    </w:p>
    <w:p w14:paraId="15147910">
      <w:pPr>
        <w:pStyle w:val="6"/>
        <w:rPr>
          <w:rFonts w:hint="eastAsia" w:ascii="宋体" w:hAnsi="宋体" w:eastAsia="宋体" w:cs="宋体"/>
        </w:rPr>
      </w:pPr>
    </w:p>
    <w:p w14:paraId="2610EDFB">
      <w:pPr>
        <w:rPr>
          <w:rFonts w:hint="eastAsia" w:ascii="宋体" w:hAnsi="宋体" w:eastAsia="宋体" w:cs="宋体"/>
        </w:rPr>
      </w:pPr>
    </w:p>
    <w:p w14:paraId="479047C4">
      <w:pPr>
        <w:pStyle w:val="6"/>
        <w:rPr>
          <w:rFonts w:hint="eastAsia" w:ascii="宋体" w:hAnsi="宋体" w:eastAsia="宋体" w:cs="宋体"/>
        </w:rPr>
      </w:pPr>
    </w:p>
    <w:p w14:paraId="1F667781">
      <w:pPr>
        <w:rPr>
          <w:rFonts w:hint="eastAsia" w:ascii="宋体" w:hAnsi="宋体" w:eastAsia="宋体" w:cs="宋体"/>
        </w:rPr>
      </w:pPr>
    </w:p>
    <w:p w14:paraId="3998DC6B">
      <w:pPr>
        <w:pStyle w:val="6"/>
        <w:rPr>
          <w:rFonts w:hint="eastAsia" w:ascii="宋体" w:hAnsi="宋体" w:eastAsia="宋体" w:cs="宋体"/>
        </w:rPr>
      </w:pPr>
    </w:p>
    <w:p w14:paraId="5F7E94EA">
      <w:pPr>
        <w:snapToGrid w:val="0"/>
        <w:spacing w:line="360" w:lineRule="auto"/>
        <w:ind w:firstLine="480"/>
        <w:jc w:val="center"/>
        <w:rPr>
          <w:rFonts w:hint="eastAsia" w:ascii="宋体" w:hAnsi="宋体" w:eastAsia="宋体" w:cs="宋体"/>
          <w:szCs w:val="21"/>
        </w:rPr>
      </w:pPr>
      <w:r>
        <w:rPr>
          <w:rFonts w:hint="eastAsia" w:ascii="宋体" w:hAnsi="宋体" w:eastAsia="宋体" w:cs="宋体"/>
          <w:szCs w:val="21"/>
        </w:rPr>
        <w:t>代理人身份证复印件（加盖公章）</w:t>
      </w:r>
    </w:p>
    <w:p w14:paraId="5B01FAD7">
      <w:pPr>
        <w:widowControl/>
        <w:snapToGrid w:val="0"/>
        <w:spacing w:line="360" w:lineRule="auto"/>
        <w:ind w:firstLine="480"/>
        <w:jc w:val="left"/>
        <w:rPr>
          <w:rFonts w:hint="eastAsia" w:ascii="宋体" w:hAnsi="宋体" w:eastAsia="宋体" w:cs="宋体"/>
          <w:kern w:val="0"/>
          <w:szCs w:val="21"/>
        </w:rPr>
      </w:pPr>
      <w:r>
        <w:rPr>
          <w:rFonts w:hint="eastAsia" w:ascii="宋体" w:hAnsi="宋体" w:eastAsia="宋体" w:cs="宋体"/>
          <w:kern w:val="0"/>
          <w:szCs w:val="21"/>
        </w:rPr>
        <w:t xml:space="preserve">                                        正、反面</w:t>
      </w:r>
    </w:p>
    <w:p w14:paraId="256EE091">
      <w:pPr>
        <w:rPr>
          <w:rFonts w:hint="eastAsia" w:ascii="宋体" w:hAnsi="宋体" w:eastAsia="宋体" w:cs="宋体"/>
        </w:rPr>
      </w:pPr>
    </w:p>
    <w:p w14:paraId="1CC6CAEB">
      <w:pPr>
        <w:pStyle w:val="6"/>
        <w:rPr>
          <w:rFonts w:hint="eastAsia" w:ascii="宋体" w:hAnsi="宋体" w:eastAsia="宋体" w:cs="宋体"/>
        </w:rPr>
      </w:pPr>
    </w:p>
    <w:p w14:paraId="38E470E6">
      <w:pPr>
        <w:rPr>
          <w:rFonts w:hint="eastAsia" w:ascii="宋体" w:hAnsi="宋体" w:eastAsia="宋体" w:cs="宋体"/>
        </w:rPr>
      </w:pPr>
    </w:p>
    <w:p w14:paraId="097BB4A7">
      <w:pPr>
        <w:pStyle w:val="6"/>
        <w:rPr>
          <w:rFonts w:hint="eastAsia" w:ascii="宋体" w:hAnsi="宋体" w:eastAsia="宋体" w:cs="宋体"/>
        </w:rPr>
      </w:pPr>
    </w:p>
    <w:p w14:paraId="07D4A7A2">
      <w:pPr>
        <w:rPr>
          <w:rFonts w:hint="eastAsia" w:ascii="宋体" w:hAnsi="宋体" w:eastAsia="宋体" w:cs="宋体"/>
        </w:rPr>
      </w:pPr>
    </w:p>
    <w:p w14:paraId="7B1B7B8D">
      <w:pPr>
        <w:rPr>
          <w:rFonts w:hint="eastAsia" w:ascii="宋体" w:hAnsi="宋体" w:eastAsia="宋体" w:cs="宋体"/>
        </w:rPr>
      </w:pPr>
    </w:p>
    <w:p w14:paraId="3BF0B9BC">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报价单位</w:t>
      </w:r>
      <w:r>
        <w:rPr>
          <w:rFonts w:hint="eastAsia" w:ascii="宋体" w:hAnsi="宋体" w:eastAsia="宋体" w:cs="宋体"/>
          <w:b/>
          <w:bCs/>
          <w:szCs w:val="21"/>
        </w:rPr>
        <w:t>（盖章）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EA826B5">
      <w:pPr>
        <w:tabs>
          <w:tab w:val="left" w:pos="7560"/>
        </w:tabs>
        <w:snapToGrid w:val="0"/>
        <w:spacing w:line="360" w:lineRule="auto"/>
        <w:rPr>
          <w:rFonts w:hint="eastAsia" w:ascii="宋体" w:hAnsi="宋体" w:eastAsia="宋体" w:cs="宋体"/>
          <w:szCs w:val="21"/>
        </w:rPr>
      </w:pPr>
    </w:p>
    <w:p w14:paraId="59F83838">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b/>
          <w:bCs/>
          <w:szCs w:val="21"/>
        </w:rPr>
        <w:t>（签字或盖章）</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4BC70112">
      <w:pPr>
        <w:tabs>
          <w:tab w:val="left" w:pos="7560"/>
        </w:tabs>
        <w:snapToGrid w:val="0"/>
        <w:spacing w:line="360" w:lineRule="auto"/>
        <w:rPr>
          <w:rFonts w:hint="eastAsia" w:ascii="宋体" w:hAnsi="宋体" w:eastAsia="宋体" w:cs="宋体"/>
          <w:szCs w:val="21"/>
        </w:rPr>
      </w:pPr>
    </w:p>
    <w:p w14:paraId="09F5E0AF">
      <w:pPr>
        <w:tabs>
          <w:tab w:val="left" w:pos="7560"/>
        </w:tabs>
        <w:snapToGrid w:val="0"/>
        <w:spacing w:line="360" w:lineRule="auto"/>
        <w:rPr>
          <w:rFonts w:hint="eastAsia" w:ascii="宋体" w:hAnsi="宋体" w:eastAsia="宋体" w:cs="宋体"/>
          <w:szCs w:val="21"/>
        </w:rPr>
      </w:pPr>
      <w:r>
        <w:rPr>
          <w:rFonts w:hint="eastAsia" w:ascii="宋体" w:hAnsi="宋体" w:eastAsia="宋体" w:cs="宋体"/>
          <w:szCs w:val="21"/>
        </w:rPr>
        <w:t>授权委托日期：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316B3EF8">
      <w:pPr>
        <w:rPr>
          <w:rFonts w:hint="eastAsia" w:ascii="宋体" w:hAnsi="宋体" w:eastAsia="宋体" w:cs="宋体"/>
          <w:bCs/>
          <w:szCs w:val="21"/>
        </w:rPr>
      </w:pPr>
    </w:p>
    <w:p w14:paraId="4474B18A">
      <w:pPr>
        <w:rPr>
          <w:rFonts w:hint="eastAsia" w:ascii="宋体" w:hAnsi="宋体" w:eastAsia="宋体" w:cs="宋体"/>
          <w:color w:val="auto"/>
        </w:rPr>
      </w:pPr>
      <w:r>
        <w:rPr>
          <w:rFonts w:hint="eastAsia" w:ascii="宋体" w:hAnsi="宋体" w:eastAsia="宋体" w:cs="宋体"/>
          <w:bCs/>
          <w:szCs w:val="21"/>
        </w:rPr>
        <w:t>说明：本证明书须提供</w:t>
      </w:r>
      <w:r>
        <w:rPr>
          <w:rFonts w:hint="eastAsia" w:ascii="宋体" w:hAnsi="宋体" w:eastAsia="宋体" w:cs="宋体"/>
          <w:b/>
          <w:bCs/>
          <w:szCs w:val="21"/>
        </w:rPr>
        <w:t>被授权人的身份证复印件</w:t>
      </w:r>
      <w:r>
        <w:rPr>
          <w:rFonts w:hint="eastAsia" w:ascii="宋体" w:hAnsi="宋体" w:eastAsia="宋体" w:cs="宋体"/>
          <w:bCs/>
          <w:szCs w:val="21"/>
        </w:rPr>
        <w:t>并</w:t>
      </w:r>
      <w:r>
        <w:rPr>
          <w:rFonts w:hint="eastAsia" w:ascii="宋体" w:hAnsi="宋体" w:eastAsia="宋体" w:cs="宋体"/>
          <w:b/>
          <w:bCs/>
          <w:szCs w:val="21"/>
        </w:rPr>
        <w:t>加盖公章</w:t>
      </w:r>
      <w:r>
        <w:rPr>
          <w:rFonts w:hint="eastAsia" w:ascii="宋体" w:hAnsi="宋体" w:eastAsia="宋体" w:cs="宋体"/>
          <w:bCs/>
          <w:szCs w:val="21"/>
        </w:rPr>
        <w:t>方为有效。如被授权人是法定代表人本人，则无需提供本授权书，提供《法定代表人资格证明书》即可。</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汉仪君黑-45简">
    <w:panose1 w:val="020B0604020202020204"/>
    <w:charset w:val="86"/>
    <w:family w:val="auto"/>
    <w:pitch w:val="default"/>
    <w:sig w:usb0="A00002BF" w:usb1="0ACF7CFA" w:usb2="00000016" w:usb3="00000000" w:csb0="2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463CC"/>
    <w:multiLevelType w:val="singleLevel"/>
    <w:tmpl w:val="888463CC"/>
    <w:lvl w:ilvl="0" w:tentative="0">
      <w:start w:val="1"/>
      <w:numFmt w:val="decimal"/>
      <w:lvlText w:val="%1."/>
      <w:lvlJc w:val="left"/>
      <w:pPr>
        <w:tabs>
          <w:tab w:val="left" w:pos="312"/>
        </w:tabs>
      </w:pPr>
      <w:rPr>
        <w:rFonts w:hint="default" w:ascii="宋体" w:hAnsi="宋体" w:eastAsia="宋体" w:cs="宋体"/>
        <w:b w:val="0"/>
        <w:bCs w:val="0"/>
      </w:rPr>
    </w:lvl>
  </w:abstractNum>
  <w:abstractNum w:abstractNumId="1">
    <w:nsid w:val="A5B25131"/>
    <w:multiLevelType w:val="singleLevel"/>
    <w:tmpl w:val="A5B25131"/>
    <w:lvl w:ilvl="0" w:tentative="0">
      <w:start w:val="1"/>
      <w:numFmt w:val="chineseCounting"/>
      <w:suff w:val="nothing"/>
      <w:lvlText w:val="%1、"/>
      <w:lvlJc w:val="left"/>
      <w:rPr>
        <w:rFonts w:hint="eastAsia"/>
      </w:rPr>
    </w:lvl>
  </w:abstractNum>
  <w:abstractNum w:abstractNumId="2">
    <w:nsid w:val="EE8F6EAB"/>
    <w:multiLevelType w:val="singleLevel"/>
    <w:tmpl w:val="EE8F6EAB"/>
    <w:lvl w:ilvl="0" w:tentative="0">
      <w:start w:val="1"/>
      <w:numFmt w:val="chineseCounting"/>
      <w:suff w:val="nothing"/>
      <w:lvlText w:val="（%1）"/>
      <w:lvlJc w:val="left"/>
      <w:pPr>
        <w:ind w:left="0" w:firstLine="420"/>
      </w:pPr>
      <w:rPr>
        <w:rFonts w:hint="eastAsia"/>
      </w:rPr>
    </w:lvl>
  </w:abstractNum>
  <w:abstractNum w:abstractNumId="3">
    <w:nsid w:val="29ED342C"/>
    <w:multiLevelType w:val="multilevel"/>
    <w:tmpl w:val="29ED342C"/>
    <w:lvl w:ilvl="0" w:tentative="0">
      <w:start w:val="1"/>
      <w:numFmt w:val="decimal"/>
      <w:pStyle w:val="3"/>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2A8C7D67"/>
    <w:multiLevelType w:val="multilevel"/>
    <w:tmpl w:val="2A8C7D67"/>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Dg0ZDlkZGI0N2JkOTU5ZjU2OGY4YjhjODc1ZDgifQ=="/>
  </w:docVars>
  <w:rsids>
    <w:rsidRoot w:val="0032563D"/>
    <w:rsid w:val="00033FE6"/>
    <w:rsid w:val="00050D67"/>
    <w:rsid w:val="00064F29"/>
    <w:rsid w:val="00133E29"/>
    <w:rsid w:val="00180D88"/>
    <w:rsid w:val="00233757"/>
    <w:rsid w:val="00236257"/>
    <w:rsid w:val="00240205"/>
    <w:rsid w:val="002433A3"/>
    <w:rsid w:val="00294641"/>
    <w:rsid w:val="002A7B39"/>
    <w:rsid w:val="0032563D"/>
    <w:rsid w:val="003353D5"/>
    <w:rsid w:val="003618DB"/>
    <w:rsid w:val="00385ABF"/>
    <w:rsid w:val="00393DEB"/>
    <w:rsid w:val="003B7097"/>
    <w:rsid w:val="003F742D"/>
    <w:rsid w:val="00496A1B"/>
    <w:rsid w:val="004C3CC4"/>
    <w:rsid w:val="00562624"/>
    <w:rsid w:val="00591DBC"/>
    <w:rsid w:val="005D6076"/>
    <w:rsid w:val="006123BD"/>
    <w:rsid w:val="006B0BDB"/>
    <w:rsid w:val="006C0174"/>
    <w:rsid w:val="00791C30"/>
    <w:rsid w:val="007C496B"/>
    <w:rsid w:val="007D292A"/>
    <w:rsid w:val="007F49D3"/>
    <w:rsid w:val="00806AF9"/>
    <w:rsid w:val="008C25B2"/>
    <w:rsid w:val="008F45C5"/>
    <w:rsid w:val="008F7E0A"/>
    <w:rsid w:val="00A330F8"/>
    <w:rsid w:val="00A4675A"/>
    <w:rsid w:val="00A66521"/>
    <w:rsid w:val="00B85E0C"/>
    <w:rsid w:val="00BD01F5"/>
    <w:rsid w:val="00C3428E"/>
    <w:rsid w:val="00D14CB7"/>
    <w:rsid w:val="00D25D24"/>
    <w:rsid w:val="00D40BCE"/>
    <w:rsid w:val="00D53C60"/>
    <w:rsid w:val="00D6527C"/>
    <w:rsid w:val="00DE1394"/>
    <w:rsid w:val="00DE3615"/>
    <w:rsid w:val="00DF572A"/>
    <w:rsid w:val="00DF664C"/>
    <w:rsid w:val="00E15F0B"/>
    <w:rsid w:val="00E210FD"/>
    <w:rsid w:val="00E22542"/>
    <w:rsid w:val="00E245D5"/>
    <w:rsid w:val="00E448FF"/>
    <w:rsid w:val="00E70D98"/>
    <w:rsid w:val="00E821DC"/>
    <w:rsid w:val="00EE67A3"/>
    <w:rsid w:val="00F10148"/>
    <w:rsid w:val="00F41338"/>
    <w:rsid w:val="00F8212C"/>
    <w:rsid w:val="011D2EB8"/>
    <w:rsid w:val="040C5477"/>
    <w:rsid w:val="04531CBE"/>
    <w:rsid w:val="04A44EF6"/>
    <w:rsid w:val="05171CE1"/>
    <w:rsid w:val="057512C0"/>
    <w:rsid w:val="058160E4"/>
    <w:rsid w:val="05FC0272"/>
    <w:rsid w:val="060317A8"/>
    <w:rsid w:val="06652689"/>
    <w:rsid w:val="074711EA"/>
    <w:rsid w:val="079275D3"/>
    <w:rsid w:val="07D94EB6"/>
    <w:rsid w:val="08135CAB"/>
    <w:rsid w:val="09C851E3"/>
    <w:rsid w:val="0A14203D"/>
    <w:rsid w:val="0ABE41AE"/>
    <w:rsid w:val="0AE3681D"/>
    <w:rsid w:val="0B32069B"/>
    <w:rsid w:val="0B3E2CB7"/>
    <w:rsid w:val="0BA72079"/>
    <w:rsid w:val="0D07179B"/>
    <w:rsid w:val="0D0C36E9"/>
    <w:rsid w:val="0FE37B05"/>
    <w:rsid w:val="107D4EA7"/>
    <w:rsid w:val="108E085E"/>
    <w:rsid w:val="10A36C43"/>
    <w:rsid w:val="13367069"/>
    <w:rsid w:val="16BB6B10"/>
    <w:rsid w:val="17392CA2"/>
    <w:rsid w:val="180422E9"/>
    <w:rsid w:val="18750CDF"/>
    <w:rsid w:val="18814944"/>
    <w:rsid w:val="18881357"/>
    <w:rsid w:val="18CB3AA9"/>
    <w:rsid w:val="1AB5530F"/>
    <w:rsid w:val="1B7C5CBC"/>
    <w:rsid w:val="1BAF6202"/>
    <w:rsid w:val="1C2B7BEE"/>
    <w:rsid w:val="1D2017B8"/>
    <w:rsid w:val="1D532256"/>
    <w:rsid w:val="1E3E39E6"/>
    <w:rsid w:val="1F7110F0"/>
    <w:rsid w:val="20592D03"/>
    <w:rsid w:val="21DA38AD"/>
    <w:rsid w:val="220C7797"/>
    <w:rsid w:val="238F56E3"/>
    <w:rsid w:val="23D305B4"/>
    <w:rsid w:val="24FA7B37"/>
    <w:rsid w:val="256E0F20"/>
    <w:rsid w:val="268F727D"/>
    <w:rsid w:val="26BE72FA"/>
    <w:rsid w:val="298C1931"/>
    <w:rsid w:val="298E2054"/>
    <w:rsid w:val="29B62F69"/>
    <w:rsid w:val="2A8D14E2"/>
    <w:rsid w:val="2AF10402"/>
    <w:rsid w:val="2BA70CA4"/>
    <w:rsid w:val="2C05409E"/>
    <w:rsid w:val="2DD15BC8"/>
    <w:rsid w:val="2FDB2CCA"/>
    <w:rsid w:val="303E65D6"/>
    <w:rsid w:val="31785E93"/>
    <w:rsid w:val="31F07C37"/>
    <w:rsid w:val="321910C2"/>
    <w:rsid w:val="33BB3270"/>
    <w:rsid w:val="342649C5"/>
    <w:rsid w:val="34405134"/>
    <w:rsid w:val="34C250E4"/>
    <w:rsid w:val="352F46B8"/>
    <w:rsid w:val="35421273"/>
    <w:rsid w:val="365D2222"/>
    <w:rsid w:val="368F6E0E"/>
    <w:rsid w:val="37092C93"/>
    <w:rsid w:val="384F0E98"/>
    <w:rsid w:val="394C1291"/>
    <w:rsid w:val="39526AB8"/>
    <w:rsid w:val="39B44138"/>
    <w:rsid w:val="3B8B5B5D"/>
    <w:rsid w:val="3CF17FD1"/>
    <w:rsid w:val="3D0F6913"/>
    <w:rsid w:val="3D531461"/>
    <w:rsid w:val="3F277CDA"/>
    <w:rsid w:val="4099698A"/>
    <w:rsid w:val="40F96DAE"/>
    <w:rsid w:val="425A03C6"/>
    <w:rsid w:val="437D1FC0"/>
    <w:rsid w:val="44466616"/>
    <w:rsid w:val="472745EF"/>
    <w:rsid w:val="477200AE"/>
    <w:rsid w:val="47E23D6B"/>
    <w:rsid w:val="47E86EF7"/>
    <w:rsid w:val="48726B97"/>
    <w:rsid w:val="48B00D40"/>
    <w:rsid w:val="48F062F4"/>
    <w:rsid w:val="49750B2D"/>
    <w:rsid w:val="49C76CAB"/>
    <w:rsid w:val="4A1A103E"/>
    <w:rsid w:val="4AC159E3"/>
    <w:rsid w:val="4BAE25E2"/>
    <w:rsid w:val="4D1033F5"/>
    <w:rsid w:val="4E6278A4"/>
    <w:rsid w:val="4F816AA9"/>
    <w:rsid w:val="4F9B1FE9"/>
    <w:rsid w:val="4FE1061B"/>
    <w:rsid w:val="502E4729"/>
    <w:rsid w:val="50577CF3"/>
    <w:rsid w:val="50F22714"/>
    <w:rsid w:val="51834CC5"/>
    <w:rsid w:val="51976F41"/>
    <w:rsid w:val="51F7178E"/>
    <w:rsid w:val="527903F5"/>
    <w:rsid w:val="54CC5B55"/>
    <w:rsid w:val="551E5284"/>
    <w:rsid w:val="55447A06"/>
    <w:rsid w:val="56C1613E"/>
    <w:rsid w:val="56D146AF"/>
    <w:rsid w:val="56FD07A0"/>
    <w:rsid w:val="57077FCE"/>
    <w:rsid w:val="57D6283A"/>
    <w:rsid w:val="58102660"/>
    <w:rsid w:val="58DC3983"/>
    <w:rsid w:val="59927FEE"/>
    <w:rsid w:val="59C02A67"/>
    <w:rsid w:val="5A0A5DD6"/>
    <w:rsid w:val="5A81078E"/>
    <w:rsid w:val="5A9A6369"/>
    <w:rsid w:val="5B226499"/>
    <w:rsid w:val="5B7255CC"/>
    <w:rsid w:val="5C761B94"/>
    <w:rsid w:val="5D286CF4"/>
    <w:rsid w:val="5D2E3A8F"/>
    <w:rsid w:val="5D3B2B11"/>
    <w:rsid w:val="5E9D3960"/>
    <w:rsid w:val="5FF61656"/>
    <w:rsid w:val="60A6190E"/>
    <w:rsid w:val="61023CAB"/>
    <w:rsid w:val="61D64011"/>
    <w:rsid w:val="61FA27BB"/>
    <w:rsid w:val="62043CA6"/>
    <w:rsid w:val="65DA4EDC"/>
    <w:rsid w:val="66733CB4"/>
    <w:rsid w:val="670A3507"/>
    <w:rsid w:val="673571D6"/>
    <w:rsid w:val="678B5846"/>
    <w:rsid w:val="679B2FFB"/>
    <w:rsid w:val="67AD6E5E"/>
    <w:rsid w:val="67C21EAF"/>
    <w:rsid w:val="69DB32EB"/>
    <w:rsid w:val="6A601B81"/>
    <w:rsid w:val="6AA656A7"/>
    <w:rsid w:val="6BC524A5"/>
    <w:rsid w:val="6C467E96"/>
    <w:rsid w:val="6C955F1B"/>
    <w:rsid w:val="6C9A3D5C"/>
    <w:rsid w:val="6CB27492"/>
    <w:rsid w:val="6CDB7401"/>
    <w:rsid w:val="6D591ECD"/>
    <w:rsid w:val="701F5CFD"/>
    <w:rsid w:val="707D334E"/>
    <w:rsid w:val="71BC14A7"/>
    <w:rsid w:val="733A1083"/>
    <w:rsid w:val="7374682E"/>
    <w:rsid w:val="73823621"/>
    <w:rsid w:val="738C2044"/>
    <w:rsid w:val="739A2AD4"/>
    <w:rsid w:val="74381E70"/>
    <w:rsid w:val="748B6945"/>
    <w:rsid w:val="751014CE"/>
    <w:rsid w:val="777C659A"/>
    <w:rsid w:val="77A17922"/>
    <w:rsid w:val="78A53442"/>
    <w:rsid w:val="792151BF"/>
    <w:rsid w:val="79DD5E96"/>
    <w:rsid w:val="7BA2010D"/>
    <w:rsid w:val="7C416158"/>
    <w:rsid w:val="7D651C73"/>
    <w:rsid w:val="7D9832EE"/>
    <w:rsid w:val="7DD1290B"/>
    <w:rsid w:val="7E086FF3"/>
    <w:rsid w:val="7E0A7F58"/>
    <w:rsid w:val="7E24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6"/>
    <w:basedOn w:val="1"/>
    <w:next w:val="1"/>
    <w:link w:val="31"/>
    <w:autoRedefine/>
    <w:unhideWhenUsed/>
    <w:qFormat/>
    <w:uiPriority w:val="0"/>
    <w:pPr>
      <w:numPr>
        <w:ilvl w:val="0"/>
        <w:numId w:val="1"/>
      </w:numPr>
      <w:spacing w:line="360" w:lineRule="auto"/>
      <w:ind w:left="0" w:firstLine="200" w:firstLineChars="200"/>
      <w:outlineLvl w:val="5"/>
    </w:pPr>
    <w:rPr>
      <w:rFonts w:ascii="宋体" w:hAnsi="宋体" w:eastAsia="宋体" w:cs="Times New Roman"/>
      <w:kern w:val="0"/>
      <w:szCs w:val="24"/>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Theme="minorHAnsi" w:hAnsiTheme="minorHAnsi" w:eastAsiaTheme="minorEastAsia" w:cstheme="minorBidi"/>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annotation text"/>
    <w:basedOn w:val="1"/>
    <w:link w:val="20"/>
    <w:autoRedefine/>
    <w:qFormat/>
    <w:uiPriority w:val="0"/>
    <w:pPr>
      <w:adjustRightInd w:val="0"/>
      <w:spacing w:before="100" w:line="360" w:lineRule="auto"/>
      <w:jc w:val="left"/>
    </w:pPr>
    <w:rPr>
      <w:rFonts w:ascii="Arial" w:hAnsi="Arial" w:eastAsia="宋体" w:cs="Times New Roman"/>
      <w:kern w:val="0"/>
      <w:szCs w:val="20"/>
    </w:rPr>
  </w:style>
  <w:style w:type="paragraph" w:styleId="6">
    <w:name w:val="Body Text"/>
    <w:basedOn w:val="1"/>
    <w:next w:val="1"/>
    <w:qFormat/>
    <w:uiPriority w:val="1"/>
    <w:rPr>
      <w:rFonts w:ascii="宋体" w:hAnsi="宋体" w:eastAsia="宋体" w:cs="宋体"/>
      <w:szCs w:val="21"/>
    </w:rPr>
  </w:style>
  <w:style w:type="paragraph" w:styleId="7">
    <w:name w:val="Body Text Indent"/>
    <w:basedOn w:val="1"/>
    <w:link w:val="29"/>
    <w:autoRedefine/>
    <w:qFormat/>
    <w:uiPriority w:val="0"/>
    <w:pPr>
      <w:spacing w:after="120"/>
      <w:ind w:left="420" w:leftChars="200"/>
    </w:pPr>
  </w:style>
  <w:style w:type="paragraph" w:styleId="8">
    <w:name w:val="Date"/>
    <w:basedOn w:val="1"/>
    <w:next w:val="1"/>
    <w:link w:val="24"/>
    <w:autoRedefine/>
    <w:semiHidden/>
    <w:unhideWhenUsed/>
    <w:qFormat/>
    <w:uiPriority w:val="99"/>
    <w:pPr>
      <w:ind w:left="100" w:leftChars="2500"/>
    </w:pPr>
  </w:style>
  <w:style w:type="paragraph" w:styleId="9">
    <w:name w:val="Balloon Text"/>
    <w:basedOn w:val="1"/>
    <w:link w:val="21"/>
    <w:autoRedefine/>
    <w:semiHidden/>
    <w:unhideWhenUsed/>
    <w:qFormat/>
    <w:uiPriority w:val="99"/>
    <w:rPr>
      <w:sz w:val="18"/>
      <w:szCs w:val="18"/>
    </w:rPr>
  </w:style>
  <w:style w:type="paragraph" w:styleId="10">
    <w:name w:val="footer"/>
    <w:basedOn w:val="1"/>
    <w:link w:val="19"/>
    <w:autoRedefine/>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link w:val="30"/>
    <w:autoRedefine/>
    <w:semiHidden/>
    <w:unhideWhenUsed/>
    <w:qFormat/>
    <w:uiPriority w:val="99"/>
    <w:pPr>
      <w:ind w:firstLine="420" w:firstLineChars="200"/>
    </w:pPr>
  </w:style>
  <w:style w:type="table" w:styleId="14">
    <w:name w:val="Table Grid"/>
    <w:basedOn w:val="13"/>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autoRedefine/>
    <w:qFormat/>
    <w:uiPriority w:val="99"/>
    <w:rPr>
      <w:sz w:val="21"/>
      <w:szCs w:val="21"/>
    </w:rPr>
  </w:style>
  <w:style w:type="paragraph" w:customStyle="1" w:styleId="17">
    <w:name w:val="Default1"/>
    <w:autoRedefine/>
    <w:qFormat/>
    <w:uiPriority w:val="0"/>
    <w:pPr>
      <w:widowControl w:val="0"/>
      <w:autoSpaceDE w:val="0"/>
      <w:autoSpaceDN w:val="0"/>
      <w:adjustRightInd w:val="0"/>
    </w:pPr>
    <w:rPr>
      <w:rFonts w:ascii="宋体" w:hAnsi="Times New Roman" w:eastAsia="仿宋_GB2312" w:cs="宋体"/>
      <w:color w:val="000000"/>
      <w:sz w:val="24"/>
      <w:szCs w:val="24"/>
      <w:lang w:val="en-US" w:eastAsia="zh-CN" w:bidi="ar-SA"/>
    </w:rPr>
  </w:style>
  <w:style w:type="character" w:customStyle="1" w:styleId="18">
    <w:name w:val="页眉 字符"/>
    <w:basedOn w:val="15"/>
    <w:link w:val="11"/>
    <w:autoRedefine/>
    <w:qFormat/>
    <w:uiPriority w:val="99"/>
    <w:rPr>
      <w:sz w:val="18"/>
      <w:szCs w:val="18"/>
    </w:rPr>
  </w:style>
  <w:style w:type="character" w:customStyle="1" w:styleId="19">
    <w:name w:val="页脚 字符"/>
    <w:basedOn w:val="15"/>
    <w:link w:val="10"/>
    <w:autoRedefine/>
    <w:qFormat/>
    <w:uiPriority w:val="99"/>
    <w:rPr>
      <w:sz w:val="18"/>
      <w:szCs w:val="18"/>
    </w:rPr>
  </w:style>
  <w:style w:type="character" w:customStyle="1" w:styleId="20">
    <w:name w:val="批注文字 字符"/>
    <w:basedOn w:val="15"/>
    <w:link w:val="5"/>
    <w:autoRedefine/>
    <w:qFormat/>
    <w:uiPriority w:val="0"/>
    <w:rPr>
      <w:rFonts w:ascii="Arial" w:hAnsi="Arial" w:eastAsia="宋体" w:cs="Times New Roman"/>
      <w:kern w:val="0"/>
      <w:szCs w:val="20"/>
    </w:rPr>
  </w:style>
  <w:style w:type="character" w:customStyle="1" w:styleId="21">
    <w:name w:val="批注框文本 字符"/>
    <w:basedOn w:val="15"/>
    <w:link w:val="9"/>
    <w:autoRedefine/>
    <w:semiHidden/>
    <w:qFormat/>
    <w:uiPriority w:val="99"/>
    <w:rPr>
      <w:sz w:val="18"/>
      <w:szCs w:val="18"/>
    </w:rPr>
  </w:style>
  <w:style w:type="paragraph" w:styleId="22">
    <w:name w:val="List Paragraph"/>
    <w:basedOn w:val="1"/>
    <w:link w:val="27"/>
    <w:autoRedefine/>
    <w:qFormat/>
    <w:uiPriority w:val="34"/>
    <w:pPr>
      <w:ind w:firstLine="420" w:firstLineChars="200"/>
    </w:pPr>
  </w:style>
  <w:style w:type="table" w:customStyle="1" w:styleId="23">
    <w:name w:val="网格型2"/>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日期 字符"/>
    <w:basedOn w:val="15"/>
    <w:link w:val="8"/>
    <w:autoRedefine/>
    <w:semiHidden/>
    <w:qFormat/>
    <w:uiPriority w:val="99"/>
  </w:style>
  <w:style w:type="table" w:customStyle="1" w:styleId="25">
    <w:name w:val="网格型21"/>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正文1"/>
    <w:basedOn w:val="1"/>
    <w:autoRedefine/>
    <w:qFormat/>
    <w:uiPriority w:val="0"/>
    <w:pPr>
      <w:tabs>
        <w:tab w:val="left" w:pos="4"/>
      </w:tabs>
    </w:pPr>
    <w:rPr>
      <w:rFonts w:ascii="宋体" w:hAnsi="宋体"/>
      <w:sz w:val="18"/>
    </w:rPr>
  </w:style>
  <w:style w:type="character" w:customStyle="1" w:styleId="27">
    <w:name w:val="列表段落 字符"/>
    <w:link w:val="22"/>
    <w:autoRedefine/>
    <w:qFormat/>
    <w:uiPriority w:val="34"/>
    <w:rPr>
      <w:rFonts w:asciiTheme="minorHAnsi" w:hAnsiTheme="minorHAnsi" w:eastAsiaTheme="minorEastAsia" w:cstheme="minorBidi"/>
      <w:kern w:val="2"/>
      <w:sz w:val="21"/>
      <w:szCs w:val="22"/>
    </w:rPr>
  </w:style>
  <w:style w:type="character" w:customStyle="1" w:styleId="28">
    <w:name w:val="批注文字 字符1"/>
    <w:autoRedefine/>
    <w:semiHidden/>
    <w:qFormat/>
    <w:uiPriority w:val="99"/>
    <w:rPr>
      <w:rFonts w:ascii="仿宋_GB2312" w:hAnsi="Calibri" w:eastAsia="仿宋_GB2312" w:cs="Times New Roman"/>
      <w:szCs w:val="24"/>
    </w:rPr>
  </w:style>
  <w:style w:type="character" w:customStyle="1" w:styleId="29">
    <w:name w:val="正文文本缩进 字符"/>
    <w:basedOn w:val="15"/>
    <w:link w:val="7"/>
    <w:autoRedefine/>
    <w:qFormat/>
    <w:uiPriority w:val="0"/>
    <w:rPr>
      <w:rFonts w:asciiTheme="minorHAnsi" w:hAnsiTheme="minorHAnsi" w:eastAsiaTheme="minorEastAsia" w:cstheme="minorBidi"/>
      <w:kern w:val="2"/>
      <w:sz w:val="21"/>
      <w:szCs w:val="22"/>
    </w:rPr>
  </w:style>
  <w:style w:type="character" w:customStyle="1" w:styleId="30">
    <w:name w:val="正文文本首行缩进 2 字符"/>
    <w:basedOn w:val="29"/>
    <w:link w:val="12"/>
    <w:autoRedefine/>
    <w:semiHidden/>
    <w:qFormat/>
    <w:uiPriority w:val="99"/>
    <w:rPr>
      <w:rFonts w:asciiTheme="minorHAnsi" w:hAnsiTheme="minorHAnsi" w:eastAsiaTheme="minorEastAsia" w:cstheme="minorBidi"/>
      <w:kern w:val="2"/>
      <w:sz w:val="21"/>
      <w:szCs w:val="22"/>
    </w:rPr>
  </w:style>
  <w:style w:type="character" w:customStyle="1" w:styleId="31">
    <w:name w:val="标题 6 字符"/>
    <w:basedOn w:val="15"/>
    <w:link w:val="3"/>
    <w:autoRedefine/>
    <w:qFormat/>
    <w:uiPriority w:val="0"/>
    <w:rPr>
      <w:rFonts w:ascii="宋体" w:hAnsi="宋体"/>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4829</Words>
  <Characters>4990</Characters>
  <Lines>78</Lines>
  <Paragraphs>22</Paragraphs>
  <TotalTime>11</TotalTime>
  <ScaleCrop>false</ScaleCrop>
  <LinksUpToDate>false</LinksUpToDate>
  <CharactersWithSpaces>4991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2024-03-14T03:43:00Z</dcterms:created>
  <dc:creator>admin</dc:creator>
  <cp:lastModifiedBy></cp:lastModifiedBy>
  <dcterms:modified xsi:type="dcterms:W3CDTF">2025-04-29T02:48:41Z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8C7D882D7C9849A98E44A9E127D68632_13</vt:lpwstr>
  </property>
  <property fmtid="{D5CDD505-2E9C-101B-9397-08002B2CF9AE}" pid="4" name="KSOTemplateDocerSaveRecord">
    <vt:lpwstr>eyJoZGlkIjoiNzIxM2NkNWQ5MTEyZDU0YTlkM2VhMDE5OGI1ZmJkMWMiLCJ1c2VySWQiOiIzMzQ5MzMwOTYifQ==</vt:lpwstr>
  </property>
</Properties>
</file>