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E9D90B">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auto"/>
        <w:outlineLvl w:val="9"/>
        <w:rPr>
          <w:b/>
          <w:bCs/>
          <w:color w:val="000000" w:themeColor="text1"/>
          <w:sz w:val="40"/>
          <w:szCs w:val="40"/>
          <w14:textFill>
            <w14:solidFill>
              <w14:schemeClr w14:val="tx1"/>
            </w14:solidFill>
          </w14:textFill>
        </w:rPr>
      </w:pPr>
    </w:p>
    <w:p w14:paraId="1F7B0384">
      <w:pPr>
        <w:jc w:val="right"/>
        <w:rPr>
          <w:rFonts w:hint="eastAsia" w:ascii="宋体" w:hAnsi="宋体"/>
          <w:b/>
          <w:spacing w:val="20"/>
          <w:sz w:val="28"/>
        </w:rPr>
        <w:sectPr>
          <w:pgSz w:w="11906" w:h="16838"/>
          <w:pgMar w:top="1440" w:right="1800" w:bottom="1440" w:left="1800" w:header="720" w:footer="720" w:gutter="0"/>
          <w:pgNumType w:fmt="decimal"/>
          <w:cols w:space="720" w:num="1"/>
        </w:sectPr>
      </w:pPr>
    </w:p>
    <w:p w14:paraId="780F609C">
      <w:pPr>
        <w:jc w:val="right"/>
        <w:rPr>
          <w:rFonts w:ascii="黑体" w:hAnsi="Arial" w:eastAsia="黑体" w:cs="Arial"/>
          <w:sz w:val="52"/>
          <w:szCs w:val="52"/>
        </w:rPr>
      </w:pPr>
      <w:r>
        <w:rPr>
          <w:rFonts w:hint="eastAsia" w:ascii="宋体" w:hAnsi="宋体"/>
          <w:b/>
          <w:spacing w:val="20"/>
          <w:sz w:val="28"/>
        </w:rPr>
        <w:t>项目编号：</w:t>
      </w:r>
      <w:r>
        <w:rPr>
          <w:rFonts w:hint="eastAsia" w:ascii="宋体" w:hAnsi="宋体"/>
          <w:b/>
          <w:spacing w:val="20"/>
          <w:sz w:val="28"/>
          <w:lang w:eastAsia="zh-CN"/>
        </w:rPr>
        <w:t>SZDL2025001627</w:t>
      </w:r>
      <w:r>
        <w:rPr>
          <w:rFonts w:hint="eastAsia" w:ascii="宋体" w:hAnsi="宋体"/>
          <w:b/>
          <w:spacing w:val="20"/>
          <w:sz w:val="28"/>
        </w:rPr>
        <w:t xml:space="preserve"> </w:t>
      </w:r>
    </w:p>
    <w:p w14:paraId="37D6208F">
      <w:pPr>
        <w:pStyle w:val="7"/>
      </w:pPr>
    </w:p>
    <w:p w14:paraId="0F3E397F">
      <w:pPr>
        <w:jc w:val="center"/>
        <w:rPr>
          <w:rFonts w:ascii="黑体" w:hAnsi="Arial" w:eastAsia="黑体" w:cs="Arial"/>
          <w:sz w:val="52"/>
          <w:szCs w:val="52"/>
        </w:rPr>
      </w:pPr>
    </w:p>
    <w:p w14:paraId="6BDCCEFB">
      <w:pPr>
        <w:pStyle w:val="7"/>
      </w:pPr>
    </w:p>
    <w:p w14:paraId="1059B1B9">
      <w:pPr>
        <w:pStyle w:val="8"/>
      </w:pPr>
    </w:p>
    <w:p w14:paraId="3A061F43">
      <w:pPr>
        <w:pStyle w:val="8"/>
      </w:pPr>
    </w:p>
    <w:p w14:paraId="0AFE75F9">
      <w:pPr>
        <w:jc w:val="center"/>
        <w:rPr>
          <w:rFonts w:ascii="黑体" w:hAnsi="Arial" w:eastAsia="黑体" w:cs="Arial"/>
          <w:sz w:val="52"/>
          <w:szCs w:val="52"/>
        </w:rPr>
      </w:pPr>
      <w:r>
        <w:rPr>
          <w:rFonts w:hint="eastAsia" w:ascii="黑体" w:hAnsi="Arial" w:eastAsia="黑体" w:cs="Arial"/>
          <w:sz w:val="52"/>
          <w:szCs w:val="52"/>
        </w:rPr>
        <w:t>【服务类】</w:t>
      </w:r>
    </w:p>
    <w:p w14:paraId="5A6079C7">
      <w:r>
        <w:rPr>
          <w:rFonts w:hint="eastAsia" w:ascii="黑体" w:eastAsia="黑体"/>
          <w:sz w:val="52"/>
          <w:szCs w:val="52"/>
          <w:lang w:eastAsia="zh-CN"/>
        </w:rPr>
        <w:t>2025年度深圳市市管桥涵定期检测</w:t>
      </w:r>
    </w:p>
    <w:p w14:paraId="1391C041"/>
    <w:p w14:paraId="6835AFAF"/>
    <w:p w14:paraId="49ABCE2E"/>
    <w:p w14:paraId="1CFC219D">
      <w:pPr>
        <w:keepNext w:val="0"/>
        <w:keepLines w:val="0"/>
        <w:pageBreakBefore w:val="0"/>
        <w:widowControl w:val="0"/>
        <w:kinsoku/>
        <w:wordWrap/>
        <w:overflowPunct/>
        <w:topLinePunct w:val="0"/>
        <w:autoSpaceDE/>
        <w:autoSpaceDN/>
        <w:bidi w:val="0"/>
        <w:adjustRightInd/>
        <w:snapToGrid/>
        <w:spacing w:after="126" w:afterLines="40"/>
        <w:jc w:val="center"/>
        <w:textAlignment w:val="auto"/>
        <w:rPr>
          <w:rFonts w:hint="eastAsia" w:ascii="黑体" w:eastAsia="黑体"/>
          <w:color w:val="000000" w:themeColor="text1"/>
          <w:sz w:val="72"/>
          <w:szCs w:val="52"/>
          <w14:textFill>
            <w14:solidFill>
              <w14:schemeClr w14:val="tx1"/>
            </w14:solidFill>
          </w14:textFill>
        </w:rPr>
      </w:pPr>
      <w:r>
        <w:rPr>
          <w:rFonts w:hint="eastAsia" w:ascii="黑体" w:eastAsia="黑体"/>
          <w:color w:val="000000" w:themeColor="text1"/>
          <w:sz w:val="72"/>
          <w:szCs w:val="52"/>
          <w14:textFill>
            <w14:solidFill>
              <w14:schemeClr w14:val="tx1"/>
            </w14:solidFill>
          </w14:textFill>
        </w:rPr>
        <w:t>招 标 文 件</w:t>
      </w:r>
    </w:p>
    <w:p w14:paraId="2A851F9C">
      <w:pPr>
        <w:pStyle w:val="8"/>
        <w:rPr>
          <w:rFonts w:hint="eastAsia"/>
        </w:rPr>
      </w:pPr>
    </w:p>
    <w:p w14:paraId="0149C62F">
      <w:pPr>
        <w:pStyle w:val="7"/>
        <w:rPr>
          <w:rFonts w:hint="eastAsia"/>
          <w:lang w:eastAsia="zh-CN"/>
        </w:rPr>
      </w:pPr>
    </w:p>
    <w:p w14:paraId="4CBB4F2F">
      <w:pPr>
        <w:pStyle w:val="8"/>
        <w:rPr>
          <w:rFonts w:hint="eastAsia"/>
          <w:lang w:eastAsia="zh-CN"/>
        </w:rPr>
      </w:pPr>
    </w:p>
    <w:p w14:paraId="7365F0B8">
      <w:pPr>
        <w:pStyle w:val="8"/>
        <w:rPr>
          <w:rFonts w:hint="eastAsia"/>
          <w:lang w:eastAsia="zh-CN"/>
        </w:rPr>
      </w:pPr>
    </w:p>
    <w:p w14:paraId="12822AE0">
      <w:pPr>
        <w:pStyle w:val="8"/>
        <w:rPr>
          <w:rFonts w:hint="eastAsia"/>
          <w:lang w:eastAsia="zh-CN"/>
        </w:rPr>
      </w:pPr>
    </w:p>
    <w:p w14:paraId="11C184CC">
      <w:pPr>
        <w:pStyle w:val="8"/>
        <w:rPr>
          <w:rFonts w:hint="eastAsia"/>
          <w:lang w:eastAsia="zh-CN"/>
        </w:rPr>
      </w:pPr>
    </w:p>
    <w:p w14:paraId="723D6FC9">
      <w:pPr>
        <w:pStyle w:val="8"/>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eastAsia="宋体"/>
          <w:lang w:eastAsia="zh-CN"/>
        </w:rPr>
      </w:pPr>
      <w:r>
        <w:rPr>
          <w:rFonts w:hint="eastAsia" w:ascii="Arial" w:hAnsi="Arial" w:eastAsia="仿宋_GB2312" w:cs="Arial"/>
          <w:sz w:val="44"/>
          <w:lang w:eastAsia="zh-CN"/>
        </w:rPr>
        <w:drawing>
          <wp:inline distT="0" distB="0" distL="114300" distR="114300">
            <wp:extent cx="1210945" cy="1210945"/>
            <wp:effectExtent l="0" t="0" r="8255" b="8255"/>
            <wp:docPr id="3" name="图片 3" descr="b6bbc1c3021ac190a7f1ff08bab79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6bbc1c3021ac190a7f1ff08bab79ef"/>
                    <pic:cNvPicPr>
                      <a:picLocks noChangeAspect="1"/>
                    </pic:cNvPicPr>
                  </pic:nvPicPr>
                  <pic:blipFill>
                    <a:blip r:embed="rId6"/>
                    <a:stretch>
                      <a:fillRect/>
                    </a:stretch>
                  </pic:blipFill>
                  <pic:spPr>
                    <a:xfrm>
                      <a:off x="0" y="0"/>
                      <a:ext cx="1210945" cy="1210945"/>
                    </a:xfrm>
                    <a:prstGeom prst="rect">
                      <a:avLst/>
                    </a:prstGeom>
                  </pic:spPr>
                </pic:pic>
              </a:graphicData>
            </a:graphic>
          </wp:inline>
        </w:drawing>
      </w:r>
    </w:p>
    <w:p w14:paraId="528F4145">
      <w:pPr>
        <w:pStyle w:val="8"/>
        <w:keepNext w:val="0"/>
        <w:keepLines w:val="0"/>
        <w:pageBreakBefore w:val="0"/>
        <w:widowControl w:val="0"/>
        <w:kinsoku/>
        <w:wordWrap/>
        <w:overflowPunct/>
        <w:topLinePunct w:val="0"/>
        <w:autoSpaceDE/>
        <w:autoSpaceDN/>
        <w:bidi w:val="0"/>
        <w:adjustRightInd/>
        <w:snapToGrid/>
        <w:spacing w:after="0"/>
        <w:textAlignment w:val="auto"/>
        <w:rPr>
          <w:rFonts w:hint="eastAsia" w:eastAsia="宋体"/>
          <w:lang w:eastAsia="zh-CN"/>
        </w:rPr>
      </w:pPr>
    </w:p>
    <w:p w14:paraId="41647AB6">
      <w:pPr>
        <w:pStyle w:val="8"/>
        <w:keepNext w:val="0"/>
        <w:keepLines w:val="0"/>
        <w:pageBreakBefore w:val="0"/>
        <w:widowControl w:val="0"/>
        <w:kinsoku/>
        <w:wordWrap/>
        <w:overflowPunct/>
        <w:topLinePunct w:val="0"/>
        <w:autoSpaceDE/>
        <w:autoSpaceDN/>
        <w:bidi w:val="0"/>
        <w:adjustRightInd/>
        <w:snapToGrid/>
        <w:spacing w:after="0"/>
        <w:textAlignment w:val="auto"/>
        <w:rPr>
          <w:rFonts w:hint="eastAsia" w:eastAsia="宋体"/>
          <w:lang w:eastAsia="zh-CN"/>
        </w:rPr>
      </w:pPr>
    </w:p>
    <w:p w14:paraId="4DEB3AA9">
      <w:pPr>
        <w:snapToGrid w:val="0"/>
        <w:jc w:val="center"/>
        <w:rPr>
          <w:rFonts w:ascii="仿宋_GB2312" w:hAnsi="宋体" w:eastAsia="仿宋_GB2312" w:cs="Arial"/>
          <w:b/>
          <w:bCs/>
          <w:sz w:val="36"/>
          <w:szCs w:val="36"/>
        </w:rPr>
      </w:pPr>
      <w:r>
        <w:rPr>
          <w:rFonts w:hint="eastAsia" w:ascii="仿宋_GB2312" w:hAnsi="宋体" w:eastAsia="仿宋_GB2312" w:cs="Arial"/>
          <w:b/>
          <w:bCs/>
          <w:sz w:val="36"/>
          <w:szCs w:val="36"/>
        </w:rPr>
        <w:t>友和保险经纪有限公司</w:t>
      </w:r>
    </w:p>
    <w:p w14:paraId="5CC6993B">
      <w:pPr>
        <w:snapToGrid w:val="0"/>
        <w:jc w:val="center"/>
        <w:rPr>
          <w:rFonts w:ascii="仿宋_GB2312" w:hAnsi="宋体" w:eastAsia="仿宋_GB2312" w:cs="Arial"/>
          <w:b/>
          <w:bCs/>
          <w:sz w:val="21"/>
          <w:szCs w:val="21"/>
        </w:rPr>
      </w:pPr>
    </w:p>
    <w:p w14:paraId="42B18D54">
      <w:pPr>
        <w:jc w:val="center"/>
      </w:pPr>
      <w:r>
        <w:rPr>
          <w:rFonts w:hint="eastAsia" w:ascii="仿宋_GB2312" w:hAnsi="Arial" w:eastAsia="仿宋_GB2312" w:cs="Arial"/>
          <w:b/>
          <w:bCs/>
          <w:sz w:val="36"/>
          <w:szCs w:val="36"/>
        </w:rPr>
        <w:t>二</w:t>
      </w:r>
      <w:r>
        <w:rPr>
          <w:rFonts w:hint="eastAsia" w:ascii="仿宋_GB2312" w:hAnsi="宋体" w:cs="宋体"/>
          <w:b/>
          <w:bCs/>
          <w:sz w:val="36"/>
          <w:szCs w:val="36"/>
        </w:rPr>
        <w:t>〇</w:t>
      </w:r>
      <w:r>
        <w:rPr>
          <w:rFonts w:hint="eastAsia" w:ascii="仿宋_GB2312" w:hAnsi="Arial" w:eastAsia="仿宋_GB2312" w:cs="Arial"/>
          <w:b/>
          <w:bCs/>
          <w:sz w:val="36"/>
          <w:szCs w:val="36"/>
        </w:rPr>
        <w:t>二</w:t>
      </w:r>
      <w:r>
        <w:rPr>
          <w:rFonts w:hint="eastAsia" w:ascii="仿宋_GB2312" w:hAnsi="Arial" w:eastAsia="仿宋_GB2312" w:cs="Arial"/>
          <w:b/>
          <w:bCs/>
          <w:sz w:val="36"/>
          <w:szCs w:val="36"/>
          <w:lang w:val="en-US" w:eastAsia="zh-CN"/>
        </w:rPr>
        <w:t>五</w:t>
      </w:r>
      <w:r>
        <w:rPr>
          <w:rFonts w:hint="eastAsia" w:ascii="仿宋_GB2312" w:hAnsi="Arial" w:eastAsia="仿宋_GB2312" w:cs="Arial"/>
          <w:b/>
          <w:bCs/>
          <w:sz w:val="36"/>
          <w:szCs w:val="36"/>
        </w:rPr>
        <w:t>年</w:t>
      </w:r>
      <w:r>
        <w:rPr>
          <w:rFonts w:hint="eastAsia" w:ascii="仿宋_GB2312" w:hAnsi="宋体" w:eastAsia="仿宋_GB2312" w:cs="宋体"/>
          <w:b/>
          <w:bCs/>
          <w:sz w:val="36"/>
          <w:szCs w:val="36"/>
          <w:lang w:val="en-US" w:eastAsia="zh-CN"/>
        </w:rPr>
        <w:t>十</w:t>
      </w:r>
      <w:r>
        <w:rPr>
          <w:rFonts w:hint="eastAsia" w:ascii="仿宋_GB2312" w:hAnsi="Arial" w:eastAsia="仿宋_GB2312" w:cs="Arial"/>
          <w:b/>
          <w:bCs/>
          <w:sz w:val="36"/>
          <w:szCs w:val="36"/>
        </w:rPr>
        <w:t>月</w:t>
      </w:r>
    </w:p>
    <w:p w14:paraId="1D1D1F89">
      <w:pPr>
        <w:spacing w:beforeAutospacing="1" w:afterAutospacing="1"/>
        <w:jc w:val="center"/>
        <w:outlineLvl w:val="1"/>
        <w:rPr>
          <w:rFonts w:hint="eastAsia"/>
          <w:b/>
          <w:bCs/>
          <w:color w:val="000000" w:themeColor="text1"/>
          <w:sz w:val="40"/>
          <w:szCs w:val="40"/>
          <w14:textFill>
            <w14:solidFill>
              <w14:schemeClr w14:val="tx1"/>
            </w14:solidFill>
          </w14:textFill>
        </w:rPr>
      </w:pPr>
    </w:p>
    <w:p w14:paraId="4F980F51">
      <w:pPr>
        <w:spacing w:beforeAutospacing="1" w:afterAutospacing="1"/>
        <w:jc w:val="center"/>
        <w:outlineLvl w:val="1"/>
        <w:rPr>
          <w:rFonts w:hint="eastAsia"/>
          <w:b/>
          <w:bCs/>
          <w:color w:val="000000" w:themeColor="text1"/>
          <w:sz w:val="40"/>
          <w:szCs w:val="40"/>
          <w14:textFill>
            <w14:solidFill>
              <w14:schemeClr w14:val="tx1"/>
            </w14:solidFill>
          </w14:textFill>
        </w:rPr>
        <w:sectPr>
          <w:footerReference r:id="rId3" w:type="default"/>
          <w:type w:val="continuous"/>
          <w:pgSz w:w="11906" w:h="16838"/>
          <w:pgMar w:top="1440" w:right="1800" w:bottom="1440" w:left="1800" w:header="720" w:footer="720" w:gutter="0"/>
          <w:pgNumType w:fmt="decimal"/>
          <w:cols w:space="720" w:num="1"/>
        </w:sectPr>
      </w:pPr>
    </w:p>
    <w:p w14:paraId="5FC269D3">
      <w:pPr>
        <w:spacing w:beforeAutospacing="1" w:afterAutospacing="1"/>
        <w:jc w:val="center"/>
        <w:outlineLvl w:val="1"/>
        <w:rPr>
          <w:rFonts w:ascii="黑体" w:hAnsi="宋体" w:eastAsia="黑体" w:cs="黑体"/>
          <w:color w:val="000000" w:themeColor="text1"/>
          <w:sz w:val="40"/>
          <w:szCs w:val="40"/>
          <w14:textFill>
            <w14:solidFill>
              <w14:schemeClr w14:val="tx1"/>
            </w14:solidFill>
          </w14:textFill>
        </w:rPr>
      </w:pPr>
      <w:r>
        <w:rPr>
          <w:rFonts w:hint="eastAsia"/>
          <w:b/>
          <w:bCs/>
          <w:color w:val="000000" w:themeColor="text1"/>
          <w:sz w:val="40"/>
          <w:szCs w:val="40"/>
          <w14:textFill>
            <w14:solidFill>
              <w14:schemeClr w14:val="tx1"/>
            </w14:solidFill>
          </w14:textFill>
        </w:rPr>
        <w:t>招</w:t>
      </w:r>
      <w:r>
        <w:rPr>
          <w:rFonts w:hint="eastAsia" w:ascii="黑体" w:hAnsi="宋体" w:eastAsia="黑体" w:cs="黑体"/>
          <w:color w:val="000000" w:themeColor="text1"/>
          <w:sz w:val="40"/>
          <w:szCs w:val="40"/>
          <w14:textFill>
            <w14:solidFill>
              <w14:schemeClr w14:val="tx1"/>
            </w14:solidFill>
          </w14:textFill>
        </w:rPr>
        <w:t>标文件信息</w:t>
      </w:r>
    </w:p>
    <w:tbl>
      <w:tblPr>
        <w:tblStyle w:val="16"/>
        <w:tblW w:w="7943" w:type="dxa"/>
        <w:jc w:val="center"/>
        <w:tblCellSpacing w:w="0" w:type="dxa"/>
        <w:tblLayout w:type="fixed"/>
        <w:tblCellMar>
          <w:top w:w="45" w:type="dxa"/>
          <w:left w:w="45" w:type="dxa"/>
          <w:bottom w:w="45" w:type="dxa"/>
          <w:right w:w="45" w:type="dxa"/>
        </w:tblCellMar>
      </w:tblPr>
      <w:tblGrid>
        <w:gridCol w:w="2723"/>
        <w:gridCol w:w="5220"/>
      </w:tblGrid>
      <w:tr w14:paraId="6024551C">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9827420">
            <w:pPr>
              <w:jc w:val="right"/>
              <w:rPr>
                <w:color w:val="000000" w:themeColor="text1"/>
                <w:sz w:val="30"/>
                <w:szCs w:val="30"/>
                <w14:textFill>
                  <w14:solidFill>
                    <w14:schemeClr w14:val="tx1"/>
                  </w14:solidFill>
                </w14:textFill>
              </w:rPr>
            </w:pPr>
            <w:r>
              <w:rPr>
                <w:rFonts w:ascii="宋体" w:hAnsi="宋体" w:cs="宋体"/>
                <w:color w:val="000000" w:themeColor="text1"/>
                <w:sz w:val="30"/>
                <w:szCs w:val="30"/>
                <w14:textFill>
                  <w14:solidFill>
                    <w14:schemeClr w14:val="tx1"/>
                  </w14:solidFill>
                </w14:textFill>
              </w:rPr>
              <w:t>项目编号：</w:t>
            </w:r>
          </w:p>
        </w:tc>
        <w:tc>
          <w:tcPr>
            <w:tcW w:w="5220" w:type="dxa"/>
            <w:shd w:val="clear" w:color="auto" w:fill="auto"/>
            <w:vAlign w:val="center"/>
          </w:tcPr>
          <w:p w14:paraId="3D9F82B8">
            <w:pPr>
              <w:rPr>
                <w:rFonts w:hint="eastAsia" w:eastAsia="宋体"/>
                <w:color w:val="000000" w:themeColor="text1"/>
                <w:sz w:val="30"/>
                <w:szCs w:val="30"/>
                <w:lang w:eastAsia="zh-CN"/>
                <w14:textFill>
                  <w14:solidFill>
                    <w14:schemeClr w14:val="tx1"/>
                  </w14:solidFill>
                </w14:textFill>
              </w:rPr>
            </w:pPr>
            <w:r>
              <w:rPr>
                <w:rFonts w:hint="eastAsia" w:eastAsia="宋体"/>
                <w:color w:val="000000" w:themeColor="text1"/>
                <w:sz w:val="30"/>
                <w:szCs w:val="30"/>
                <w:lang w:eastAsia="zh-CN"/>
                <w14:textFill>
                  <w14:solidFill>
                    <w14:schemeClr w14:val="tx1"/>
                  </w14:solidFill>
                </w14:textFill>
              </w:rPr>
              <w:t>SZDL2025001627</w:t>
            </w:r>
          </w:p>
        </w:tc>
      </w:tr>
      <w:tr w14:paraId="2BCA2D99">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497AAA4A">
            <w:pPr>
              <w:jc w:val="right"/>
              <w:rPr>
                <w:color w:val="000000" w:themeColor="text1"/>
                <w:sz w:val="30"/>
                <w:szCs w:val="30"/>
                <w14:textFill>
                  <w14:solidFill>
                    <w14:schemeClr w14:val="tx1"/>
                  </w14:solidFill>
                </w14:textFill>
              </w:rPr>
            </w:pPr>
            <w:r>
              <w:rPr>
                <w:rFonts w:ascii="宋体" w:hAnsi="宋体" w:cs="宋体"/>
                <w:color w:val="000000" w:themeColor="text1"/>
                <w:sz w:val="30"/>
                <w:szCs w:val="30"/>
                <w14:textFill>
                  <w14:solidFill>
                    <w14:schemeClr w14:val="tx1"/>
                  </w14:solidFill>
                </w14:textFill>
              </w:rPr>
              <w:t>项目名称：</w:t>
            </w:r>
          </w:p>
        </w:tc>
        <w:tc>
          <w:tcPr>
            <w:tcW w:w="5220" w:type="dxa"/>
            <w:shd w:val="clear" w:color="auto" w:fill="auto"/>
            <w:vAlign w:val="center"/>
          </w:tcPr>
          <w:p w14:paraId="36ABF5B2">
            <w:pPr>
              <w:rPr>
                <w:rFonts w:hint="eastAsia" w:eastAsiaTheme="minorEastAsia"/>
                <w:color w:val="000000" w:themeColor="text1"/>
                <w:sz w:val="30"/>
                <w:szCs w:val="30"/>
                <w:lang w:eastAsia="zh-CN"/>
                <w14:textFill>
                  <w14:solidFill>
                    <w14:schemeClr w14:val="tx1"/>
                  </w14:solidFill>
                </w14:textFill>
              </w:rPr>
            </w:pPr>
            <w:r>
              <w:rPr>
                <w:rFonts w:hint="eastAsia" w:eastAsiaTheme="minorEastAsia"/>
                <w:color w:val="000000" w:themeColor="text1"/>
                <w:sz w:val="30"/>
                <w:szCs w:val="30"/>
                <w:lang w:eastAsia="zh-CN"/>
                <w14:textFill>
                  <w14:solidFill>
                    <w14:schemeClr w14:val="tx1"/>
                  </w14:solidFill>
                </w14:textFill>
              </w:rPr>
              <w:t>2025年度深圳市市管桥涵定期检测</w:t>
            </w:r>
          </w:p>
        </w:tc>
      </w:tr>
      <w:tr w14:paraId="611A26FB">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5B95D599">
            <w:pPr>
              <w:jc w:val="right"/>
              <w:rPr>
                <w:color w:val="000000" w:themeColor="text1"/>
                <w:sz w:val="30"/>
                <w:szCs w:val="30"/>
                <w14:textFill>
                  <w14:solidFill>
                    <w14:schemeClr w14:val="tx1"/>
                  </w14:solidFill>
                </w14:textFill>
              </w:rPr>
            </w:pPr>
            <w:r>
              <w:rPr>
                <w:rFonts w:ascii="宋体" w:hAnsi="宋体" w:cs="宋体"/>
                <w:color w:val="000000" w:themeColor="text1"/>
                <w:sz w:val="30"/>
                <w:szCs w:val="30"/>
                <w14:textFill>
                  <w14:solidFill>
                    <w14:schemeClr w14:val="tx1"/>
                  </w14:solidFill>
                </w14:textFill>
              </w:rPr>
              <w:t xml:space="preserve">包 </w:t>
            </w:r>
            <w:r>
              <w:rPr>
                <w:rFonts w:hint="eastAsia" w:ascii="宋体" w:hAnsi="宋体" w:cs="宋体"/>
                <w:color w:val="000000" w:themeColor="text1"/>
                <w:sz w:val="30"/>
                <w:szCs w:val="30"/>
                <w14:textFill>
                  <w14:solidFill>
                    <w14:schemeClr w14:val="tx1"/>
                  </w14:solidFill>
                </w14:textFill>
              </w:rPr>
              <w:t xml:space="preserve">  </w:t>
            </w:r>
            <w:r>
              <w:rPr>
                <w:rFonts w:ascii="宋体" w:hAnsi="宋体" w:cs="宋体"/>
                <w:color w:val="000000" w:themeColor="text1"/>
                <w:sz w:val="30"/>
                <w:szCs w:val="30"/>
                <w14:textFill>
                  <w14:solidFill>
                    <w14:schemeClr w14:val="tx1"/>
                  </w14:solidFill>
                </w14:textFill>
              </w:rPr>
              <w:t>号：</w:t>
            </w:r>
          </w:p>
        </w:tc>
        <w:tc>
          <w:tcPr>
            <w:tcW w:w="5220" w:type="dxa"/>
            <w:shd w:val="clear" w:color="auto" w:fill="auto"/>
            <w:vAlign w:val="center"/>
          </w:tcPr>
          <w:p w14:paraId="4B960668">
            <w:pPr>
              <w:rPr>
                <w:rFonts w:hint="eastAsia" w:eastAsia="宋体"/>
                <w:color w:val="000000" w:themeColor="text1"/>
                <w:sz w:val="30"/>
                <w:szCs w:val="30"/>
                <w:lang w:eastAsia="zh-CN"/>
                <w14:textFill>
                  <w14:solidFill>
                    <w14:schemeClr w14:val="tx1"/>
                  </w14:solidFill>
                </w14:textFill>
              </w:rPr>
            </w:pPr>
            <w:r>
              <w:rPr>
                <w:rFonts w:hint="eastAsia" w:ascii="宋体" w:hAnsi="宋体" w:eastAsia="宋体" w:cs="宋体"/>
                <w:color w:val="000000" w:themeColor="text1"/>
                <w:sz w:val="30"/>
                <w:szCs w:val="30"/>
                <w:lang w:val="en-US" w:eastAsia="zh-CN"/>
                <w14:textFill>
                  <w14:solidFill>
                    <w14:schemeClr w14:val="tx1"/>
                  </w14:solidFill>
                </w14:textFill>
              </w:rPr>
              <w:t>C</w:t>
            </w:r>
          </w:p>
        </w:tc>
      </w:tr>
      <w:tr w14:paraId="1AB9C83D">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6F374EC">
            <w:pPr>
              <w:jc w:val="right"/>
              <w:rPr>
                <w:color w:val="000000" w:themeColor="text1"/>
                <w:sz w:val="30"/>
                <w:szCs w:val="30"/>
                <w14:textFill>
                  <w14:solidFill>
                    <w14:schemeClr w14:val="tx1"/>
                  </w14:solidFill>
                </w14:textFill>
              </w:rPr>
            </w:pPr>
            <w:r>
              <w:rPr>
                <w:rFonts w:ascii="宋体" w:hAnsi="宋体" w:cs="宋体"/>
                <w:color w:val="000000" w:themeColor="text1"/>
                <w:sz w:val="30"/>
                <w:szCs w:val="30"/>
                <w14:textFill>
                  <w14:solidFill>
                    <w14:schemeClr w14:val="tx1"/>
                  </w14:solidFill>
                </w14:textFill>
              </w:rPr>
              <w:t>项目类型：</w:t>
            </w:r>
          </w:p>
        </w:tc>
        <w:tc>
          <w:tcPr>
            <w:tcW w:w="5220" w:type="dxa"/>
            <w:shd w:val="clear" w:color="auto" w:fill="auto"/>
            <w:vAlign w:val="center"/>
          </w:tcPr>
          <w:p w14:paraId="27F5AABA">
            <w:pPr>
              <w:rPr>
                <w:color w:val="000000" w:themeColor="text1"/>
                <w:sz w:val="30"/>
                <w:szCs w:val="30"/>
                <w14:textFill>
                  <w14:solidFill>
                    <w14:schemeClr w14:val="tx1"/>
                  </w14:solidFill>
                </w14:textFill>
              </w:rPr>
            </w:pPr>
            <w:r>
              <w:rPr>
                <w:rFonts w:hint="eastAsia" w:ascii="宋体" w:hAnsi="宋体" w:cs="宋体"/>
                <w:color w:val="000000" w:themeColor="text1"/>
                <w:sz w:val="30"/>
                <w:szCs w:val="30"/>
                <w14:textFill>
                  <w14:solidFill>
                    <w14:schemeClr w14:val="tx1"/>
                  </w14:solidFill>
                </w14:textFill>
              </w:rPr>
              <w:t>服务</w:t>
            </w:r>
            <w:r>
              <w:rPr>
                <w:rFonts w:ascii="宋体" w:hAnsi="宋体" w:cs="宋体"/>
                <w:color w:val="000000" w:themeColor="text1"/>
                <w:sz w:val="30"/>
                <w:szCs w:val="30"/>
                <w14:textFill>
                  <w14:solidFill>
                    <w14:schemeClr w14:val="tx1"/>
                  </w14:solidFill>
                </w14:textFill>
              </w:rPr>
              <w:t>类</w:t>
            </w:r>
          </w:p>
        </w:tc>
      </w:tr>
      <w:tr w14:paraId="1F0FA2FF">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42CA0785">
            <w:pPr>
              <w:jc w:val="right"/>
              <w:rPr>
                <w:color w:val="000000" w:themeColor="text1"/>
                <w:sz w:val="30"/>
                <w:szCs w:val="30"/>
                <w14:textFill>
                  <w14:solidFill>
                    <w14:schemeClr w14:val="tx1"/>
                  </w14:solidFill>
                </w14:textFill>
              </w:rPr>
            </w:pPr>
            <w:r>
              <w:rPr>
                <w:rFonts w:ascii="宋体" w:hAnsi="宋体" w:cs="宋体"/>
                <w:color w:val="000000" w:themeColor="text1"/>
                <w:sz w:val="30"/>
                <w:szCs w:val="30"/>
                <w14:textFill>
                  <w14:solidFill>
                    <w14:schemeClr w14:val="tx1"/>
                  </w14:solidFill>
                </w14:textFill>
              </w:rPr>
              <w:t>采购方式：</w:t>
            </w:r>
          </w:p>
        </w:tc>
        <w:tc>
          <w:tcPr>
            <w:tcW w:w="5220" w:type="dxa"/>
            <w:shd w:val="clear" w:color="auto" w:fill="auto"/>
            <w:vAlign w:val="center"/>
          </w:tcPr>
          <w:p w14:paraId="29C0B0C1">
            <w:pPr>
              <w:rPr>
                <w:color w:val="000000" w:themeColor="text1"/>
                <w:sz w:val="30"/>
                <w:szCs w:val="30"/>
                <w14:textFill>
                  <w14:solidFill>
                    <w14:schemeClr w14:val="tx1"/>
                  </w14:solidFill>
                </w14:textFill>
              </w:rPr>
            </w:pPr>
            <w:r>
              <w:rPr>
                <w:rFonts w:ascii="宋体" w:hAnsi="宋体" w:cs="宋体"/>
                <w:color w:val="000000" w:themeColor="text1"/>
                <w:sz w:val="30"/>
                <w:szCs w:val="30"/>
                <w14:textFill>
                  <w14:solidFill>
                    <w14:schemeClr w14:val="tx1"/>
                  </w14:solidFill>
                </w14:textFill>
              </w:rPr>
              <w:t>公开招标</w:t>
            </w:r>
          </w:p>
        </w:tc>
      </w:tr>
      <w:tr w14:paraId="0F8FE0EE">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A8A04F0">
            <w:pPr>
              <w:jc w:val="right"/>
              <w:rPr>
                <w:color w:val="000000" w:themeColor="text1"/>
                <w:sz w:val="30"/>
                <w:szCs w:val="30"/>
                <w14:textFill>
                  <w14:solidFill>
                    <w14:schemeClr w14:val="tx1"/>
                  </w14:solidFill>
                </w14:textFill>
              </w:rPr>
            </w:pPr>
            <w:r>
              <w:rPr>
                <w:rFonts w:ascii="宋体" w:hAnsi="宋体" w:cs="宋体"/>
                <w:color w:val="000000" w:themeColor="text1"/>
                <w:sz w:val="30"/>
                <w:szCs w:val="30"/>
                <w14:textFill>
                  <w14:solidFill>
                    <w14:schemeClr w14:val="tx1"/>
                  </w14:solidFill>
                </w14:textFill>
              </w:rPr>
              <w:t>货币类型：</w:t>
            </w:r>
          </w:p>
        </w:tc>
        <w:tc>
          <w:tcPr>
            <w:tcW w:w="5220" w:type="dxa"/>
            <w:shd w:val="clear" w:color="auto" w:fill="auto"/>
            <w:vAlign w:val="center"/>
          </w:tcPr>
          <w:p w14:paraId="5CDCA5A7">
            <w:pPr>
              <w:rPr>
                <w:color w:val="000000" w:themeColor="text1"/>
                <w:sz w:val="30"/>
                <w:szCs w:val="30"/>
                <w14:textFill>
                  <w14:solidFill>
                    <w14:schemeClr w14:val="tx1"/>
                  </w14:solidFill>
                </w14:textFill>
              </w:rPr>
            </w:pPr>
            <w:r>
              <w:rPr>
                <w:rFonts w:ascii="宋体" w:hAnsi="宋体" w:cs="宋体"/>
                <w:color w:val="000000" w:themeColor="text1"/>
                <w:sz w:val="30"/>
                <w:szCs w:val="30"/>
                <w14:textFill>
                  <w14:solidFill>
                    <w14:schemeClr w14:val="tx1"/>
                  </w14:solidFill>
                </w14:textFill>
              </w:rPr>
              <w:t>人民币</w:t>
            </w:r>
          </w:p>
        </w:tc>
      </w:tr>
      <w:tr w14:paraId="7A429C9C">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0582B136">
            <w:pPr>
              <w:jc w:val="right"/>
              <w:rPr>
                <w:color w:val="000000" w:themeColor="text1"/>
                <w:sz w:val="30"/>
                <w:szCs w:val="30"/>
                <w14:textFill>
                  <w14:solidFill>
                    <w14:schemeClr w14:val="tx1"/>
                  </w14:solidFill>
                </w14:textFill>
              </w:rPr>
            </w:pPr>
            <w:r>
              <w:rPr>
                <w:rFonts w:ascii="宋体" w:hAnsi="宋体" w:cs="宋体"/>
                <w:color w:val="000000" w:themeColor="text1"/>
                <w:sz w:val="30"/>
                <w:szCs w:val="30"/>
                <w14:textFill>
                  <w14:solidFill>
                    <w14:schemeClr w14:val="tx1"/>
                  </w14:solidFill>
                </w14:textFill>
              </w:rPr>
              <w:t>评标方法：</w:t>
            </w:r>
          </w:p>
        </w:tc>
        <w:tc>
          <w:tcPr>
            <w:tcW w:w="5220" w:type="dxa"/>
            <w:shd w:val="clear" w:color="auto" w:fill="auto"/>
            <w:vAlign w:val="center"/>
          </w:tcPr>
          <w:p w14:paraId="46177E48">
            <w:pPr>
              <w:rPr>
                <w:color w:val="000000" w:themeColor="text1"/>
                <w:sz w:val="30"/>
                <w:szCs w:val="30"/>
                <w14:textFill>
                  <w14:solidFill>
                    <w14:schemeClr w14:val="tx1"/>
                  </w14:solidFill>
                </w14:textFill>
              </w:rPr>
            </w:pPr>
            <w:r>
              <w:rPr>
                <w:rFonts w:ascii="宋体" w:hAnsi="宋体" w:cs="宋体"/>
                <w:color w:val="000000" w:themeColor="text1"/>
                <w:sz w:val="30"/>
                <w:szCs w:val="30"/>
                <w14:textFill>
                  <w14:solidFill>
                    <w14:schemeClr w14:val="tx1"/>
                  </w14:solidFill>
                </w14:textFill>
              </w:rPr>
              <w:t>综合评分法（新价格分算法）</w:t>
            </w:r>
          </w:p>
        </w:tc>
      </w:tr>
    </w:tbl>
    <w:p w14:paraId="21D9D660">
      <w:pPr>
        <w:pStyle w:val="14"/>
        <w:keepNext w:val="0"/>
        <w:keepLines w:val="0"/>
        <w:pageBreakBefore w:val="0"/>
        <w:widowControl/>
        <w:kinsoku/>
        <w:wordWrap/>
        <w:overflowPunct/>
        <w:topLinePunct w:val="0"/>
        <w:autoSpaceDE/>
        <w:autoSpaceDN/>
        <w:bidi w:val="0"/>
        <w:adjustRightInd/>
        <w:snapToGrid/>
        <w:spacing w:before="0" w:beforeLines="100" w:after="0" w:afterLines="100"/>
        <w:jc w:val="center"/>
        <w:textAlignment w:val="auto"/>
        <w:outlineLvl w:val="1"/>
        <w:rPr>
          <w:rFonts w:ascii="黑体" w:hAnsi="黑体" w:eastAsia="黑体"/>
          <w:color w:val="000000" w:themeColor="text1"/>
          <w:sz w:val="40"/>
          <w:szCs w:val="40"/>
          <w14:textFill>
            <w14:solidFill>
              <w14:schemeClr w14:val="tx1"/>
            </w14:solidFill>
          </w14:textFill>
        </w:rPr>
      </w:pPr>
      <w:r>
        <w:rPr>
          <w:rFonts w:hint="eastAsia" w:ascii="宋体" w:hAnsi="宋体" w:eastAsia="宋体" w:cs="黑体"/>
          <w:sz w:val="40"/>
          <w:szCs w:val="40"/>
          <w:lang w:val="en-US" w:eastAsia="zh-CN" w:bidi="ar-SA"/>
        </w:rPr>
        <w:t>资格性审查表</w:t>
      </w:r>
    </w:p>
    <w:tbl>
      <w:tblPr>
        <w:tblStyle w:val="16"/>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78"/>
      </w:tblGrid>
      <w:tr w14:paraId="2820DE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E14E3A1">
            <w:pPr>
              <w:jc w:val="center"/>
              <w:rPr>
                <w:rFonts w:ascii="宋体" w:hAnsi="宋体" w:cs="宋体"/>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序号</w:t>
            </w:r>
          </w:p>
        </w:tc>
        <w:tc>
          <w:tcPr>
            <w:tcW w:w="8278"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45D4A211">
            <w:pPr>
              <w:jc w:val="center"/>
              <w:rPr>
                <w:rFonts w:ascii="宋体" w:hAnsi="宋体" w:cs="宋体"/>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内容</w:t>
            </w:r>
          </w:p>
        </w:tc>
      </w:tr>
      <w:tr w14:paraId="1B64A8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5C9CD080">
            <w:pPr>
              <w:jc w:val="center"/>
              <w:rPr>
                <w:rFonts w:ascii="宋体" w:hAnsi="宋体" w:cs="宋体"/>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8278" w:type="dxa"/>
            <w:tcBorders>
              <w:top w:val="single" w:color="000000" w:sz="8" w:space="0"/>
              <w:left w:val="single" w:color="000000" w:sz="8" w:space="0"/>
              <w:bottom w:val="single" w:color="000000" w:sz="8" w:space="0"/>
              <w:right w:val="single" w:color="000000" w:sz="8" w:space="0"/>
            </w:tcBorders>
          </w:tcPr>
          <w:p w14:paraId="20D712B5">
            <w:pPr>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投标人不</w:t>
            </w:r>
            <w:r>
              <w:rPr>
                <w:rFonts w:hint="eastAsia" w:ascii="宋体" w:hAnsi="宋体" w:cs="宋体"/>
                <w:color w:val="000000" w:themeColor="text1"/>
                <w:szCs w:val="21"/>
                <w14:textFill>
                  <w14:solidFill>
                    <w14:schemeClr w14:val="tx1"/>
                  </w14:solidFill>
                </w14:textFill>
              </w:rPr>
              <w:t>符合</w:t>
            </w:r>
            <w:r>
              <w:rPr>
                <w:rFonts w:ascii="宋体" w:hAnsi="宋体" w:cs="宋体"/>
                <w:color w:val="000000" w:themeColor="text1"/>
                <w:szCs w:val="21"/>
                <w14:textFill>
                  <w14:solidFill>
                    <w14:schemeClr w14:val="tx1"/>
                  </w14:solidFill>
                </w14:textFill>
              </w:rPr>
              <w:t>资格要求，或未提交相应的资格证明资料（详见招标公告</w:t>
            </w:r>
            <w:r>
              <w:rPr>
                <w:rFonts w:hint="eastAsia" w:ascii="宋体" w:hAnsi="宋体"/>
                <w:color w:val="000000" w:themeColor="text1"/>
                <w:szCs w:val="21"/>
                <w14:textFill>
                  <w14:solidFill>
                    <w14:schemeClr w14:val="tx1"/>
                  </w14:solidFill>
                </w14:textFill>
              </w:rPr>
              <w:t>投标人资格要求，即申请人的资格要求</w:t>
            </w:r>
            <w:r>
              <w:rPr>
                <w:rFonts w:ascii="宋体" w:hAnsi="宋体" w:cs="宋体"/>
                <w:color w:val="000000" w:themeColor="text1"/>
                <w:szCs w:val="21"/>
                <w14:textFill>
                  <w14:solidFill>
                    <w14:schemeClr w14:val="tx1"/>
                  </w14:solidFill>
                </w14:textFill>
              </w:rPr>
              <w:t>）</w:t>
            </w:r>
          </w:p>
        </w:tc>
      </w:tr>
    </w:tbl>
    <w:p w14:paraId="0C82EA29">
      <w:pPr>
        <w:pStyle w:val="14"/>
        <w:keepNext w:val="0"/>
        <w:keepLines w:val="0"/>
        <w:pageBreakBefore w:val="0"/>
        <w:widowControl/>
        <w:kinsoku/>
        <w:wordWrap/>
        <w:overflowPunct/>
        <w:topLinePunct w:val="0"/>
        <w:autoSpaceDE/>
        <w:autoSpaceDN/>
        <w:bidi w:val="0"/>
        <w:adjustRightInd/>
        <w:snapToGrid/>
        <w:spacing w:before="0" w:beforeLines="100" w:after="0" w:afterLines="100"/>
        <w:jc w:val="center"/>
        <w:textAlignment w:val="auto"/>
        <w:outlineLvl w:val="1"/>
        <w:rPr>
          <w:rFonts w:hint="eastAsia" w:ascii="宋体" w:hAnsi="宋体" w:eastAsia="宋体" w:cs="黑体"/>
          <w:sz w:val="40"/>
          <w:szCs w:val="40"/>
          <w:lang w:val="en-US" w:eastAsia="zh-CN" w:bidi="ar-SA"/>
        </w:rPr>
      </w:pPr>
      <w:r>
        <w:rPr>
          <w:rFonts w:hint="eastAsia" w:ascii="宋体" w:hAnsi="宋体" w:eastAsia="宋体" w:cs="黑体"/>
          <w:sz w:val="40"/>
          <w:szCs w:val="40"/>
          <w:lang w:val="en-US" w:eastAsia="zh-CN" w:bidi="ar-SA"/>
        </w:rPr>
        <w:t>符合性审查表</w:t>
      </w:r>
    </w:p>
    <w:tbl>
      <w:tblPr>
        <w:tblStyle w:val="16"/>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78"/>
      </w:tblGrid>
      <w:tr w14:paraId="36F1484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6D26AD5E">
            <w:pPr>
              <w:jc w:val="center"/>
              <w:rPr>
                <w:rFonts w:ascii="宋体" w:hAnsi="宋体" w:cs="宋体"/>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序号</w:t>
            </w:r>
          </w:p>
        </w:tc>
        <w:tc>
          <w:tcPr>
            <w:tcW w:w="8278"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1870D901">
            <w:pPr>
              <w:jc w:val="center"/>
              <w:rPr>
                <w:rFonts w:ascii="宋体" w:hAnsi="宋体" w:cs="宋体"/>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内容</w:t>
            </w:r>
          </w:p>
        </w:tc>
      </w:tr>
      <w:tr w14:paraId="337D0FA9">
        <w:tblPrEx>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7F08CB5B">
            <w:pPr>
              <w:jc w:val="center"/>
              <w:rPr>
                <w:rFonts w:ascii="宋体" w:hAnsi="宋体" w:cs="宋体"/>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8278" w:type="dxa"/>
            <w:tcBorders>
              <w:top w:val="single" w:color="000000" w:sz="8" w:space="0"/>
              <w:left w:val="single" w:color="000000" w:sz="8" w:space="0"/>
              <w:bottom w:val="single" w:color="000000" w:sz="8" w:space="0"/>
              <w:right w:val="single" w:color="000000" w:sz="8" w:space="0"/>
            </w:tcBorders>
          </w:tcPr>
          <w:p w14:paraId="616DA36C">
            <w:pPr>
              <w:rPr>
                <w:rFonts w:ascii="宋体" w:hAnsi="宋体" w:cs="宋体"/>
                <w:color w:val="000000" w:themeColor="text1"/>
                <w:szCs w:val="21"/>
                <w14:textFill>
                  <w14:solidFill>
                    <w14:schemeClr w14:val="tx1"/>
                  </w14:solidFill>
                </w14:textFill>
              </w:rPr>
            </w:pPr>
            <w:r>
              <w:rPr>
                <w:rFonts w:hint="eastAsia"/>
                <w:color w:val="000000" w:themeColor="text1"/>
                <w14:textFill>
                  <w14:solidFill>
                    <w14:schemeClr w14:val="tx1"/>
                  </w14:solidFill>
                </w14:textFill>
              </w:rPr>
              <w:t>将一个包或一个标段的内容拆开投标；</w:t>
            </w:r>
          </w:p>
        </w:tc>
      </w:tr>
      <w:tr w14:paraId="0498932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06EB2508">
            <w:pPr>
              <w:jc w:val="center"/>
              <w:rPr>
                <w:rFonts w:ascii="宋体" w:hAnsi="宋体" w:cs="宋体"/>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8278" w:type="dxa"/>
            <w:tcBorders>
              <w:top w:val="single" w:color="000000" w:sz="8" w:space="0"/>
              <w:left w:val="single" w:color="000000" w:sz="8" w:space="0"/>
              <w:bottom w:val="single" w:color="000000" w:sz="8" w:space="0"/>
              <w:right w:val="single" w:color="000000" w:sz="8" w:space="0"/>
            </w:tcBorders>
          </w:tcPr>
          <w:p w14:paraId="2C43E5F6">
            <w:pPr>
              <w:rPr>
                <w:rFonts w:ascii="宋体" w:hAnsi="宋体" w:cs="宋体"/>
                <w:color w:val="000000" w:themeColor="text1"/>
                <w:szCs w:val="21"/>
                <w14:textFill>
                  <w14:solidFill>
                    <w14:schemeClr w14:val="tx1"/>
                  </w14:solidFill>
                </w14:textFill>
              </w:rPr>
            </w:pPr>
            <w:r>
              <w:rPr>
                <w:rFonts w:hint="eastAsia"/>
                <w:color w:val="000000" w:themeColor="text1"/>
                <w14:textFill>
                  <w14:solidFill>
                    <w14:schemeClr w14:val="tx1"/>
                  </w14:solidFill>
                </w14:textFill>
              </w:rPr>
              <w:t>对同一项目投标时，提供两套以上的投标方案（招标文件另有规定的除外）；</w:t>
            </w:r>
          </w:p>
        </w:tc>
      </w:tr>
      <w:tr w14:paraId="03C116D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1F465439">
            <w:pPr>
              <w:jc w:val="center"/>
              <w:rPr>
                <w:rFonts w:ascii="宋体" w:hAnsi="宋体" w:cs="宋体"/>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8278" w:type="dxa"/>
            <w:tcBorders>
              <w:top w:val="single" w:color="000000" w:sz="8" w:space="0"/>
              <w:left w:val="single" w:color="000000" w:sz="8" w:space="0"/>
              <w:bottom w:val="single" w:color="000000" w:sz="8" w:space="0"/>
              <w:right w:val="single" w:color="000000" w:sz="8" w:space="0"/>
            </w:tcBorders>
            <w:vAlign w:val="top"/>
          </w:tcPr>
          <w:p w14:paraId="18DF5FD8">
            <w:pPr>
              <w:jc w:val="left"/>
              <w:rPr>
                <w:rFonts w:ascii="宋体" w:hAnsi="宋体" w:cs="宋体"/>
                <w:color w:val="000000" w:themeColor="text1"/>
                <w:szCs w:val="21"/>
                <w14:textFill>
                  <w14:solidFill>
                    <w14:schemeClr w14:val="tx1"/>
                  </w14:solidFill>
                </w14:textFill>
              </w:rPr>
            </w:pPr>
            <w:r>
              <w:rPr>
                <w:rFonts w:hint="eastAsia"/>
                <w:highlight w:val="none"/>
              </w:rPr>
              <w:t>分项报价或投标总价高于</w:t>
            </w:r>
            <w:bookmarkStart w:id="0" w:name="_Hlk71832186"/>
            <w:r>
              <w:rPr>
                <w:rFonts w:hint="eastAsia"/>
                <w:highlight w:val="none"/>
              </w:rPr>
              <w:t>相应财政预算金额（或设定的财政预算金额下的最高限价）</w:t>
            </w:r>
            <w:bookmarkEnd w:id="0"/>
            <w:r>
              <w:rPr>
                <w:rFonts w:hint="eastAsia"/>
                <w:highlight w:val="none"/>
              </w:rPr>
              <w:t>；</w:t>
            </w:r>
          </w:p>
        </w:tc>
      </w:tr>
      <w:tr w14:paraId="67C215C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1638" w:hRule="atLeast"/>
          <w:jc w:val="center"/>
        </w:trPr>
        <w:tc>
          <w:tcPr>
            <w:tcW w:w="794" w:type="dxa"/>
            <w:tcBorders>
              <w:top w:val="single" w:color="000000" w:sz="8" w:space="0"/>
              <w:left w:val="single" w:color="000000" w:sz="8" w:space="0"/>
              <w:bottom w:val="single" w:color="000000" w:sz="8" w:space="0"/>
              <w:right w:val="single" w:color="000000" w:sz="8" w:space="0"/>
            </w:tcBorders>
          </w:tcPr>
          <w:p w14:paraId="00027187">
            <w:pPr>
              <w:jc w:val="center"/>
              <w:rPr>
                <w:rFonts w:ascii="宋体" w:hAnsi="宋体" w:cs="宋体"/>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8278" w:type="dxa"/>
            <w:tcBorders>
              <w:top w:val="single" w:color="000000" w:sz="8" w:space="0"/>
              <w:left w:val="single" w:color="000000" w:sz="8" w:space="0"/>
              <w:bottom w:val="single" w:color="000000" w:sz="8" w:space="0"/>
              <w:right w:val="single" w:color="000000" w:sz="8" w:space="0"/>
            </w:tcBorders>
          </w:tcPr>
          <w:p w14:paraId="2EE7090F">
            <w:pPr>
              <w:rPr>
                <w:rFonts w:ascii="宋体" w:hAnsi="宋体" w:cs="宋体"/>
                <w:color w:val="000000" w:themeColor="text1"/>
                <w:szCs w:val="21"/>
                <w14:textFill>
                  <w14:solidFill>
                    <w14:schemeClr w14:val="tx1"/>
                  </w14:solidFill>
                </w14:textFill>
              </w:rPr>
            </w:pPr>
            <w:r>
              <w:rPr>
                <w:rFonts w:hint="eastAsia"/>
                <w:color w:val="000000" w:themeColor="text1"/>
                <w14:textFill>
                  <w14:solidFill>
                    <w14:schemeClr w14:val="tx1"/>
                  </w14:solidFill>
                </w14:textFill>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52A9EC6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4D5E35C3">
            <w:pPr>
              <w:jc w:val="center"/>
              <w:rPr>
                <w:rFonts w:ascii="宋体" w:hAnsi="宋体" w:cs="宋体"/>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8278" w:type="dxa"/>
            <w:tcBorders>
              <w:top w:val="single" w:color="000000" w:sz="8" w:space="0"/>
              <w:left w:val="single" w:color="000000" w:sz="8" w:space="0"/>
              <w:bottom w:val="single" w:color="000000" w:sz="8" w:space="0"/>
              <w:right w:val="single" w:color="000000" w:sz="8" w:space="0"/>
            </w:tcBorders>
          </w:tcPr>
          <w:p w14:paraId="300C9247">
            <w:pPr>
              <w:rPr>
                <w:rFonts w:ascii="宋体" w:hAnsi="宋体" w:cs="宋体"/>
                <w:color w:val="000000" w:themeColor="text1"/>
                <w:szCs w:val="21"/>
                <w14:textFill>
                  <w14:solidFill>
                    <w14:schemeClr w14:val="tx1"/>
                  </w14:solidFill>
                </w14:textFill>
              </w:rPr>
            </w:pPr>
            <w:r>
              <w:rPr>
                <w:rFonts w:hint="eastAsia"/>
              </w:rPr>
              <w:t>所投货物、服务在技术、商务等方面没有实质性满足招标文件要求的（是否实质性满足招标文件要求，由评审委员会根据《实质性条款响应情况表》做出评判）</w:t>
            </w:r>
            <w:r>
              <w:rPr>
                <w:rFonts w:hint="eastAsia" w:ascii="宋体" w:hAnsi="宋体" w:eastAsia="宋体"/>
                <w:lang w:eastAsia="zh-CN"/>
              </w:rPr>
              <w:t>，投标文件的轻微瑕疵、非关键内容不得作为认定投标无效的依据</w:t>
            </w:r>
            <w:r>
              <w:rPr>
                <w:rFonts w:hint="eastAsia" w:ascii="宋体" w:hAnsi="宋体" w:eastAsia="宋体"/>
              </w:rPr>
              <w:t>）</w:t>
            </w:r>
            <w:r>
              <w:rPr>
                <w:rFonts w:hint="eastAsia"/>
              </w:rPr>
              <w:t>；</w:t>
            </w:r>
          </w:p>
        </w:tc>
      </w:tr>
      <w:tr w14:paraId="19D06B7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318" w:hRule="atLeast"/>
          <w:jc w:val="center"/>
        </w:trPr>
        <w:tc>
          <w:tcPr>
            <w:tcW w:w="794" w:type="dxa"/>
            <w:tcBorders>
              <w:top w:val="single" w:color="000000" w:sz="8" w:space="0"/>
              <w:left w:val="single" w:color="000000" w:sz="8" w:space="0"/>
              <w:bottom w:val="single" w:color="000000" w:sz="8" w:space="0"/>
              <w:right w:val="single" w:color="000000" w:sz="8" w:space="0"/>
            </w:tcBorders>
          </w:tcPr>
          <w:p w14:paraId="3B30F4AB">
            <w:pPr>
              <w:jc w:val="center"/>
              <w:rPr>
                <w:rFonts w:ascii="宋体" w:hAnsi="宋体" w:cs="宋体"/>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8278" w:type="dxa"/>
            <w:tcBorders>
              <w:top w:val="single" w:color="000000" w:sz="8" w:space="0"/>
              <w:left w:val="single" w:color="000000" w:sz="8" w:space="0"/>
              <w:bottom w:val="single" w:color="000000" w:sz="8" w:space="0"/>
              <w:right w:val="single" w:color="000000" w:sz="8" w:space="0"/>
            </w:tcBorders>
          </w:tcPr>
          <w:p w14:paraId="382055B1">
            <w:pPr>
              <w:rPr>
                <w:rFonts w:ascii="宋体" w:hAnsi="宋体" w:cs="宋体"/>
                <w:color w:val="000000" w:themeColor="text1"/>
                <w:szCs w:val="21"/>
                <w14:textFill>
                  <w14:solidFill>
                    <w14:schemeClr w14:val="tx1"/>
                  </w14:solidFill>
                </w14:textFill>
              </w:rPr>
            </w:pPr>
            <w:r>
              <w:rPr>
                <w:rFonts w:hint="eastAsia"/>
                <w:color w:val="000000" w:themeColor="text1"/>
                <w14:textFill>
                  <w14:solidFill>
                    <w14:schemeClr w14:val="tx1"/>
                  </w14:solidFill>
                </w14:textFill>
              </w:rPr>
              <w:t>未按招标文件所提供的样式填写《投标函》；</w:t>
            </w:r>
          </w:p>
        </w:tc>
      </w:tr>
      <w:tr w14:paraId="156E875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18A61452">
            <w:pPr>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7</w:t>
            </w:r>
          </w:p>
        </w:tc>
        <w:tc>
          <w:tcPr>
            <w:tcW w:w="8278" w:type="dxa"/>
            <w:tcBorders>
              <w:top w:val="single" w:color="000000" w:sz="8" w:space="0"/>
              <w:left w:val="single" w:color="000000" w:sz="8" w:space="0"/>
              <w:bottom w:val="single" w:color="000000" w:sz="8" w:space="0"/>
              <w:right w:val="single" w:color="000000" w:sz="8" w:space="0"/>
            </w:tcBorders>
          </w:tcPr>
          <w:p w14:paraId="0E92BFE8">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未按招标文件所提供的《政府采购投标及履约承诺函》进行承诺</w:t>
            </w:r>
            <w:r>
              <w:rPr>
                <w:rFonts w:hint="eastAsia"/>
                <w:color w:val="auto"/>
              </w:rPr>
              <w:t>或不符合承诺的</w:t>
            </w:r>
            <w:r>
              <w:rPr>
                <w:rFonts w:hint="eastAsia"/>
                <w:color w:val="000000" w:themeColor="text1"/>
                <w14:textFill>
                  <w14:solidFill>
                    <w14:schemeClr w14:val="tx1"/>
                  </w14:solidFill>
                </w14:textFill>
              </w:rPr>
              <w:t>；</w:t>
            </w:r>
          </w:p>
        </w:tc>
      </w:tr>
      <w:tr w14:paraId="7E833CB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27E65731">
            <w:pPr>
              <w:jc w:val="center"/>
              <w:rPr>
                <w:rFonts w:hint="eastAsia" w:ascii="宋体" w:hAnsi="宋体" w:eastAsia="宋体" w:cs="宋体"/>
                <w:color w:val="000000" w:themeColor="text1"/>
                <w:szCs w:val="21"/>
                <w:lang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8</w:t>
            </w:r>
          </w:p>
        </w:tc>
        <w:tc>
          <w:tcPr>
            <w:tcW w:w="8278" w:type="dxa"/>
            <w:tcBorders>
              <w:top w:val="single" w:color="000000" w:sz="8" w:space="0"/>
              <w:left w:val="single" w:color="000000" w:sz="8" w:space="0"/>
              <w:bottom w:val="single" w:color="000000" w:sz="8" w:space="0"/>
              <w:right w:val="single" w:color="000000" w:sz="8" w:space="0"/>
            </w:tcBorders>
          </w:tcPr>
          <w:p w14:paraId="48BC3C16">
            <w:pPr>
              <w:rPr>
                <w:rFonts w:ascii="宋体" w:hAnsi="宋体" w:cs="宋体"/>
                <w:color w:val="000000" w:themeColor="text1"/>
                <w:szCs w:val="21"/>
                <w14:textFill>
                  <w14:solidFill>
                    <w14:schemeClr w14:val="tx1"/>
                  </w14:solidFill>
                </w14:textFill>
              </w:rPr>
            </w:pPr>
            <w:r>
              <w:rPr>
                <w:rFonts w:hint="eastAsia" w:ascii="宋体" w:hAnsi="宋体" w:eastAsia="宋体"/>
                <w:lang w:eastAsia="zh-CN"/>
              </w:rPr>
              <w:t>投标文件对</w:t>
            </w:r>
            <w:r>
              <w:rPr>
                <w:rFonts w:hint="eastAsia" w:ascii="宋体" w:hAnsi="宋体" w:eastAsia="宋体" w:cs="Times New Roman"/>
                <w:kern w:val="0"/>
                <w:sz w:val="24"/>
                <w:szCs w:val="24"/>
                <w:lang w:val="en-US" w:eastAsia="zh-CN" w:bidi="ar"/>
              </w:rPr>
              <w:t>采购标的响应不全（响应不全情形包括：</w:t>
            </w:r>
            <w:r>
              <w:rPr>
                <w:rFonts w:hint="eastAsia" w:ascii="宋体" w:hAnsi="宋体" w:eastAsia="宋体"/>
              </w:rPr>
              <w:t>投标报价有缺漏</w:t>
            </w:r>
            <w:r>
              <w:rPr>
                <w:rFonts w:hint="eastAsia" w:ascii="宋体" w:hAnsi="宋体" w:eastAsia="宋体"/>
                <w:lang w:eastAsia="zh-CN"/>
              </w:rPr>
              <w:t>项，</w:t>
            </w:r>
            <w:r>
              <w:rPr>
                <w:rFonts w:hint="eastAsia" w:ascii="宋体" w:hAnsi="宋体" w:eastAsia="宋体"/>
              </w:rPr>
              <w:t>对招标文件规定的项目需求内容或者需求数量进行修改</w:t>
            </w:r>
            <w:r>
              <w:rPr>
                <w:rFonts w:hint="eastAsia" w:ascii="宋体" w:hAnsi="宋体" w:eastAsia="宋体" w:cs="Times New Roman"/>
                <w:kern w:val="0"/>
                <w:sz w:val="24"/>
                <w:szCs w:val="24"/>
                <w:lang w:val="en-US" w:eastAsia="zh-CN" w:bidi="ar"/>
              </w:rPr>
              <w:t>），</w:t>
            </w:r>
            <w:r>
              <w:rPr>
                <w:rFonts w:hint="eastAsia" w:ascii="宋体" w:hAnsi="宋体" w:eastAsia="宋体"/>
              </w:rPr>
              <w:t>由评审委员会根据《</w:t>
            </w:r>
            <w:r>
              <w:rPr>
                <w:rFonts w:hint="eastAsia" w:ascii="宋体" w:hAnsi="宋体" w:eastAsia="宋体"/>
                <w:b w:val="0"/>
                <w:lang w:eastAsia="zh-CN"/>
              </w:rPr>
              <w:t>项目详细报价</w:t>
            </w:r>
            <w:r>
              <w:rPr>
                <w:rFonts w:hint="eastAsia" w:ascii="宋体" w:hAnsi="宋体" w:eastAsia="宋体"/>
              </w:rPr>
              <w:t>》做出评判）</w:t>
            </w:r>
          </w:p>
        </w:tc>
      </w:tr>
      <w:tr w14:paraId="54F2870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top"/>
          </w:tcPr>
          <w:p w14:paraId="78068034">
            <w:pPr>
              <w:jc w:val="center"/>
              <w:textAlignment w:val="top"/>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szCs w:val="21"/>
                <w:lang w:val="en-US" w:eastAsia="zh-CN"/>
              </w:rPr>
              <w:t>9</w:t>
            </w:r>
          </w:p>
        </w:tc>
        <w:tc>
          <w:tcPr>
            <w:tcW w:w="8278" w:type="dxa"/>
            <w:tcBorders>
              <w:top w:val="single" w:color="000000" w:sz="8" w:space="0"/>
              <w:left w:val="single" w:color="000000" w:sz="8" w:space="0"/>
              <w:bottom w:val="single" w:color="000000" w:sz="8" w:space="0"/>
              <w:right w:val="single" w:color="000000" w:sz="8" w:space="0"/>
            </w:tcBorders>
          </w:tcPr>
          <w:p w14:paraId="0BAB7727">
            <w:pPr>
              <w:rPr>
                <w:rFonts w:ascii="宋体" w:hAnsi="宋体" w:cs="宋体"/>
                <w:color w:val="000000" w:themeColor="text1"/>
                <w:szCs w:val="21"/>
                <w14:textFill>
                  <w14:solidFill>
                    <w14:schemeClr w14:val="tx1"/>
                  </w14:solidFill>
                </w14:textFill>
              </w:rPr>
            </w:pPr>
            <w:r>
              <w:rPr>
                <w:rFonts w:hint="eastAsia"/>
                <w:color w:val="000000" w:themeColor="text1"/>
                <w14:textFill>
                  <w14:solidFill>
                    <w14:schemeClr w14:val="tx1"/>
                  </w14:solidFill>
                </w14:textFill>
              </w:rPr>
              <w:t>投标文件存在列放位置错误，导致属于信息公开情形的没有被公开；</w:t>
            </w:r>
          </w:p>
        </w:tc>
      </w:tr>
      <w:tr w14:paraId="642F531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top"/>
          </w:tcPr>
          <w:p w14:paraId="11FF051A">
            <w:pPr>
              <w:jc w:val="center"/>
              <w:textAlignment w:val="top"/>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szCs w:val="21"/>
              </w:rPr>
              <w:t>1</w:t>
            </w:r>
            <w:r>
              <w:rPr>
                <w:rFonts w:hint="eastAsia" w:ascii="宋体" w:hAnsi="宋体" w:eastAsia="宋体" w:cs="宋体"/>
                <w:szCs w:val="21"/>
                <w:lang w:val="en-US" w:eastAsia="zh-CN"/>
              </w:rPr>
              <w:t>0</w:t>
            </w:r>
          </w:p>
        </w:tc>
        <w:tc>
          <w:tcPr>
            <w:tcW w:w="8278" w:type="dxa"/>
            <w:tcBorders>
              <w:top w:val="single" w:color="000000" w:sz="8" w:space="0"/>
              <w:left w:val="single" w:color="000000" w:sz="8" w:space="0"/>
              <w:bottom w:val="single" w:color="000000" w:sz="8" w:space="0"/>
              <w:right w:val="single" w:color="000000" w:sz="8" w:space="0"/>
            </w:tcBorders>
          </w:tcPr>
          <w:p w14:paraId="468347E7">
            <w:pPr>
              <w:rPr>
                <w:rFonts w:ascii="宋体" w:hAnsi="宋体" w:cs="宋体"/>
                <w:color w:val="000000" w:themeColor="text1"/>
                <w:szCs w:val="21"/>
                <w14:textFill>
                  <w14:solidFill>
                    <w14:schemeClr w14:val="tx1"/>
                  </w14:solidFill>
                </w14:textFill>
              </w:rPr>
            </w:pPr>
            <w:r>
              <w:rPr>
                <w:rFonts w:hint="eastAsia"/>
                <w:color w:val="000000" w:themeColor="text1"/>
                <w14:textFill>
                  <w14:solidFill>
                    <w14:schemeClr w14:val="tx1"/>
                  </w14:solidFill>
                </w14:textFill>
              </w:rPr>
              <w:t>投标文件电子文档带病毒；</w:t>
            </w:r>
          </w:p>
        </w:tc>
      </w:tr>
      <w:tr w14:paraId="18B2FC6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top"/>
          </w:tcPr>
          <w:p w14:paraId="0631421C">
            <w:pPr>
              <w:jc w:val="center"/>
              <w:textAlignment w:val="top"/>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eastAsia="宋体" w:cs="宋体"/>
                <w:szCs w:val="21"/>
              </w:rPr>
              <w:t>1</w:t>
            </w:r>
            <w:r>
              <w:rPr>
                <w:rFonts w:hint="eastAsia" w:ascii="宋体" w:hAnsi="宋体" w:eastAsia="宋体" w:cs="宋体"/>
                <w:szCs w:val="21"/>
                <w:lang w:val="en-US" w:eastAsia="zh-CN"/>
              </w:rPr>
              <w:t>1</w:t>
            </w:r>
          </w:p>
        </w:tc>
        <w:tc>
          <w:tcPr>
            <w:tcW w:w="8278" w:type="dxa"/>
            <w:tcBorders>
              <w:top w:val="single" w:color="000000" w:sz="8" w:space="0"/>
              <w:left w:val="single" w:color="000000" w:sz="8" w:space="0"/>
              <w:bottom w:val="single" w:color="000000" w:sz="8" w:space="0"/>
              <w:right w:val="single" w:color="000000" w:sz="8" w:space="0"/>
            </w:tcBorders>
          </w:tcPr>
          <w:p w14:paraId="4A7BE72E">
            <w:pPr>
              <w:rPr>
                <w:rFonts w:ascii="宋体" w:hAnsi="宋体" w:cs="宋体"/>
                <w:color w:val="000000" w:themeColor="text1"/>
                <w:szCs w:val="21"/>
                <w14:textFill>
                  <w14:solidFill>
                    <w14:schemeClr w14:val="tx1"/>
                  </w14:solidFill>
                </w14:textFill>
              </w:rPr>
            </w:pPr>
            <w:r>
              <w:rPr>
                <w:rFonts w:hint="eastAsia"/>
                <w:color w:val="000000" w:themeColor="text1"/>
                <w14:textFill>
                  <w14:solidFill>
                    <w14:schemeClr w14:val="tx1"/>
                  </w14:solidFill>
                </w14:textFill>
              </w:rPr>
              <w:t>投标文件用不属于本公司的电子密钥进行加密的；</w:t>
            </w:r>
          </w:p>
        </w:tc>
      </w:tr>
      <w:tr w14:paraId="32F1D99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top"/>
          </w:tcPr>
          <w:p w14:paraId="020EC3C4">
            <w:pPr>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12</w:t>
            </w:r>
          </w:p>
        </w:tc>
        <w:tc>
          <w:tcPr>
            <w:tcW w:w="8278" w:type="dxa"/>
            <w:tcBorders>
              <w:top w:val="single" w:color="000000" w:sz="8" w:space="0"/>
              <w:left w:val="single" w:color="000000" w:sz="8" w:space="0"/>
              <w:bottom w:val="single" w:color="000000" w:sz="8" w:space="0"/>
              <w:right w:val="single" w:color="000000" w:sz="8" w:space="0"/>
            </w:tcBorders>
          </w:tcPr>
          <w:p w14:paraId="1902F5F4">
            <w:pPr>
              <w:rPr>
                <w:rFonts w:hint="eastAsia"/>
                <w:color w:val="000000" w:themeColor="text1"/>
                <w:highlight w:val="none"/>
                <w14:textFill>
                  <w14:solidFill>
                    <w14:schemeClr w14:val="tx1"/>
                  </w14:solidFill>
                </w14:textFill>
              </w:rPr>
            </w:pPr>
            <w:r>
              <w:rPr>
                <w:highlight w:val="none"/>
              </w:rPr>
              <w:t>不同投标供应商投标文件“文件制作机器码”</w:t>
            </w:r>
            <w:r>
              <w:rPr>
                <w:rFonts w:hint="eastAsia" w:eastAsia="宋体"/>
                <w:highlight w:val="none"/>
                <w:lang w:val="en-US" w:eastAsia="zh-CN"/>
              </w:rPr>
              <w:t>或</w:t>
            </w:r>
            <w:r>
              <w:rPr>
                <w:highlight w:val="none"/>
              </w:rPr>
              <w:t>“文件创建标</w:t>
            </w:r>
            <w:r>
              <w:rPr>
                <w:rFonts w:hint="eastAsia"/>
                <w:highlight w:val="none"/>
              </w:rPr>
              <w:t>识码”一致</w:t>
            </w:r>
            <w:r>
              <w:rPr>
                <w:rFonts w:hint="eastAsia"/>
                <w:highlight w:val="none"/>
                <w:lang w:eastAsia="zh-CN"/>
              </w:rPr>
              <w:t>的</w:t>
            </w:r>
            <w:r>
              <w:rPr>
                <w:rFonts w:hint="eastAsia"/>
                <w:color w:val="000000" w:themeColor="text1"/>
                <w:highlight w:val="none"/>
                <w14:textFill>
                  <w14:solidFill>
                    <w14:schemeClr w14:val="tx1"/>
                  </w14:solidFill>
                </w14:textFill>
              </w:rPr>
              <w:t>；</w:t>
            </w:r>
          </w:p>
        </w:tc>
      </w:tr>
      <w:tr w14:paraId="75348E6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top"/>
          </w:tcPr>
          <w:p w14:paraId="22DB0E03">
            <w:pPr>
              <w:jc w:val="center"/>
              <w:textAlignment w:val="top"/>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szCs w:val="21"/>
                <w:lang w:val="en-US" w:eastAsia="zh-CN"/>
              </w:rPr>
              <w:t>13</w:t>
            </w:r>
          </w:p>
        </w:tc>
        <w:tc>
          <w:tcPr>
            <w:tcW w:w="8278" w:type="dxa"/>
            <w:tcBorders>
              <w:top w:val="single" w:color="000000" w:sz="8" w:space="0"/>
              <w:left w:val="single" w:color="000000" w:sz="8" w:space="0"/>
              <w:bottom w:val="single" w:color="000000" w:sz="8" w:space="0"/>
              <w:right w:val="single" w:color="000000" w:sz="8" w:space="0"/>
            </w:tcBorders>
          </w:tcPr>
          <w:p w14:paraId="02AD0900">
            <w:pPr>
              <w:rPr>
                <w:rFonts w:ascii="宋体" w:hAnsi="宋体" w:cs="宋体"/>
                <w:color w:val="000000" w:themeColor="text1"/>
                <w:szCs w:val="21"/>
                <w14:textFill>
                  <w14:solidFill>
                    <w14:schemeClr w14:val="tx1"/>
                  </w14:solidFill>
                </w14:textFill>
              </w:rPr>
            </w:pPr>
            <w:r>
              <w:rPr>
                <w:rFonts w:hint="eastAsia"/>
                <w:color w:val="000000" w:themeColor="text1"/>
                <w14:textFill>
                  <w14:solidFill>
                    <w14:schemeClr w14:val="tx1"/>
                  </w14:solidFill>
                </w14:textFill>
              </w:rPr>
              <w:t>法律、法规、规章、规范性文件规定的其他情形。</w:t>
            </w:r>
          </w:p>
        </w:tc>
      </w:tr>
    </w:tbl>
    <w:p w14:paraId="3B39CA06">
      <w:pPr>
        <w:pStyle w:val="14"/>
        <w:spacing w:before="280" w:beforeAutospacing="0" w:afterAutospacing="1"/>
        <w:jc w:val="center"/>
        <w:outlineLvl w:val="1"/>
        <w:rPr>
          <w:rFonts w:hint="eastAsia" w:ascii="宋体" w:hAnsi="宋体" w:eastAsia="宋体" w:cs="黑体"/>
          <w:sz w:val="40"/>
          <w:szCs w:val="40"/>
          <w:lang w:val="en-US" w:eastAsia="zh-CN" w:bidi="ar-SA"/>
        </w:rPr>
      </w:pPr>
      <w:r>
        <w:rPr>
          <w:rFonts w:hint="eastAsia" w:ascii="宋体" w:hAnsi="宋体" w:eastAsia="宋体" w:cs="黑体"/>
          <w:sz w:val="40"/>
          <w:szCs w:val="40"/>
          <w:lang w:val="en-US" w:eastAsia="zh-CN" w:bidi="ar-SA"/>
        </w:rPr>
        <w:t>评标信息</w:t>
      </w:r>
    </w:p>
    <w:tbl>
      <w:tblPr>
        <w:tblStyle w:val="16"/>
        <w:tblW w:w="9072" w:type="dxa"/>
        <w:jc w:val="center"/>
        <w:tblCellSpacing w:w="0" w:type="dxa"/>
        <w:tblLayout w:type="fixed"/>
        <w:tblCellMar>
          <w:top w:w="45" w:type="dxa"/>
          <w:left w:w="45" w:type="dxa"/>
          <w:bottom w:w="45" w:type="dxa"/>
          <w:right w:w="45" w:type="dxa"/>
        </w:tblCellMar>
      </w:tblPr>
      <w:tblGrid>
        <w:gridCol w:w="8867"/>
        <w:gridCol w:w="205"/>
      </w:tblGrid>
      <w:tr w14:paraId="3BFD6714">
        <w:tblPrEx>
          <w:tblCellMar>
            <w:top w:w="45" w:type="dxa"/>
            <w:left w:w="45" w:type="dxa"/>
            <w:bottom w:w="45" w:type="dxa"/>
            <w:right w:w="45" w:type="dxa"/>
          </w:tblCellMar>
        </w:tblPrEx>
        <w:trPr>
          <w:tblCellSpacing w:w="0" w:type="dxa"/>
          <w:jc w:val="center"/>
        </w:trPr>
        <w:tc>
          <w:tcPr>
            <w:tcW w:w="8867" w:type="dxa"/>
            <w:tcBorders>
              <w:top w:val="nil"/>
              <w:left w:val="nil"/>
              <w:bottom w:val="nil"/>
              <w:right w:val="nil"/>
            </w:tcBorders>
            <w:vAlign w:val="center"/>
          </w:tcPr>
          <w:p w14:paraId="04C370AC">
            <w:pPr>
              <w:keepNext w:val="0"/>
              <w:pageBreakBefore w:val="0"/>
              <w:kinsoku/>
              <w:overflowPunct/>
              <w:topLinePunct w:val="0"/>
              <w:autoSpaceDE/>
              <w:autoSpaceDN/>
              <w:bidi w:val="0"/>
              <w:adjustRightInd/>
              <w:snapToGrid/>
              <w:spacing w:line="240" w:lineRule="auto"/>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b/>
                <w:bCs/>
                <w:lang w:val="en-US" w:eastAsia="zh-CN" w:bidi="ar-SA"/>
              </w:rPr>
              <w:t>评标方法：最低价法/综合评分法（新价格分算法）</w:t>
            </w:r>
          </w:p>
        </w:tc>
        <w:tc>
          <w:tcPr>
            <w:tcW w:w="205" w:type="dxa"/>
            <w:tcBorders>
              <w:top w:val="nil"/>
              <w:left w:val="nil"/>
              <w:bottom w:val="nil"/>
              <w:right w:val="nil"/>
            </w:tcBorders>
            <w:vAlign w:val="center"/>
          </w:tcPr>
          <w:p w14:paraId="4E097FCE">
            <w:pPr>
              <w:keepNext w:val="0"/>
              <w:pageBreakBefore w:val="0"/>
              <w:kinsoku/>
              <w:overflowPunct/>
              <w:topLinePunct w:val="0"/>
              <w:autoSpaceDE/>
              <w:autoSpaceDN/>
              <w:bidi w:val="0"/>
              <w:adjustRightInd/>
              <w:snapToGrid/>
              <w:spacing w:line="240" w:lineRule="auto"/>
              <w:jc w:val="right"/>
              <w:textAlignment w:val="auto"/>
              <w:rPr>
                <w:rFonts w:hint="eastAsia" w:ascii="宋体" w:hAnsi="宋体" w:eastAsia="宋体" w:cs="宋体"/>
                <w:b/>
                <w:bCs/>
                <w:color w:val="000000" w:themeColor="text1"/>
                <w:sz w:val="24"/>
                <w:szCs w:val="24"/>
                <w14:textFill>
                  <w14:solidFill>
                    <w14:schemeClr w14:val="tx1"/>
                  </w14:solidFill>
                </w14:textFill>
              </w:rPr>
            </w:pPr>
          </w:p>
        </w:tc>
      </w:tr>
      <w:tr w14:paraId="66DD1842">
        <w:tblPrEx>
          <w:tblCellMar>
            <w:top w:w="45" w:type="dxa"/>
            <w:left w:w="45" w:type="dxa"/>
            <w:bottom w:w="45" w:type="dxa"/>
            <w:right w:w="45" w:type="dxa"/>
          </w:tblCellMar>
        </w:tblPrEx>
        <w:trPr>
          <w:tblCellSpacing w:w="0" w:type="dxa"/>
          <w:jc w:val="center"/>
        </w:trPr>
        <w:tc>
          <w:tcPr>
            <w:tcW w:w="9072" w:type="dxa"/>
            <w:gridSpan w:val="2"/>
            <w:tcBorders>
              <w:top w:val="nil"/>
              <w:left w:val="nil"/>
              <w:bottom w:val="nil"/>
              <w:right w:val="nil"/>
            </w:tcBorders>
            <w:vAlign w:val="center"/>
          </w:tcPr>
          <w:p w14:paraId="185AD678">
            <w:pPr>
              <w:spacing w:line="324" w:lineRule="auto"/>
              <w:ind w:firstLine="420"/>
              <w:rPr>
                <w:rFonts w:hint="eastAsia" w:ascii="宋体" w:hAnsi="宋体" w:eastAsia="宋体"/>
                <w:szCs w:val="21"/>
                <w:lang w:val="en-US" w:eastAsia="zh-CN" w:bidi="ar-SA"/>
              </w:rPr>
            </w:pPr>
            <w:r>
              <w:rPr>
                <w:rFonts w:hint="eastAsia" w:ascii="宋体" w:hAnsi="宋体" w:eastAsia="宋体"/>
                <w:szCs w:val="21"/>
                <w:lang w:val="en-US" w:eastAsia="zh-CN" w:bidi="ar-SA"/>
              </w:rPr>
              <w:t xml:space="preserve">综合评分法，是指投标文件满足招标文件全部实质性要求，且按照评审因素的量化指标评审得分最高的投标人为中标候选人的评标方法。 </w:t>
            </w:r>
          </w:p>
          <w:p w14:paraId="00E11C14">
            <w:pPr>
              <w:spacing w:line="324" w:lineRule="auto"/>
              <w:ind w:firstLine="420"/>
              <w:rPr>
                <w:rFonts w:hint="eastAsia" w:ascii="宋体" w:hAnsi="宋体" w:eastAsia="宋体"/>
                <w:szCs w:val="21"/>
                <w:lang w:val="en-US" w:eastAsia="zh-CN" w:bidi="ar-SA"/>
              </w:rPr>
            </w:pPr>
            <w:r>
              <w:rPr>
                <w:rFonts w:hint="eastAsia" w:ascii="宋体" w:hAnsi="宋体" w:eastAsia="宋体"/>
                <w:szCs w:val="21"/>
                <w:lang w:val="en-US" w:eastAsia="zh-CN" w:bidi="ar-SA"/>
              </w:rPr>
              <w:t>价格分计算方法：</w:t>
            </w:r>
          </w:p>
          <w:p w14:paraId="5FEB936F">
            <w:pPr>
              <w:spacing w:line="324" w:lineRule="auto"/>
              <w:ind w:firstLine="420"/>
              <w:rPr>
                <w:rFonts w:hint="eastAsia" w:ascii="宋体" w:hAnsi="宋体" w:eastAsia="宋体"/>
                <w:szCs w:val="21"/>
                <w:lang w:val="en-US" w:eastAsia="zh-CN" w:bidi="ar-SA"/>
              </w:rPr>
            </w:pPr>
            <w:r>
              <w:rPr>
                <w:rFonts w:hint="eastAsia" w:ascii="宋体" w:hAnsi="宋体" w:eastAsia="宋体"/>
                <w:szCs w:val="21"/>
                <w:lang w:val="en-US" w:eastAsia="zh-CN" w:bidi="ar-SA"/>
              </w:rPr>
              <w:t xml:space="preserve">采用低价优先法计算，即满足招标文件要求且投标价格最低的投标报价为评标基准价，其价格分为满分。其他投标人的价格分统一按照下列公式计算： </w:t>
            </w:r>
          </w:p>
          <w:p w14:paraId="70EB2685">
            <w:pPr>
              <w:spacing w:line="324" w:lineRule="auto"/>
              <w:ind w:firstLine="420"/>
              <w:rPr>
                <w:rFonts w:hint="eastAsia" w:ascii="宋体" w:hAnsi="宋体" w:eastAsia="宋体"/>
                <w:szCs w:val="21"/>
                <w:lang w:val="en-US" w:eastAsia="zh-CN" w:bidi="ar-SA"/>
              </w:rPr>
            </w:pPr>
            <w:r>
              <w:rPr>
                <w:rFonts w:hint="eastAsia" w:ascii="宋体" w:hAnsi="宋体" w:eastAsia="宋体"/>
                <w:szCs w:val="21"/>
                <w:lang w:val="en-US" w:eastAsia="zh-CN" w:bidi="ar-SA"/>
              </w:rPr>
              <w:t xml:space="preserve">投标报价得分=(评标基准价／投标报价)×100 </w:t>
            </w:r>
          </w:p>
          <w:p w14:paraId="50134B85">
            <w:pPr>
              <w:spacing w:line="324" w:lineRule="auto"/>
              <w:ind w:firstLine="420"/>
              <w:rPr>
                <w:rFonts w:hint="eastAsia" w:ascii="宋体" w:hAnsi="宋体" w:eastAsia="宋体"/>
                <w:szCs w:val="21"/>
                <w:lang w:val="en-US" w:eastAsia="zh-CN" w:bidi="ar-SA"/>
              </w:rPr>
            </w:pPr>
            <w:r>
              <w:rPr>
                <w:rFonts w:hint="eastAsia" w:ascii="宋体" w:hAnsi="宋体" w:eastAsia="宋体"/>
                <w:szCs w:val="21"/>
                <w:lang w:val="en-US" w:eastAsia="zh-CN" w:bidi="ar-SA"/>
              </w:rPr>
              <w:t xml:space="preserve">评标总得分＝F1×A1＋F2×A2＋……＋Fn×An </w:t>
            </w:r>
          </w:p>
          <w:p w14:paraId="533A782B">
            <w:pPr>
              <w:spacing w:line="324" w:lineRule="auto"/>
              <w:ind w:firstLine="420"/>
              <w:rPr>
                <w:rFonts w:hint="eastAsia" w:ascii="宋体" w:hAnsi="宋体" w:eastAsia="宋体"/>
                <w:szCs w:val="21"/>
                <w:lang w:val="en-US" w:eastAsia="zh-CN" w:bidi="ar-SA"/>
              </w:rPr>
            </w:pPr>
            <w:r>
              <w:rPr>
                <w:rFonts w:hint="eastAsia" w:ascii="宋体" w:hAnsi="宋体" w:eastAsia="宋体"/>
                <w:szCs w:val="21"/>
                <w:lang w:val="en-US" w:eastAsia="zh-CN" w:bidi="ar-SA"/>
              </w:rPr>
              <w:t xml:space="preserve">F1、F2……Fn分别为各项评审因素的得分； </w:t>
            </w:r>
          </w:p>
          <w:p w14:paraId="2DF6E463">
            <w:pPr>
              <w:spacing w:line="324" w:lineRule="auto"/>
              <w:ind w:firstLine="420"/>
              <w:rPr>
                <w:rFonts w:hint="eastAsia" w:ascii="宋体" w:hAnsi="宋体" w:eastAsia="宋体"/>
                <w:szCs w:val="21"/>
                <w:lang w:val="en-US" w:eastAsia="zh-CN" w:bidi="ar-SA"/>
              </w:rPr>
            </w:pPr>
            <w:r>
              <w:rPr>
                <w:rFonts w:hint="eastAsia" w:ascii="宋体" w:hAnsi="宋体" w:eastAsia="宋体"/>
                <w:szCs w:val="21"/>
                <w:lang w:val="en-US" w:eastAsia="zh-CN" w:bidi="ar-SA"/>
              </w:rPr>
              <w:t xml:space="preserve">A1、A2、……An 分别为各项评审因素所占的权重(A1＋A2＋……＋An＝1)。 </w:t>
            </w:r>
          </w:p>
          <w:p w14:paraId="5632B378">
            <w:pPr>
              <w:spacing w:line="324" w:lineRule="auto"/>
              <w:ind w:firstLine="420"/>
              <w:rPr>
                <w:rFonts w:hint="eastAsia" w:ascii="宋体" w:hAnsi="宋体" w:eastAsia="宋体"/>
                <w:szCs w:val="21"/>
                <w:lang w:val="en-US" w:eastAsia="zh-CN" w:bidi="ar-SA"/>
              </w:rPr>
            </w:pPr>
            <w:r>
              <w:rPr>
                <w:rFonts w:hint="eastAsia" w:ascii="宋体" w:hAnsi="宋体" w:eastAsia="宋体"/>
                <w:szCs w:val="21"/>
                <w:lang w:val="en-US" w:eastAsia="zh-CN" w:bidi="ar-SA"/>
              </w:rPr>
              <w:t xml:space="preserve">评标过程中，不得去掉报价中的最高报价和最低报价。 </w:t>
            </w:r>
          </w:p>
          <w:p w14:paraId="29A3B2C9">
            <w:pPr>
              <w:spacing w:line="324" w:lineRule="auto"/>
              <w:ind w:firstLine="42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szCs w:val="21"/>
                <w:lang w:val="en-US" w:eastAsia="zh-CN" w:bidi="ar-SA"/>
              </w:rPr>
              <w:t xml:space="preserve">此方法适用于货物类、服务类、工程类项目。 </w:t>
            </w:r>
          </w:p>
        </w:tc>
      </w:tr>
      <w:tr w14:paraId="716C3300">
        <w:tblPrEx>
          <w:tblCellMar>
            <w:top w:w="45" w:type="dxa"/>
            <w:left w:w="45" w:type="dxa"/>
            <w:bottom w:w="45" w:type="dxa"/>
            <w:right w:w="45" w:type="dxa"/>
          </w:tblCellMar>
        </w:tblPrEx>
        <w:trPr>
          <w:tblCellSpacing w:w="0" w:type="dxa"/>
          <w:jc w:val="center"/>
        </w:trPr>
        <w:tc>
          <w:tcPr>
            <w:tcW w:w="9072" w:type="dxa"/>
            <w:gridSpan w:val="2"/>
            <w:tcBorders>
              <w:top w:val="nil"/>
              <w:left w:val="nil"/>
              <w:bottom w:val="nil"/>
              <w:right w:val="nil"/>
            </w:tcBorders>
            <w:vAlign w:val="center"/>
          </w:tcPr>
          <w:tbl>
            <w:tblPr>
              <w:tblStyle w:val="16"/>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676"/>
              <w:gridCol w:w="675"/>
              <w:gridCol w:w="1295"/>
              <w:gridCol w:w="1030"/>
              <w:gridCol w:w="5396"/>
            </w:tblGrid>
            <w:tr w14:paraId="6B50F6A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76" w:type="dxa"/>
                  <w:tcBorders>
                    <w:top w:val="single" w:color="000000" w:sz="8" w:space="0"/>
                    <w:left w:val="single" w:color="000000" w:sz="8" w:space="0"/>
                    <w:bottom w:val="single" w:color="000000" w:sz="8" w:space="0"/>
                    <w:right w:val="single" w:color="000000" w:sz="8" w:space="0"/>
                  </w:tcBorders>
                  <w:shd w:val="clear" w:color="auto" w:fill="E6EFFA"/>
                  <w:noWrap w:val="0"/>
                  <w:vAlign w:val="center"/>
                </w:tcPr>
                <w:p w14:paraId="3F68F7EE">
                  <w:pPr>
                    <w:keepNext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序号</w:t>
                  </w:r>
                </w:p>
              </w:tc>
              <w:tc>
                <w:tcPr>
                  <w:tcW w:w="3000" w:type="dxa"/>
                  <w:gridSpan w:val="3"/>
                  <w:tcBorders>
                    <w:top w:val="single" w:color="000000" w:sz="8" w:space="0"/>
                    <w:left w:val="single" w:color="000000" w:sz="8" w:space="0"/>
                    <w:bottom w:val="single" w:color="000000" w:sz="8" w:space="0"/>
                    <w:right w:val="single" w:color="000000" w:sz="8" w:space="0"/>
                  </w:tcBorders>
                  <w:shd w:val="clear" w:color="auto" w:fill="E6EFFA"/>
                  <w:noWrap w:val="0"/>
                  <w:vAlign w:val="center"/>
                </w:tcPr>
                <w:p w14:paraId="11DAF51B">
                  <w:pPr>
                    <w:keepNext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评分项</w:t>
                  </w:r>
                </w:p>
              </w:tc>
              <w:tc>
                <w:tcPr>
                  <w:tcW w:w="5396" w:type="dxa"/>
                  <w:tcBorders>
                    <w:top w:val="single" w:color="000000" w:sz="8" w:space="0"/>
                    <w:left w:val="single" w:color="000000" w:sz="8" w:space="0"/>
                    <w:bottom w:val="single" w:color="000000" w:sz="8" w:space="0"/>
                    <w:right w:val="single" w:color="000000" w:sz="8" w:space="0"/>
                  </w:tcBorders>
                  <w:shd w:val="clear" w:color="auto" w:fill="E6EFFA"/>
                  <w:noWrap w:val="0"/>
                  <w:vAlign w:val="center"/>
                </w:tcPr>
                <w:p w14:paraId="0FE21177">
                  <w:pPr>
                    <w:keepNext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权重(%)</w:t>
                  </w:r>
                </w:p>
              </w:tc>
            </w:tr>
            <w:tr w14:paraId="3D6C31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76" w:type="dxa"/>
                  <w:tcBorders>
                    <w:top w:val="single" w:color="000000" w:sz="8" w:space="0"/>
                    <w:left w:val="single" w:color="000000" w:sz="8" w:space="0"/>
                    <w:bottom w:val="single" w:color="000000" w:sz="8" w:space="0"/>
                    <w:right w:val="single" w:color="000000" w:sz="8" w:space="0"/>
                  </w:tcBorders>
                  <w:noWrap w:val="0"/>
                  <w:vAlign w:val="top"/>
                </w:tcPr>
                <w:p w14:paraId="38468D37">
                  <w:pPr>
                    <w:keepNext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1</w:t>
                  </w:r>
                </w:p>
              </w:tc>
              <w:tc>
                <w:tcPr>
                  <w:tcW w:w="3000" w:type="dxa"/>
                  <w:gridSpan w:val="3"/>
                  <w:tcBorders>
                    <w:top w:val="single" w:color="000000" w:sz="8" w:space="0"/>
                    <w:left w:val="single" w:color="000000" w:sz="8" w:space="0"/>
                    <w:bottom w:val="single" w:color="000000" w:sz="8" w:space="0"/>
                    <w:right w:val="single" w:color="000000" w:sz="8" w:space="0"/>
                  </w:tcBorders>
                  <w:noWrap w:val="0"/>
                  <w:vAlign w:val="top"/>
                </w:tcPr>
                <w:p w14:paraId="3F098C0C">
                  <w:pPr>
                    <w:keepNext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价格</w:t>
                  </w:r>
                </w:p>
              </w:tc>
              <w:tc>
                <w:tcPr>
                  <w:tcW w:w="5396" w:type="dxa"/>
                  <w:tcBorders>
                    <w:top w:val="single" w:color="000000" w:sz="8" w:space="0"/>
                    <w:left w:val="single" w:color="000000" w:sz="8" w:space="0"/>
                    <w:bottom w:val="single" w:color="000000" w:sz="8" w:space="0"/>
                    <w:right w:val="single" w:color="000000" w:sz="8" w:space="0"/>
                  </w:tcBorders>
                  <w:noWrap w:val="0"/>
                  <w:vAlign w:val="top"/>
                </w:tcPr>
                <w:p w14:paraId="43707F0E">
                  <w:pPr>
                    <w:keepNext w:val="0"/>
                    <w:pageBreakBefore w:val="0"/>
                    <w:widowControl/>
                    <w:kinsoku/>
                    <w:wordWrap/>
                    <w:overflowPunct/>
                    <w:topLinePunct w:val="0"/>
                    <w:autoSpaceDE/>
                    <w:autoSpaceDN/>
                    <w:bidi w:val="0"/>
                    <w:adjustRightInd/>
                    <w:snapToGrid/>
                    <w:jc w:val="center"/>
                    <w:textAlignment w:val="auto"/>
                    <w:rPr>
                      <w:rFonts w:hint="default" w:ascii="宋体" w:hAnsi="宋体" w:eastAsia="宋体" w:cs="宋体"/>
                      <w:b/>
                      <w:bCs/>
                      <w:sz w:val="24"/>
                      <w:szCs w:val="24"/>
                      <w:lang w:val="en-US" w:eastAsia="zh-CN"/>
                    </w:rPr>
                  </w:pPr>
                  <w:r>
                    <w:rPr>
                      <w:rFonts w:hint="eastAsia" w:ascii="宋体" w:hAnsi="宋体" w:eastAsia="Times New Roman" w:cs="宋体"/>
                      <w:b/>
                      <w:bCs/>
                      <w:color w:val="auto"/>
                      <w:kern w:val="0"/>
                      <w:sz w:val="24"/>
                      <w:szCs w:val="24"/>
                      <w:highlight w:val="none"/>
                      <w:lang w:val="en-US" w:eastAsia="zh-CN"/>
                    </w:rPr>
                    <w:t>10</w:t>
                  </w:r>
                </w:p>
              </w:tc>
            </w:tr>
            <w:tr w14:paraId="2992FA8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76" w:type="dxa"/>
                  <w:vMerge w:val="restart"/>
                  <w:tcBorders>
                    <w:top w:val="single" w:color="000000" w:sz="8" w:space="0"/>
                    <w:left w:val="single" w:color="000000" w:sz="8" w:space="0"/>
                    <w:bottom w:val="single" w:color="000000" w:sz="8" w:space="0"/>
                    <w:right w:val="single" w:color="000000" w:sz="8" w:space="0"/>
                  </w:tcBorders>
                  <w:noWrap w:val="0"/>
                  <w:vAlign w:val="top"/>
                </w:tcPr>
                <w:p w14:paraId="05C568C5">
                  <w:pPr>
                    <w:keepNext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2</w:t>
                  </w:r>
                </w:p>
              </w:tc>
              <w:tc>
                <w:tcPr>
                  <w:tcW w:w="3000" w:type="dxa"/>
                  <w:gridSpan w:val="3"/>
                  <w:tcBorders>
                    <w:top w:val="single" w:color="000000" w:sz="8" w:space="0"/>
                    <w:left w:val="single" w:color="000000" w:sz="8" w:space="0"/>
                    <w:bottom w:val="single" w:color="000000" w:sz="8" w:space="0"/>
                    <w:right w:val="single" w:color="000000" w:sz="8" w:space="0"/>
                  </w:tcBorders>
                  <w:noWrap w:val="0"/>
                  <w:vAlign w:val="top"/>
                </w:tcPr>
                <w:p w14:paraId="25B517C9">
                  <w:pPr>
                    <w:keepNext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技术部分</w:t>
                  </w:r>
                </w:p>
              </w:tc>
              <w:tc>
                <w:tcPr>
                  <w:tcW w:w="5396" w:type="dxa"/>
                  <w:tcBorders>
                    <w:top w:val="single" w:color="000000" w:sz="8" w:space="0"/>
                    <w:left w:val="single" w:color="000000" w:sz="8" w:space="0"/>
                    <w:bottom w:val="single" w:color="000000" w:sz="8" w:space="0"/>
                    <w:right w:val="single" w:color="000000" w:sz="8" w:space="0"/>
                  </w:tcBorders>
                  <w:noWrap w:val="0"/>
                  <w:vAlign w:val="top"/>
                </w:tcPr>
                <w:p w14:paraId="6696E14A">
                  <w:pPr>
                    <w:keepNext w:val="0"/>
                    <w:pageBreakBefore w:val="0"/>
                    <w:widowControl/>
                    <w:kinsoku/>
                    <w:wordWrap/>
                    <w:overflowPunct/>
                    <w:topLinePunct w:val="0"/>
                    <w:autoSpaceDE/>
                    <w:autoSpaceDN/>
                    <w:bidi w:val="0"/>
                    <w:adjustRightInd/>
                    <w:snapToGrid/>
                    <w:jc w:val="center"/>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40</w:t>
                  </w:r>
                </w:p>
              </w:tc>
            </w:tr>
            <w:tr w14:paraId="46D3BF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76" w:type="dxa"/>
                  <w:vMerge w:val="continue"/>
                  <w:tcBorders>
                    <w:top w:val="single" w:color="000000" w:sz="8" w:space="0"/>
                    <w:left w:val="single" w:color="000000" w:sz="8" w:space="0"/>
                    <w:bottom w:val="single" w:color="000000" w:sz="8" w:space="0"/>
                    <w:right w:val="single" w:color="000000" w:sz="8" w:space="0"/>
                  </w:tcBorders>
                  <w:shd w:val="clear" w:color="auto" w:fill="E6EFFA"/>
                  <w:noWrap w:val="0"/>
                  <w:vAlign w:val="center"/>
                </w:tcPr>
                <w:p w14:paraId="4F40F577">
                  <w:pPr>
                    <w:keepNext w:val="0"/>
                    <w:pageBreakBefore w:val="0"/>
                    <w:widowControl/>
                    <w:kinsoku/>
                    <w:wordWrap/>
                    <w:overflowPunct/>
                    <w:topLinePunct w:val="0"/>
                    <w:autoSpaceDE/>
                    <w:autoSpaceDN/>
                    <w:bidi w:val="0"/>
                    <w:adjustRightInd/>
                    <w:snapToGrid/>
                    <w:textAlignment w:val="auto"/>
                    <w:rPr>
                      <w:rFonts w:hint="eastAsia" w:ascii="宋体" w:hAnsi="宋体" w:eastAsia="宋体" w:cs="宋体"/>
                      <w:b/>
                      <w:bCs/>
                      <w:sz w:val="24"/>
                      <w:szCs w:val="24"/>
                    </w:rPr>
                  </w:pPr>
                </w:p>
              </w:tc>
              <w:tc>
                <w:tcPr>
                  <w:tcW w:w="675"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592930CA">
                  <w:pPr>
                    <w:keepNext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sz w:val="24"/>
                      <w:szCs w:val="24"/>
                    </w:rPr>
                  </w:pPr>
                  <w:r>
                    <w:rPr>
                      <w:rFonts w:hint="eastAsia" w:ascii="宋体" w:hAnsi="宋体" w:eastAsia="宋体" w:cs="宋体"/>
                      <w:sz w:val="24"/>
                      <w:szCs w:val="24"/>
                    </w:rPr>
                    <w:t>序号</w:t>
                  </w:r>
                </w:p>
              </w:tc>
              <w:tc>
                <w:tcPr>
                  <w:tcW w:w="1295"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1129884C">
                  <w:pPr>
                    <w:keepNext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评审因素</w:t>
                  </w:r>
                </w:p>
              </w:tc>
              <w:tc>
                <w:tcPr>
                  <w:tcW w:w="1030"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0579E82B">
                  <w:pPr>
                    <w:keepNext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sz w:val="24"/>
                      <w:szCs w:val="24"/>
                    </w:rPr>
                  </w:pPr>
                  <w:r>
                    <w:rPr>
                      <w:rFonts w:hint="eastAsia" w:ascii="宋体" w:hAnsi="宋体" w:eastAsia="宋体" w:cs="宋体"/>
                      <w:sz w:val="24"/>
                      <w:szCs w:val="24"/>
                    </w:rPr>
                    <w:t>权重(%)</w:t>
                  </w:r>
                </w:p>
              </w:tc>
              <w:tc>
                <w:tcPr>
                  <w:tcW w:w="5396"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29B2FF74">
                  <w:pPr>
                    <w:keepNext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sz w:val="24"/>
                      <w:szCs w:val="24"/>
                    </w:rPr>
                  </w:pPr>
                  <w:r>
                    <w:rPr>
                      <w:rFonts w:hint="eastAsia" w:ascii="宋体" w:hAnsi="宋体" w:eastAsia="宋体" w:cs="宋体"/>
                      <w:sz w:val="24"/>
                      <w:szCs w:val="24"/>
                    </w:rPr>
                    <w:t>评分准则</w:t>
                  </w:r>
                </w:p>
              </w:tc>
            </w:tr>
            <w:tr w14:paraId="6B66E81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76" w:type="dxa"/>
                  <w:vMerge w:val="continue"/>
                  <w:tcBorders>
                    <w:top w:val="single" w:color="000000" w:sz="8" w:space="0"/>
                    <w:left w:val="single" w:color="000000" w:sz="8" w:space="0"/>
                    <w:bottom w:val="single" w:color="000000" w:sz="8" w:space="0"/>
                    <w:right w:val="single" w:color="000000" w:sz="8" w:space="0"/>
                  </w:tcBorders>
                  <w:noWrap w:val="0"/>
                  <w:vAlign w:val="center"/>
                </w:tcPr>
                <w:p w14:paraId="02BBF810">
                  <w:pPr>
                    <w:keepNext w:val="0"/>
                    <w:pageBreakBefore w:val="0"/>
                    <w:widowControl/>
                    <w:kinsoku/>
                    <w:wordWrap/>
                    <w:overflowPunct/>
                    <w:topLinePunct w:val="0"/>
                    <w:autoSpaceDE/>
                    <w:autoSpaceDN/>
                    <w:bidi w:val="0"/>
                    <w:adjustRightInd/>
                    <w:snapToGrid/>
                    <w:textAlignment w:val="auto"/>
                    <w:rPr>
                      <w:rFonts w:hint="eastAsia" w:ascii="宋体" w:hAnsi="宋体" w:eastAsia="宋体" w:cs="宋体"/>
                      <w:b/>
                      <w:bCs/>
                      <w:sz w:val="24"/>
                      <w:szCs w:val="24"/>
                    </w:rPr>
                  </w:pPr>
                </w:p>
              </w:tc>
              <w:tc>
                <w:tcPr>
                  <w:tcW w:w="675" w:type="dxa"/>
                  <w:tcBorders>
                    <w:top w:val="single" w:color="000000" w:sz="8" w:space="0"/>
                    <w:left w:val="single" w:color="000000" w:sz="8" w:space="0"/>
                    <w:bottom w:val="single" w:color="000000" w:sz="8" w:space="0"/>
                    <w:right w:val="single" w:color="000000" w:sz="8" w:space="0"/>
                  </w:tcBorders>
                  <w:noWrap w:val="0"/>
                  <w:vAlign w:val="center"/>
                </w:tcPr>
                <w:p w14:paraId="69DE805E">
                  <w:pPr>
                    <w:keepNext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sz w:val="24"/>
                      <w:szCs w:val="24"/>
                    </w:rPr>
                  </w:pPr>
                  <w:r>
                    <w:rPr>
                      <w:rFonts w:hint="eastAsia" w:ascii="宋体" w:hAnsi="宋体" w:eastAsia="宋体" w:cs="宋体"/>
                      <w:sz w:val="24"/>
                      <w:szCs w:val="24"/>
                    </w:rPr>
                    <w:t>1</w:t>
                  </w:r>
                </w:p>
              </w:tc>
              <w:tc>
                <w:tcPr>
                  <w:tcW w:w="1295" w:type="dxa"/>
                  <w:tcBorders>
                    <w:top w:val="single" w:color="000000" w:sz="8" w:space="0"/>
                    <w:left w:val="single" w:color="000000" w:sz="8" w:space="0"/>
                    <w:bottom w:val="single" w:color="000000" w:sz="8" w:space="0"/>
                    <w:right w:val="single" w:color="000000" w:sz="8" w:space="0"/>
                  </w:tcBorders>
                  <w:noWrap w:val="0"/>
                  <w:vAlign w:val="top"/>
                </w:tcPr>
                <w:p w14:paraId="184886FD">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实施方案</w:t>
                  </w:r>
                </w:p>
                <w:p w14:paraId="0DC9E489">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宋体" w:hAnsi="宋体" w:eastAsia="宋体" w:cs="宋体"/>
                      <w:sz w:val="24"/>
                      <w:szCs w:val="24"/>
                    </w:rPr>
                  </w:pPr>
                </w:p>
              </w:tc>
              <w:tc>
                <w:tcPr>
                  <w:tcW w:w="1030" w:type="dxa"/>
                  <w:tcBorders>
                    <w:top w:val="single" w:color="000000" w:sz="8" w:space="0"/>
                    <w:left w:val="single" w:color="000000" w:sz="8" w:space="0"/>
                    <w:bottom w:val="single" w:color="000000" w:sz="8" w:space="0"/>
                    <w:right w:val="single" w:color="000000" w:sz="8" w:space="0"/>
                  </w:tcBorders>
                  <w:noWrap w:val="0"/>
                  <w:vAlign w:val="top"/>
                </w:tcPr>
                <w:p w14:paraId="72D6D52B">
                  <w:pPr>
                    <w:keepNext w:val="0"/>
                    <w:keepLines w:val="0"/>
                    <w:pageBreakBefore w:val="0"/>
                    <w:kinsoku/>
                    <w:wordWrap/>
                    <w:overflowPunct/>
                    <w:topLinePunct w:val="0"/>
                    <w:autoSpaceDE/>
                    <w:autoSpaceDN/>
                    <w:bidi w:val="0"/>
                    <w:adjustRightInd/>
                    <w:snapToGrid/>
                    <w:spacing w:line="46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color w:val="auto"/>
                      <w:sz w:val="24"/>
                      <w:szCs w:val="24"/>
                      <w:highlight w:val="none"/>
                    </w:rPr>
                    <w:t>12</w:t>
                  </w:r>
                </w:p>
              </w:tc>
              <w:tc>
                <w:tcPr>
                  <w:tcW w:w="5396"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14:paraId="425E9696">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（一）评分内容：</w:t>
                  </w:r>
                </w:p>
                <w:p w14:paraId="256639C0">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根据项目特点，针对服务需求分析、服务定位、服务内容、服务优势、管理措施等要点进行项目整体设想和策划，编制实施方案。</w:t>
                  </w:r>
                </w:p>
                <w:p w14:paraId="21940614">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包括但不限于以下内容：</w:t>
                  </w:r>
                </w:p>
                <w:p w14:paraId="72BBB1DA">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1.</w:t>
                  </w:r>
                  <w:r>
                    <w:rPr>
                      <w:rFonts w:hint="eastAsia" w:ascii="宋体" w:hAnsi="宋体" w:eastAsia="宋体" w:cs="宋体"/>
                      <w:b w:val="0"/>
                      <w:bCs w:val="0"/>
                      <w:color w:val="000000"/>
                      <w:sz w:val="24"/>
                      <w:szCs w:val="24"/>
                      <w:lang w:val="en-US" w:eastAsia="zh-CN"/>
                    </w:rPr>
                    <w:t>分析检测桥涵所在地区桥涵</w:t>
                  </w:r>
                  <w:r>
                    <w:rPr>
                      <w:rFonts w:hint="eastAsia" w:ascii="宋体" w:hAnsi="宋体" w:eastAsia="宋体" w:cs="宋体"/>
                      <w:b w:val="0"/>
                      <w:bCs w:val="0"/>
                      <w:color w:val="000000"/>
                      <w:sz w:val="24"/>
                      <w:szCs w:val="24"/>
                    </w:rPr>
                    <w:t>建设环境、历史、现状；</w:t>
                  </w:r>
                </w:p>
                <w:p w14:paraId="1E1B2199">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2.本项目桥涵结构型式多样、桥梁环境复杂，如特殊结构桥梁、独柱墩桥梁等需制定分析对应的检测内容，分析现有病害及检测内容；</w:t>
                  </w:r>
                </w:p>
                <w:p w14:paraId="4F3D8024">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3.结合</w:t>
                  </w:r>
                  <w:r>
                    <w:rPr>
                      <w:rFonts w:hint="eastAsia" w:ascii="宋体" w:hAnsi="宋体" w:eastAsia="宋体" w:cs="宋体"/>
                      <w:b w:val="0"/>
                      <w:bCs w:val="0"/>
                      <w:color w:val="000000"/>
                      <w:sz w:val="24"/>
                      <w:szCs w:val="24"/>
                      <w:lang w:val="en-US" w:eastAsia="zh-CN"/>
                    </w:rPr>
                    <w:t>检测桥涵所在地区桥涵</w:t>
                  </w:r>
                  <w:r>
                    <w:rPr>
                      <w:rFonts w:hint="eastAsia" w:ascii="宋体" w:hAnsi="宋体" w:eastAsia="宋体" w:cs="宋体"/>
                      <w:b w:val="0"/>
                      <w:bCs w:val="0"/>
                      <w:color w:val="000000"/>
                      <w:sz w:val="24"/>
                      <w:szCs w:val="24"/>
                    </w:rPr>
                    <w:t>货运通道及交通重要路线桥梁实际情况，给出针对性的检测内容、方法；</w:t>
                  </w:r>
                </w:p>
                <w:p w14:paraId="4C6626C2">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4.结合</w:t>
                  </w:r>
                  <w:r>
                    <w:rPr>
                      <w:rFonts w:hint="eastAsia" w:ascii="宋体" w:hAnsi="宋体" w:eastAsia="宋体" w:cs="宋体"/>
                      <w:b w:val="0"/>
                      <w:bCs w:val="0"/>
                      <w:color w:val="000000"/>
                      <w:sz w:val="24"/>
                      <w:szCs w:val="24"/>
                      <w:lang w:val="en-US" w:eastAsia="zh-CN"/>
                    </w:rPr>
                    <w:t>检测桥涵所在地区桥涵</w:t>
                  </w:r>
                  <w:r>
                    <w:rPr>
                      <w:rFonts w:hint="eastAsia" w:ascii="宋体" w:hAnsi="宋体" w:eastAsia="宋体" w:cs="宋体"/>
                      <w:b w:val="0"/>
                      <w:bCs w:val="0"/>
                      <w:color w:val="000000"/>
                      <w:sz w:val="24"/>
                      <w:szCs w:val="24"/>
                    </w:rPr>
                    <w:t>周边存在地铁施工的实际情况，给出针对性的检测内容、方法；</w:t>
                  </w:r>
                </w:p>
                <w:p w14:paraId="2757A92A">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5.阐述工作流程、工作方法与手段。</w:t>
                  </w:r>
                </w:p>
                <w:p w14:paraId="0EAB4D12">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（二）评分依据：</w:t>
                  </w:r>
                </w:p>
                <w:p w14:paraId="66345A59">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w:t>
                  </w:r>
                  <w:r>
                    <w:rPr>
                      <w:rFonts w:hint="eastAsia" w:ascii="宋体" w:hAnsi="宋体" w:eastAsia="宋体" w:cs="宋体"/>
                      <w:color w:val="auto"/>
                      <w:sz w:val="24"/>
                      <w:szCs w:val="24"/>
                      <w:highlight w:val="none"/>
                      <w:lang w:val="en-US" w:eastAsia="zh-CN"/>
                    </w:rPr>
                    <w:t>方</w:t>
                  </w:r>
                  <w:r>
                    <w:rPr>
                      <w:rFonts w:hint="eastAsia" w:ascii="宋体" w:hAnsi="宋体" w:eastAsia="宋体" w:cs="宋体"/>
                      <w:color w:val="auto"/>
                      <w:sz w:val="24"/>
                      <w:szCs w:val="24"/>
                      <w:highlight w:val="none"/>
                    </w:rPr>
                    <w:t>提供的《实施方案》</w:t>
                  </w:r>
                  <w:r>
                    <w:rPr>
                      <w:rFonts w:hint="eastAsia" w:ascii="宋体" w:hAnsi="宋体" w:eastAsia="宋体" w:cs="宋体"/>
                      <w:color w:val="auto"/>
                      <w:sz w:val="24"/>
                      <w:szCs w:val="24"/>
                      <w:highlight w:val="none"/>
                      <w:lang w:eastAsia="zh-CN"/>
                    </w:rPr>
                    <w:t>满足</w:t>
                  </w:r>
                  <w:r>
                    <w:rPr>
                      <w:rFonts w:hint="eastAsia" w:ascii="宋体" w:hAnsi="宋体" w:eastAsia="宋体" w:cs="宋体"/>
                      <w:color w:val="auto"/>
                      <w:sz w:val="24"/>
                      <w:szCs w:val="24"/>
                      <w:highlight w:val="none"/>
                    </w:rPr>
                    <w:t>上述</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项考察内容的，得</w:t>
                  </w:r>
                  <w:r>
                    <w:rPr>
                      <w:rFonts w:hint="eastAsia" w:ascii="宋体" w:hAnsi="宋体" w:eastAsia="宋体" w:cs="宋体"/>
                      <w:color w:val="auto"/>
                      <w:sz w:val="24"/>
                      <w:szCs w:val="24"/>
                      <w:highlight w:val="none"/>
                      <w:lang w:val="en-US" w:eastAsia="zh-CN"/>
                    </w:rPr>
                    <w:t>80</w:t>
                  </w:r>
                  <w:r>
                    <w:rPr>
                      <w:rFonts w:hint="eastAsia" w:ascii="宋体" w:hAnsi="宋体" w:eastAsia="宋体" w:cs="宋体"/>
                      <w:color w:val="auto"/>
                      <w:sz w:val="24"/>
                      <w:szCs w:val="24"/>
                      <w:highlight w:val="none"/>
                    </w:rPr>
                    <w:t>%分，缺少一项扣</w:t>
                  </w:r>
                  <w:r>
                    <w:rPr>
                      <w:rFonts w:hint="eastAsia" w:ascii="宋体" w:hAnsi="宋体" w:eastAsia="宋体" w:cs="宋体"/>
                      <w:color w:val="auto"/>
                      <w:sz w:val="24"/>
                      <w:szCs w:val="24"/>
                      <w:highlight w:val="none"/>
                      <w:lang w:val="en-US" w:eastAsia="zh-CN"/>
                    </w:rPr>
                    <w:t>16</w:t>
                  </w:r>
                  <w:r>
                    <w:rPr>
                      <w:rFonts w:hint="eastAsia" w:ascii="宋体" w:hAnsi="宋体" w:eastAsia="宋体" w:cs="宋体"/>
                      <w:color w:val="auto"/>
                      <w:sz w:val="24"/>
                      <w:szCs w:val="24"/>
                      <w:highlight w:val="none"/>
                    </w:rPr>
                    <w:t>%分。</w:t>
                  </w:r>
                </w:p>
                <w:p w14:paraId="68F29231">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eastAsia="zh-CN"/>
                    </w:rPr>
                    <w:t>在上述内容完整的基础上，</w:t>
                  </w:r>
                  <w:r>
                    <w:rPr>
                      <w:rFonts w:hint="eastAsia" w:ascii="宋体" w:hAnsi="宋体" w:eastAsia="宋体" w:cs="宋体"/>
                      <w:color w:val="000000"/>
                      <w:sz w:val="24"/>
                      <w:szCs w:val="24"/>
                    </w:rPr>
                    <w:t>评标专家根据投标</w:t>
                  </w:r>
                  <w:r>
                    <w:rPr>
                      <w:rFonts w:hint="eastAsia" w:ascii="宋体" w:hAnsi="宋体" w:eastAsia="宋体" w:cs="宋体"/>
                      <w:color w:val="000000"/>
                      <w:sz w:val="24"/>
                      <w:szCs w:val="24"/>
                      <w:lang w:val="en-US" w:eastAsia="zh-CN"/>
                    </w:rPr>
                    <w:t>方</w:t>
                  </w:r>
                  <w:r>
                    <w:rPr>
                      <w:rFonts w:hint="eastAsia" w:ascii="宋体" w:hAnsi="宋体" w:eastAsia="宋体" w:cs="宋体"/>
                      <w:color w:val="000000"/>
                      <w:sz w:val="24"/>
                      <w:szCs w:val="24"/>
                    </w:rPr>
                    <w:t>提供的《实施方案》的合理性进行评分。</w:t>
                  </w:r>
                </w:p>
                <w:p w14:paraId="24BC5D72">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优评分标准：方案内容全面、具体，可行性高</w:t>
                  </w:r>
                  <w:r>
                    <w:rPr>
                      <w:rFonts w:hint="eastAsia" w:ascii="宋体" w:hAnsi="宋体" w:eastAsia="宋体" w:cs="宋体"/>
                      <w:color w:val="000000"/>
                      <w:sz w:val="24"/>
                      <w:szCs w:val="24"/>
                      <w:lang w:eastAsia="zh-CN"/>
                    </w:rPr>
                    <w:t>，加</w:t>
                  </w:r>
                  <w:r>
                    <w:rPr>
                      <w:rFonts w:hint="eastAsia" w:ascii="宋体" w:hAnsi="宋体" w:eastAsia="宋体" w:cs="宋体"/>
                      <w:color w:val="000000"/>
                      <w:sz w:val="24"/>
                      <w:szCs w:val="24"/>
                      <w:lang w:val="en-US" w:eastAsia="zh-CN"/>
                    </w:rPr>
                    <w:t>20%分</w:t>
                  </w:r>
                  <w:r>
                    <w:rPr>
                      <w:rFonts w:hint="eastAsia" w:ascii="宋体" w:hAnsi="宋体" w:eastAsia="宋体" w:cs="宋体"/>
                      <w:color w:val="000000"/>
                      <w:sz w:val="24"/>
                      <w:szCs w:val="24"/>
                      <w:lang w:eastAsia="zh-CN"/>
                    </w:rPr>
                    <w:t>。</w:t>
                  </w:r>
                </w:p>
                <w:p w14:paraId="29C9A206">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良评分标准：方案内容较全面，可行性较高</w:t>
                  </w:r>
                  <w:r>
                    <w:rPr>
                      <w:rFonts w:hint="eastAsia" w:ascii="宋体" w:hAnsi="宋体" w:eastAsia="宋体" w:cs="宋体"/>
                      <w:color w:val="000000"/>
                      <w:sz w:val="24"/>
                      <w:szCs w:val="24"/>
                      <w:lang w:eastAsia="zh-CN"/>
                    </w:rPr>
                    <w:t>，加</w:t>
                  </w:r>
                  <w:r>
                    <w:rPr>
                      <w:rFonts w:hint="eastAsia" w:ascii="宋体" w:hAnsi="宋体" w:eastAsia="宋体" w:cs="宋体"/>
                      <w:color w:val="000000"/>
                      <w:sz w:val="24"/>
                      <w:szCs w:val="24"/>
                      <w:lang w:val="en-US" w:eastAsia="zh-CN"/>
                    </w:rPr>
                    <w:t>10%分</w:t>
                  </w:r>
                  <w:r>
                    <w:rPr>
                      <w:rFonts w:hint="eastAsia" w:ascii="宋体" w:hAnsi="宋体" w:eastAsia="宋体" w:cs="宋体"/>
                      <w:color w:val="000000"/>
                      <w:sz w:val="24"/>
                      <w:szCs w:val="24"/>
                      <w:lang w:eastAsia="zh-CN"/>
                    </w:rPr>
                    <w:t>。</w:t>
                  </w:r>
                </w:p>
                <w:p w14:paraId="290726F6">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中评分标准：方案全面性、可行性一般</w:t>
                  </w:r>
                  <w:r>
                    <w:rPr>
                      <w:rFonts w:hint="eastAsia" w:ascii="宋体" w:hAnsi="宋体" w:eastAsia="宋体" w:cs="宋体"/>
                      <w:color w:val="000000"/>
                      <w:sz w:val="24"/>
                      <w:szCs w:val="24"/>
                      <w:lang w:eastAsia="zh-CN"/>
                    </w:rPr>
                    <w:t>，加</w:t>
                  </w:r>
                  <w:r>
                    <w:rPr>
                      <w:rFonts w:hint="eastAsia" w:ascii="宋体" w:hAnsi="宋体" w:eastAsia="宋体" w:cs="宋体"/>
                      <w:color w:val="000000"/>
                      <w:sz w:val="24"/>
                      <w:szCs w:val="24"/>
                      <w:lang w:val="en-US" w:eastAsia="zh-CN"/>
                    </w:rPr>
                    <w:t>5%分</w:t>
                  </w:r>
                  <w:r>
                    <w:rPr>
                      <w:rFonts w:hint="eastAsia" w:ascii="宋体" w:hAnsi="宋体" w:eastAsia="宋体" w:cs="宋体"/>
                      <w:color w:val="000000"/>
                      <w:sz w:val="24"/>
                      <w:szCs w:val="24"/>
                      <w:lang w:eastAsia="zh-CN"/>
                    </w:rPr>
                    <w:t>。</w:t>
                  </w:r>
                </w:p>
                <w:p w14:paraId="0EFB92E6">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000000"/>
                      <w:sz w:val="24"/>
                      <w:szCs w:val="24"/>
                    </w:rPr>
                    <w:t>差评分标准：方案不全，可行性低</w:t>
                  </w:r>
                  <w:r>
                    <w:rPr>
                      <w:rFonts w:hint="eastAsia" w:ascii="宋体" w:hAnsi="宋体" w:eastAsia="宋体" w:cs="宋体"/>
                      <w:color w:val="000000"/>
                      <w:sz w:val="24"/>
                      <w:szCs w:val="24"/>
                      <w:lang w:eastAsia="zh-CN"/>
                    </w:rPr>
                    <w:t>，不加分。</w:t>
                  </w:r>
                  <w:r>
                    <w:rPr>
                      <w:rFonts w:hint="eastAsia" w:ascii="宋体" w:hAnsi="宋体" w:eastAsia="宋体" w:cs="宋体"/>
                      <w:color w:val="000000"/>
                      <w:sz w:val="24"/>
                      <w:szCs w:val="24"/>
                    </w:rPr>
                    <w:t>如果评分为差，专家须书面说明理由。</w:t>
                  </w:r>
                </w:p>
              </w:tc>
            </w:tr>
            <w:tr w14:paraId="15DFC31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76" w:type="dxa"/>
                  <w:vMerge w:val="continue"/>
                  <w:tcBorders>
                    <w:top w:val="single" w:color="000000" w:sz="8" w:space="0"/>
                    <w:left w:val="single" w:color="000000" w:sz="8" w:space="0"/>
                    <w:bottom w:val="single" w:color="000000" w:sz="8" w:space="0"/>
                    <w:right w:val="single" w:color="000000" w:sz="8" w:space="0"/>
                  </w:tcBorders>
                  <w:noWrap w:val="0"/>
                  <w:vAlign w:val="center"/>
                </w:tcPr>
                <w:p w14:paraId="131E2D65">
                  <w:pPr>
                    <w:keepNext w:val="0"/>
                    <w:pageBreakBefore w:val="0"/>
                    <w:widowControl/>
                    <w:kinsoku/>
                    <w:wordWrap/>
                    <w:overflowPunct/>
                    <w:topLinePunct w:val="0"/>
                    <w:autoSpaceDE/>
                    <w:autoSpaceDN/>
                    <w:bidi w:val="0"/>
                    <w:adjustRightInd/>
                    <w:snapToGrid/>
                    <w:textAlignment w:val="auto"/>
                    <w:rPr>
                      <w:rFonts w:hint="eastAsia" w:ascii="宋体" w:hAnsi="宋体" w:eastAsia="宋体" w:cs="宋体"/>
                      <w:b/>
                      <w:bCs/>
                      <w:sz w:val="24"/>
                      <w:szCs w:val="24"/>
                    </w:rPr>
                  </w:pPr>
                </w:p>
              </w:tc>
              <w:tc>
                <w:tcPr>
                  <w:tcW w:w="675" w:type="dxa"/>
                  <w:tcBorders>
                    <w:top w:val="single" w:color="000000" w:sz="8" w:space="0"/>
                    <w:left w:val="single" w:color="000000" w:sz="8" w:space="0"/>
                    <w:bottom w:val="single" w:color="000000" w:sz="8" w:space="0"/>
                    <w:right w:val="single" w:color="000000" w:sz="8" w:space="0"/>
                  </w:tcBorders>
                  <w:noWrap w:val="0"/>
                  <w:vAlign w:val="center"/>
                </w:tcPr>
                <w:p w14:paraId="66B22101">
                  <w:pPr>
                    <w:keepNext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sz w:val="24"/>
                      <w:szCs w:val="24"/>
                    </w:rPr>
                  </w:pPr>
                  <w:r>
                    <w:rPr>
                      <w:rFonts w:hint="eastAsia" w:ascii="宋体" w:hAnsi="宋体" w:eastAsia="宋体" w:cs="宋体"/>
                      <w:sz w:val="24"/>
                      <w:szCs w:val="24"/>
                    </w:rPr>
                    <w:t>2</w:t>
                  </w:r>
                </w:p>
              </w:tc>
              <w:tc>
                <w:tcPr>
                  <w:tcW w:w="1295" w:type="dxa"/>
                  <w:tcBorders>
                    <w:top w:val="single" w:color="000000" w:sz="8" w:space="0"/>
                    <w:left w:val="single" w:color="000000" w:sz="8" w:space="0"/>
                    <w:bottom w:val="single" w:color="000000" w:sz="8" w:space="0"/>
                    <w:right w:val="single" w:color="000000" w:sz="8" w:space="0"/>
                  </w:tcBorders>
                  <w:noWrap w:val="0"/>
                  <w:vAlign w:val="top"/>
                </w:tcPr>
                <w:p w14:paraId="2334E282">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t>项目重点难点分析、应对措施及相关的合理化建议</w:t>
                  </w:r>
                </w:p>
              </w:tc>
              <w:tc>
                <w:tcPr>
                  <w:tcW w:w="1030" w:type="dxa"/>
                  <w:tcBorders>
                    <w:top w:val="single" w:color="000000" w:sz="8" w:space="0"/>
                    <w:left w:val="single" w:color="000000" w:sz="8" w:space="0"/>
                    <w:bottom w:val="single" w:color="000000" w:sz="8" w:space="0"/>
                    <w:right w:val="single" w:color="000000" w:sz="8" w:space="0"/>
                  </w:tcBorders>
                  <w:noWrap w:val="0"/>
                  <w:vAlign w:val="top"/>
                </w:tcPr>
                <w:p w14:paraId="1AAF462F">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color w:val="auto"/>
                      <w:sz w:val="24"/>
                      <w:szCs w:val="24"/>
                      <w:highlight w:val="none"/>
                    </w:rPr>
                    <w:t>12</w:t>
                  </w:r>
                </w:p>
              </w:tc>
              <w:tc>
                <w:tcPr>
                  <w:tcW w:w="5396" w:type="dxa"/>
                  <w:tcBorders>
                    <w:top w:val="single" w:color="000000" w:sz="8" w:space="0"/>
                    <w:left w:val="single" w:color="000000" w:sz="8" w:space="0"/>
                    <w:bottom w:val="single" w:color="000000" w:sz="8" w:space="0"/>
                    <w:right w:val="single" w:color="000000" w:sz="8" w:space="0"/>
                  </w:tcBorders>
                  <w:noWrap w:val="0"/>
                  <w:vAlign w:val="top"/>
                </w:tcPr>
                <w:p w14:paraId="3F20751E">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（一）评分内容： </w:t>
                  </w:r>
                </w:p>
                <w:p w14:paraId="3E92063C">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根据对项目的理解及自身经验，针对本项目提出重点难点分析、应对措施及相关的合理化建议。包括但不限于以下内容：</w:t>
                  </w:r>
                </w:p>
                <w:p w14:paraId="066F8FB4">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1.阐述本项目涉水结构（含水下结构检测、跨水库桥梁、跨航道桥梁）的检测重难点以及应对措施；</w:t>
                  </w:r>
                </w:p>
                <w:p w14:paraId="349573B5">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2.阐述本项目涉铁路桥梁（含地铁周边桥梁、跨铁路线路的桥梁）的检测重难点以及应对措施；</w:t>
                  </w:r>
                </w:p>
                <w:p w14:paraId="39E96705">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3.阐述本项目圬工桥梁、独柱墩桥梁、特大桥的检测重难点以及应对措施；</w:t>
                  </w:r>
                </w:p>
                <w:p w14:paraId="41F6C89D">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4.结合</w:t>
                  </w:r>
                  <w:r>
                    <w:rPr>
                      <w:rFonts w:hint="eastAsia" w:ascii="宋体" w:hAnsi="宋体" w:eastAsia="宋体" w:cs="宋体"/>
                      <w:b w:val="0"/>
                      <w:bCs w:val="0"/>
                      <w:color w:val="000000"/>
                      <w:sz w:val="24"/>
                      <w:szCs w:val="24"/>
                      <w:lang w:val="en-US" w:eastAsia="zh-CN"/>
                    </w:rPr>
                    <w:t>检测桥涵所在地区</w:t>
                  </w:r>
                  <w:r>
                    <w:rPr>
                      <w:rFonts w:hint="eastAsia" w:ascii="宋体" w:hAnsi="宋体" w:eastAsia="宋体" w:cs="宋体"/>
                      <w:b w:val="0"/>
                      <w:bCs w:val="0"/>
                      <w:color w:val="000000"/>
                      <w:sz w:val="24"/>
                      <w:szCs w:val="24"/>
                    </w:rPr>
                    <w:t>“四新”技术的要求，阐述该技术的应用及建议；</w:t>
                  </w:r>
                </w:p>
                <w:p w14:paraId="2AF2D265">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5.结合</w:t>
                  </w:r>
                  <w:r>
                    <w:rPr>
                      <w:rFonts w:hint="eastAsia" w:ascii="宋体" w:hAnsi="宋体" w:eastAsia="宋体" w:cs="宋体"/>
                      <w:b w:val="0"/>
                      <w:bCs w:val="0"/>
                      <w:color w:val="000000"/>
                      <w:sz w:val="24"/>
                      <w:szCs w:val="24"/>
                      <w:lang w:val="en-US" w:eastAsia="zh-CN"/>
                    </w:rPr>
                    <w:t>检测桥涵所在地区</w:t>
                  </w:r>
                  <w:r>
                    <w:rPr>
                      <w:rFonts w:hint="eastAsia" w:ascii="宋体" w:hAnsi="宋体" w:eastAsia="宋体" w:cs="宋体"/>
                      <w:b w:val="0"/>
                      <w:bCs w:val="0"/>
                      <w:color w:val="000000"/>
                      <w:sz w:val="24"/>
                      <w:szCs w:val="24"/>
                    </w:rPr>
                    <w:t>桥梁应急养护的要求，阐述应急情况下的响应措施和优势。</w:t>
                  </w:r>
                </w:p>
                <w:p w14:paraId="4F220539">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（二）评分依据：</w:t>
                  </w:r>
                </w:p>
                <w:p w14:paraId="1B962368">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1.投标</w:t>
                  </w:r>
                  <w:r>
                    <w:rPr>
                      <w:rFonts w:hint="eastAsia" w:ascii="宋体" w:hAnsi="宋体" w:eastAsia="宋体" w:cs="宋体"/>
                      <w:color w:val="000000"/>
                      <w:sz w:val="24"/>
                      <w:szCs w:val="24"/>
                      <w:lang w:val="en-US" w:eastAsia="zh-CN"/>
                    </w:rPr>
                    <w:t>方</w:t>
                  </w:r>
                  <w:r>
                    <w:rPr>
                      <w:rFonts w:hint="eastAsia" w:ascii="宋体" w:hAnsi="宋体" w:eastAsia="宋体" w:cs="宋体"/>
                      <w:color w:val="000000"/>
                      <w:sz w:val="24"/>
                      <w:szCs w:val="24"/>
                    </w:rPr>
                    <w:t>提供的《项目重点难点分析、应对措施及相关的合理化建议》</w:t>
                  </w:r>
                  <w:r>
                    <w:rPr>
                      <w:rFonts w:hint="eastAsia" w:ascii="宋体" w:hAnsi="宋体" w:eastAsia="宋体" w:cs="宋体"/>
                      <w:color w:val="000000"/>
                      <w:sz w:val="24"/>
                      <w:szCs w:val="24"/>
                      <w:lang w:eastAsia="zh-CN"/>
                    </w:rPr>
                    <w:t>满足</w:t>
                  </w:r>
                  <w:r>
                    <w:rPr>
                      <w:rFonts w:hint="eastAsia" w:ascii="宋体" w:hAnsi="宋体" w:eastAsia="宋体" w:cs="宋体"/>
                      <w:color w:val="000000"/>
                      <w:sz w:val="24"/>
                      <w:szCs w:val="24"/>
                    </w:rPr>
                    <w:t>上述</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项考察内容的，得</w:t>
                  </w:r>
                  <w:r>
                    <w:rPr>
                      <w:rFonts w:hint="eastAsia" w:ascii="宋体" w:hAnsi="宋体" w:eastAsia="宋体" w:cs="宋体"/>
                      <w:color w:val="000000"/>
                      <w:sz w:val="24"/>
                      <w:szCs w:val="24"/>
                      <w:lang w:val="en-US" w:eastAsia="zh-CN"/>
                    </w:rPr>
                    <w:t>80</w:t>
                  </w:r>
                  <w:r>
                    <w:rPr>
                      <w:rFonts w:hint="eastAsia" w:ascii="宋体" w:hAnsi="宋体" w:eastAsia="宋体" w:cs="宋体"/>
                      <w:color w:val="000000"/>
                      <w:sz w:val="24"/>
                      <w:szCs w:val="24"/>
                    </w:rPr>
                    <w:t>%分，缺少一项扣</w:t>
                  </w:r>
                  <w:r>
                    <w:rPr>
                      <w:rFonts w:hint="eastAsia" w:ascii="宋体" w:hAnsi="宋体" w:eastAsia="宋体" w:cs="宋体"/>
                      <w:color w:val="000000"/>
                      <w:sz w:val="24"/>
                      <w:szCs w:val="24"/>
                      <w:lang w:val="en-US" w:eastAsia="zh-CN"/>
                    </w:rPr>
                    <w:t>16</w:t>
                  </w:r>
                  <w:r>
                    <w:rPr>
                      <w:rFonts w:hint="eastAsia" w:ascii="宋体" w:hAnsi="宋体" w:eastAsia="宋体" w:cs="宋体"/>
                      <w:color w:val="000000"/>
                      <w:sz w:val="24"/>
                      <w:szCs w:val="24"/>
                    </w:rPr>
                    <w:t>%分。</w:t>
                  </w:r>
                </w:p>
                <w:p w14:paraId="59F3FFC3">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eastAsia="zh-CN"/>
                    </w:rPr>
                    <w:t>在上述内容完整的基础上，</w:t>
                  </w:r>
                  <w:r>
                    <w:rPr>
                      <w:rFonts w:hint="eastAsia" w:ascii="宋体" w:hAnsi="宋体" w:eastAsia="宋体" w:cs="宋体"/>
                      <w:color w:val="000000"/>
                      <w:sz w:val="24"/>
                      <w:szCs w:val="24"/>
                    </w:rPr>
                    <w:t>评标专家根据投标</w:t>
                  </w:r>
                  <w:r>
                    <w:rPr>
                      <w:rFonts w:hint="eastAsia" w:ascii="宋体" w:hAnsi="宋体" w:eastAsia="宋体" w:cs="宋体"/>
                      <w:color w:val="000000"/>
                      <w:sz w:val="24"/>
                      <w:szCs w:val="24"/>
                      <w:lang w:val="en-US" w:eastAsia="zh-CN"/>
                    </w:rPr>
                    <w:t>方</w:t>
                  </w:r>
                  <w:r>
                    <w:rPr>
                      <w:rFonts w:hint="eastAsia" w:ascii="宋体" w:hAnsi="宋体" w:eastAsia="宋体" w:cs="宋体"/>
                      <w:color w:val="000000"/>
                      <w:sz w:val="24"/>
                      <w:szCs w:val="24"/>
                    </w:rPr>
                    <w:t xml:space="preserve">提供的《项目重点难点分析、应对措施及相关的合理化建议》的合理性进行评分。 </w:t>
                  </w:r>
                </w:p>
                <w:p w14:paraId="6C8218D6">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优评分标准：方案内容全面、具体，可行性高</w:t>
                  </w:r>
                  <w:r>
                    <w:rPr>
                      <w:rFonts w:hint="eastAsia" w:ascii="宋体" w:hAnsi="宋体" w:eastAsia="宋体" w:cs="宋体"/>
                      <w:color w:val="000000"/>
                      <w:sz w:val="24"/>
                      <w:szCs w:val="24"/>
                      <w:lang w:eastAsia="zh-CN"/>
                    </w:rPr>
                    <w:t>，加</w:t>
                  </w:r>
                  <w:r>
                    <w:rPr>
                      <w:rFonts w:hint="eastAsia" w:ascii="宋体" w:hAnsi="宋体" w:eastAsia="宋体" w:cs="宋体"/>
                      <w:color w:val="000000"/>
                      <w:sz w:val="24"/>
                      <w:szCs w:val="24"/>
                      <w:lang w:val="en-US" w:eastAsia="zh-CN"/>
                    </w:rPr>
                    <w:t>20%分</w:t>
                  </w:r>
                  <w:r>
                    <w:rPr>
                      <w:rFonts w:hint="eastAsia" w:ascii="宋体" w:hAnsi="宋体" w:eastAsia="宋体" w:cs="宋体"/>
                      <w:color w:val="000000"/>
                      <w:sz w:val="24"/>
                      <w:szCs w:val="24"/>
                      <w:lang w:eastAsia="zh-CN"/>
                    </w:rPr>
                    <w:t>。</w:t>
                  </w:r>
                </w:p>
                <w:p w14:paraId="7BBD06F2">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良评分标准：方案内容较全面，可行性较高</w:t>
                  </w:r>
                  <w:r>
                    <w:rPr>
                      <w:rFonts w:hint="eastAsia" w:ascii="宋体" w:hAnsi="宋体" w:eastAsia="宋体" w:cs="宋体"/>
                      <w:color w:val="000000"/>
                      <w:sz w:val="24"/>
                      <w:szCs w:val="24"/>
                      <w:lang w:eastAsia="zh-CN"/>
                    </w:rPr>
                    <w:t>，加</w:t>
                  </w:r>
                  <w:r>
                    <w:rPr>
                      <w:rFonts w:hint="eastAsia" w:ascii="宋体" w:hAnsi="宋体" w:eastAsia="宋体" w:cs="宋体"/>
                      <w:color w:val="000000"/>
                      <w:sz w:val="24"/>
                      <w:szCs w:val="24"/>
                      <w:lang w:val="en-US" w:eastAsia="zh-CN"/>
                    </w:rPr>
                    <w:t>10%分</w:t>
                  </w:r>
                  <w:r>
                    <w:rPr>
                      <w:rFonts w:hint="eastAsia" w:ascii="宋体" w:hAnsi="宋体" w:eastAsia="宋体" w:cs="宋体"/>
                      <w:color w:val="000000"/>
                      <w:sz w:val="24"/>
                      <w:szCs w:val="24"/>
                      <w:lang w:eastAsia="zh-CN"/>
                    </w:rPr>
                    <w:t>。</w:t>
                  </w:r>
                </w:p>
                <w:p w14:paraId="1614F9EA">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中评分标准：方案全面性、可行性一般</w:t>
                  </w:r>
                  <w:r>
                    <w:rPr>
                      <w:rFonts w:hint="eastAsia" w:ascii="宋体" w:hAnsi="宋体" w:eastAsia="宋体" w:cs="宋体"/>
                      <w:color w:val="000000"/>
                      <w:sz w:val="24"/>
                      <w:szCs w:val="24"/>
                      <w:lang w:eastAsia="zh-CN"/>
                    </w:rPr>
                    <w:t>，加</w:t>
                  </w:r>
                  <w:r>
                    <w:rPr>
                      <w:rFonts w:hint="eastAsia" w:ascii="宋体" w:hAnsi="宋体" w:eastAsia="宋体" w:cs="宋体"/>
                      <w:color w:val="000000"/>
                      <w:sz w:val="24"/>
                      <w:szCs w:val="24"/>
                      <w:lang w:val="en-US" w:eastAsia="zh-CN"/>
                    </w:rPr>
                    <w:t>5%分</w:t>
                  </w:r>
                  <w:r>
                    <w:rPr>
                      <w:rFonts w:hint="eastAsia" w:ascii="宋体" w:hAnsi="宋体" w:eastAsia="宋体" w:cs="宋体"/>
                      <w:color w:val="000000"/>
                      <w:sz w:val="24"/>
                      <w:szCs w:val="24"/>
                      <w:lang w:eastAsia="zh-CN"/>
                    </w:rPr>
                    <w:t>。</w:t>
                  </w:r>
                </w:p>
                <w:p w14:paraId="595DE4CE">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ascii="宋体" w:hAnsi="宋体" w:eastAsia="宋体" w:cs="宋体"/>
                      <w:sz w:val="24"/>
                      <w:szCs w:val="24"/>
                    </w:rPr>
                  </w:pPr>
                  <w:r>
                    <w:rPr>
                      <w:rFonts w:hint="eastAsia" w:ascii="宋体" w:hAnsi="宋体" w:eastAsia="宋体" w:cs="宋体"/>
                      <w:color w:val="000000"/>
                      <w:sz w:val="24"/>
                      <w:szCs w:val="24"/>
                    </w:rPr>
                    <w:t>差评分标准：方案不全，可行性低</w:t>
                  </w:r>
                  <w:r>
                    <w:rPr>
                      <w:rFonts w:hint="eastAsia" w:ascii="宋体" w:hAnsi="宋体" w:eastAsia="宋体" w:cs="宋体"/>
                      <w:color w:val="000000"/>
                      <w:sz w:val="24"/>
                      <w:szCs w:val="24"/>
                      <w:lang w:eastAsia="zh-CN"/>
                    </w:rPr>
                    <w:t>，不加分。</w:t>
                  </w:r>
                  <w:r>
                    <w:rPr>
                      <w:rFonts w:hint="eastAsia" w:ascii="宋体" w:hAnsi="宋体" w:eastAsia="宋体" w:cs="宋体"/>
                      <w:color w:val="000000"/>
                      <w:sz w:val="24"/>
                      <w:szCs w:val="24"/>
                    </w:rPr>
                    <w:t>如果评分为差，专家须书面说明理由。</w:t>
                  </w:r>
                </w:p>
              </w:tc>
            </w:tr>
            <w:tr w14:paraId="3305FF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76" w:type="dxa"/>
                  <w:vMerge w:val="continue"/>
                  <w:tcBorders>
                    <w:top w:val="single" w:color="000000" w:sz="8" w:space="0"/>
                    <w:left w:val="single" w:color="000000" w:sz="8" w:space="0"/>
                    <w:bottom w:val="single" w:color="000000" w:sz="8" w:space="0"/>
                    <w:right w:val="single" w:color="000000" w:sz="8" w:space="0"/>
                  </w:tcBorders>
                  <w:noWrap w:val="0"/>
                  <w:vAlign w:val="center"/>
                </w:tcPr>
                <w:p w14:paraId="08E1C1AC">
                  <w:pPr>
                    <w:keepNext w:val="0"/>
                    <w:pageBreakBefore w:val="0"/>
                    <w:widowControl/>
                    <w:kinsoku/>
                    <w:wordWrap/>
                    <w:overflowPunct/>
                    <w:topLinePunct w:val="0"/>
                    <w:autoSpaceDE/>
                    <w:autoSpaceDN/>
                    <w:bidi w:val="0"/>
                    <w:adjustRightInd/>
                    <w:snapToGrid/>
                    <w:textAlignment w:val="auto"/>
                    <w:rPr>
                      <w:rFonts w:hint="eastAsia" w:ascii="宋体" w:hAnsi="宋体" w:eastAsia="宋体" w:cs="宋体"/>
                      <w:b/>
                      <w:bCs/>
                      <w:sz w:val="24"/>
                      <w:szCs w:val="24"/>
                    </w:rPr>
                  </w:pPr>
                </w:p>
              </w:tc>
              <w:tc>
                <w:tcPr>
                  <w:tcW w:w="675" w:type="dxa"/>
                  <w:tcBorders>
                    <w:top w:val="single" w:color="000000" w:sz="8" w:space="0"/>
                    <w:left w:val="single" w:color="000000" w:sz="8" w:space="0"/>
                    <w:bottom w:val="single" w:color="000000" w:sz="8" w:space="0"/>
                    <w:right w:val="single" w:color="000000" w:sz="8" w:space="0"/>
                  </w:tcBorders>
                  <w:noWrap w:val="0"/>
                  <w:vAlign w:val="center"/>
                </w:tcPr>
                <w:p w14:paraId="2A828E2F">
                  <w:pPr>
                    <w:keepNext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sz w:val="24"/>
                      <w:szCs w:val="24"/>
                    </w:rPr>
                  </w:pPr>
                  <w:r>
                    <w:rPr>
                      <w:rFonts w:hint="eastAsia" w:ascii="宋体" w:hAnsi="宋体" w:eastAsia="宋体" w:cs="宋体"/>
                      <w:sz w:val="24"/>
                      <w:szCs w:val="24"/>
                    </w:rPr>
                    <w:t>3</w:t>
                  </w:r>
                </w:p>
              </w:tc>
              <w:tc>
                <w:tcPr>
                  <w:tcW w:w="1295" w:type="dxa"/>
                  <w:tcBorders>
                    <w:top w:val="single" w:color="000000" w:sz="8" w:space="0"/>
                    <w:left w:val="single" w:color="000000" w:sz="8" w:space="0"/>
                    <w:bottom w:val="single" w:color="000000" w:sz="8" w:space="0"/>
                    <w:right w:val="single" w:color="000000" w:sz="8" w:space="0"/>
                  </w:tcBorders>
                  <w:noWrap w:val="0"/>
                  <w:vAlign w:val="top"/>
                </w:tcPr>
                <w:p w14:paraId="6716159E">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t>质量保障措施及方案</w:t>
                  </w:r>
                </w:p>
              </w:tc>
              <w:tc>
                <w:tcPr>
                  <w:tcW w:w="1030" w:type="dxa"/>
                  <w:tcBorders>
                    <w:top w:val="single" w:color="000000" w:sz="8" w:space="0"/>
                    <w:left w:val="single" w:color="000000" w:sz="8" w:space="0"/>
                    <w:bottom w:val="single" w:color="000000" w:sz="8" w:space="0"/>
                    <w:right w:val="single" w:color="000000" w:sz="8" w:space="0"/>
                  </w:tcBorders>
                  <w:noWrap w:val="0"/>
                  <w:vAlign w:val="top"/>
                </w:tcPr>
                <w:p w14:paraId="362450A4">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p>
              </w:tc>
              <w:tc>
                <w:tcPr>
                  <w:tcW w:w="5396" w:type="dxa"/>
                  <w:tcBorders>
                    <w:top w:val="single" w:color="000000" w:sz="8" w:space="0"/>
                    <w:left w:val="single" w:color="000000" w:sz="8" w:space="0"/>
                    <w:bottom w:val="single" w:color="000000" w:sz="8" w:space="0"/>
                    <w:right w:val="single" w:color="000000" w:sz="8" w:space="0"/>
                  </w:tcBorders>
                  <w:noWrap w:val="0"/>
                  <w:vAlign w:val="top"/>
                </w:tcPr>
                <w:p w14:paraId="0FA98376">
                  <w:pPr>
                    <w:keepNext w:val="0"/>
                    <w:keepLines w:val="0"/>
                    <w:pageBreakBefore w:val="0"/>
                    <w:kinsoku/>
                    <w:wordWrap w:val="0"/>
                    <w:overflowPunct/>
                    <w:topLinePunct w:val="0"/>
                    <w:autoSpaceDE/>
                    <w:autoSpaceDN/>
                    <w:bidi w:val="0"/>
                    <w:adjustRightInd/>
                    <w:snapToGrid/>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（一）评分内容：</w:t>
                  </w:r>
                </w:p>
                <w:p w14:paraId="00D2C897">
                  <w:pPr>
                    <w:keepNext w:val="0"/>
                    <w:keepLines w:val="0"/>
                    <w:pageBreakBefore w:val="0"/>
                    <w:kinsoku/>
                    <w:wordWrap w:val="0"/>
                    <w:overflowPunct/>
                    <w:topLinePunct w:val="0"/>
                    <w:autoSpaceDE/>
                    <w:autoSpaceDN/>
                    <w:bidi w:val="0"/>
                    <w:adjustRightInd/>
                    <w:snapToGrid/>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根据对项目的理解及自身管理经验，针对本项目提出质量（完成时间、安全）保障措施及方案。包括但不限于以下内容：</w:t>
                  </w:r>
                </w:p>
                <w:p w14:paraId="4B6E56C9">
                  <w:pPr>
                    <w:keepNext w:val="0"/>
                    <w:keepLines w:val="0"/>
                    <w:pageBreakBefore w:val="0"/>
                    <w:kinsoku/>
                    <w:wordWrap w:val="0"/>
                    <w:overflowPunct/>
                    <w:topLinePunct w:val="0"/>
                    <w:autoSpaceDE/>
                    <w:autoSpaceDN/>
                    <w:bidi w:val="0"/>
                    <w:adjustRightInd/>
                    <w:snapToGrid/>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给出分阶段项目时间安排、工作进度与阶段性成果；</w:t>
                  </w:r>
                </w:p>
                <w:p w14:paraId="6FC3A235">
                  <w:pPr>
                    <w:keepNext w:val="0"/>
                    <w:keepLines w:val="0"/>
                    <w:pageBreakBefore w:val="0"/>
                    <w:kinsoku/>
                    <w:wordWrap w:val="0"/>
                    <w:overflowPunct/>
                    <w:topLinePunct w:val="0"/>
                    <w:autoSpaceDE/>
                    <w:autoSpaceDN/>
                    <w:bidi w:val="0"/>
                    <w:adjustRightInd/>
                    <w:snapToGrid/>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阐述项目时间管理制度与措施；</w:t>
                  </w:r>
                </w:p>
                <w:p w14:paraId="205E9341">
                  <w:pPr>
                    <w:keepNext w:val="0"/>
                    <w:keepLines w:val="0"/>
                    <w:pageBreakBefore w:val="0"/>
                    <w:kinsoku/>
                    <w:wordWrap w:val="0"/>
                    <w:overflowPunct/>
                    <w:topLinePunct w:val="0"/>
                    <w:autoSpaceDE/>
                    <w:autoSpaceDN/>
                    <w:bidi w:val="0"/>
                    <w:adjustRightInd/>
                    <w:snapToGrid/>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阐述项目质量管理制度与措施；</w:t>
                  </w:r>
                </w:p>
                <w:p w14:paraId="3FA18DA5">
                  <w:pPr>
                    <w:keepNext w:val="0"/>
                    <w:keepLines w:val="0"/>
                    <w:pageBreakBefore w:val="0"/>
                    <w:kinsoku/>
                    <w:wordWrap w:val="0"/>
                    <w:overflowPunct/>
                    <w:topLinePunct w:val="0"/>
                    <w:autoSpaceDE/>
                    <w:autoSpaceDN/>
                    <w:bidi w:val="0"/>
                    <w:adjustRightInd/>
                    <w:snapToGrid/>
                    <w:spacing w:line="4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阐述</w:t>
                  </w:r>
                  <w:r>
                    <w:rPr>
                      <w:rFonts w:hint="eastAsia" w:ascii="宋体" w:hAnsi="宋体" w:eastAsia="宋体" w:cs="宋体"/>
                      <w:color w:val="auto"/>
                      <w:sz w:val="24"/>
                      <w:szCs w:val="24"/>
                      <w:highlight w:val="none"/>
                      <w:lang w:val="en-US" w:eastAsia="zh-CN"/>
                    </w:rPr>
                    <w:t>项目实施过程中</w:t>
                  </w:r>
                  <w:r>
                    <w:rPr>
                      <w:rFonts w:hint="eastAsia" w:ascii="宋体" w:hAnsi="宋体" w:eastAsia="宋体" w:cs="宋体"/>
                      <w:color w:val="000000"/>
                      <w:sz w:val="24"/>
                      <w:szCs w:val="24"/>
                      <w:lang w:val="en-US" w:eastAsia="zh-CN"/>
                    </w:rPr>
                    <w:t>（如</w:t>
                  </w:r>
                  <w:r>
                    <w:rPr>
                      <w:rFonts w:hint="eastAsia" w:ascii="宋体" w:hAnsi="宋体" w:eastAsia="宋体" w:cs="宋体"/>
                      <w:b w:val="0"/>
                      <w:bCs w:val="0"/>
                      <w:color w:val="000000"/>
                      <w:sz w:val="24"/>
                      <w:szCs w:val="24"/>
                      <w:lang w:val="en-US" w:eastAsia="zh-CN"/>
                    </w:rPr>
                    <w:t>检测桥涵所在地区</w:t>
                  </w:r>
                  <w:r>
                    <w:rPr>
                      <w:rFonts w:hint="eastAsia" w:ascii="宋体" w:hAnsi="宋体" w:eastAsia="宋体" w:cs="宋体"/>
                      <w:color w:val="000000"/>
                      <w:sz w:val="24"/>
                      <w:szCs w:val="24"/>
                      <w:lang w:val="en-US" w:eastAsia="zh-CN"/>
                    </w:rPr>
                    <w:t>雨季和交通疏解等特殊要求下），生产</w:t>
                  </w:r>
                  <w:r>
                    <w:rPr>
                      <w:rFonts w:hint="eastAsia" w:ascii="宋体" w:hAnsi="宋体" w:eastAsia="宋体" w:cs="宋体"/>
                      <w:color w:val="000000"/>
                      <w:sz w:val="24"/>
                      <w:szCs w:val="24"/>
                    </w:rPr>
                    <w:t>安全保障制度与措施</w:t>
                  </w:r>
                  <w:r>
                    <w:rPr>
                      <w:rFonts w:hint="eastAsia" w:ascii="宋体" w:hAnsi="宋体" w:eastAsia="宋体" w:cs="宋体"/>
                      <w:color w:val="000000"/>
                      <w:sz w:val="24"/>
                      <w:szCs w:val="24"/>
                      <w:lang w:val="en-US" w:eastAsia="zh-CN"/>
                    </w:rPr>
                    <w:t>以及优势</w:t>
                  </w:r>
                  <w:r>
                    <w:rPr>
                      <w:rFonts w:hint="eastAsia" w:ascii="宋体" w:hAnsi="宋体" w:eastAsia="宋体" w:cs="宋体"/>
                      <w:color w:val="000000"/>
                      <w:sz w:val="24"/>
                      <w:szCs w:val="24"/>
                    </w:rPr>
                    <w:t>。</w:t>
                  </w:r>
                </w:p>
                <w:p w14:paraId="617EC13A">
                  <w:pPr>
                    <w:keepNext w:val="0"/>
                    <w:keepLines w:val="0"/>
                    <w:pageBreakBefore w:val="0"/>
                    <w:kinsoku/>
                    <w:wordWrap w:val="0"/>
                    <w:overflowPunct/>
                    <w:topLinePunct w:val="0"/>
                    <w:autoSpaceDE/>
                    <w:autoSpaceDN/>
                    <w:bidi w:val="0"/>
                    <w:adjustRightInd/>
                    <w:snapToGrid/>
                    <w:spacing w:line="460" w:lineRule="exact"/>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（二）评分依据：</w:t>
                  </w:r>
                </w:p>
                <w:p w14:paraId="2AD21332">
                  <w:pPr>
                    <w:keepNext w:val="0"/>
                    <w:keepLines w:val="0"/>
                    <w:pageBreakBefore w:val="0"/>
                    <w:kinsoku/>
                    <w:wordWrap w:val="0"/>
                    <w:overflowPunct/>
                    <w:topLinePunct w:val="0"/>
                    <w:autoSpaceDE/>
                    <w:autoSpaceDN/>
                    <w:bidi w:val="0"/>
                    <w:adjustRightInd/>
                    <w:snapToGrid/>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w:t>
                  </w:r>
                  <w:r>
                    <w:rPr>
                      <w:rFonts w:hint="eastAsia" w:ascii="宋体" w:hAnsi="宋体" w:eastAsia="宋体" w:cs="宋体"/>
                      <w:color w:val="auto"/>
                      <w:sz w:val="24"/>
                      <w:szCs w:val="24"/>
                      <w:highlight w:val="none"/>
                      <w:lang w:val="en-US" w:eastAsia="zh-CN"/>
                    </w:rPr>
                    <w:t>方</w:t>
                  </w:r>
                  <w:r>
                    <w:rPr>
                      <w:rFonts w:hint="eastAsia" w:ascii="宋体" w:hAnsi="宋体" w:eastAsia="宋体" w:cs="宋体"/>
                      <w:color w:val="auto"/>
                      <w:sz w:val="24"/>
                      <w:szCs w:val="24"/>
                      <w:highlight w:val="none"/>
                    </w:rPr>
                    <w:t>提供的《质量保障措施及方案》</w:t>
                  </w:r>
                  <w:r>
                    <w:rPr>
                      <w:rFonts w:hint="eastAsia" w:ascii="宋体" w:hAnsi="宋体" w:eastAsia="宋体" w:cs="宋体"/>
                      <w:color w:val="auto"/>
                      <w:sz w:val="24"/>
                      <w:szCs w:val="24"/>
                      <w:highlight w:val="none"/>
                      <w:lang w:eastAsia="zh-CN"/>
                    </w:rPr>
                    <w:t>满足</w:t>
                  </w:r>
                  <w:r>
                    <w:rPr>
                      <w:rFonts w:hint="eastAsia" w:ascii="宋体" w:hAnsi="宋体" w:eastAsia="宋体" w:cs="宋体"/>
                      <w:color w:val="auto"/>
                      <w:sz w:val="24"/>
                      <w:szCs w:val="24"/>
                      <w:highlight w:val="none"/>
                    </w:rPr>
                    <w:t>上述</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项考察内容的，得</w:t>
                  </w:r>
                  <w:r>
                    <w:rPr>
                      <w:rFonts w:hint="eastAsia" w:ascii="宋体" w:hAnsi="宋体" w:eastAsia="宋体" w:cs="宋体"/>
                      <w:color w:val="auto"/>
                      <w:sz w:val="24"/>
                      <w:szCs w:val="24"/>
                      <w:highlight w:val="none"/>
                      <w:lang w:val="en-US" w:eastAsia="zh-CN"/>
                    </w:rPr>
                    <w:t>80</w:t>
                  </w:r>
                  <w:r>
                    <w:rPr>
                      <w:rFonts w:hint="eastAsia" w:ascii="宋体" w:hAnsi="宋体" w:eastAsia="宋体" w:cs="宋体"/>
                      <w:color w:val="auto"/>
                      <w:sz w:val="24"/>
                      <w:szCs w:val="24"/>
                      <w:highlight w:val="none"/>
                    </w:rPr>
                    <w:t>%分，缺少一项扣</w:t>
                  </w: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rPr>
                    <w:t>%分。</w:t>
                  </w:r>
                </w:p>
                <w:p w14:paraId="6D894FA2">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eastAsia="zh-CN"/>
                    </w:rPr>
                    <w:t>在上述内容完整的基础上，</w:t>
                  </w:r>
                  <w:r>
                    <w:rPr>
                      <w:rFonts w:hint="eastAsia" w:ascii="宋体" w:hAnsi="宋体" w:eastAsia="宋体" w:cs="宋体"/>
                      <w:color w:val="000000"/>
                      <w:sz w:val="24"/>
                      <w:szCs w:val="24"/>
                    </w:rPr>
                    <w:t>评标专家根据投标</w:t>
                  </w:r>
                  <w:r>
                    <w:rPr>
                      <w:rFonts w:hint="eastAsia" w:ascii="宋体" w:hAnsi="宋体" w:eastAsia="宋体" w:cs="宋体"/>
                      <w:color w:val="000000"/>
                      <w:sz w:val="24"/>
                      <w:szCs w:val="24"/>
                      <w:lang w:val="en-US" w:eastAsia="zh-CN"/>
                    </w:rPr>
                    <w:t>方</w:t>
                  </w:r>
                  <w:r>
                    <w:rPr>
                      <w:rFonts w:hint="eastAsia" w:ascii="宋体" w:hAnsi="宋体" w:eastAsia="宋体" w:cs="宋体"/>
                      <w:color w:val="000000"/>
                      <w:sz w:val="24"/>
                      <w:szCs w:val="24"/>
                    </w:rPr>
                    <w:t xml:space="preserve">提供的《质量（完成时间、安全、环保）保障措施及方案》的合理性进行评分。 </w:t>
                  </w:r>
                </w:p>
                <w:p w14:paraId="4D604AF5">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优评分标准：方案内容全面、具体，可行性高</w:t>
                  </w:r>
                  <w:r>
                    <w:rPr>
                      <w:rFonts w:hint="eastAsia" w:ascii="宋体" w:hAnsi="宋体" w:eastAsia="宋体" w:cs="宋体"/>
                      <w:color w:val="000000"/>
                      <w:sz w:val="24"/>
                      <w:szCs w:val="24"/>
                      <w:lang w:eastAsia="zh-CN"/>
                    </w:rPr>
                    <w:t>，加</w:t>
                  </w:r>
                  <w:r>
                    <w:rPr>
                      <w:rFonts w:hint="eastAsia" w:ascii="宋体" w:hAnsi="宋体" w:eastAsia="宋体" w:cs="宋体"/>
                      <w:color w:val="000000"/>
                      <w:sz w:val="24"/>
                      <w:szCs w:val="24"/>
                      <w:lang w:val="en-US" w:eastAsia="zh-CN"/>
                    </w:rPr>
                    <w:t>20%分</w:t>
                  </w:r>
                  <w:r>
                    <w:rPr>
                      <w:rFonts w:hint="eastAsia" w:ascii="宋体" w:hAnsi="宋体" w:eastAsia="宋体" w:cs="宋体"/>
                      <w:color w:val="000000"/>
                      <w:sz w:val="24"/>
                      <w:szCs w:val="24"/>
                      <w:lang w:eastAsia="zh-CN"/>
                    </w:rPr>
                    <w:t>。</w:t>
                  </w:r>
                </w:p>
                <w:p w14:paraId="1228F07D">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良评分标准：方案内容较全面，可行性较高</w:t>
                  </w:r>
                  <w:r>
                    <w:rPr>
                      <w:rFonts w:hint="eastAsia" w:ascii="宋体" w:hAnsi="宋体" w:eastAsia="宋体" w:cs="宋体"/>
                      <w:color w:val="000000"/>
                      <w:sz w:val="24"/>
                      <w:szCs w:val="24"/>
                      <w:lang w:eastAsia="zh-CN"/>
                    </w:rPr>
                    <w:t>，加</w:t>
                  </w:r>
                  <w:r>
                    <w:rPr>
                      <w:rFonts w:hint="eastAsia" w:ascii="宋体" w:hAnsi="宋体" w:eastAsia="宋体" w:cs="宋体"/>
                      <w:color w:val="000000"/>
                      <w:sz w:val="24"/>
                      <w:szCs w:val="24"/>
                      <w:lang w:val="en-US" w:eastAsia="zh-CN"/>
                    </w:rPr>
                    <w:t>10%分</w:t>
                  </w:r>
                  <w:r>
                    <w:rPr>
                      <w:rFonts w:hint="eastAsia" w:ascii="宋体" w:hAnsi="宋体" w:eastAsia="宋体" w:cs="宋体"/>
                      <w:color w:val="000000"/>
                      <w:sz w:val="24"/>
                      <w:szCs w:val="24"/>
                      <w:lang w:eastAsia="zh-CN"/>
                    </w:rPr>
                    <w:t>。</w:t>
                  </w:r>
                </w:p>
                <w:p w14:paraId="29C5B486">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中评分标准：方案全面性、可行性一般</w:t>
                  </w:r>
                  <w:r>
                    <w:rPr>
                      <w:rFonts w:hint="eastAsia" w:ascii="宋体" w:hAnsi="宋体" w:eastAsia="宋体" w:cs="宋体"/>
                      <w:color w:val="000000"/>
                      <w:sz w:val="24"/>
                      <w:szCs w:val="24"/>
                      <w:lang w:eastAsia="zh-CN"/>
                    </w:rPr>
                    <w:t>，加</w:t>
                  </w:r>
                  <w:r>
                    <w:rPr>
                      <w:rFonts w:hint="eastAsia" w:ascii="宋体" w:hAnsi="宋体" w:eastAsia="宋体" w:cs="宋体"/>
                      <w:color w:val="000000"/>
                      <w:sz w:val="24"/>
                      <w:szCs w:val="24"/>
                      <w:lang w:val="en-US" w:eastAsia="zh-CN"/>
                    </w:rPr>
                    <w:t>5%分</w:t>
                  </w:r>
                  <w:r>
                    <w:rPr>
                      <w:rFonts w:hint="eastAsia" w:ascii="宋体" w:hAnsi="宋体" w:eastAsia="宋体" w:cs="宋体"/>
                      <w:color w:val="000000"/>
                      <w:sz w:val="24"/>
                      <w:szCs w:val="24"/>
                      <w:lang w:eastAsia="zh-CN"/>
                    </w:rPr>
                    <w:t>。</w:t>
                  </w:r>
                </w:p>
                <w:p w14:paraId="68D59545">
                  <w:pPr>
                    <w:keepNext w:val="0"/>
                    <w:keepLines w:val="0"/>
                    <w:pageBreakBefore w:val="0"/>
                    <w:kinsoku/>
                    <w:wordWrap w:val="0"/>
                    <w:overflowPunct/>
                    <w:topLinePunct w:val="0"/>
                    <w:autoSpaceDE/>
                    <w:autoSpaceDN/>
                    <w:bidi w:val="0"/>
                    <w:adjustRightInd/>
                    <w:snapToGrid/>
                    <w:spacing w:line="460" w:lineRule="exact"/>
                    <w:jc w:val="left"/>
                    <w:textAlignment w:val="auto"/>
                    <w:rPr>
                      <w:rFonts w:hint="eastAsia" w:ascii="宋体" w:hAnsi="宋体" w:eastAsia="宋体" w:cs="宋体"/>
                      <w:sz w:val="24"/>
                      <w:szCs w:val="24"/>
                    </w:rPr>
                  </w:pPr>
                  <w:r>
                    <w:rPr>
                      <w:rFonts w:hint="eastAsia" w:ascii="宋体" w:hAnsi="宋体" w:eastAsia="宋体" w:cs="宋体"/>
                      <w:color w:val="000000"/>
                      <w:sz w:val="24"/>
                      <w:szCs w:val="24"/>
                    </w:rPr>
                    <w:t>差评分标准：方案不全，可行性低</w:t>
                  </w:r>
                  <w:r>
                    <w:rPr>
                      <w:rFonts w:hint="eastAsia" w:ascii="宋体" w:hAnsi="宋体" w:eastAsia="宋体" w:cs="宋体"/>
                      <w:color w:val="000000"/>
                      <w:sz w:val="24"/>
                      <w:szCs w:val="24"/>
                      <w:lang w:eastAsia="zh-CN"/>
                    </w:rPr>
                    <w:t>，不加分。</w:t>
                  </w:r>
                  <w:r>
                    <w:rPr>
                      <w:rFonts w:hint="eastAsia" w:ascii="宋体" w:hAnsi="宋体" w:eastAsia="宋体" w:cs="宋体"/>
                      <w:color w:val="000000"/>
                      <w:sz w:val="24"/>
                      <w:szCs w:val="24"/>
                    </w:rPr>
                    <w:t>如果评分为差，专家须书面说明理由。</w:t>
                  </w:r>
                </w:p>
              </w:tc>
            </w:tr>
            <w:tr w14:paraId="2940373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76" w:type="dxa"/>
                  <w:vMerge w:val="continue"/>
                  <w:tcBorders>
                    <w:top w:val="single" w:color="000000" w:sz="8" w:space="0"/>
                    <w:left w:val="single" w:color="000000" w:sz="8" w:space="0"/>
                    <w:bottom w:val="single" w:color="000000" w:sz="8" w:space="0"/>
                    <w:right w:val="single" w:color="000000" w:sz="8" w:space="0"/>
                  </w:tcBorders>
                  <w:noWrap w:val="0"/>
                  <w:vAlign w:val="center"/>
                </w:tcPr>
                <w:p w14:paraId="5610ADFA">
                  <w:pPr>
                    <w:keepNext w:val="0"/>
                    <w:pageBreakBefore w:val="0"/>
                    <w:widowControl/>
                    <w:kinsoku/>
                    <w:wordWrap/>
                    <w:overflowPunct/>
                    <w:topLinePunct w:val="0"/>
                    <w:autoSpaceDE/>
                    <w:autoSpaceDN/>
                    <w:bidi w:val="0"/>
                    <w:adjustRightInd/>
                    <w:snapToGrid/>
                    <w:textAlignment w:val="auto"/>
                    <w:rPr>
                      <w:rFonts w:hint="eastAsia" w:ascii="宋体" w:hAnsi="宋体" w:eastAsia="宋体" w:cs="宋体"/>
                      <w:b/>
                      <w:bCs/>
                      <w:sz w:val="24"/>
                      <w:szCs w:val="24"/>
                    </w:rPr>
                  </w:pPr>
                </w:p>
              </w:tc>
              <w:tc>
                <w:tcPr>
                  <w:tcW w:w="675" w:type="dxa"/>
                  <w:tcBorders>
                    <w:top w:val="single" w:color="000000" w:sz="8" w:space="0"/>
                    <w:left w:val="single" w:color="000000" w:sz="8" w:space="0"/>
                    <w:bottom w:val="single" w:color="000000" w:sz="8" w:space="0"/>
                    <w:right w:val="single" w:color="000000" w:sz="8" w:space="0"/>
                  </w:tcBorders>
                  <w:noWrap w:val="0"/>
                  <w:vAlign w:val="center"/>
                </w:tcPr>
                <w:p w14:paraId="0A8A459C">
                  <w:pPr>
                    <w:keepNext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sz w:val="24"/>
                      <w:szCs w:val="24"/>
                    </w:rPr>
                  </w:pPr>
                  <w:r>
                    <w:rPr>
                      <w:rFonts w:hint="eastAsia" w:ascii="宋体" w:hAnsi="宋体" w:eastAsia="宋体" w:cs="宋体"/>
                      <w:sz w:val="24"/>
                      <w:szCs w:val="24"/>
                    </w:rPr>
                    <w:t>4</w:t>
                  </w:r>
                </w:p>
              </w:tc>
              <w:tc>
                <w:tcPr>
                  <w:tcW w:w="1295" w:type="dxa"/>
                  <w:tcBorders>
                    <w:top w:val="single" w:color="000000" w:sz="8" w:space="0"/>
                    <w:left w:val="single" w:color="000000" w:sz="8" w:space="0"/>
                    <w:bottom w:val="single" w:color="000000" w:sz="8" w:space="0"/>
                    <w:right w:val="single" w:color="000000" w:sz="8" w:space="0"/>
                  </w:tcBorders>
                  <w:noWrap w:val="0"/>
                  <w:vAlign w:val="top"/>
                </w:tcPr>
                <w:p w14:paraId="5FA5F5FC">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t>项目完成（服务期满）后的服务承诺</w:t>
                  </w:r>
                </w:p>
              </w:tc>
              <w:tc>
                <w:tcPr>
                  <w:tcW w:w="1030" w:type="dxa"/>
                  <w:tcBorders>
                    <w:top w:val="single" w:color="000000" w:sz="8" w:space="0"/>
                    <w:left w:val="single" w:color="000000" w:sz="8" w:space="0"/>
                    <w:bottom w:val="single" w:color="000000" w:sz="8" w:space="0"/>
                    <w:right w:val="single" w:color="000000" w:sz="8" w:space="0"/>
                  </w:tcBorders>
                  <w:noWrap w:val="0"/>
                  <w:vAlign w:val="top"/>
                </w:tcPr>
                <w:p w14:paraId="78C0B83F">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color w:val="auto"/>
                      <w:sz w:val="24"/>
                      <w:szCs w:val="24"/>
                      <w:highlight w:val="none"/>
                      <w:lang w:val="en-US" w:eastAsia="zh-CN"/>
                    </w:rPr>
                    <w:t>2</w:t>
                  </w:r>
                </w:p>
              </w:tc>
              <w:tc>
                <w:tcPr>
                  <w:tcW w:w="5396" w:type="dxa"/>
                  <w:tcBorders>
                    <w:top w:val="single" w:color="000000" w:sz="8" w:space="0"/>
                    <w:left w:val="single" w:color="000000" w:sz="8" w:space="0"/>
                    <w:bottom w:val="single" w:color="000000" w:sz="8" w:space="0"/>
                    <w:right w:val="single" w:color="000000" w:sz="8" w:space="0"/>
                  </w:tcBorders>
                  <w:noWrap w:val="0"/>
                  <w:vAlign w:val="top"/>
                </w:tcPr>
                <w:p w14:paraId="00A8026C">
                  <w:pPr>
                    <w:keepNext w:val="0"/>
                    <w:keepLines w:val="0"/>
                    <w:pageBreakBefore w:val="0"/>
                    <w:numPr>
                      <w:ilvl w:val="0"/>
                      <w:numId w:val="1"/>
                    </w:numPr>
                    <w:kinsoku/>
                    <w:wordWrap/>
                    <w:overflowPunct/>
                    <w:topLinePunct w:val="0"/>
                    <w:autoSpaceDE/>
                    <w:autoSpaceDN/>
                    <w:bidi w:val="0"/>
                    <w:adjustRightInd/>
                    <w:snapToGrid/>
                    <w:spacing w:line="460" w:lineRule="exact"/>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评分内容：</w:t>
                  </w:r>
                </w:p>
                <w:p w14:paraId="1C9CF60F">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根据对项目的理解及自身管理经验，提出项目完成（服务期满）后的服务承诺。包括但不限于以下内容：</w:t>
                  </w:r>
                </w:p>
                <w:p w14:paraId="267BC900">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1.项目完成后服务负责人信息与联系方式。</w:t>
                  </w:r>
                </w:p>
                <w:p w14:paraId="75C9F8D8">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2.承诺后期服务年限不少于</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年。</w:t>
                  </w:r>
                </w:p>
                <w:p w14:paraId="22E999AC">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3.阐述服务制度，服务响应时间不</w:t>
                  </w:r>
                  <w:r>
                    <w:rPr>
                      <w:rFonts w:hint="eastAsia" w:ascii="宋体" w:hAnsi="宋体" w:eastAsia="宋体" w:cs="宋体"/>
                      <w:color w:val="auto"/>
                      <w:sz w:val="24"/>
                      <w:szCs w:val="24"/>
                      <w:highlight w:val="none"/>
                      <w:lang w:eastAsia="zh-CN"/>
                    </w:rPr>
                    <w:t>超过</w:t>
                  </w:r>
                  <w:r>
                    <w:rPr>
                      <w:rFonts w:hint="eastAsia" w:ascii="宋体" w:hAnsi="宋体" w:eastAsia="宋体" w:cs="宋体"/>
                      <w:color w:val="auto"/>
                      <w:sz w:val="24"/>
                      <w:szCs w:val="24"/>
                      <w:highlight w:val="none"/>
                      <w:lang w:val="en-US" w:eastAsia="zh-CN"/>
                    </w:rPr>
                    <w:t>4小时</w:t>
                  </w:r>
                  <w:r>
                    <w:rPr>
                      <w:rFonts w:hint="eastAsia" w:ascii="宋体" w:hAnsi="宋体" w:eastAsia="宋体" w:cs="宋体"/>
                      <w:color w:val="auto"/>
                      <w:sz w:val="24"/>
                      <w:szCs w:val="24"/>
                      <w:highlight w:val="none"/>
                    </w:rPr>
                    <w:t>。</w:t>
                  </w:r>
                </w:p>
                <w:p w14:paraId="4FD64C73">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4.阐述项目完成后的服务内容（必须包含采购文件售后服务要求中所有内容）。</w:t>
                  </w:r>
                </w:p>
                <w:p w14:paraId="208D74AF">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（二）评分依据：</w:t>
                  </w:r>
                </w:p>
                <w:p w14:paraId="3B42989C">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1.提供《项目完成（服务期满）后的服务承诺》且承诺满足上述考察内容的，得100%分。 </w:t>
                  </w:r>
                </w:p>
                <w:p w14:paraId="75626D29">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ascii="宋体" w:hAnsi="宋体" w:eastAsia="宋体" w:cs="宋体"/>
                      <w:sz w:val="24"/>
                      <w:szCs w:val="24"/>
                      <w:highlight w:val="yellow"/>
                    </w:rPr>
                  </w:pPr>
                  <w:r>
                    <w:rPr>
                      <w:rFonts w:hint="eastAsia" w:ascii="宋体" w:hAnsi="宋体" w:eastAsia="宋体" w:cs="宋体"/>
                      <w:color w:val="auto"/>
                      <w:sz w:val="24"/>
                      <w:szCs w:val="24"/>
                      <w:highlight w:val="none"/>
                    </w:rPr>
                    <w:t>2.未提供《项目完成（服务期满）后的服务承诺》或提供的《项目完成（服务期满）后的服务承诺》未能体现承诺满足上述考察内容的，不得分。</w:t>
                  </w:r>
                </w:p>
              </w:tc>
            </w:tr>
            <w:tr w14:paraId="3FA51F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76" w:type="dxa"/>
                  <w:vMerge w:val="continue"/>
                  <w:tcBorders>
                    <w:top w:val="single" w:color="000000" w:sz="8" w:space="0"/>
                    <w:left w:val="single" w:color="000000" w:sz="8" w:space="0"/>
                    <w:bottom w:val="single" w:color="000000" w:sz="8" w:space="0"/>
                    <w:right w:val="single" w:color="000000" w:sz="8" w:space="0"/>
                  </w:tcBorders>
                  <w:noWrap w:val="0"/>
                  <w:vAlign w:val="center"/>
                </w:tcPr>
                <w:p w14:paraId="073AC068">
                  <w:pPr>
                    <w:keepNext w:val="0"/>
                    <w:pageBreakBefore w:val="0"/>
                    <w:widowControl/>
                    <w:kinsoku/>
                    <w:wordWrap/>
                    <w:overflowPunct/>
                    <w:topLinePunct w:val="0"/>
                    <w:autoSpaceDE/>
                    <w:autoSpaceDN/>
                    <w:bidi w:val="0"/>
                    <w:adjustRightInd/>
                    <w:snapToGrid/>
                    <w:textAlignment w:val="auto"/>
                    <w:rPr>
                      <w:rFonts w:hint="eastAsia" w:ascii="宋体" w:hAnsi="宋体" w:eastAsia="宋体" w:cs="宋体"/>
                      <w:b/>
                      <w:bCs/>
                      <w:sz w:val="24"/>
                      <w:szCs w:val="24"/>
                    </w:rPr>
                  </w:pPr>
                </w:p>
              </w:tc>
              <w:tc>
                <w:tcPr>
                  <w:tcW w:w="675" w:type="dxa"/>
                  <w:tcBorders>
                    <w:top w:val="single" w:color="000000" w:sz="8" w:space="0"/>
                    <w:left w:val="single" w:color="000000" w:sz="8" w:space="0"/>
                    <w:bottom w:val="single" w:color="000000" w:sz="8" w:space="0"/>
                    <w:right w:val="single" w:color="000000" w:sz="8" w:space="0"/>
                  </w:tcBorders>
                  <w:noWrap w:val="0"/>
                  <w:vAlign w:val="top"/>
                </w:tcPr>
                <w:p w14:paraId="0240CE39">
                  <w:pPr>
                    <w:keepNext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sz w:val="24"/>
                      <w:szCs w:val="24"/>
                    </w:rPr>
                  </w:pPr>
                  <w:r>
                    <w:rPr>
                      <w:rFonts w:hint="eastAsia" w:ascii="宋体" w:hAnsi="宋体" w:eastAsia="宋体" w:cs="宋体"/>
                      <w:sz w:val="24"/>
                      <w:szCs w:val="24"/>
                    </w:rPr>
                    <w:t>5</w:t>
                  </w:r>
                </w:p>
              </w:tc>
              <w:tc>
                <w:tcPr>
                  <w:tcW w:w="1295" w:type="dxa"/>
                  <w:tcBorders>
                    <w:top w:val="single" w:color="000000" w:sz="8" w:space="0"/>
                    <w:left w:val="single" w:color="000000" w:sz="8" w:space="0"/>
                    <w:bottom w:val="single" w:color="000000" w:sz="8" w:space="0"/>
                    <w:right w:val="single" w:color="000000" w:sz="8" w:space="0"/>
                  </w:tcBorders>
                  <w:noWrap w:val="0"/>
                  <w:vAlign w:val="top"/>
                </w:tcPr>
                <w:p w14:paraId="50316A23">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t>违约承诺</w:t>
                  </w:r>
                </w:p>
              </w:tc>
              <w:tc>
                <w:tcPr>
                  <w:tcW w:w="1030" w:type="dxa"/>
                  <w:tcBorders>
                    <w:top w:val="single" w:color="000000" w:sz="8" w:space="0"/>
                    <w:left w:val="single" w:color="000000" w:sz="8" w:space="0"/>
                    <w:bottom w:val="single" w:color="000000" w:sz="8" w:space="0"/>
                    <w:right w:val="single" w:color="000000" w:sz="8" w:space="0"/>
                  </w:tcBorders>
                  <w:noWrap w:val="0"/>
                  <w:vAlign w:val="top"/>
                </w:tcPr>
                <w:p w14:paraId="3C139F13">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color w:val="auto"/>
                      <w:sz w:val="24"/>
                      <w:szCs w:val="24"/>
                      <w:highlight w:val="none"/>
                      <w:lang w:val="en-US" w:eastAsia="zh-CN"/>
                    </w:rPr>
                    <w:t>2</w:t>
                  </w:r>
                </w:p>
              </w:tc>
              <w:tc>
                <w:tcPr>
                  <w:tcW w:w="5396" w:type="dxa"/>
                  <w:tcBorders>
                    <w:top w:val="single" w:color="000000" w:sz="8" w:space="0"/>
                    <w:left w:val="single" w:color="000000" w:sz="8" w:space="0"/>
                    <w:bottom w:val="single" w:color="000000" w:sz="8" w:space="0"/>
                    <w:right w:val="single" w:color="000000" w:sz="8" w:space="0"/>
                  </w:tcBorders>
                  <w:noWrap w:val="0"/>
                  <w:vAlign w:val="top"/>
                </w:tcPr>
                <w:p w14:paraId="23CE6526">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（一）评分内容：</w:t>
                  </w:r>
                </w:p>
                <w:p w14:paraId="4854F48C">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承诺满足采购文件“</w:t>
                  </w:r>
                  <w:r>
                    <w:rPr>
                      <w:rFonts w:hint="eastAsia" w:ascii="宋体" w:hAnsi="宋体" w:eastAsia="宋体" w:cs="宋体"/>
                      <w:color w:val="auto"/>
                      <w:sz w:val="24"/>
                      <w:szCs w:val="24"/>
                      <w:highlight w:val="none"/>
                      <w:lang w:val="en-US" w:eastAsia="zh-CN"/>
                    </w:rPr>
                    <w:t>商务需求</w:t>
                  </w:r>
                  <w:r>
                    <w:rPr>
                      <w:rFonts w:hint="eastAsia" w:ascii="宋体" w:hAnsi="宋体" w:eastAsia="宋体" w:cs="宋体"/>
                      <w:color w:val="auto"/>
                      <w:sz w:val="24"/>
                      <w:szCs w:val="24"/>
                      <w:highlight w:val="none"/>
                    </w:rPr>
                    <w:t>第</w:t>
                  </w:r>
                  <w:r>
                    <w:rPr>
                      <w:rFonts w:hint="eastAsia" w:ascii="宋体" w:hAnsi="宋体" w:eastAsia="宋体" w:cs="宋体"/>
                      <w:color w:val="auto"/>
                      <w:sz w:val="24"/>
                      <w:szCs w:val="24"/>
                      <w:highlight w:val="none"/>
                      <w:lang w:val="en-US" w:eastAsia="zh-CN"/>
                    </w:rPr>
                    <w:t>五</w:t>
                  </w:r>
                  <w:r>
                    <w:rPr>
                      <w:rFonts w:hint="eastAsia" w:ascii="宋体" w:hAnsi="宋体" w:eastAsia="宋体" w:cs="宋体"/>
                      <w:color w:val="auto"/>
                      <w:sz w:val="24"/>
                      <w:szCs w:val="24"/>
                      <w:highlight w:val="none"/>
                    </w:rPr>
                    <w:t xml:space="preserve">条 </w:t>
                  </w:r>
                  <w:r>
                    <w:rPr>
                      <w:rFonts w:hint="eastAsia" w:ascii="宋体" w:hAnsi="宋体" w:eastAsia="宋体" w:cs="宋体"/>
                      <w:color w:val="auto"/>
                      <w:sz w:val="24"/>
                      <w:szCs w:val="24"/>
                      <w:highlight w:val="none"/>
                      <w:lang w:val="en-US" w:eastAsia="zh-CN"/>
                    </w:rPr>
                    <w:t>违约责任</w:t>
                  </w:r>
                  <w:r>
                    <w:rPr>
                      <w:rFonts w:hint="eastAsia" w:ascii="宋体" w:hAnsi="宋体" w:eastAsia="宋体" w:cs="宋体"/>
                      <w:color w:val="auto"/>
                      <w:sz w:val="24"/>
                      <w:szCs w:val="24"/>
                      <w:highlight w:val="none"/>
                    </w:rPr>
                    <w:t>”中关于违约责任的全部内容，并提供《违约承诺函》。</w:t>
                  </w:r>
                </w:p>
                <w:p w14:paraId="36487A0A">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（二）评分依据：</w:t>
                  </w:r>
                </w:p>
                <w:p w14:paraId="7EA0B789">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1.提供《违约承诺函》且承诺满足上述考察内容的，得100%分。</w:t>
                  </w:r>
                </w:p>
                <w:p w14:paraId="54D66685">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ascii="宋体" w:hAnsi="宋体" w:eastAsia="宋体" w:cs="宋体"/>
                      <w:sz w:val="24"/>
                      <w:szCs w:val="24"/>
                      <w:highlight w:val="yellow"/>
                    </w:rPr>
                  </w:pPr>
                  <w:r>
                    <w:rPr>
                      <w:rFonts w:hint="eastAsia" w:ascii="宋体" w:hAnsi="宋体" w:eastAsia="宋体" w:cs="宋体"/>
                      <w:color w:val="auto"/>
                      <w:sz w:val="24"/>
                      <w:szCs w:val="24"/>
                      <w:highlight w:val="none"/>
                    </w:rPr>
                    <w:t>2.未提供《违约承诺函》或提供的《违约承诺函》未能体现承诺满足上述考察内容的，不得分。</w:t>
                  </w:r>
                </w:p>
              </w:tc>
            </w:tr>
            <w:tr w14:paraId="6A9F372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76" w:type="dxa"/>
                  <w:vMerge w:val="restart"/>
                  <w:tcBorders>
                    <w:top w:val="single" w:color="000000" w:sz="8" w:space="0"/>
                    <w:left w:val="single" w:color="000000" w:sz="8" w:space="0"/>
                    <w:bottom w:val="single" w:color="000000" w:sz="8" w:space="0"/>
                    <w:right w:val="single" w:color="000000" w:sz="8" w:space="0"/>
                  </w:tcBorders>
                  <w:noWrap w:val="0"/>
                  <w:vAlign w:val="top"/>
                </w:tcPr>
                <w:p w14:paraId="3ABA4752">
                  <w:pPr>
                    <w:keepNext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3</w:t>
                  </w:r>
                </w:p>
              </w:tc>
              <w:tc>
                <w:tcPr>
                  <w:tcW w:w="3000" w:type="dxa"/>
                  <w:gridSpan w:val="3"/>
                  <w:tcBorders>
                    <w:top w:val="single" w:color="000000" w:sz="8" w:space="0"/>
                    <w:left w:val="single" w:color="000000" w:sz="8" w:space="0"/>
                    <w:bottom w:val="single" w:color="000000" w:sz="8" w:space="0"/>
                    <w:right w:val="single" w:color="000000" w:sz="8" w:space="0"/>
                  </w:tcBorders>
                  <w:noWrap w:val="0"/>
                  <w:vAlign w:val="top"/>
                </w:tcPr>
                <w:p w14:paraId="4245217C">
                  <w:pPr>
                    <w:keepNext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商务需求</w:t>
                  </w:r>
                </w:p>
              </w:tc>
              <w:tc>
                <w:tcPr>
                  <w:tcW w:w="5396" w:type="dxa"/>
                  <w:tcBorders>
                    <w:top w:val="single" w:color="000000" w:sz="8" w:space="0"/>
                    <w:left w:val="single" w:color="000000" w:sz="8" w:space="0"/>
                    <w:bottom w:val="single" w:color="000000" w:sz="8" w:space="0"/>
                    <w:right w:val="single" w:color="000000" w:sz="8" w:space="0"/>
                  </w:tcBorders>
                  <w:noWrap w:val="0"/>
                  <w:vAlign w:val="top"/>
                </w:tcPr>
                <w:p w14:paraId="3F3C8ADE">
                  <w:pPr>
                    <w:keepNext w:val="0"/>
                    <w:pageBreakBefore w:val="0"/>
                    <w:widowControl/>
                    <w:kinsoku/>
                    <w:wordWrap/>
                    <w:overflowPunct/>
                    <w:topLinePunct w:val="0"/>
                    <w:autoSpaceDE/>
                    <w:autoSpaceDN/>
                    <w:bidi w:val="0"/>
                    <w:adjustRightInd/>
                    <w:snapToGrid/>
                    <w:jc w:val="center"/>
                    <w:textAlignment w:val="auto"/>
                    <w:rPr>
                      <w:rFonts w:hint="default" w:ascii="宋体" w:hAnsi="宋体" w:eastAsia="宋体" w:cs="宋体"/>
                      <w:b/>
                      <w:bCs/>
                      <w:sz w:val="24"/>
                      <w:szCs w:val="24"/>
                      <w:lang w:val="en-US" w:eastAsia="zh-CN"/>
                    </w:rPr>
                  </w:pPr>
                  <w:r>
                    <w:rPr>
                      <w:rFonts w:hint="eastAsia" w:ascii="宋体" w:hAnsi="宋体" w:eastAsia="宋体" w:cs="宋体"/>
                      <w:sz w:val="24"/>
                      <w:szCs w:val="24"/>
                      <w:lang w:val="en-US" w:eastAsia="zh-CN"/>
                    </w:rPr>
                    <w:t>45</w:t>
                  </w:r>
                </w:p>
              </w:tc>
            </w:tr>
            <w:tr w14:paraId="123B69C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76" w:type="dxa"/>
                  <w:vMerge w:val="continue"/>
                  <w:tcBorders>
                    <w:top w:val="single" w:color="000000" w:sz="8" w:space="0"/>
                    <w:left w:val="single" w:color="000000" w:sz="8" w:space="0"/>
                    <w:bottom w:val="single" w:color="000000" w:sz="8" w:space="0"/>
                    <w:right w:val="single" w:color="000000" w:sz="8" w:space="0"/>
                  </w:tcBorders>
                  <w:noWrap w:val="0"/>
                  <w:vAlign w:val="center"/>
                </w:tcPr>
                <w:p w14:paraId="795EB4DA">
                  <w:pPr>
                    <w:keepNext w:val="0"/>
                    <w:pageBreakBefore w:val="0"/>
                    <w:widowControl/>
                    <w:kinsoku/>
                    <w:wordWrap/>
                    <w:overflowPunct/>
                    <w:topLinePunct w:val="0"/>
                    <w:autoSpaceDE/>
                    <w:autoSpaceDN/>
                    <w:bidi w:val="0"/>
                    <w:adjustRightInd/>
                    <w:snapToGrid/>
                    <w:textAlignment w:val="auto"/>
                    <w:rPr>
                      <w:rFonts w:hint="eastAsia" w:ascii="宋体" w:hAnsi="宋体" w:eastAsia="宋体" w:cs="宋体"/>
                      <w:b/>
                      <w:bCs/>
                      <w:sz w:val="24"/>
                      <w:szCs w:val="24"/>
                    </w:rPr>
                  </w:pPr>
                </w:p>
              </w:tc>
              <w:tc>
                <w:tcPr>
                  <w:tcW w:w="8396" w:type="dxa"/>
                  <w:gridSpan w:val="4"/>
                  <w:tcBorders>
                    <w:top w:val="single" w:color="000000" w:sz="8" w:space="0"/>
                    <w:left w:val="single" w:color="000000" w:sz="8" w:space="0"/>
                    <w:bottom w:val="single" w:color="000000" w:sz="8" w:space="0"/>
                    <w:right w:val="single" w:color="000000" w:sz="8" w:space="0"/>
                  </w:tcBorders>
                  <w:noWrap w:val="0"/>
                  <w:vAlign w:val="top"/>
                </w:tcPr>
                <w:p w14:paraId="3EF8516C">
                  <w:pPr>
                    <w:keepNext w:val="0"/>
                    <w:pageBreakBefore w:val="0"/>
                    <w:widowControl/>
                    <w:kinsoku/>
                    <w:wordWrap/>
                    <w:overflowPunct/>
                    <w:topLinePunct w:val="0"/>
                    <w:autoSpaceDE/>
                    <w:autoSpaceDN/>
                    <w:bidi w:val="0"/>
                    <w:adjustRightInd/>
                    <w:snapToGrid/>
                    <w:textAlignment w:val="auto"/>
                    <w:rPr>
                      <w:rFonts w:hint="eastAsia" w:ascii="宋体" w:hAnsi="宋体" w:eastAsia="宋体" w:cs="宋体"/>
                      <w:sz w:val="24"/>
                      <w:szCs w:val="24"/>
                    </w:rPr>
                  </w:pPr>
                </w:p>
              </w:tc>
            </w:tr>
            <w:tr w14:paraId="4E52DE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76" w:type="dxa"/>
                  <w:vMerge w:val="continue"/>
                  <w:tcBorders>
                    <w:top w:val="single" w:color="000000" w:sz="8" w:space="0"/>
                    <w:left w:val="single" w:color="000000" w:sz="8" w:space="0"/>
                    <w:bottom w:val="single" w:color="000000" w:sz="8" w:space="0"/>
                    <w:right w:val="single" w:color="000000" w:sz="8" w:space="0"/>
                  </w:tcBorders>
                  <w:shd w:val="clear" w:color="auto" w:fill="E6EFFA"/>
                  <w:noWrap w:val="0"/>
                  <w:vAlign w:val="center"/>
                </w:tcPr>
                <w:p w14:paraId="1C09C916">
                  <w:pPr>
                    <w:keepNext w:val="0"/>
                    <w:pageBreakBefore w:val="0"/>
                    <w:widowControl/>
                    <w:kinsoku/>
                    <w:wordWrap/>
                    <w:overflowPunct/>
                    <w:topLinePunct w:val="0"/>
                    <w:autoSpaceDE/>
                    <w:autoSpaceDN/>
                    <w:bidi w:val="0"/>
                    <w:adjustRightInd/>
                    <w:snapToGrid/>
                    <w:textAlignment w:val="auto"/>
                    <w:rPr>
                      <w:rFonts w:hint="eastAsia" w:ascii="宋体" w:hAnsi="宋体" w:eastAsia="宋体" w:cs="宋体"/>
                      <w:b/>
                      <w:bCs/>
                      <w:sz w:val="24"/>
                      <w:szCs w:val="24"/>
                    </w:rPr>
                  </w:pPr>
                </w:p>
              </w:tc>
              <w:tc>
                <w:tcPr>
                  <w:tcW w:w="675"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433B82EE">
                  <w:pPr>
                    <w:keepNext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sz w:val="24"/>
                      <w:szCs w:val="24"/>
                    </w:rPr>
                  </w:pPr>
                  <w:r>
                    <w:rPr>
                      <w:rFonts w:hint="eastAsia" w:ascii="宋体" w:hAnsi="宋体" w:eastAsia="宋体" w:cs="宋体"/>
                      <w:sz w:val="24"/>
                      <w:szCs w:val="24"/>
                    </w:rPr>
                    <w:t>序号</w:t>
                  </w:r>
                </w:p>
              </w:tc>
              <w:tc>
                <w:tcPr>
                  <w:tcW w:w="1295"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69C70002">
                  <w:pPr>
                    <w:keepNext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评审因素</w:t>
                  </w:r>
                </w:p>
              </w:tc>
              <w:tc>
                <w:tcPr>
                  <w:tcW w:w="1030"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606903C5">
                  <w:pPr>
                    <w:keepNext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sz w:val="24"/>
                      <w:szCs w:val="24"/>
                    </w:rPr>
                  </w:pPr>
                  <w:r>
                    <w:rPr>
                      <w:rFonts w:hint="eastAsia" w:ascii="宋体" w:hAnsi="宋体" w:eastAsia="宋体" w:cs="宋体"/>
                      <w:sz w:val="24"/>
                      <w:szCs w:val="24"/>
                    </w:rPr>
                    <w:t>权重(%)</w:t>
                  </w:r>
                </w:p>
              </w:tc>
              <w:tc>
                <w:tcPr>
                  <w:tcW w:w="5396"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58745732">
                  <w:pPr>
                    <w:keepNext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sz w:val="24"/>
                      <w:szCs w:val="24"/>
                    </w:rPr>
                  </w:pPr>
                  <w:r>
                    <w:rPr>
                      <w:rFonts w:hint="eastAsia" w:ascii="宋体" w:hAnsi="宋体" w:eastAsia="宋体" w:cs="宋体"/>
                      <w:sz w:val="24"/>
                      <w:szCs w:val="24"/>
                    </w:rPr>
                    <w:t>评分准则</w:t>
                  </w:r>
                </w:p>
              </w:tc>
            </w:tr>
            <w:tr w14:paraId="7A1F352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76" w:type="dxa"/>
                  <w:vMerge w:val="continue"/>
                  <w:tcBorders>
                    <w:top w:val="single" w:color="000000" w:sz="8" w:space="0"/>
                    <w:left w:val="single" w:color="000000" w:sz="8" w:space="0"/>
                    <w:bottom w:val="single" w:color="000000" w:sz="8" w:space="0"/>
                    <w:right w:val="single" w:color="000000" w:sz="8" w:space="0"/>
                  </w:tcBorders>
                  <w:noWrap w:val="0"/>
                  <w:vAlign w:val="center"/>
                </w:tcPr>
                <w:p w14:paraId="0DDB7477">
                  <w:pPr>
                    <w:keepNext w:val="0"/>
                    <w:pageBreakBefore w:val="0"/>
                    <w:widowControl/>
                    <w:kinsoku/>
                    <w:wordWrap/>
                    <w:overflowPunct/>
                    <w:topLinePunct w:val="0"/>
                    <w:autoSpaceDE/>
                    <w:autoSpaceDN/>
                    <w:bidi w:val="0"/>
                    <w:adjustRightInd/>
                    <w:snapToGrid/>
                    <w:textAlignment w:val="auto"/>
                    <w:rPr>
                      <w:rFonts w:hint="eastAsia" w:ascii="宋体" w:hAnsi="宋体" w:eastAsia="宋体" w:cs="宋体"/>
                      <w:b/>
                      <w:bCs/>
                      <w:sz w:val="24"/>
                      <w:szCs w:val="24"/>
                    </w:rPr>
                  </w:pPr>
                </w:p>
              </w:tc>
              <w:tc>
                <w:tcPr>
                  <w:tcW w:w="675" w:type="dxa"/>
                  <w:tcBorders>
                    <w:top w:val="single" w:color="000000" w:sz="8" w:space="0"/>
                    <w:left w:val="single" w:color="000000" w:sz="8" w:space="0"/>
                    <w:bottom w:val="single" w:color="000000" w:sz="8" w:space="0"/>
                    <w:right w:val="single" w:color="000000" w:sz="8" w:space="0"/>
                  </w:tcBorders>
                  <w:noWrap w:val="0"/>
                  <w:vAlign w:val="center"/>
                </w:tcPr>
                <w:p w14:paraId="3728CC9B">
                  <w:pPr>
                    <w:keepNext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sz w:val="24"/>
                      <w:szCs w:val="24"/>
                    </w:rPr>
                  </w:pPr>
                  <w:r>
                    <w:rPr>
                      <w:rFonts w:hint="eastAsia" w:ascii="宋体" w:hAnsi="宋体" w:eastAsia="宋体" w:cs="宋体"/>
                      <w:sz w:val="24"/>
                      <w:szCs w:val="24"/>
                    </w:rPr>
                    <w:t>1</w:t>
                  </w:r>
                </w:p>
              </w:tc>
              <w:tc>
                <w:tcPr>
                  <w:tcW w:w="1295" w:type="dxa"/>
                  <w:tcBorders>
                    <w:top w:val="single" w:color="000000" w:sz="8" w:space="0"/>
                    <w:left w:val="single" w:color="000000" w:sz="8" w:space="0"/>
                    <w:bottom w:val="single" w:color="000000" w:sz="8" w:space="0"/>
                    <w:right w:val="single" w:color="000000" w:sz="8" w:space="0"/>
                  </w:tcBorders>
                  <w:noWrap w:val="0"/>
                  <w:vAlign w:val="top"/>
                </w:tcPr>
                <w:p w14:paraId="1E48666A">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t>供应商资格（资质、认证）情况</w:t>
                  </w:r>
                </w:p>
              </w:tc>
              <w:tc>
                <w:tcPr>
                  <w:tcW w:w="1030" w:type="dxa"/>
                  <w:tcBorders>
                    <w:top w:val="single" w:color="000000" w:sz="8" w:space="0"/>
                    <w:left w:val="single" w:color="000000" w:sz="8" w:space="0"/>
                    <w:bottom w:val="single" w:color="000000" w:sz="8" w:space="0"/>
                    <w:right w:val="single" w:color="000000" w:sz="8" w:space="0"/>
                  </w:tcBorders>
                  <w:noWrap w:val="0"/>
                  <w:vAlign w:val="top"/>
                </w:tcPr>
                <w:p w14:paraId="5106800A">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color w:val="auto"/>
                      <w:sz w:val="24"/>
                      <w:szCs w:val="24"/>
                      <w:highlight w:val="none"/>
                    </w:rPr>
                    <w:t>5</w:t>
                  </w:r>
                </w:p>
              </w:tc>
              <w:tc>
                <w:tcPr>
                  <w:tcW w:w="5396" w:type="dxa"/>
                  <w:tcBorders>
                    <w:top w:val="single" w:color="000000" w:sz="8" w:space="0"/>
                    <w:left w:val="single" w:color="000000" w:sz="8" w:space="0"/>
                    <w:bottom w:val="single" w:color="000000" w:sz="8" w:space="0"/>
                    <w:right w:val="single" w:color="000000" w:sz="8" w:space="0"/>
                  </w:tcBorders>
                  <w:noWrap w:val="0"/>
                  <w:vAlign w:val="top"/>
                </w:tcPr>
                <w:p w14:paraId="18240D89">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（一）评分内容：</w:t>
                  </w:r>
                </w:p>
                <w:p w14:paraId="406DAC8F">
                  <w:pPr>
                    <w:numPr>
                      <w:ilvl w:val="0"/>
                      <w:numId w:val="0"/>
                    </w:numPr>
                    <w:spacing w:line="460" w:lineRule="exact"/>
                    <w:jc w:val="left"/>
                    <w:rPr>
                      <w:rFonts w:hint="eastAsia" w:ascii="宋体" w:hAnsi="宋体" w:eastAsia="宋体" w:cs="宋体"/>
                      <w:sz w:val="24"/>
                      <w:lang w:val="en-US" w:eastAsia="zh-CN"/>
                    </w:rPr>
                  </w:pPr>
                  <w:r>
                    <w:rPr>
                      <w:rFonts w:hint="eastAsia" w:ascii="宋体" w:hAnsi="宋体" w:eastAsia="宋体" w:cs="宋体"/>
                      <w:sz w:val="24"/>
                      <w:lang w:val="en-US" w:eastAsia="zh-CN"/>
                    </w:rPr>
                    <w:t>1.投标方具有</w:t>
                  </w:r>
                  <w:r>
                    <w:rPr>
                      <w:rFonts w:hint="eastAsia" w:ascii="宋体" w:hAnsi="宋体" w:eastAsia="宋体" w:cs="宋体"/>
                      <w:bCs w:val="0"/>
                      <w:sz w:val="24"/>
                      <w:szCs w:val="24"/>
                    </w:rPr>
                    <w:t>ISO9001</w:t>
                  </w:r>
                  <w:r>
                    <w:rPr>
                      <w:rFonts w:hint="eastAsia" w:ascii="宋体" w:hAnsi="宋体" w:eastAsia="宋体" w:cs="宋体"/>
                      <w:sz w:val="24"/>
                      <w:lang w:val="en-US" w:eastAsia="zh-CN"/>
                    </w:rPr>
                    <w:t>质量管理体系认证证书得40%分,否则不得分；</w:t>
                  </w:r>
                </w:p>
                <w:p w14:paraId="5A173FAD">
                  <w:pPr>
                    <w:numPr>
                      <w:ilvl w:val="0"/>
                      <w:numId w:val="0"/>
                    </w:numPr>
                    <w:spacing w:line="460" w:lineRule="exact"/>
                    <w:jc w:val="left"/>
                    <w:rPr>
                      <w:rFonts w:hint="eastAsia" w:ascii="宋体" w:hAnsi="宋体" w:eastAsia="宋体" w:cs="宋体"/>
                      <w:sz w:val="24"/>
                      <w:lang w:val="en-US" w:eastAsia="zh-CN"/>
                    </w:rPr>
                  </w:pPr>
                  <w:r>
                    <w:rPr>
                      <w:rFonts w:hint="eastAsia" w:ascii="宋体" w:hAnsi="宋体" w:eastAsia="宋体" w:cs="宋体"/>
                      <w:kern w:val="2"/>
                      <w:sz w:val="24"/>
                      <w:szCs w:val="24"/>
                      <w:lang w:val="en-US" w:eastAsia="zh-CN"/>
                    </w:rPr>
                    <w:t>2.</w:t>
                  </w:r>
                  <w:r>
                    <w:rPr>
                      <w:rFonts w:hint="eastAsia" w:ascii="宋体" w:hAnsi="宋体" w:eastAsia="宋体" w:cs="宋体"/>
                      <w:sz w:val="24"/>
                      <w:lang w:val="en-US" w:eastAsia="zh-CN"/>
                    </w:rPr>
                    <w:t>投标方具有</w:t>
                  </w:r>
                  <w:r>
                    <w:rPr>
                      <w:rFonts w:hint="eastAsia" w:ascii="宋体" w:hAnsi="宋体" w:eastAsia="宋体" w:cs="宋体"/>
                      <w:kern w:val="2"/>
                      <w:sz w:val="24"/>
                      <w:szCs w:val="24"/>
                    </w:rPr>
                    <w:t>ISO14001</w:t>
                  </w:r>
                  <w:r>
                    <w:rPr>
                      <w:rFonts w:hint="eastAsia" w:ascii="宋体" w:hAnsi="宋体" w:eastAsia="宋体" w:cs="宋体"/>
                      <w:sz w:val="24"/>
                      <w:lang w:val="en-US" w:eastAsia="zh-CN"/>
                    </w:rPr>
                    <w:t>环境管理体系认证证书得30%分,否则不得分；</w:t>
                  </w:r>
                </w:p>
                <w:p w14:paraId="4F744CCB">
                  <w:pPr>
                    <w:numPr>
                      <w:ilvl w:val="0"/>
                      <w:numId w:val="0"/>
                    </w:numPr>
                    <w:spacing w:line="460" w:lineRule="exact"/>
                    <w:jc w:val="left"/>
                    <w:rPr>
                      <w:rFonts w:hint="eastAsia" w:ascii="宋体" w:hAnsi="宋体" w:eastAsia="宋体" w:cs="宋体"/>
                      <w:sz w:val="24"/>
                      <w:lang w:val="en-US" w:eastAsia="zh-CN"/>
                    </w:rPr>
                  </w:pPr>
                  <w:r>
                    <w:rPr>
                      <w:rFonts w:hint="eastAsia" w:ascii="宋体" w:hAnsi="宋体" w:eastAsia="宋体" w:cs="宋体"/>
                      <w:kern w:val="2"/>
                      <w:sz w:val="24"/>
                      <w:szCs w:val="24"/>
                      <w:lang w:val="en-US" w:eastAsia="zh-CN"/>
                    </w:rPr>
                    <w:t>3.</w:t>
                  </w:r>
                  <w:r>
                    <w:rPr>
                      <w:rFonts w:hint="eastAsia" w:ascii="宋体" w:hAnsi="宋体" w:eastAsia="宋体" w:cs="宋体"/>
                      <w:sz w:val="24"/>
                      <w:lang w:val="en-US" w:eastAsia="zh-CN"/>
                    </w:rPr>
                    <w:t>投标方具有</w:t>
                  </w:r>
                  <w:r>
                    <w:rPr>
                      <w:rFonts w:hint="eastAsia" w:ascii="宋体" w:hAnsi="宋体" w:eastAsia="宋体" w:cs="宋体"/>
                      <w:kern w:val="2"/>
                      <w:sz w:val="24"/>
                      <w:szCs w:val="24"/>
                    </w:rPr>
                    <w:t>ISO45001</w:t>
                  </w:r>
                  <w:r>
                    <w:rPr>
                      <w:rFonts w:hint="eastAsia" w:ascii="宋体" w:hAnsi="宋体" w:eastAsia="宋体" w:cs="宋体"/>
                      <w:sz w:val="24"/>
                      <w:lang w:val="en-US" w:eastAsia="zh-CN"/>
                    </w:rPr>
                    <w:t>职业健康安全管理体系认证证书得30%，否则不得分；</w:t>
                  </w:r>
                </w:p>
                <w:p w14:paraId="49BF41D9">
                  <w:pPr>
                    <w:numPr>
                      <w:ilvl w:val="0"/>
                      <w:numId w:val="0"/>
                    </w:numPr>
                    <w:spacing w:line="460" w:lineRule="exact"/>
                    <w:jc w:val="left"/>
                    <w:rPr>
                      <w:rFonts w:hint="eastAsia" w:ascii="宋体" w:hAnsi="宋体" w:eastAsia="宋体" w:cs="宋体"/>
                      <w:sz w:val="24"/>
                      <w:lang w:val="en-US" w:eastAsia="zh-CN"/>
                    </w:rPr>
                  </w:pPr>
                  <w:r>
                    <w:rPr>
                      <w:rFonts w:hint="eastAsia" w:ascii="宋体" w:hAnsi="宋体" w:eastAsia="宋体" w:cs="宋体"/>
                      <w:sz w:val="24"/>
                      <w:lang w:val="en-US" w:eastAsia="zh-CN"/>
                    </w:rPr>
                    <w:t>以上1-3项目累计得分，最高得100％分。</w:t>
                  </w:r>
                </w:p>
                <w:p w14:paraId="2C7D88BE">
                  <w:pPr>
                    <w:keepNext w:val="0"/>
                    <w:keepLines w:val="0"/>
                    <w:pageBreakBefore w:val="0"/>
                    <w:numPr>
                      <w:ilvl w:val="0"/>
                      <w:numId w:val="1"/>
                    </w:numPr>
                    <w:kinsoku/>
                    <w:wordWrap/>
                    <w:overflowPunct/>
                    <w:topLinePunct w:val="0"/>
                    <w:autoSpaceDE/>
                    <w:autoSpaceDN/>
                    <w:bidi w:val="0"/>
                    <w:adjustRightInd/>
                    <w:snapToGrid/>
                    <w:spacing w:line="460" w:lineRule="exact"/>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评分依据：</w:t>
                  </w:r>
                </w:p>
                <w:p w14:paraId="1069CB5F">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highlight w:val="none"/>
                      <w:lang w:val="en-US" w:eastAsia="zh-CN"/>
                    </w:rPr>
                    <w:t>提供相关认证机构颁发的有效期内的认证证书扫描件（没有实体证书的，应提供</w:t>
                  </w:r>
                  <w:r>
                    <w:rPr>
                      <w:rFonts w:hint="eastAsia" w:ascii="宋体" w:hAnsi="宋体" w:eastAsia="宋体" w:cs="宋体"/>
                      <w:color w:val="auto"/>
                      <w:sz w:val="24"/>
                      <w:highlight w:val="none"/>
                    </w:rPr>
                    <w:t>权威机构认证信息</w:t>
                  </w:r>
                  <w:r>
                    <w:rPr>
                      <w:rFonts w:hint="eastAsia" w:ascii="宋体" w:hAnsi="宋体" w:eastAsia="宋体" w:cs="宋体"/>
                      <w:color w:val="auto"/>
                      <w:sz w:val="24"/>
                      <w:highlight w:val="none"/>
                      <w:lang w:eastAsia="zh-CN"/>
                    </w:rPr>
                    <w:t>查询截图</w:t>
                  </w:r>
                  <w:r>
                    <w:rPr>
                      <w:rFonts w:hint="eastAsia" w:ascii="宋体" w:hAnsi="宋体" w:eastAsia="宋体" w:cs="宋体"/>
                      <w:color w:val="auto"/>
                      <w:sz w:val="24"/>
                      <w:highlight w:val="none"/>
                      <w:lang w:val="en-US" w:eastAsia="zh-CN"/>
                    </w:rPr>
                    <w:t>）及全国认证认可信息公共服务平台（cx.cnca.cn）或省级市场监督管理局认证信息查询截图（截图需显示证书状态或在有效截止期内）。</w:t>
                  </w:r>
                  <w:r>
                    <w:rPr>
                      <w:rFonts w:hint="eastAsia" w:ascii="宋体" w:hAnsi="宋体" w:eastAsia="宋体" w:cs="宋体"/>
                      <w:color w:val="auto"/>
                      <w:sz w:val="24"/>
                      <w:highlight w:val="none"/>
                    </w:rPr>
                    <w:t>相关证书在公开渠道无法查询的，投标人需提供颁发部门或者监管机构的证明材料，证明证书真实有效且为合法机构颁发</w:t>
                  </w:r>
                  <w:r>
                    <w:rPr>
                      <w:rFonts w:hint="eastAsia" w:ascii="宋体" w:hAnsi="宋体" w:eastAsia="宋体" w:cs="宋体"/>
                      <w:color w:val="auto"/>
                      <w:sz w:val="24"/>
                      <w:highlight w:val="none"/>
                      <w:lang w:eastAsia="zh-CN"/>
                    </w:rPr>
                    <w:t>。</w:t>
                  </w:r>
                </w:p>
                <w:p w14:paraId="7AF7B56F">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ascii="宋体" w:hAnsi="宋体" w:eastAsia="宋体" w:cs="宋体"/>
                      <w:sz w:val="24"/>
                    </w:rPr>
                  </w:pPr>
                  <w:r>
                    <w:rPr>
                      <w:rFonts w:hint="eastAsia" w:ascii="宋体" w:hAnsi="宋体" w:eastAsia="宋体" w:cs="宋体"/>
                      <w:color w:val="auto"/>
                      <w:sz w:val="24"/>
                      <w:highlight w:val="none"/>
                      <w:lang w:val="en-US" w:eastAsia="zh-CN"/>
                    </w:rPr>
                    <w:t>2.</w:t>
                  </w:r>
                  <w:r>
                    <w:rPr>
                      <w:rFonts w:hint="eastAsia" w:ascii="宋体" w:hAnsi="宋体" w:eastAsia="宋体" w:cs="宋体"/>
                      <w:sz w:val="24"/>
                    </w:rPr>
                    <w:t>未按要求提供有效证明材料或提供不清晰导致评委无法识别的不计得分。</w:t>
                  </w:r>
                </w:p>
                <w:p w14:paraId="1A3B6B3A">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ascii="宋体" w:hAnsi="宋体" w:eastAsia="宋体" w:cs="宋体"/>
                      <w:sz w:val="24"/>
                      <w:szCs w:val="24"/>
                    </w:rPr>
                  </w:pPr>
                  <w:r>
                    <w:rPr>
                      <w:rFonts w:hint="eastAsia" w:ascii="宋体" w:hAnsi="宋体" w:eastAsia="宋体" w:cs="宋体"/>
                      <w:sz w:val="24"/>
                      <w:lang w:val="en-US" w:eastAsia="zh-CN"/>
                    </w:rPr>
                    <w:t>3.</w:t>
                  </w:r>
                  <w:r>
                    <w:rPr>
                      <w:rFonts w:hint="eastAsia" w:ascii="宋体" w:hAnsi="宋体" w:eastAsia="宋体" w:cs="宋体"/>
                      <w:sz w:val="24"/>
                    </w:rPr>
                    <w:t>如投标</w:t>
                  </w:r>
                  <w:r>
                    <w:rPr>
                      <w:rFonts w:hint="eastAsia" w:ascii="宋体" w:hAnsi="宋体" w:eastAsia="宋体" w:cs="宋体"/>
                      <w:sz w:val="24"/>
                      <w:lang w:eastAsia="zh-CN"/>
                    </w:rPr>
                    <w:t>方</w:t>
                  </w:r>
                  <w:r>
                    <w:rPr>
                      <w:rFonts w:hint="eastAsia" w:ascii="宋体" w:hAnsi="宋体" w:eastAsia="宋体" w:cs="宋体"/>
                      <w:sz w:val="24"/>
                    </w:rPr>
                    <w:t>成立时间不足三个月，可提供情况说明作为佐证材料，无需提供证书和认证信息查询截图亦视为满足评分要求。</w:t>
                  </w:r>
                </w:p>
              </w:tc>
            </w:tr>
            <w:tr w14:paraId="4A9B926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76" w:type="dxa"/>
                  <w:vMerge w:val="continue"/>
                  <w:tcBorders>
                    <w:top w:val="single" w:color="000000" w:sz="8" w:space="0"/>
                    <w:left w:val="single" w:color="000000" w:sz="8" w:space="0"/>
                    <w:bottom w:val="single" w:color="000000" w:sz="8" w:space="0"/>
                    <w:right w:val="single" w:color="000000" w:sz="8" w:space="0"/>
                  </w:tcBorders>
                  <w:noWrap w:val="0"/>
                  <w:vAlign w:val="center"/>
                </w:tcPr>
                <w:p w14:paraId="6156D6E6">
                  <w:pPr>
                    <w:keepNext w:val="0"/>
                    <w:pageBreakBefore w:val="0"/>
                    <w:widowControl/>
                    <w:kinsoku/>
                    <w:wordWrap/>
                    <w:overflowPunct/>
                    <w:topLinePunct w:val="0"/>
                    <w:autoSpaceDE/>
                    <w:autoSpaceDN/>
                    <w:bidi w:val="0"/>
                    <w:adjustRightInd/>
                    <w:snapToGrid/>
                    <w:textAlignment w:val="auto"/>
                    <w:rPr>
                      <w:rFonts w:hint="eastAsia" w:ascii="宋体" w:hAnsi="宋体" w:eastAsia="宋体" w:cs="宋体"/>
                      <w:b/>
                      <w:bCs/>
                      <w:sz w:val="24"/>
                      <w:szCs w:val="24"/>
                    </w:rPr>
                  </w:pPr>
                </w:p>
              </w:tc>
              <w:tc>
                <w:tcPr>
                  <w:tcW w:w="675" w:type="dxa"/>
                  <w:tcBorders>
                    <w:top w:val="single" w:color="000000" w:sz="8" w:space="0"/>
                    <w:left w:val="single" w:color="000000" w:sz="8" w:space="0"/>
                    <w:bottom w:val="single" w:color="000000" w:sz="8" w:space="0"/>
                    <w:right w:val="single" w:color="000000" w:sz="8" w:space="0"/>
                  </w:tcBorders>
                  <w:noWrap w:val="0"/>
                  <w:vAlign w:val="center"/>
                </w:tcPr>
                <w:p w14:paraId="5EB7FF14">
                  <w:pPr>
                    <w:keepNext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sz w:val="24"/>
                      <w:szCs w:val="24"/>
                    </w:rPr>
                  </w:pPr>
                  <w:r>
                    <w:rPr>
                      <w:rFonts w:hint="eastAsia" w:ascii="宋体" w:hAnsi="宋体" w:eastAsia="宋体" w:cs="宋体"/>
                      <w:sz w:val="24"/>
                      <w:szCs w:val="24"/>
                    </w:rPr>
                    <w:t>2</w:t>
                  </w:r>
                </w:p>
              </w:tc>
              <w:tc>
                <w:tcPr>
                  <w:tcW w:w="1295" w:type="dxa"/>
                  <w:tcBorders>
                    <w:top w:val="single" w:color="000000" w:sz="8" w:space="0"/>
                    <w:left w:val="single" w:color="000000" w:sz="8" w:space="0"/>
                    <w:bottom w:val="single" w:color="000000" w:sz="8" w:space="0"/>
                    <w:right w:val="single" w:color="000000" w:sz="8" w:space="0"/>
                  </w:tcBorders>
                  <w:noWrap w:val="0"/>
                  <w:vAlign w:val="top"/>
                </w:tcPr>
                <w:p w14:paraId="50366D5C">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t>供应商同类业绩情况</w:t>
                  </w:r>
                </w:p>
              </w:tc>
              <w:tc>
                <w:tcPr>
                  <w:tcW w:w="1030" w:type="dxa"/>
                  <w:tcBorders>
                    <w:top w:val="single" w:color="000000" w:sz="8" w:space="0"/>
                    <w:left w:val="single" w:color="000000" w:sz="8" w:space="0"/>
                    <w:bottom w:val="single" w:color="000000" w:sz="8" w:space="0"/>
                    <w:right w:val="single" w:color="000000" w:sz="8" w:space="0"/>
                  </w:tcBorders>
                  <w:noWrap w:val="0"/>
                  <w:vAlign w:val="top"/>
                </w:tcPr>
                <w:p w14:paraId="201B0C48">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color w:val="auto"/>
                      <w:sz w:val="24"/>
                      <w:szCs w:val="24"/>
                      <w:highlight w:val="none"/>
                      <w:lang w:val="en-US" w:eastAsia="zh-CN"/>
                    </w:rPr>
                    <w:t>8</w:t>
                  </w:r>
                </w:p>
              </w:tc>
              <w:tc>
                <w:tcPr>
                  <w:tcW w:w="5396" w:type="dxa"/>
                  <w:tcBorders>
                    <w:top w:val="single" w:color="000000" w:sz="8" w:space="0"/>
                    <w:left w:val="single" w:color="000000" w:sz="8" w:space="0"/>
                    <w:bottom w:val="single" w:color="000000" w:sz="8" w:space="0"/>
                    <w:right w:val="single" w:color="000000" w:sz="8" w:space="0"/>
                  </w:tcBorders>
                  <w:noWrap w:val="0"/>
                  <w:vAlign w:val="top"/>
                </w:tcPr>
                <w:p w14:paraId="7EDC7178">
                  <w:pPr>
                    <w:keepNext w:val="0"/>
                    <w:keepLines w:val="0"/>
                    <w:pageBreakBefore w:val="0"/>
                    <w:widowControl/>
                    <w:numPr>
                      <w:ilvl w:val="0"/>
                      <w:numId w:val="0"/>
                    </w:numPr>
                    <w:kinsoku/>
                    <w:wordWrap/>
                    <w:overflowPunct/>
                    <w:topLinePunct w:val="0"/>
                    <w:autoSpaceDE/>
                    <w:autoSpaceDN/>
                    <w:bidi w:val="0"/>
                    <w:adjustRightInd/>
                    <w:snapToGrid/>
                    <w:spacing w:line="460" w:lineRule="exact"/>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（一）评分内容：</w:t>
                  </w:r>
                </w:p>
                <w:p w14:paraId="4DE38DCF">
                  <w:pPr>
                    <w:keepNext w:val="0"/>
                    <w:keepLines w:val="0"/>
                    <w:widowControl/>
                    <w:suppressLineNumbers w:val="0"/>
                    <w:autoSpaceDE/>
                    <w:autoSpaceDN/>
                    <w:spacing w:before="0" w:beforeAutospacing="0" w:after="0" w:afterAutospacing="0" w:line="460" w:lineRule="exact"/>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投标方独立承担桥涵检测服务情况并提供桥梁清单：</w:t>
                  </w:r>
                </w:p>
                <w:p w14:paraId="1B6C0AA2">
                  <w:pPr>
                    <w:keepNext w:val="0"/>
                    <w:keepLines w:val="0"/>
                    <w:widowControl/>
                    <w:suppressLineNumbers w:val="0"/>
                    <w:autoSpaceDE/>
                    <w:autoSpaceDN/>
                    <w:spacing w:before="0" w:beforeAutospacing="0" w:after="0" w:afterAutospacing="0" w:line="460" w:lineRule="exact"/>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1.桥涵外观检测</w:t>
                  </w:r>
                </w:p>
                <w:p w14:paraId="63D1990B">
                  <w:pPr>
                    <w:keepNext w:val="0"/>
                    <w:keepLines w:val="0"/>
                    <w:widowControl/>
                    <w:suppressLineNumbers w:val="0"/>
                    <w:autoSpaceDE/>
                    <w:autoSpaceDN/>
                    <w:spacing w:before="0" w:beforeAutospacing="0" w:after="0" w:afterAutospacing="0" w:line="460" w:lineRule="exact"/>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（1）单个检测合同的桥涵外观检测数量≥1000座，得25％分；</w:t>
                  </w:r>
                </w:p>
                <w:p w14:paraId="1E18CF31">
                  <w:pPr>
                    <w:keepNext w:val="0"/>
                    <w:keepLines w:val="0"/>
                    <w:widowControl/>
                    <w:suppressLineNumbers w:val="0"/>
                    <w:autoSpaceDE/>
                    <w:autoSpaceDN/>
                    <w:spacing w:before="0" w:beforeAutospacing="0" w:after="0" w:afterAutospacing="0" w:line="460" w:lineRule="exact"/>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（2）750座≤单个检测合同的桥涵外观检测数量＜1000座，得15％分；</w:t>
                  </w:r>
                </w:p>
                <w:p w14:paraId="71079BD9">
                  <w:pPr>
                    <w:keepNext w:val="0"/>
                    <w:keepLines w:val="0"/>
                    <w:widowControl/>
                    <w:suppressLineNumbers w:val="0"/>
                    <w:autoSpaceDE/>
                    <w:autoSpaceDN/>
                    <w:spacing w:before="0" w:beforeAutospacing="0" w:after="0" w:afterAutospacing="0" w:line="460" w:lineRule="exact"/>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（3）500座≤单个检测合同的桥涵外观检测数量＜750座，得10％分；</w:t>
                  </w:r>
                </w:p>
                <w:p w14:paraId="70FB5ABD">
                  <w:pPr>
                    <w:keepNext w:val="0"/>
                    <w:keepLines w:val="0"/>
                    <w:widowControl/>
                    <w:suppressLineNumbers w:val="0"/>
                    <w:autoSpaceDE/>
                    <w:autoSpaceDN/>
                    <w:spacing w:before="0" w:beforeAutospacing="0" w:after="0" w:afterAutospacing="0" w:line="460" w:lineRule="exact"/>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（4）单个检测合同的桥涵外观检测数量＜500座，不得分。</w:t>
                  </w:r>
                </w:p>
                <w:p w14:paraId="0533BA0C">
                  <w:pPr>
                    <w:keepNext w:val="0"/>
                    <w:keepLines w:val="0"/>
                    <w:widowControl/>
                    <w:suppressLineNumbers w:val="0"/>
                    <w:autoSpaceDE/>
                    <w:autoSpaceDN/>
                    <w:spacing w:before="0" w:beforeAutospacing="0" w:after="0" w:afterAutospacing="0" w:line="460" w:lineRule="exact"/>
                    <w:ind w:left="0" w:right="0"/>
                    <w:jc w:val="left"/>
                    <w:rPr>
                      <w:rFonts w:hint="default"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（5）</w:t>
                  </w:r>
                  <w:r>
                    <w:rPr>
                      <w:rFonts w:hint="default" w:ascii="宋体" w:hAnsi="宋体" w:eastAsia="宋体" w:cs="宋体"/>
                      <w:color w:val="auto"/>
                      <w:kern w:val="2"/>
                      <w:sz w:val="24"/>
                      <w:szCs w:val="24"/>
                      <w:highlight w:val="none"/>
                      <w:lang w:val="en-US" w:eastAsia="zh-CN" w:bidi="ar"/>
                    </w:rPr>
                    <w:t>外观检测业绩的合同最多计两个，超出两个的将只计投标文件顺序排序前2个。</w:t>
                  </w:r>
                </w:p>
                <w:p w14:paraId="4827B5A7">
                  <w:pPr>
                    <w:keepNext w:val="0"/>
                    <w:keepLines w:val="0"/>
                    <w:widowControl/>
                    <w:suppressLineNumbers w:val="0"/>
                    <w:autoSpaceDE/>
                    <w:autoSpaceDN/>
                    <w:spacing w:before="0" w:beforeAutospacing="0" w:after="0" w:afterAutospacing="0" w:line="460" w:lineRule="exact"/>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2.桥涵承载力检测</w:t>
                  </w:r>
                </w:p>
                <w:p w14:paraId="73E2A4F5">
                  <w:pPr>
                    <w:keepNext w:val="0"/>
                    <w:keepLines w:val="0"/>
                    <w:widowControl/>
                    <w:suppressLineNumbers w:val="0"/>
                    <w:autoSpaceDE/>
                    <w:autoSpaceDN/>
                    <w:spacing w:before="0" w:beforeAutospacing="0" w:after="0" w:afterAutospacing="0" w:line="460" w:lineRule="exact"/>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（1）单个检测合同的桥涵承载力检测数量≥100座，得25％分；</w:t>
                  </w:r>
                </w:p>
                <w:p w14:paraId="0ACAB36C">
                  <w:pPr>
                    <w:keepNext w:val="0"/>
                    <w:keepLines w:val="0"/>
                    <w:widowControl/>
                    <w:suppressLineNumbers w:val="0"/>
                    <w:autoSpaceDE/>
                    <w:autoSpaceDN/>
                    <w:spacing w:before="0" w:beforeAutospacing="0" w:after="0" w:afterAutospacing="0" w:line="460" w:lineRule="exact"/>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（2）75座≤单个检测合同的桥涵承载力检测数量＜100座，得15％分；</w:t>
                  </w:r>
                </w:p>
                <w:p w14:paraId="5037F743">
                  <w:pPr>
                    <w:keepNext w:val="0"/>
                    <w:keepLines w:val="0"/>
                    <w:widowControl/>
                    <w:suppressLineNumbers w:val="0"/>
                    <w:autoSpaceDE/>
                    <w:autoSpaceDN/>
                    <w:spacing w:before="0" w:beforeAutospacing="0" w:after="0" w:afterAutospacing="0" w:line="460" w:lineRule="exact"/>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（3）50座≤单个检测合同的桥涵承载力检测数量＜75座，得10％分；</w:t>
                  </w:r>
                </w:p>
                <w:p w14:paraId="0F6BA3DC">
                  <w:pPr>
                    <w:keepNext w:val="0"/>
                    <w:keepLines w:val="0"/>
                    <w:widowControl/>
                    <w:suppressLineNumbers w:val="0"/>
                    <w:autoSpaceDE/>
                    <w:autoSpaceDN/>
                    <w:spacing w:before="0" w:beforeAutospacing="0" w:after="0" w:afterAutospacing="0" w:line="460" w:lineRule="exact"/>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（4）单个检测合同的桥涵承载力检测数量＜50座，不得分。</w:t>
                  </w:r>
                </w:p>
                <w:p w14:paraId="65E58D31">
                  <w:pPr>
                    <w:keepNext w:val="0"/>
                    <w:keepLines w:val="0"/>
                    <w:widowControl/>
                    <w:suppressLineNumbers w:val="0"/>
                    <w:autoSpaceDE/>
                    <w:autoSpaceDN/>
                    <w:spacing w:before="0" w:beforeAutospacing="0" w:after="0" w:afterAutospacing="0" w:line="460" w:lineRule="exact"/>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（5）承载力检测业绩的合同最多计两个，超出两个的将只计排序前2个。</w:t>
                  </w:r>
                </w:p>
                <w:p w14:paraId="7A706233">
                  <w:pPr>
                    <w:widowControl/>
                    <w:autoSpaceDE/>
                    <w:spacing w:after="0" w:line="460" w:lineRule="exact"/>
                    <w:jc w:val="left"/>
                    <w:rPr>
                      <w:rFonts w:hint="eastAsia"/>
                      <w:color w:val="auto"/>
                      <w:highlight w:val="none"/>
                    </w:rPr>
                  </w:pPr>
                  <w:r>
                    <w:rPr>
                      <w:rFonts w:hint="eastAsia" w:ascii="宋体" w:hAnsi="宋体" w:eastAsia="宋体" w:cs="宋体"/>
                      <w:color w:val="auto"/>
                      <w:kern w:val="2"/>
                      <w:sz w:val="24"/>
                      <w:szCs w:val="24"/>
                      <w:highlight w:val="none"/>
                      <w:lang w:val="en-US" w:eastAsia="zh-CN" w:bidi="ar"/>
                    </w:rPr>
                    <w:t>3.如果一个合同同时包含外观检测和承载力检测，可以分别计入，最高得100％分。</w:t>
                  </w:r>
                </w:p>
                <w:p w14:paraId="5D6E108F">
                  <w:pPr>
                    <w:widowControl/>
                    <w:numPr>
                      <w:ilvl w:val="0"/>
                      <w:numId w:val="0"/>
                    </w:numPr>
                    <w:spacing w:line="460" w:lineRule="exact"/>
                    <w:jc w:val="left"/>
                    <w:rPr>
                      <w:rFonts w:hint="eastAsia"/>
                      <w:color w:val="auto"/>
                      <w:highlight w:val="none"/>
                      <w:lang w:val="en-US" w:eastAsia="zh-CN"/>
                    </w:rPr>
                  </w:pPr>
                  <w:r>
                    <w:rPr>
                      <w:rFonts w:hint="eastAsia" w:ascii="宋体" w:hAnsi="宋体" w:eastAsia="宋体" w:cs="宋体"/>
                      <w:b/>
                      <w:bCs/>
                      <w:color w:val="auto"/>
                      <w:sz w:val="24"/>
                      <w:szCs w:val="24"/>
                      <w:highlight w:val="none"/>
                    </w:rPr>
                    <w:t>（二）评分依据：</w:t>
                  </w:r>
                </w:p>
                <w:p w14:paraId="05C6351E">
                  <w:pPr>
                    <w:keepNext w:val="0"/>
                    <w:keepLines w:val="0"/>
                    <w:widowControl/>
                    <w:suppressLineNumbers w:val="0"/>
                    <w:snapToGrid/>
                    <w:spacing w:before="0" w:beforeAutospacing="0" w:after="0" w:afterAutospacing="0" w:line="460" w:lineRule="exact"/>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1.桥涵外观检测项目为桥涵的定期检测或桥涵交竣工检测，不包括日常巡查或经常性检查或监控监测；桥涵承载力检测项目为桥涵静动载试验或桥涵检算或桥涵结构定期检测，不包括砼结构定期检测和钢结构定期检测等材料检测。</w:t>
                  </w:r>
                  <w:r>
                    <w:rPr>
                      <w:rFonts w:hint="eastAsia" w:ascii="宋体" w:hAnsi="宋体" w:eastAsia="宋体" w:cs="宋体"/>
                      <w:color w:val="auto"/>
                      <w:sz w:val="24"/>
                      <w:szCs w:val="24"/>
                      <w:highlight w:val="none"/>
                      <w:lang w:eastAsia="zh-CN"/>
                    </w:rPr>
                    <w:t>上述项目经验需为已完成业绩，</w:t>
                  </w:r>
                  <w:r>
                    <w:rPr>
                      <w:rFonts w:hint="eastAsia" w:ascii="宋体" w:hAnsi="宋体" w:eastAsia="宋体" w:cs="宋体"/>
                      <w:color w:val="auto"/>
                      <w:sz w:val="24"/>
                      <w:szCs w:val="24"/>
                      <w:highlight w:val="none"/>
                    </w:rPr>
                    <w:t>要求同时提供合同关键信息和项目履约（验收）评价证明文件作为得分依据，项目履约（验收）</w:t>
                  </w:r>
                  <w:r>
                    <w:rPr>
                      <w:rFonts w:hint="eastAsia" w:ascii="宋体" w:hAnsi="宋体" w:eastAsia="宋体" w:cs="宋体"/>
                      <w:color w:val="auto"/>
                      <w:kern w:val="2"/>
                      <w:sz w:val="24"/>
                      <w:szCs w:val="24"/>
                      <w:highlight w:val="none"/>
                      <w:lang w:val="en-US" w:eastAsia="zh-CN" w:bidi="ar"/>
                    </w:rPr>
                    <w:t>评价证明文件需加盖合同甲方公章或甲方业务章。</w:t>
                  </w:r>
                </w:p>
                <w:p w14:paraId="756F5E56">
                  <w:pPr>
                    <w:keepNext w:val="0"/>
                    <w:keepLines w:val="0"/>
                    <w:widowControl/>
                    <w:suppressLineNumbers w:val="0"/>
                    <w:snapToGrid/>
                    <w:spacing w:before="0" w:beforeAutospacing="0" w:after="0" w:afterAutospacing="0" w:line="460" w:lineRule="exact"/>
                    <w:ind w:left="0" w:right="0"/>
                    <w:jc w:val="left"/>
                    <w:rPr>
                      <w:rFonts w:hint="eastAsia" w:ascii="宋体" w:hAnsi="宋体" w:eastAsia="宋体" w:cs="宋体"/>
                      <w:color w:val="auto"/>
                      <w:kern w:val="2"/>
                      <w:sz w:val="24"/>
                      <w:szCs w:val="24"/>
                      <w:highlight w:val="none"/>
                      <w:lang w:bidi="ar"/>
                    </w:rPr>
                  </w:pPr>
                  <w:r>
                    <w:rPr>
                      <w:rFonts w:hint="eastAsia" w:ascii="宋体" w:hAnsi="宋体" w:eastAsia="宋体" w:cs="宋体"/>
                      <w:color w:val="auto"/>
                      <w:kern w:val="2"/>
                      <w:sz w:val="24"/>
                      <w:szCs w:val="24"/>
                      <w:highlight w:val="none"/>
                      <w:lang w:val="en-US" w:eastAsia="zh-CN" w:bidi="ar"/>
                    </w:rPr>
                    <w:t>2.合同需附关键信息（内容至少包括合同首页、建设内容页、金额页、签字盖章页、桥涵长度或数量），如合同无法体现关键信息，可提供项目履约（验收）评价证明文件等作为补充。</w:t>
                  </w:r>
                </w:p>
                <w:p w14:paraId="687EA262">
                  <w:pPr>
                    <w:keepNext w:val="0"/>
                    <w:keepLines w:val="0"/>
                    <w:widowControl/>
                    <w:suppressLineNumbers w:val="0"/>
                    <w:snapToGrid/>
                    <w:spacing w:before="0" w:beforeAutospacing="0" w:after="0" w:afterAutospacing="0" w:line="460" w:lineRule="exact"/>
                    <w:ind w:left="0" w:right="0"/>
                    <w:jc w:val="left"/>
                    <w:rPr>
                      <w:rFonts w:hint="eastAsia" w:ascii="宋体" w:hAnsi="宋体" w:eastAsia="宋体" w:cs="宋体"/>
                      <w:color w:val="auto"/>
                      <w:kern w:val="2"/>
                      <w:sz w:val="24"/>
                      <w:szCs w:val="24"/>
                      <w:highlight w:val="none"/>
                      <w:lang w:bidi="ar"/>
                    </w:rPr>
                  </w:pPr>
                  <w:r>
                    <w:rPr>
                      <w:rFonts w:hint="eastAsia" w:ascii="宋体" w:hAnsi="宋体" w:eastAsia="宋体" w:cs="宋体"/>
                      <w:color w:val="auto"/>
                      <w:kern w:val="2"/>
                      <w:sz w:val="24"/>
                      <w:szCs w:val="24"/>
                      <w:highlight w:val="none"/>
                      <w:lang w:val="en-US" w:eastAsia="zh-CN" w:bidi="ar"/>
                    </w:rPr>
                    <w:t>3.上述项目开展时间必须在2022年1月1日起至投标截止日期止，以合同签订日期为准。</w:t>
                  </w:r>
                </w:p>
                <w:p w14:paraId="2BB0659E">
                  <w:pPr>
                    <w:pStyle w:val="8"/>
                    <w:spacing w:line="460" w:lineRule="exact"/>
                    <w:jc w:val="left"/>
                    <w:rPr>
                      <w:rFonts w:hint="eastAsia" w:ascii="宋体" w:hAnsi="宋体" w:eastAsia="宋体" w:cs="宋体"/>
                      <w:sz w:val="24"/>
                      <w:szCs w:val="24"/>
                    </w:rPr>
                  </w:pPr>
                  <w:r>
                    <w:rPr>
                      <w:rFonts w:hint="eastAsia" w:ascii="宋体" w:hAnsi="宋体" w:eastAsia="宋体" w:cs="宋体"/>
                      <w:color w:val="auto"/>
                      <w:kern w:val="2"/>
                      <w:sz w:val="24"/>
                      <w:szCs w:val="24"/>
                      <w:highlight w:val="none"/>
                      <w:lang w:val="en-US" w:eastAsia="zh-CN" w:bidi="ar"/>
                    </w:rPr>
                    <w:t>4.以上资料均要求提供扫描件，原件备查。评分中出现无证明资料或专家无法凭所提供资料判断是否得分的情况，一律作不得分处理。</w:t>
                  </w:r>
                </w:p>
              </w:tc>
            </w:tr>
            <w:tr w14:paraId="21ED97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76" w:type="dxa"/>
                  <w:vMerge w:val="continue"/>
                  <w:tcBorders>
                    <w:top w:val="single" w:color="000000" w:sz="8" w:space="0"/>
                    <w:left w:val="single" w:color="000000" w:sz="8" w:space="0"/>
                    <w:bottom w:val="single" w:color="000000" w:sz="8" w:space="0"/>
                    <w:right w:val="single" w:color="000000" w:sz="8" w:space="0"/>
                  </w:tcBorders>
                  <w:noWrap w:val="0"/>
                  <w:vAlign w:val="center"/>
                </w:tcPr>
                <w:p w14:paraId="31C84B1C">
                  <w:pPr>
                    <w:keepNext w:val="0"/>
                    <w:pageBreakBefore w:val="0"/>
                    <w:widowControl/>
                    <w:kinsoku/>
                    <w:wordWrap/>
                    <w:overflowPunct/>
                    <w:topLinePunct w:val="0"/>
                    <w:autoSpaceDE/>
                    <w:autoSpaceDN/>
                    <w:bidi w:val="0"/>
                    <w:adjustRightInd/>
                    <w:snapToGrid/>
                    <w:textAlignment w:val="auto"/>
                    <w:rPr>
                      <w:rFonts w:hint="eastAsia" w:ascii="宋体" w:hAnsi="宋体" w:eastAsia="宋体" w:cs="宋体"/>
                      <w:b/>
                      <w:bCs/>
                      <w:sz w:val="24"/>
                      <w:szCs w:val="24"/>
                    </w:rPr>
                  </w:pPr>
                </w:p>
              </w:tc>
              <w:tc>
                <w:tcPr>
                  <w:tcW w:w="675" w:type="dxa"/>
                  <w:tcBorders>
                    <w:top w:val="single" w:color="000000" w:sz="8" w:space="0"/>
                    <w:left w:val="single" w:color="000000" w:sz="8" w:space="0"/>
                    <w:bottom w:val="single" w:color="000000" w:sz="8" w:space="0"/>
                    <w:right w:val="single" w:color="000000" w:sz="8" w:space="0"/>
                  </w:tcBorders>
                  <w:noWrap w:val="0"/>
                  <w:vAlign w:val="center"/>
                </w:tcPr>
                <w:p w14:paraId="2346C251">
                  <w:pPr>
                    <w:keepNext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sz w:val="24"/>
                      <w:szCs w:val="24"/>
                    </w:rPr>
                  </w:pPr>
                  <w:r>
                    <w:rPr>
                      <w:rFonts w:hint="eastAsia" w:ascii="宋体" w:hAnsi="宋体" w:eastAsia="宋体" w:cs="宋体"/>
                      <w:sz w:val="24"/>
                      <w:szCs w:val="24"/>
                    </w:rPr>
                    <w:t>3</w:t>
                  </w:r>
                </w:p>
              </w:tc>
              <w:tc>
                <w:tcPr>
                  <w:tcW w:w="1295" w:type="dxa"/>
                  <w:tcBorders>
                    <w:top w:val="single" w:color="000000" w:sz="8" w:space="0"/>
                    <w:left w:val="single" w:color="000000" w:sz="8" w:space="0"/>
                    <w:bottom w:val="single" w:color="000000" w:sz="8" w:space="0"/>
                    <w:right w:val="single" w:color="000000" w:sz="8" w:space="0"/>
                  </w:tcBorders>
                  <w:noWrap w:val="0"/>
                  <w:vAlign w:val="top"/>
                </w:tcPr>
                <w:p w14:paraId="6E53ACFC">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拟安排的项目负责人情况（仅限一人）</w:t>
                  </w:r>
                </w:p>
                <w:p w14:paraId="665C45FC">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宋体" w:hAnsi="宋体" w:eastAsia="宋体" w:cs="宋体"/>
                      <w:sz w:val="24"/>
                      <w:szCs w:val="24"/>
                    </w:rPr>
                  </w:pPr>
                </w:p>
              </w:tc>
              <w:tc>
                <w:tcPr>
                  <w:tcW w:w="1030" w:type="dxa"/>
                  <w:tcBorders>
                    <w:top w:val="single" w:color="000000" w:sz="8" w:space="0"/>
                    <w:left w:val="single" w:color="000000" w:sz="8" w:space="0"/>
                    <w:bottom w:val="single" w:color="000000" w:sz="8" w:space="0"/>
                    <w:right w:val="single" w:color="000000" w:sz="8" w:space="0"/>
                  </w:tcBorders>
                  <w:noWrap w:val="0"/>
                  <w:vAlign w:val="top"/>
                </w:tcPr>
                <w:p w14:paraId="7F6F2460">
                  <w:pPr>
                    <w:keepNext w:val="0"/>
                    <w:keepLines w:val="0"/>
                    <w:pageBreakBefore w:val="0"/>
                    <w:kinsoku/>
                    <w:wordWrap/>
                    <w:overflowPunct/>
                    <w:topLinePunct w:val="0"/>
                    <w:autoSpaceDE/>
                    <w:autoSpaceDN/>
                    <w:bidi w:val="0"/>
                    <w:adjustRightInd/>
                    <w:snapToGrid/>
                    <w:spacing w:after="160" w:line="4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 xml:space="preserve"> </w:t>
                  </w:r>
                </w:p>
                <w:p w14:paraId="3635D1F4">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宋体" w:hAnsi="宋体" w:eastAsia="宋体" w:cs="宋体"/>
                      <w:sz w:val="24"/>
                      <w:szCs w:val="24"/>
                      <w:lang w:val="en-US" w:eastAsia="zh-CN"/>
                    </w:rPr>
                  </w:pPr>
                </w:p>
              </w:tc>
              <w:tc>
                <w:tcPr>
                  <w:tcW w:w="5396" w:type="dxa"/>
                  <w:tcBorders>
                    <w:top w:val="single" w:color="000000" w:sz="8" w:space="0"/>
                    <w:left w:val="single" w:color="000000" w:sz="8" w:space="0"/>
                    <w:bottom w:val="single" w:color="000000" w:sz="8" w:space="0"/>
                    <w:right w:val="single" w:color="000000" w:sz="8" w:space="0"/>
                  </w:tcBorders>
                  <w:noWrap w:val="0"/>
                  <w:vAlign w:val="top"/>
                </w:tcPr>
                <w:p w14:paraId="1615B49A">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（一）评分内容：</w:t>
                  </w:r>
                </w:p>
                <w:p w14:paraId="74446433">
                  <w:pPr>
                    <w:keepNext w:val="0"/>
                    <w:keepLines w:val="0"/>
                    <w:widowControl w:val="0"/>
                    <w:suppressLineNumbers w:val="0"/>
                    <w:autoSpaceDE/>
                    <w:autoSpaceDN/>
                    <w:spacing w:before="0" w:beforeAutospacing="0" w:after="0" w:afterAutospacing="0" w:line="460" w:lineRule="exact"/>
                    <w:ind w:left="0" w:right="0"/>
                    <w:jc w:val="left"/>
                    <w:rPr>
                      <w:rFonts w:hint="eastAsia" w:ascii="宋体" w:hAnsi="宋体" w:eastAsia="宋体" w:cs="宋体"/>
                      <w:b/>
                      <w:bCs/>
                      <w:color w:val="auto"/>
                      <w:kern w:val="2"/>
                      <w:sz w:val="24"/>
                      <w:szCs w:val="24"/>
                      <w:highlight w:val="none"/>
                      <w:lang w:val="en-US" w:eastAsia="zh-CN" w:bidi="ar"/>
                    </w:rPr>
                  </w:pPr>
                  <w:r>
                    <w:rPr>
                      <w:rFonts w:hint="eastAsia" w:ascii="宋体" w:hAnsi="宋体" w:eastAsia="宋体" w:cs="宋体"/>
                      <w:b/>
                      <w:bCs/>
                      <w:color w:val="auto"/>
                      <w:kern w:val="2"/>
                      <w:sz w:val="24"/>
                      <w:szCs w:val="24"/>
                      <w:highlight w:val="none"/>
                      <w:lang w:val="en-US" w:eastAsia="zh-CN" w:bidi="ar"/>
                    </w:rPr>
                    <w:t>要求拟安排的项目负责人为本单位正式员工，</w:t>
                  </w:r>
                  <w:r>
                    <w:rPr>
                      <w:rFonts w:hint="eastAsia" w:ascii="宋体" w:hAnsi="宋体" w:eastAsia="宋体" w:cs="宋体"/>
                      <w:b/>
                      <w:bCs/>
                      <w:kern w:val="2"/>
                      <w:sz w:val="24"/>
                      <w:szCs w:val="24"/>
                      <w:lang w:val="en-US" w:eastAsia="zh-CN" w:bidi="ar"/>
                    </w:rPr>
                    <w:t>（须提供社保证明材料）</w:t>
                  </w:r>
                  <w:r>
                    <w:rPr>
                      <w:rFonts w:hint="eastAsia" w:ascii="宋体" w:hAnsi="宋体" w:eastAsia="宋体" w:cs="宋体"/>
                      <w:b/>
                      <w:bCs/>
                      <w:color w:val="auto"/>
                      <w:kern w:val="2"/>
                      <w:sz w:val="24"/>
                      <w:szCs w:val="24"/>
                      <w:highlight w:val="none"/>
                      <w:lang w:val="en-US" w:eastAsia="zh-CN" w:bidi="ar"/>
                    </w:rPr>
                    <w:t>，</w:t>
                  </w:r>
                  <w:r>
                    <w:rPr>
                      <w:rFonts w:hint="eastAsia" w:ascii="宋体" w:hAnsi="宋体" w:eastAsia="宋体" w:cs="宋体"/>
                      <w:b/>
                      <w:bCs/>
                      <w:color w:val="auto"/>
                      <w:kern w:val="2"/>
                      <w:sz w:val="24"/>
                      <w:szCs w:val="24"/>
                      <w:highlight w:val="none"/>
                      <w:lang w:val="en-US" w:bidi="ar"/>
                    </w:rPr>
                    <w:t>具有</w:t>
                  </w:r>
                  <w:r>
                    <w:rPr>
                      <w:rFonts w:hint="eastAsia" w:ascii="宋体" w:hAnsi="宋体" w:eastAsia="宋体" w:cs="宋体"/>
                      <w:b/>
                      <w:bCs/>
                      <w:color w:val="auto"/>
                      <w:kern w:val="2"/>
                      <w:sz w:val="24"/>
                      <w:szCs w:val="24"/>
                      <w:highlight w:val="none"/>
                      <w:lang w:val="en-US" w:eastAsia="zh-CN" w:bidi="ar"/>
                    </w:rPr>
                    <w:t>工程</w:t>
                  </w:r>
                  <w:r>
                    <w:rPr>
                      <w:rFonts w:hint="eastAsia" w:ascii="宋体" w:hAnsi="宋体" w:eastAsia="宋体" w:cs="宋体"/>
                      <w:b/>
                      <w:bCs/>
                      <w:color w:val="auto"/>
                      <w:kern w:val="2"/>
                      <w:sz w:val="24"/>
                      <w:szCs w:val="24"/>
                      <w:highlight w:val="none"/>
                      <w:lang w:val="en-US" w:bidi="ar"/>
                    </w:rPr>
                    <w:t>类副高级</w:t>
                  </w:r>
                  <w:r>
                    <w:rPr>
                      <w:rFonts w:hint="eastAsia" w:ascii="宋体" w:hAnsi="宋体" w:eastAsia="宋体" w:cs="宋体"/>
                      <w:b/>
                      <w:bCs/>
                      <w:color w:val="auto"/>
                      <w:kern w:val="2"/>
                      <w:sz w:val="24"/>
                      <w:szCs w:val="24"/>
                      <w:highlight w:val="none"/>
                      <w:lang w:val="en-US" w:eastAsia="zh-CN" w:bidi="ar"/>
                    </w:rPr>
                    <w:t>（或以上）</w:t>
                  </w:r>
                  <w:r>
                    <w:rPr>
                      <w:rFonts w:hint="eastAsia" w:ascii="宋体" w:hAnsi="宋体" w:eastAsia="宋体" w:cs="宋体"/>
                      <w:b/>
                      <w:bCs/>
                      <w:color w:val="auto"/>
                      <w:kern w:val="2"/>
                      <w:sz w:val="24"/>
                      <w:szCs w:val="24"/>
                      <w:highlight w:val="none"/>
                      <w:lang w:val="en-US" w:bidi="ar"/>
                    </w:rPr>
                    <w:t>职称</w:t>
                  </w:r>
                  <w:r>
                    <w:rPr>
                      <w:rFonts w:hint="eastAsia" w:ascii="宋体" w:hAnsi="宋体" w:eastAsia="宋体" w:cs="宋体"/>
                      <w:b/>
                      <w:bCs/>
                      <w:color w:val="auto"/>
                      <w:kern w:val="2"/>
                      <w:sz w:val="24"/>
                      <w:szCs w:val="24"/>
                      <w:highlight w:val="none"/>
                      <w:lang w:val="en-US" w:eastAsia="zh-CN" w:bidi="ar"/>
                    </w:rPr>
                    <w:t>和路桥相关专业本科（或以上）学历，且</w:t>
                  </w:r>
                  <w:r>
                    <w:rPr>
                      <w:rFonts w:hint="eastAsia" w:ascii="宋体" w:hAnsi="宋体" w:eastAsia="宋体" w:cs="宋体"/>
                      <w:b/>
                      <w:bCs/>
                      <w:color w:val="auto"/>
                      <w:kern w:val="2"/>
                      <w:sz w:val="24"/>
                      <w:szCs w:val="24"/>
                      <w:highlight w:val="none"/>
                      <w:lang w:val="en-US" w:bidi="ar"/>
                    </w:rPr>
                    <w:t>具有交通运输部门颁发的</w:t>
                  </w:r>
                  <w:r>
                    <w:rPr>
                      <w:rFonts w:hint="eastAsia" w:ascii="宋体" w:hAnsi="宋体" w:eastAsia="宋体" w:cs="宋体"/>
                      <w:b/>
                      <w:bCs/>
                      <w:color w:val="auto"/>
                      <w:kern w:val="2"/>
                      <w:sz w:val="24"/>
                      <w:szCs w:val="24"/>
                      <w:highlight w:val="none"/>
                      <w:lang w:val="en-US" w:eastAsia="zh-CN" w:bidi="ar"/>
                    </w:rPr>
                    <w:t>桥梁</w:t>
                  </w:r>
                  <w:r>
                    <w:rPr>
                      <w:rFonts w:hint="eastAsia" w:ascii="宋体" w:hAnsi="宋体" w:eastAsia="宋体" w:cs="宋体"/>
                      <w:b/>
                      <w:bCs/>
                      <w:color w:val="auto"/>
                      <w:kern w:val="2"/>
                      <w:sz w:val="24"/>
                      <w:szCs w:val="24"/>
                      <w:highlight w:val="none"/>
                      <w:lang w:val="en-US" w:bidi="ar"/>
                    </w:rPr>
                    <w:t>试验检测工程师</w:t>
                  </w:r>
                  <w:r>
                    <w:rPr>
                      <w:rFonts w:hint="eastAsia" w:ascii="宋体" w:hAnsi="宋体" w:eastAsia="宋体" w:cs="宋体"/>
                      <w:b/>
                      <w:bCs/>
                      <w:color w:val="auto"/>
                      <w:kern w:val="2"/>
                      <w:sz w:val="24"/>
                      <w:szCs w:val="24"/>
                      <w:highlight w:val="none"/>
                      <w:lang w:val="en-US" w:eastAsia="zh-CN" w:bidi="ar"/>
                    </w:rPr>
                    <w:t>或桥梁隧道</w:t>
                  </w:r>
                  <w:r>
                    <w:rPr>
                      <w:rFonts w:hint="eastAsia" w:ascii="宋体" w:hAnsi="宋体" w:eastAsia="宋体" w:cs="宋体"/>
                      <w:b/>
                      <w:bCs/>
                      <w:color w:val="auto"/>
                      <w:kern w:val="2"/>
                      <w:sz w:val="24"/>
                      <w:szCs w:val="24"/>
                      <w:highlight w:val="none"/>
                      <w:lang w:val="en-US" w:bidi="ar"/>
                    </w:rPr>
                    <w:t>工程</w:t>
                  </w:r>
                  <w:r>
                    <w:rPr>
                      <w:rFonts w:hint="eastAsia" w:ascii="宋体" w:hAnsi="宋体" w:eastAsia="宋体" w:cs="宋体"/>
                      <w:b/>
                      <w:bCs/>
                      <w:color w:val="auto"/>
                      <w:kern w:val="2"/>
                      <w:sz w:val="24"/>
                      <w:szCs w:val="24"/>
                      <w:highlight w:val="none"/>
                      <w:lang w:val="en-US" w:eastAsia="zh-CN" w:bidi="ar"/>
                    </w:rPr>
                    <w:t>试验检测师</w:t>
                  </w:r>
                  <w:r>
                    <w:rPr>
                      <w:rFonts w:hint="eastAsia" w:ascii="宋体" w:hAnsi="宋体" w:eastAsia="宋体" w:cs="宋体"/>
                      <w:b/>
                      <w:bCs/>
                      <w:color w:val="auto"/>
                      <w:kern w:val="2"/>
                      <w:sz w:val="24"/>
                      <w:szCs w:val="24"/>
                      <w:highlight w:val="none"/>
                      <w:lang w:val="en-US" w:bidi="ar"/>
                    </w:rPr>
                    <w:t>资格证书</w:t>
                  </w:r>
                  <w:r>
                    <w:rPr>
                      <w:rFonts w:hint="eastAsia" w:ascii="宋体" w:hAnsi="宋体" w:eastAsia="宋体" w:cs="宋体"/>
                      <w:b/>
                      <w:bCs/>
                      <w:color w:val="auto"/>
                      <w:kern w:val="2"/>
                      <w:sz w:val="24"/>
                      <w:szCs w:val="24"/>
                      <w:highlight w:val="none"/>
                      <w:lang w:val="en-US" w:eastAsia="zh-CN" w:bidi="ar"/>
                    </w:rPr>
                    <w:t>，</w:t>
                  </w:r>
                  <w:r>
                    <w:rPr>
                      <w:rFonts w:hint="eastAsia" w:ascii="宋体" w:hAnsi="宋体" w:eastAsia="宋体" w:cs="宋体"/>
                      <w:b/>
                      <w:bCs/>
                      <w:kern w:val="2"/>
                      <w:sz w:val="24"/>
                      <w:szCs w:val="24"/>
                      <w:lang w:val="en-US" w:eastAsia="zh-CN" w:bidi="ar"/>
                    </w:rPr>
                    <w:t>在此基础上，按以下标准评分：</w:t>
                  </w:r>
                </w:p>
                <w:p w14:paraId="1CAD3921">
                  <w:pPr>
                    <w:keepNext w:val="0"/>
                    <w:keepLines w:val="0"/>
                    <w:widowControl w:val="0"/>
                    <w:suppressLineNumbers w:val="0"/>
                    <w:autoSpaceDE/>
                    <w:autoSpaceDN/>
                    <w:spacing w:before="0" w:beforeAutospacing="0" w:after="0" w:afterAutospacing="0" w:line="460" w:lineRule="exact"/>
                    <w:ind w:left="0" w:right="0"/>
                    <w:jc w:val="left"/>
                    <w:rPr>
                      <w:rFonts w:hint="eastAsia" w:ascii="宋体" w:hAnsi="宋体" w:eastAsia="宋体" w:cs="宋体"/>
                      <w:b w:val="0"/>
                      <w:bCs w:val="0"/>
                      <w:color w:val="auto"/>
                      <w:kern w:val="2"/>
                      <w:sz w:val="24"/>
                      <w:szCs w:val="24"/>
                      <w:highlight w:val="none"/>
                    </w:rPr>
                  </w:pPr>
                  <w:r>
                    <w:rPr>
                      <w:rFonts w:hint="eastAsia" w:ascii="宋体" w:hAnsi="宋体" w:eastAsia="宋体" w:cs="宋体"/>
                      <w:b w:val="0"/>
                      <w:bCs w:val="0"/>
                      <w:color w:val="auto"/>
                      <w:kern w:val="2"/>
                      <w:sz w:val="24"/>
                      <w:szCs w:val="24"/>
                      <w:highlight w:val="none"/>
                      <w:lang w:val="en-US" w:eastAsia="zh-CN" w:bidi="ar"/>
                    </w:rPr>
                    <w:t>1.具有路桥专业类副高级（或以上）职称得20％分；</w:t>
                  </w:r>
                </w:p>
                <w:p w14:paraId="563F9ADE">
                  <w:pPr>
                    <w:keepNext w:val="0"/>
                    <w:keepLines w:val="0"/>
                    <w:widowControl w:val="0"/>
                    <w:suppressLineNumbers w:val="0"/>
                    <w:autoSpaceDE/>
                    <w:autoSpaceDN/>
                    <w:spacing w:before="0" w:beforeAutospacing="0" w:after="0" w:afterAutospacing="0" w:line="460" w:lineRule="exact"/>
                    <w:ind w:left="0" w:right="0"/>
                    <w:jc w:val="left"/>
                    <w:rPr>
                      <w:rFonts w:hint="eastAsia" w:ascii="宋体" w:hAnsi="宋体" w:eastAsia="宋体" w:cs="宋体"/>
                      <w:b w:val="0"/>
                      <w:bCs w:val="0"/>
                      <w:color w:val="auto"/>
                      <w:kern w:val="2"/>
                      <w:sz w:val="24"/>
                      <w:szCs w:val="24"/>
                      <w:highlight w:val="none"/>
                      <w:lang w:val="en-US" w:eastAsia="zh-CN" w:bidi="ar"/>
                    </w:rPr>
                  </w:pPr>
                  <w:r>
                    <w:rPr>
                      <w:rFonts w:hint="eastAsia" w:ascii="宋体" w:hAnsi="宋体" w:eastAsia="宋体" w:cs="宋体"/>
                      <w:b w:val="0"/>
                      <w:bCs w:val="0"/>
                      <w:color w:val="auto"/>
                      <w:kern w:val="2"/>
                      <w:sz w:val="24"/>
                      <w:szCs w:val="24"/>
                      <w:highlight w:val="none"/>
                      <w:lang w:val="en-US" w:eastAsia="zh-CN" w:bidi="ar"/>
                    </w:rPr>
                    <w:t>2.项目负责人担任过桥涵外观检测项目的项目负责人，并提供桥梁清单：</w:t>
                  </w:r>
                </w:p>
                <w:p w14:paraId="4D25DD36">
                  <w:pPr>
                    <w:keepNext w:val="0"/>
                    <w:keepLines w:val="0"/>
                    <w:widowControl w:val="0"/>
                    <w:suppressLineNumbers w:val="0"/>
                    <w:autoSpaceDE/>
                    <w:autoSpaceDN/>
                    <w:spacing w:before="0" w:beforeAutospacing="0" w:after="0" w:afterAutospacing="0" w:line="460" w:lineRule="exact"/>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单个检测合同的桥涵外观检测数量≥1000座，得40％分；750座≤单个检测合同的桥涵外观检测数量＜1000座，得30％分；500座≤单个检测合同的桥涵外观检测数量＜750座，得20％分；单个检测合同的桥涵外观检测数量＜500座，不得分。</w:t>
                  </w:r>
                </w:p>
                <w:p w14:paraId="6C23AB90">
                  <w:pPr>
                    <w:keepNext w:val="0"/>
                    <w:keepLines w:val="0"/>
                    <w:widowControl/>
                    <w:numPr>
                      <w:ilvl w:val="0"/>
                      <w:numId w:val="0"/>
                    </w:numPr>
                    <w:suppressLineNumbers w:val="0"/>
                    <w:autoSpaceDE/>
                    <w:autoSpaceDN/>
                    <w:spacing w:before="0" w:beforeAutospacing="0" w:after="0" w:afterAutospacing="0" w:line="460" w:lineRule="exact"/>
                    <w:ind w:left="0" w:right="0"/>
                    <w:jc w:val="left"/>
                    <w:rPr>
                      <w:rFonts w:hint="eastAsia" w:ascii="宋体" w:hAnsi="宋体" w:eastAsia="宋体" w:cs="宋体"/>
                      <w:color w:val="auto"/>
                      <w:kern w:val="2"/>
                      <w:sz w:val="24"/>
                      <w:szCs w:val="24"/>
                      <w:highlight w:val="none"/>
                      <w:lang w:val="en-US" w:eastAsia="zh-CN" w:bidi="ar"/>
                    </w:rPr>
                  </w:pPr>
                  <w:r>
                    <w:rPr>
                      <w:rFonts w:hint="default" w:ascii="宋体" w:hAnsi="宋体" w:eastAsia="宋体" w:cs="宋体"/>
                      <w:color w:val="auto"/>
                      <w:kern w:val="2"/>
                      <w:sz w:val="24"/>
                      <w:szCs w:val="24"/>
                      <w:highlight w:val="none"/>
                      <w:lang w:val="en-US" w:eastAsia="zh-CN" w:bidi="ar"/>
                    </w:rPr>
                    <w:t>外观检测业绩的合同最多计</w:t>
                  </w:r>
                  <w:r>
                    <w:rPr>
                      <w:rFonts w:hint="eastAsia" w:ascii="宋体" w:hAnsi="宋体" w:eastAsia="宋体" w:cs="宋体"/>
                      <w:color w:val="auto"/>
                      <w:kern w:val="2"/>
                      <w:sz w:val="24"/>
                      <w:szCs w:val="24"/>
                      <w:highlight w:val="none"/>
                      <w:lang w:val="en-US" w:eastAsia="zh-CN" w:bidi="ar"/>
                    </w:rPr>
                    <w:t>1</w:t>
                  </w:r>
                  <w:r>
                    <w:rPr>
                      <w:rFonts w:hint="default" w:ascii="宋体" w:hAnsi="宋体" w:eastAsia="宋体" w:cs="宋体"/>
                      <w:color w:val="auto"/>
                      <w:kern w:val="2"/>
                      <w:sz w:val="24"/>
                      <w:szCs w:val="24"/>
                      <w:highlight w:val="none"/>
                      <w:lang w:val="en-US" w:eastAsia="zh-CN" w:bidi="ar"/>
                    </w:rPr>
                    <w:t>个</w:t>
                  </w:r>
                  <w:r>
                    <w:rPr>
                      <w:rFonts w:hint="eastAsia" w:ascii="宋体" w:hAnsi="宋体" w:eastAsia="宋体" w:cs="宋体"/>
                      <w:color w:val="auto"/>
                      <w:kern w:val="2"/>
                      <w:sz w:val="24"/>
                      <w:szCs w:val="24"/>
                      <w:highlight w:val="none"/>
                      <w:lang w:val="en-US" w:eastAsia="zh-CN" w:bidi="ar"/>
                    </w:rPr>
                    <w:t>，超出1个的将只计投标文件顺序排序第一个</w:t>
                  </w:r>
                  <w:r>
                    <w:rPr>
                      <w:rFonts w:hint="eastAsia" w:ascii="宋体" w:hAnsi="宋体" w:eastAsia="宋体" w:cs="宋体"/>
                      <w:sz w:val="24"/>
                      <w:lang w:val="en-US" w:eastAsia="zh-CN"/>
                    </w:rPr>
                    <w:t>。</w:t>
                  </w:r>
                </w:p>
                <w:p w14:paraId="0A87733E">
                  <w:pPr>
                    <w:keepNext w:val="0"/>
                    <w:keepLines w:val="0"/>
                    <w:widowControl w:val="0"/>
                    <w:suppressLineNumbers w:val="0"/>
                    <w:autoSpaceDE/>
                    <w:autoSpaceDN/>
                    <w:spacing w:before="0" w:beforeAutospacing="0" w:after="0" w:afterAutospacing="0" w:line="460" w:lineRule="exact"/>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b w:val="0"/>
                      <w:bCs w:val="0"/>
                      <w:color w:val="auto"/>
                      <w:kern w:val="2"/>
                      <w:sz w:val="24"/>
                      <w:szCs w:val="24"/>
                      <w:highlight w:val="none"/>
                      <w:lang w:val="en-US" w:eastAsia="zh-CN" w:bidi="ar"/>
                    </w:rPr>
                    <w:t>3.项目负责人担任过桥涵承载力检测项目的项目负责人，并提供清单：</w:t>
                  </w:r>
                </w:p>
                <w:p w14:paraId="3427F18E">
                  <w:pPr>
                    <w:keepNext w:val="0"/>
                    <w:keepLines w:val="0"/>
                    <w:widowControl w:val="0"/>
                    <w:suppressLineNumbers w:val="0"/>
                    <w:autoSpaceDE/>
                    <w:autoSpaceDN/>
                    <w:spacing w:before="0" w:beforeAutospacing="0" w:after="0" w:afterAutospacing="0" w:line="460" w:lineRule="exact"/>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单个检测合同的桥涵承载力检测数量≥100座，得40％分；75座≤单个检测合同的桥涵承载力检测数量＜100座，得30％分；50座≤单个检测合同的桥涵承载力检测数量＜75座，得20％分；单个检测合同的桥涵承载力检测数量＜50座，不得分；</w:t>
                  </w:r>
                </w:p>
                <w:p w14:paraId="4FC7124B">
                  <w:pPr>
                    <w:widowControl/>
                    <w:autoSpaceDE/>
                    <w:spacing w:after="0" w:line="460" w:lineRule="exact"/>
                    <w:jc w:val="left"/>
                    <w:rPr>
                      <w:rFonts w:hint="eastAsia" w:ascii="宋体" w:hAnsi="宋体" w:eastAsia="宋体" w:cs="宋体"/>
                      <w:sz w:val="24"/>
                      <w:lang w:val="en-US" w:eastAsia="zh-CN"/>
                    </w:rPr>
                  </w:pPr>
                  <w:r>
                    <w:rPr>
                      <w:rFonts w:hint="eastAsia" w:ascii="宋体" w:hAnsi="宋体" w:eastAsia="宋体" w:cs="宋体"/>
                      <w:color w:val="auto"/>
                      <w:kern w:val="2"/>
                      <w:sz w:val="24"/>
                      <w:szCs w:val="24"/>
                      <w:highlight w:val="none"/>
                      <w:lang w:val="en-US" w:eastAsia="zh-CN" w:bidi="ar"/>
                    </w:rPr>
                    <w:t>承载力检测</w:t>
                  </w:r>
                  <w:r>
                    <w:rPr>
                      <w:rFonts w:hint="default" w:ascii="宋体" w:hAnsi="宋体" w:eastAsia="宋体" w:cs="宋体"/>
                      <w:color w:val="auto"/>
                      <w:kern w:val="2"/>
                      <w:sz w:val="24"/>
                      <w:szCs w:val="24"/>
                      <w:highlight w:val="none"/>
                      <w:lang w:val="en-US" w:eastAsia="zh-CN" w:bidi="ar"/>
                    </w:rPr>
                    <w:t>业绩的合同最多计</w:t>
                  </w:r>
                  <w:r>
                    <w:rPr>
                      <w:rFonts w:hint="eastAsia" w:ascii="宋体" w:hAnsi="宋体" w:eastAsia="宋体" w:cs="宋体"/>
                      <w:color w:val="auto"/>
                      <w:kern w:val="2"/>
                      <w:sz w:val="24"/>
                      <w:szCs w:val="24"/>
                      <w:highlight w:val="none"/>
                      <w:lang w:val="en-US" w:eastAsia="zh-CN" w:bidi="ar"/>
                    </w:rPr>
                    <w:t>1</w:t>
                  </w:r>
                  <w:r>
                    <w:rPr>
                      <w:rFonts w:hint="default" w:ascii="宋体" w:hAnsi="宋体" w:eastAsia="宋体" w:cs="宋体"/>
                      <w:color w:val="auto"/>
                      <w:kern w:val="2"/>
                      <w:sz w:val="24"/>
                      <w:szCs w:val="24"/>
                      <w:highlight w:val="none"/>
                      <w:lang w:val="en-US" w:eastAsia="zh-CN" w:bidi="ar"/>
                    </w:rPr>
                    <w:t>个</w:t>
                  </w:r>
                  <w:r>
                    <w:rPr>
                      <w:rFonts w:hint="eastAsia" w:ascii="宋体" w:hAnsi="宋体" w:eastAsia="宋体" w:cs="宋体"/>
                      <w:color w:val="auto"/>
                      <w:kern w:val="2"/>
                      <w:sz w:val="24"/>
                      <w:szCs w:val="24"/>
                      <w:highlight w:val="none"/>
                      <w:lang w:val="en-US" w:eastAsia="zh-CN" w:bidi="ar"/>
                    </w:rPr>
                    <w:t>，超出1个的将只计投标文件顺序排序第一个</w:t>
                  </w:r>
                  <w:r>
                    <w:rPr>
                      <w:rFonts w:hint="eastAsia" w:ascii="宋体" w:hAnsi="宋体" w:eastAsia="宋体" w:cs="宋体"/>
                      <w:sz w:val="24"/>
                      <w:lang w:val="en-US" w:eastAsia="zh-CN"/>
                    </w:rPr>
                    <w:t>。</w:t>
                  </w:r>
                </w:p>
                <w:p w14:paraId="6D978C14">
                  <w:pPr>
                    <w:widowControl/>
                    <w:spacing w:line="460" w:lineRule="exact"/>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如果一个合同同时包含外观检测和承载力检测，可以分别计入。以上1-3项累计得分，最高得100％分。</w:t>
                  </w:r>
                </w:p>
                <w:p w14:paraId="54454C3C">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（二）评分依据：</w:t>
                  </w:r>
                </w:p>
                <w:p w14:paraId="3267B9EF">
                  <w:pPr>
                    <w:keepNext w:val="0"/>
                    <w:keepLines w:val="0"/>
                    <w:widowControl w:val="0"/>
                    <w:suppressLineNumbers w:val="0"/>
                    <w:autoSpaceDE/>
                    <w:autoSpaceDN/>
                    <w:spacing w:before="0" w:beforeAutospacing="0" w:after="0" w:afterAutospacing="0" w:line="460" w:lineRule="exact"/>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要求提供通过投标人缴纳的项目负责人近一个月的社保证明（如供应商为新成立单位且成立时间不足一个月的，可提供加盖公章的情况说明或者证明材料亦视为符合。如为退休返聘人员则提供劳动合同或返聘协议扫描件）。</w:t>
                  </w:r>
                </w:p>
                <w:p w14:paraId="26E5DDDA">
                  <w:pPr>
                    <w:spacing w:line="460" w:lineRule="exact"/>
                    <w:jc w:val="left"/>
                    <w:rPr>
                      <w:rFonts w:hint="eastAsia" w:ascii="宋体" w:hAnsi="宋体" w:cs="宋体"/>
                      <w:color w:val="auto"/>
                      <w:sz w:val="24"/>
                      <w:highlight w:val="none"/>
                    </w:rPr>
                  </w:pPr>
                  <w:r>
                    <w:rPr>
                      <w:rFonts w:hint="eastAsia" w:ascii="宋体" w:hAnsi="宋体" w:cs="宋体"/>
                      <w:color w:val="auto"/>
                      <w:sz w:val="24"/>
                      <w:highlight w:val="none"/>
                    </w:rPr>
                    <w:t>2.要求提供</w:t>
                  </w:r>
                  <w:r>
                    <w:rPr>
                      <w:rFonts w:hint="eastAsia" w:ascii="宋体" w:hAnsi="宋体" w:cs="宋体"/>
                      <w:color w:val="auto"/>
                      <w:sz w:val="24"/>
                      <w:highlight w:val="none"/>
                      <w:lang w:eastAsia="zh-CN"/>
                    </w:rPr>
                    <w:t>项目负责人</w:t>
                  </w:r>
                  <w:r>
                    <w:rPr>
                      <w:rFonts w:hint="eastAsia" w:ascii="宋体" w:hAnsi="宋体" w:cs="宋体"/>
                      <w:color w:val="auto"/>
                      <w:sz w:val="24"/>
                      <w:highlight w:val="none"/>
                    </w:rPr>
                    <w:t>上述职称/资格证书、学历证书以及学信网查询记录。对于较早颁发的学历、学位证书，学信网无法查询的，除要求提供证书扫描件，还需提供其他佐证材料（如毕业院校、人社部门等颁发机构或监管机构等单位出具的证明），海外留学（含</w:t>
                  </w:r>
                  <w:r>
                    <w:rPr>
                      <w:rFonts w:hint="default" w:ascii="宋体" w:hAnsi="宋体" w:cs="宋体"/>
                      <w:color w:val="auto"/>
                      <w:sz w:val="24"/>
                      <w:highlight w:val="none"/>
                      <w:lang w:val="en"/>
                    </w:rPr>
                    <w:t>港澳台</w:t>
                  </w:r>
                  <w:r>
                    <w:rPr>
                      <w:rFonts w:hint="eastAsia" w:ascii="宋体" w:hAnsi="宋体" w:cs="宋体"/>
                      <w:color w:val="auto"/>
                      <w:sz w:val="24"/>
                      <w:highlight w:val="none"/>
                    </w:rPr>
                    <w:t>）人员学历无法通过学信网站查询，应当提供教育部留学服务中心出具的国外学历认证证书以及教育部留学服务中心官网查询截图。</w:t>
                  </w:r>
                </w:p>
                <w:p w14:paraId="1A44CA39">
                  <w:pPr>
                    <w:keepNext w:val="0"/>
                    <w:keepLines w:val="0"/>
                    <w:widowControl w:val="0"/>
                    <w:suppressLineNumbers w:val="0"/>
                    <w:spacing w:before="0" w:beforeAutospacing="0" w:after="0" w:afterAutospacing="0" w:line="460" w:lineRule="exact"/>
                    <w:ind w:left="0" w:right="0"/>
                    <w:jc w:val="left"/>
                    <w:rPr>
                      <w:rFonts w:hint="default"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3.涉及职称及证书的要求同时提供①有效证书；②官方网站查询截图【公路水运工程试验检测专业技术人员管理系统（https://syjc.jtzyzg.org.cn/SYJC/LEAP/syjc/html/index.html）进行查询并提供截图，或公路水运工程检测管理系统 （https://www.ttiis.cn/）进行查询并提供截图，或人力资源和社会保障部发布的查询渠道（网址：https://www.mohrss.gov.cn/SYrlzyhshbzb/ztzl/zyzghzyjndjrdcx/）所对应证书的平台或系统进行查询并提供截图，或全国职称评审信息查询平台（https://www.12333.gov.cn/cas/login?service=https://www.12333.gov.cn/shiro-cas）进行查询并提供截图】。若证书数据不能在上述系统中查询，则须提供相应证书颁发机构出具的加盖公章的书面说明，经评审委员会判定认可方为有效，否则视为无效证书。如因国家政策调整导致查询渠道变更，以最新有效的官方公告渠道为准。</w:t>
                  </w:r>
                </w:p>
                <w:p w14:paraId="6B9D43A8">
                  <w:pPr>
                    <w:keepNext w:val="0"/>
                    <w:keepLines w:val="0"/>
                    <w:widowControl w:val="0"/>
                    <w:suppressLineNumbers w:val="0"/>
                    <w:snapToGrid/>
                    <w:spacing w:before="0" w:beforeAutospacing="0" w:after="0" w:afterAutospacing="0" w:line="460" w:lineRule="exact"/>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4.桥涵外观检测项目为桥涵的定期检测或桥涵交竣工检测，不包括日常巡查或经常性检查或监控监测；桥涵承载力检测项目为桥涵静动载试验或桥涵检算或桥涵结构定期检测，不包括砼结构定期检测和钢结构定期检测等材料检测。上述项目经验需为已完成业绩，要求同时提供合同关键信息和项目履约（验收）评价证明文件作为得分依据，项目履约（验收）评价证明文件需加盖合同甲方公章或甲方业务章。</w:t>
                  </w:r>
                </w:p>
                <w:p w14:paraId="3782392D">
                  <w:pPr>
                    <w:keepNext w:val="0"/>
                    <w:keepLines w:val="0"/>
                    <w:widowControl w:val="0"/>
                    <w:suppressLineNumbers w:val="0"/>
                    <w:snapToGrid/>
                    <w:spacing w:before="0" w:beforeAutospacing="0" w:after="0" w:afterAutospacing="0" w:line="460" w:lineRule="exact"/>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5.合同需附关键信息（内容至少包括合同首页、建设内容页、金额页、签字盖章页、桥涵座数），如合同无法体现关键信息，可提供项目履约（验收）评价证明文件等作为补充。</w:t>
                  </w:r>
                </w:p>
                <w:p w14:paraId="6FCB26CB">
                  <w:pPr>
                    <w:keepNext w:val="0"/>
                    <w:keepLines w:val="0"/>
                    <w:widowControl w:val="0"/>
                    <w:suppressLineNumbers w:val="0"/>
                    <w:snapToGrid/>
                    <w:spacing w:before="0" w:beforeAutospacing="0" w:after="0" w:afterAutospacing="0" w:line="460" w:lineRule="exact"/>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6.上述项目开展时间必须在2022年1月1日起至投标截止日期止，以合同签订日期为准。</w:t>
                  </w:r>
                </w:p>
                <w:p w14:paraId="1D2D8D9E">
                  <w:pPr>
                    <w:keepNext w:val="0"/>
                    <w:keepLines w:val="0"/>
                    <w:widowControl w:val="0"/>
                    <w:suppressLineNumbers w:val="0"/>
                    <w:spacing w:before="0" w:beforeAutospacing="0" w:after="0" w:afterAutospacing="0" w:line="460" w:lineRule="exact"/>
                    <w:ind w:left="0" w:leftChars="0" w:right="0" w:rightChars="0"/>
                    <w:jc w:val="left"/>
                    <w:rPr>
                      <w:rFonts w:hint="eastAsia" w:ascii="宋体" w:hAnsi="宋体" w:eastAsia="宋体" w:cs="宋体"/>
                      <w:sz w:val="24"/>
                      <w:szCs w:val="24"/>
                    </w:rPr>
                  </w:pPr>
                  <w:r>
                    <w:rPr>
                      <w:rFonts w:hint="eastAsia" w:ascii="宋体" w:hAnsi="宋体" w:eastAsia="宋体" w:cs="宋体"/>
                      <w:color w:val="auto"/>
                      <w:kern w:val="2"/>
                      <w:sz w:val="24"/>
                      <w:szCs w:val="24"/>
                      <w:highlight w:val="none"/>
                      <w:lang w:val="en-US" w:eastAsia="zh-CN" w:bidi="ar"/>
                    </w:rPr>
                    <w:t>7.</w:t>
                  </w:r>
                  <w:r>
                    <w:rPr>
                      <w:rFonts w:hint="eastAsia" w:ascii="宋体" w:hAnsi="宋体" w:eastAsia="宋体" w:cs="宋体"/>
                      <w:kern w:val="2"/>
                      <w:sz w:val="24"/>
                      <w:szCs w:val="24"/>
                      <w:lang w:val="en-US" w:eastAsia="zh-CN" w:bidi="ar"/>
                    </w:rPr>
                    <w:t>要求提供相关证明资料作为得分依据。</w:t>
                  </w:r>
                  <w:r>
                    <w:rPr>
                      <w:rFonts w:hint="eastAsia" w:ascii="宋体" w:hAnsi="宋体" w:eastAsia="宋体" w:cs="宋体"/>
                      <w:color w:val="auto"/>
                      <w:kern w:val="2"/>
                      <w:sz w:val="24"/>
                      <w:szCs w:val="24"/>
                      <w:highlight w:val="none"/>
                      <w:lang w:val="en-US" w:eastAsia="zh-CN" w:bidi="ar"/>
                    </w:rPr>
                    <w:t>以上资料均要求提供扫描件，原件备查。评分中出现无证明资料或专家无法凭所提供资料判断是否得分的情况，一律作不得分处理。</w:t>
                  </w:r>
                </w:p>
              </w:tc>
            </w:tr>
            <w:tr w14:paraId="4FF3495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76" w:type="dxa"/>
                  <w:vMerge w:val="continue"/>
                  <w:tcBorders>
                    <w:top w:val="single" w:color="000000" w:sz="8" w:space="0"/>
                    <w:left w:val="single" w:color="000000" w:sz="8" w:space="0"/>
                    <w:bottom w:val="single" w:color="000000" w:sz="8" w:space="0"/>
                    <w:right w:val="single" w:color="000000" w:sz="8" w:space="0"/>
                  </w:tcBorders>
                  <w:noWrap w:val="0"/>
                  <w:vAlign w:val="center"/>
                </w:tcPr>
                <w:p w14:paraId="1897336B">
                  <w:pPr>
                    <w:keepNext w:val="0"/>
                    <w:pageBreakBefore w:val="0"/>
                    <w:widowControl/>
                    <w:kinsoku/>
                    <w:wordWrap/>
                    <w:overflowPunct/>
                    <w:topLinePunct w:val="0"/>
                    <w:autoSpaceDE/>
                    <w:autoSpaceDN/>
                    <w:bidi w:val="0"/>
                    <w:adjustRightInd/>
                    <w:snapToGrid/>
                    <w:textAlignment w:val="auto"/>
                    <w:rPr>
                      <w:rFonts w:hint="eastAsia" w:ascii="宋体" w:hAnsi="宋体" w:eastAsia="宋体" w:cs="宋体"/>
                      <w:b/>
                      <w:bCs/>
                      <w:sz w:val="24"/>
                      <w:szCs w:val="24"/>
                    </w:rPr>
                  </w:pPr>
                </w:p>
              </w:tc>
              <w:tc>
                <w:tcPr>
                  <w:tcW w:w="675" w:type="dxa"/>
                  <w:tcBorders>
                    <w:top w:val="single" w:color="000000" w:sz="8" w:space="0"/>
                    <w:left w:val="single" w:color="000000" w:sz="8" w:space="0"/>
                    <w:bottom w:val="single" w:color="000000" w:sz="8" w:space="0"/>
                    <w:right w:val="single" w:color="000000" w:sz="8" w:space="0"/>
                  </w:tcBorders>
                  <w:noWrap w:val="0"/>
                  <w:vAlign w:val="center"/>
                </w:tcPr>
                <w:p w14:paraId="23C59087">
                  <w:pPr>
                    <w:keepNext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295" w:type="dxa"/>
                  <w:tcBorders>
                    <w:top w:val="single" w:color="000000" w:sz="8" w:space="0"/>
                    <w:left w:val="single" w:color="000000" w:sz="8" w:space="0"/>
                    <w:bottom w:val="single" w:color="000000" w:sz="8" w:space="0"/>
                    <w:right w:val="single" w:color="000000" w:sz="8" w:space="0"/>
                  </w:tcBorders>
                  <w:noWrap w:val="0"/>
                  <w:vAlign w:val="top"/>
                </w:tcPr>
                <w:p w14:paraId="62819889">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拟安排的项目主要团队成员（主要技术人员）情况（项目负责人除外）</w:t>
                  </w:r>
                </w:p>
                <w:p w14:paraId="1841C848">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宋体" w:hAnsi="宋体" w:eastAsia="宋体" w:cs="宋体"/>
                      <w:sz w:val="24"/>
                      <w:szCs w:val="24"/>
                    </w:rPr>
                  </w:pPr>
                </w:p>
              </w:tc>
              <w:tc>
                <w:tcPr>
                  <w:tcW w:w="1030" w:type="dxa"/>
                  <w:tcBorders>
                    <w:top w:val="single" w:color="000000" w:sz="8" w:space="0"/>
                    <w:left w:val="single" w:color="000000" w:sz="8" w:space="0"/>
                    <w:bottom w:val="single" w:color="000000" w:sz="8" w:space="0"/>
                    <w:right w:val="single" w:color="000000" w:sz="8" w:space="0"/>
                  </w:tcBorders>
                  <w:noWrap w:val="0"/>
                  <w:vAlign w:val="top"/>
                </w:tcPr>
                <w:p w14:paraId="0D2BC13B">
                  <w:pPr>
                    <w:keepNext w:val="0"/>
                    <w:keepLines w:val="0"/>
                    <w:pageBreakBefore w:val="0"/>
                    <w:kinsoku/>
                    <w:wordWrap/>
                    <w:overflowPunct/>
                    <w:topLinePunct w:val="0"/>
                    <w:autoSpaceDE/>
                    <w:autoSpaceDN/>
                    <w:bidi w:val="0"/>
                    <w:adjustRightInd/>
                    <w:snapToGrid/>
                    <w:spacing w:after="160" w:line="460" w:lineRule="exact"/>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4</w:t>
                  </w:r>
                </w:p>
                <w:p w14:paraId="4D267A1C">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宋体" w:hAnsi="宋体" w:eastAsia="宋体" w:cs="宋体"/>
                      <w:sz w:val="24"/>
                      <w:szCs w:val="24"/>
                      <w:lang w:val="en-US" w:eastAsia="zh-CN"/>
                    </w:rPr>
                  </w:pPr>
                </w:p>
              </w:tc>
              <w:tc>
                <w:tcPr>
                  <w:tcW w:w="5396" w:type="dxa"/>
                  <w:tcBorders>
                    <w:top w:val="single" w:color="000000" w:sz="8" w:space="0"/>
                    <w:left w:val="single" w:color="000000" w:sz="8" w:space="0"/>
                    <w:bottom w:val="single" w:color="000000" w:sz="8" w:space="0"/>
                    <w:right w:val="single" w:color="000000" w:sz="8" w:space="0"/>
                  </w:tcBorders>
                  <w:noWrap w:val="0"/>
                  <w:vAlign w:val="top"/>
                </w:tcPr>
                <w:p w14:paraId="764CA2C5">
                  <w:pPr>
                    <w:keepNext w:val="0"/>
                    <w:keepLines w:val="0"/>
                    <w:pageBreakBefore w:val="0"/>
                    <w:kinsoku/>
                    <w:wordWrap/>
                    <w:overflowPunct/>
                    <w:topLinePunct w:val="0"/>
                    <w:autoSpaceDE/>
                    <w:autoSpaceDN/>
                    <w:bidi w:val="0"/>
                    <w:adjustRightInd/>
                    <w:snapToGrid/>
                    <w:spacing w:line="460" w:lineRule="exac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（一）评分内容：</w:t>
                  </w:r>
                </w:p>
                <w:p w14:paraId="044ED853">
                  <w:pPr>
                    <w:keepNext w:val="0"/>
                    <w:keepLines w:val="0"/>
                    <w:pageBreakBefore w:val="0"/>
                    <w:kinsoku/>
                    <w:wordWrap/>
                    <w:overflowPunct/>
                    <w:topLinePunct w:val="0"/>
                    <w:autoSpaceDE/>
                    <w:autoSpaceDN/>
                    <w:bidi w:val="0"/>
                    <w:adjustRightInd/>
                    <w:snapToGrid/>
                    <w:spacing w:line="460" w:lineRule="exac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要求拟安排的项目主要团队成员（主要技术人员）</w:t>
                  </w:r>
                  <w:r>
                    <w:rPr>
                      <w:rFonts w:hint="eastAsia" w:ascii="宋体" w:hAnsi="宋体" w:eastAsia="宋体" w:cs="宋体"/>
                      <w:b w:val="0"/>
                      <w:bCs w:val="0"/>
                      <w:color w:val="auto"/>
                      <w:sz w:val="24"/>
                      <w:szCs w:val="24"/>
                      <w:highlight w:val="none"/>
                      <w:lang w:eastAsia="zh-CN"/>
                    </w:rPr>
                    <w:t>为本单位正式员工，</w:t>
                  </w:r>
                  <w:r>
                    <w:rPr>
                      <w:rFonts w:hint="eastAsia" w:ascii="宋体" w:hAnsi="宋体" w:eastAsia="宋体" w:cs="宋体"/>
                      <w:color w:val="auto"/>
                      <w:kern w:val="0"/>
                      <w:sz w:val="24"/>
                      <w:szCs w:val="24"/>
                      <w:highlight w:val="none"/>
                      <w:lang w:val="en"/>
                    </w:rPr>
                    <w:t>不少于</w:t>
                  </w:r>
                  <w:r>
                    <w:rPr>
                      <w:rFonts w:hint="eastAsia" w:ascii="宋体" w:hAnsi="宋体" w:eastAsia="宋体" w:cs="宋体"/>
                      <w:color w:val="auto"/>
                      <w:kern w:val="0"/>
                      <w:sz w:val="24"/>
                      <w:szCs w:val="24"/>
                      <w:highlight w:val="none"/>
                      <w:lang w:val="en-US" w:eastAsia="zh-CN"/>
                    </w:rPr>
                    <w:t>16</w:t>
                  </w:r>
                  <w:r>
                    <w:rPr>
                      <w:rFonts w:hint="eastAsia" w:ascii="宋体" w:hAnsi="宋体" w:eastAsia="宋体" w:cs="宋体"/>
                      <w:color w:val="auto"/>
                      <w:kern w:val="0"/>
                      <w:sz w:val="24"/>
                      <w:szCs w:val="24"/>
                      <w:highlight w:val="none"/>
                    </w:rPr>
                    <w:t>人</w:t>
                  </w:r>
                  <w:r>
                    <w:rPr>
                      <w:rFonts w:hint="eastAsia" w:ascii="宋体" w:hAnsi="宋体" w:eastAsia="宋体" w:cs="宋体"/>
                      <w:color w:val="auto"/>
                      <w:kern w:val="0"/>
                      <w:sz w:val="24"/>
                      <w:szCs w:val="24"/>
                      <w:highlight w:val="none"/>
                      <w:lang w:eastAsia="zh-CN"/>
                    </w:rPr>
                    <w:t>且</w:t>
                  </w:r>
                  <w:r>
                    <w:rPr>
                      <w:rFonts w:hint="eastAsia" w:ascii="宋体" w:hAnsi="宋体" w:eastAsia="宋体" w:cs="宋体"/>
                      <w:color w:val="auto"/>
                      <w:kern w:val="0"/>
                      <w:sz w:val="24"/>
                      <w:highlight w:val="none"/>
                    </w:rPr>
                    <w:t>均具备桥梁工程专业或</w:t>
                  </w:r>
                  <w:r>
                    <w:rPr>
                      <w:rFonts w:hint="eastAsia" w:ascii="宋体" w:hAnsi="宋体" w:eastAsia="宋体" w:cs="宋体"/>
                      <w:color w:val="auto"/>
                      <w:kern w:val="0"/>
                      <w:sz w:val="24"/>
                      <w:highlight w:val="none"/>
                      <w:lang w:eastAsia="zh-CN"/>
                    </w:rPr>
                    <w:t>桥梁隧道</w:t>
                  </w:r>
                  <w:r>
                    <w:rPr>
                      <w:rFonts w:hint="eastAsia" w:ascii="宋体" w:hAnsi="宋体" w:eastAsia="宋体" w:cs="宋体"/>
                      <w:color w:val="auto"/>
                      <w:kern w:val="0"/>
                      <w:sz w:val="24"/>
                      <w:highlight w:val="none"/>
                    </w:rPr>
                    <w:t>工程专业的试验检测资格证书（试验检测资格证书指试验检测工程师、试验检测师、试验检测员、助理试验检测师）</w:t>
                  </w:r>
                  <w:r>
                    <w:rPr>
                      <w:rFonts w:hint="eastAsia" w:ascii="宋体" w:hAnsi="宋体" w:eastAsia="宋体" w:cs="宋体"/>
                      <w:color w:val="auto"/>
                      <w:kern w:val="0"/>
                      <w:sz w:val="24"/>
                      <w:highlight w:val="none"/>
                      <w:lang w:eastAsia="zh-CN"/>
                    </w:rPr>
                    <w:t>，</w:t>
                  </w:r>
                  <w:r>
                    <w:rPr>
                      <w:rFonts w:hint="eastAsia" w:ascii="宋体" w:hAnsi="宋体" w:eastAsia="宋体" w:cs="宋体"/>
                      <w:b w:val="0"/>
                      <w:bCs w:val="0"/>
                      <w:color w:val="auto"/>
                      <w:sz w:val="24"/>
                      <w:szCs w:val="24"/>
                      <w:highlight w:val="none"/>
                    </w:rPr>
                    <w:t>不满足此项本项不予计分。在此基础上，按以下要求进行打分：</w:t>
                  </w:r>
                </w:p>
                <w:p w14:paraId="551F058D">
                  <w:pPr>
                    <w:keepNext w:val="0"/>
                    <w:keepLines w:val="0"/>
                    <w:widowControl/>
                    <w:suppressLineNumbers w:val="0"/>
                    <w:autoSpaceDE/>
                    <w:autoSpaceDN/>
                    <w:spacing w:before="0" w:beforeAutospacing="0" w:after="0" w:afterAutospacing="0" w:line="460" w:lineRule="exact"/>
                    <w:ind w:left="0" w:right="0"/>
                    <w:jc w:val="left"/>
                    <w:rPr>
                      <w:rFonts w:hint="eastAsia" w:ascii="宋体" w:hAnsi="宋体" w:eastAsia="宋体" w:cs="宋体"/>
                      <w:b w:val="0"/>
                      <w:bCs w:val="0"/>
                      <w:color w:val="auto"/>
                      <w:kern w:val="2"/>
                      <w:sz w:val="24"/>
                      <w:szCs w:val="24"/>
                      <w:highlight w:val="none"/>
                      <w:lang w:val="en-US" w:eastAsia="zh-CN" w:bidi="ar"/>
                    </w:rPr>
                  </w:pPr>
                  <w:r>
                    <w:rPr>
                      <w:rFonts w:hint="eastAsia" w:ascii="宋体" w:hAnsi="宋体" w:eastAsia="宋体" w:cs="宋体"/>
                      <w:color w:val="auto"/>
                      <w:sz w:val="24"/>
                      <w:szCs w:val="24"/>
                      <w:highlight w:val="none"/>
                    </w:rPr>
                    <w:t>1.具有路桥工程类专业副高级</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lang w:eastAsia="zh-CN"/>
                    </w:rPr>
                    <w:t>以上）</w:t>
                  </w:r>
                  <w:r>
                    <w:rPr>
                      <w:rFonts w:hint="eastAsia" w:ascii="宋体" w:hAnsi="宋体" w:eastAsia="宋体" w:cs="宋体"/>
                      <w:color w:val="auto"/>
                      <w:sz w:val="24"/>
                      <w:szCs w:val="24"/>
                      <w:highlight w:val="none"/>
                    </w:rPr>
                    <w:t>职称的，每人得</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%分；具有路桥工程类专业中级职称的，每人得</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%分（以个人最高职称为准）；本小项最</w:t>
                  </w:r>
                  <w:r>
                    <w:rPr>
                      <w:rFonts w:hint="eastAsia" w:ascii="宋体" w:hAnsi="宋体" w:eastAsia="宋体" w:cs="宋体"/>
                      <w:color w:val="auto"/>
                      <w:sz w:val="24"/>
                      <w:szCs w:val="24"/>
                      <w:highlight w:val="none"/>
                      <w:lang w:eastAsia="zh-CN"/>
                    </w:rPr>
                    <w:t>高</w:t>
                  </w:r>
                  <w:r>
                    <w:rPr>
                      <w:rFonts w:hint="eastAsia" w:ascii="宋体" w:hAnsi="宋体" w:eastAsia="宋体" w:cs="宋体"/>
                      <w:color w:val="auto"/>
                      <w:sz w:val="24"/>
                      <w:szCs w:val="24"/>
                      <w:highlight w:val="none"/>
                    </w:rPr>
                    <w:t>得50%</w:t>
                  </w:r>
                  <w:r>
                    <w:rPr>
                      <w:rFonts w:hint="eastAsia" w:ascii="宋体" w:hAnsi="宋体" w:cs="宋体"/>
                      <w:color w:val="auto"/>
                      <w:sz w:val="24"/>
                      <w:szCs w:val="24"/>
                      <w:highlight w:val="none"/>
                      <w:lang w:val="en-US" w:eastAsia="zh-CN"/>
                    </w:rPr>
                    <w:t>分</w:t>
                  </w:r>
                  <w:r>
                    <w:rPr>
                      <w:rFonts w:hint="eastAsia" w:ascii="宋体" w:hAnsi="宋体" w:eastAsia="宋体" w:cs="宋体"/>
                      <w:color w:val="auto"/>
                      <w:sz w:val="24"/>
                      <w:szCs w:val="24"/>
                      <w:highlight w:val="none"/>
                    </w:rPr>
                    <w:t>；</w:t>
                  </w:r>
                </w:p>
                <w:p w14:paraId="3D3BF780">
                  <w:pPr>
                    <w:keepNext w:val="0"/>
                    <w:keepLines w:val="0"/>
                    <w:widowControl/>
                    <w:suppressLineNumbers w:val="0"/>
                    <w:autoSpaceDE/>
                    <w:autoSpaceDN/>
                    <w:spacing w:before="0" w:beforeAutospacing="0" w:after="0" w:afterAutospacing="0" w:line="460" w:lineRule="exact"/>
                    <w:ind w:left="0" w:right="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2"/>
                      <w:sz w:val="24"/>
                      <w:szCs w:val="24"/>
                      <w:highlight w:val="none"/>
                      <w:lang w:val="en-US" w:eastAsia="zh-CN" w:bidi="ar"/>
                    </w:rPr>
                    <w:t>2.具有桥涵外观检测项目经验，并提供桥涵清单：</w:t>
                  </w:r>
                  <w:r>
                    <w:rPr>
                      <w:rFonts w:hint="eastAsia" w:ascii="宋体" w:hAnsi="宋体" w:eastAsia="宋体" w:cs="宋体"/>
                      <w:color w:val="auto"/>
                      <w:kern w:val="2"/>
                      <w:sz w:val="24"/>
                      <w:szCs w:val="24"/>
                      <w:highlight w:val="none"/>
                      <w:lang w:val="en-US" w:eastAsia="zh-CN" w:bidi="ar"/>
                    </w:rPr>
                    <w:t>单个检测合同的桥涵外观检测数量≥600座且单个检测合同的桥涵承载力检测数量≥40座，</w:t>
                  </w:r>
                  <w:r>
                    <w:rPr>
                      <w:rFonts w:hint="eastAsia" w:ascii="宋体" w:hAnsi="宋体" w:eastAsia="宋体" w:cs="宋体"/>
                      <w:b w:val="0"/>
                      <w:bCs w:val="0"/>
                      <w:color w:val="auto"/>
                      <w:kern w:val="2"/>
                      <w:sz w:val="24"/>
                      <w:szCs w:val="24"/>
                      <w:highlight w:val="none"/>
                      <w:lang w:val="en-US" w:eastAsia="zh-CN" w:bidi="ar"/>
                    </w:rPr>
                    <w:t>每人得5%分；本小项最高得50%分。</w:t>
                  </w:r>
                </w:p>
                <w:p w14:paraId="0A12D56E">
                  <w:pPr>
                    <w:keepNext w:val="0"/>
                    <w:keepLines w:val="0"/>
                    <w:widowControl/>
                    <w:suppressLineNumbers w:val="0"/>
                    <w:autoSpaceDE/>
                    <w:autoSpaceDN/>
                    <w:spacing w:before="0" w:beforeAutospacing="0" w:after="0" w:afterAutospacing="0" w:line="460" w:lineRule="exact"/>
                    <w:ind w:left="0" w:right="0"/>
                    <w:jc w:val="left"/>
                    <w:rPr>
                      <w:rFonts w:hint="eastAsia" w:ascii="宋体" w:hAnsi="宋体" w:eastAsia="宋体" w:cs="宋体"/>
                      <w:b w:val="0"/>
                      <w:bCs w:val="0"/>
                      <w:color w:val="auto"/>
                      <w:sz w:val="24"/>
                      <w:szCs w:val="24"/>
                      <w:highlight w:val="none"/>
                    </w:rPr>
                  </w:pPr>
                  <w:r>
                    <w:rPr>
                      <w:rFonts w:hint="eastAsia" w:ascii="宋体" w:hAnsi="宋体" w:eastAsia="宋体" w:cs="宋体"/>
                      <w:color w:val="auto"/>
                      <w:kern w:val="2"/>
                      <w:sz w:val="24"/>
                      <w:szCs w:val="24"/>
                      <w:highlight w:val="none"/>
                      <w:lang w:val="en-US" w:eastAsia="zh-CN" w:bidi="ar"/>
                    </w:rPr>
                    <w:t>以上1-2项累计得分，最高得100％分。</w:t>
                  </w:r>
                </w:p>
                <w:p w14:paraId="16E649B5">
                  <w:pPr>
                    <w:keepNext w:val="0"/>
                    <w:keepLines w:val="0"/>
                    <w:pageBreakBefore w:val="0"/>
                    <w:kinsoku/>
                    <w:wordWrap/>
                    <w:overflowPunct/>
                    <w:topLinePunct w:val="0"/>
                    <w:autoSpaceDE/>
                    <w:autoSpaceDN/>
                    <w:bidi w:val="0"/>
                    <w:adjustRightInd/>
                    <w:snapToGrid/>
                    <w:spacing w:line="460" w:lineRule="exac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（二）评分依据：</w:t>
                  </w:r>
                </w:p>
                <w:p w14:paraId="5107F7EA">
                  <w:pPr>
                    <w:keepNext w:val="0"/>
                    <w:keepLines w:val="0"/>
                    <w:widowControl/>
                    <w:suppressLineNumbers w:val="0"/>
                    <w:autoSpaceDE/>
                    <w:autoSpaceDN/>
                    <w:spacing w:before="0" w:beforeAutospacing="0" w:after="0" w:afterAutospacing="0" w:line="460" w:lineRule="exact"/>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要求提供通过投标方缴纳的项目主要团队成员近一个月的社保证明（如供应商为新成立单位且成立时间不足一个月的，可提供加盖公章的情况说明或者证明材料亦视为符合。如为退休返聘人员则提供劳动合同或返聘协议扫描件）。社保证明资料可为社保收缴部门盖章证明资料、社保窗口打印资料或社保官网截图。</w:t>
                  </w:r>
                </w:p>
                <w:p w14:paraId="7C4EBC4B">
                  <w:pPr>
                    <w:spacing w:line="460" w:lineRule="exact"/>
                    <w:jc w:val="left"/>
                    <w:rPr>
                      <w:rFonts w:hint="eastAsia" w:ascii="宋体" w:hAnsi="宋体" w:cs="宋体"/>
                      <w:color w:val="auto"/>
                      <w:sz w:val="24"/>
                      <w:highlight w:val="none"/>
                    </w:rPr>
                  </w:pPr>
                  <w:r>
                    <w:rPr>
                      <w:rFonts w:hint="eastAsia" w:ascii="宋体" w:hAnsi="宋体" w:cs="宋体"/>
                      <w:color w:val="auto"/>
                      <w:sz w:val="24"/>
                      <w:highlight w:val="none"/>
                    </w:rPr>
                    <w:t>2.要求提供</w:t>
                  </w:r>
                  <w:r>
                    <w:rPr>
                      <w:rFonts w:hint="eastAsia" w:ascii="宋体" w:hAnsi="宋体" w:cs="宋体"/>
                      <w:color w:val="auto"/>
                      <w:sz w:val="24"/>
                      <w:highlight w:val="none"/>
                      <w:lang w:eastAsia="zh-CN"/>
                    </w:rPr>
                    <w:t>项目主要团队成员</w:t>
                  </w:r>
                  <w:r>
                    <w:rPr>
                      <w:rFonts w:hint="eastAsia" w:ascii="宋体" w:hAnsi="宋体" w:cs="宋体"/>
                      <w:color w:val="auto"/>
                      <w:sz w:val="24"/>
                      <w:highlight w:val="none"/>
                    </w:rPr>
                    <w:t>上述职称/资格证书、学历证书以及学信网查询记录。对于较早颁发的学历、学位证书，学信网无法查询的，除要求提供证书扫描件，还需提供其他佐证材料（如毕业院校、人社部门等颁发机构或监管机构等单位出具的证明），海外留学（含</w:t>
                  </w:r>
                  <w:r>
                    <w:rPr>
                      <w:rFonts w:hint="default" w:ascii="宋体" w:hAnsi="宋体" w:cs="宋体"/>
                      <w:color w:val="auto"/>
                      <w:sz w:val="24"/>
                      <w:highlight w:val="none"/>
                      <w:lang w:val="en"/>
                    </w:rPr>
                    <w:t>港澳台</w:t>
                  </w:r>
                  <w:r>
                    <w:rPr>
                      <w:rFonts w:hint="eastAsia" w:ascii="宋体" w:hAnsi="宋体" w:cs="宋体"/>
                      <w:color w:val="auto"/>
                      <w:sz w:val="24"/>
                      <w:highlight w:val="none"/>
                    </w:rPr>
                    <w:t>）人员学历无法通过学信网站查询，应当提供教育部留学服务中心出具的国外学历认证证书以及教育部留学服务中心官网查询截图。</w:t>
                  </w:r>
                </w:p>
                <w:p w14:paraId="6A4C2A4E">
                  <w:pPr>
                    <w:spacing w:line="460" w:lineRule="exact"/>
                    <w:rPr>
                      <w:rFonts w:hint="default" w:ascii="宋体" w:hAnsi="宋体" w:eastAsia="宋体" w:cs="宋体"/>
                      <w:sz w:val="24"/>
                      <w:lang w:val="en-US" w:eastAsia="zh-CN"/>
                    </w:rPr>
                  </w:pPr>
                  <w:r>
                    <w:rPr>
                      <w:rFonts w:hint="eastAsia" w:ascii="宋体" w:hAnsi="宋体" w:eastAsia="宋体" w:cs="宋体"/>
                      <w:sz w:val="24"/>
                      <w:lang w:val="en-US" w:eastAsia="zh-CN"/>
                    </w:rPr>
                    <w:t>3.涉及职称及证书的要求同时提供①有效证书；②官方网站查询截图【公路水运工程试验检测专业技术人员管理系统（https://syjc.jtzyzg.org.cn/SYJC/LEAP/syjc/html/index.html）进行查询并提供截图，或公路水运工程检测管理系统 （https://www.ttiis.cn/）进行查询并提供截图，或人力资源和社会保障部发布的查询渠道（网址：https://www.mohrss.gov.cn/SYrlzyhshbzb/ztzl/zyzghzyjndjrdcx/）所对应证书的平台或系统进行查询并提供截图，或全国职称评审信息查询平台（https://www.12333.gov.cn/cas/login?service=https://www.12333.gov.cn/shiro-cas）进行查询并提供截图】。若证书数据不能在上述系统中查询，则须提供相应证书颁发机构出具的加盖公章的书面说明，经评审委员会判定认可方为有效，否则视为无效证书。如因国家政策调整导致查询渠道变更，以最新有效的官方公告渠道为准。</w:t>
                  </w:r>
                </w:p>
                <w:p w14:paraId="6FAED387">
                  <w:pPr>
                    <w:keepNext w:val="0"/>
                    <w:keepLines w:val="0"/>
                    <w:widowControl w:val="0"/>
                    <w:suppressLineNumbers w:val="0"/>
                    <w:snapToGrid/>
                    <w:spacing w:before="0" w:beforeAutospacing="0" w:after="0" w:afterAutospacing="0" w:line="460" w:lineRule="exact"/>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kern w:val="2"/>
                      <w:sz w:val="24"/>
                      <w:szCs w:val="24"/>
                      <w:highlight w:val="none"/>
                      <w:lang w:val="en-US" w:eastAsia="zh-CN" w:bidi="ar"/>
                    </w:rPr>
                    <w:t>.桥涵外观检测项目为桥涵的定期检测或桥涵交竣工检测，不包括日常巡查或经常性检查或监控监测；桥涵承载力检测项目为桥涵静动载试验或桥涵检算或桥涵结构定期检测，不包括砼结构定期检测和钢结构定期检测等材料检测。上述项目经验需为已完成业绩，要求同时提供合同关键信息和项目履约（验收）评价证明文件作为得分依据，项目履约（验收）评价证明文件需加盖合同甲方公章或甲方业务章。</w:t>
                  </w:r>
                </w:p>
                <w:p w14:paraId="436A94DF">
                  <w:pPr>
                    <w:keepNext w:val="0"/>
                    <w:keepLines w:val="0"/>
                    <w:widowControl/>
                    <w:suppressLineNumbers w:val="0"/>
                    <w:snapToGrid/>
                    <w:spacing w:before="0" w:beforeAutospacing="0" w:after="0" w:afterAutospacing="0" w:line="460" w:lineRule="exact"/>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5.合同需附关键信息（内容至少包括合同首页、建设内容页、金额页、签字盖章页、桥涵座数），如合同无法体现关键信息，可提供项目履约（验收）评价证明文件等作为补充。</w:t>
                  </w:r>
                </w:p>
                <w:p w14:paraId="39580945">
                  <w:pPr>
                    <w:keepNext w:val="0"/>
                    <w:keepLines w:val="0"/>
                    <w:widowControl/>
                    <w:suppressLineNumbers w:val="0"/>
                    <w:snapToGrid/>
                    <w:spacing w:before="0" w:beforeAutospacing="0" w:after="0" w:afterAutospacing="0" w:line="460" w:lineRule="exact"/>
                    <w:ind w:left="0" w:right="0"/>
                    <w:jc w:val="left"/>
                    <w:rPr>
                      <w:rFonts w:hint="default"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6.如果一个合同同时包含外观检测和承载力检测，可以分别计入。</w:t>
                  </w:r>
                </w:p>
                <w:p w14:paraId="0AD8A3AD">
                  <w:pPr>
                    <w:keepNext w:val="0"/>
                    <w:keepLines w:val="0"/>
                    <w:widowControl/>
                    <w:suppressLineNumbers w:val="0"/>
                    <w:snapToGrid/>
                    <w:spacing w:before="0" w:beforeAutospacing="0" w:after="0" w:afterAutospacing="0" w:line="460" w:lineRule="exact"/>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7.上述项目开展时间必须在2022年1月1日起至投标截止日期止，以合同签订日期为准。</w:t>
                  </w:r>
                </w:p>
                <w:p w14:paraId="06900DF9">
                  <w:pPr>
                    <w:spacing w:line="460" w:lineRule="exact"/>
                    <w:rPr>
                      <w:rFonts w:hint="eastAsia" w:ascii="宋体" w:hAnsi="宋体" w:eastAsia="宋体" w:cs="宋体"/>
                      <w:sz w:val="24"/>
                      <w:szCs w:val="24"/>
                    </w:rPr>
                  </w:pPr>
                  <w:r>
                    <w:rPr>
                      <w:rFonts w:hint="eastAsia" w:ascii="宋体" w:hAnsi="宋体" w:eastAsia="宋体" w:cs="宋体"/>
                      <w:color w:val="auto"/>
                      <w:kern w:val="2"/>
                      <w:sz w:val="24"/>
                      <w:szCs w:val="24"/>
                      <w:highlight w:val="none"/>
                      <w:lang w:val="en-US" w:eastAsia="zh-CN" w:bidi="ar"/>
                    </w:rPr>
                    <w:t>8.</w:t>
                  </w:r>
                  <w:r>
                    <w:rPr>
                      <w:rFonts w:hint="eastAsia" w:ascii="宋体" w:hAnsi="宋体" w:eastAsia="宋体" w:cs="宋体"/>
                      <w:sz w:val="24"/>
                    </w:rPr>
                    <w:t>要求提供相关证明资料作为得分依据。</w:t>
                  </w:r>
                  <w:r>
                    <w:rPr>
                      <w:rFonts w:hint="eastAsia" w:ascii="宋体" w:hAnsi="宋体" w:eastAsia="宋体" w:cs="宋体"/>
                      <w:color w:val="auto"/>
                      <w:kern w:val="2"/>
                      <w:sz w:val="24"/>
                      <w:szCs w:val="24"/>
                      <w:highlight w:val="none"/>
                      <w:lang w:val="en-US" w:eastAsia="zh-CN" w:bidi="ar"/>
                    </w:rPr>
                    <w:t>以上资料均要求提供扫描件，原件备查。评分中出现无证明资料或专家无法凭所提供资料判断是否得分的情况，一律作不得分处理。</w:t>
                  </w:r>
                </w:p>
              </w:tc>
            </w:tr>
            <w:tr w14:paraId="366C98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76" w:type="dxa"/>
                  <w:vMerge w:val="continue"/>
                  <w:tcBorders>
                    <w:top w:val="single" w:color="000000" w:sz="8" w:space="0"/>
                    <w:left w:val="single" w:color="000000" w:sz="8" w:space="0"/>
                    <w:bottom w:val="single" w:color="000000" w:sz="8" w:space="0"/>
                    <w:right w:val="single" w:color="000000" w:sz="8" w:space="0"/>
                  </w:tcBorders>
                  <w:noWrap w:val="0"/>
                  <w:vAlign w:val="center"/>
                </w:tcPr>
                <w:p w14:paraId="324006CA">
                  <w:pPr>
                    <w:keepNext w:val="0"/>
                    <w:pageBreakBefore w:val="0"/>
                    <w:widowControl/>
                    <w:kinsoku/>
                    <w:wordWrap/>
                    <w:overflowPunct/>
                    <w:topLinePunct w:val="0"/>
                    <w:autoSpaceDE/>
                    <w:autoSpaceDN/>
                    <w:bidi w:val="0"/>
                    <w:adjustRightInd/>
                    <w:snapToGrid/>
                    <w:textAlignment w:val="auto"/>
                    <w:rPr>
                      <w:rFonts w:hint="eastAsia" w:ascii="宋体" w:hAnsi="宋体" w:eastAsia="宋体" w:cs="宋体"/>
                      <w:b/>
                      <w:bCs/>
                      <w:sz w:val="24"/>
                      <w:szCs w:val="24"/>
                    </w:rPr>
                  </w:pPr>
                </w:p>
              </w:tc>
              <w:tc>
                <w:tcPr>
                  <w:tcW w:w="675" w:type="dxa"/>
                  <w:tcBorders>
                    <w:top w:val="single" w:color="000000" w:sz="8" w:space="0"/>
                    <w:left w:val="single" w:color="000000" w:sz="8" w:space="0"/>
                    <w:bottom w:val="single" w:color="000000" w:sz="8" w:space="0"/>
                    <w:right w:val="single" w:color="000000" w:sz="8" w:space="0"/>
                  </w:tcBorders>
                  <w:noWrap w:val="0"/>
                  <w:vAlign w:val="center"/>
                </w:tcPr>
                <w:p w14:paraId="662FE2F8">
                  <w:pPr>
                    <w:keepNext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1295" w:type="dxa"/>
                  <w:tcBorders>
                    <w:top w:val="single" w:color="000000" w:sz="8" w:space="0"/>
                    <w:left w:val="single" w:color="000000" w:sz="8" w:space="0"/>
                    <w:bottom w:val="single" w:color="000000" w:sz="8" w:space="0"/>
                    <w:right w:val="single" w:color="000000" w:sz="8" w:space="0"/>
                  </w:tcBorders>
                  <w:noWrap w:val="0"/>
                  <w:vAlign w:val="top"/>
                </w:tcPr>
                <w:p w14:paraId="23275A65">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t>投标</w:t>
                  </w:r>
                  <w:r>
                    <w:rPr>
                      <w:rFonts w:hint="eastAsia" w:ascii="宋体" w:hAnsi="宋体" w:eastAsia="宋体" w:cs="宋体"/>
                      <w:color w:val="auto"/>
                      <w:sz w:val="24"/>
                      <w:szCs w:val="24"/>
                      <w:highlight w:val="none"/>
                      <w:lang w:val="en-US" w:eastAsia="zh-CN"/>
                    </w:rPr>
                    <w:t>人</w:t>
                  </w:r>
                  <w:r>
                    <w:rPr>
                      <w:rFonts w:hint="eastAsia" w:ascii="宋体" w:hAnsi="宋体" w:eastAsia="宋体" w:cs="宋体"/>
                      <w:color w:val="auto"/>
                      <w:sz w:val="24"/>
                      <w:szCs w:val="24"/>
                      <w:highlight w:val="none"/>
                    </w:rPr>
                    <w:t>自主知识产权产品（创新、设计）情况</w:t>
                  </w:r>
                </w:p>
              </w:tc>
              <w:tc>
                <w:tcPr>
                  <w:tcW w:w="1030" w:type="dxa"/>
                  <w:tcBorders>
                    <w:top w:val="single" w:color="000000" w:sz="8" w:space="0"/>
                    <w:left w:val="single" w:color="000000" w:sz="8" w:space="0"/>
                    <w:bottom w:val="single" w:color="000000" w:sz="8" w:space="0"/>
                    <w:right w:val="single" w:color="000000" w:sz="8" w:space="0"/>
                  </w:tcBorders>
                  <w:noWrap w:val="0"/>
                  <w:vAlign w:val="top"/>
                </w:tcPr>
                <w:p w14:paraId="3CFDEAB9">
                  <w:pPr>
                    <w:keepNext w:val="0"/>
                    <w:keepLines w:val="0"/>
                    <w:pageBreakBefore w:val="0"/>
                    <w:kinsoku/>
                    <w:wordWrap/>
                    <w:overflowPunct/>
                    <w:topLinePunct w:val="0"/>
                    <w:autoSpaceDE/>
                    <w:autoSpaceDN/>
                    <w:bidi w:val="0"/>
                    <w:adjustRightInd/>
                    <w:snapToGrid/>
                    <w:spacing w:line="460" w:lineRule="exact"/>
                    <w:ind w:firstLine="240" w:firstLineChars="100"/>
                    <w:textAlignment w:val="auto"/>
                    <w:rPr>
                      <w:rFonts w:hint="eastAsia" w:ascii="宋体" w:hAnsi="宋体" w:eastAsia="宋体" w:cs="宋体"/>
                      <w:sz w:val="24"/>
                      <w:szCs w:val="24"/>
                      <w:lang w:val="en-US" w:eastAsia="zh-CN"/>
                    </w:rPr>
                  </w:pPr>
                  <w:r>
                    <w:rPr>
                      <w:rFonts w:hint="eastAsia" w:ascii="宋体" w:hAnsi="宋体" w:eastAsia="宋体" w:cs="宋体"/>
                      <w:color w:val="auto"/>
                      <w:sz w:val="24"/>
                      <w:szCs w:val="24"/>
                      <w:highlight w:val="none"/>
                      <w:lang w:val="en-US" w:eastAsia="zh-CN"/>
                    </w:rPr>
                    <w:t>5</w:t>
                  </w:r>
                </w:p>
              </w:tc>
              <w:tc>
                <w:tcPr>
                  <w:tcW w:w="5396" w:type="dxa"/>
                  <w:tcBorders>
                    <w:top w:val="single" w:color="000000" w:sz="8" w:space="0"/>
                    <w:left w:val="single" w:color="000000" w:sz="8" w:space="0"/>
                    <w:bottom w:val="single" w:color="000000" w:sz="8" w:space="0"/>
                    <w:right w:val="single" w:color="000000" w:sz="8" w:space="0"/>
                  </w:tcBorders>
                  <w:noWrap w:val="0"/>
                  <w:vAlign w:val="top"/>
                </w:tcPr>
                <w:p w14:paraId="000DCBAB">
                  <w:pPr>
                    <w:keepNext w:val="0"/>
                    <w:keepLines w:val="0"/>
                    <w:pageBreakBefore w:val="0"/>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（一）评分内容：</w:t>
                  </w:r>
                </w:p>
                <w:p w14:paraId="4D7988E1">
                  <w:pPr>
                    <w:keepNext w:val="0"/>
                    <w:keepLines w:val="0"/>
                    <w:pageBreakBefore w:val="0"/>
                    <w:kinsoku/>
                    <w:wordWrap/>
                    <w:overflowPunct/>
                    <w:topLinePunct w:val="0"/>
                    <w:autoSpaceDE/>
                    <w:autoSpaceDN/>
                    <w:bidi w:val="0"/>
                    <w:adjustRightInd/>
                    <w:snapToGrid/>
                    <w:spacing w:line="460" w:lineRule="exac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1.投标人</w:t>
                  </w:r>
                  <w:r>
                    <w:rPr>
                      <w:rFonts w:hint="eastAsia" w:ascii="宋体" w:hAnsi="宋体" w:eastAsia="宋体" w:cs="宋体"/>
                      <w:b w:val="0"/>
                      <w:bCs w:val="0"/>
                      <w:color w:val="auto"/>
                      <w:sz w:val="24"/>
                      <w:szCs w:val="24"/>
                      <w:highlight w:val="none"/>
                      <w:lang w:val="en-US" w:eastAsia="zh-CN"/>
                    </w:rPr>
                    <w:t>提供</w:t>
                  </w:r>
                  <w:r>
                    <w:rPr>
                      <w:rFonts w:hint="eastAsia" w:ascii="宋体" w:hAnsi="宋体" w:eastAsia="宋体" w:cs="宋体"/>
                      <w:b w:val="0"/>
                      <w:bCs w:val="0"/>
                      <w:color w:val="auto"/>
                      <w:sz w:val="24"/>
                      <w:szCs w:val="24"/>
                      <w:highlight w:val="none"/>
                    </w:rPr>
                    <w:t>参与编制过</w:t>
                  </w:r>
                  <w:r>
                    <w:rPr>
                      <w:rFonts w:hint="eastAsia" w:ascii="宋体" w:hAnsi="宋体" w:eastAsia="宋体" w:cs="宋体"/>
                      <w:b w:val="0"/>
                      <w:bCs w:val="0"/>
                      <w:color w:val="auto"/>
                      <w:sz w:val="24"/>
                      <w:szCs w:val="24"/>
                      <w:highlight w:val="none"/>
                      <w:lang w:eastAsia="zh-CN"/>
                    </w:rPr>
                    <w:t>地级市及以上交通</w:t>
                  </w:r>
                  <w:r>
                    <w:rPr>
                      <w:rFonts w:hint="eastAsia" w:ascii="宋体" w:hAnsi="宋体" w:eastAsia="宋体" w:cs="宋体"/>
                      <w:b w:val="0"/>
                      <w:bCs w:val="0"/>
                      <w:color w:val="auto"/>
                      <w:sz w:val="24"/>
                      <w:szCs w:val="24"/>
                      <w:highlight w:val="none"/>
                      <w:lang w:val="en-US" w:eastAsia="zh-CN"/>
                    </w:rPr>
                    <w:t>主管</w:t>
                  </w:r>
                  <w:r>
                    <w:rPr>
                      <w:rFonts w:hint="eastAsia" w:ascii="宋体" w:hAnsi="宋体" w:eastAsia="宋体" w:cs="宋体"/>
                      <w:b w:val="0"/>
                      <w:bCs w:val="0"/>
                      <w:color w:val="auto"/>
                      <w:sz w:val="24"/>
                      <w:szCs w:val="24"/>
                      <w:highlight w:val="none"/>
                    </w:rPr>
                    <w:t>部门</w:t>
                  </w:r>
                  <w:r>
                    <w:rPr>
                      <w:rFonts w:hint="eastAsia" w:ascii="宋体" w:hAnsi="宋体" w:eastAsia="宋体" w:cs="宋体"/>
                      <w:b w:val="0"/>
                      <w:bCs w:val="0"/>
                      <w:color w:val="auto"/>
                      <w:sz w:val="24"/>
                      <w:szCs w:val="24"/>
                      <w:highlight w:val="none"/>
                      <w:lang w:val="en-US" w:eastAsia="zh-CN"/>
                    </w:rPr>
                    <w:t>或行业协会（学会）</w:t>
                  </w:r>
                  <w:r>
                    <w:rPr>
                      <w:rFonts w:hint="eastAsia" w:ascii="宋体" w:hAnsi="宋体" w:eastAsia="宋体" w:cs="宋体"/>
                      <w:b w:val="0"/>
                      <w:bCs w:val="0"/>
                      <w:color w:val="auto"/>
                      <w:sz w:val="24"/>
                      <w:szCs w:val="24"/>
                      <w:highlight w:val="none"/>
                    </w:rPr>
                    <w:t>颁发的</w:t>
                  </w:r>
                  <w:r>
                    <w:rPr>
                      <w:rFonts w:hint="eastAsia" w:ascii="宋体" w:hAnsi="宋体" w:eastAsia="宋体" w:cs="宋体"/>
                      <w:b w:val="0"/>
                      <w:bCs w:val="0"/>
                      <w:color w:val="auto"/>
                      <w:sz w:val="24"/>
                      <w:szCs w:val="24"/>
                      <w:highlight w:val="none"/>
                      <w:lang w:eastAsia="zh-CN"/>
                    </w:rPr>
                    <w:t>公路或市政道路</w:t>
                  </w:r>
                  <w:r>
                    <w:rPr>
                      <w:rFonts w:hint="eastAsia" w:ascii="宋体" w:hAnsi="宋体" w:eastAsia="宋体" w:cs="宋体"/>
                      <w:b w:val="0"/>
                      <w:bCs w:val="0"/>
                      <w:color w:val="auto"/>
                      <w:sz w:val="24"/>
                      <w:szCs w:val="24"/>
                      <w:highlight w:val="none"/>
                    </w:rPr>
                    <w:t>相关技术规范</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规程</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标准</w:t>
                  </w:r>
                  <w:r>
                    <w:rPr>
                      <w:rFonts w:hint="eastAsia" w:ascii="宋体" w:hAnsi="宋体" w:eastAsia="宋体" w:cs="宋体"/>
                      <w:b w:val="0"/>
                      <w:bCs w:val="0"/>
                      <w:color w:val="auto"/>
                      <w:sz w:val="24"/>
                      <w:szCs w:val="24"/>
                      <w:highlight w:val="none"/>
                    </w:rPr>
                    <w:t>的，得60％分，其他情况不得分。</w:t>
                  </w:r>
                </w:p>
                <w:p w14:paraId="08C7D741">
                  <w:pPr>
                    <w:keepNext w:val="0"/>
                    <w:keepLines w:val="0"/>
                    <w:pageBreakBefore w:val="0"/>
                    <w:kinsoku/>
                    <w:wordWrap/>
                    <w:overflowPunct/>
                    <w:topLinePunct w:val="0"/>
                    <w:autoSpaceDE/>
                    <w:autoSpaceDN/>
                    <w:bidi w:val="0"/>
                    <w:adjustRightInd/>
                    <w:snapToGrid/>
                    <w:spacing w:line="460" w:lineRule="exac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2.投标人</w:t>
                  </w:r>
                  <w:r>
                    <w:rPr>
                      <w:rFonts w:hint="eastAsia" w:ascii="宋体" w:hAnsi="宋体" w:eastAsia="宋体" w:cs="宋体"/>
                      <w:b w:val="0"/>
                      <w:bCs w:val="0"/>
                      <w:color w:val="auto"/>
                      <w:sz w:val="24"/>
                      <w:szCs w:val="24"/>
                      <w:highlight w:val="none"/>
                      <w:lang w:val="en-US" w:eastAsia="zh-CN"/>
                    </w:rPr>
                    <w:t>提供</w:t>
                  </w:r>
                  <w:r>
                    <w:rPr>
                      <w:rFonts w:hint="eastAsia" w:ascii="宋体" w:hAnsi="宋体" w:eastAsia="宋体" w:cs="宋体"/>
                      <w:b w:val="0"/>
                      <w:bCs w:val="0"/>
                      <w:color w:val="auto"/>
                      <w:sz w:val="24"/>
                      <w:szCs w:val="24"/>
                      <w:highlight w:val="none"/>
                    </w:rPr>
                    <w:t>获得</w:t>
                  </w:r>
                  <w:r>
                    <w:rPr>
                      <w:rFonts w:hint="eastAsia" w:ascii="宋体" w:hAnsi="宋体" w:eastAsia="宋体" w:cs="宋体"/>
                      <w:b w:val="0"/>
                      <w:bCs w:val="0"/>
                      <w:color w:val="auto"/>
                      <w:sz w:val="24"/>
                      <w:szCs w:val="24"/>
                      <w:highlight w:val="none"/>
                      <w:lang w:eastAsia="zh-CN"/>
                    </w:rPr>
                    <w:t>公路或市政道路</w:t>
                  </w:r>
                  <w:r>
                    <w:rPr>
                      <w:rFonts w:hint="eastAsia" w:ascii="宋体" w:hAnsi="宋体" w:eastAsia="宋体" w:cs="宋体"/>
                      <w:b w:val="0"/>
                      <w:bCs w:val="0"/>
                      <w:color w:val="auto"/>
                      <w:sz w:val="24"/>
                      <w:szCs w:val="24"/>
                      <w:highlight w:val="none"/>
                    </w:rPr>
                    <w:t>相关的专利证书</w:t>
                  </w:r>
                  <w:r>
                    <w:rPr>
                      <w:rFonts w:hint="eastAsia" w:ascii="宋体" w:hAnsi="宋体" w:eastAsia="宋体" w:cs="宋体"/>
                      <w:b w:val="0"/>
                      <w:bCs w:val="0"/>
                      <w:color w:val="auto"/>
                      <w:sz w:val="24"/>
                      <w:szCs w:val="24"/>
                      <w:highlight w:val="none"/>
                      <w:lang w:eastAsia="zh-CN"/>
                    </w:rPr>
                    <w:t>（发明专利或实用新型专利）</w:t>
                  </w:r>
                  <w:r>
                    <w:rPr>
                      <w:rFonts w:hint="eastAsia" w:ascii="宋体" w:hAnsi="宋体" w:eastAsia="宋体" w:cs="宋体"/>
                      <w:b w:val="0"/>
                      <w:bCs w:val="0"/>
                      <w:color w:val="auto"/>
                      <w:sz w:val="24"/>
                      <w:szCs w:val="24"/>
                      <w:highlight w:val="none"/>
                    </w:rPr>
                    <w:t>或软件著作权证书的，每提供1个证书得20％分，最高得40％分；</w:t>
                  </w:r>
                </w:p>
                <w:p w14:paraId="51041235">
                  <w:pPr>
                    <w:keepNext w:val="0"/>
                    <w:keepLines w:val="0"/>
                    <w:pageBreakBefore w:val="0"/>
                    <w:kinsoku/>
                    <w:wordWrap/>
                    <w:overflowPunct/>
                    <w:topLinePunct w:val="0"/>
                    <w:autoSpaceDE/>
                    <w:autoSpaceDN/>
                    <w:bidi w:val="0"/>
                    <w:adjustRightInd/>
                    <w:snapToGrid/>
                    <w:spacing w:line="460" w:lineRule="exac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以上1</w:t>
                  </w:r>
                  <w:r>
                    <w:rPr>
                      <w:rFonts w:hint="eastAsia" w:ascii="宋体" w:hAnsi="宋体" w:eastAsia="宋体" w:cs="宋体"/>
                      <w:b w:val="0"/>
                      <w:bCs w:val="0"/>
                      <w:color w:val="auto"/>
                      <w:sz w:val="24"/>
                      <w:szCs w:val="24"/>
                      <w:highlight w:val="none"/>
                      <w:lang w:val="en-US" w:eastAsia="zh-CN"/>
                    </w:rPr>
                    <w:t>-</w:t>
                  </w:r>
                  <w:r>
                    <w:rPr>
                      <w:rFonts w:hint="eastAsia" w:ascii="宋体" w:hAnsi="宋体" w:eastAsia="宋体" w:cs="宋体"/>
                      <w:b w:val="0"/>
                      <w:bCs w:val="0"/>
                      <w:color w:val="auto"/>
                      <w:sz w:val="24"/>
                      <w:szCs w:val="24"/>
                      <w:highlight w:val="none"/>
                    </w:rPr>
                    <w:t>2项累计得分，</w:t>
                  </w:r>
                  <w:r>
                    <w:rPr>
                      <w:rFonts w:hint="eastAsia" w:ascii="宋体" w:hAnsi="宋体" w:eastAsia="宋体" w:cs="宋体"/>
                      <w:b w:val="0"/>
                      <w:bCs w:val="0"/>
                      <w:color w:val="auto"/>
                      <w:sz w:val="24"/>
                      <w:szCs w:val="24"/>
                      <w:highlight w:val="none"/>
                      <w:lang w:eastAsia="zh-CN"/>
                    </w:rPr>
                    <w:t>最高得</w:t>
                  </w:r>
                  <w:r>
                    <w:rPr>
                      <w:rFonts w:hint="eastAsia" w:ascii="宋体" w:hAnsi="宋体" w:eastAsia="宋体" w:cs="宋体"/>
                      <w:b w:val="0"/>
                      <w:bCs w:val="0"/>
                      <w:color w:val="auto"/>
                      <w:sz w:val="24"/>
                      <w:szCs w:val="24"/>
                      <w:highlight w:val="none"/>
                    </w:rPr>
                    <w:t>100％分。</w:t>
                  </w:r>
                </w:p>
                <w:p w14:paraId="79FC81D1">
                  <w:pPr>
                    <w:keepNext w:val="0"/>
                    <w:keepLines w:val="0"/>
                    <w:pageBreakBefore w:val="0"/>
                    <w:kinsoku/>
                    <w:wordWrap/>
                    <w:overflowPunct/>
                    <w:topLinePunct w:val="0"/>
                    <w:autoSpaceDE/>
                    <w:autoSpaceDN/>
                    <w:bidi w:val="0"/>
                    <w:adjustRightInd/>
                    <w:snapToGrid/>
                    <w:spacing w:line="460" w:lineRule="exac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（二）评分依据:</w:t>
                  </w:r>
                </w:p>
                <w:p w14:paraId="2EC10095">
                  <w:pPr>
                    <w:keepNext w:val="0"/>
                    <w:keepLines w:val="0"/>
                    <w:pageBreakBefore w:val="0"/>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1.要求提供有效的技术规范、规程、标准关键页、</w:t>
                  </w:r>
                  <w:r>
                    <w:rPr>
                      <w:rFonts w:hint="eastAsia" w:ascii="宋体" w:hAnsi="宋体" w:eastAsia="宋体" w:cs="宋体"/>
                      <w:color w:val="auto"/>
                      <w:sz w:val="24"/>
                      <w:szCs w:val="24"/>
                      <w:highlight w:val="none"/>
                      <w:lang w:eastAsia="zh-CN"/>
                    </w:rPr>
                    <w:t>专利证书、软件著作权证书</w:t>
                  </w:r>
                  <w:r>
                    <w:rPr>
                      <w:rFonts w:hint="eastAsia" w:ascii="宋体" w:hAnsi="宋体" w:eastAsia="宋体" w:cs="宋体"/>
                      <w:color w:val="auto"/>
                      <w:sz w:val="24"/>
                      <w:szCs w:val="24"/>
                      <w:highlight w:val="none"/>
                    </w:rPr>
                    <w:t>等证明材料作为得分依据。</w:t>
                  </w:r>
                </w:p>
                <w:p w14:paraId="277332F7">
                  <w:pPr>
                    <w:keepNext w:val="0"/>
                    <w:keepLines w:val="0"/>
                    <w:pageBreakBefore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.以上资料均要求提供扫描件（或官方网站截图），原件备查。评分中出现无证明资料或专家无法凭所提供资料判断是否得分的情况，一律作不得分处理。</w:t>
                  </w:r>
                </w:p>
              </w:tc>
            </w:tr>
            <w:tr w14:paraId="38409CA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76" w:type="dxa"/>
                  <w:vMerge w:val="continue"/>
                  <w:tcBorders>
                    <w:top w:val="single" w:color="000000" w:sz="8" w:space="0"/>
                    <w:left w:val="single" w:color="000000" w:sz="8" w:space="0"/>
                    <w:bottom w:val="single" w:color="000000" w:sz="8" w:space="0"/>
                    <w:right w:val="single" w:color="000000" w:sz="8" w:space="0"/>
                  </w:tcBorders>
                  <w:noWrap w:val="0"/>
                  <w:vAlign w:val="center"/>
                </w:tcPr>
                <w:p w14:paraId="5B126FE2">
                  <w:pPr>
                    <w:keepNext w:val="0"/>
                    <w:pageBreakBefore w:val="0"/>
                    <w:widowControl/>
                    <w:kinsoku/>
                    <w:wordWrap/>
                    <w:overflowPunct/>
                    <w:topLinePunct w:val="0"/>
                    <w:autoSpaceDE/>
                    <w:autoSpaceDN/>
                    <w:bidi w:val="0"/>
                    <w:adjustRightInd/>
                    <w:snapToGrid/>
                    <w:textAlignment w:val="auto"/>
                    <w:rPr>
                      <w:rFonts w:hint="eastAsia" w:ascii="宋体" w:hAnsi="宋体" w:eastAsia="宋体" w:cs="宋体"/>
                      <w:b/>
                      <w:bCs/>
                      <w:sz w:val="24"/>
                      <w:szCs w:val="24"/>
                    </w:rPr>
                  </w:pPr>
                </w:p>
              </w:tc>
              <w:tc>
                <w:tcPr>
                  <w:tcW w:w="675" w:type="dxa"/>
                  <w:tcBorders>
                    <w:top w:val="single" w:color="000000" w:sz="8" w:space="0"/>
                    <w:left w:val="single" w:color="000000" w:sz="8" w:space="0"/>
                    <w:bottom w:val="single" w:color="000000" w:sz="8" w:space="0"/>
                    <w:right w:val="single" w:color="000000" w:sz="8" w:space="0"/>
                  </w:tcBorders>
                  <w:noWrap w:val="0"/>
                  <w:vAlign w:val="center"/>
                </w:tcPr>
                <w:p w14:paraId="6AA49C70">
                  <w:pPr>
                    <w:keepNext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1295" w:type="dxa"/>
                  <w:tcBorders>
                    <w:top w:val="single" w:color="000000" w:sz="8" w:space="0"/>
                    <w:left w:val="single" w:color="000000" w:sz="8" w:space="0"/>
                    <w:bottom w:val="single" w:color="000000" w:sz="8" w:space="0"/>
                    <w:right w:val="single" w:color="000000" w:sz="8" w:space="0"/>
                  </w:tcBorders>
                  <w:noWrap w:val="0"/>
                  <w:vAlign w:val="top"/>
                </w:tcPr>
                <w:p w14:paraId="0A149842">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t>项目拟使用的场地、工具、机器等情况</w:t>
                  </w:r>
                </w:p>
              </w:tc>
              <w:tc>
                <w:tcPr>
                  <w:tcW w:w="1030" w:type="dxa"/>
                  <w:tcBorders>
                    <w:top w:val="single" w:color="000000" w:sz="8" w:space="0"/>
                    <w:left w:val="single" w:color="000000" w:sz="8" w:space="0"/>
                    <w:bottom w:val="single" w:color="000000" w:sz="8" w:space="0"/>
                    <w:right w:val="single" w:color="000000" w:sz="8" w:space="0"/>
                  </w:tcBorders>
                  <w:noWrap w:val="0"/>
                  <w:vAlign w:val="top"/>
                </w:tcPr>
                <w:p w14:paraId="690DC2D9">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color w:val="auto"/>
                      <w:sz w:val="24"/>
                      <w:szCs w:val="24"/>
                      <w:highlight w:val="none"/>
                    </w:rPr>
                    <w:t>5</w:t>
                  </w:r>
                </w:p>
              </w:tc>
              <w:tc>
                <w:tcPr>
                  <w:tcW w:w="5396" w:type="dxa"/>
                  <w:tcBorders>
                    <w:top w:val="single" w:color="000000" w:sz="8" w:space="0"/>
                    <w:left w:val="single" w:color="000000" w:sz="8" w:space="0"/>
                    <w:bottom w:val="single" w:color="000000" w:sz="8" w:space="0"/>
                    <w:right w:val="single" w:color="000000" w:sz="8" w:space="0"/>
                  </w:tcBorders>
                  <w:noWrap w:val="0"/>
                  <w:vAlign w:val="top"/>
                </w:tcPr>
                <w:p w14:paraId="75AAA90B">
                  <w:pPr>
                    <w:keepNext w:val="0"/>
                    <w:keepLines w:val="0"/>
                    <w:pageBreakBefore w:val="0"/>
                    <w:kinsoku/>
                    <w:wordWrap/>
                    <w:overflowPunct/>
                    <w:topLinePunct w:val="0"/>
                    <w:autoSpaceDE/>
                    <w:autoSpaceDN/>
                    <w:bidi w:val="0"/>
                    <w:adjustRightInd/>
                    <w:snapToGrid/>
                    <w:spacing w:line="460" w:lineRule="exac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（一）评分内容：</w:t>
                  </w:r>
                </w:p>
                <w:p w14:paraId="4C3CDD68">
                  <w:pPr>
                    <w:keepNext w:val="0"/>
                    <w:keepLines w:val="0"/>
                    <w:pageBreakBefore w:val="0"/>
                    <w:kinsoku/>
                    <w:wordWrap/>
                    <w:overflowPunct/>
                    <w:topLinePunct w:val="0"/>
                    <w:autoSpaceDE/>
                    <w:autoSpaceDN/>
                    <w:bidi w:val="0"/>
                    <w:adjustRightInd/>
                    <w:snapToGrid/>
                    <w:spacing w:line="460" w:lineRule="exac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考察投标</w:t>
                  </w:r>
                  <w:r>
                    <w:rPr>
                      <w:rFonts w:hint="eastAsia" w:ascii="宋体" w:hAnsi="宋体" w:eastAsia="宋体" w:cs="宋体"/>
                      <w:b w:val="0"/>
                      <w:bCs w:val="0"/>
                      <w:color w:val="auto"/>
                      <w:sz w:val="24"/>
                      <w:szCs w:val="24"/>
                      <w:highlight w:val="none"/>
                      <w:lang w:eastAsia="zh-CN"/>
                    </w:rPr>
                    <w:t>方</w:t>
                  </w:r>
                  <w:r>
                    <w:rPr>
                      <w:rFonts w:hint="eastAsia" w:ascii="宋体" w:hAnsi="宋体" w:eastAsia="宋体" w:cs="宋体"/>
                      <w:b w:val="0"/>
                      <w:bCs w:val="0"/>
                      <w:color w:val="auto"/>
                      <w:sz w:val="24"/>
                      <w:szCs w:val="24"/>
                      <w:highlight w:val="none"/>
                    </w:rPr>
                    <w:t>拟使用的设备情况（自有和租赁均可）：</w:t>
                  </w:r>
                </w:p>
                <w:p w14:paraId="212031D2">
                  <w:pPr>
                    <w:keepNext w:val="0"/>
                    <w:keepLines w:val="0"/>
                    <w:pageBreakBefore w:val="0"/>
                    <w:kinsoku/>
                    <w:wordWrap/>
                    <w:overflowPunct/>
                    <w:topLinePunct w:val="0"/>
                    <w:autoSpaceDE/>
                    <w:autoSpaceDN/>
                    <w:bidi w:val="0"/>
                    <w:adjustRightInd/>
                    <w:snapToGrid/>
                    <w:spacing w:line="460" w:lineRule="exac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1.桥梁静动载采集分析仪</w:t>
                  </w:r>
                  <w:r>
                    <w:rPr>
                      <w:rFonts w:hint="eastAsia" w:ascii="宋体" w:hAnsi="宋体" w:eastAsia="宋体" w:cs="宋体"/>
                      <w:b w:val="0"/>
                      <w:bCs w:val="0"/>
                      <w:color w:val="auto"/>
                      <w:sz w:val="24"/>
                      <w:szCs w:val="24"/>
                      <w:highlight w:val="none"/>
                    </w:rPr>
                    <w:t>；</w:t>
                  </w:r>
                </w:p>
                <w:p w14:paraId="2880CC88">
                  <w:pPr>
                    <w:keepNext w:val="0"/>
                    <w:keepLines w:val="0"/>
                    <w:pageBreakBefore w:val="0"/>
                    <w:kinsoku/>
                    <w:wordWrap/>
                    <w:overflowPunct/>
                    <w:topLinePunct w:val="0"/>
                    <w:autoSpaceDE/>
                    <w:autoSpaceDN/>
                    <w:bidi w:val="0"/>
                    <w:adjustRightInd/>
                    <w:snapToGrid/>
                    <w:spacing w:line="460" w:lineRule="exac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rPr>
                    <w:t>裂缝深度仪；</w:t>
                  </w:r>
                </w:p>
                <w:p w14:paraId="40AD79BD">
                  <w:pPr>
                    <w:keepNext w:val="0"/>
                    <w:keepLines w:val="0"/>
                    <w:pageBreakBefore w:val="0"/>
                    <w:kinsoku/>
                    <w:wordWrap/>
                    <w:overflowPunct/>
                    <w:topLinePunct w:val="0"/>
                    <w:autoSpaceDE/>
                    <w:autoSpaceDN/>
                    <w:bidi w:val="0"/>
                    <w:adjustRightInd/>
                    <w:snapToGrid/>
                    <w:spacing w:line="460" w:lineRule="exac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rPr>
                    <w:t>钢筋位置及保护层厚度仪；</w:t>
                  </w:r>
                </w:p>
                <w:p w14:paraId="5888B1F9">
                  <w:pPr>
                    <w:keepNext w:val="0"/>
                    <w:keepLines w:val="0"/>
                    <w:pageBreakBefore w:val="0"/>
                    <w:kinsoku/>
                    <w:wordWrap/>
                    <w:overflowPunct/>
                    <w:topLinePunct w:val="0"/>
                    <w:autoSpaceDE/>
                    <w:autoSpaceDN/>
                    <w:bidi w:val="0"/>
                    <w:adjustRightInd/>
                    <w:snapToGrid/>
                    <w:spacing w:line="460" w:lineRule="exac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4.</w:t>
                  </w:r>
                  <w:r>
                    <w:rPr>
                      <w:rFonts w:hint="eastAsia" w:ascii="宋体" w:hAnsi="宋体" w:eastAsia="宋体" w:cs="宋体"/>
                      <w:b w:val="0"/>
                      <w:bCs w:val="0"/>
                      <w:color w:val="auto"/>
                      <w:sz w:val="24"/>
                      <w:szCs w:val="24"/>
                      <w:highlight w:val="none"/>
                    </w:rPr>
                    <w:t>钢筋锈蚀仪；</w:t>
                  </w:r>
                </w:p>
                <w:p w14:paraId="729A242D">
                  <w:pPr>
                    <w:keepNext w:val="0"/>
                    <w:keepLines w:val="0"/>
                    <w:pageBreakBefore w:val="0"/>
                    <w:kinsoku/>
                    <w:wordWrap/>
                    <w:overflowPunct/>
                    <w:topLinePunct w:val="0"/>
                    <w:autoSpaceDE/>
                    <w:autoSpaceDN/>
                    <w:bidi w:val="0"/>
                    <w:adjustRightInd/>
                    <w:snapToGrid/>
                    <w:spacing w:line="460" w:lineRule="exac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rPr>
                    <w:t>桥梁计算分析软件。</w:t>
                  </w:r>
                </w:p>
                <w:p w14:paraId="193F360F">
                  <w:pPr>
                    <w:keepNext w:val="0"/>
                    <w:keepLines w:val="0"/>
                    <w:pageBreakBefore w:val="0"/>
                    <w:kinsoku/>
                    <w:wordWrap/>
                    <w:overflowPunct/>
                    <w:topLinePunct w:val="0"/>
                    <w:autoSpaceDE/>
                    <w:autoSpaceDN/>
                    <w:bidi w:val="0"/>
                    <w:adjustRightInd/>
                    <w:snapToGrid/>
                    <w:spacing w:line="460" w:lineRule="exac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以上设备每承诺一项，得20%，最高得100%。</w:t>
                  </w:r>
                </w:p>
                <w:p w14:paraId="72E15468">
                  <w:pPr>
                    <w:keepNext w:val="0"/>
                    <w:keepLines w:val="0"/>
                    <w:pageBreakBefore w:val="0"/>
                    <w:kinsoku/>
                    <w:wordWrap/>
                    <w:overflowPunct/>
                    <w:topLinePunct w:val="0"/>
                    <w:autoSpaceDE/>
                    <w:autoSpaceDN/>
                    <w:bidi w:val="0"/>
                    <w:adjustRightInd/>
                    <w:snapToGrid/>
                    <w:spacing w:line="460" w:lineRule="exac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（二）评分依据:</w:t>
                  </w:r>
                </w:p>
                <w:p w14:paraId="16AE1892">
                  <w:pPr>
                    <w:keepNext w:val="0"/>
                    <w:keepLines w:val="0"/>
                    <w:pageBreakBefore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lang w:eastAsia="zh-CN"/>
                    </w:rPr>
                    <w:t>要求</w:t>
                  </w:r>
                  <w:r>
                    <w:rPr>
                      <w:rFonts w:hint="eastAsia" w:ascii="宋体" w:hAnsi="宋体" w:eastAsia="宋体" w:cs="宋体"/>
                      <w:color w:val="auto"/>
                      <w:sz w:val="24"/>
                      <w:szCs w:val="24"/>
                      <w:highlight w:val="none"/>
                    </w:rPr>
                    <w:t>投标人提供承诺（格式自定）作为得分依据</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未提供承诺或承诺内容不满足要求均不得分。</w:t>
                  </w:r>
                </w:p>
              </w:tc>
            </w:tr>
            <w:tr w14:paraId="5364E4D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76" w:type="dxa"/>
                  <w:tcBorders>
                    <w:top w:val="single" w:color="000000" w:sz="8" w:space="0"/>
                    <w:left w:val="single" w:color="000000" w:sz="8" w:space="0"/>
                    <w:bottom w:val="single" w:color="auto" w:sz="4" w:space="0"/>
                    <w:right w:val="single" w:color="000000" w:sz="8" w:space="0"/>
                  </w:tcBorders>
                  <w:noWrap w:val="0"/>
                  <w:vAlign w:val="top"/>
                </w:tcPr>
                <w:p w14:paraId="694B3ACD">
                  <w:pPr>
                    <w:keepNext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4</w:t>
                  </w:r>
                </w:p>
              </w:tc>
              <w:tc>
                <w:tcPr>
                  <w:tcW w:w="3000" w:type="dxa"/>
                  <w:gridSpan w:val="3"/>
                  <w:tcBorders>
                    <w:top w:val="single" w:color="000000" w:sz="8" w:space="0"/>
                    <w:left w:val="single" w:color="000000" w:sz="8" w:space="0"/>
                    <w:bottom w:val="single" w:color="auto" w:sz="4" w:space="0"/>
                    <w:right w:val="single" w:color="000000" w:sz="8" w:space="0"/>
                  </w:tcBorders>
                  <w:noWrap w:val="0"/>
                  <w:vAlign w:val="top"/>
                </w:tcPr>
                <w:p w14:paraId="58B9E734">
                  <w:pPr>
                    <w:keepNext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诚信情况</w:t>
                  </w:r>
                </w:p>
              </w:tc>
              <w:tc>
                <w:tcPr>
                  <w:tcW w:w="5396" w:type="dxa"/>
                  <w:tcBorders>
                    <w:top w:val="single" w:color="000000" w:sz="8" w:space="0"/>
                    <w:left w:val="single" w:color="000000" w:sz="8" w:space="0"/>
                    <w:bottom w:val="single" w:color="auto" w:sz="4" w:space="0"/>
                    <w:right w:val="single" w:color="000000" w:sz="8" w:space="0"/>
                  </w:tcBorders>
                  <w:noWrap w:val="0"/>
                  <w:vAlign w:val="top"/>
                </w:tcPr>
                <w:p w14:paraId="4CD587E3">
                  <w:pPr>
                    <w:keepNext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5</w:t>
                  </w:r>
                </w:p>
              </w:tc>
            </w:tr>
            <w:tr w14:paraId="063C1C5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76" w:type="dxa"/>
                  <w:vMerge w:val="restart"/>
                  <w:tcBorders>
                    <w:top w:val="single" w:color="000000" w:sz="8" w:space="0"/>
                    <w:left w:val="single" w:color="000000" w:sz="8" w:space="0"/>
                    <w:bottom w:val="single" w:color="000000" w:sz="8" w:space="0"/>
                    <w:right w:val="single" w:color="000000" w:sz="8" w:space="0"/>
                  </w:tcBorders>
                  <w:shd w:val="clear" w:color="auto" w:fill="E6EFFA"/>
                  <w:noWrap w:val="0"/>
                  <w:vAlign w:val="center"/>
                </w:tcPr>
                <w:p w14:paraId="5528F5DB">
                  <w:pPr>
                    <w:keepNext w:val="0"/>
                    <w:pageBreakBefore w:val="0"/>
                    <w:widowControl/>
                    <w:kinsoku/>
                    <w:wordWrap/>
                    <w:overflowPunct/>
                    <w:topLinePunct w:val="0"/>
                    <w:autoSpaceDE/>
                    <w:autoSpaceDN/>
                    <w:bidi w:val="0"/>
                    <w:adjustRightInd/>
                    <w:snapToGrid/>
                    <w:textAlignment w:val="auto"/>
                    <w:rPr>
                      <w:rFonts w:hint="eastAsia" w:ascii="宋体" w:hAnsi="宋体" w:eastAsia="宋体" w:cs="宋体"/>
                      <w:b/>
                      <w:bCs/>
                      <w:sz w:val="24"/>
                      <w:szCs w:val="24"/>
                    </w:rPr>
                  </w:pPr>
                </w:p>
              </w:tc>
              <w:tc>
                <w:tcPr>
                  <w:tcW w:w="675"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4351C808">
                  <w:pPr>
                    <w:keepNext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sz w:val="24"/>
                      <w:szCs w:val="24"/>
                    </w:rPr>
                  </w:pPr>
                  <w:r>
                    <w:rPr>
                      <w:rFonts w:hint="eastAsia" w:ascii="宋体" w:hAnsi="宋体" w:eastAsia="宋体" w:cs="宋体"/>
                      <w:sz w:val="24"/>
                      <w:szCs w:val="24"/>
                    </w:rPr>
                    <w:t>序号</w:t>
                  </w:r>
                </w:p>
              </w:tc>
              <w:tc>
                <w:tcPr>
                  <w:tcW w:w="1295"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7E8DD1D5">
                  <w:pPr>
                    <w:keepNext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评审因素</w:t>
                  </w:r>
                </w:p>
              </w:tc>
              <w:tc>
                <w:tcPr>
                  <w:tcW w:w="1030"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4DDE8C8A">
                  <w:pPr>
                    <w:keepNext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sz w:val="24"/>
                      <w:szCs w:val="24"/>
                    </w:rPr>
                  </w:pPr>
                  <w:r>
                    <w:rPr>
                      <w:rFonts w:hint="eastAsia" w:ascii="宋体" w:hAnsi="宋体" w:eastAsia="宋体" w:cs="宋体"/>
                      <w:sz w:val="24"/>
                      <w:szCs w:val="24"/>
                    </w:rPr>
                    <w:t>权重(%)</w:t>
                  </w:r>
                </w:p>
              </w:tc>
              <w:tc>
                <w:tcPr>
                  <w:tcW w:w="5396"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1CCF2E12">
                  <w:pPr>
                    <w:keepNext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sz w:val="24"/>
                      <w:szCs w:val="24"/>
                    </w:rPr>
                  </w:pPr>
                  <w:r>
                    <w:rPr>
                      <w:rFonts w:hint="eastAsia" w:ascii="宋体" w:hAnsi="宋体" w:eastAsia="宋体" w:cs="宋体"/>
                      <w:sz w:val="24"/>
                      <w:szCs w:val="24"/>
                    </w:rPr>
                    <w:t>评分准则</w:t>
                  </w:r>
                </w:p>
              </w:tc>
            </w:tr>
            <w:tr w14:paraId="224F854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76" w:type="dxa"/>
                  <w:vMerge w:val="continue"/>
                  <w:tcBorders>
                    <w:top w:val="single" w:color="000000" w:sz="8" w:space="0"/>
                    <w:left w:val="single" w:color="000000" w:sz="8" w:space="0"/>
                    <w:bottom w:val="single" w:color="000000" w:sz="8" w:space="0"/>
                    <w:right w:val="single" w:color="000000" w:sz="8" w:space="0"/>
                  </w:tcBorders>
                  <w:noWrap w:val="0"/>
                  <w:vAlign w:val="center"/>
                </w:tcPr>
                <w:p w14:paraId="377AC929">
                  <w:pPr>
                    <w:keepNext w:val="0"/>
                    <w:pageBreakBefore w:val="0"/>
                    <w:widowControl/>
                    <w:kinsoku/>
                    <w:wordWrap/>
                    <w:overflowPunct/>
                    <w:topLinePunct w:val="0"/>
                    <w:autoSpaceDE/>
                    <w:autoSpaceDN/>
                    <w:bidi w:val="0"/>
                    <w:adjustRightInd/>
                    <w:snapToGrid/>
                    <w:textAlignment w:val="auto"/>
                    <w:rPr>
                      <w:rFonts w:hint="eastAsia" w:ascii="宋体" w:hAnsi="宋体" w:eastAsia="宋体" w:cs="宋体"/>
                      <w:b/>
                      <w:bCs/>
                      <w:sz w:val="24"/>
                      <w:szCs w:val="24"/>
                    </w:rPr>
                  </w:pPr>
                </w:p>
              </w:tc>
              <w:tc>
                <w:tcPr>
                  <w:tcW w:w="675" w:type="dxa"/>
                  <w:tcBorders>
                    <w:top w:val="single" w:color="000000" w:sz="8" w:space="0"/>
                    <w:left w:val="single" w:color="000000" w:sz="8" w:space="0"/>
                    <w:bottom w:val="single" w:color="000000" w:sz="8" w:space="0"/>
                    <w:right w:val="single" w:color="000000" w:sz="8" w:space="0"/>
                  </w:tcBorders>
                  <w:noWrap w:val="0"/>
                  <w:vAlign w:val="center"/>
                </w:tcPr>
                <w:p w14:paraId="4BF1C988">
                  <w:pPr>
                    <w:keepNext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sz w:val="24"/>
                      <w:szCs w:val="24"/>
                    </w:rPr>
                  </w:pPr>
                  <w:r>
                    <w:rPr>
                      <w:rFonts w:hint="eastAsia" w:ascii="宋体" w:hAnsi="宋体" w:eastAsia="宋体" w:cs="宋体"/>
                      <w:sz w:val="24"/>
                      <w:szCs w:val="24"/>
                    </w:rPr>
                    <w:t>1</w:t>
                  </w:r>
                </w:p>
              </w:tc>
              <w:tc>
                <w:tcPr>
                  <w:tcW w:w="1295" w:type="dxa"/>
                  <w:tcBorders>
                    <w:top w:val="single" w:color="000000" w:sz="8" w:space="0"/>
                    <w:left w:val="single" w:color="000000" w:sz="8" w:space="0"/>
                    <w:bottom w:val="single" w:color="000000" w:sz="8" w:space="0"/>
                    <w:right w:val="single" w:color="000000" w:sz="8" w:space="0"/>
                  </w:tcBorders>
                  <w:noWrap w:val="0"/>
                  <w:vAlign w:val="center"/>
                </w:tcPr>
                <w:p w14:paraId="682C4D8D">
                  <w:pPr>
                    <w:keepNext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sz w:val="24"/>
                      <w:szCs w:val="24"/>
                    </w:rPr>
                  </w:pPr>
                  <w:r>
                    <w:rPr>
                      <w:rFonts w:hint="eastAsia" w:ascii="宋体" w:hAnsi="宋体" w:eastAsia="宋体" w:cs="宋体"/>
                      <w:sz w:val="24"/>
                      <w:szCs w:val="24"/>
                    </w:rPr>
                    <w:t>诚信情况</w:t>
                  </w:r>
                </w:p>
              </w:tc>
              <w:tc>
                <w:tcPr>
                  <w:tcW w:w="1030" w:type="dxa"/>
                  <w:tcBorders>
                    <w:top w:val="single" w:color="000000" w:sz="8" w:space="0"/>
                    <w:left w:val="single" w:color="000000" w:sz="8" w:space="0"/>
                    <w:bottom w:val="single" w:color="000000" w:sz="8" w:space="0"/>
                    <w:right w:val="single" w:color="000000" w:sz="8" w:space="0"/>
                  </w:tcBorders>
                  <w:noWrap w:val="0"/>
                  <w:vAlign w:val="center"/>
                </w:tcPr>
                <w:p w14:paraId="5782A5DC">
                  <w:pPr>
                    <w:keepNext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sz w:val="24"/>
                      <w:szCs w:val="24"/>
                    </w:rPr>
                  </w:pPr>
                  <w:r>
                    <w:rPr>
                      <w:rFonts w:hint="eastAsia" w:ascii="宋体" w:hAnsi="宋体" w:eastAsia="宋体" w:cs="宋体"/>
                      <w:sz w:val="24"/>
                      <w:szCs w:val="24"/>
                    </w:rPr>
                    <w:t>5</w:t>
                  </w:r>
                </w:p>
              </w:tc>
              <w:tc>
                <w:tcPr>
                  <w:tcW w:w="5396" w:type="dxa"/>
                  <w:tcBorders>
                    <w:top w:val="single" w:color="000000" w:sz="8" w:space="0"/>
                    <w:left w:val="single" w:color="000000" w:sz="8" w:space="0"/>
                    <w:bottom w:val="single" w:color="000000" w:sz="8" w:space="0"/>
                    <w:right w:val="single" w:color="000000" w:sz="8" w:space="0"/>
                  </w:tcBorders>
                  <w:noWrap w:val="0"/>
                  <w:vAlign w:val="top"/>
                </w:tcPr>
                <w:p w14:paraId="279B9247">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sz w:val="24"/>
                      <w:szCs w:val="24"/>
                    </w:rPr>
                  </w:pPr>
                  <w:r>
                    <w:rPr>
                      <w:rFonts w:hint="eastAsia" w:ascii="宋体" w:hAnsi="宋体" w:eastAsia="宋体" w:cs="宋体"/>
                      <w:sz w:val="24"/>
                      <w:szCs w:val="24"/>
                    </w:rPr>
                    <w:t>（一）评分内容：</w:t>
                  </w:r>
                </w:p>
                <w:p w14:paraId="33848594">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sz w:val="24"/>
                      <w:szCs w:val="24"/>
                    </w:rPr>
                  </w:pPr>
                  <w:r>
                    <w:rPr>
                      <w:rFonts w:hint="eastAsia" w:ascii="宋体" w:hAnsi="宋体" w:eastAsia="宋体" w:cs="宋体"/>
                      <w:sz w:val="24"/>
                      <w:szCs w:val="24"/>
                    </w:rPr>
                    <w:t>根据《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不得分，否则得</w:t>
                  </w:r>
                  <w:r>
                    <w:rPr>
                      <w:rFonts w:hint="eastAsia" w:ascii="宋体" w:hAnsi="宋体" w:eastAsia="宋体" w:cs="宋体"/>
                      <w:sz w:val="24"/>
                      <w:szCs w:val="24"/>
                      <w:lang w:eastAsia="zh-CN"/>
                    </w:rPr>
                    <w:t>满</w:t>
                  </w:r>
                  <w:r>
                    <w:rPr>
                      <w:rFonts w:hint="eastAsia" w:ascii="宋体" w:hAnsi="宋体" w:eastAsia="宋体" w:cs="宋体"/>
                      <w:sz w:val="24"/>
                      <w:szCs w:val="24"/>
                    </w:rPr>
                    <w:t>分。</w:t>
                  </w:r>
                </w:p>
                <w:p w14:paraId="1BE0D69A">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sz w:val="24"/>
                      <w:szCs w:val="24"/>
                    </w:rPr>
                  </w:pPr>
                  <w:r>
                    <w:rPr>
                      <w:rFonts w:hint="eastAsia" w:ascii="宋体" w:hAnsi="宋体" w:eastAsia="宋体" w:cs="宋体"/>
                      <w:sz w:val="24"/>
                      <w:szCs w:val="24"/>
                    </w:rPr>
                    <w:t>（二）评分依据:</w:t>
                  </w:r>
                </w:p>
                <w:p w14:paraId="733F78F0">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sz w:val="24"/>
                      <w:szCs w:val="24"/>
                    </w:rPr>
                  </w:pPr>
                  <w:r>
                    <w:rPr>
                      <w:rFonts w:hint="eastAsia" w:ascii="宋体" w:hAnsi="宋体" w:eastAsia="宋体" w:cs="宋体"/>
                      <w:sz w:val="24"/>
                      <w:szCs w:val="24"/>
                    </w:rPr>
                    <w:t>采购代理机构通过“信用中国”、“中国政府采购网”、“深圳市政府采购监管网”以及市、区财政部门认定的其他渠道查询供应商信用信息，投标人无需提供证明材料。</w:t>
                  </w:r>
                </w:p>
              </w:tc>
            </w:tr>
          </w:tbl>
          <w:p w14:paraId="5F969C9D">
            <w:pPr>
              <w:pStyle w:val="14"/>
              <w:keepNext w:val="0"/>
              <w:pageBreakBefore w:val="0"/>
              <w:kinsoku/>
              <w:overflowPunct/>
              <w:topLinePunct w:val="0"/>
              <w:autoSpaceDE/>
              <w:autoSpaceDN/>
              <w:bidi w:val="0"/>
              <w:adjustRightInd/>
              <w:snapToGrid/>
              <w:spacing w:line="240" w:lineRule="auto"/>
              <w:ind w:left="420"/>
              <w:textAlignment w:val="auto"/>
              <w:rPr>
                <w:rFonts w:hint="eastAsia" w:ascii="宋体" w:hAnsi="宋体" w:eastAsia="宋体" w:cs="宋体"/>
                <w:color w:val="000000" w:themeColor="text1"/>
                <w:sz w:val="24"/>
                <w:szCs w:val="24"/>
                <w14:textFill>
                  <w14:solidFill>
                    <w14:schemeClr w14:val="tx1"/>
                  </w14:solidFill>
                </w14:textFill>
              </w:rPr>
            </w:pPr>
          </w:p>
        </w:tc>
      </w:tr>
    </w:tbl>
    <w:p w14:paraId="35196972">
      <w:pPr>
        <w:rPr>
          <w:vanish/>
          <w:color w:val="000000" w:themeColor="text1"/>
          <w14:textFill>
            <w14:solidFill>
              <w14:schemeClr w14:val="tx1"/>
            </w14:solidFill>
          </w14:textFill>
        </w:rPr>
      </w:pPr>
    </w:p>
    <w:p w14:paraId="69B9F808">
      <w:pPr>
        <w:rPr>
          <w:rFonts w:eastAsia="黑体"/>
        </w:rPr>
      </w:pPr>
    </w:p>
    <w:p w14:paraId="740374D2">
      <w:pPr>
        <w:rPr>
          <w:rFonts w:eastAsia="黑体"/>
        </w:rPr>
      </w:pPr>
    </w:p>
    <w:p w14:paraId="10DCB2D3">
      <w:pPr>
        <w:rPr>
          <w:rFonts w:eastAsia="黑体"/>
        </w:rPr>
      </w:pPr>
      <w:r>
        <w:rPr>
          <w:rFonts w:eastAsia="黑体"/>
        </w:rPr>
        <w:br w:type="page"/>
      </w:r>
    </w:p>
    <w:p w14:paraId="644429B2">
      <w:pPr>
        <w:pStyle w:val="14"/>
        <w:spacing w:line="360" w:lineRule="auto"/>
        <w:jc w:val="center"/>
        <w:outlineLvl w:val="1"/>
        <w:rPr>
          <w:rFonts w:ascii="黑体" w:hAnsi="黑体" w:eastAsia="黑体"/>
          <w:color w:val="000000" w:themeColor="text1"/>
          <w:sz w:val="40"/>
          <w:szCs w:val="40"/>
          <w14:textFill>
            <w14:solidFill>
              <w14:schemeClr w14:val="tx1"/>
            </w14:solidFill>
          </w14:textFill>
        </w:rPr>
      </w:pPr>
      <w:r>
        <w:rPr>
          <w:rFonts w:hint="eastAsia" w:ascii="黑体" w:hAnsi="黑体" w:eastAsia="黑体"/>
          <w:color w:val="000000" w:themeColor="text1"/>
          <w:sz w:val="40"/>
          <w:szCs w:val="40"/>
          <w14:textFill>
            <w14:solidFill>
              <w14:schemeClr w14:val="tx1"/>
            </w14:solidFill>
          </w14:textFill>
        </w:rPr>
        <w:t>投标书目录</w:t>
      </w:r>
    </w:p>
    <w:tbl>
      <w:tblPr>
        <w:tblStyle w:val="16"/>
        <w:tblW w:w="9072" w:type="dxa"/>
        <w:jc w:val="center"/>
        <w:tblCellSpacing w:w="0" w:type="dxa"/>
        <w:tblLayout w:type="fixed"/>
        <w:tblCellMar>
          <w:top w:w="45" w:type="dxa"/>
          <w:left w:w="45" w:type="dxa"/>
          <w:bottom w:w="45" w:type="dxa"/>
          <w:right w:w="45" w:type="dxa"/>
        </w:tblCellMar>
      </w:tblPr>
      <w:tblGrid>
        <w:gridCol w:w="9072"/>
      </w:tblGrid>
      <w:tr w14:paraId="5438C670">
        <w:tblPrEx>
          <w:tblCellMar>
            <w:top w:w="45" w:type="dxa"/>
            <w:left w:w="45" w:type="dxa"/>
            <w:bottom w:w="45" w:type="dxa"/>
            <w:right w:w="45" w:type="dxa"/>
          </w:tblCellMar>
        </w:tblPrEx>
        <w:trPr>
          <w:trHeight w:val="11432" w:hRule="atLeast"/>
          <w:tblCellSpacing w:w="0" w:type="dxa"/>
          <w:jc w:val="center"/>
        </w:trPr>
        <w:tc>
          <w:tcPr>
            <w:tcW w:w="9072" w:type="dxa"/>
            <w:vAlign w:val="center"/>
          </w:tcPr>
          <w:p w14:paraId="15CA8B9C">
            <w:pPr>
              <w:outlineLvl w:val="1"/>
              <w:rPr>
                <w:rFonts w:ascii="宋体" w:hAnsi="宋体"/>
                <w:b/>
                <w:bCs/>
                <w:color w:val="FF0000"/>
                <w:sz w:val="28"/>
                <w:szCs w:val="28"/>
              </w:rPr>
            </w:pPr>
            <w:r>
              <w:rPr>
                <w:rFonts w:hint="eastAsia" w:ascii="宋体" w:hAnsi="宋体"/>
                <w:b/>
                <w:bCs/>
                <w:color w:val="FF0000"/>
                <w:sz w:val="28"/>
                <w:szCs w:val="28"/>
              </w:rPr>
              <w:t>1.投标文件正文（信息公开部分）：</w:t>
            </w:r>
          </w:p>
          <w:p w14:paraId="2F09715C">
            <w:pPr>
              <w:outlineLvl w:val="1"/>
              <w:rPr>
                <w:rFonts w:hint="eastAsia" w:ascii="宋体" w:hAnsi="宋体" w:eastAsia="宋体" w:cs="Times New Roman"/>
                <w:sz w:val="28"/>
                <w:szCs w:val="28"/>
                <w:highlight w:val="none"/>
                <w:lang w:eastAsia="zh-CN"/>
              </w:rPr>
            </w:pPr>
            <w:r>
              <w:rPr>
                <w:rFonts w:hint="eastAsia" w:ascii="宋体" w:hAnsi="宋体" w:eastAsia="宋体" w:cs="Times New Roman"/>
                <w:sz w:val="28"/>
                <w:szCs w:val="28"/>
                <w:highlight w:val="none"/>
                <w:lang w:eastAsia="zh-CN"/>
              </w:rPr>
              <w:t>（1）投标函</w:t>
            </w:r>
          </w:p>
          <w:p w14:paraId="6630FF0B">
            <w:pPr>
              <w:outlineLvl w:val="1"/>
              <w:rPr>
                <w:rFonts w:hint="eastAsia" w:ascii="宋体" w:hAnsi="宋体" w:eastAsia="宋体" w:cs="Times New Roman"/>
                <w:sz w:val="28"/>
                <w:szCs w:val="28"/>
                <w:highlight w:val="none"/>
                <w:lang w:eastAsia="zh-CN"/>
              </w:rPr>
            </w:pPr>
            <w:r>
              <w:rPr>
                <w:rFonts w:hint="eastAsia" w:ascii="宋体" w:hAnsi="宋体" w:eastAsia="宋体" w:cs="Times New Roman"/>
                <w:sz w:val="28"/>
                <w:szCs w:val="28"/>
                <w:highlight w:val="none"/>
                <w:lang w:eastAsia="zh-CN"/>
              </w:rPr>
              <w:t>（2）政府采购投标及履约承诺函</w:t>
            </w:r>
          </w:p>
          <w:p w14:paraId="40E6AF9B">
            <w:pPr>
              <w:outlineLvl w:val="1"/>
              <w:rPr>
                <w:rFonts w:hint="eastAsia" w:ascii="宋体" w:hAnsi="宋体" w:eastAsia="宋体" w:cs="Times New Roman"/>
                <w:sz w:val="28"/>
                <w:szCs w:val="28"/>
                <w:highlight w:val="none"/>
                <w:lang w:eastAsia="zh-CN"/>
              </w:rPr>
            </w:pPr>
            <w:r>
              <w:rPr>
                <w:rFonts w:hint="eastAsia" w:ascii="宋体" w:hAnsi="宋体" w:eastAsia="宋体" w:cs="Times New Roman"/>
                <w:sz w:val="28"/>
                <w:szCs w:val="28"/>
                <w:highlight w:val="none"/>
                <w:lang w:eastAsia="zh-CN"/>
              </w:rPr>
              <w:t>（3）投标人情况及资格证明文件</w:t>
            </w:r>
          </w:p>
          <w:p w14:paraId="5CE2497D">
            <w:pPr>
              <w:outlineLvl w:val="1"/>
              <w:rPr>
                <w:rFonts w:hint="eastAsia" w:ascii="宋体" w:hAnsi="宋体" w:eastAsia="宋体" w:cs="Times New Roman"/>
                <w:sz w:val="28"/>
                <w:szCs w:val="28"/>
                <w:highlight w:val="none"/>
                <w:lang w:eastAsia="zh-CN"/>
              </w:rPr>
            </w:pPr>
            <w:r>
              <w:rPr>
                <w:rFonts w:hint="eastAsia" w:ascii="宋体" w:hAnsi="宋体" w:eastAsia="宋体" w:cs="Times New Roman"/>
                <w:sz w:val="28"/>
                <w:szCs w:val="28"/>
                <w:highlight w:val="none"/>
                <w:lang w:eastAsia="zh-CN"/>
              </w:rPr>
              <w:t>（4）项目详细报价</w:t>
            </w:r>
          </w:p>
          <w:p w14:paraId="451FF399">
            <w:pPr>
              <w:outlineLvl w:val="1"/>
              <w:rPr>
                <w:rFonts w:hint="eastAsia" w:ascii="宋体" w:hAnsi="宋体" w:eastAsia="宋体" w:cs="Times New Roman"/>
                <w:sz w:val="28"/>
                <w:szCs w:val="28"/>
                <w:highlight w:val="none"/>
                <w:lang w:eastAsia="zh-CN"/>
              </w:rPr>
            </w:pPr>
            <w:r>
              <w:rPr>
                <w:rFonts w:hint="eastAsia" w:ascii="宋体" w:hAnsi="宋体" w:eastAsia="宋体" w:cs="Times New Roman"/>
                <w:sz w:val="28"/>
                <w:szCs w:val="28"/>
                <w:highlight w:val="none"/>
                <w:lang w:eastAsia="zh-CN"/>
              </w:rPr>
              <w:t>（5）供应商资格（资质、认证）情况</w:t>
            </w:r>
          </w:p>
          <w:p w14:paraId="5C0E3C32">
            <w:pPr>
              <w:outlineLvl w:val="1"/>
              <w:rPr>
                <w:rFonts w:hint="eastAsia" w:ascii="宋体" w:hAnsi="宋体" w:eastAsia="宋体" w:cs="Times New Roman"/>
                <w:sz w:val="28"/>
                <w:szCs w:val="28"/>
                <w:highlight w:val="none"/>
                <w:lang w:eastAsia="zh-CN"/>
              </w:rPr>
            </w:pPr>
            <w:r>
              <w:rPr>
                <w:rFonts w:hint="eastAsia" w:ascii="宋体" w:hAnsi="宋体" w:eastAsia="宋体" w:cs="Times New Roman"/>
                <w:sz w:val="28"/>
                <w:szCs w:val="28"/>
                <w:highlight w:val="none"/>
                <w:lang w:eastAsia="zh-CN"/>
              </w:rPr>
              <w:t>（6）供应商同类业绩情况</w:t>
            </w:r>
          </w:p>
          <w:p w14:paraId="6D9930F2">
            <w:pPr>
              <w:outlineLvl w:val="1"/>
              <w:rPr>
                <w:rFonts w:hint="eastAsia" w:ascii="宋体" w:hAnsi="宋体" w:eastAsia="宋体" w:cs="Times New Roman"/>
                <w:sz w:val="28"/>
                <w:szCs w:val="28"/>
                <w:highlight w:val="none"/>
                <w:lang w:eastAsia="zh-CN"/>
              </w:rPr>
            </w:pPr>
            <w:r>
              <w:rPr>
                <w:rFonts w:hint="eastAsia" w:ascii="宋体" w:hAnsi="宋体" w:eastAsia="宋体" w:cs="Times New Roman"/>
                <w:sz w:val="28"/>
                <w:szCs w:val="28"/>
                <w:highlight w:val="none"/>
                <w:lang w:eastAsia="zh-CN"/>
              </w:rPr>
              <w:t>（7）投标</w:t>
            </w:r>
            <w:r>
              <w:rPr>
                <w:rFonts w:hint="eastAsia" w:ascii="宋体" w:hAnsi="宋体" w:eastAsia="宋体" w:cs="Times New Roman"/>
                <w:sz w:val="28"/>
                <w:szCs w:val="28"/>
                <w:highlight w:val="none"/>
                <w:lang w:val="en-US" w:eastAsia="zh-CN"/>
              </w:rPr>
              <w:t>人</w:t>
            </w:r>
            <w:r>
              <w:rPr>
                <w:rFonts w:hint="eastAsia" w:ascii="宋体" w:hAnsi="宋体" w:eastAsia="宋体" w:cs="Times New Roman"/>
                <w:sz w:val="28"/>
                <w:szCs w:val="28"/>
                <w:highlight w:val="none"/>
                <w:lang w:eastAsia="zh-CN"/>
              </w:rPr>
              <w:t>自主知识产权产品（创新、设计）情况</w:t>
            </w:r>
          </w:p>
          <w:p w14:paraId="41B7B9DA">
            <w:pPr>
              <w:outlineLvl w:val="1"/>
              <w:rPr>
                <w:rFonts w:hint="eastAsia" w:ascii="宋体" w:hAnsi="宋体" w:eastAsia="宋体" w:cs="Times New Roman"/>
                <w:sz w:val="28"/>
                <w:szCs w:val="28"/>
                <w:highlight w:val="none"/>
                <w:lang w:eastAsia="zh-CN"/>
              </w:rPr>
            </w:pPr>
            <w:r>
              <w:rPr>
                <w:rFonts w:hint="eastAsia" w:ascii="宋体" w:hAnsi="宋体" w:eastAsia="宋体" w:cs="Times New Roman"/>
                <w:sz w:val="28"/>
                <w:szCs w:val="28"/>
                <w:highlight w:val="none"/>
                <w:lang w:eastAsia="zh-CN"/>
              </w:rPr>
              <w:t>（8）项目拟使用的场地、工具、机器等情况</w:t>
            </w:r>
          </w:p>
          <w:p w14:paraId="3B052C28">
            <w:pPr>
              <w:outlineLvl w:val="1"/>
              <w:rPr>
                <w:rFonts w:hint="eastAsia" w:ascii="宋体" w:hAnsi="宋体" w:eastAsia="宋体" w:cs="Times New Roman"/>
                <w:sz w:val="28"/>
                <w:szCs w:val="28"/>
                <w:highlight w:val="none"/>
                <w:lang w:eastAsia="zh-CN"/>
              </w:rPr>
            </w:pPr>
            <w:r>
              <w:rPr>
                <w:rFonts w:hint="eastAsia" w:ascii="宋体" w:hAnsi="宋体" w:eastAsia="宋体" w:cs="Times New Roman"/>
                <w:sz w:val="28"/>
                <w:szCs w:val="28"/>
                <w:highlight w:val="none"/>
                <w:lang w:eastAsia="zh-CN"/>
              </w:rPr>
              <w:t>（</w:t>
            </w:r>
            <w:r>
              <w:rPr>
                <w:rFonts w:hint="eastAsia" w:ascii="宋体" w:hAnsi="宋体" w:eastAsia="宋体" w:cs="Times New Roman"/>
                <w:sz w:val="28"/>
                <w:szCs w:val="28"/>
                <w:highlight w:val="none"/>
                <w:lang w:val="en-US" w:eastAsia="zh-CN"/>
              </w:rPr>
              <w:t>9</w:t>
            </w:r>
            <w:r>
              <w:rPr>
                <w:rFonts w:hint="eastAsia" w:ascii="宋体" w:hAnsi="宋体" w:eastAsia="宋体" w:cs="Times New Roman"/>
                <w:sz w:val="28"/>
                <w:szCs w:val="28"/>
                <w:highlight w:val="none"/>
                <w:lang w:eastAsia="zh-CN"/>
              </w:rPr>
              <w:t>）投标人认为需要加以说明的其他内容（格式自定）</w:t>
            </w:r>
          </w:p>
          <w:p w14:paraId="6C3FC276">
            <w:pPr>
              <w:outlineLvl w:val="1"/>
              <w:rPr>
                <w:rFonts w:ascii="宋体" w:hAnsi="宋体"/>
                <w:b/>
                <w:bCs/>
                <w:color w:val="FF0000"/>
                <w:sz w:val="28"/>
                <w:szCs w:val="28"/>
                <w:highlight w:val="none"/>
              </w:rPr>
            </w:pPr>
            <w:r>
              <w:rPr>
                <w:rFonts w:hint="eastAsia" w:ascii="宋体" w:hAnsi="宋体"/>
                <w:b/>
                <w:bCs/>
                <w:color w:val="FF0000"/>
                <w:sz w:val="28"/>
                <w:szCs w:val="28"/>
                <w:highlight w:val="none"/>
              </w:rPr>
              <w:t>2.投标文件附件（信息不公开部分）：</w:t>
            </w:r>
          </w:p>
          <w:p w14:paraId="7CCB2614">
            <w:pPr>
              <w:outlineLvl w:val="1"/>
              <w:rPr>
                <w:rFonts w:hint="eastAsia" w:ascii="宋体" w:hAnsi="宋体" w:eastAsia="宋体" w:cs="Times New Roman"/>
                <w:sz w:val="28"/>
                <w:szCs w:val="28"/>
                <w:highlight w:val="none"/>
                <w:lang w:eastAsia="zh-CN"/>
              </w:rPr>
            </w:pPr>
            <w:r>
              <w:rPr>
                <w:rFonts w:hint="eastAsia" w:ascii="宋体" w:hAnsi="宋体" w:eastAsia="宋体" w:cs="Times New Roman"/>
                <w:sz w:val="28"/>
                <w:szCs w:val="28"/>
                <w:highlight w:val="none"/>
                <w:lang w:eastAsia="zh-CN"/>
              </w:rPr>
              <w:t>（1）法定代表人（负责人或执行事务合伙人）资格证明书</w:t>
            </w:r>
          </w:p>
          <w:p w14:paraId="0899C329">
            <w:pPr>
              <w:outlineLvl w:val="1"/>
              <w:rPr>
                <w:rFonts w:hint="eastAsia" w:ascii="宋体" w:hAnsi="宋体" w:eastAsia="宋体" w:cs="Times New Roman"/>
                <w:sz w:val="28"/>
                <w:szCs w:val="28"/>
                <w:highlight w:val="none"/>
                <w:lang w:eastAsia="zh-CN"/>
              </w:rPr>
            </w:pPr>
            <w:r>
              <w:rPr>
                <w:rFonts w:hint="eastAsia" w:ascii="宋体" w:hAnsi="宋体" w:eastAsia="宋体" w:cs="Times New Roman"/>
                <w:sz w:val="28"/>
                <w:szCs w:val="28"/>
                <w:highlight w:val="none"/>
                <w:lang w:eastAsia="zh-CN"/>
              </w:rPr>
              <w:t>（2）投标文件签署授权委托书</w:t>
            </w:r>
          </w:p>
          <w:p w14:paraId="167F1043">
            <w:pPr>
              <w:outlineLvl w:val="1"/>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（3）供应商基本情况表</w:t>
            </w:r>
          </w:p>
          <w:p w14:paraId="19EDE02D">
            <w:pPr>
              <w:outlineLvl w:val="1"/>
              <w:rPr>
                <w:rFonts w:hint="default"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（4）供应商基本情况表及附件</w:t>
            </w:r>
          </w:p>
          <w:p w14:paraId="1E8FD4D7">
            <w:pPr>
              <w:outlineLvl w:val="1"/>
              <w:rPr>
                <w:rFonts w:hint="eastAsia" w:ascii="宋体" w:hAnsi="宋体" w:eastAsia="宋体" w:cs="Times New Roman"/>
                <w:sz w:val="28"/>
                <w:szCs w:val="28"/>
                <w:highlight w:val="none"/>
                <w:lang w:eastAsia="zh-CN"/>
              </w:rPr>
            </w:pPr>
            <w:r>
              <w:rPr>
                <w:rFonts w:hint="eastAsia" w:ascii="宋体" w:hAnsi="宋体" w:eastAsia="宋体" w:cs="Times New Roman"/>
                <w:sz w:val="28"/>
                <w:szCs w:val="28"/>
                <w:highlight w:val="none"/>
                <w:lang w:eastAsia="zh-CN"/>
              </w:rPr>
              <w:t>（</w:t>
            </w:r>
            <w:r>
              <w:rPr>
                <w:rFonts w:hint="eastAsia" w:ascii="宋体" w:hAnsi="宋体" w:eastAsia="宋体" w:cs="Times New Roman"/>
                <w:sz w:val="28"/>
                <w:szCs w:val="28"/>
                <w:highlight w:val="none"/>
                <w:lang w:val="en-US" w:eastAsia="zh-CN"/>
              </w:rPr>
              <w:t>5</w:t>
            </w:r>
            <w:r>
              <w:rPr>
                <w:rFonts w:hint="eastAsia" w:ascii="宋体" w:hAnsi="宋体" w:eastAsia="宋体" w:cs="Times New Roman"/>
                <w:sz w:val="28"/>
                <w:szCs w:val="28"/>
                <w:highlight w:val="none"/>
                <w:lang w:eastAsia="zh-CN"/>
              </w:rPr>
              <w:t>）实质性条款响应情况表</w:t>
            </w:r>
          </w:p>
          <w:p w14:paraId="21C79BAE">
            <w:pPr>
              <w:outlineLvl w:val="1"/>
              <w:rPr>
                <w:rFonts w:hint="eastAsia" w:ascii="宋体" w:hAnsi="宋体" w:eastAsia="宋体" w:cs="Times New Roman"/>
                <w:sz w:val="28"/>
                <w:szCs w:val="28"/>
                <w:highlight w:val="none"/>
                <w:lang w:eastAsia="zh-CN"/>
              </w:rPr>
            </w:pPr>
            <w:r>
              <w:rPr>
                <w:rFonts w:hint="eastAsia" w:ascii="宋体" w:hAnsi="宋体" w:eastAsia="宋体" w:cs="Times New Roman"/>
                <w:sz w:val="28"/>
                <w:szCs w:val="28"/>
                <w:highlight w:val="none"/>
                <w:lang w:eastAsia="zh-CN"/>
              </w:rPr>
              <w:t>（</w:t>
            </w:r>
            <w:r>
              <w:rPr>
                <w:rFonts w:hint="eastAsia" w:ascii="宋体" w:hAnsi="宋体" w:eastAsia="宋体" w:cs="Times New Roman"/>
                <w:sz w:val="28"/>
                <w:szCs w:val="28"/>
                <w:highlight w:val="none"/>
                <w:lang w:val="en-US" w:eastAsia="zh-CN"/>
              </w:rPr>
              <w:t>6</w:t>
            </w:r>
            <w:r>
              <w:rPr>
                <w:rFonts w:hint="eastAsia" w:ascii="宋体" w:hAnsi="宋体" w:eastAsia="宋体" w:cs="Times New Roman"/>
                <w:sz w:val="28"/>
                <w:szCs w:val="28"/>
                <w:highlight w:val="none"/>
                <w:lang w:eastAsia="zh-CN"/>
              </w:rPr>
              <w:t>）商务、服务条款偏离表</w:t>
            </w:r>
          </w:p>
          <w:p w14:paraId="5E52D3AB">
            <w:pPr>
              <w:outlineLvl w:val="1"/>
              <w:rPr>
                <w:rFonts w:hint="eastAsia" w:ascii="宋体" w:hAnsi="宋体" w:eastAsia="宋体" w:cs="Times New Roman"/>
                <w:sz w:val="28"/>
                <w:szCs w:val="28"/>
                <w:highlight w:val="none"/>
                <w:lang w:eastAsia="zh-CN"/>
              </w:rPr>
            </w:pPr>
            <w:r>
              <w:rPr>
                <w:rFonts w:hint="eastAsia" w:ascii="宋体" w:hAnsi="宋体" w:eastAsia="宋体" w:cs="Times New Roman"/>
                <w:sz w:val="28"/>
                <w:szCs w:val="28"/>
                <w:highlight w:val="none"/>
                <w:lang w:eastAsia="zh-CN"/>
              </w:rPr>
              <w:t>（</w:t>
            </w:r>
            <w:r>
              <w:rPr>
                <w:rFonts w:hint="eastAsia" w:ascii="宋体" w:hAnsi="宋体" w:eastAsia="宋体" w:cs="Times New Roman"/>
                <w:sz w:val="28"/>
                <w:szCs w:val="28"/>
                <w:highlight w:val="none"/>
                <w:lang w:val="en-US" w:eastAsia="zh-CN"/>
              </w:rPr>
              <w:t>7</w:t>
            </w:r>
            <w:r>
              <w:rPr>
                <w:rFonts w:hint="eastAsia" w:ascii="宋体" w:hAnsi="宋体" w:eastAsia="宋体" w:cs="Times New Roman"/>
                <w:sz w:val="28"/>
                <w:szCs w:val="28"/>
                <w:highlight w:val="none"/>
                <w:lang w:eastAsia="zh-CN"/>
              </w:rPr>
              <w:t>）拟安排的项目负责人情况（仅限一人）</w:t>
            </w:r>
          </w:p>
          <w:p w14:paraId="58E55C6C">
            <w:pPr>
              <w:outlineLvl w:val="1"/>
              <w:rPr>
                <w:rFonts w:hint="eastAsia" w:ascii="宋体" w:hAnsi="宋体" w:eastAsia="宋体" w:cs="Times New Roman"/>
                <w:sz w:val="28"/>
                <w:szCs w:val="28"/>
                <w:highlight w:val="none"/>
                <w:lang w:eastAsia="zh-CN"/>
              </w:rPr>
            </w:pPr>
            <w:r>
              <w:rPr>
                <w:rFonts w:hint="eastAsia" w:ascii="宋体" w:hAnsi="宋体" w:eastAsia="宋体" w:cs="Times New Roman"/>
                <w:sz w:val="28"/>
                <w:szCs w:val="28"/>
                <w:highlight w:val="none"/>
                <w:lang w:eastAsia="zh-CN"/>
              </w:rPr>
              <w:t>（</w:t>
            </w:r>
            <w:r>
              <w:rPr>
                <w:rFonts w:hint="eastAsia" w:ascii="宋体" w:hAnsi="宋体" w:eastAsia="宋体" w:cs="Times New Roman"/>
                <w:sz w:val="28"/>
                <w:szCs w:val="28"/>
                <w:highlight w:val="none"/>
                <w:lang w:val="en-US" w:eastAsia="zh-CN"/>
              </w:rPr>
              <w:t>8</w:t>
            </w:r>
            <w:r>
              <w:rPr>
                <w:rFonts w:hint="eastAsia" w:ascii="宋体" w:hAnsi="宋体" w:eastAsia="宋体" w:cs="Times New Roman"/>
                <w:sz w:val="28"/>
                <w:szCs w:val="28"/>
                <w:highlight w:val="none"/>
                <w:lang w:eastAsia="zh-CN"/>
              </w:rPr>
              <w:t>）拟安排的项目主要团队成员（主要技术人员）情况（项目负责人除外）</w:t>
            </w:r>
          </w:p>
          <w:p w14:paraId="730ADED1">
            <w:pPr>
              <w:outlineLvl w:val="1"/>
              <w:rPr>
                <w:rFonts w:hint="eastAsia" w:ascii="宋体" w:hAnsi="宋体" w:eastAsia="宋体" w:cs="Times New Roman"/>
                <w:sz w:val="28"/>
                <w:szCs w:val="28"/>
                <w:highlight w:val="none"/>
                <w:lang w:eastAsia="zh-CN"/>
              </w:rPr>
            </w:pPr>
            <w:r>
              <w:rPr>
                <w:rFonts w:hint="eastAsia" w:ascii="宋体" w:hAnsi="宋体" w:eastAsia="宋体" w:cs="Times New Roman"/>
                <w:sz w:val="28"/>
                <w:szCs w:val="28"/>
                <w:highlight w:val="none"/>
                <w:lang w:eastAsia="zh-CN"/>
              </w:rPr>
              <w:t>（</w:t>
            </w:r>
            <w:r>
              <w:rPr>
                <w:rFonts w:hint="eastAsia" w:ascii="宋体" w:hAnsi="宋体" w:eastAsia="宋体" w:cs="Times New Roman"/>
                <w:sz w:val="28"/>
                <w:szCs w:val="28"/>
                <w:highlight w:val="none"/>
                <w:lang w:val="en-US" w:eastAsia="zh-CN"/>
              </w:rPr>
              <w:t>9</w:t>
            </w:r>
            <w:r>
              <w:rPr>
                <w:rFonts w:hint="eastAsia" w:ascii="宋体" w:hAnsi="宋体" w:eastAsia="宋体" w:cs="Times New Roman"/>
                <w:sz w:val="28"/>
                <w:szCs w:val="28"/>
                <w:highlight w:val="none"/>
                <w:lang w:eastAsia="zh-CN"/>
              </w:rPr>
              <w:t>）实施方案（格式自定）</w:t>
            </w:r>
          </w:p>
          <w:p w14:paraId="5A1DAE66">
            <w:pPr>
              <w:outlineLvl w:val="1"/>
              <w:rPr>
                <w:rFonts w:hint="eastAsia" w:ascii="宋体" w:hAnsi="宋体" w:eastAsia="宋体" w:cs="Times New Roman"/>
                <w:sz w:val="28"/>
                <w:szCs w:val="28"/>
                <w:highlight w:val="none"/>
                <w:lang w:eastAsia="zh-CN"/>
              </w:rPr>
            </w:pPr>
            <w:r>
              <w:rPr>
                <w:rFonts w:hint="eastAsia" w:ascii="宋体" w:hAnsi="宋体" w:eastAsia="宋体" w:cs="Times New Roman"/>
                <w:sz w:val="28"/>
                <w:szCs w:val="28"/>
                <w:highlight w:val="none"/>
                <w:lang w:eastAsia="zh-CN"/>
              </w:rPr>
              <w:t>（</w:t>
            </w:r>
            <w:r>
              <w:rPr>
                <w:rFonts w:hint="eastAsia" w:ascii="宋体" w:hAnsi="宋体" w:eastAsia="宋体" w:cs="Times New Roman"/>
                <w:sz w:val="28"/>
                <w:szCs w:val="28"/>
                <w:highlight w:val="none"/>
                <w:lang w:val="en-US" w:eastAsia="zh-CN"/>
              </w:rPr>
              <w:t>10</w:t>
            </w:r>
            <w:r>
              <w:rPr>
                <w:rFonts w:hint="eastAsia" w:ascii="宋体" w:hAnsi="宋体" w:eastAsia="宋体" w:cs="Times New Roman"/>
                <w:sz w:val="28"/>
                <w:szCs w:val="28"/>
                <w:highlight w:val="none"/>
                <w:lang w:eastAsia="zh-CN"/>
              </w:rPr>
              <w:t>）项目重点难点分析、应对措施及相关的合理化建议（格式自定）</w:t>
            </w:r>
          </w:p>
          <w:p w14:paraId="4C3C3683">
            <w:pPr>
              <w:outlineLvl w:val="1"/>
              <w:rPr>
                <w:rFonts w:hint="eastAsia" w:ascii="宋体" w:hAnsi="宋体" w:eastAsia="宋体" w:cs="Times New Roman"/>
                <w:sz w:val="28"/>
                <w:szCs w:val="28"/>
                <w:highlight w:val="none"/>
                <w:lang w:eastAsia="zh-CN"/>
              </w:rPr>
            </w:pPr>
            <w:r>
              <w:rPr>
                <w:rFonts w:hint="eastAsia" w:ascii="宋体" w:hAnsi="宋体" w:eastAsia="宋体" w:cs="Times New Roman"/>
                <w:sz w:val="28"/>
                <w:szCs w:val="28"/>
                <w:highlight w:val="none"/>
                <w:lang w:eastAsia="zh-CN"/>
              </w:rPr>
              <w:t>（</w:t>
            </w:r>
            <w:r>
              <w:rPr>
                <w:rFonts w:hint="eastAsia" w:ascii="宋体" w:hAnsi="宋体" w:eastAsia="宋体" w:cs="Times New Roman"/>
                <w:sz w:val="28"/>
                <w:szCs w:val="28"/>
                <w:highlight w:val="none"/>
                <w:lang w:val="en-US" w:eastAsia="zh-CN"/>
              </w:rPr>
              <w:t>11</w:t>
            </w:r>
            <w:r>
              <w:rPr>
                <w:rFonts w:hint="eastAsia" w:ascii="宋体" w:hAnsi="宋体" w:eastAsia="宋体" w:cs="Times New Roman"/>
                <w:sz w:val="28"/>
                <w:szCs w:val="28"/>
                <w:highlight w:val="none"/>
                <w:lang w:eastAsia="zh-CN"/>
              </w:rPr>
              <w:t>）质量保障措施及方案（格式自定）</w:t>
            </w:r>
          </w:p>
          <w:p w14:paraId="400C1B13">
            <w:pPr>
              <w:outlineLvl w:val="1"/>
              <w:rPr>
                <w:rFonts w:hint="eastAsia" w:ascii="宋体" w:hAnsi="宋体" w:eastAsia="宋体" w:cs="Times New Roman"/>
                <w:sz w:val="28"/>
                <w:szCs w:val="28"/>
                <w:highlight w:val="none"/>
                <w:lang w:eastAsia="zh-CN"/>
              </w:rPr>
            </w:pPr>
            <w:r>
              <w:rPr>
                <w:rFonts w:hint="eastAsia" w:ascii="宋体" w:hAnsi="宋体" w:eastAsia="宋体" w:cs="Times New Roman"/>
                <w:sz w:val="28"/>
                <w:szCs w:val="28"/>
                <w:highlight w:val="none"/>
                <w:lang w:eastAsia="zh-CN"/>
              </w:rPr>
              <w:t>（</w:t>
            </w:r>
            <w:r>
              <w:rPr>
                <w:rFonts w:hint="eastAsia" w:ascii="宋体" w:hAnsi="宋体" w:eastAsia="宋体" w:cs="Times New Roman"/>
                <w:sz w:val="28"/>
                <w:szCs w:val="28"/>
                <w:highlight w:val="none"/>
                <w:lang w:val="en-US" w:eastAsia="zh-CN"/>
              </w:rPr>
              <w:t>12</w:t>
            </w:r>
            <w:r>
              <w:rPr>
                <w:rFonts w:hint="eastAsia" w:ascii="宋体" w:hAnsi="宋体" w:eastAsia="宋体" w:cs="Times New Roman"/>
                <w:sz w:val="28"/>
                <w:szCs w:val="28"/>
                <w:highlight w:val="none"/>
                <w:lang w:eastAsia="zh-CN"/>
              </w:rPr>
              <w:t>）项目完成（服务期满）后的服务承诺（格式自定）</w:t>
            </w:r>
          </w:p>
          <w:p w14:paraId="4317063E">
            <w:pPr>
              <w:outlineLvl w:val="1"/>
              <w:rPr>
                <w:rFonts w:hint="eastAsia" w:ascii="宋体" w:hAnsi="宋体" w:eastAsia="宋体" w:cs="Times New Roman"/>
                <w:sz w:val="28"/>
                <w:szCs w:val="28"/>
                <w:highlight w:val="none"/>
                <w:lang w:eastAsia="zh-CN"/>
              </w:rPr>
            </w:pPr>
            <w:r>
              <w:rPr>
                <w:rFonts w:hint="eastAsia" w:ascii="宋体" w:hAnsi="宋体" w:eastAsia="宋体" w:cs="Times New Roman"/>
                <w:sz w:val="28"/>
                <w:szCs w:val="28"/>
                <w:highlight w:val="none"/>
                <w:lang w:eastAsia="zh-CN"/>
              </w:rPr>
              <w:t>（1</w:t>
            </w:r>
            <w:r>
              <w:rPr>
                <w:rFonts w:hint="eastAsia" w:ascii="宋体" w:hAnsi="宋体" w:eastAsia="宋体" w:cs="Times New Roman"/>
                <w:sz w:val="28"/>
                <w:szCs w:val="28"/>
                <w:highlight w:val="none"/>
                <w:lang w:val="en-US" w:eastAsia="zh-CN"/>
              </w:rPr>
              <w:t>3</w:t>
            </w:r>
            <w:r>
              <w:rPr>
                <w:rFonts w:hint="eastAsia" w:ascii="宋体" w:hAnsi="宋体" w:eastAsia="宋体" w:cs="Times New Roman"/>
                <w:sz w:val="28"/>
                <w:szCs w:val="28"/>
                <w:highlight w:val="none"/>
                <w:lang w:eastAsia="zh-CN"/>
              </w:rPr>
              <w:t>）违约承诺（格式自定）</w:t>
            </w:r>
          </w:p>
          <w:p w14:paraId="3B5AE3F2">
            <w:pPr>
              <w:outlineLvl w:val="1"/>
              <w:rPr>
                <w:rFonts w:hint="eastAsia" w:ascii="宋体" w:hAnsi="宋体" w:eastAsia="宋体" w:cs="Times New Roman"/>
                <w:sz w:val="28"/>
                <w:szCs w:val="28"/>
                <w:highlight w:val="none"/>
                <w:lang w:eastAsia="zh-CN"/>
              </w:rPr>
            </w:pPr>
            <w:r>
              <w:rPr>
                <w:rFonts w:hint="eastAsia" w:ascii="宋体" w:hAnsi="宋体" w:eastAsia="宋体" w:cs="Times New Roman"/>
                <w:sz w:val="28"/>
                <w:szCs w:val="28"/>
                <w:highlight w:val="none"/>
                <w:lang w:eastAsia="zh-CN"/>
              </w:rPr>
              <w:t>（1</w:t>
            </w:r>
            <w:r>
              <w:rPr>
                <w:rFonts w:hint="eastAsia" w:ascii="宋体" w:hAnsi="宋体" w:eastAsia="宋体" w:cs="Times New Roman"/>
                <w:sz w:val="28"/>
                <w:szCs w:val="28"/>
                <w:highlight w:val="none"/>
                <w:lang w:val="en-US" w:eastAsia="zh-CN"/>
              </w:rPr>
              <w:t>4</w:t>
            </w:r>
            <w:r>
              <w:rPr>
                <w:rFonts w:hint="eastAsia" w:ascii="宋体" w:hAnsi="宋体" w:eastAsia="宋体" w:cs="Times New Roman"/>
                <w:sz w:val="28"/>
                <w:szCs w:val="28"/>
                <w:highlight w:val="none"/>
                <w:lang w:eastAsia="zh-CN"/>
              </w:rPr>
              <w:t>）投标人认为需要加以说明的其他内容（格式自定）</w:t>
            </w:r>
          </w:p>
          <w:p w14:paraId="52C510C3">
            <w:pPr>
              <w:outlineLvl w:val="1"/>
              <w:rPr>
                <w:rFonts w:ascii="宋体" w:hAnsi="宋体" w:cs="宋体"/>
              </w:rPr>
            </w:pPr>
          </w:p>
        </w:tc>
      </w:tr>
    </w:tbl>
    <w:p w14:paraId="1F02663E"/>
    <w:p w14:paraId="7D7347E3">
      <w:pPr>
        <w:pStyle w:val="6"/>
      </w:pPr>
    </w:p>
    <w:p w14:paraId="6BD7E786">
      <w:r>
        <w:br w:type="page"/>
      </w:r>
    </w:p>
    <w:p w14:paraId="55D9032A"/>
    <w:p w14:paraId="47EFE83E"/>
    <w:p w14:paraId="164F2BF0"/>
    <w:p w14:paraId="0FF68F9F"/>
    <w:p w14:paraId="2F5C7E95"/>
    <w:p w14:paraId="04F25855"/>
    <w:p w14:paraId="382F1DAC"/>
    <w:p w14:paraId="5E893A3F">
      <w:pPr>
        <w:jc w:val="center"/>
        <w:rPr>
          <w:b/>
          <w:color w:val="000000" w:themeColor="text1"/>
          <w:sz w:val="120"/>
          <w:szCs w:val="120"/>
          <w14:textFill>
            <w14:solidFill>
              <w14:schemeClr w14:val="tx1"/>
            </w14:solidFill>
          </w14:textFill>
        </w:rPr>
      </w:pPr>
      <w:r>
        <w:rPr>
          <w:rFonts w:hint="eastAsia"/>
          <w:b/>
          <w:color w:val="000000" w:themeColor="text1"/>
          <w:sz w:val="120"/>
          <w:szCs w:val="120"/>
          <w14:textFill>
            <w14:solidFill>
              <w14:schemeClr w14:val="tx1"/>
            </w14:solidFill>
          </w14:textFill>
        </w:rPr>
        <w:t>政府采购</w:t>
      </w:r>
    </w:p>
    <w:p w14:paraId="4B31A881">
      <w:pPr>
        <w:jc w:val="center"/>
        <w:rPr>
          <w:b/>
          <w:color w:val="000000" w:themeColor="text1"/>
          <w:sz w:val="120"/>
          <w:szCs w:val="120"/>
          <w14:textFill>
            <w14:solidFill>
              <w14:schemeClr w14:val="tx1"/>
            </w14:solidFill>
          </w14:textFill>
        </w:rPr>
      </w:pPr>
      <w:r>
        <w:rPr>
          <w:rFonts w:hint="eastAsia"/>
          <w:b/>
          <w:color w:val="000000" w:themeColor="text1"/>
          <w:sz w:val="120"/>
          <w:szCs w:val="120"/>
          <w14:textFill>
            <w14:solidFill>
              <w14:schemeClr w14:val="tx1"/>
            </w14:solidFill>
          </w14:textFill>
        </w:rPr>
        <w:t>招标文件</w:t>
      </w:r>
    </w:p>
    <w:p w14:paraId="29E70F25">
      <w:pPr>
        <w:jc w:val="center"/>
        <w:rPr>
          <w:b/>
          <w:color w:val="000000" w:themeColor="text1"/>
          <w:sz w:val="52"/>
          <w:szCs w:val="52"/>
          <w14:textFill>
            <w14:solidFill>
              <w14:schemeClr w14:val="tx1"/>
            </w14:solidFill>
          </w14:textFill>
        </w:rPr>
      </w:pPr>
    </w:p>
    <w:p w14:paraId="33981F7B">
      <w:pPr>
        <w:jc w:val="center"/>
        <w:rPr>
          <w:b/>
          <w:color w:val="000000" w:themeColor="text1"/>
          <w:sz w:val="52"/>
          <w:szCs w:val="52"/>
          <w14:textFill>
            <w14:solidFill>
              <w14:schemeClr w14:val="tx1"/>
            </w14:solidFill>
          </w14:textFill>
        </w:rPr>
      </w:pPr>
    </w:p>
    <w:p w14:paraId="541EC1B7">
      <w:pPr>
        <w:jc w:val="center"/>
        <w:rPr>
          <w:b/>
          <w:color w:val="000000" w:themeColor="text1"/>
          <w:sz w:val="52"/>
          <w:szCs w:val="52"/>
          <w14:textFill>
            <w14:solidFill>
              <w14:schemeClr w14:val="tx1"/>
            </w14:solidFill>
          </w14:textFill>
        </w:rPr>
      </w:pPr>
    </w:p>
    <w:p w14:paraId="299FC425">
      <w:pPr>
        <w:jc w:val="center"/>
        <w:rPr>
          <w:b/>
          <w:color w:val="000000" w:themeColor="text1"/>
          <w:sz w:val="52"/>
          <w:szCs w:val="52"/>
          <w14:textFill>
            <w14:solidFill>
              <w14:schemeClr w14:val="tx1"/>
            </w14:solidFill>
          </w14:textFill>
        </w:rPr>
      </w:pPr>
      <w:r>
        <w:rPr>
          <w:rFonts w:hint="eastAsia"/>
          <w:b/>
          <w:color w:val="000000" w:themeColor="text1"/>
          <w:sz w:val="52"/>
          <w:szCs w:val="52"/>
          <w14:textFill>
            <w14:solidFill>
              <w14:schemeClr w14:val="tx1"/>
            </w14:solidFill>
          </w14:textFill>
        </w:rPr>
        <w:t>（服务类）</w:t>
      </w:r>
    </w:p>
    <w:p w14:paraId="03CF4834">
      <w:pPr>
        <w:rPr>
          <w:color w:val="000000" w:themeColor="text1"/>
          <w14:textFill>
            <w14:solidFill>
              <w14:schemeClr w14:val="tx1"/>
            </w14:solidFill>
          </w14:textFill>
        </w:rPr>
      </w:pPr>
    </w:p>
    <w:p w14:paraId="19A3523D">
      <w:pPr>
        <w:rPr>
          <w:color w:val="000000" w:themeColor="text1"/>
          <w14:textFill>
            <w14:solidFill>
              <w14:schemeClr w14:val="tx1"/>
            </w14:solidFill>
          </w14:textFill>
        </w:rPr>
      </w:pPr>
    </w:p>
    <w:p w14:paraId="7A7890A2">
      <w:pPr>
        <w:rPr>
          <w:color w:val="000000" w:themeColor="text1"/>
          <w14:textFill>
            <w14:solidFill>
              <w14:schemeClr w14:val="tx1"/>
            </w14:solidFill>
          </w14:textFill>
        </w:rPr>
      </w:pPr>
    </w:p>
    <w:p w14:paraId="7B8B4A5F">
      <w:pPr>
        <w:rPr>
          <w:color w:val="000000" w:themeColor="text1"/>
          <w14:textFill>
            <w14:solidFill>
              <w14:schemeClr w14:val="tx1"/>
            </w14:solidFill>
          </w14:textFill>
        </w:rPr>
      </w:pPr>
    </w:p>
    <w:p w14:paraId="026224DE">
      <w:pPr>
        <w:rPr>
          <w:color w:val="000000" w:themeColor="text1"/>
          <w14:textFill>
            <w14:solidFill>
              <w14:schemeClr w14:val="tx1"/>
            </w14:solidFill>
          </w14:textFill>
        </w:rPr>
      </w:pPr>
    </w:p>
    <w:p w14:paraId="35ADD87F">
      <w:pPr>
        <w:rPr>
          <w:color w:val="000000" w:themeColor="text1"/>
          <w14:textFill>
            <w14:solidFill>
              <w14:schemeClr w14:val="tx1"/>
            </w14:solidFill>
          </w14:textFill>
        </w:rPr>
      </w:pPr>
    </w:p>
    <w:p w14:paraId="2461C27C">
      <w:pPr>
        <w:jc w:val="center"/>
        <w:rPr>
          <w:b/>
          <w:color w:val="000000" w:themeColor="text1"/>
          <w:sz w:val="44"/>
          <w:szCs w:val="44"/>
          <w14:textFill>
            <w14:solidFill>
              <w14:schemeClr w14:val="tx1"/>
            </w14:solidFill>
          </w14:textFill>
        </w:rPr>
      </w:pPr>
    </w:p>
    <w:p w14:paraId="2E3EBE12">
      <w:pPr>
        <w:jc w:val="center"/>
        <w:rPr>
          <w:b/>
          <w:color w:val="000000" w:themeColor="text1"/>
          <w:sz w:val="44"/>
          <w:szCs w:val="44"/>
          <w14:textFill>
            <w14:solidFill>
              <w14:schemeClr w14:val="tx1"/>
            </w14:solidFill>
          </w14:textFill>
        </w:rPr>
      </w:pPr>
    </w:p>
    <w:p w14:paraId="4FA33EAF">
      <w:pPr>
        <w:jc w:val="center"/>
        <w:rPr>
          <w:b/>
          <w:color w:val="000000" w:themeColor="text1"/>
          <w:sz w:val="44"/>
          <w:szCs w:val="44"/>
          <w14:textFill>
            <w14:solidFill>
              <w14:schemeClr w14:val="tx1"/>
            </w14:solidFill>
          </w14:textFill>
        </w:rPr>
      </w:pPr>
    </w:p>
    <w:p w14:paraId="182F8881">
      <w:pPr>
        <w:jc w:val="center"/>
        <w:rPr>
          <w:rFonts w:eastAsia="宋体"/>
          <w:b/>
          <w:color w:val="000000" w:themeColor="text1"/>
          <w:sz w:val="44"/>
          <w:szCs w:val="44"/>
          <w14:textFill>
            <w14:solidFill>
              <w14:schemeClr w14:val="tx1"/>
            </w14:solidFill>
          </w14:textFill>
        </w:rPr>
      </w:pPr>
      <w:bookmarkStart w:id="1" w:name="_Hlk71465316"/>
      <w:r>
        <w:rPr>
          <w:rFonts w:hint="eastAsia" w:eastAsia="宋体"/>
          <w:b/>
          <w:color w:val="000000" w:themeColor="text1"/>
          <w:sz w:val="44"/>
          <w:szCs w:val="44"/>
          <w14:textFill>
            <w14:solidFill>
              <w14:schemeClr w14:val="tx1"/>
            </w14:solidFill>
          </w14:textFill>
        </w:rPr>
        <w:t>友和保险经纪有限公司</w:t>
      </w:r>
    </w:p>
    <w:bookmarkEnd w:id="1"/>
    <w:p w14:paraId="6AEBAD15">
      <w:pPr>
        <w:keepNext w:val="0"/>
        <w:keepLines w:val="0"/>
        <w:pageBreakBefore w:val="0"/>
        <w:widowControl/>
        <w:kinsoku/>
        <w:wordWrap/>
        <w:overflowPunct/>
        <w:topLinePunct w:val="0"/>
        <w:autoSpaceDE/>
        <w:autoSpaceDN/>
        <w:bidi w:val="0"/>
        <w:adjustRightInd/>
        <w:snapToGrid/>
        <w:spacing w:line="360" w:lineRule="auto"/>
        <w:ind w:firstLine="3600" w:firstLineChars="1500"/>
        <w:textAlignment w:val="auto"/>
        <w:outlineLvl w:val="1"/>
        <w:rPr>
          <w:rFonts w:ascii="宋体" w:hAnsi="宋体"/>
          <w:color w:val="FF0000"/>
          <w:sz w:val="30"/>
          <w:szCs w:val="30"/>
        </w:rPr>
      </w:pPr>
      <w:r>
        <w:rPr>
          <w:rFonts w:hint="eastAsia"/>
          <w:color w:val="000000" w:themeColor="text1"/>
          <w14:textFill>
            <w14:solidFill>
              <w14:schemeClr w14:val="tx1"/>
            </w14:solidFill>
          </w14:textFill>
        </w:rPr>
        <w:br w:type="page"/>
      </w:r>
      <w:r>
        <w:rPr>
          <w:rFonts w:hint="eastAsia" w:ascii="宋体" w:hAnsi="宋体" w:eastAsia="黑体"/>
          <w:b/>
          <w:bCs/>
          <w:color w:val="FF0000"/>
          <w:kern w:val="44"/>
          <w:sz w:val="30"/>
          <w:szCs w:val="30"/>
        </w:rPr>
        <w:t>警示条款</w:t>
      </w:r>
    </w:p>
    <w:p w14:paraId="379B9329">
      <w:pPr>
        <w:ind w:firstLine="480" w:firstLineChars="200"/>
        <w:rPr>
          <w:rFonts w:hint="eastAsia" w:ascii="宋体" w:hAnsi="宋体"/>
          <w:color w:val="FF0000"/>
        </w:rPr>
      </w:pPr>
      <w:r>
        <w:rPr>
          <w:rFonts w:hint="eastAsia" w:ascii="宋体" w:hAnsi="宋体"/>
          <w:color w:val="FF0000"/>
          <w:lang w:eastAsia="zh-CN"/>
        </w:rPr>
        <w:t>一、</w:t>
      </w:r>
      <w:r>
        <w:rPr>
          <w:rFonts w:hint="eastAsia" w:ascii="宋体" w:hAnsi="宋体"/>
          <w:color w:val="FF0000"/>
        </w:rPr>
        <w:t>参与本项目政府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7D314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Align w:val="center"/>
          </w:tcPr>
          <w:p w14:paraId="3A2CE497">
            <w:pPr>
              <w:widowControl w:val="0"/>
              <w:jc w:val="center"/>
              <w:rPr>
                <w:rFonts w:hint="eastAsia" w:ascii="宋体" w:hAnsi="宋体"/>
                <w:color w:val="FF0000"/>
              </w:rPr>
            </w:pPr>
            <w:r>
              <w:rPr>
                <w:rFonts w:hint="eastAsia" w:ascii="宋体" w:hAnsi="宋体"/>
                <w:color w:val="FF0000"/>
              </w:rPr>
              <w:t>序号</w:t>
            </w:r>
          </w:p>
        </w:tc>
        <w:tc>
          <w:tcPr>
            <w:tcW w:w="7711" w:type="dxa"/>
            <w:vAlign w:val="center"/>
          </w:tcPr>
          <w:p w14:paraId="5737878D">
            <w:pPr>
              <w:widowControl w:val="0"/>
              <w:jc w:val="center"/>
              <w:rPr>
                <w:rFonts w:hint="eastAsia" w:ascii="宋体" w:hAnsi="宋体"/>
                <w:color w:val="FF0000"/>
              </w:rPr>
            </w:pPr>
            <w:r>
              <w:rPr>
                <w:rFonts w:hint="eastAsia" w:ascii="宋体" w:hAnsi="宋体"/>
                <w:color w:val="FF0000"/>
              </w:rPr>
              <w:t>供应商参与投标禁止情形</w:t>
            </w:r>
          </w:p>
        </w:tc>
      </w:tr>
      <w:tr w14:paraId="4B887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Align w:val="center"/>
          </w:tcPr>
          <w:p w14:paraId="09308B05">
            <w:pPr>
              <w:widowControl w:val="0"/>
              <w:jc w:val="center"/>
              <w:rPr>
                <w:rFonts w:hint="eastAsia" w:ascii="宋体" w:hAnsi="宋体"/>
                <w:color w:val="FF0000"/>
              </w:rPr>
            </w:pPr>
            <w:r>
              <w:rPr>
                <w:rFonts w:hint="eastAsia" w:ascii="宋体" w:hAnsi="宋体"/>
                <w:color w:val="FF0000"/>
              </w:rPr>
              <w:t>1</w:t>
            </w:r>
          </w:p>
        </w:tc>
        <w:tc>
          <w:tcPr>
            <w:tcW w:w="7711" w:type="dxa"/>
            <w:vAlign w:val="center"/>
          </w:tcPr>
          <w:p w14:paraId="519259B3">
            <w:pPr>
              <w:widowControl w:val="0"/>
              <w:jc w:val="both"/>
              <w:rPr>
                <w:rFonts w:hint="eastAsia" w:ascii="宋体" w:hAnsi="宋体"/>
                <w:color w:val="FF0000"/>
              </w:rPr>
            </w:pPr>
            <w:r>
              <w:rPr>
                <w:rFonts w:hint="eastAsia" w:ascii="宋体" w:hAnsi="宋体"/>
                <w:color w:val="FF0000"/>
              </w:rPr>
              <w:t>与其他投标供应商的法定代表人、主要经营负责人、投标授权代表人、项目负责人、主要技术人员为</w:t>
            </w:r>
            <w:r>
              <w:rPr>
                <w:rFonts w:hint="eastAsia" w:ascii="宋体" w:hAnsi="宋体"/>
                <w:b/>
                <w:bCs/>
                <w:color w:val="FF0000"/>
              </w:rPr>
              <w:t>同一人、属同一单位或者在同一单位缴纳社会保险。</w:t>
            </w:r>
          </w:p>
        </w:tc>
      </w:tr>
      <w:tr w14:paraId="73AE2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Align w:val="center"/>
          </w:tcPr>
          <w:p w14:paraId="525D8DAA">
            <w:pPr>
              <w:widowControl w:val="0"/>
              <w:jc w:val="center"/>
              <w:rPr>
                <w:rFonts w:hint="eastAsia" w:ascii="宋体" w:hAnsi="宋体"/>
                <w:color w:val="FF0000"/>
              </w:rPr>
            </w:pPr>
            <w:r>
              <w:rPr>
                <w:rFonts w:hint="eastAsia" w:ascii="宋体" w:hAnsi="宋体"/>
                <w:color w:val="FF0000"/>
              </w:rPr>
              <w:t>2</w:t>
            </w:r>
          </w:p>
        </w:tc>
        <w:tc>
          <w:tcPr>
            <w:tcW w:w="7711" w:type="dxa"/>
            <w:vAlign w:val="center"/>
          </w:tcPr>
          <w:p w14:paraId="6FAEE211">
            <w:pPr>
              <w:widowControl w:val="0"/>
              <w:jc w:val="both"/>
              <w:rPr>
                <w:rFonts w:hint="eastAsia" w:ascii="宋体" w:hAnsi="宋体"/>
                <w:color w:val="FF0000"/>
              </w:rPr>
            </w:pPr>
            <w:r>
              <w:rPr>
                <w:rFonts w:hint="eastAsia" w:ascii="宋体" w:hAnsi="宋体"/>
                <w:color w:val="FF0000"/>
              </w:rPr>
              <w:t>参与本项目政府采购活动时，与其他投标供应商存在单位负责人为</w:t>
            </w:r>
            <w:r>
              <w:rPr>
                <w:rFonts w:hint="eastAsia" w:ascii="宋体" w:hAnsi="宋体"/>
                <w:b/>
                <w:bCs/>
                <w:color w:val="FF0000"/>
              </w:rPr>
              <w:t>同一人或直接控股、管理关系</w:t>
            </w:r>
            <w:r>
              <w:rPr>
                <w:rFonts w:hint="eastAsia" w:ascii="宋体" w:hAnsi="宋体"/>
                <w:color w:val="FF0000"/>
              </w:rPr>
              <w:t>。</w:t>
            </w:r>
          </w:p>
        </w:tc>
      </w:tr>
      <w:tr w14:paraId="26EC2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Align w:val="center"/>
          </w:tcPr>
          <w:p w14:paraId="2582B710">
            <w:pPr>
              <w:widowControl w:val="0"/>
              <w:jc w:val="center"/>
              <w:rPr>
                <w:rFonts w:hint="eastAsia" w:ascii="宋体" w:hAnsi="宋体"/>
                <w:color w:val="FF0000"/>
              </w:rPr>
            </w:pPr>
            <w:r>
              <w:rPr>
                <w:rFonts w:hint="eastAsia" w:ascii="宋体" w:hAnsi="宋体"/>
                <w:color w:val="FF0000"/>
              </w:rPr>
              <w:t>3</w:t>
            </w:r>
          </w:p>
        </w:tc>
        <w:tc>
          <w:tcPr>
            <w:tcW w:w="7711" w:type="dxa"/>
            <w:vAlign w:val="center"/>
          </w:tcPr>
          <w:p w14:paraId="06AABE07">
            <w:pPr>
              <w:widowControl w:val="0"/>
              <w:jc w:val="both"/>
              <w:rPr>
                <w:rFonts w:hint="eastAsia" w:ascii="宋体" w:hAnsi="宋体"/>
                <w:color w:val="FF0000"/>
              </w:rPr>
            </w:pPr>
            <w:r>
              <w:rPr>
                <w:rFonts w:hint="eastAsia" w:ascii="宋体" w:hAnsi="宋体"/>
                <w:color w:val="FF0000"/>
              </w:rPr>
              <w:t>与其他投标供应商的投标文件或部分投标文件</w:t>
            </w:r>
            <w:r>
              <w:rPr>
                <w:rFonts w:hint="eastAsia" w:ascii="宋体" w:hAnsi="宋体"/>
                <w:b/>
                <w:bCs/>
                <w:color w:val="FF0000"/>
              </w:rPr>
              <w:t>相互混装或存在非正常一致</w:t>
            </w:r>
            <w:r>
              <w:rPr>
                <w:rFonts w:hint="eastAsia" w:ascii="宋体" w:hAnsi="宋体"/>
                <w:color w:val="FF0000"/>
              </w:rPr>
              <w:t>。</w:t>
            </w:r>
          </w:p>
        </w:tc>
      </w:tr>
      <w:tr w14:paraId="69E93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Align w:val="center"/>
          </w:tcPr>
          <w:p w14:paraId="1F89A558">
            <w:pPr>
              <w:widowControl w:val="0"/>
              <w:jc w:val="center"/>
              <w:rPr>
                <w:rFonts w:hint="eastAsia" w:ascii="宋体" w:hAnsi="宋体"/>
                <w:color w:val="FF0000"/>
              </w:rPr>
            </w:pPr>
            <w:r>
              <w:rPr>
                <w:rFonts w:hint="eastAsia" w:ascii="宋体" w:hAnsi="宋体"/>
                <w:color w:val="FF0000"/>
              </w:rPr>
              <w:t>4</w:t>
            </w:r>
          </w:p>
        </w:tc>
        <w:tc>
          <w:tcPr>
            <w:tcW w:w="7711" w:type="dxa"/>
            <w:vAlign w:val="center"/>
          </w:tcPr>
          <w:p w14:paraId="475CFC5A">
            <w:pPr>
              <w:widowControl w:val="0"/>
              <w:jc w:val="both"/>
              <w:rPr>
                <w:rFonts w:hint="eastAsia" w:ascii="宋体" w:hAnsi="宋体"/>
                <w:color w:val="FF0000"/>
              </w:rPr>
            </w:pPr>
            <w:r>
              <w:rPr>
                <w:rFonts w:hint="eastAsia" w:ascii="宋体" w:hAnsi="宋体"/>
                <w:color w:val="FF0000"/>
              </w:rPr>
              <w:t>与其他投标供应商的投标文件由</w:t>
            </w:r>
            <w:r>
              <w:rPr>
                <w:rFonts w:hint="eastAsia" w:ascii="宋体" w:hAnsi="宋体"/>
                <w:b/>
                <w:bCs/>
                <w:color w:val="FF0000"/>
              </w:rPr>
              <w:t>同一单位或者同一人编制</w:t>
            </w:r>
            <w:r>
              <w:rPr>
                <w:rFonts w:hint="eastAsia" w:ascii="宋体" w:hAnsi="宋体"/>
                <w:color w:val="FF0000"/>
              </w:rPr>
              <w:t>，或者使用</w:t>
            </w:r>
            <w:r>
              <w:rPr>
                <w:rFonts w:hint="eastAsia" w:ascii="宋体" w:hAnsi="宋体"/>
                <w:b/>
                <w:bCs/>
                <w:color w:val="FF0000"/>
              </w:rPr>
              <w:t>同一设备编制</w:t>
            </w:r>
            <w:r>
              <w:rPr>
                <w:rFonts w:hint="eastAsia" w:ascii="宋体" w:hAnsi="宋体"/>
                <w:color w:val="FF0000"/>
              </w:rPr>
              <w:t>（“文件制作机器码”“文件创建标识码”一致）。</w:t>
            </w:r>
          </w:p>
        </w:tc>
      </w:tr>
      <w:tr w14:paraId="21EC8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Align w:val="center"/>
          </w:tcPr>
          <w:p w14:paraId="3E288E16">
            <w:pPr>
              <w:widowControl w:val="0"/>
              <w:jc w:val="center"/>
              <w:rPr>
                <w:rFonts w:hint="eastAsia" w:ascii="宋体" w:hAnsi="宋体"/>
                <w:color w:val="FF0000"/>
              </w:rPr>
            </w:pPr>
            <w:r>
              <w:rPr>
                <w:rFonts w:hint="eastAsia" w:ascii="宋体" w:hAnsi="宋体"/>
                <w:color w:val="FF0000"/>
              </w:rPr>
              <w:t>5</w:t>
            </w:r>
          </w:p>
        </w:tc>
        <w:tc>
          <w:tcPr>
            <w:tcW w:w="7711" w:type="dxa"/>
            <w:vAlign w:val="center"/>
          </w:tcPr>
          <w:p w14:paraId="15CF69E1">
            <w:pPr>
              <w:widowControl w:val="0"/>
              <w:jc w:val="both"/>
              <w:rPr>
                <w:rFonts w:hint="eastAsia" w:ascii="宋体" w:hAnsi="宋体"/>
                <w:color w:val="FF0000"/>
              </w:rPr>
            </w:pPr>
            <w:r>
              <w:rPr>
                <w:rFonts w:hint="eastAsia" w:ascii="宋体" w:hAnsi="宋体"/>
                <w:color w:val="FF0000"/>
              </w:rPr>
              <w:t>提供</w:t>
            </w:r>
            <w:r>
              <w:rPr>
                <w:rFonts w:hint="eastAsia" w:ascii="宋体" w:hAnsi="宋体"/>
                <w:b/>
                <w:bCs/>
                <w:color w:val="FF0000"/>
              </w:rPr>
              <w:t>未经出具机构核实</w:t>
            </w:r>
            <w:r>
              <w:rPr>
                <w:rFonts w:hint="eastAsia" w:ascii="宋体" w:hAnsi="宋体"/>
                <w:color w:val="FF0000"/>
              </w:rPr>
              <w:t>的虚假的检验检测报告、业绩材料、社保缴纳证明、学历学位证书、职称认证证书等材料。</w:t>
            </w:r>
          </w:p>
        </w:tc>
      </w:tr>
      <w:tr w14:paraId="0A1AE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Align w:val="center"/>
          </w:tcPr>
          <w:p w14:paraId="6C8CC1AF">
            <w:pPr>
              <w:widowControl w:val="0"/>
              <w:jc w:val="center"/>
              <w:rPr>
                <w:rFonts w:hint="eastAsia" w:ascii="宋体" w:hAnsi="宋体"/>
                <w:color w:val="FF0000"/>
              </w:rPr>
            </w:pPr>
            <w:r>
              <w:rPr>
                <w:rFonts w:hint="eastAsia" w:ascii="宋体" w:hAnsi="宋体"/>
                <w:color w:val="FF0000"/>
              </w:rPr>
              <w:t>6</w:t>
            </w:r>
          </w:p>
        </w:tc>
        <w:tc>
          <w:tcPr>
            <w:tcW w:w="7711" w:type="dxa"/>
            <w:vAlign w:val="center"/>
          </w:tcPr>
          <w:p w14:paraId="1D5FB56C">
            <w:pPr>
              <w:widowControl w:val="0"/>
              <w:jc w:val="both"/>
              <w:rPr>
                <w:rFonts w:hint="eastAsia" w:ascii="宋体" w:hAnsi="宋体"/>
                <w:color w:val="FF0000"/>
              </w:rPr>
            </w:pPr>
            <w:r>
              <w:rPr>
                <w:rFonts w:hint="eastAsia" w:ascii="宋体" w:hAnsi="宋体"/>
                <w:color w:val="FF0000"/>
              </w:rPr>
              <w:t>擅自将投标密钥或电子营业执照出借他人使用或未妥善保管。</w:t>
            </w:r>
          </w:p>
        </w:tc>
      </w:tr>
    </w:tbl>
    <w:p w14:paraId="29E62A76">
      <w:pPr>
        <w:ind w:firstLine="480" w:firstLineChars="200"/>
        <w:rPr>
          <w:rFonts w:ascii="宋体" w:hAnsi="宋体"/>
          <w:color w:val="FF0000"/>
        </w:rPr>
      </w:pPr>
      <w:r>
        <w:rPr>
          <w:rFonts w:hint="eastAsia" w:ascii="宋体" w:hAnsi="宋体" w:eastAsia="宋体"/>
          <w:color w:val="FF0000"/>
          <w:lang w:eastAsia="zh-CN"/>
        </w:rPr>
        <w:t>二</w:t>
      </w:r>
      <w:r>
        <w:rPr>
          <w:rFonts w:hint="eastAsia" w:ascii="宋体" w:hAnsi="宋体"/>
          <w:color w:val="FF0000"/>
        </w:rPr>
        <w:t>、</w:t>
      </w:r>
      <w:r>
        <w:rPr>
          <w:rFonts w:hint="eastAsia" w:ascii="宋体" w:hAnsi="宋体"/>
          <w:b/>
          <w:bCs/>
          <w:color w:val="FF0000"/>
        </w:rPr>
        <w:t>《深圳经济特区政府采购条例》第五十七条</w:t>
      </w:r>
      <w:r>
        <w:rPr>
          <w:rFonts w:hint="eastAsia" w:ascii="宋体" w:hAnsi="宋体"/>
          <w:color w:val="FF0000"/>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28AE58C2">
      <w:pPr>
        <w:ind w:firstLine="480" w:firstLineChars="200"/>
        <w:rPr>
          <w:rFonts w:ascii="宋体" w:hAnsi="宋体"/>
          <w:color w:val="FF0000"/>
        </w:rPr>
      </w:pPr>
      <w:r>
        <w:rPr>
          <w:rFonts w:hint="eastAsia" w:ascii="宋体" w:hAnsi="宋体"/>
          <w:color w:val="FF0000"/>
        </w:rPr>
        <w:t>（一）在采购活动中应当回避而未回避的；</w:t>
      </w:r>
    </w:p>
    <w:p w14:paraId="44E82409">
      <w:pPr>
        <w:ind w:firstLine="480" w:firstLineChars="200"/>
        <w:rPr>
          <w:rFonts w:ascii="宋体" w:hAnsi="宋体"/>
          <w:color w:val="FF0000"/>
        </w:rPr>
      </w:pPr>
      <w:r>
        <w:rPr>
          <w:rFonts w:hint="eastAsia" w:ascii="宋体" w:hAnsi="宋体"/>
          <w:color w:val="FF0000"/>
        </w:rPr>
        <w:t>（二）未按本条例规定签订、履行采购合同，造成严重后果的；</w:t>
      </w:r>
    </w:p>
    <w:p w14:paraId="0654FD28">
      <w:pPr>
        <w:ind w:firstLine="480" w:firstLineChars="200"/>
        <w:rPr>
          <w:rFonts w:ascii="宋体" w:hAnsi="宋体"/>
          <w:color w:val="FF0000"/>
        </w:rPr>
      </w:pPr>
      <w:r>
        <w:rPr>
          <w:rFonts w:hint="eastAsia" w:ascii="宋体" w:hAnsi="宋体"/>
          <w:color w:val="FF0000"/>
        </w:rPr>
        <w:t>（三）隐瞒真实情况，提供虚假资料的；</w:t>
      </w:r>
    </w:p>
    <w:p w14:paraId="69C34079">
      <w:pPr>
        <w:ind w:firstLine="480" w:firstLineChars="200"/>
        <w:rPr>
          <w:rFonts w:ascii="宋体" w:hAnsi="宋体"/>
          <w:color w:val="FF0000"/>
        </w:rPr>
      </w:pPr>
      <w:r>
        <w:rPr>
          <w:rFonts w:hint="eastAsia" w:ascii="宋体" w:hAnsi="宋体"/>
          <w:color w:val="FF0000"/>
        </w:rPr>
        <w:t>（四）以非法手段排斥其他供应商参与竞争的；</w:t>
      </w:r>
    </w:p>
    <w:p w14:paraId="12F1A730">
      <w:pPr>
        <w:ind w:firstLine="480" w:firstLineChars="200"/>
        <w:rPr>
          <w:rFonts w:ascii="宋体" w:hAnsi="宋体"/>
          <w:color w:val="FF0000"/>
        </w:rPr>
      </w:pPr>
      <w:r>
        <w:rPr>
          <w:rFonts w:hint="eastAsia" w:ascii="宋体" w:hAnsi="宋体"/>
          <w:color w:val="FF0000"/>
        </w:rPr>
        <w:t>（五）与其他采购参加人串通投标的；</w:t>
      </w:r>
    </w:p>
    <w:p w14:paraId="27FCF989">
      <w:pPr>
        <w:ind w:firstLine="480" w:firstLineChars="200"/>
        <w:rPr>
          <w:rFonts w:ascii="宋体" w:hAnsi="宋体"/>
          <w:color w:val="FF0000"/>
        </w:rPr>
      </w:pPr>
      <w:r>
        <w:rPr>
          <w:rFonts w:hint="eastAsia" w:ascii="宋体" w:hAnsi="宋体"/>
          <w:color w:val="FF0000"/>
        </w:rPr>
        <w:t>（六）恶意投诉的；</w:t>
      </w:r>
    </w:p>
    <w:p w14:paraId="231B17FA">
      <w:pPr>
        <w:ind w:firstLine="480" w:firstLineChars="200"/>
        <w:rPr>
          <w:rFonts w:ascii="宋体" w:hAnsi="宋体"/>
          <w:color w:val="FF0000"/>
        </w:rPr>
      </w:pPr>
      <w:r>
        <w:rPr>
          <w:rFonts w:hint="eastAsia" w:ascii="宋体" w:hAnsi="宋体"/>
          <w:color w:val="FF0000"/>
        </w:rPr>
        <w:t>（七）向采购项目相关人行贿或者提供其他不当利益的；</w:t>
      </w:r>
    </w:p>
    <w:p w14:paraId="773D7C0E">
      <w:pPr>
        <w:ind w:firstLine="480" w:firstLineChars="200"/>
        <w:rPr>
          <w:rFonts w:ascii="宋体" w:hAnsi="宋体"/>
          <w:color w:val="FF0000"/>
        </w:rPr>
      </w:pPr>
      <w:r>
        <w:rPr>
          <w:rFonts w:hint="eastAsia" w:ascii="宋体" w:hAnsi="宋体"/>
          <w:color w:val="FF0000"/>
        </w:rPr>
        <w:t>（八）阻碍、抗拒主管部门监督检查的；</w:t>
      </w:r>
    </w:p>
    <w:p w14:paraId="35D4F23C">
      <w:pPr>
        <w:ind w:firstLine="480" w:firstLineChars="200"/>
        <w:rPr>
          <w:rFonts w:ascii="宋体" w:hAnsi="宋体"/>
          <w:color w:val="FF0000"/>
        </w:rPr>
      </w:pPr>
      <w:r>
        <w:rPr>
          <w:rFonts w:hint="eastAsia" w:ascii="宋体" w:hAnsi="宋体"/>
          <w:color w:val="FF0000"/>
        </w:rPr>
        <w:t>（九）其他违反本条例规定的行为。</w:t>
      </w:r>
    </w:p>
    <w:p w14:paraId="3F9674F7">
      <w:pPr>
        <w:ind w:firstLine="482" w:firstLineChars="200"/>
        <w:rPr>
          <w:rFonts w:ascii="宋体" w:hAnsi="宋体"/>
          <w:color w:val="FF0000"/>
        </w:rPr>
      </w:pPr>
      <w:r>
        <w:rPr>
          <w:rFonts w:hint="eastAsia" w:ascii="宋体" w:hAnsi="宋体" w:eastAsia="宋体"/>
          <w:b/>
          <w:bCs/>
          <w:color w:val="FF0000"/>
          <w:lang w:eastAsia="zh-CN"/>
        </w:rPr>
        <w:t>三</w:t>
      </w:r>
      <w:r>
        <w:rPr>
          <w:rFonts w:hint="eastAsia" w:ascii="宋体" w:hAnsi="宋体"/>
          <w:b/>
          <w:bCs/>
          <w:color w:val="FF0000"/>
        </w:rPr>
        <w:t>、《深圳经济特区政府采购条例实施细则》第七十五条 </w:t>
      </w:r>
      <w:r>
        <w:rPr>
          <w:rFonts w:hint="eastAsia" w:ascii="宋体" w:hAnsi="宋体"/>
          <w:color w:val="FF0000"/>
        </w:rPr>
        <w:t>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存在非正常一致；（六）由同一单位工作人员为两家以上（含两家）供应商进行同一项投标活动的；（七）主管部门依照法律、法规认定的其他情形。</w:t>
      </w:r>
    </w:p>
    <w:p w14:paraId="311B7B29">
      <w:pPr>
        <w:ind w:firstLine="482" w:firstLineChars="200"/>
        <w:rPr>
          <w:rFonts w:ascii="宋体" w:hAnsi="宋体"/>
          <w:color w:val="FF0000"/>
        </w:rPr>
      </w:pPr>
      <w:r>
        <w:rPr>
          <w:rFonts w:hint="eastAsia" w:ascii="宋体" w:hAnsi="宋体" w:eastAsia="宋体"/>
          <w:b/>
          <w:bCs/>
          <w:color w:val="FF0000"/>
          <w:lang w:eastAsia="zh-CN"/>
        </w:rPr>
        <w:t>四</w:t>
      </w:r>
      <w:r>
        <w:rPr>
          <w:rFonts w:hint="eastAsia" w:ascii="宋体" w:hAnsi="宋体"/>
          <w:b/>
          <w:bCs/>
          <w:color w:val="FF0000"/>
        </w:rPr>
        <w:t>、《深圳经济特区政府采购条例实施细则》第七十七条 </w:t>
      </w:r>
      <w:r>
        <w:rPr>
          <w:rFonts w:hint="eastAsia" w:ascii="宋体" w:hAnsi="宋体"/>
          <w:color w:val="FF0000"/>
        </w:rPr>
        <w:t>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420B16ED">
      <w:pPr>
        <w:ind w:firstLine="480" w:firstLineChars="200"/>
        <w:rPr>
          <w:rFonts w:hint="eastAsia" w:ascii="宋体" w:hAnsi="宋体"/>
          <w:color w:val="FF0000"/>
          <w:highlight w:val="none"/>
        </w:rPr>
      </w:pPr>
      <w:r>
        <w:rPr>
          <w:rFonts w:hint="eastAsia" w:ascii="宋体" w:hAnsi="宋体"/>
          <w:color w:val="FF0000"/>
          <w:highlight w:val="none"/>
        </w:rPr>
        <w:t>投标供应商不能提供项目负责人或者主要技术人员的劳动合同、社会保险等劳动关系证明材料的，视为存在前款第（三）项规定的情形。</w:t>
      </w:r>
    </w:p>
    <w:p w14:paraId="54EF1990">
      <w:pPr>
        <w:ind w:firstLine="480" w:firstLineChars="200"/>
        <w:rPr>
          <w:rFonts w:hint="eastAsia" w:ascii="宋体" w:hAnsi="宋体" w:eastAsia="宋体" w:cs="Times New Roman"/>
          <w:color w:val="FF0000"/>
          <w:highlight w:val="none"/>
          <w:lang w:eastAsia="zh-CN"/>
        </w:rPr>
      </w:pPr>
      <w:r>
        <w:rPr>
          <w:rFonts w:hint="eastAsia" w:ascii="宋体" w:hAnsi="宋体" w:eastAsia="宋体" w:cs="Times New Roman"/>
          <w:color w:val="FF0000"/>
          <w:highlight w:val="none"/>
          <w:lang w:eastAsia="zh-CN"/>
        </w:rPr>
        <w:t>五</w:t>
      </w:r>
      <w:r>
        <w:rPr>
          <w:rFonts w:hint="eastAsia" w:ascii="宋体" w:hAnsi="宋体" w:eastAsia="Times New Roman" w:cs="Times New Roman"/>
          <w:color w:val="FF0000"/>
          <w:highlight w:val="none"/>
        </w:rPr>
        <w:t>、请投标供应商阅读《政府采购违法行为风险知悉确认书》（内容详见“投标文件附件（信息不公开部分）”中“投标人认为需要加以说明的其他内容（格式自定）”</w:t>
      </w:r>
      <w:r>
        <w:rPr>
          <w:rFonts w:hint="eastAsia" w:ascii="宋体" w:hAnsi="宋体" w:eastAsia="宋体" w:cs="Times New Roman"/>
          <w:color w:val="FF0000"/>
          <w:highlight w:val="none"/>
          <w:lang w:eastAsia="zh-CN"/>
        </w:rPr>
        <w:t>）</w:t>
      </w:r>
      <w:r>
        <w:rPr>
          <w:rFonts w:hint="eastAsia" w:ascii="宋体" w:hAnsi="宋体" w:eastAsia="Times New Roman" w:cs="Times New Roman"/>
          <w:color w:val="FF0000"/>
          <w:highlight w:val="none"/>
        </w:rPr>
        <w:t>，并经各投标供应商负责人或投标授权代表签字并加盖单位公章后，扫描上传至投标文件一并提交。</w:t>
      </w:r>
    </w:p>
    <w:p w14:paraId="288500AA">
      <w:pPr>
        <w:ind w:firstLine="480" w:firstLineChars="200"/>
        <w:rPr>
          <w:rFonts w:hint="eastAsia" w:ascii="宋体" w:hAnsi="宋体" w:eastAsia="Times New Roman" w:cs="Times New Roman"/>
          <w:color w:val="FF0000"/>
          <w:highlight w:val="none"/>
        </w:rPr>
      </w:pPr>
      <w:r>
        <w:rPr>
          <w:rFonts w:hint="eastAsia" w:ascii="宋体" w:hAnsi="宋体" w:eastAsia="Times New Roman" w:cs="Times New Roman"/>
          <w:color w:val="FF0000"/>
          <w:highlight w:val="none"/>
        </w:rPr>
        <w:t>注：该风险知悉确认书用于对供应商违法行为的警示，不作为供应商资格性审查及符合性审查条件。</w:t>
      </w:r>
    </w:p>
    <w:p w14:paraId="5175A4D1">
      <w:pPr>
        <w:keepNext w:val="0"/>
        <w:keepLines w:val="0"/>
        <w:pageBreakBefore w:val="0"/>
        <w:widowControl/>
        <w:numPr>
          <w:ilvl w:val="0"/>
          <w:numId w:val="0"/>
        </w:numPr>
        <w:kinsoku/>
        <w:wordWrap/>
        <w:overflowPunct/>
        <w:topLinePunct w:val="0"/>
        <w:autoSpaceDE/>
        <w:autoSpaceDN/>
        <w:bidi w:val="0"/>
        <w:adjustRightInd/>
        <w:snapToGrid/>
        <w:ind w:firstLine="480" w:firstLineChars="200"/>
        <w:textAlignment w:val="auto"/>
        <w:rPr>
          <w:rFonts w:hint="eastAsia" w:ascii="宋体" w:hAnsi="宋体" w:eastAsia="Times New Roman" w:cs="Times New Roman"/>
          <w:b w:val="0"/>
          <w:bCs w:val="0"/>
          <w:color w:val="FF0000"/>
          <w:highlight w:val="none"/>
          <w:lang w:val="en-US" w:eastAsia="zh-CN"/>
        </w:rPr>
      </w:pPr>
      <w:r>
        <w:rPr>
          <w:rFonts w:hint="eastAsia" w:ascii="宋体" w:hAnsi="宋体" w:cs="Times New Roman"/>
          <w:b w:val="0"/>
          <w:bCs w:val="0"/>
          <w:color w:val="FF0000"/>
          <w:sz w:val="24"/>
          <w:szCs w:val="24"/>
          <w:highlight w:val="none"/>
          <w:lang w:val="en-US" w:eastAsia="zh-CN"/>
        </w:rPr>
        <w:t>六</w:t>
      </w:r>
      <w:r>
        <w:rPr>
          <w:rFonts w:hint="eastAsia" w:ascii="宋体" w:hAnsi="宋体" w:eastAsia="Times New Roman" w:cs="Times New Roman"/>
          <w:b w:val="0"/>
          <w:bCs w:val="0"/>
          <w:color w:val="FF0000"/>
          <w:sz w:val="24"/>
          <w:szCs w:val="24"/>
          <w:highlight w:val="none"/>
          <w:lang w:val="en-US" w:eastAsia="zh-CN"/>
        </w:rPr>
        <w:t>、</w:t>
      </w:r>
      <w:r>
        <w:rPr>
          <w:rFonts w:hint="eastAsia" w:ascii="宋体" w:hAnsi="宋体" w:eastAsia="Times New Roman" w:cs="Times New Roman"/>
          <w:b w:val="0"/>
          <w:bCs w:val="0"/>
          <w:color w:val="FF0000"/>
          <w:highlight w:val="none"/>
        </w:rPr>
        <w:t>供应商在使用深圳政府采购智慧平台的投标文件制作工具创建投标文件时，该工具将自动在投标文件中记录文件创建标识码，同时提取投标文件制作电脑的网卡MAC地址、硬盘序列号、CPU 序列号、主板序列号和工具标识号，经加密生成文件制作机器码并在投标文件中记录。文件制作机器码一致表明不同供应商使用了同一设备编制投标文件，文件创建标识码一致表明不同供应商的投标文件为同一份文件，IP 地址一致表明上传投标文件时使用了相同的网络。</w:t>
      </w:r>
    </w:p>
    <w:p w14:paraId="492878E0">
      <w:pPr>
        <w:keepNext w:val="0"/>
        <w:keepLines w:val="0"/>
        <w:pageBreakBefore w:val="0"/>
        <w:widowControl/>
        <w:numPr>
          <w:ilvl w:val="0"/>
          <w:numId w:val="0"/>
        </w:numPr>
        <w:kinsoku/>
        <w:wordWrap/>
        <w:overflowPunct/>
        <w:topLinePunct w:val="0"/>
        <w:autoSpaceDE/>
        <w:autoSpaceDN/>
        <w:bidi w:val="0"/>
        <w:adjustRightInd/>
        <w:snapToGrid/>
        <w:ind w:firstLine="480" w:firstLineChars="200"/>
        <w:textAlignment w:val="auto"/>
        <w:rPr>
          <w:rFonts w:hint="eastAsia" w:ascii="宋体" w:hAnsi="宋体" w:eastAsia="Times New Roman" w:cs="Times New Roman"/>
          <w:b w:val="0"/>
          <w:bCs w:val="0"/>
          <w:color w:val="FF0000"/>
          <w:highlight w:val="none"/>
        </w:rPr>
      </w:pPr>
      <w:r>
        <w:rPr>
          <w:rFonts w:hint="eastAsia" w:ascii="宋体" w:hAnsi="宋体" w:eastAsia="宋体" w:cs="Times New Roman"/>
          <w:b w:val="0"/>
          <w:bCs w:val="0"/>
          <w:color w:val="FF0000"/>
          <w:highlight w:val="none"/>
          <w:lang w:eastAsia="zh-CN"/>
        </w:rPr>
        <w:t>七</w:t>
      </w:r>
      <w:r>
        <w:rPr>
          <w:rFonts w:hint="eastAsia" w:ascii="宋体" w:hAnsi="宋体" w:eastAsia="Times New Roman" w:cs="Times New Roman"/>
          <w:b w:val="0"/>
          <w:bCs w:val="0"/>
          <w:color w:val="FF0000"/>
          <w:highlight w:val="none"/>
        </w:rPr>
        <w:t>、为避免出现不同供应商投标文件的文件制作机器码、文件创建标识码、IP地址一致的异常情况，建议各供应商编制、上传投标文件时不要使用公共电脑设备或公共网络。</w:t>
      </w:r>
    </w:p>
    <w:p w14:paraId="2EE9247E">
      <w:pPr>
        <w:keepNext w:val="0"/>
        <w:keepLines w:val="0"/>
        <w:pageBreakBefore w:val="0"/>
        <w:widowControl/>
        <w:numPr>
          <w:ilvl w:val="0"/>
          <w:numId w:val="0"/>
        </w:numPr>
        <w:kinsoku/>
        <w:wordWrap/>
        <w:overflowPunct/>
        <w:topLinePunct w:val="0"/>
        <w:autoSpaceDE/>
        <w:autoSpaceDN/>
        <w:bidi w:val="0"/>
        <w:adjustRightInd/>
        <w:snapToGrid/>
        <w:ind w:firstLine="480" w:firstLineChars="200"/>
        <w:textAlignment w:val="auto"/>
        <w:rPr>
          <w:rFonts w:hint="eastAsia" w:ascii="宋体" w:hAnsi="宋体" w:eastAsia="Times New Roman" w:cs="Times New Roman"/>
          <w:b w:val="0"/>
          <w:bCs w:val="0"/>
          <w:color w:val="FF0000"/>
          <w:highlight w:val="none"/>
          <w:lang w:val="en-US" w:eastAsia="zh-CN"/>
        </w:rPr>
      </w:pPr>
      <w:r>
        <w:rPr>
          <w:rFonts w:hint="eastAsia" w:ascii="宋体" w:hAnsi="宋体" w:eastAsia="宋体" w:cs="Times New Roman"/>
          <w:b w:val="0"/>
          <w:bCs w:val="0"/>
          <w:color w:val="FF0000"/>
          <w:highlight w:val="none"/>
          <w:lang w:eastAsia="zh-CN"/>
        </w:rPr>
        <w:t>八</w:t>
      </w:r>
      <w:r>
        <w:rPr>
          <w:rFonts w:hint="eastAsia" w:ascii="宋体" w:hAnsi="宋体" w:eastAsia="Times New Roman" w:cs="Times New Roman"/>
          <w:b w:val="0"/>
          <w:bCs w:val="0"/>
          <w:color w:val="FF0000"/>
          <w:highlight w:val="none"/>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电子秘钥。</w:t>
      </w:r>
    </w:p>
    <w:p w14:paraId="7EAAFA6C">
      <w:pPr>
        <w:rPr>
          <w:color w:val="000000" w:themeColor="text1"/>
          <w14:textFill>
            <w14:solidFill>
              <w14:schemeClr w14:val="tx1"/>
            </w14:solidFill>
          </w14:textFill>
        </w:rPr>
      </w:pPr>
    </w:p>
    <w:p w14:paraId="1802D91F">
      <w:pPr>
        <w:pStyle w:val="2"/>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r>
        <w:rPr>
          <w:rFonts w:hint="eastAsia"/>
          <w:color w:val="000000" w:themeColor="text1"/>
          <w14:textFill>
            <w14:solidFill>
              <w14:schemeClr w14:val="tx1"/>
            </w14:solidFill>
          </w14:textFill>
        </w:rPr>
        <w:t>目   录</w:t>
      </w:r>
    </w:p>
    <w:p w14:paraId="753F1B04">
      <w:pPr>
        <w:spacing w:line="360" w:lineRule="auto"/>
        <w:outlineLvl w:val="1"/>
        <w:rPr>
          <w:rFonts w:ascii="宋体" w:hAnsi="宋体" w:eastAsia="宋体"/>
          <w:b/>
          <w:color w:val="000000" w:themeColor="text1"/>
          <w14:textFill>
            <w14:solidFill>
              <w14:schemeClr w14:val="tx1"/>
            </w14:solidFill>
          </w14:textFill>
        </w:rPr>
      </w:pPr>
      <w:r>
        <w:rPr>
          <w:rFonts w:hint="eastAsia" w:ascii="宋体" w:hAnsi="宋体" w:eastAsia="宋体"/>
          <w:b/>
          <w:color w:val="000000" w:themeColor="text1"/>
          <w14:textFill>
            <w14:solidFill>
              <w14:schemeClr w14:val="tx1"/>
            </w14:solidFill>
          </w14:textFill>
        </w:rPr>
        <w:t>第一册  专用条款</w:t>
      </w:r>
    </w:p>
    <w:p w14:paraId="38C0F48A">
      <w:pPr>
        <w:spacing w:line="360" w:lineRule="auto"/>
        <w:ind w:left="720" w:leftChars="300" w:firstLine="470" w:firstLineChars="196"/>
        <w:rPr>
          <w:rFonts w:hint="eastAsia"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第一章  招标公告</w:t>
      </w:r>
    </w:p>
    <w:p w14:paraId="122CF8E3">
      <w:pPr>
        <w:spacing w:line="360" w:lineRule="auto"/>
        <w:ind w:left="720" w:leftChars="300" w:firstLine="470" w:firstLineChars="196"/>
        <w:rPr>
          <w:rFonts w:hint="eastAsia"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 xml:space="preserve">第二章  </w:t>
      </w:r>
      <w:bookmarkStart w:id="2" w:name="_Hlk71994379"/>
      <w:r>
        <w:rPr>
          <w:rFonts w:hint="eastAsia" w:ascii="宋体" w:hAnsi="宋体" w:eastAsia="宋体"/>
          <w:color w:val="000000" w:themeColor="text1"/>
          <w:szCs w:val="21"/>
          <w14:textFill>
            <w14:solidFill>
              <w14:schemeClr w14:val="tx1"/>
            </w14:solidFill>
          </w14:textFill>
        </w:rPr>
        <w:t>对通用条款的补充内容及其他关键信息</w:t>
      </w:r>
      <w:bookmarkEnd w:id="2"/>
    </w:p>
    <w:p w14:paraId="2321AFB1">
      <w:pPr>
        <w:spacing w:line="360" w:lineRule="auto"/>
        <w:ind w:left="720" w:leftChars="300" w:firstLine="470" w:firstLineChars="196"/>
        <w:rPr>
          <w:rFonts w:hint="eastAsia"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第三章  用户需求书</w:t>
      </w:r>
    </w:p>
    <w:p w14:paraId="39ECBEB6">
      <w:pPr>
        <w:spacing w:line="360" w:lineRule="auto"/>
        <w:ind w:left="720" w:leftChars="300" w:firstLine="470" w:firstLineChars="196"/>
        <w:rPr>
          <w:rFonts w:hint="eastAsia"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第四章  投标文件组成要求及格式</w:t>
      </w:r>
    </w:p>
    <w:p w14:paraId="637F6ACE">
      <w:pPr>
        <w:spacing w:line="360" w:lineRule="auto"/>
        <w:ind w:left="720" w:leftChars="300" w:firstLine="470" w:firstLineChars="196"/>
        <w:rPr>
          <w:rFonts w:hint="eastAsia"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第五章  合同条款及格式</w:t>
      </w:r>
    </w:p>
    <w:p w14:paraId="6502E94F">
      <w:pPr>
        <w:rPr>
          <w:rFonts w:eastAsia="宋体"/>
        </w:rPr>
      </w:pPr>
    </w:p>
    <w:p w14:paraId="6DD62B20">
      <w:pPr>
        <w:spacing w:line="360" w:lineRule="auto"/>
        <w:outlineLvl w:val="1"/>
        <w:rPr>
          <w:rFonts w:ascii="宋体" w:hAnsi="宋体" w:eastAsia="宋体"/>
          <w:b/>
          <w:color w:val="000000" w:themeColor="text1"/>
          <w14:textFill>
            <w14:solidFill>
              <w14:schemeClr w14:val="tx1"/>
            </w14:solidFill>
          </w14:textFill>
        </w:rPr>
      </w:pPr>
      <w:r>
        <w:rPr>
          <w:rFonts w:hint="eastAsia" w:ascii="宋体" w:hAnsi="宋体" w:eastAsia="宋体"/>
          <w:b/>
          <w:color w:val="000000" w:themeColor="text1"/>
          <w14:textFill>
            <w14:solidFill>
              <w14:schemeClr w14:val="tx1"/>
            </w14:solidFill>
          </w14:textFill>
        </w:rPr>
        <w:t>第二册  通用条款</w:t>
      </w:r>
    </w:p>
    <w:p w14:paraId="425DECD6">
      <w:pPr>
        <w:spacing w:line="360" w:lineRule="auto"/>
        <w:ind w:left="720" w:leftChars="300" w:firstLine="470" w:firstLineChars="196"/>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第一章  总则</w:t>
      </w:r>
    </w:p>
    <w:p w14:paraId="56067BE8">
      <w:pPr>
        <w:spacing w:line="360" w:lineRule="auto"/>
        <w:ind w:left="720" w:leftChars="300" w:firstLine="470" w:firstLineChars="196"/>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第二章  招标文件</w:t>
      </w:r>
    </w:p>
    <w:p w14:paraId="2190B8EC">
      <w:pPr>
        <w:spacing w:line="360" w:lineRule="auto"/>
        <w:ind w:left="720" w:leftChars="300" w:firstLine="470" w:firstLineChars="196"/>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第三章  投标文件的编制</w:t>
      </w:r>
    </w:p>
    <w:p w14:paraId="3BFC1612">
      <w:pPr>
        <w:spacing w:line="360" w:lineRule="auto"/>
        <w:ind w:left="720" w:leftChars="300" w:firstLine="470" w:firstLineChars="196"/>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第四章  投标文件的递交</w:t>
      </w:r>
    </w:p>
    <w:p w14:paraId="4231B9CD">
      <w:pPr>
        <w:spacing w:line="360" w:lineRule="auto"/>
        <w:ind w:left="720" w:leftChars="300" w:firstLine="470" w:firstLineChars="196"/>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第五章  开标</w:t>
      </w:r>
    </w:p>
    <w:p w14:paraId="763E0250">
      <w:pPr>
        <w:spacing w:line="360" w:lineRule="auto"/>
        <w:ind w:left="720" w:leftChars="300" w:firstLine="470" w:firstLineChars="196"/>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第六章  评审要求</w:t>
      </w:r>
    </w:p>
    <w:p w14:paraId="0D630511">
      <w:pPr>
        <w:spacing w:line="360" w:lineRule="auto"/>
        <w:ind w:left="720" w:leftChars="300" w:firstLine="470" w:firstLineChars="196"/>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第七章  评审程序及评审方法</w:t>
      </w:r>
    </w:p>
    <w:p w14:paraId="1E036C17">
      <w:pPr>
        <w:spacing w:line="360" w:lineRule="auto"/>
        <w:ind w:left="720" w:leftChars="300" w:firstLine="470" w:firstLineChars="196"/>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第八章  定标及公示</w:t>
      </w:r>
    </w:p>
    <w:p w14:paraId="4C5E3268">
      <w:pPr>
        <w:spacing w:line="360" w:lineRule="auto"/>
        <w:ind w:left="720" w:leftChars="300" w:firstLine="470" w:firstLineChars="196"/>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第九章  公开招标失败的后续处理</w:t>
      </w:r>
    </w:p>
    <w:p w14:paraId="59F14C64">
      <w:pPr>
        <w:spacing w:line="360" w:lineRule="auto"/>
        <w:ind w:left="720" w:leftChars="300" w:firstLine="470" w:firstLineChars="196"/>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第十章  合同的授予与备案</w:t>
      </w:r>
    </w:p>
    <w:p w14:paraId="0B3C9EFD">
      <w:pPr>
        <w:spacing w:line="360" w:lineRule="auto"/>
        <w:ind w:left="720" w:leftChars="300" w:firstLine="470" w:firstLineChars="196"/>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第十一章  质疑处理</w:t>
      </w:r>
    </w:p>
    <w:p w14:paraId="159DC1FF">
      <w:pPr>
        <w:spacing w:line="360" w:lineRule="auto"/>
        <w:ind w:firstLine="480" w:firstLineChars="200"/>
        <w:rPr>
          <w:rFonts w:ascii="宋体" w:hAnsi="宋体" w:eastAsia="宋体"/>
          <w:color w:val="000000" w:themeColor="text1"/>
          <w:szCs w:val="21"/>
          <w14:textFill>
            <w14:solidFill>
              <w14:schemeClr w14:val="tx1"/>
            </w14:solidFill>
          </w14:textFill>
        </w:rPr>
      </w:pPr>
    </w:p>
    <w:p w14:paraId="3EEE74DC">
      <w:pPr>
        <w:pStyle w:val="2"/>
        <w:rPr>
          <w:color w:val="000000" w:themeColor="text1"/>
          <w:sz w:val="24"/>
          <w14:textFill>
            <w14:solidFill>
              <w14:schemeClr w14:val="tx1"/>
            </w14:solidFill>
          </w14:textFill>
        </w:rPr>
      </w:pPr>
      <w:r>
        <w:rPr>
          <w:rFonts w:eastAsia="宋体"/>
          <w:color w:val="000000" w:themeColor="text1"/>
          <w14:textFill>
            <w14:solidFill>
              <w14:schemeClr w14:val="tx1"/>
            </w14:solidFill>
          </w14:textFill>
        </w:rPr>
        <w:br w:type="page"/>
      </w:r>
      <w:bookmarkStart w:id="3" w:name="bt项目管理班子配备情况"/>
      <w:bookmarkEnd w:id="3"/>
      <w:bookmarkStart w:id="4" w:name="bt说明"/>
      <w:bookmarkEnd w:id="4"/>
      <w:bookmarkStart w:id="5" w:name="bt投标人须知"/>
      <w:bookmarkEnd w:id="5"/>
      <w:bookmarkStart w:id="6" w:name="bt其他资料2"/>
      <w:bookmarkEnd w:id="6"/>
      <w:bookmarkStart w:id="7" w:name="bt合同格式"/>
      <w:bookmarkEnd w:id="7"/>
      <w:bookmarkStart w:id="8" w:name="bt投标函"/>
      <w:bookmarkEnd w:id="8"/>
      <w:bookmarkStart w:id="9" w:name="bt投标人情况介绍"/>
      <w:bookmarkEnd w:id="9"/>
      <w:bookmarkStart w:id="10" w:name="bt投标文件签署授权委托书"/>
      <w:bookmarkEnd w:id="10"/>
      <w:bookmarkStart w:id="11" w:name="bt开标一览表"/>
      <w:bookmarkEnd w:id="11"/>
      <w:bookmarkStart w:id="12" w:name="bt合同条款"/>
      <w:bookmarkEnd w:id="12"/>
      <w:bookmarkStart w:id="13" w:name="bt技术标投标文件格式"/>
      <w:bookmarkEnd w:id="13"/>
      <w:bookmarkStart w:id="14" w:name="bt投标报价汇总表"/>
      <w:bookmarkEnd w:id="14"/>
      <w:bookmarkStart w:id="15" w:name="bt其他资料由投标人自定"/>
      <w:bookmarkEnd w:id="15"/>
      <w:bookmarkStart w:id="16" w:name="bt本工程承诺书"/>
      <w:bookmarkEnd w:id="16"/>
      <w:bookmarkStart w:id="17" w:name="合同格式"/>
      <w:bookmarkEnd w:id="17"/>
      <w:bookmarkStart w:id="18" w:name="bt商务标投标文件格式"/>
      <w:bookmarkEnd w:id="18"/>
      <w:bookmarkStart w:id="19" w:name="bt合同条款及格式"/>
      <w:bookmarkEnd w:id="19"/>
      <w:r>
        <w:rPr>
          <w:rFonts w:hint="eastAsia"/>
          <w:color w:val="000000" w:themeColor="text1"/>
          <w14:textFill>
            <w14:solidFill>
              <w14:schemeClr w14:val="tx1"/>
            </w14:solidFill>
          </w14:textFill>
        </w:rPr>
        <w:t>第一册专用条款</w:t>
      </w:r>
    </w:p>
    <w:p w14:paraId="5B1704A1">
      <w:pPr>
        <w:pStyle w:val="5"/>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 xml:space="preserve">第一章  </w:t>
      </w:r>
      <w:r>
        <w:rPr>
          <w:rFonts w:hint="eastAsia" w:cs="宋体"/>
          <w:b/>
          <w:bCs/>
          <w:color w:val="000000" w:themeColor="text1"/>
          <w:szCs w:val="21"/>
          <w14:textFill>
            <w14:solidFill>
              <w14:schemeClr w14:val="tx1"/>
            </w14:solidFill>
          </w14:textFill>
        </w:rPr>
        <w:t>招标公告</w:t>
      </w:r>
      <w:r>
        <w:rPr>
          <w:rFonts w:hint="eastAsia"/>
          <w:b/>
          <w:bCs/>
          <w:color w:val="000000" w:themeColor="text1"/>
          <w14:textFill>
            <w14:solidFill>
              <w14:schemeClr w14:val="tx1"/>
            </w14:solidFill>
          </w14:textFill>
        </w:rPr>
        <w:t xml:space="preserve">  </w:t>
      </w:r>
    </w:p>
    <w:p w14:paraId="12853B9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FF0000"/>
          <w:sz w:val="28"/>
          <w:szCs w:val="28"/>
          <w:lang w:val="en-US" w:eastAsia="zh-CN"/>
        </w:rPr>
      </w:pPr>
      <w:r>
        <w:rPr>
          <w:rFonts w:hint="eastAsia" w:ascii="仿宋" w:hAnsi="仿宋" w:eastAsia="仿宋" w:cs="仿宋"/>
          <w:b/>
          <w:bCs/>
          <w:color w:val="FF0000"/>
          <w:sz w:val="28"/>
          <w:szCs w:val="28"/>
          <w:lang w:val="en-US" w:eastAsia="zh-CN"/>
        </w:rPr>
        <w:t>本公告内涉及时间的相关内容均已对外发布的招标公告内容为准</w:t>
      </w:r>
    </w:p>
    <w:p w14:paraId="5DEB416E">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p>
    <w:p w14:paraId="4EEFC8B3">
      <w:pPr>
        <w:keepNext w:val="0"/>
        <w:keepLines w:val="0"/>
        <w:pageBreakBefore w:val="0"/>
        <w:widowControl/>
        <w:kinsoku/>
        <w:wordWrap/>
        <w:overflowPunct/>
        <w:topLinePunct w:val="0"/>
        <w:autoSpaceDE/>
        <w:autoSpaceDN/>
        <w:bidi w:val="0"/>
        <w:adjustRightInd/>
        <w:snapToGrid/>
        <w:spacing w:beforeLines="0" w:afterLines="0" w:line="240" w:lineRule="auto"/>
        <w:ind w:firstLine="482" w:firstLineChars="200"/>
        <w:textAlignment w:val="auto"/>
        <w:rPr>
          <w:rFonts w:hint="eastAsia" w:ascii="宋体" w:hAnsi="宋体" w:eastAsia="宋体" w:cs="宋体"/>
          <w:b/>
          <w:color w:val="000000" w:themeColor="text1"/>
          <w:szCs w:val="21"/>
          <w:lang w:eastAsia="zh-CN"/>
          <w14:textFill>
            <w14:solidFill>
              <w14:schemeClr w14:val="tx1"/>
            </w14:solidFill>
          </w14:textFill>
        </w:rPr>
      </w:pPr>
      <w:r>
        <w:rPr>
          <w:rFonts w:hint="eastAsia" w:ascii="宋体" w:hAnsi="宋体" w:eastAsia="宋体" w:cs="宋体"/>
          <w:b/>
          <w:color w:val="000000" w:themeColor="text1"/>
          <w:szCs w:val="21"/>
          <w:lang w:eastAsia="zh-CN"/>
          <w14:textFill>
            <w14:solidFill>
              <w14:schemeClr w14:val="tx1"/>
            </w14:solidFill>
          </w14:textFill>
        </w:rPr>
        <w:t>一、项目概况：</w:t>
      </w:r>
    </w:p>
    <w:p w14:paraId="32E8E1A3">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2025年度深圳市市管桥涵定期检测的潜在投标人应在（本公告附件中）获取招标文件，于</w:t>
      </w:r>
      <w:r>
        <w:rPr>
          <w:rFonts w:hint="eastAsia" w:ascii="宋体" w:hAnsi="宋体" w:eastAsia="宋体" w:cs="宋体"/>
          <w:color w:val="FF0000"/>
          <w:highlight w:val="yellow"/>
          <w:lang w:eastAsia="zh-CN"/>
        </w:rPr>
        <w:t>202</w:t>
      </w:r>
      <w:r>
        <w:rPr>
          <w:rFonts w:hint="eastAsia" w:ascii="宋体" w:hAnsi="宋体" w:eastAsia="宋体" w:cs="宋体"/>
          <w:color w:val="FF0000"/>
          <w:highlight w:val="yellow"/>
          <w:lang w:val="en-US" w:eastAsia="zh-CN"/>
        </w:rPr>
        <w:t>5</w:t>
      </w:r>
      <w:r>
        <w:rPr>
          <w:rFonts w:hint="eastAsia" w:ascii="宋体" w:hAnsi="宋体" w:eastAsia="宋体" w:cs="宋体"/>
          <w:color w:val="FF0000"/>
          <w:highlight w:val="yellow"/>
          <w:lang w:eastAsia="zh-CN"/>
        </w:rPr>
        <w:t>年</w:t>
      </w:r>
      <w:r>
        <w:rPr>
          <w:rFonts w:hint="eastAsia" w:ascii="宋体" w:hAnsi="宋体" w:eastAsia="宋体" w:cs="宋体"/>
          <w:color w:val="FF0000"/>
          <w:highlight w:val="yellow"/>
          <w:lang w:val="en-US" w:eastAsia="zh-CN"/>
        </w:rPr>
        <w:t>X</w:t>
      </w:r>
      <w:r>
        <w:rPr>
          <w:rFonts w:hint="eastAsia" w:ascii="宋体" w:hAnsi="宋体" w:eastAsia="宋体" w:cs="宋体"/>
          <w:color w:val="FF0000"/>
          <w:highlight w:val="yellow"/>
          <w:lang w:eastAsia="zh-CN"/>
        </w:rPr>
        <w:t>月</w:t>
      </w:r>
      <w:r>
        <w:rPr>
          <w:rFonts w:hint="eastAsia" w:ascii="宋体" w:hAnsi="宋体" w:eastAsia="宋体" w:cs="宋体"/>
          <w:color w:val="FF0000"/>
          <w:highlight w:val="yellow"/>
          <w:lang w:val="en-US" w:eastAsia="zh-CN"/>
        </w:rPr>
        <w:t>X</w:t>
      </w:r>
      <w:r>
        <w:rPr>
          <w:rFonts w:hint="eastAsia" w:ascii="宋体" w:hAnsi="宋体" w:eastAsia="宋体" w:cs="宋体"/>
          <w:color w:val="FF0000"/>
          <w:highlight w:val="yellow"/>
          <w:lang w:eastAsia="zh-CN"/>
        </w:rPr>
        <w:t>日</w:t>
      </w:r>
      <w:r>
        <w:rPr>
          <w:rFonts w:hint="eastAsia" w:ascii="宋体" w:hAnsi="宋体" w:eastAsia="宋体" w:cs="宋体"/>
          <w:color w:val="FF0000"/>
          <w:highlight w:val="yellow"/>
          <w:lang w:val="en-US" w:eastAsia="zh-CN"/>
        </w:rPr>
        <w:t>XX时XX分XX秒</w:t>
      </w:r>
      <w:r>
        <w:rPr>
          <w:rFonts w:hint="eastAsia" w:ascii="宋体" w:hAnsi="宋体" w:eastAsia="宋体" w:cs="宋体"/>
        </w:rPr>
        <w:t>（北京时间）前递交投标文件。</w:t>
      </w:r>
    </w:p>
    <w:p w14:paraId="524D1B2A">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一、项目基本情况</w:t>
      </w:r>
    </w:p>
    <w:p w14:paraId="6DB9F3E1">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default" w:ascii="宋体" w:hAnsi="宋体" w:eastAsia="宋体" w:cs="宋体"/>
          <w:lang w:val="en-US" w:eastAsia="zh-CN"/>
        </w:rPr>
      </w:pPr>
      <w:r>
        <w:rPr>
          <w:rFonts w:hint="eastAsia" w:ascii="宋体" w:hAnsi="宋体" w:eastAsia="宋体" w:cs="宋体"/>
        </w:rPr>
        <w:t>1.项目编号：</w:t>
      </w:r>
      <w:r>
        <w:rPr>
          <w:rFonts w:hint="eastAsia" w:ascii="宋体" w:hAnsi="宋体" w:eastAsia="宋体" w:cs="宋体"/>
          <w:color w:val="FF0000"/>
          <w:highlight w:val="yellow"/>
          <w:u w:val="single"/>
          <w:lang w:val="en-US" w:eastAsia="zh-CN"/>
        </w:rPr>
        <w:t>SZDL2025001627</w:t>
      </w:r>
    </w:p>
    <w:p w14:paraId="23F26DD6">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rPr>
        <w:t>2.项目名称：</w:t>
      </w:r>
      <w:r>
        <w:rPr>
          <w:rFonts w:hint="eastAsia" w:ascii="宋体" w:hAnsi="宋体" w:eastAsia="宋体" w:cs="宋体"/>
          <w:color w:val="auto"/>
          <w:sz w:val="24"/>
          <w:szCs w:val="24"/>
          <w:highlight w:val="none"/>
        </w:rPr>
        <w:t>2025年度深圳市市管桥涵定期检测</w:t>
      </w:r>
    </w:p>
    <w:p w14:paraId="47057441">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3.预算金额：</w:t>
      </w:r>
      <w:r>
        <w:rPr>
          <w:rFonts w:hint="eastAsia" w:ascii="宋体" w:hAnsi="宋体" w:eastAsia="宋体" w:cs="宋体"/>
          <w:color w:val="FF0000"/>
          <w:highlight w:val="yellow"/>
          <w:lang w:val="en-US" w:eastAsia="zh-CN"/>
        </w:rPr>
        <w:t>18,000,000.00元</w:t>
      </w:r>
    </w:p>
    <w:p w14:paraId="68CC4B5F">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FF0000"/>
          <w:highlight w:val="yellow"/>
          <w:lang w:val="en-US" w:eastAsia="zh-CN"/>
        </w:rPr>
      </w:pPr>
      <w:r>
        <w:rPr>
          <w:rFonts w:hint="eastAsia" w:ascii="宋体" w:hAnsi="宋体" w:eastAsia="宋体" w:cs="宋体"/>
        </w:rPr>
        <w:t>4.最高限价：</w:t>
      </w:r>
      <w:r>
        <w:rPr>
          <w:rFonts w:hint="eastAsia" w:ascii="宋体" w:hAnsi="宋体" w:eastAsia="宋体" w:cs="宋体"/>
          <w:color w:val="FF0000"/>
          <w:highlight w:val="yellow"/>
          <w:lang w:val="en-US" w:eastAsia="zh-CN"/>
        </w:rPr>
        <w:t>18,000,000.00元</w:t>
      </w:r>
    </w:p>
    <w:p w14:paraId="67F1D3CF">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A包</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6</w:t>
      </w:r>
      <w:r>
        <w:rPr>
          <w:rFonts w:hint="default" w:ascii="宋体" w:hAnsi="宋体" w:eastAsia="宋体" w:cs="宋体"/>
          <w:color w:val="auto"/>
          <w:sz w:val="24"/>
          <w:highlight w:val="none"/>
          <w:lang w:val="en-US" w:eastAsia="zh-CN"/>
        </w:rPr>
        <w:t>,</w:t>
      </w:r>
      <w:r>
        <w:rPr>
          <w:rFonts w:hint="eastAsia" w:ascii="宋体" w:hAnsi="宋体" w:eastAsia="宋体" w:cs="宋体"/>
          <w:color w:val="auto"/>
          <w:sz w:val="24"/>
          <w:highlight w:val="none"/>
          <w:lang w:val="en-US" w:eastAsia="zh-CN"/>
        </w:rPr>
        <w:t>62</w:t>
      </w:r>
      <w:r>
        <w:rPr>
          <w:rFonts w:hint="default" w:ascii="宋体" w:hAnsi="宋体" w:eastAsia="宋体" w:cs="宋体"/>
          <w:color w:val="auto"/>
          <w:sz w:val="24"/>
          <w:highlight w:val="none"/>
          <w:lang w:val="en-US" w:eastAsia="zh-CN"/>
        </w:rPr>
        <w:t>0</w:t>
      </w:r>
      <w:r>
        <w:rPr>
          <w:rFonts w:hint="eastAsia" w:ascii="宋体" w:hAnsi="宋体" w:eastAsia="宋体" w:cs="宋体"/>
          <w:color w:val="auto"/>
          <w:sz w:val="24"/>
          <w:highlight w:val="none"/>
        </w:rPr>
        <w:t>,000.00元</w:t>
      </w:r>
    </w:p>
    <w:p w14:paraId="1985425F">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B包</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6,4</w:t>
      </w:r>
      <w:r>
        <w:rPr>
          <w:rFonts w:hint="default" w:ascii="宋体" w:hAnsi="宋体" w:eastAsia="宋体" w:cs="宋体"/>
          <w:color w:val="auto"/>
          <w:sz w:val="24"/>
          <w:highlight w:val="none"/>
          <w:lang w:val="en-US" w:eastAsia="zh-CN"/>
        </w:rPr>
        <w:t>8</w:t>
      </w:r>
      <w:r>
        <w:rPr>
          <w:rFonts w:hint="eastAsia" w:ascii="宋体" w:hAnsi="宋体" w:eastAsia="宋体" w:cs="宋体"/>
          <w:color w:val="auto"/>
          <w:sz w:val="24"/>
          <w:highlight w:val="none"/>
        </w:rPr>
        <w:t>0,000.00元</w:t>
      </w:r>
    </w:p>
    <w:p w14:paraId="3F887250">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C包</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w:t>
      </w:r>
      <w:r>
        <w:rPr>
          <w:rFonts w:hint="default" w:ascii="宋体" w:hAnsi="宋体" w:eastAsia="宋体" w:cs="宋体"/>
          <w:color w:val="auto"/>
          <w:sz w:val="24"/>
          <w:highlight w:val="none"/>
          <w:lang w:val="en-US" w:eastAsia="zh-CN"/>
        </w:rPr>
        <w:t>9</w:t>
      </w:r>
      <w:r>
        <w:rPr>
          <w:rFonts w:hint="eastAsia" w:ascii="宋体" w:hAnsi="宋体" w:eastAsia="宋体" w:cs="宋体"/>
          <w:color w:val="auto"/>
          <w:sz w:val="24"/>
          <w:highlight w:val="none"/>
          <w:lang w:val="en-US" w:eastAsia="zh-CN"/>
        </w:rPr>
        <w:t>0</w:t>
      </w:r>
      <w:r>
        <w:rPr>
          <w:rFonts w:hint="eastAsia" w:ascii="宋体" w:hAnsi="宋体" w:eastAsia="宋体" w:cs="宋体"/>
          <w:color w:val="auto"/>
          <w:sz w:val="24"/>
          <w:highlight w:val="none"/>
        </w:rPr>
        <w:t>0,000.00元</w:t>
      </w:r>
    </w:p>
    <w:p w14:paraId="65423052">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5.采购需求：</w:t>
      </w:r>
    </w:p>
    <w:tbl>
      <w:tblPr>
        <w:tblStyle w:val="16"/>
        <w:tblW w:w="7941" w:type="dxa"/>
        <w:tblInd w:w="0" w:type="dxa"/>
        <w:tblBorders>
          <w:top w:val="outset" w:color="AAAAAA" w:sz="6" w:space="0"/>
          <w:left w:val="outset" w:color="AAAAAA" w:sz="6" w:space="0"/>
          <w:bottom w:val="outset" w:color="AAAAAA" w:sz="6" w:space="0"/>
          <w:right w:val="outset" w:color="AAAAAA" w:sz="6" w:space="0"/>
          <w:insideH w:val="none" w:color="auto" w:sz="0" w:space="0"/>
          <w:insideV w:val="none" w:color="auto" w:sz="0" w:space="0"/>
        </w:tblBorders>
        <w:tblLayout w:type="fixed"/>
        <w:tblCellMar>
          <w:top w:w="60" w:type="dxa"/>
          <w:left w:w="60" w:type="dxa"/>
          <w:bottom w:w="60" w:type="dxa"/>
          <w:right w:w="60" w:type="dxa"/>
        </w:tblCellMar>
      </w:tblPr>
      <w:tblGrid>
        <w:gridCol w:w="2228"/>
        <w:gridCol w:w="714"/>
        <w:gridCol w:w="714"/>
        <w:gridCol w:w="3571"/>
        <w:gridCol w:w="714"/>
      </w:tblGrid>
      <w:tr w14:paraId="75C21FB0">
        <w:tblPrEx>
          <w:tblBorders>
            <w:top w:val="outset" w:color="AAAAAA" w:sz="6" w:space="0"/>
            <w:left w:val="outset" w:color="AAAAAA" w:sz="6" w:space="0"/>
            <w:bottom w:val="outset" w:color="AAAAAA" w:sz="6" w:space="0"/>
            <w:right w:val="outset" w:color="AAAAAA" w:sz="6" w:space="0"/>
            <w:insideH w:val="none" w:color="auto" w:sz="0" w:space="0"/>
            <w:insideV w:val="none" w:color="auto" w:sz="0" w:space="0"/>
          </w:tblBorders>
          <w:tblCellMar>
            <w:top w:w="60" w:type="dxa"/>
            <w:left w:w="60" w:type="dxa"/>
            <w:bottom w:w="60" w:type="dxa"/>
            <w:right w:w="60" w:type="dxa"/>
          </w:tblCellMar>
        </w:tblPrEx>
        <w:tc>
          <w:tcPr>
            <w:tcW w:w="2228" w:type="dxa"/>
            <w:tcBorders>
              <w:top w:val="outset" w:color="AAAAAA" w:sz="6" w:space="0"/>
              <w:left w:val="outset" w:color="AAAAAA" w:sz="6" w:space="0"/>
              <w:bottom w:val="outset" w:color="AAAAAA" w:sz="6" w:space="0"/>
              <w:right w:val="outset" w:color="AAAAAA" w:sz="6" w:space="0"/>
            </w:tcBorders>
            <w:shd w:val="clear" w:color="auto" w:fill="ABCDEF"/>
            <w:vAlign w:val="center"/>
          </w:tcPr>
          <w:p w14:paraId="6C85DBBF">
            <w:pPr>
              <w:spacing w:before="100" w:beforeAutospacing="1" w:after="100" w:afterAutospacing="1"/>
              <w:jc w:val="center"/>
              <w:rPr>
                <w:rFonts w:cs="宋体" w:asciiTheme="minorEastAsia" w:hAnsiTheme="minorEastAsia" w:eastAsiaTheme="minorEastAsia"/>
                <w:szCs w:val="21"/>
              </w:rPr>
            </w:pPr>
            <w:r>
              <w:rPr>
                <w:rFonts w:cs="宋体" w:asciiTheme="minorEastAsia" w:hAnsiTheme="minorEastAsia" w:eastAsiaTheme="minorEastAsia"/>
                <w:szCs w:val="21"/>
              </w:rPr>
              <w:t>标的名称</w:t>
            </w:r>
          </w:p>
        </w:tc>
        <w:tc>
          <w:tcPr>
            <w:tcW w:w="714" w:type="dxa"/>
            <w:tcBorders>
              <w:top w:val="outset" w:color="AAAAAA" w:sz="6" w:space="0"/>
              <w:left w:val="outset" w:color="AAAAAA" w:sz="6" w:space="0"/>
              <w:bottom w:val="outset" w:color="AAAAAA" w:sz="6" w:space="0"/>
              <w:right w:val="outset" w:color="AAAAAA" w:sz="6" w:space="0"/>
            </w:tcBorders>
            <w:shd w:val="clear" w:color="auto" w:fill="ABCDEF"/>
            <w:vAlign w:val="center"/>
          </w:tcPr>
          <w:p w14:paraId="0BBFEB8D">
            <w:pPr>
              <w:spacing w:before="100" w:beforeAutospacing="1" w:after="100" w:afterAutospacing="1"/>
              <w:jc w:val="center"/>
              <w:rPr>
                <w:rFonts w:cs="宋体" w:asciiTheme="minorEastAsia" w:hAnsiTheme="minorEastAsia" w:eastAsiaTheme="minorEastAsia"/>
                <w:szCs w:val="21"/>
              </w:rPr>
            </w:pPr>
            <w:r>
              <w:rPr>
                <w:rFonts w:cs="宋体" w:asciiTheme="minorEastAsia" w:hAnsiTheme="minorEastAsia" w:eastAsiaTheme="minorEastAsia"/>
                <w:szCs w:val="21"/>
              </w:rPr>
              <w:t>数量</w:t>
            </w:r>
          </w:p>
        </w:tc>
        <w:tc>
          <w:tcPr>
            <w:tcW w:w="714" w:type="dxa"/>
            <w:tcBorders>
              <w:top w:val="outset" w:color="AAAAAA" w:sz="6" w:space="0"/>
              <w:left w:val="outset" w:color="AAAAAA" w:sz="6" w:space="0"/>
              <w:bottom w:val="outset" w:color="AAAAAA" w:sz="6" w:space="0"/>
              <w:right w:val="outset" w:color="AAAAAA" w:sz="6" w:space="0"/>
            </w:tcBorders>
            <w:shd w:val="clear" w:color="auto" w:fill="ABCDEF"/>
            <w:vAlign w:val="center"/>
          </w:tcPr>
          <w:p w14:paraId="48E240DE">
            <w:pPr>
              <w:spacing w:before="100" w:beforeAutospacing="1" w:after="100" w:afterAutospacing="1"/>
              <w:jc w:val="center"/>
              <w:rPr>
                <w:rFonts w:cs="宋体" w:asciiTheme="minorEastAsia" w:hAnsiTheme="minorEastAsia" w:eastAsiaTheme="minorEastAsia"/>
                <w:szCs w:val="21"/>
              </w:rPr>
            </w:pPr>
            <w:r>
              <w:rPr>
                <w:rFonts w:cs="宋体" w:asciiTheme="minorEastAsia" w:hAnsiTheme="minorEastAsia" w:eastAsiaTheme="minorEastAsia"/>
                <w:szCs w:val="21"/>
              </w:rPr>
              <w:t>单位</w:t>
            </w:r>
          </w:p>
        </w:tc>
        <w:tc>
          <w:tcPr>
            <w:tcW w:w="3571" w:type="dxa"/>
            <w:tcBorders>
              <w:top w:val="outset" w:color="AAAAAA" w:sz="6" w:space="0"/>
              <w:left w:val="outset" w:color="AAAAAA" w:sz="6" w:space="0"/>
              <w:bottom w:val="outset" w:color="AAAAAA" w:sz="6" w:space="0"/>
              <w:right w:val="outset" w:color="AAAAAA" w:sz="6" w:space="0"/>
            </w:tcBorders>
            <w:shd w:val="clear" w:color="auto" w:fill="ABCDEF"/>
            <w:vAlign w:val="center"/>
          </w:tcPr>
          <w:p w14:paraId="23FFD932">
            <w:pPr>
              <w:spacing w:before="100" w:beforeAutospacing="1" w:after="100" w:afterAutospacing="1"/>
              <w:jc w:val="center"/>
              <w:rPr>
                <w:rFonts w:cs="宋体" w:asciiTheme="minorEastAsia" w:hAnsiTheme="minorEastAsia" w:eastAsiaTheme="minorEastAsia"/>
                <w:szCs w:val="21"/>
              </w:rPr>
            </w:pPr>
            <w:r>
              <w:rPr>
                <w:rFonts w:cs="宋体" w:asciiTheme="minorEastAsia" w:hAnsiTheme="minorEastAsia" w:eastAsiaTheme="minorEastAsia"/>
                <w:szCs w:val="21"/>
              </w:rPr>
              <w:t>简要技术需求（服务需求）</w:t>
            </w:r>
          </w:p>
        </w:tc>
        <w:tc>
          <w:tcPr>
            <w:tcW w:w="714" w:type="dxa"/>
            <w:tcBorders>
              <w:top w:val="outset" w:color="AAAAAA" w:sz="6" w:space="0"/>
              <w:left w:val="outset" w:color="AAAAAA" w:sz="6" w:space="0"/>
              <w:bottom w:val="outset" w:color="AAAAAA" w:sz="6" w:space="0"/>
              <w:right w:val="outset" w:color="AAAAAA" w:sz="6" w:space="0"/>
            </w:tcBorders>
            <w:shd w:val="clear" w:color="auto" w:fill="ABCDEF"/>
            <w:vAlign w:val="center"/>
          </w:tcPr>
          <w:p w14:paraId="6A23C9A9">
            <w:pPr>
              <w:spacing w:before="100" w:beforeAutospacing="1" w:after="100" w:afterAutospacing="1"/>
              <w:jc w:val="center"/>
              <w:rPr>
                <w:rFonts w:cs="宋体" w:asciiTheme="minorEastAsia" w:hAnsiTheme="minorEastAsia" w:eastAsiaTheme="minorEastAsia"/>
                <w:szCs w:val="21"/>
              </w:rPr>
            </w:pPr>
            <w:r>
              <w:rPr>
                <w:rFonts w:cs="宋体" w:asciiTheme="minorEastAsia" w:hAnsiTheme="minorEastAsia" w:eastAsiaTheme="minorEastAsia"/>
                <w:szCs w:val="21"/>
              </w:rPr>
              <w:t>备注</w:t>
            </w:r>
          </w:p>
        </w:tc>
      </w:tr>
      <w:tr w14:paraId="54A2EAB4">
        <w:tblPrEx>
          <w:tblBorders>
            <w:top w:val="outset" w:color="AAAAAA" w:sz="6" w:space="0"/>
            <w:left w:val="outset" w:color="AAAAAA" w:sz="6" w:space="0"/>
            <w:bottom w:val="outset" w:color="AAAAAA" w:sz="6" w:space="0"/>
            <w:right w:val="outset" w:color="AAAAAA" w:sz="6" w:space="0"/>
            <w:insideH w:val="none" w:color="auto" w:sz="0" w:space="0"/>
            <w:insideV w:val="none" w:color="auto" w:sz="0" w:space="0"/>
          </w:tblBorders>
          <w:tblCellMar>
            <w:top w:w="60" w:type="dxa"/>
            <w:left w:w="60" w:type="dxa"/>
            <w:bottom w:w="60" w:type="dxa"/>
            <w:right w:w="60" w:type="dxa"/>
          </w:tblCellMar>
        </w:tblPrEx>
        <w:tc>
          <w:tcPr>
            <w:tcW w:w="2228" w:type="dxa"/>
            <w:tcBorders>
              <w:top w:val="outset" w:color="AAAAAA" w:sz="6" w:space="0"/>
              <w:left w:val="outset" w:color="AAAAAA" w:sz="6" w:space="0"/>
              <w:bottom w:val="outset" w:color="AAAAAA" w:sz="6" w:space="0"/>
              <w:right w:val="outset" w:color="AAAAAA" w:sz="6" w:space="0"/>
            </w:tcBorders>
            <w:vAlign w:val="center"/>
          </w:tcPr>
          <w:p w14:paraId="4E165599">
            <w:pPr>
              <w:spacing w:before="100" w:beforeAutospacing="1" w:after="100" w:afterAutospacing="1"/>
              <w:jc w:val="center"/>
              <w:rPr>
                <w:rFonts w:hint="eastAsia" w:cs="宋体" w:asciiTheme="minorEastAsia" w:hAnsiTheme="minorEastAsia" w:eastAsiaTheme="minorEastAsia"/>
                <w:szCs w:val="21"/>
                <w:highlight w:val="yellow"/>
                <w:lang w:eastAsia="zh-CN"/>
              </w:rPr>
            </w:pPr>
            <w:r>
              <w:rPr>
                <w:rFonts w:hint="eastAsia" w:cs="宋体" w:asciiTheme="minorEastAsia" w:hAnsiTheme="minorEastAsia" w:eastAsiaTheme="minorEastAsia"/>
                <w:szCs w:val="21"/>
                <w:highlight w:val="yellow"/>
                <w:lang w:eastAsia="zh-CN"/>
              </w:rPr>
              <w:t>2025年度深圳市市管桥涵定期检测</w:t>
            </w:r>
          </w:p>
        </w:tc>
        <w:tc>
          <w:tcPr>
            <w:tcW w:w="714" w:type="dxa"/>
            <w:tcBorders>
              <w:top w:val="outset" w:color="AAAAAA" w:sz="6" w:space="0"/>
              <w:left w:val="outset" w:color="AAAAAA" w:sz="6" w:space="0"/>
              <w:bottom w:val="outset" w:color="AAAAAA" w:sz="6" w:space="0"/>
              <w:right w:val="outset" w:color="AAAAAA" w:sz="6" w:space="0"/>
            </w:tcBorders>
            <w:vAlign w:val="center"/>
          </w:tcPr>
          <w:p w14:paraId="1FB59BC8">
            <w:pPr>
              <w:spacing w:before="100" w:beforeAutospacing="1" w:after="100" w:afterAutospacing="1"/>
              <w:jc w:val="center"/>
              <w:rPr>
                <w:rFonts w:cs="宋体" w:asciiTheme="minorEastAsia" w:hAnsiTheme="minorEastAsia" w:eastAsiaTheme="minorEastAsia"/>
                <w:szCs w:val="21"/>
                <w:highlight w:val="yellow"/>
              </w:rPr>
            </w:pPr>
            <w:r>
              <w:rPr>
                <w:rFonts w:cs="宋体" w:asciiTheme="minorEastAsia" w:hAnsiTheme="minorEastAsia" w:eastAsiaTheme="minorEastAsia"/>
                <w:szCs w:val="21"/>
                <w:highlight w:val="yellow"/>
              </w:rPr>
              <w:t>1.0</w:t>
            </w:r>
          </w:p>
        </w:tc>
        <w:tc>
          <w:tcPr>
            <w:tcW w:w="714" w:type="dxa"/>
            <w:tcBorders>
              <w:top w:val="outset" w:color="AAAAAA" w:sz="6" w:space="0"/>
              <w:left w:val="outset" w:color="AAAAAA" w:sz="6" w:space="0"/>
              <w:bottom w:val="outset" w:color="AAAAAA" w:sz="6" w:space="0"/>
              <w:right w:val="outset" w:color="AAAAAA" w:sz="6" w:space="0"/>
            </w:tcBorders>
            <w:vAlign w:val="center"/>
          </w:tcPr>
          <w:p w14:paraId="173D18FE">
            <w:pPr>
              <w:spacing w:before="100" w:beforeAutospacing="1" w:after="100" w:afterAutospacing="1"/>
              <w:jc w:val="center"/>
              <w:rPr>
                <w:rFonts w:cs="宋体" w:asciiTheme="minorEastAsia" w:hAnsiTheme="minorEastAsia" w:eastAsiaTheme="minorEastAsia"/>
                <w:szCs w:val="21"/>
                <w:highlight w:val="yellow"/>
              </w:rPr>
            </w:pPr>
            <w:r>
              <w:rPr>
                <w:rFonts w:cs="宋体" w:asciiTheme="minorEastAsia" w:hAnsiTheme="minorEastAsia" w:eastAsiaTheme="minorEastAsia"/>
                <w:szCs w:val="21"/>
                <w:highlight w:val="yellow"/>
              </w:rPr>
              <w:t>项</w:t>
            </w:r>
          </w:p>
        </w:tc>
        <w:tc>
          <w:tcPr>
            <w:tcW w:w="3571" w:type="dxa"/>
            <w:tcBorders>
              <w:top w:val="outset" w:color="AAAAAA" w:sz="6" w:space="0"/>
              <w:left w:val="outset" w:color="AAAAAA" w:sz="6" w:space="0"/>
              <w:bottom w:val="outset" w:color="AAAAAA" w:sz="6" w:space="0"/>
              <w:right w:val="outset" w:color="AAAAAA" w:sz="6" w:space="0"/>
            </w:tcBorders>
            <w:vAlign w:val="center"/>
          </w:tcPr>
          <w:p w14:paraId="508914B2">
            <w:pPr>
              <w:spacing w:before="100" w:beforeAutospacing="1" w:after="100" w:afterAutospacing="1"/>
              <w:jc w:val="center"/>
              <w:rPr>
                <w:rFonts w:cs="宋体" w:asciiTheme="minorEastAsia" w:hAnsiTheme="minorEastAsia" w:eastAsiaTheme="minorEastAsia"/>
                <w:szCs w:val="21"/>
                <w:highlight w:val="yellow"/>
              </w:rPr>
            </w:pPr>
            <w:r>
              <w:rPr>
                <w:rFonts w:cs="宋体" w:asciiTheme="minorEastAsia" w:hAnsiTheme="minorEastAsia" w:eastAsiaTheme="minorEastAsia"/>
                <w:szCs w:val="21"/>
                <w:highlight w:val="yellow"/>
              </w:rPr>
              <w:t>详见采购文件</w:t>
            </w:r>
          </w:p>
        </w:tc>
        <w:tc>
          <w:tcPr>
            <w:tcW w:w="714" w:type="dxa"/>
            <w:tcBorders>
              <w:top w:val="outset" w:color="AAAAAA" w:sz="6" w:space="0"/>
              <w:left w:val="outset" w:color="AAAAAA" w:sz="6" w:space="0"/>
              <w:bottom w:val="outset" w:color="AAAAAA" w:sz="6" w:space="0"/>
              <w:right w:val="outset" w:color="AAAAAA" w:sz="6" w:space="0"/>
            </w:tcBorders>
            <w:vAlign w:val="center"/>
          </w:tcPr>
          <w:p w14:paraId="24082150">
            <w:pPr>
              <w:jc w:val="center"/>
              <w:rPr>
                <w:rFonts w:cs="宋体" w:asciiTheme="minorEastAsia" w:hAnsiTheme="minorEastAsia" w:eastAsiaTheme="minorEastAsia"/>
                <w:szCs w:val="21"/>
              </w:rPr>
            </w:pPr>
          </w:p>
        </w:tc>
      </w:tr>
    </w:tbl>
    <w:p w14:paraId="610DE81F">
      <w:pPr>
        <w:spacing w:line="400" w:lineRule="exact"/>
        <w:ind w:firstLine="480" w:firstLineChars="200"/>
        <w:rPr>
          <w:rFonts w:hint="eastAsia" w:ascii="宋体" w:hAnsi="宋体" w:eastAsia="宋体" w:cs="宋体"/>
        </w:rPr>
      </w:pPr>
      <w:r>
        <w:rPr>
          <w:rFonts w:hint="eastAsia" w:ascii="宋体" w:hAnsi="宋体" w:eastAsia="宋体" w:cs="宋体"/>
        </w:rPr>
        <w:t>6.合同履行期限：详见招标文件。</w:t>
      </w:r>
    </w:p>
    <w:p w14:paraId="2C68A539">
      <w:pPr>
        <w:spacing w:line="400" w:lineRule="exact"/>
        <w:ind w:firstLine="480" w:firstLineChars="200"/>
        <w:rPr>
          <w:rFonts w:hint="eastAsia" w:ascii="宋体" w:hAnsi="宋体" w:eastAsia="宋体" w:cs="宋体"/>
        </w:rPr>
      </w:pPr>
      <w:r>
        <w:rPr>
          <w:rFonts w:hint="eastAsia" w:ascii="宋体" w:hAnsi="宋体" w:eastAsia="宋体" w:cs="宋体"/>
        </w:rPr>
        <w:t>7.本项目</w:t>
      </w:r>
      <w:r>
        <w:rPr>
          <w:rFonts w:hint="eastAsia" w:ascii="宋体" w:hAnsi="宋体" w:eastAsia="宋体" w:cs="宋体"/>
          <w:lang w:val="en-US" w:eastAsia="zh-CN"/>
        </w:rPr>
        <w:t>不</w:t>
      </w:r>
      <w:r>
        <w:rPr>
          <w:rFonts w:hint="eastAsia" w:ascii="宋体" w:hAnsi="宋体" w:eastAsia="宋体" w:cs="宋体"/>
        </w:rPr>
        <w:t>接受联合体投标。</w:t>
      </w:r>
    </w:p>
    <w:p w14:paraId="0CA62212">
      <w:pPr>
        <w:spacing w:beforeLines="0" w:afterLines="0" w:line="240" w:lineRule="auto"/>
        <w:rPr>
          <w:rFonts w:hint="eastAsia" w:ascii="宋体" w:hAnsi="宋体" w:eastAsia="宋体" w:cs="宋体"/>
          <w:b/>
          <w:color w:val="000000" w:themeColor="text1"/>
          <w:szCs w:val="21"/>
          <w:lang w:eastAsia="zh-CN"/>
          <w14:textFill>
            <w14:solidFill>
              <w14:schemeClr w14:val="tx1"/>
            </w14:solidFill>
          </w14:textFill>
        </w:rPr>
      </w:pPr>
    </w:p>
    <w:p w14:paraId="45BFE183">
      <w:pPr>
        <w:keepNext w:val="0"/>
        <w:keepLines w:val="0"/>
        <w:pageBreakBefore w:val="0"/>
        <w:widowControl/>
        <w:kinsoku/>
        <w:wordWrap/>
        <w:overflowPunct/>
        <w:topLinePunct w:val="0"/>
        <w:autoSpaceDE/>
        <w:autoSpaceDN/>
        <w:bidi w:val="0"/>
        <w:adjustRightInd/>
        <w:snapToGrid/>
        <w:spacing w:beforeLines="0" w:afterLines="0" w:line="240" w:lineRule="auto"/>
        <w:ind w:firstLine="482" w:firstLineChars="200"/>
        <w:textAlignment w:val="auto"/>
        <w:rPr>
          <w:rFonts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lang w:eastAsia="zh-CN"/>
          <w14:textFill>
            <w14:solidFill>
              <w14:schemeClr w14:val="tx1"/>
            </w14:solidFill>
          </w14:textFill>
        </w:rPr>
        <w:t>二、</w:t>
      </w:r>
      <w:r>
        <w:rPr>
          <w:rFonts w:hint="eastAsia" w:ascii="宋体" w:hAnsi="宋体" w:eastAsia="宋体" w:cs="宋体"/>
          <w:b/>
          <w:color w:val="000000" w:themeColor="text1"/>
          <w:szCs w:val="21"/>
          <w14:textFill>
            <w14:solidFill>
              <w14:schemeClr w14:val="tx1"/>
            </w14:solidFill>
          </w14:textFill>
        </w:rPr>
        <w:t>投标人的资格要求：</w:t>
      </w:r>
    </w:p>
    <w:p w14:paraId="2E640A2A">
      <w:pPr>
        <w:spacing w:beforeLines="0" w:afterLines="0"/>
        <w:ind w:firstLine="480" w:firstLineChars="200"/>
        <w:jc w:val="both"/>
        <w:rPr>
          <w:rFonts w:hint="eastAsia" w:ascii="宋体" w:hAnsi="宋体"/>
          <w:color w:val="auto"/>
          <w:kern w:val="0"/>
          <w:highlight w:val="none"/>
        </w:rPr>
      </w:pPr>
      <w:r>
        <w:rPr>
          <w:rFonts w:hint="eastAsia" w:ascii="宋体" w:hAnsi="宋体" w:eastAsia="宋体"/>
        </w:rPr>
        <w:t>1.具有独立法人资格或是具有独立承担民事责任能力的其它组织（提供营业执照或事业单位法人证书</w:t>
      </w:r>
      <w:r>
        <w:rPr>
          <w:rFonts w:hint="eastAsia" w:ascii="宋体" w:hAnsi="宋体"/>
          <w:color w:val="auto"/>
          <w:kern w:val="0"/>
          <w:highlight w:val="none"/>
        </w:rPr>
        <w:t>或其他证明材料扫描件</w:t>
      </w:r>
      <w:r>
        <w:rPr>
          <w:rFonts w:hint="eastAsia" w:ascii="宋体" w:hAnsi="宋体" w:eastAsia="宋体"/>
          <w:color w:val="auto"/>
          <w:kern w:val="0"/>
          <w:highlight w:val="none"/>
          <w:lang w:eastAsia="zh-CN"/>
        </w:rPr>
        <w:t>。上述资料</w:t>
      </w:r>
      <w:r>
        <w:rPr>
          <w:rFonts w:hint="eastAsia" w:ascii="宋体" w:hAnsi="宋体"/>
          <w:color w:val="auto"/>
          <w:kern w:val="0"/>
          <w:highlight w:val="none"/>
        </w:rPr>
        <w:t>原件备查）；</w:t>
      </w:r>
    </w:p>
    <w:p w14:paraId="0CD816B7">
      <w:pPr>
        <w:spacing w:beforeLines="0" w:afterLines="0"/>
        <w:ind w:firstLine="482" w:firstLineChars="200"/>
        <w:jc w:val="both"/>
        <w:rPr>
          <w:rFonts w:hint="eastAsia" w:ascii="宋体" w:hAnsi="宋体" w:eastAsia="宋体"/>
          <w:b/>
          <w:bCs/>
          <w:color w:val="FF0000"/>
          <w:lang w:val="en-US" w:eastAsia="zh-CN"/>
        </w:rPr>
      </w:pPr>
      <w:r>
        <w:rPr>
          <w:rFonts w:hint="eastAsia" w:ascii="宋体" w:hAnsi="宋体" w:eastAsia="宋体"/>
          <w:b/>
          <w:bCs/>
          <w:color w:val="FF0000"/>
          <w:lang w:val="en-US" w:eastAsia="zh-CN"/>
        </w:rPr>
        <w:t>2.</w:t>
      </w:r>
      <w:r>
        <w:rPr>
          <w:rFonts w:hint="eastAsia" w:ascii="宋体" w:hAnsi="宋体" w:eastAsia="宋体" w:cs="宋体"/>
          <w:b/>
          <w:bCs/>
          <w:color w:val="FF0000"/>
          <w:kern w:val="0"/>
          <w:sz w:val="24"/>
          <w:szCs w:val="24"/>
          <w:highlight w:val="none"/>
          <w:lang w:val="en-US" w:eastAsia="zh-CN"/>
        </w:rPr>
        <w:t>具有</w:t>
      </w:r>
      <w:r>
        <w:rPr>
          <w:rFonts w:hint="eastAsia" w:ascii="宋体" w:hAnsi="宋体" w:eastAsia="宋体" w:cs="宋体"/>
          <w:b/>
          <w:bCs/>
          <w:color w:val="FF0000"/>
          <w:kern w:val="0"/>
          <w:sz w:val="24"/>
          <w:szCs w:val="24"/>
          <w:highlight w:val="none"/>
        </w:rPr>
        <w:t>交通运输部颁发的公路工程试验检测机构证书（综合甲级）或公路工程质量检测机构证书（甲级）</w:t>
      </w:r>
      <w:r>
        <w:rPr>
          <w:rFonts w:hint="eastAsia" w:ascii="宋体" w:hAnsi="宋体" w:eastAsia="宋体"/>
          <w:b/>
          <w:bCs/>
          <w:color w:val="FF0000"/>
        </w:rPr>
        <w:t>（提供</w:t>
      </w:r>
      <w:r>
        <w:rPr>
          <w:rFonts w:hint="eastAsia" w:ascii="宋体" w:hAnsi="宋体"/>
          <w:b/>
          <w:bCs/>
          <w:color w:val="FF0000"/>
          <w:kern w:val="0"/>
          <w:highlight w:val="none"/>
        </w:rPr>
        <w:t>证明材料扫描件</w:t>
      </w:r>
      <w:r>
        <w:rPr>
          <w:rFonts w:hint="eastAsia" w:ascii="宋体" w:hAnsi="宋体" w:eastAsia="宋体"/>
          <w:b/>
          <w:bCs/>
          <w:color w:val="FF0000"/>
          <w:kern w:val="0"/>
          <w:highlight w:val="none"/>
          <w:lang w:eastAsia="zh-CN"/>
        </w:rPr>
        <w:t>。上述资料</w:t>
      </w:r>
      <w:r>
        <w:rPr>
          <w:rFonts w:hint="eastAsia" w:ascii="宋体" w:hAnsi="宋体"/>
          <w:b/>
          <w:bCs/>
          <w:color w:val="FF0000"/>
          <w:kern w:val="0"/>
          <w:highlight w:val="none"/>
        </w:rPr>
        <w:t>原件备查）；</w:t>
      </w:r>
    </w:p>
    <w:p w14:paraId="4FD8B4DA">
      <w:pPr>
        <w:spacing w:beforeLines="0" w:afterLines="0"/>
        <w:ind w:firstLine="482" w:firstLineChars="200"/>
        <w:jc w:val="both"/>
        <w:rPr>
          <w:rFonts w:hint="eastAsia" w:ascii="宋体" w:hAnsi="宋体" w:eastAsia="宋体"/>
          <w:b/>
          <w:bCs/>
          <w:color w:val="FF0000"/>
          <w:lang w:val="en-US" w:eastAsia="zh-CN"/>
        </w:rPr>
      </w:pPr>
      <w:r>
        <w:rPr>
          <w:rFonts w:hint="eastAsia" w:ascii="宋体" w:hAnsi="宋体" w:eastAsia="宋体"/>
          <w:b/>
          <w:bCs/>
          <w:color w:val="FF0000"/>
          <w:lang w:val="en-US" w:eastAsia="zh-CN"/>
        </w:rPr>
        <w:t>3.</w:t>
      </w:r>
      <w:r>
        <w:rPr>
          <w:rFonts w:hint="eastAsia" w:ascii="宋体" w:hAnsi="宋体" w:eastAsia="宋体" w:cs="宋体"/>
          <w:b/>
          <w:bCs/>
          <w:color w:val="FF0000"/>
          <w:kern w:val="0"/>
          <w:sz w:val="24"/>
          <w:szCs w:val="24"/>
          <w:highlight w:val="none"/>
          <w:lang w:val="en-US" w:eastAsia="zh-CN"/>
        </w:rPr>
        <w:t>具有</w:t>
      </w:r>
      <w:r>
        <w:rPr>
          <w:rFonts w:hint="eastAsia" w:ascii="宋体" w:hAnsi="宋体" w:eastAsia="宋体" w:cs="宋体"/>
          <w:b/>
          <w:bCs/>
          <w:color w:val="FF0000"/>
          <w:kern w:val="0"/>
          <w:sz w:val="24"/>
          <w:szCs w:val="24"/>
          <w:highlight w:val="none"/>
          <w:lang w:val="en-US" w:eastAsia="zh-CN" w:bidi="ar"/>
        </w:rPr>
        <w:t>公路工程专项类桥梁隧道工程专项检测机构证书。</w:t>
      </w:r>
      <w:r>
        <w:rPr>
          <w:rFonts w:hint="eastAsia" w:ascii="宋体" w:hAnsi="宋体" w:eastAsia="宋体"/>
          <w:b/>
          <w:bCs/>
          <w:color w:val="FF0000"/>
        </w:rPr>
        <w:t>（提供</w:t>
      </w:r>
      <w:r>
        <w:rPr>
          <w:rFonts w:hint="eastAsia" w:ascii="宋体" w:hAnsi="宋体"/>
          <w:b/>
          <w:bCs/>
          <w:color w:val="FF0000"/>
          <w:kern w:val="0"/>
          <w:highlight w:val="none"/>
        </w:rPr>
        <w:t>证明材料扫描件</w:t>
      </w:r>
      <w:r>
        <w:rPr>
          <w:rFonts w:hint="eastAsia" w:ascii="宋体" w:hAnsi="宋体" w:eastAsia="宋体"/>
          <w:b/>
          <w:bCs/>
          <w:color w:val="FF0000"/>
          <w:kern w:val="0"/>
          <w:highlight w:val="none"/>
          <w:lang w:eastAsia="zh-CN"/>
        </w:rPr>
        <w:t>。上述资料</w:t>
      </w:r>
      <w:r>
        <w:rPr>
          <w:rFonts w:hint="eastAsia" w:ascii="宋体" w:hAnsi="宋体"/>
          <w:b/>
          <w:bCs/>
          <w:color w:val="FF0000"/>
          <w:kern w:val="0"/>
          <w:highlight w:val="none"/>
        </w:rPr>
        <w:t>原件备查）；</w:t>
      </w:r>
    </w:p>
    <w:p w14:paraId="6864B80D">
      <w:pPr>
        <w:spacing w:beforeLines="0" w:afterLines="0"/>
        <w:ind w:firstLine="482" w:firstLineChars="200"/>
        <w:jc w:val="both"/>
        <w:rPr>
          <w:rFonts w:hint="eastAsia" w:ascii="宋体" w:hAnsi="宋体" w:eastAsia="宋体"/>
          <w:b/>
          <w:bCs/>
          <w:color w:val="FF0000"/>
          <w:lang w:val="en-US" w:eastAsia="zh-CN"/>
        </w:rPr>
      </w:pPr>
      <w:r>
        <w:rPr>
          <w:rFonts w:hint="eastAsia" w:ascii="宋体" w:hAnsi="宋体" w:eastAsia="宋体"/>
          <w:b/>
          <w:bCs/>
          <w:color w:val="FF0000"/>
          <w:lang w:val="en-US" w:eastAsia="zh-CN"/>
        </w:rPr>
        <w:t>4.</w:t>
      </w:r>
      <w:r>
        <w:rPr>
          <w:rFonts w:hint="eastAsia" w:ascii="宋体" w:hAnsi="宋体" w:eastAsia="宋体" w:cs="宋体"/>
          <w:b/>
          <w:bCs/>
          <w:color w:val="FF0000"/>
          <w:kern w:val="0"/>
          <w:sz w:val="24"/>
          <w:szCs w:val="24"/>
          <w:highlight w:val="none"/>
          <w:lang w:val="en-US" w:eastAsia="zh-CN"/>
        </w:rPr>
        <w:t>具有</w:t>
      </w:r>
      <w:r>
        <w:rPr>
          <w:rFonts w:hint="eastAsia" w:ascii="宋体" w:hAnsi="宋体" w:eastAsia="宋体"/>
          <w:b/>
          <w:bCs/>
          <w:color w:val="FF0000"/>
          <w:lang w:val="en-US" w:eastAsia="zh-CN"/>
        </w:rPr>
        <w:t>住建部门颁发的建设工程质量检测机构资质证书[①未按住建部《建设工程质量检测机构资质标准》（建质规〔2023〕1号）完成资质证书核定更新的投标人须具备：建设行政主管部门颁发的《建设工程质量检测机构资质证书》（资质证书检测范围须含主体结构工程现场检测和钢结构工程检测机构资质）；②已按住建部（建质规〔2023〕1号）完成资质证书核定更新的投标人须具备：建设行政主管部门颁发的《建设工程质量检测机构资质证书》（资质证书检测范围必须含有钢结构和桥梁及地下工程）资质）]</w:t>
      </w:r>
      <w:r>
        <w:rPr>
          <w:rFonts w:hint="eastAsia" w:ascii="宋体" w:hAnsi="宋体" w:eastAsia="宋体"/>
          <w:b/>
          <w:bCs/>
          <w:color w:val="FF0000"/>
        </w:rPr>
        <w:t>（提供</w:t>
      </w:r>
      <w:r>
        <w:rPr>
          <w:rFonts w:hint="eastAsia" w:ascii="宋体" w:hAnsi="宋体"/>
          <w:b/>
          <w:bCs/>
          <w:color w:val="FF0000"/>
          <w:kern w:val="0"/>
          <w:highlight w:val="none"/>
        </w:rPr>
        <w:t>证明材料扫描件</w:t>
      </w:r>
      <w:r>
        <w:rPr>
          <w:rFonts w:hint="eastAsia" w:ascii="宋体" w:hAnsi="宋体" w:eastAsia="宋体"/>
          <w:b/>
          <w:bCs/>
          <w:color w:val="FF0000"/>
          <w:kern w:val="0"/>
          <w:highlight w:val="none"/>
          <w:lang w:eastAsia="zh-CN"/>
        </w:rPr>
        <w:t>。上述资料</w:t>
      </w:r>
      <w:r>
        <w:rPr>
          <w:rFonts w:hint="eastAsia" w:ascii="宋体" w:hAnsi="宋体"/>
          <w:b/>
          <w:bCs/>
          <w:color w:val="FF0000"/>
          <w:kern w:val="0"/>
          <w:highlight w:val="none"/>
        </w:rPr>
        <w:t>原件备查）；</w:t>
      </w:r>
    </w:p>
    <w:p w14:paraId="6783BCF8">
      <w:pPr>
        <w:spacing w:beforeLines="0" w:afterLines="0"/>
        <w:ind w:firstLine="480" w:firstLineChars="200"/>
        <w:jc w:val="both"/>
        <w:rPr>
          <w:rFonts w:ascii="宋体" w:hAnsi="宋体" w:eastAsia="宋体"/>
        </w:rPr>
      </w:pPr>
      <w:r>
        <w:rPr>
          <w:rFonts w:hint="eastAsia" w:ascii="宋体" w:hAnsi="宋体" w:eastAsia="宋体"/>
          <w:lang w:val="en-US" w:eastAsia="zh-CN"/>
        </w:rPr>
        <w:t>5</w:t>
      </w:r>
      <w:r>
        <w:rPr>
          <w:rFonts w:hint="eastAsia" w:ascii="宋体" w:hAnsi="宋体" w:eastAsia="宋体"/>
        </w:rPr>
        <w:t>.本项目不接受联合体投标，不接受进口产品参与投标（由供应商在《政府采购投标及履约承诺函》中作出声明）；</w:t>
      </w:r>
    </w:p>
    <w:p w14:paraId="7D199C76">
      <w:pPr>
        <w:spacing w:beforeLines="0" w:afterLines="0"/>
        <w:ind w:firstLine="480" w:firstLineChars="200"/>
        <w:jc w:val="both"/>
        <w:rPr>
          <w:rFonts w:ascii="宋体" w:hAnsi="宋体" w:eastAsia="宋体"/>
        </w:rPr>
      </w:pPr>
      <w:r>
        <w:rPr>
          <w:rFonts w:hint="eastAsia" w:ascii="宋体" w:hAnsi="宋体" w:eastAsia="宋体"/>
          <w:lang w:val="en-US" w:eastAsia="zh-CN"/>
        </w:rPr>
        <w:t>6</w:t>
      </w:r>
      <w:r>
        <w:rPr>
          <w:rFonts w:hint="eastAsia" w:ascii="宋体" w:hAnsi="宋体" w:eastAsia="宋体"/>
        </w:rPr>
        <w:t>.参与本项目政府采购活动时不存在被有关部门禁止参与政府采购活动且在有效期内的情况（由供应商在《政府采购投标及履约承诺函》中作出声明）；</w:t>
      </w:r>
    </w:p>
    <w:p w14:paraId="4A1B4A8C">
      <w:pPr>
        <w:spacing w:beforeLines="0" w:afterLines="0"/>
        <w:ind w:firstLine="480" w:firstLineChars="200"/>
        <w:jc w:val="both"/>
        <w:rPr>
          <w:rFonts w:ascii="宋体" w:hAnsi="宋体" w:eastAsia="宋体"/>
        </w:rPr>
      </w:pPr>
      <w:r>
        <w:rPr>
          <w:rFonts w:hint="eastAsia" w:ascii="宋体" w:hAnsi="宋体" w:eastAsia="宋体"/>
          <w:lang w:val="en-US" w:eastAsia="zh-CN"/>
        </w:rPr>
        <w:t>7</w:t>
      </w:r>
      <w:r>
        <w:rPr>
          <w:rFonts w:hint="eastAsia" w:ascii="宋体" w:hAnsi="宋体" w:eastAsia="宋体"/>
        </w:rPr>
        <w:t>.具备《中华人民共和国政府采购法》第二十二条第一款的条件（由供应商在《政府采购投标及履约承诺函》中作出声明）；</w:t>
      </w:r>
    </w:p>
    <w:p w14:paraId="2331EE27">
      <w:pPr>
        <w:spacing w:beforeLines="0" w:afterLines="0"/>
        <w:ind w:firstLine="480" w:firstLineChars="200"/>
        <w:jc w:val="both"/>
        <w:rPr>
          <w:rFonts w:ascii="宋体" w:hAnsi="宋体" w:eastAsia="宋体"/>
        </w:rPr>
      </w:pPr>
      <w:r>
        <w:rPr>
          <w:rFonts w:hint="eastAsia" w:ascii="宋体" w:hAnsi="宋体" w:eastAsia="宋体"/>
          <w:lang w:val="en-US" w:eastAsia="zh-CN"/>
        </w:rPr>
        <w:t>8</w:t>
      </w:r>
      <w:r>
        <w:rPr>
          <w:rFonts w:hint="eastAsia" w:ascii="宋体" w:hAnsi="宋体" w:eastAsia="宋体"/>
        </w:rPr>
        <w:t>.未被列入失信被执行人、</w:t>
      </w:r>
      <w:r>
        <w:rPr>
          <w:rFonts w:hint="eastAsia" w:ascii="宋体" w:hAnsi="宋体" w:eastAsia="宋体"/>
          <w:lang w:eastAsia="zh-CN"/>
        </w:rPr>
        <w:t>重大税收违法失信主体</w:t>
      </w:r>
      <w:r>
        <w:rPr>
          <w:rFonts w:hint="eastAsia" w:ascii="宋体" w:hAnsi="宋体" w:eastAsia="宋体"/>
        </w:rPr>
        <w:t>、政府采购严重违法失信行为记录名单（由供应商在《政府采购投标及履约承诺函》中作出声明）。</w:t>
      </w:r>
    </w:p>
    <w:p w14:paraId="0C6683DC">
      <w:pPr>
        <w:spacing w:beforeLines="0" w:afterLines="0"/>
        <w:ind w:firstLine="480" w:firstLineChars="200"/>
        <w:jc w:val="both"/>
        <w:rPr>
          <w:rFonts w:hint="eastAsia" w:ascii="宋体" w:hAnsi="宋体" w:eastAsia="宋体"/>
          <w:color w:val="4F81BD" w:themeColor="accent1"/>
          <w14:textFill>
            <w14:solidFill>
              <w14:schemeClr w14:val="accent1"/>
            </w14:solidFill>
          </w14:textFill>
        </w:rPr>
      </w:pPr>
      <w:r>
        <w:rPr>
          <w:rFonts w:hint="eastAsia" w:ascii="宋体" w:hAnsi="宋体" w:eastAsia="宋体"/>
          <w:color w:val="4F81BD" w:themeColor="accent1"/>
          <w:lang w:val="en-US" w:eastAsia="zh-CN"/>
          <w14:textFill>
            <w14:solidFill>
              <w14:schemeClr w14:val="accent1"/>
            </w14:solidFill>
          </w14:textFill>
        </w:rPr>
        <w:t>9</w:t>
      </w:r>
      <w:r>
        <w:rPr>
          <w:rFonts w:hint="eastAsia" w:ascii="宋体" w:hAnsi="宋体" w:eastAsia="宋体"/>
          <w:color w:val="4F81BD" w:themeColor="accent1"/>
          <w14:textFill>
            <w14:solidFill>
              <w14:schemeClr w14:val="accent1"/>
            </w14:solidFill>
          </w14:textFill>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如发现不同投标供应商的相关信息存在上述“不得”的情形，作投标无效处理）；</w:t>
      </w:r>
    </w:p>
    <w:p w14:paraId="4A4D934C">
      <w:pPr>
        <w:spacing w:beforeLines="0" w:afterLines="0"/>
        <w:ind w:firstLine="480" w:firstLineChars="200"/>
        <w:jc w:val="both"/>
        <w:rPr>
          <w:rFonts w:hint="eastAsia" w:ascii="宋体" w:hAnsi="宋体" w:eastAsia="宋体"/>
          <w:lang w:val="en-US" w:eastAsia="zh-CN"/>
        </w:rPr>
      </w:pPr>
      <w:r>
        <w:rPr>
          <w:rFonts w:hint="eastAsia" w:ascii="宋体" w:hAnsi="宋体" w:eastAsia="宋体"/>
          <w:lang w:val="en-US" w:eastAsia="zh-CN"/>
        </w:rPr>
        <w:t>10.不存在《深圳市财政局政府采购供应商信用信息管理办法》（深财规〔2023〕3 号）列明的严重违法失信行为</w:t>
      </w:r>
      <w:r>
        <w:rPr>
          <w:rFonts w:hint="eastAsia" w:ascii="宋体" w:hAnsi="宋体" w:eastAsia="宋体"/>
        </w:rPr>
        <w:t>（由供应商在《政府采购投标及履约承诺函》中作出声明）</w:t>
      </w:r>
      <w:r>
        <w:rPr>
          <w:rFonts w:hint="eastAsia" w:ascii="宋体" w:hAnsi="宋体" w:eastAsia="宋体"/>
          <w:lang w:val="en-US" w:eastAsia="zh-CN"/>
        </w:rPr>
        <w:t>；</w:t>
      </w:r>
    </w:p>
    <w:p w14:paraId="6BE8189D">
      <w:pPr>
        <w:spacing w:beforeLines="0" w:afterLines="0"/>
        <w:ind w:firstLine="480" w:firstLineChars="200"/>
        <w:jc w:val="both"/>
        <w:rPr>
          <w:rFonts w:ascii="宋体" w:hAnsi="宋体" w:eastAsia="宋体"/>
          <w:color w:val="auto"/>
        </w:rPr>
      </w:pPr>
      <w:r>
        <w:rPr>
          <w:rFonts w:hint="eastAsia" w:ascii="宋体" w:hAnsi="宋体" w:eastAsia="宋体"/>
          <w:color w:val="auto"/>
          <w:lang w:val="en-US" w:eastAsia="zh-CN"/>
        </w:rPr>
        <w:t>11</w:t>
      </w:r>
      <w:r>
        <w:rPr>
          <w:rFonts w:hint="eastAsia" w:ascii="宋体" w:hAnsi="宋体" w:eastAsia="宋体"/>
          <w:color w:val="auto"/>
        </w:rPr>
        <w:t>.为本项目提供整体设计、规范编制或者项目管理、监理、检测等服务的供应商，不得参加本项目投标。（由供应商在《政府采购投标及履约承诺函》中作出声明）；</w:t>
      </w:r>
    </w:p>
    <w:p w14:paraId="092DF428">
      <w:pPr>
        <w:spacing w:beforeLines="0" w:afterLines="0"/>
        <w:ind w:firstLine="480" w:firstLineChars="200"/>
        <w:jc w:val="both"/>
        <w:rPr>
          <w:rFonts w:hint="eastAsia" w:ascii="宋体" w:hAnsi="宋体" w:eastAsia="宋体"/>
          <w:lang w:eastAsia="zh-CN"/>
        </w:rPr>
      </w:pPr>
      <w:r>
        <w:rPr>
          <w:rFonts w:hint="eastAsia" w:ascii="宋体" w:hAnsi="宋体" w:eastAsia="宋体"/>
          <w:lang w:val="en-US" w:eastAsia="zh-CN"/>
        </w:rPr>
        <w:t>12.</w:t>
      </w:r>
      <w:r>
        <w:rPr>
          <w:rFonts w:hint="eastAsia" w:ascii="宋体" w:hAnsi="宋体" w:eastAsia="宋体"/>
        </w:rPr>
        <w:t>本项目是否专门面向中小</w:t>
      </w:r>
      <w:r>
        <w:rPr>
          <w:rFonts w:hint="eastAsia" w:ascii="宋体" w:hAnsi="宋体" w:eastAsia="宋体"/>
          <w:lang w:eastAsia="zh-CN"/>
        </w:rPr>
        <w:t>微</w:t>
      </w:r>
      <w:r>
        <w:rPr>
          <w:rFonts w:hint="eastAsia" w:ascii="宋体" w:hAnsi="宋体" w:eastAsia="宋体"/>
        </w:rPr>
        <w:t>企业采购：否</w:t>
      </w:r>
      <w:r>
        <w:rPr>
          <w:rFonts w:hint="eastAsia" w:ascii="宋体" w:hAnsi="宋体" w:eastAsia="宋体"/>
          <w:color w:val="auto"/>
          <w:kern w:val="0"/>
          <w:highlight w:val="none"/>
          <w:lang w:val="en-US" w:eastAsia="zh-CN"/>
        </w:rPr>
        <w:t>（由供应商在《中小企业声明函（服务）》或《残疾人福利性单位声明函》或《监狱企业声明函》中作出声明</w:t>
      </w:r>
      <w:r>
        <w:rPr>
          <w:rFonts w:hint="eastAsia" w:eastAsia="宋体"/>
          <w:lang w:eastAsia="zh-CN"/>
        </w:rPr>
        <w:t>）</w:t>
      </w:r>
      <w:r>
        <w:rPr>
          <w:rFonts w:hint="eastAsia" w:ascii="宋体" w:hAnsi="宋体" w:eastAsia="宋体"/>
          <w:color w:val="auto"/>
          <w:kern w:val="0"/>
          <w:highlight w:val="none"/>
          <w:lang w:val="en-US" w:eastAsia="zh-CN"/>
        </w:rPr>
        <w:t>；</w:t>
      </w:r>
    </w:p>
    <w:p w14:paraId="4BC946E4">
      <w:pPr>
        <w:pStyle w:val="7"/>
        <w:spacing w:beforeLines="0" w:after="0" w:afterLines="0" w:line="240" w:lineRule="auto"/>
        <w:ind w:firstLine="482" w:firstLineChars="200"/>
        <w:rPr>
          <w:rFonts w:ascii="宋体" w:hAnsi="宋体" w:eastAsia="宋体"/>
          <w:b/>
          <w:bCs/>
        </w:rPr>
      </w:pPr>
      <w:r>
        <w:rPr>
          <w:rFonts w:hint="eastAsia" w:ascii="宋体" w:hAnsi="宋体" w:eastAsia="宋体"/>
          <w:b/>
          <w:bCs/>
        </w:rPr>
        <w:t>本项目所属行业类型为：</w:t>
      </w:r>
      <w:r>
        <w:rPr>
          <w:rFonts w:hint="eastAsia" w:ascii="宋体" w:hAnsi="宋体" w:eastAsia="宋体"/>
          <w:b/>
          <w:bCs/>
          <w:u w:val="single"/>
          <w:lang w:val="en-US" w:eastAsia="zh-CN"/>
        </w:rPr>
        <w:t>其他未列明行业</w:t>
      </w:r>
      <w:r>
        <w:rPr>
          <w:rFonts w:hint="eastAsia" w:ascii="宋体" w:hAnsi="宋体" w:eastAsia="宋体"/>
          <w:b/>
          <w:bCs/>
          <w:u w:val="single"/>
        </w:rPr>
        <w:t xml:space="preserve"> </w:t>
      </w:r>
      <w:r>
        <w:rPr>
          <w:rFonts w:hint="eastAsia" w:ascii="宋体" w:hAnsi="宋体" w:eastAsia="宋体"/>
          <w:b/>
          <w:bCs/>
        </w:rPr>
        <w:t>。</w:t>
      </w:r>
    </w:p>
    <w:p w14:paraId="7D43F525">
      <w:pPr>
        <w:spacing w:beforeLines="0" w:afterLines="0"/>
        <w:ind w:firstLine="480" w:firstLineChars="200"/>
        <w:jc w:val="both"/>
        <w:rPr>
          <w:rFonts w:ascii="宋体" w:hAnsi="宋体" w:eastAsia="宋体"/>
        </w:rPr>
      </w:pPr>
      <w:r>
        <w:rPr>
          <w:rFonts w:hint="eastAsia" w:ascii="宋体" w:hAnsi="宋体" w:eastAsia="宋体"/>
        </w:rPr>
        <w:t>注：（1）采购代理机构将通过“信用中国”中“信用服务”栏的“</w:t>
      </w:r>
      <w:r>
        <w:rPr>
          <w:rFonts w:hint="eastAsia" w:ascii="宋体" w:hAnsi="宋体" w:eastAsia="宋体"/>
          <w:lang w:eastAsia="zh-CN"/>
        </w:rPr>
        <w:t>重大税收违法失信主体</w:t>
      </w:r>
      <w:r>
        <w:rPr>
          <w:rFonts w:hint="eastAsia" w:ascii="宋体" w:hAnsi="宋体" w:eastAsia="宋体"/>
        </w:rPr>
        <w:t>”“失信被执行人”</w:t>
      </w:r>
      <w:r>
        <w:rPr>
          <w:rFonts w:hint="eastAsia" w:ascii="宋体" w:hAnsi="宋体" w:eastAsia="宋体"/>
          <w:lang w:eastAsia="zh-CN"/>
        </w:rPr>
        <w:t>，</w:t>
      </w:r>
      <w:r>
        <w:rPr>
          <w:rFonts w:hint="eastAsia" w:ascii="宋体" w:hAnsi="宋体" w:eastAsia="宋体"/>
        </w:rPr>
        <w:t>“中国政府采购网”中的“政府采购严重违法失信行为记录名单”“深圳信用网”以及“深圳市政府采购监管网”为供应商信用信息的查询渠道，相关信息以开标当日的查询结果为准。信用信息查询记录应当作为项目档案材料一并保存；</w:t>
      </w:r>
    </w:p>
    <w:p w14:paraId="3FFF6665">
      <w:pPr>
        <w:ind w:firstLine="480" w:firstLineChars="200"/>
        <w:jc w:val="both"/>
        <w:rPr>
          <w:rFonts w:hint="eastAsia" w:ascii="宋体" w:hAnsi="宋体" w:eastAsia="宋体"/>
          <w:color w:val="auto"/>
          <w:kern w:val="0"/>
          <w:highlight w:val="none"/>
          <w:lang w:eastAsia="zh-CN"/>
        </w:rPr>
      </w:pPr>
      <w:r>
        <w:rPr>
          <w:rFonts w:hint="eastAsia" w:ascii="宋体" w:hAnsi="宋体"/>
          <w:color w:val="auto"/>
          <w:kern w:val="0"/>
          <w:highlight w:val="none"/>
          <w:lang w:eastAsia="zh-CN"/>
        </w:rPr>
        <w:t>（</w:t>
      </w:r>
      <w:r>
        <w:rPr>
          <w:rFonts w:hint="eastAsia" w:ascii="宋体" w:hAnsi="宋体"/>
          <w:color w:val="auto"/>
          <w:kern w:val="0"/>
          <w:highlight w:val="none"/>
          <w:lang w:val="en-US" w:eastAsia="zh-CN"/>
        </w:rPr>
        <w:t>2</w:t>
      </w:r>
      <w:r>
        <w:rPr>
          <w:rFonts w:hint="eastAsia" w:ascii="宋体" w:hAnsi="宋体"/>
          <w:color w:val="auto"/>
          <w:kern w:val="0"/>
          <w:highlight w:val="none"/>
          <w:lang w:eastAsia="zh-CN"/>
        </w:rPr>
        <w:t>）</w:t>
      </w:r>
      <w:r>
        <w:rPr>
          <w:rFonts w:hint="eastAsia" w:ascii="仿宋" w:hAnsi="仿宋" w:eastAsia="仿宋" w:cs="仿宋"/>
          <w:color w:val="FF0000"/>
          <w:sz w:val="24"/>
        </w:rPr>
        <w:t>采购代理机构将通过国家企业信用信息公示系统(https://www.gsxt.gov.cn/index.html）或机关赋码和事业单位登记管理网（http://gjsy.gov.cn/sydwfrxxcx/)或全国社会组织信用信息公示平台（https://xxgs.chinanpo.mca.gov.cn/gsxt/newList 等网站查询供应商信息，相关信息以截标当日的查询结果为准</w:t>
      </w:r>
      <w:r>
        <w:rPr>
          <w:rFonts w:hint="eastAsia" w:ascii="宋体" w:hAnsi="宋体" w:eastAsia="宋体"/>
          <w:color w:val="auto"/>
          <w:kern w:val="0"/>
          <w:highlight w:val="none"/>
          <w:lang w:eastAsia="zh-CN"/>
        </w:rPr>
        <w:t>；</w:t>
      </w:r>
    </w:p>
    <w:p w14:paraId="1DFC271A">
      <w:pPr>
        <w:spacing w:beforeLines="0" w:afterLines="0"/>
        <w:ind w:firstLine="480" w:firstLineChars="200"/>
        <w:jc w:val="both"/>
        <w:rPr>
          <w:rFonts w:hint="eastAsia" w:ascii="宋体" w:hAnsi="宋体" w:eastAsia="宋体"/>
          <w:color w:val="4F81BD" w:themeColor="accent1"/>
          <w14:textFill>
            <w14:solidFill>
              <w14:schemeClr w14:val="accent1"/>
            </w14:solidFill>
          </w14:textFill>
        </w:rPr>
      </w:pPr>
      <w:r>
        <w:rPr>
          <w:rFonts w:hint="eastAsia" w:ascii="宋体" w:hAnsi="宋体" w:eastAsia="宋体"/>
          <w:color w:val="4F81BD" w:themeColor="accent1"/>
          <w14:textFill>
            <w14:solidFill>
              <w14:schemeClr w14:val="accent1"/>
            </w14:solidFill>
          </w14:textFill>
        </w:rPr>
        <w:t>（</w:t>
      </w:r>
      <w:r>
        <w:rPr>
          <w:rFonts w:hint="eastAsia" w:ascii="宋体" w:hAnsi="宋体" w:eastAsia="宋体"/>
          <w:color w:val="4F81BD" w:themeColor="accent1"/>
          <w:lang w:val="en-US" w:eastAsia="zh-CN"/>
          <w14:textFill>
            <w14:solidFill>
              <w14:schemeClr w14:val="accent1"/>
            </w14:solidFill>
          </w14:textFill>
        </w:rPr>
        <w:t>3</w:t>
      </w:r>
      <w:r>
        <w:rPr>
          <w:rFonts w:hint="eastAsia" w:ascii="宋体" w:hAnsi="宋体" w:eastAsia="宋体"/>
          <w:color w:val="4F81BD" w:themeColor="accent1"/>
          <w14:textFill>
            <w14:solidFill>
              <w14:schemeClr w14:val="accent1"/>
            </w14:solidFill>
          </w14:textFill>
        </w:rPr>
        <w:t>）供应商投标（上传投标文件）请先行办理注册手续，具体请按照本公告“六、其他补充事宜”相关内容指引办理。</w:t>
      </w:r>
    </w:p>
    <w:p w14:paraId="40DA0900">
      <w:pPr>
        <w:spacing w:beforeLines="0" w:afterLines="0"/>
        <w:ind w:firstLine="480" w:firstLineChars="200"/>
        <w:jc w:val="both"/>
        <w:rPr>
          <w:rFonts w:hint="eastAsia"/>
          <w:b/>
          <w:bCs/>
          <w:color w:val="FF0000"/>
        </w:rPr>
      </w:pPr>
      <w:r>
        <w:rPr>
          <w:rFonts w:hint="eastAsia"/>
          <w:b/>
          <w:bCs/>
          <w:color w:val="FF0000"/>
        </w:rPr>
        <w:t>（4）本项目将根据综合评分法，选择出优秀的专业供应商承担本项目任务。本项目共分为编号为A、B</w:t>
      </w:r>
      <w:r>
        <w:rPr>
          <w:rFonts w:hint="eastAsia" w:eastAsia="宋体"/>
          <w:b/>
          <w:bCs/>
          <w:color w:val="FF0000"/>
          <w:lang w:eastAsia="zh-CN"/>
        </w:rPr>
        <w:t>、</w:t>
      </w:r>
      <w:r>
        <w:rPr>
          <w:rFonts w:hint="eastAsia" w:eastAsia="宋体"/>
          <w:b/>
          <w:bCs/>
          <w:color w:val="FF0000"/>
          <w:lang w:val="en-US" w:eastAsia="zh-CN"/>
        </w:rPr>
        <w:t>C3</w:t>
      </w:r>
      <w:r>
        <w:rPr>
          <w:rFonts w:hint="eastAsia"/>
          <w:b/>
          <w:bCs/>
          <w:color w:val="FF0000"/>
        </w:rPr>
        <w:t>个包，投标方可以选择投其中1个包或多个包，1个包需要独立制作1份投标文件，并按所投包号进行上传投标文件。</w:t>
      </w:r>
    </w:p>
    <w:p w14:paraId="17E78C71">
      <w:pPr>
        <w:spacing w:beforeLines="0" w:afterLines="0"/>
        <w:ind w:firstLine="482" w:firstLineChars="200"/>
        <w:jc w:val="both"/>
        <w:rPr>
          <w:rFonts w:hint="eastAsia" w:eastAsia="宋体"/>
          <w:b/>
          <w:bCs/>
          <w:color w:val="FF0000"/>
          <w:lang w:val="en-US" w:eastAsia="zh-CN"/>
        </w:rPr>
      </w:pPr>
      <w:r>
        <w:rPr>
          <w:rFonts w:hint="eastAsia" w:eastAsia="宋体"/>
          <w:b/>
          <w:bCs/>
          <w:color w:val="FF0000"/>
          <w:lang w:val="en-US" w:eastAsia="zh-CN"/>
        </w:rPr>
        <w:t>本项目按A-B-C顺序分包进行评审，每个包均取排名第一名者为该包的候选中标供应商。各投标方可同时对多个包号进行投标，但最多只能中一个包，当某一投标方已在某个包号中综合得分排名第一时，则该投标方不得参与下一个包号评审（符合性</w:t>
      </w:r>
      <w:bookmarkStart w:id="102" w:name="_GoBack"/>
      <w:bookmarkEnd w:id="102"/>
      <w:r>
        <w:rPr>
          <w:rFonts w:hint="eastAsia" w:eastAsia="宋体"/>
          <w:b/>
          <w:bCs/>
          <w:color w:val="FF0000"/>
          <w:lang w:val="en-US" w:eastAsia="zh-CN"/>
        </w:rPr>
        <w:t xml:space="preserve">审查“法律、法规规定的其他情形”条款不通过不得参与的包号按包的编号顺序（A-B-C）确定）。 </w:t>
      </w:r>
    </w:p>
    <w:p w14:paraId="138E5747">
      <w:pPr>
        <w:spacing w:beforeLines="0" w:afterLines="0"/>
        <w:ind w:firstLine="482" w:firstLineChars="200"/>
        <w:jc w:val="both"/>
        <w:rPr>
          <w:rFonts w:hint="eastAsia" w:eastAsia="宋体"/>
          <w:b/>
          <w:bCs/>
          <w:color w:val="FF0000"/>
          <w:lang w:val="en-US" w:eastAsia="zh-CN"/>
        </w:rPr>
      </w:pPr>
      <w:r>
        <w:rPr>
          <w:rFonts w:hint="eastAsia" w:eastAsia="宋体"/>
          <w:b/>
          <w:bCs/>
          <w:color w:val="FF0000"/>
          <w:lang w:val="en-US" w:eastAsia="zh-CN"/>
        </w:rPr>
        <w:t>所有包号有效投标方均必须达到法定数量（三家或以上），有效投标方未达到法定数量的包组作废标处理。</w:t>
      </w:r>
    </w:p>
    <w:p w14:paraId="68B305BE">
      <w:pPr>
        <w:spacing w:beforeLines="0" w:afterLines="0"/>
        <w:ind w:firstLine="482" w:firstLineChars="200"/>
        <w:jc w:val="both"/>
        <w:rPr>
          <w:rFonts w:hint="eastAsia" w:eastAsia="宋体"/>
          <w:b/>
          <w:bCs/>
          <w:color w:val="FF0000"/>
          <w:lang w:val="en-US" w:eastAsia="zh-CN"/>
        </w:rPr>
      </w:pPr>
      <w:r>
        <w:rPr>
          <w:rFonts w:hint="eastAsia" w:eastAsia="宋体"/>
          <w:b/>
          <w:bCs/>
          <w:color w:val="FF0000"/>
          <w:lang w:val="en-US" w:eastAsia="zh-CN"/>
        </w:rPr>
        <w:t>举例：甲单位同时投标三个包（A、B、C），且通过综合评分，在A包评审中综合得分排名第一时，不能再参与B包和C包的评审。</w:t>
      </w:r>
    </w:p>
    <w:p w14:paraId="3C6CEF08">
      <w:pPr>
        <w:spacing w:beforeLines="0" w:afterLines="0"/>
        <w:ind w:firstLine="482" w:firstLineChars="200"/>
        <w:jc w:val="both"/>
        <w:rPr>
          <w:rFonts w:hint="eastAsia" w:ascii="宋体" w:hAnsi="宋体" w:eastAsia="宋体"/>
          <w:color w:val="4F81BD" w:themeColor="accent1"/>
          <w14:textFill>
            <w14:solidFill>
              <w14:schemeClr w14:val="accent1"/>
            </w14:solidFill>
          </w14:textFill>
        </w:rPr>
      </w:pPr>
      <w:r>
        <w:rPr>
          <w:rFonts w:hint="eastAsia" w:eastAsia="宋体"/>
          <w:b/>
          <w:bCs/>
          <w:color w:val="FF0000"/>
          <w:lang w:val="en-US" w:eastAsia="zh-CN"/>
        </w:rPr>
        <w:t>为避免出现不同包组之间的“交叉感染”，如其中某一个包因质疑投诉或其他原因导致出现中标结果发生变化的情况，相关情况不影响其它包的招标投标程序及定标结果。</w:t>
      </w:r>
    </w:p>
    <w:p w14:paraId="11E34B7A">
      <w:pPr>
        <w:keepNext w:val="0"/>
        <w:keepLines w:val="0"/>
        <w:pageBreakBefore w:val="0"/>
        <w:widowControl/>
        <w:kinsoku/>
        <w:wordWrap/>
        <w:overflowPunct/>
        <w:topLinePunct w:val="0"/>
        <w:autoSpaceDE/>
        <w:autoSpaceDN/>
        <w:bidi w:val="0"/>
        <w:adjustRightInd/>
        <w:snapToGrid/>
        <w:spacing w:beforeLines="0" w:afterLines="0" w:line="240" w:lineRule="auto"/>
        <w:ind w:firstLine="482" w:firstLineChars="200"/>
        <w:textAlignment w:val="auto"/>
        <w:rPr>
          <w:rFonts w:hint="eastAsia" w:ascii="宋体" w:hAnsi="宋体" w:eastAsia="宋体" w:cs="宋体"/>
          <w:b/>
          <w:color w:val="000000" w:themeColor="text1"/>
          <w:szCs w:val="21"/>
          <w14:textFill>
            <w14:solidFill>
              <w14:schemeClr w14:val="tx1"/>
            </w14:solidFill>
          </w14:textFill>
        </w:rPr>
      </w:pPr>
    </w:p>
    <w:p w14:paraId="0C91052D">
      <w:pPr>
        <w:keepNext w:val="0"/>
        <w:keepLines w:val="0"/>
        <w:pageBreakBefore w:val="0"/>
        <w:widowControl/>
        <w:kinsoku/>
        <w:wordWrap/>
        <w:overflowPunct/>
        <w:topLinePunct w:val="0"/>
        <w:autoSpaceDE/>
        <w:autoSpaceDN/>
        <w:bidi w:val="0"/>
        <w:adjustRightInd/>
        <w:snapToGrid/>
        <w:spacing w:beforeLines="0" w:afterLines="0" w:line="240" w:lineRule="auto"/>
        <w:ind w:firstLine="482" w:firstLineChars="200"/>
        <w:textAlignment w:val="auto"/>
        <w:rPr>
          <w:rFonts w:hint="default" w:ascii="宋体" w:hAnsi="宋体" w:eastAsia="宋体" w:cs="宋体"/>
          <w:b/>
          <w:color w:val="000000" w:themeColor="text1"/>
          <w:szCs w:val="21"/>
          <w:lang w:val="en-US" w:eastAsia="zh-CN"/>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三、获取招标文件</w:t>
      </w:r>
    </w:p>
    <w:p w14:paraId="620E6D49">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时间：发布招标公告当日至</w:t>
      </w:r>
      <w:r>
        <w:rPr>
          <w:rFonts w:hint="eastAsia" w:ascii="宋体" w:hAnsi="宋体" w:eastAsia="宋体" w:cs="宋体"/>
          <w:color w:val="FF0000"/>
          <w:highlight w:val="yellow"/>
          <w:lang w:val="en-US" w:eastAsia="zh-CN"/>
        </w:rPr>
        <w:t>2025年X月X日XX时XX分XX秒</w:t>
      </w:r>
      <w:r>
        <w:rPr>
          <w:rFonts w:hint="eastAsia" w:ascii="宋体" w:hAnsi="宋体" w:eastAsia="宋体" w:cs="宋体"/>
        </w:rPr>
        <w:t xml:space="preserve">（北京时间） </w:t>
      </w:r>
    </w:p>
    <w:p w14:paraId="1DCA04BA">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地点：登录深圳政府采购智慧平台（http://zfcg.szggzy.com:8081）下载本项目的招标文件。</w:t>
      </w:r>
    </w:p>
    <w:p w14:paraId="0DCB1F9D">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 xml:space="preserve">方式：在线下载。 </w:t>
      </w:r>
    </w:p>
    <w:p w14:paraId="7050B591">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售价：免费。</w:t>
      </w:r>
    </w:p>
    <w:p w14:paraId="1610F8AC">
      <w:pPr>
        <w:keepNext w:val="0"/>
        <w:keepLines w:val="0"/>
        <w:pageBreakBefore w:val="0"/>
        <w:widowControl/>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rPr>
      </w:pPr>
      <w:r>
        <w:rPr>
          <w:rFonts w:hint="eastAsia" w:ascii="宋体" w:hAnsi="宋体" w:eastAsia="宋体" w:cs="宋体"/>
        </w:rPr>
        <w:t>凡已注册的深圳市网上政府采购供应商，按照授予的操作权限，可于发布招标公告当日至</w:t>
      </w:r>
      <w:r>
        <w:rPr>
          <w:rFonts w:hint="eastAsia" w:ascii="宋体" w:hAnsi="宋体" w:eastAsia="宋体" w:cs="宋体"/>
          <w:color w:val="FF0000"/>
          <w:highlight w:val="yellow"/>
          <w:lang w:val="en-US" w:eastAsia="zh-CN"/>
        </w:rPr>
        <w:t>2025年X月X日XX时XX分XX秒</w:t>
      </w:r>
      <w:r>
        <w:rPr>
          <w:rFonts w:hint="eastAsia" w:ascii="宋体" w:hAnsi="宋体" w:eastAsia="宋体" w:cs="宋体"/>
        </w:rPr>
        <w:t>（北京时间）期间登录深圳政府采购智慧平台（http://zfcg.szggzy.com:8081/）下载本项目的采购文件。投标人如确定参加投标，首先要在深圳政府采购智慧平台网上办事子系统（http://zfcg.szggzy.com:8081/TPBidder/memberLogin）网上报名投标，方法为在网上办事子系统后点击“【招标公告】→【我要报名】”；如果网上报名后上传了投标文件，又不参加投标，应再到【我的项目】→【项目流程】→【递交投标(应答)文件】功能点中进行“【撤回本次投标】”操作；如果是未注册为深圳政府采购智慧平台（http://zfcg.szggzy.com:8081/）的供应商，请先办理密钥（请点击），并前往深圳公共资源交易中心（深圳交易集团有限公司政府采购业务分公司）绑定深圳政府采购智慧平台用户（地址：</w:t>
      </w:r>
      <w:r>
        <w:rPr>
          <w:rFonts w:hint="eastAsia" w:ascii="宋体" w:hAnsi="宋体" w:eastAsia="宋体" w:cs="宋体"/>
          <w:lang w:eastAsia="zh-CN"/>
        </w:rPr>
        <w:t>深圳市南山区沙河西路3185号南山智谷A座（深圳交易集团总部大楼）3楼前台，咨询电话：0755-83948165、0755-83938966、4008301330</w:t>
      </w:r>
      <w:r>
        <w:rPr>
          <w:rFonts w:hint="eastAsia" w:ascii="宋体" w:hAnsi="宋体" w:eastAsia="宋体" w:cs="宋体"/>
        </w:rPr>
        <w:t>），再进行投标报名。在网上报名后，点击“【我的项目】→【项目流程】→【采购文件下载】”进行招标文件的下载。</w:t>
      </w:r>
    </w:p>
    <w:p w14:paraId="3BB1BB91">
      <w:pPr>
        <w:keepNext w:val="0"/>
        <w:keepLines w:val="0"/>
        <w:pageBreakBefore w:val="0"/>
        <w:widowControl/>
        <w:kinsoku/>
        <w:wordWrap/>
        <w:overflowPunct/>
        <w:topLinePunct w:val="0"/>
        <w:autoSpaceDE/>
        <w:autoSpaceDN/>
        <w:bidi w:val="0"/>
        <w:adjustRightInd/>
        <w:snapToGrid/>
        <w:spacing w:beforeLines="0" w:afterLines="0" w:line="240" w:lineRule="auto"/>
        <w:ind w:firstLine="482" w:firstLineChars="200"/>
        <w:textAlignment w:val="auto"/>
        <w:rPr>
          <w:rFonts w:hint="eastAsia" w:ascii="宋体" w:hAnsi="宋体" w:eastAsia="宋体" w:cs="宋体"/>
          <w:b/>
          <w:color w:val="000000" w:themeColor="text1"/>
          <w:szCs w:val="21"/>
          <w14:textFill>
            <w14:solidFill>
              <w14:schemeClr w14:val="tx1"/>
            </w14:solidFill>
          </w14:textFill>
        </w:rPr>
      </w:pPr>
    </w:p>
    <w:p w14:paraId="4D531985">
      <w:pPr>
        <w:keepNext w:val="0"/>
        <w:keepLines w:val="0"/>
        <w:pageBreakBefore w:val="0"/>
        <w:widowControl/>
        <w:kinsoku/>
        <w:wordWrap/>
        <w:overflowPunct/>
        <w:topLinePunct w:val="0"/>
        <w:autoSpaceDE/>
        <w:autoSpaceDN/>
        <w:bidi w:val="0"/>
        <w:adjustRightInd/>
        <w:snapToGrid/>
        <w:spacing w:beforeLines="0" w:afterLines="0" w:line="240" w:lineRule="auto"/>
        <w:ind w:firstLine="482" w:firstLineChars="200"/>
        <w:textAlignment w:val="auto"/>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四、提交投标文件截止时间、开标时间和地点</w:t>
      </w:r>
    </w:p>
    <w:p w14:paraId="4B3B87FD">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1.投标截止时间：所有投标文件应于</w:t>
      </w:r>
      <w:r>
        <w:rPr>
          <w:rFonts w:hint="eastAsia" w:ascii="宋体" w:hAnsi="宋体" w:eastAsia="宋体" w:cs="宋体"/>
          <w:color w:val="FF0000"/>
          <w:highlight w:val="yellow"/>
          <w:lang w:val="en-US" w:eastAsia="zh-CN"/>
        </w:rPr>
        <w:t>2025年X月X日XX时XX分XX秒（北京时间）</w:t>
      </w:r>
      <w:r>
        <w:rPr>
          <w:rFonts w:hint="eastAsia" w:ascii="宋体" w:hAnsi="宋体" w:eastAsia="宋体" w:cs="宋体"/>
        </w:rPr>
        <w:t>之前上传到深圳政府采购智慧平台（http://zfcg.szggzy.com:8081/）。具体操作为登录“深圳政府采购智慧平台用户网上办事子系统（http://zfcg.szggzy.com:8081/TPBidder/memberLogin）”，用“【我的项目】→【项目流程】→【递交投标(应答)文件】”功能点上传投标文件。本项目电子投标文件最大容量为100MB，超过此容量的文件将被拒绝。    </w:t>
      </w:r>
    </w:p>
    <w:p w14:paraId="5CC3F2F8">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2.开标时间和地点：定于</w:t>
      </w:r>
      <w:r>
        <w:rPr>
          <w:rFonts w:hint="eastAsia" w:ascii="宋体" w:hAnsi="宋体" w:eastAsia="宋体" w:cs="宋体"/>
          <w:color w:val="FF0000"/>
          <w:highlight w:val="yellow"/>
          <w:lang w:val="en-US" w:eastAsia="zh-CN"/>
        </w:rPr>
        <w:t>2025年X月X日XX时XX分XX秒（北京时间）</w:t>
      </w:r>
      <w:r>
        <w:rPr>
          <w:rFonts w:hint="eastAsia" w:ascii="宋体" w:hAnsi="宋体" w:eastAsia="宋体" w:cs="宋体"/>
        </w:rPr>
        <w:t>，在</w:t>
      </w:r>
      <w:r>
        <w:rPr>
          <w:rFonts w:hint="eastAsia" w:ascii="宋体" w:hAnsi="宋体" w:eastAsia="宋体" w:cs="宋体"/>
          <w:highlight w:val="yellow"/>
        </w:rPr>
        <w:t>友和保险经纪有限公司</w:t>
      </w:r>
      <w:r>
        <w:rPr>
          <w:rFonts w:hint="eastAsia" w:ascii="宋体" w:hAnsi="宋体" w:eastAsia="宋体" w:cs="宋体"/>
        </w:rPr>
        <w:t>公开开标。供应商可以登录“深圳政府采购智慧平台用户网上办事子系统（http://zfcg.szggzy.com:8081/TPBidder/memberLogin）”，在“【我的项目】→【项目流程】→【开标及解密】”进行在线解密、查询开标情况。</w:t>
      </w:r>
    </w:p>
    <w:p w14:paraId="160851F1">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3.在线解密：投标人须在</w:t>
      </w:r>
      <w:r>
        <w:rPr>
          <w:rFonts w:hint="eastAsia" w:ascii="宋体" w:hAnsi="宋体" w:eastAsia="宋体" w:cs="宋体"/>
          <w:color w:val="FF0000"/>
          <w:highlight w:val="yellow"/>
          <w:lang w:val="en-US" w:eastAsia="zh-CN"/>
        </w:rPr>
        <w:t>开标当日XX:XX:XX-XX:XX:XX期间</w:t>
      </w:r>
      <w:r>
        <w:rPr>
          <w:rFonts w:hint="eastAsia" w:ascii="宋体" w:hAnsi="宋体" w:eastAsia="宋体" w:cs="宋体"/>
        </w:rPr>
        <w:t>进行解密，逾期未解密的作无效处理。解密方法：登录“深圳政府采购智慧平台用户网上办事子系统（http://zfcg.szggzy.com:8081/TPBidder/memberLogin）”，使用本单位制作电子投标文件同一个电子密钥，在“【我的项目】→【项目流程】→【开标及解密】”进行在线解密、查询开标情况。</w:t>
      </w:r>
    </w:p>
    <w:p w14:paraId="66CDA826">
      <w:pPr>
        <w:keepNext w:val="0"/>
        <w:keepLines w:val="0"/>
        <w:pageBreakBefore w:val="0"/>
        <w:widowControl/>
        <w:kinsoku/>
        <w:wordWrap/>
        <w:overflowPunct/>
        <w:topLinePunct w:val="0"/>
        <w:autoSpaceDE/>
        <w:autoSpaceDN/>
        <w:bidi w:val="0"/>
        <w:adjustRightInd/>
        <w:snapToGrid/>
        <w:spacing w:beforeLines="0" w:afterLines="0" w:line="240" w:lineRule="auto"/>
        <w:ind w:firstLine="482" w:firstLineChars="200"/>
        <w:textAlignment w:val="auto"/>
        <w:rPr>
          <w:rFonts w:hint="eastAsia" w:ascii="宋体" w:hAnsi="宋体" w:eastAsia="宋体" w:cs="宋体"/>
          <w:b/>
          <w:color w:val="000000" w:themeColor="text1"/>
          <w:szCs w:val="21"/>
          <w14:textFill>
            <w14:solidFill>
              <w14:schemeClr w14:val="tx1"/>
            </w14:solidFill>
          </w14:textFill>
        </w:rPr>
      </w:pPr>
    </w:p>
    <w:p w14:paraId="65D7C4F1">
      <w:pPr>
        <w:keepNext w:val="0"/>
        <w:keepLines w:val="0"/>
        <w:pageBreakBefore w:val="0"/>
        <w:widowControl/>
        <w:kinsoku/>
        <w:wordWrap/>
        <w:overflowPunct/>
        <w:topLinePunct w:val="0"/>
        <w:autoSpaceDE/>
        <w:autoSpaceDN/>
        <w:bidi w:val="0"/>
        <w:adjustRightInd/>
        <w:snapToGrid/>
        <w:spacing w:beforeLines="0" w:afterLines="0" w:line="240" w:lineRule="auto"/>
        <w:ind w:firstLine="482" w:firstLineChars="200"/>
        <w:textAlignment w:val="auto"/>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五、公告期限</w:t>
      </w:r>
    </w:p>
    <w:p w14:paraId="799CA1B8">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自本公告发布之日起5个工作日。</w:t>
      </w:r>
    </w:p>
    <w:p w14:paraId="4303BD28">
      <w:pPr>
        <w:keepNext w:val="0"/>
        <w:keepLines w:val="0"/>
        <w:pageBreakBefore w:val="0"/>
        <w:widowControl/>
        <w:kinsoku/>
        <w:wordWrap/>
        <w:overflowPunct/>
        <w:topLinePunct w:val="0"/>
        <w:autoSpaceDE/>
        <w:autoSpaceDN/>
        <w:bidi w:val="0"/>
        <w:adjustRightInd/>
        <w:snapToGrid/>
        <w:spacing w:beforeLines="0" w:afterLines="0" w:line="240" w:lineRule="auto"/>
        <w:ind w:firstLine="482" w:firstLineChars="200"/>
        <w:textAlignment w:val="auto"/>
        <w:rPr>
          <w:rFonts w:hint="eastAsia" w:ascii="宋体" w:hAnsi="宋体" w:eastAsia="宋体" w:cs="宋体"/>
          <w:b/>
          <w:color w:val="000000" w:themeColor="text1"/>
          <w:szCs w:val="21"/>
          <w14:textFill>
            <w14:solidFill>
              <w14:schemeClr w14:val="tx1"/>
            </w14:solidFill>
          </w14:textFill>
        </w:rPr>
      </w:pPr>
    </w:p>
    <w:p w14:paraId="36A25F45">
      <w:pPr>
        <w:keepNext w:val="0"/>
        <w:keepLines w:val="0"/>
        <w:pageBreakBefore w:val="0"/>
        <w:widowControl/>
        <w:kinsoku/>
        <w:wordWrap/>
        <w:overflowPunct/>
        <w:topLinePunct w:val="0"/>
        <w:autoSpaceDE/>
        <w:autoSpaceDN/>
        <w:bidi w:val="0"/>
        <w:adjustRightInd/>
        <w:snapToGrid/>
        <w:spacing w:beforeLines="0" w:afterLines="0" w:line="240" w:lineRule="auto"/>
        <w:ind w:firstLine="482" w:firstLineChars="200"/>
        <w:textAlignment w:val="auto"/>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六、其他补充事宜</w:t>
      </w:r>
    </w:p>
    <w:p w14:paraId="11A72860">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1.本项目实行网上投标，采用电子投标文件。</w:t>
      </w:r>
    </w:p>
    <w:p w14:paraId="0CFC60EB">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2.报名操作：投标人如确定参加投标，首先要在深圳政府采购网上报名投标，方法为登录深圳公共资源交易中心（深圳交易集团有限公司政府采购业务分公司）网后点击“招标公告”选中要报名标段点击“我要报名”或“代办→邀请提醒”；如果网上报名后上传了投标文件，又不参加投标，应再到【我的项目】→【项目流程】→【递交投标(应答)文件】→【上传投标文件】功能点中进行“撤标”操作；如果是未注册为深圳政府采购的供应商，请访问深圳公共资源交易中心（深圳交易集团有限公司政府采购业务分公司）（http://www.szzfcg.cn/）,先办理注册手续（注册咨询：83938966；电子密钥咨询：83948165</w:t>
      </w:r>
      <w:r>
        <w:rPr>
          <w:rFonts w:hint="eastAsia" w:ascii="宋体" w:hAnsi="宋体" w:eastAsia="宋体" w:cs="宋体"/>
          <w:lang w:eastAsia="zh-CN"/>
        </w:rPr>
        <w:t>、</w:t>
      </w:r>
      <w:r>
        <w:rPr>
          <w:rFonts w:hint="eastAsia" w:ascii="宋体" w:hAnsi="宋体" w:eastAsia="宋体" w:cs="宋体"/>
        </w:rPr>
        <w:t>4008301330 ），再进行投标报名。在网上报名后，点击“我的项目→项目流程”中进行招标文件的下载。</w:t>
      </w:r>
    </w:p>
    <w:p w14:paraId="140E32C6">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3.开标操作：投标人可以登录“深圳公共资源交易中心（深圳交易集团有限公司政府采购业务分公司）网站”，在系统登录首页面即可查看开标情况。</w:t>
      </w:r>
    </w:p>
    <w:p w14:paraId="5C7DECCB">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4.投标操作：具体操作为登录“深圳公共资源交易中心（深圳交易集团有限公司政府采购业务分公司）网站”，用“我的项目→项目流程→递交投标(应答)文件→上传投标文件”功能点上传投标文件。本项目电子投标文件最大容量为100MB，超过此容量的文件将被拒绝。</w:t>
      </w:r>
    </w:p>
    <w:p w14:paraId="5237ADAB">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5.采购文件澄清/修改事项：</w:t>
      </w:r>
      <w:r>
        <w:rPr>
          <w:rFonts w:hint="eastAsia" w:ascii="宋体" w:hAnsi="宋体" w:eastAsia="宋体" w:cs="宋体"/>
          <w:color w:val="FF0000"/>
          <w:highlight w:val="yellow"/>
          <w:lang w:val="en-US" w:eastAsia="zh-CN"/>
        </w:rPr>
        <w:t>2025年X月X日XX:XX:XX（北京时间）前</w:t>
      </w:r>
      <w:r>
        <w:rPr>
          <w:rFonts w:hint="eastAsia" w:ascii="宋体" w:hAnsi="宋体" w:eastAsia="宋体" w:cs="宋体"/>
        </w:rPr>
        <w:t>，供应商如果认为采购文件存在不明确、不清晰和前后不一致等问题，可登录深圳公共资源交易中心网（http://zfcg.szggzy.com:8081/）→“深圳政府采购智慧平台用户网上办事子系统（http://zfcg.szggzy.com:8081/TPBidder/memberLogin）”，在“【我的项目】→【项目流程】→【提问】”功能点中填写需澄清内容</w:t>
      </w:r>
      <w:r>
        <w:rPr>
          <w:rFonts w:hint="eastAsia" w:ascii="宋体" w:hAnsi="宋体" w:eastAsia="宋体" w:cs="宋体"/>
          <w:color w:val="FF0000"/>
          <w:highlight w:val="yellow"/>
          <w:lang w:val="en-US" w:eastAsia="zh-CN"/>
        </w:rPr>
        <w:t>2025年X月X日XX:XX:XX（北京时间）</w:t>
      </w:r>
      <w:r>
        <w:rPr>
          <w:rFonts w:hint="eastAsia" w:ascii="宋体" w:hAnsi="宋体" w:eastAsia="宋体" w:cs="宋体"/>
        </w:rPr>
        <w:t>前将采购文件澄清/修改情况在“【我的项目】→【项目流程】→【答疑澄清文件下载】”中公布，望投标人予以关注。</w:t>
      </w:r>
    </w:p>
    <w:p w14:paraId="55248F2D">
      <w:pPr>
        <w:keepNext w:val="0"/>
        <w:keepLines w:val="0"/>
        <w:pageBreakBefore w:val="0"/>
        <w:widowControl/>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rPr>
      </w:pPr>
      <w:r>
        <w:rPr>
          <w:rFonts w:hint="eastAsia" w:ascii="宋体" w:hAnsi="宋体" w:eastAsia="宋体" w:cs="宋体"/>
          <w:lang w:val="en-US" w:eastAsia="zh-CN" w:bidi="ar-SA"/>
        </w:rPr>
        <w:t>（重要提示：“提出采购文件澄清要求”不等同于“对采购文件质疑”，供应商提出的澄清要求内容如出现“质疑”字眼，将予以退回。供应商如认为采购文件存在限制性、倾向性、其权益受到损害，应在采购文件公布之日起七个工作日内以书面形式提出质疑。请质疑供应商根据深圳公共资源交易中心网（https://www.szggzy.com/globalSearch/details.html?contentId=1211037）所发布的质疑指引、质疑函模板填写质疑函并提交质疑材料。质疑材料可以采用现场或邮寄方式提交，采用邮寄方式提交的，交邮时间应在本公告发布之日起七个工作日内。质疑材料现场提交、邮寄地址：深圳市福田区福田体育公园西北角友和招标代理服务中心（靠近北门）。</w:t>
      </w:r>
      <w:r>
        <w:rPr>
          <w:rFonts w:hint="eastAsia" w:ascii="宋体" w:hAnsi="宋体" w:eastAsia="宋体" w:cs="宋体"/>
          <w:color w:val="FF0000"/>
          <w:highlight w:val="yellow"/>
          <w:lang w:val="en-US" w:eastAsia="zh-CN"/>
        </w:rPr>
        <w:t>质疑咨询电话：0755-83881283</w:t>
      </w:r>
      <w:r>
        <w:rPr>
          <w:rFonts w:hint="eastAsia" w:ascii="宋体" w:hAnsi="宋体" w:eastAsia="宋体" w:cs="宋体"/>
          <w:b w:val="0"/>
          <w:bCs w:val="0"/>
        </w:rPr>
        <w:t>。</w:t>
      </w:r>
      <w:r>
        <w:rPr>
          <w:rFonts w:hint="eastAsia" w:ascii="宋体" w:hAnsi="宋体" w:eastAsia="宋体" w:cs="宋体"/>
        </w:rPr>
        <w:t xml:space="preserve">根据《深圳经济特区政府采购条例》第四十二条“供应商投诉的事项应当是经过质疑的事项”的规定，未经正式质疑的，将影响供应商行使向财政部门提起投诉的权利。） </w:t>
      </w:r>
    </w:p>
    <w:p w14:paraId="7BB7351B">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6.</w:t>
      </w:r>
      <w:r>
        <w:rPr>
          <w:rFonts w:hint="eastAsia" w:ascii="宋体" w:hAnsi="宋体" w:eastAsia="宋体" w:cs="宋体"/>
          <w:highlight w:val="yellow"/>
        </w:rPr>
        <w:t>友和保险经纪有限公司</w:t>
      </w:r>
      <w:r>
        <w:rPr>
          <w:rFonts w:hint="eastAsia" w:ascii="宋体" w:hAnsi="宋体" w:eastAsia="宋体" w:cs="宋体"/>
        </w:rPr>
        <w:t xml:space="preserve">有权对投标人就本项目要求提供的相关证明资料（原件）进行审查。供应商提供虚假资料被查实的，则可能面临被取消本项目中标资格、列入不良行为记录名单和三年内禁止参与深圳市政府采购活动的风险。 </w:t>
      </w:r>
    </w:p>
    <w:p w14:paraId="7AD4A38F">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7.本招标公告及本项目招标文件所涉及的时间一律为北京时间。投标人有义务在招标活动期间浏览深圳公共资源交易中心（深圳交易集团有限公司政府采购业务分公司）网（http://zfcg.szggzy.com:8081），在深圳公共资源交易中心（深圳交易集团有限公司政府采购业务分公司）网上公布的与本次招标项目有关的信息视为已送达各投标人。</w:t>
      </w:r>
    </w:p>
    <w:p w14:paraId="1D7D89A2">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r>
        <w:rPr>
          <w:rFonts w:hint="eastAsia" w:ascii="宋体" w:hAnsi="宋体" w:eastAsia="宋体" w:cs="宋体"/>
        </w:rPr>
        <w:t>8.本项目不需要投标保证金。</w:t>
      </w:r>
    </w:p>
    <w:p w14:paraId="0E730517">
      <w:pPr>
        <w:keepNext w:val="0"/>
        <w:keepLines w:val="0"/>
        <w:pageBreakBefore w:val="0"/>
        <w:widowControl/>
        <w:kinsoku/>
        <w:wordWrap/>
        <w:overflowPunct/>
        <w:topLinePunct w:val="0"/>
        <w:autoSpaceDE/>
        <w:autoSpaceDN/>
        <w:bidi w:val="0"/>
        <w:adjustRightInd/>
        <w:snapToGrid/>
        <w:spacing w:beforeLines="0" w:afterLines="0" w:line="240" w:lineRule="auto"/>
        <w:ind w:firstLine="482" w:firstLineChars="200"/>
        <w:textAlignment w:val="auto"/>
        <w:rPr>
          <w:rFonts w:hint="eastAsia" w:ascii="宋体" w:hAnsi="宋体" w:eastAsia="宋体" w:cs="宋体"/>
          <w:b/>
          <w:color w:val="000000" w:themeColor="text1"/>
          <w:szCs w:val="21"/>
          <w14:textFill>
            <w14:solidFill>
              <w14:schemeClr w14:val="tx1"/>
            </w14:solidFill>
          </w14:textFill>
        </w:rPr>
      </w:pPr>
    </w:p>
    <w:p w14:paraId="6C66F290">
      <w:pPr>
        <w:keepNext w:val="0"/>
        <w:keepLines w:val="0"/>
        <w:pageBreakBefore w:val="0"/>
        <w:widowControl/>
        <w:kinsoku/>
        <w:wordWrap/>
        <w:overflowPunct/>
        <w:topLinePunct w:val="0"/>
        <w:autoSpaceDE/>
        <w:autoSpaceDN/>
        <w:bidi w:val="0"/>
        <w:adjustRightInd/>
        <w:snapToGrid/>
        <w:spacing w:beforeLines="0" w:afterLines="0" w:line="240" w:lineRule="auto"/>
        <w:ind w:firstLine="482" w:firstLineChars="200"/>
        <w:textAlignment w:val="auto"/>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七、对本次采购提出询问，请按以下方式联系</w:t>
      </w:r>
    </w:p>
    <w:p w14:paraId="57A648B3">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default" w:eastAsia="宋体"/>
          <w:lang w:val="en-US" w:eastAsia="zh-CN"/>
        </w:rPr>
      </w:pPr>
      <w:r>
        <w:rPr>
          <w:rFonts w:hint="default" w:eastAsia="宋体"/>
          <w:lang w:val="en-US" w:eastAsia="zh-CN"/>
        </w:rPr>
        <w:t>1.采购人信息</w:t>
      </w:r>
    </w:p>
    <w:p w14:paraId="0EAC5307">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default" w:eastAsia="宋体"/>
          <w:lang w:val="en-US" w:eastAsia="zh-CN"/>
        </w:rPr>
      </w:pPr>
      <w:r>
        <w:rPr>
          <w:rFonts w:hint="default" w:eastAsia="宋体"/>
          <w:lang w:val="en-US" w:eastAsia="zh-CN"/>
        </w:rPr>
        <w:t>名　称：深圳市交通公用设施管理处</w:t>
      </w:r>
    </w:p>
    <w:p w14:paraId="023B8986">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default" w:eastAsia="宋体"/>
          <w:lang w:val="en-US" w:eastAsia="zh-CN"/>
        </w:rPr>
      </w:pPr>
      <w:r>
        <w:rPr>
          <w:rFonts w:hint="default" w:eastAsia="宋体"/>
          <w:lang w:val="en-US" w:eastAsia="zh-CN"/>
        </w:rPr>
        <w:t>地　址：福田区竹林四路2号深圳市交通公用设施管理处</w:t>
      </w:r>
    </w:p>
    <w:p w14:paraId="5B7573CD">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default" w:eastAsia="宋体"/>
          <w:lang w:val="en-US" w:eastAsia="zh-CN"/>
        </w:rPr>
      </w:pPr>
      <w:r>
        <w:rPr>
          <w:rFonts w:hint="default" w:eastAsia="宋体"/>
          <w:lang w:val="en-US" w:eastAsia="zh-CN"/>
        </w:rPr>
        <w:t>联系方式：马工，0755-83183923</w:t>
      </w:r>
    </w:p>
    <w:p w14:paraId="0E5E49DB">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default" w:eastAsia="宋体"/>
          <w:lang w:val="en-US" w:eastAsia="zh-CN"/>
        </w:rPr>
      </w:pPr>
      <w:r>
        <w:rPr>
          <w:rFonts w:hint="default" w:eastAsia="宋体"/>
          <w:lang w:val="en-US" w:eastAsia="zh-CN"/>
        </w:rPr>
        <w:t>2.招标机构</w:t>
      </w:r>
    </w:p>
    <w:p w14:paraId="1308EFC5">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default" w:eastAsia="宋体"/>
          <w:lang w:val="en-US" w:eastAsia="zh-CN"/>
        </w:rPr>
      </w:pPr>
      <w:r>
        <w:rPr>
          <w:rFonts w:hint="default" w:eastAsia="宋体"/>
          <w:lang w:val="en-US" w:eastAsia="zh-CN"/>
        </w:rPr>
        <w:t>名　称：友和保险经纪有限公司</w:t>
      </w:r>
    </w:p>
    <w:p w14:paraId="7CE87123">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default" w:eastAsia="宋体"/>
          <w:lang w:val="en-US" w:eastAsia="zh-CN"/>
        </w:rPr>
      </w:pPr>
      <w:r>
        <w:rPr>
          <w:rFonts w:hint="default" w:eastAsia="宋体"/>
          <w:lang w:val="en-US" w:eastAsia="zh-CN"/>
        </w:rPr>
        <w:t>地　址：深圳市福田区福田体育公园西北角友和招标代理服务中心（靠近北门）</w:t>
      </w:r>
    </w:p>
    <w:p w14:paraId="4466FCAE">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default" w:eastAsia="宋体"/>
          <w:lang w:val="en-US" w:eastAsia="zh-CN"/>
        </w:rPr>
      </w:pPr>
      <w:r>
        <w:rPr>
          <w:rFonts w:hint="default" w:eastAsia="宋体"/>
          <w:lang w:val="en-US" w:eastAsia="zh-CN"/>
        </w:rPr>
        <w:t>3.项目联系方式</w:t>
      </w:r>
    </w:p>
    <w:p w14:paraId="23AB80EF">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default" w:eastAsia="宋体"/>
          <w:lang w:val="en-US" w:eastAsia="zh-CN"/>
        </w:rPr>
      </w:pPr>
      <w:r>
        <w:rPr>
          <w:rFonts w:hint="default" w:eastAsia="宋体"/>
          <w:lang w:val="en-US" w:eastAsia="zh-CN"/>
        </w:rPr>
        <w:t>项目联系人：</w:t>
      </w:r>
      <w:r>
        <w:rPr>
          <w:rFonts w:hint="eastAsia" w:eastAsia="宋体"/>
          <w:lang w:val="en-US" w:eastAsia="zh-CN"/>
        </w:rPr>
        <w:t>潘艺伟</w:t>
      </w:r>
      <w:r>
        <w:rPr>
          <w:rFonts w:hint="default" w:eastAsia="宋体"/>
          <w:lang w:val="en-US" w:eastAsia="zh-CN"/>
        </w:rPr>
        <w:t>/张挺</w:t>
      </w:r>
      <w:r>
        <w:rPr>
          <w:rFonts w:hint="eastAsia" w:eastAsia="宋体"/>
          <w:lang w:val="en-US" w:eastAsia="zh-CN"/>
        </w:rPr>
        <w:t>/陈少群</w:t>
      </w:r>
    </w:p>
    <w:p w14:paraId="29224F8E">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default" w:eastAsia="宋体"/>
          <w:lang w:val="en-US" w:eastAsia="zh-CN"/>
        </w:rPr>
      </w:pPr>
      <w:r>
        <w:rPr>
          <w:rFonts w:hint="default" w:eastAsia="宋体"/>
          <w:lang w:val="en-US" w:eastAsia="zh-CN"/>
        </w:rPr>
        <w:t>项目咨询：0755-83881282、0755-83889026</w:t>
      </w:r>
    </w:p>
    <w:p w14:paraId="064F5B91">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default" w:eastAsia="宋体"/>
          <w:lang w:val="en-US" w:eastAsia="zh-CN"/>
        </w:rPr>
      </w:pPr>
      <w:r>
        <w:rPr>
          <w:rFonts w:hint="default" w:eastAsia="宋体"/>
          <w:lang w:val="en-US" w:eastAsia="zh-CN"/>
        </w:rPr>
        <w:t>投标报名：0755-83881111（总机）</w:t>
      </w:r>
    </w:p>
    <w:p w14:paraId="6E6D31A4">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default" w:eastAsia="宋体"/>
          <w:lang w:val="en-US" w:eastAsia="zh-CN"/>
        </w:rPr>
      </w:pPr>
      <w:r>
        <w:rPr>
          <w:rFonts w:hint="default" w:eastAsia="宋体"/>
          <w:lang w:val="en-US" w:eastAsia="zh-CN"/>
        </w:rPr>
        <w:t>监督举报：0755-83889803、83889016</w:t>
      </w:r>
    </w:p>
    <w:p w14:paraId="256C79D4">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default" w:eastAsia="宋体"/>
          <w:lang w:val="en-US" w:eastAsia="zh-CN"/>
        </w:rPr>
      </w:pPr>
      <w:r>
        <w:rPr>
          <w:rFonts w:hint="default" w:eastAsia="宋体"/>
          <w:lang w:val="en-US" w:eastAsia="zh-CN"/>
        </w:rPr>
        <w:t>4.相关项目信息查询网址</w:t>
      </w:r>
    </w:p>
    <w:p w14:paraId="28F99068">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default" w:eastAsia="宋体"/>
          <w:lang w:val="en-US" w:eastAsia="zh-CN"/>
        </w:rPr>
      </w:pPr>
      <w:r>
        <w:rPr>
          <w:rFonts w:hint="default" w:eastAsia="宋体"/>
          <w:lang w:val="en-US" w:eastAsia="zh-CN"/>
        </w:rPr>
        <w:t>深圳政府采购智慧平台 http://zfcg.szggzy.com:8081/</w:t>
      </w:r>
    </w:p>
    <w:p w14:paraId="149AE98D">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default" w:eastAsia="宋体"/>
          <w:lang w:val="en-US" w:eastAsia="zh-CN"/>
        </w:rPr>
      </w:pPr>
      <w:r>
        <w:rPr>
          <w:rFonts w:hint="default" w:eastAsia="宋体"/>
          <w:lang w:val="en-US" w:eastAsia="zh-CN"/>
        </w:rPr>
        <w:t>友和招标代理服务网 http://yhzb.uho.cn/</w:t>
      </w:r>
    </w:p>
    <w:p w14:paraId="1D44D417">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default" w:eastAsia="宋体"/>
          <w:lang w:val="en-US" w:eastAsia="zh-CN"/>
        </w:rPr>
      </w:pPr>
    </w:p>
    <w:p w14:paraId="0F9765ED">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rPr>
      </w:pPr>
    </w:p>
    <w:p w14:paraId="2A8AEF8E">
      <w:pPr>
        <w:keepNext w:val="0"/>
        <w:keepLines w:val="0"/>
        <w:pageBreakBefore w:val="0"/>
        <w:widowControl/>
        <w:kinsoku/>
        <w:wordWrap/>
        <w:overflowPunct/>
        <w:topLinePunct w:val="0"/>
        <w:autoSpaceDE/>
        <w:autoSpaceDN/>
        <w:bidi w:val="0"/>
        <w:adjustRightInd/>
        <w:snapToGrid/>
        <w:spacing w:line="400" w:lineRule="exact"/>
        <w:ind w:firstLine="480" w:firstLineChars="200"/>
        <w:jc w:val="right"/>
        <w:textAlignment w:val="auto"/>
        <w:rPr>
          <w:rFonts w:hint="eastAsia" w:ascii="宋体" w:hAnsi="宋体" w:eastAsia="宋体" w:cs="宋体"/>
          <w:highlight w:val="yellow"/>
        </w:rPr>
      </w:pPr>
      <w:r>
        <w:rPr>
          <w:rFonts w:hint="eastAsia" w:ascii="宋体" w:hAnsi="宋体" w:eastAsia="宋体" w:cs="宋体"/>
          <w:highlight w:val="yellow"/>
        </w:rPr>
        <w:t>友和保险经纪有限公司</w:t>
      </w:r>
    </w:p>
    <w:p w14:paraId="00307479">
      <w:pPr>
        <w:keepNext w:val="0"/>
        <w:keepLines w:val="0"/>
        <w:pageBreakBefore w:val="0"/>
        <w:widowControl/>
        <w:kinsoku/>
        <w:wordWrap/>
        <w:overflowPunct/>
        <w:topLinePunct w:val="0"/>
        <w:autoSpaceDE/>
        <w:autoSpaceDN/>
        <w:bidi w:val="0"/>
        <w:adjustRightInd/>
        <w:snapToGrid/>
        <w:spacing w:line="400" w:lineRule="exact"/>
        <w:ind w:firstLine="480" w:firstLineChars="200"/>
        <w:jc w:val="right"/>
        <w:textAlignment w:val="auto"/>
        <w:rPr>
          <w:rFonts w:hint="eastAsia" w:ascii="宋体" w:hAnsi="宋体" w:eastAsia="宋体" w:cs="宋体"/>
        </w:rPr>
      </w:pPr>
      <w:r>
        <w:rPr>
          <w:rFonts w:hint="eastAsia" w:ascii="宋体" w:hAnsi="宋体" w:eastAsia="宋体" w:cs="宋体"/>
          <w:lang w:eastAsia="zh-CN"/>
        </w:rPr>
        <w:t>2025年</w:t>
      </w:r>
      <w:r>
        <w:rPr>
          <w:rFonts w:hint="eastAsia" w:ascii="宋体" w:hAnsi="宋体" w:eastAsia="宋体" w:cs="宋体"/>
          <w:lang w:val="en-US" w:eastAsia="zh-CN"/>
        </w:rPr>
        <w:t>X</w:t>
      </w:r>
      <w:r>
        <w:rPr>
          <w:rFonts w:hint="eastAsia" w:ascii="宋体" w:hAnsi="宋体" w:eastAsia="宋体" w:cs="宋体"/>
        </w:rPr>
        <w:t>月</w:t>
      </w:r>
      <w:r>
        <w:rPr>
          <w:rFonts w:hint="eastAsia" w:ascii="宋体" w:hAnsi="宋体" w:eastAsia="宋体" w:cs="宋体"/>
          <w:lang w:val="en-US" w:eastAsia="zh-CN"/>
        </w:rPr>
        <w:t>X</w:t>
      </w:r>
      <w:r>
        <w:rPr>
          <w:rFonts w:hint="eastAsia" w:ascii="宋体" w:hAnsi="宋体" w:eastAsia="宋体" w:cs="宋体"/>
        </w:rPr>
        <w:t>日</w:t>
      </w:r>
    </w:p>
    <w:p w14:paraId="71BCFDF9"/>
    <w:p w14:paraId="5310A1A9">
      <w:pPr>
        <w:spacing w:beforeLines="0" w:afterLines="0"/>
        <w:rPr>
          <w:rFonts w:ascii="宋体" w:hAnsi="宋体" w:eastAsia="宋体" w:cs="宋体"/>
          <w:b/>
          <w:bCs/>
          <w:szCs w:val="21"/>
        </w:rPr>
      </w:pPr>
    </w:p>
    <w:p w14:paraId="3F143BAB">
      <w:pPr>
        <w:pStyle w:val="6"/>
        <w:spacing w:before="0" w:beforeLines="0" w:after="0" w:afterLines="0" w:line="240" w:lineRule="auto"/>
        <w:ind w:firstLine="0"/>
        <w:rPr>
          <w:rFonts w:ascii="宋体" w:hAnsi="宋体" w:eastAsia="宋体"/>
          <w:b/>
          <w:color w:val="auto"/>
          <w:sz w:val="28"/>
          <w:szCs w:val="28"/>
          <w:highlight w:val="yellow"/>
        </w:rPr>
      </w:pPr>
      <w:r>
        <w:rPr>
          <w:rFonts w:hint="eastAsia"/>
          <w:color w:val="auto"/>
          <w:szCs w:val="20"/>
          <w:highlight w:val="none"/>
        </w:rPr>
        <w:t>完整公告内容详见：</w:t>
      </w:r>
      <w:r>
        <w:rPr>
          <w:rFonts w:hint="eastAsia"/>
          <w:color w:val="auto"/>
          <w:szCs w:val="20"/>
          <w:highlight w:val="yellow"/>
        </w:rPr>
        <w:t>http://zfcg.szggzy.com:8081/</w:t>
      </w:r>
    </w:p>
    <w:p w14:paraId="49B85409">
      <w:pPr>
        <w:spacing w:line="360" w:lineRule="auto"/>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br w:type="page"/>
      </w:r>
    </w:p>
    <w:p w14:paraId="1CF45D40">
      <w:pPr>
        <w:pStyle w:val="5"/>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第二章 对通用条款的补充内容及其他关键信息</w:t>
      </w:r>
    </w:p>
    <w:p w14:paraId="6816755A">
      <w:pPr>
        <w:jc w:val="center"/>
        <w:outlineLvl w:val="2"/>
        <w:rPr>
          <w:b/>
          <w:bCs/>
          <w:sz w:val="28"/>
          <w:szCs w:val="28"/>
        </w:rPr>
      </w:pPr>
      <w:bookmarkStart w:id="20" w:name="_Toc100052364"/>
      <w:bookmarkStart w:id="21" w:name="_Toc73517639"/>
      <w:bookmarkStart w:id="22" w:name="_Toc60560625"/>
      <w:bookmarkStart w:id="23" w:name="_Toc73521547"/>
      <w:bookmarkStart w:id="24" w:name="_Toc60631620"/>
      <w:bookmarkStart w:id="25" w:name="_Toc73518117"/>
      <w:bookmarkStart w:id="26" w:name="_Toc101074876"/>
      <w:bookmarkStart w:id="27" w:name="_Toc73521635"/>
      <w:r>
        <w:rPr>
          <w:rFonts w:hint="eastAsia" w:ascii="宋体" w:hAnsi="宋体" w:eastAsia="宋体" w:cs="宋体"/>
          <w:b/>
          <w:bCs/>
          <w:sz w:val="28"/>
          <w:szCs w:val="28"/>
        </w:rPr>
        <w:t>一、对通用条款的补充内容</w:t>
      </w:r>
    </w:p>
    <w:bookmarkEnd w:id="20"/>
    <w:bookmarkEnd w:id="21"/>
    <w:bookmarkEnd w:id="22"/>
    <w:bookmarkEnd w:id="23"/>
    <w:bookmarkEnd w:id="24"/>
    <w:bookmarkEnd w:id="25"/>
    <w:bookmarkEnd w:id="26"/>
    <w:bookmarkEnd w:id="27"/>
    <w:tbl>
      <w:tblPr>
        <w:tblStyle w:val="16"/>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1888"/>
        <w:gridCol w:w="5501"/>
      </w:tblGrid>
      <w:tr w14:paraId="49C6D47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9FACB1D">
            <w:pPr>
              <w:jc w:val="center"/>
              <w:rPr>
                <w:rFonts w:ascii="宋体" w:hAnsi="宋体"/>
                <w:b/>
                <w:bCs/>
                <w:color w:val="000000" w:themeColor="text1"/>
                <w14:textFill>
                  <w14:solidFill>
                    <w14:schemeClr w14:val="tx1"/>
                  </w14:solidFill>
                </w14:textFill>
              </w:rPr>
            </w:pPr>
            <w:r>
              <w:rPr>
                <w:rFonts w:hint="eastAsia" w:ascii="宋体" w:hAnsi="宋体"/>
                <w:b/>
                <w:bCs/>
                <w:color w:val="000000" w:themeColor="text1"/>
                <w14:textFill>
                  <w14:solidFill>
                    <w14:schemeClr w14:val="tx1"/>
                  </w14:solidFill>
                </w14:textFill>
              </w:rPr>
              <w:t>通用条款序号</w:t>
            </w:r>
          </w:p>
        </w:tc>
        <w:tc>
          <w:tcPr>
            <w:tcW w:w="1888" w:type="dxa"/>
            <w:vAlign w:val="center"/>
          </w:tcPr>
          <w:p w14:paraId="5B0DACE9">
            <w:pPr>
              <w:jc w:val="center"/>
              <w:rPr>
                <w:rFonts w:ascii="宋体" w:hAnsi="宋体"/>
                <w:b/>
                <w:bCs/>
                <w:color w:val="000000" w:themeColor="text1"/>
                <w14:textFill>
                  <w14:solidFill>
                    <w14:schemeClr w14:val="tx1"/>
                  </w14:solidFill>
                </w14:textFill>
              </w:rPr>
            </w:pPr>
            <w:r>
              <w:rPr>
                <w:rFonts w:hint="eastAsia" w:ascii="宋体" w:hAnsi="宋体"/>
                <w:b/>
                <w:bCs/>
                <w:color w:val="000000" w:themeColor="text1"/>
                <w14:textFill>
                  <w14:solidFill>
                    <w14:schemeClr w14:val="tx1"/>
                  </w14:solidFill>
                </w14:textFill>
              </w:rPr>
              <w:t>涉及事项</w:t>
            </w:r>
          </w:p>
        </w:tc>
        <w:tc>
          <w:tcPr>
            <w:tcW w:w="5501" w:type="dxa"/>
            <w:vAlign w:val="center"/>
          </w:tcPr>
          <w:p w14:paraId="4E81D7EC">
            <w:pPr>
              <w:jc w:val="center"/>
              <w:rPr>
                <w:rFonts w:ascii="宋体" w:hAnsi="宋体"/>
                <w:b/>
                <w:bCs/>
                <w:color w:val="000000" w:themeColor="text1"/>
                <w14:textFill>
                  <w14:solidFill>
                    <w14:schemeClr w14:val="tx1"/>
                  </w14:solidFill>
                </w14:textFill>
              </w:rPr>
            </w:pPr>
            <w:r>
              <w:rPr>
                <w:rFonts w:hint="eastAsia" w:ascii="宋体" w:hAnsi="宋体"/>
                <w:b/>
                <w:bCs/>
                <w:color w:val="000000" w:themeColor="text1"/>
                <w14:textFill>
                  <w14:solidFill>
                    <w14:schemeClr w14:val="tx1"/>
                  </w14:solidFill>
                </w14:textFill>
              </w:rPr>
              <w:t xml:space="preserve">具 </w:t>
            </w:r>
            <w:r>
              <w:rPr>
                <w:rFonts w:ascii="宋体" w:hAnsi="宋体"/>
                <w:b/>
                <w:bCs/>
                <w:color w:val="000000" w:themeColor="text1"/>
                <w14:textFill>
                  <w14:solidFill>
                    <w14:schemeClr w14:val="tx1"/>
                  </w14:solidFill>
                </w14:textFill>
              </w:rPr>
              <w:t xml:space="preserve"> </w:t>
            </w:r>
            <w:r>
              <w:rPr>
                <w:rFonts w:hint="eastAsia" w:ascii="宋体" w:hAnsi="宋体"/>
                <w:b/>
                <w:bCs/>
                <w:color w:val="000000" w:themeColor="text1"/>
                <w14:textFill>
                  <w14:solidFill>
                    <w14:schemeClr w14:val="tx1"/>
                  </w14:solidFill>
                </w14:textFill>
              </w:rPr>
              <w:t xml:space="preserve">体 </w:t>
            </w:r>
            <w:r>
              <w:rPr>
                <w:rFonts w:ascii="宋体" w:hAnsi="宋体"/>
                <w:b/>
                <w:bCs/>
                <w:color w:val="000000" w:themeColor="text1"/>
                <w14:textFill>
                  <w14:solidFill>
                    <w14:schemeClr w14:val="tx1"/>
                  </w14:solidFill>
                </w14:textFill>
              </w:rPr>
              <w:t xml:space="preserve"> </w:t>
            </w:r>
            <w:r>
              <w:rPr>
                <w:rFonts w:hint="eastAsia" w:ascii="宋体" w:hAnsi="宋体"/>
                <w:b/>
                <w:bCs/>
                <w:color w:val="000000" w:themeColor="text1"/>
                <w14:textFill>
                  <w14:solidFill>
                    <w14:schemeClr w14:val="tx1"/>
                  </w14:solidFill>
                </w14:textFill>
              </w:rPr>
              <w:t xml:space="preserve">补 </w:t>
            </w:r>
            <w:r>
              <w:rPr>
                <w:rFonts w:ascii="宋体" w:hAnsi="宋体"/>
                <w:b/>
                <w:bCs/>
                <w:color w:val="000000" w:themeColor="text1"/>
                <w14:textFill>
                  <w14:solidFill>
                    <w14:schemeClr w14:val="tx1"/>
                  </w14:solidFill>
                </w14:textFill>
              </w:rPr>
              <w:t xml:space="preserve"> </w:t>
            </w:r>
            <w:r>
              <w:rPr>
                <w:rFonts w:hint="eastAsia" w:ascii="宋体" w:hAnsi="宋体"/>
                <w:b/>
                <w:bCs/>
                <w:color w:val="000000" w:themeColor="text1"/>
                <w14:textFill>
                  <w14:solidFill>
                    <w14:schemeClr w14:val="tx1"/>
                  </w14:solidFill>
                </w14:textFill>
              </w:rPr>
              <w:t xml:space="preserve">充 </w:t>
            </w:r>
            <w:r>
              <w:rPr>
                <w:rFonts w:ascii="宋体" w:hAnsi="宋体"/>
                <w:b/>
                <w:bCs/>
                <w:color w:val="000000" w:themeColor="text1"/>
                <w14:textFill>
                  <w14:solidFill>
                    <w14:schemeClr w14:val="tx1"/>
                  </w14:solidFill>
                </w14:textFill>
              </w:rPr>
              <w:t xml:space="preserve"> </w:t>
            </w:r>
            <w:r>
              <w:rPr>
                <w:rFonts w:hint="eastAsia" w:ascii="宋体" w:hAnsi="宋体"/>
                <w:b/>
                <w:bCs/>
                <w:color w:val="000000" w:themeColor="text1"/>
                <w14:textFill>
                  <w14:solidFill>
                    <w14:schemeClr w14:val="tx1"/>
                  </w14:solidFill>
                </w14:textFill>
              </w:rPr>
              <w:t xml:space="preserve">内 </w:t>
            </w:r>
            <w:r>
              <w:rPr>
                <w:rFonts w:ascii="宋体" w:hAnsi="宋体"/>
                <w:b/>
                <w:bCs/>
                <w:color w:val="000000" w:themeColor="text1"/>
                <w14:textFill>
                  <w14:solidFill>
                    <w14:schemeClr w14:val="tx1"/>
                  </w14:solidFill>
                </w14:textFill>
              </w:rPr>
              <w:t xml:space="preserve"> </w:t>
            </w:r>
            <w:r>
              <w:rPr>
                <w:rFonts w:hint="eastAsia" w:ascii="宋体" w:hAnsi="宋体"/>
                <w:b/>
                <w:bCs/>
                <w:color w:val="000000" w:themeColor="text1"/>
                <w14:textFill>
                  <w14:solidFill>
                    <w14:schemeClr w14:val="tx1"/>
                  </w14:solidFill>
                </w14:textFill>
              </w:rPr>
              <w:t>容</w:t>
            </w:r>
          </w:p>
        </w:tc>
      </w:tr>
      <w:tr w14:paraId="5E09D88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0B875785">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w:t>
            </w:r>
            <w:r>
              <w:rPr>
                <w:rFonts w:ascii="宋体" w:hAnsi="宋体"/>
                <w:color w:val="000000" w:themeColor="text1"/>
                <w14:textFill>
                  <w14:solidFill>
                    <w14:schemeClr w14:val="tx1"/>
                  </w14:solidFill>
                </w14:textFill>
              </w:rPr>
              <w:t>.1</w:t>
            </w:r>
          </w:p>
        </w:tc>
        <w:tc>
          <w:tcPr>
            <w:tcW w:w="1888" w:type="dxa"/>
            <w:vAlign w:val="center"/>
          </w:tcPr>
          <w:p w14:paraId="735400D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采购人</w:t>
            </w:r>
          </w:p>
        </w:tc>
        <w:tc>
          <w:tcPr>
            <w:tcW w:w="5501" w:type="dxa"/>
            <w:vAlign w:val="center"/>
          </w:tcPr>
          <w:p w14:paraId="267EF55D">
            <w:pPr>
              <w:jc w:val="center"/>
              <w:rPr>
                <w:rFonts w:hint="eastAsia" w:ascii="宋体" w:hAnsi="宋体" w:eastAsiaTheme="minorEastAsia"/>
                <w:color w:val="000000" w:themeColor="text1"/>
                <w:lang w:eastAsia="zh-CN"/>
                <w14:textFill>
                  <w14:solidFill>
                    <w14:schemeClr w14:val="tx1"/>
                  </w14:solidFill>
                </w14:textFill>
              </w:rPr>
            </w:pPr>
            <w:r>
              <w:rPr>
                <w:rFonts w:hint="eastAsia" w:ascii="宋体" w:hAnsi="宋体" w:eastAsiaTheme="minorEastAsia"/>
                <w:color w:val="000000" w:themeColor="text1"/>
                <w:lang w:val="en-US" w:eastAsia="zh-CN"/>
                <w14:textFill>
                  <w14:solidFill>
                    <w14:schemeClr w14:val="tx1"/>
                  </w14:solidFill>
                </w14:textFill>
              </w:rPr>
              <w:t>深圳市交通公用设施管理处</w:t>
            </w:r>
          </w:p>
        </w:tc>
      </w:tr>
      <w:tr w14:paraId="1DEF219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58943E94">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w:t>
            </w:r>
            <w:r>
              <w:rPr>
                <w:rFonts w:ascii="宋体" w:hAnsi="宋体"/>
                <w:color w:val="000000" w:themeColor="text1"/>
                <w14:textFill>
                  <w14:solidFill>
                    <w14:schemeClr w14:val="tx1"/>
                  </w14:solidFill>
                </w14:textFill>
              </w:rPr>
              <w:t>.2</w:t>
            </w:r>
          </w:p>
        </w:tc>
        <w:tc>
          <w:tcPr>
            <w:tcW w:w="1888" w:type="dxa"/>
            <w:vAlign w:val="center"/>
          </w:tcPr>
          <w:p w14:paraId="38999EB6">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采购机构</w:t>
            </w:r>
          </w:p>
        </w:tc>
        <w:tc>
          <w:tcPr>
            <w:tcW w:w="5501" w:type="dxa"/>
            <w:vAlign w:val="center"/>
          </w:tcPr>
          <w:p w14:paraId="621754F1">
            <w:pPr>
              <w:jc w:val="cente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友和保险经纪有限公司</w:t>
            </w:r>
          </w:p>
        </w:tc>
      </w:tr>
      <w:tr w14:paraId="1B6DCE9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676A502A">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5</w:t>
            </w:r>
            <w:r>
              <w:rPr>
                <w:rFonts w:ascii="宋体" w:hAnsi="宋体"/>
                <w:color w:val="000000" w:themeColor="text1"/>
                <w14:textFill>
                  <w14:solidFill>
                    <w14:schemeClr w14:val="tx1"/>
                  </w14:solidFill>
                </w14:textFill>
              </w:rPr>
              <w:t>.3</w:t>
            </w:r>
          </w:p>
        </w:tc>
        <w:tc>
          <w:tcPr>
            <w:tcW w:w="1888" w:type="dxa"/>
            <w:vAlign w:val="center"/>
          </w:tcPr>
          <w:p w14:paraId="2277216F">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联合体投标</w:t>
            </w:r>
          </w:p>
        </w:tc>
        <w:tc>
          <w:tcPr>
            <w:tcW w:w="5501" w:type="dxa"/>
            <w:vAlign w:val="center"/>
          </w:tcPr>
          <w:p w14:paraId="7D4B6ED8">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不接受</w:t>
            </w:r>
          </w:p>
        </w:tc>
      </w:tr>
      <w:tr w14:paraId="4F5BF45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900C943">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9</w:t>
            </w:r>
          </w:p>
        </w:tc>
        <w:tc>
          <w:tcPr>
            <w:tcW w:w="1888" w:type="dxa"/>
            <w:vAlign w:val="center"/>
          </w:tcPr>
          <w:p w14:paraId="32A16B88">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踏勘现场</w:t>
            </w:r>
          </w:p>
        </w:tc>
        <w:tc>
          <w:tcPr>
            <w:tcW w:w="5501" w:type="dxa"/>
            <w:vAlign w:val="center"/>
          </w:tcPr>
          <w:p w14:paraId="6217A2A1">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不组织</w:t>
            </w:r>
          </w:p>
        </w:tc>
      </w:tr>
      <w:tr w14:paraId="6B73E9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54C72769">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0</w:t>
            </w:r>
          </w:p>
        </w:tc>
        <w:tc>
          <w:tcPr>
            <w:tcW w:w="1888" w:type="dxa"/>
            <w:vAlign w:val="center"/>
          </w:tcPr>
          <w:p w14:paraId="24DAB425">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标前会议</w:t>
            </w:r>
          </w:p>
        </w:tc>
        <w:tc>
          <w:tcPr>
            <w:tcW w:w="5501" w:type="dxa"/>
            <w:vAlign w:val="center"/>
          </w:tcPr>
          <w:p w14:paraId="786B6836">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不组织</w:t>
            </w:r>
          </w:p>
        </w:tc>
      </w:tr>
      <w:tr w14:paraId="39F4C2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64D4B297">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2</w:t>
            </w:r>
            <w:r>
              <w:rPr>
                <w:rFonts w:hint="eastAsia" w:ascii="宋体" w:hAnsi="宋体"/>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3</w:t>
            </w:r>
          </w:p>
        </w:tc>
        <w:tc>
          <w:tcPr>
            <w:tcW w:w="1888" w:type="dxa"/>
            <w:vAlign w:val="center"/>
          </w:tcPr>
          <w:p w14:paraId="024E078D">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招标文件的澄清和修改</w:t>
            </w:r>
          </w:p>
        </w:tc>
        <w:tc>
          <w:tcPr>
            <w:tcW w:w="5501" w:type="dxa"/>
            <w:vAlign w:val="center"/>
          </w:tcPr>
          <w:p w14:paraId="6E10682F">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不晚于投标截止日三日前（详见招标公告），投标人有义务在招标期间在</w:t>
            </w:r>
            <w:r>
              <w:rPr>
                <w:rFonts w:hint="eastAsia" w:ascii="宋体" w:hAnsi="宋体" w:eastAsia="宋体"/>
                <w:color w:val="000000" w:themeColor="text1"/>
                <w14:textFill>
                  <w14:solidFill>
                    <w14:schemeClr w14:val="tx1"/>
                  </w14:solidFill>
                </w14:textFill>
              </w:rPr>
              <w:t>招标机构</w:t>
            </w:r>
            <w:r>
              <w:rPr>
                <w:rFonts w:hint="eastAsia" w:ascii="宋体" w:hAnsi="宋体"/>
                <w:color w:val="000000" w:themeColor="text1"/>
                <w14:textFill>
                  <w14:solidFill>
                    <w14:schemeClr w14:val="tx1"/>
                  </w14:solidFill>
                </w14:textFill>
              </w:rPr>
              <w:t>网站浏览与本项目有关的澄清和修改信息</w:t>
            </w:r>
          </w:p>
        </w:tc>
      </w:tr>
      <w:tr w14:paraId="68E47BC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09FC6270">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w:t>
            </w:r>
            <w:r>
              <w:rPr>
                <w:rFonts w:ascii="宋体" w:hAnsi="宋体"/>
                <w:color w:val="000000" w:themeColor="text1"/>
                <w14:textFill>
                  <w14:solidFill>
                    <w14:schemeClr w14:val="tx1"/>
                  </w14:solidFill>
                </w14:textFill>
              </w:rPr>
              <w:t>0</w:t>
            </w:r>
          </w:p>
        </w:tc>
        <w:tc>
          <w:tcPr>
            <w:tcW w:w="1888" w:type="dxa"/>
            <w:vAlign w:val="center"/>
          </w:tcPr>
          <w:p w14:paraId="76087F38">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投标有效期</w:t>
            </w:r>
          </w:p>
        </w:tc>
        <w:tc>
          <w:tcPr>
            <w:tcW w:w="5501" w:type="dxa"/>
            <w:vAlign w:val="center"/>
          </w:tcPr>
          <w:p w14:paraId="60379D31">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120个日历日</w:t>
            </w:r>
          </w:p>
        </w:tc>
      </w:tr>
      <w:tr w14:paraId="2D01A5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6AE6622">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w:t>
            </w:r>
            <w:r>
              <w:rPr>
                <w:rFonts w:ascii="宋体" w:hAnsi="宋体"/>
                <w:color w:val="000000" w:themeColor="text1"/>
                <w14:textFill>
                  <w14:solidFill>
                    <w14:schemeClr w14:val="tx1"/>
                  </w14:solidFill>
                </w14:textFill>
              </w:rPr>
              <w:t>2</w:t>
            </w:r>
          </w:p>
        </w:tc>
        <w:tc>
          <w:tcPr>
            <w:tcW w:w="1888" w:type="dxa"/>
            <w:vAlign w:val="center"/>
          </w:tcPr>
          <w:p w14:paraId="775439C3">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投标人的替代方案</w:t>
            </w:r>
          </w:p>
        </w:tc>
        <w:tc>
          <w:tcPr>
            <w:tcW w:w="5501" w:type="dxa"/>
            <w:vAlign w:val="center"/>
          </w:tcPr>
          <w:p w14:paraId="3F075FD5">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不接受</w:t>
            </w:r>
          </w:p>
        </w:tc>
      </w:tr>
      <w:tr w14:paraId="37E8132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28702D9">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w:t>
            </w:r>
            <w:r>
              <w:rPr>
                <w:rFonts w:ascii="宋体" w:hAnsi="宋体"/>
                <w:color w:val="000000" w:themeColor="text1"/>
                <w14:textFill>
                  <w14:solidFill>
                    <w14:schemeClr w14:val="tx1"/>
                  </w14:solidFill>
                </w14:textFill>
              </w:rPr>
              <w:t>5</w:t>
            </w:r>
          </w:p>
        </w:tc>
        <w:tc>
          <w:tcPr>
            <w:tcW w:w="1888" w:type="dxa"/>
            <w:vAlign w:val="center"/>
          </w:tcPr>
          <w:p w14:paraId="150EBB49">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投标文件的大小</w:t>
            </w:r>
          </w:p>
        </w:tc>
        <w:tc>
          <w:tcPr>
            <w:tcW w:w="5501" w:type="dxa"/>
            <w:vAlign w:val="center"/>
          </w:tcPr>
          <w:p w14:paraId="08DC2A78">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投标文件大小不得超过</w:t>
            </w:r>
            <w:r>
              <w:rPr>
                <w:rFonts w:ascii="宋体" w:hAnsi="宋体"/>
                <w:color w:val="000000" w:themeColor="text1"/>
                <w14:textFill>
                  <w14:solidFill>
                    <w14:schemeClr w14:val="tx1"/>
                  </w14:solidFill>
                </w14:textFill>
              </w:rPr>
              <w:t>1</w:t>
            </w:r>
            <w:r>
              <w:rPr>
                <w:rFonts w:hint="eastAsia" w:ascii="宋体" w:hAnsi="宋体"/>
                <w:color w:val="000000" w:themeColor="text1"/>
                <w14:textFill>
                  <w14:solidFill>
                    <w14:schemeClr w14:val="tx1"/>
                  </w14:solidFill>
                </w14:textFill>
              </w:rPr>
              <w:t>00MB</w:t>
            </w:r>
          </w:p>
        </w:tc>
      </w:tr>
      <w:tr w14:paraId="43244F2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5BE756E">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w:t>
            </w:r>
            <w:r>
              <w:rPr>
                <w:rFonts w:ascii="宋体" w:hAnsi="宋体"/>
                <w:color w:val="000000" w:themeColor="text1"/>
                <w14:textFill>
                  <w14:solidFill>
                    <w14:schemeClr w14:val="tx1"/>
                  </w14:solidFill>
                </w14:textFill>
              </w:rPr>
              <w:t>6</w:t>
            </w:r>
          </w:p>
        </w:tc>
        <w:tc>
          <w:tcPr>
            <w:tcW w:w="1888" w:type="dxa"/>
            <w:vAlign w:val="center"/>
          </w:tcPr>
          <w:p w14:paraId="2A910290">
            <w:pPr>
              <w:jc w:val="center"/>
              <w:rPr>
                <w:rFonts w:ascii="宋体" w:hAnsi="宋体"/>
                <w:color w:val="000000" w:themeColor="text1"/>
                <w14:textFill>
                  <w14:solidFill>
                    <w14:schemeClr w14:val="tx1"/>
                  </w14:solidFill>
                </w14:textFill>
              </w:rPr>
            </w:pPr>
            <w:bookmarkStart w:id="28" w:name="_Hlk71664860"/>
            <w:r>
              <w:rPr>
                <w:rFonts w:hint="eastAsia" w:ascii="宋体" w:hAnsi="宋体"/>
                <w:color w:val="000000" w:themeColor="text1"/>
                <w14:textFill>
                  <w14:solidFill>
                    <w14:schemeClr w14:val="tx1"/>
                  </w14:solidFill>
                </w14:textFill>
              </w:rPr>
              <w:t>样品、现场演示、方案讲解</w:t>
            </w:r>
            <w:bookmarkEnd w:id="28"/>
          </w:p>
        </w:tc>
        <w:tc>
          <w:tcPr>
            <w:tcW w:w="5501" w:type="dxa"/>
            <w:vAlign w:val="center"/>
          </w:tcPr>
          <w:p w14:paraId="4F5F679B">
            <w:pPr>
              <w:jc w:val="center"/>
              <w:rPr>
                <w:rFonts w:ascii="宋体" w:hAnsi="宋体"/>
                <w:color w:val="000000" w:themeColor="text1"/>
                <w14:textFill>
                  <w14:solidFill>
                    <w14:schemeClr w14:val="tx1"/>
                  </w14:solidFill>
                </w14:textFill>
              </w:rPr>
            </w:pPr>
            <w:r>
              <w:rPr>
                <w:rFonts w:ascii="Wingdings 2" w:hAnsi="Wingdings 2"/>
                <w:b/>
                <w:color w:val="000000" w:themeColor="text1"/>
                <w14:textFill>
                  <w14:solidFill>
                    <w14:schemeClr w14:val="tx1"/>
                  </w14:solidFill>
                </w14:textFill>
              </w:rPr>
              <w:sym w:font="Wingdings 2" w:char="F052"/>
            </w:r>
            <w:r>
              <w:rPr>
                <w:rFonts w:hint="eastAsia" w:ascii="宋体" w:hAnsi="宋体"/>
                <w:color w:val="000000" w:themeColor="text1"/>
                <w14:textFill>
                  <w14:solidFill>
                    <w14:schemeClr w14:val="tx1"/>
                  </w14:solidFill>
                </w14:textFill>
              </w:rPr>
              <w:t xml:space="preserve"> 无</w:t>
            </w:r>
          </w:p>
        </w:tc>
      </w:tr>
      <w:tr w14:paraId="3C82409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BF0BA94">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w:t>
            </w:r>
            <w:r>
              <w:rPr>
                <w:rFonts w:ascii="宋体" w:hAnsi="宋体"/>
                <w:color w:val="000000" w:themeColor="text1"/>
                <w14:textFill>
                  <w14:solidFill>
                    <w14:schemeClr w14:val="tx1"/>
                  </w14:solidFill>
                </w14:textFill>
              </w:rPr>
              <w:t>7</w:t>
            </w:r>
          </w:p>
        </w:tc>
        <w:tc>
          <w:tcPr>
            <w:tcW w:w="1888" w:type="dxa"/>
            <w:vAlign w:val="center"/>
          </w:tcPr>
          <w:p w14:paraId="49186ADA">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评审方法</w:t>
            </w:r>
          </w:p>
        </w:tc>
        <w:tc>
          <w:tcPr>
            <w:tcW w:w="5501" w:type="dxa"/>
            <w:vAlign w:val="center"/>
          </w:tcPr>
          <w:p w14:paraId="62173181">
            <w:pPr>
              <w:jc w:val="center"/>
              <w:rPr>
                <w:rFonts w:ascii="宋体" w:hAnsi="宋体"/>
                <w:color w:val="000000" w:themeColor="text1"/>
                <w14:textFill>
                  <w14:solidFill>
                    <w14:schemeClr w14:val="tx1"/>
                  </w14:solidFill>
                </w14:textFill>
              </w:rPr>
            </w:pPr>
            <w:r>
              <w:rPr>
                <w:rFonts w:ascii="Wingdings 2" w:hAnsi="Wingdings 2"/>
                <w:b/>
                <w:color w:val="000000" w:themeColor="text1"/>
                <w14:textFill>
                  <w14:solidFill>
                    <w14:schemeClr w14:val="tx1"/>
                  </w14:solidFill>
                </w14:textFill>
              </w:rPr>
              <w:sym w:font="Wingdings 2" w:char="F052"/>
            </w:r>
            <w:r>
              <w:rPr>
                <w:rFonts w:hint="eastAsia" w:ascii="宋体" w:hAnsi="宋体"/>
                <w:b/>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综合评分法</w:t>
            </w:r>
          </w:p>
        </w:tc>
      </w:tr>
      <w:tr w14:paraId="2F48624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58DE7653">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w:t>
            </w:r>
            <w:r>
              <w:rPr>
                <w:rFonts w:ascii="宋体" w:hAnsi="宋体"/>
                <w:color w:val="000000" w:themeColor="text1"/>
                <w14:textFill>
                  <w14:solidFill>
                    <w14:schemeClr w14:val="tx1"/>
                  </w14:solidFill>
                </w14:textFill>
              </w:rPr>
              <w:t>8</w:t>
            </w:r>
          </w:p>
        </w:tc>
        <w:tc>
          <w:tcPr>
            <w:tcW w:w="1888" w:type="dxa"/>
            <w:vAlign w:val="center"/>
          </w:tcPr>
          <w:p w14:paraId="400B2176">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定标方法</w:t>
            </w:r>
          </w:p>
        </w:tc>
        <w:tc>
          <w:tcPr>
            <w:tcW w:w="5501" w:type="dxa"/>
            <w:vAlign w:val="center"/>
          </w:tcPr>
          <w:p w14:paraId="6B0F51A6">
            <w:pPr>
              <w:jc w:val="center"/>
              <w:rPr>
                <w:rFonts w:ascii="宋体" w:hAnsi="宋体" w:eastAsia="宋体"/>
                <w:color w:val="000000" w:themeColor="text1"/>
                <w14:textFill>
                  <w14:solidFill>
                    <w14:schemeClr w14:val="tx1"/>
                  </w14:solidFill>
                </w14:textFill>
              </w:rPr>
            </w:pPr>
            <w:r>
              <w:rPr>
                <w:rFonts w:ascii="Wingdings 2" w:hAnsi="Wingdings 2" w:eastAsia="宋体"/>
                <w:b/>
                <w:color w:val="000000" w:themeColor="text1"/>
                <w14:textFill>
                  <w14:solidFill>
                    <w14:schemeClr w14:val="tx1"/>
                  </w14:solidFill>
                </w14:textFill>
              </w:rPr>
              <w:t>无</w:t>
            </w:r>
          </w:p>
        </w:tc>
      </w:tr>
      <w:tr w14:paraId="3B9A0B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E04A469">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w:t>
            </w:r>
            <w:r>
              <w:rPr>
                <w:rFonts w:ascii="宋体" w:hAnsi="宋体"/>
                <w:color w:val="000000" w:themeColor="text1"/>
                <w14:textFill>
                  <w14:solidFill>
                    <w14:schemeClr w14:val="tx1"/>
                  </w14:solidFill>
                </w14:textFill>
              </w:rPr>
              <w:t>6</w:t>
            </w:r>
          </w:p>
        </w:tc>
        <w:tc>
          <w:tcPr>
            <w:tcW w:w="1888" w:type="dxa"/>
            <w:vAlign w:val="center"/>
          </w:tcPr>
          <w:p w14:paraId="5855B193">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履约担保</w:t>
            </w:r>
          </w:p>
        </w:tc>
        <w:tc>
          <w:tcPr>
            <w:tcW w:w="5501" w:type="dxa"/>
            <w:vAlign w:val="center"/>
          </w:tcPr>
          <w:p w14:paraId="41D9ABB9">
            <w:pPr>
              <w:pStyle w:val="9"/>
              <w:jc w:val="center"/>
              <w:rPr>
                <w:rFonts w:hint="default" w:ascii="宋体" w:hAnsi="宋体" w:cs="宋体" w:eastAsiaTheme="minorEastAsia"/>
                <w:szCs w:val="21"/>
                <w:lang w:val="en-US" w:eastAsia="zh-CN"/>
              </w:rPr>
            </w:pPr>
            <w:r>
              <w:rPr>
                <w:rFonts w:hint="eastAsia" w:ascii="宋体" w:hAnsi="宋体" w:cs="宋体" w:eastAsiaTheme="minorEastAsia"/>
                <w:szCs w:val="21"/>
                <w:lang w:val="en-US" w:eastAsia="zh-CN"/>
              </w:rPr>
              <w:t>无</w:t>
            </w:r>
          </w:p>
        </w:tc>
      </w:tr>
    </w:tbl>
    <w:p w14:paraId="4F2CD62B">
      <w:pPr>
        <w:rPr>
          <w:b/>
          <w:color w:val="000000" w:themeColor="text1"/>
          <w14:textFill>
            <w14:solidFill>
              <w14:schemeClr w14:val="tx1"/>
            </w14:solidFill>
          </w14:textFill>
        </w:rPr>
      </w:pPr>
      <w:r>
        <w:rPr>
          <w:rFonts w:hint="eastAsia"/>
          <w:color w:val="000000" w:themeColor="text1"/>
          <w:szCs w:val="21"/>
          <w14:textFill>
            <w14:solidFill>
              <w14:schemeClr w14:val="tx1"/>
            </w14:solidFill>
          </w14:textFill>
        </w:rPr>
        <w:t>备注：本表是通用条款相关条款的补充和明确，如与通用条款内容相冲突的，以本表为准。</w:t>
      </w:r>
      <w:r>
        <w:rPr>
          <w:rFonts w:hint="eastAsia"/>
          <w:b/>
          <w:bCs/>
          <w:color w:val="FF0000"/>
          <w:szCs w:val="21"/>
        </w:rPr>
        <w:t>本项目使用深圳政府采购智慧平台进行操作，通用条款中如有与深圳政府采购智慧平台操作流程不一致的内容，请以深圳政府采购智慧平台</w:t>
      </w:r>
      <w:r>
        <w:rPr>
          <w:b/>
          <w:bCs/>
          <w:color w:val="FF0000"/>
          <w:szCs w:val="21"/>
        </w:rPr>
        <w:t>zfcg.szggzy.com:8081</w:t>
      </w:r>
      <w:r>
        <w:rPr>
          <w:rFonts w:hint="eastAsia"/>
          <w:b/>
          <w:bCs/>
          <w:color w:val="FF0000"/>
          <w:szCs w:val="21"/>
        </w:rPr>
        <w:t>公布的操作手册内容为准。</w:t>
      </w:r>
    </w:p>
    <w:p w14:paraId="16E99A6C">
      <w:pPr>
        <w:rPr>
          <w:b/>
          <w:color w:val="000000" w:themeColor="text1"/>
          <w14:textFill>
            <w14:solidFill>
              <w14:schemeClr w14:val="tx1"/>
            </w14:solidFill>
          </w14:textFill>
        </w:rPr>
      </w:pPr>
    </w:p>
    <w:p w14:paraId="0066AB9D">
      <w:pPr>
        <w:jc w:val="center"/>
        <w:outlineLvl w:val="2"/>
        <w:rPr>
          <w:rFonts w:ascii="宋体" w:hAnsi="宋体" w:eastAsia="宋体" w:cs="宋体"/>
          <w:b/>
          <w:bCs/>
          <w:sz w:val="28"/>
          <w:szCs w:val="28"/>
        </w:rPr>
      </w:pPr>
      <w:r>
        <w:rPr>
          <w:rFonts w:hint="eastAsia" w:ascii="宋体" w:hAnsi="宋体" w:eastAsia="宋体" w:cs="宋体"/>
          <w:b/>
          <w:bCs/>
          <w:sz w:val="28"/>
          <w:szCs w:val="28"/>
        </w:rPr>
        <w:t>二、其他关键信息</w:t>
      </w:r>
    </w:p>
    <w:p w14:paraId="31F883C9">
      <w:pPr>
        <w:ind w:firstLine="480" w:firstLineChars="200"/>
        <w:rPr>
          <w:rFonts w:hint="eastAsia" w:ascii="仿宋" w:hAnsi="仿宋" w:eastAsia="仿宋" w:cs="仿宋"/>
          <w:b/>
          <w:color w:val="FF0000"/>
          <w:sz w:val="24"/>
        </w:rPr>
      </w:pPr>
      <w:r>
        <w:rPr>
          <w:rFonts w:hint="eastAsia"/>
          <w:b/>
          <w:bCs/>
        </w:rPr>
        <w:t>（一）评标定标信息</w:t>
      </w:r>
    </w:p>
    <w:p w14:paraId="35ECD841">
      <w:pPr>
        <w:ind w:firstLine="482" w:firstLineChars="200"/>
        <w:rPr>
          <w:rFonts w:ascii="仿宋" w:hAnsi="仿宋" w:eastAsia="仿宋" w:cs="仿宋"/>
          <w:b/>
          <w:color w:val="4F81BD" w:themeColor="accent1"/>
          <w:sz w:val="24"/>
          <w14:textFill>
            <w14:solidFill>
              <w14:schemeClr w14:val="accent1"/>
            </w14:solidFill>
          </w14:textFill>
        </w:rPr>
      </w:pPr>
      <w:r>
        <w:rPr>
          <w:rFonts w:hint="eastAsia" w:ascii="仿宋" w:hAnsi="仿宋" w:eastAsia="仿宋" w:cs="仿宋"/>
          <w:b/>
          <w:color w:val="4F81BD" w:themeColor="accent1"/>
          <w:sz w:val="24"/>
          <w14:textFill>
            <w14:solidFill>
              <w14:schemeClr w14:val="accent1"/>
            </w14:solidFill>
          </w14:textFill>
        </w:rPr>
        <w:t>适用于非评定分离项目</w:t>
      </w:r>
    </w:p>
    <w:p w14:paraId="56CE079B">
      <w:pPr>
        <w:ind w:firstLine="480" w:firstLineChars="200"/>
        <w:rPr>
          <w:rFonts w:hint="eastAsia" w:ascii="仿宋" w:hAnsi="仿宋" w:eastAsia="仿宋" w:cs="仿宋"/>
          <w:color w:val="4F81BD" w:themeColor="accent1"/>
          <w:sz w:val="24"/>
          <w14:textFill>
            <w14:solidFill>
              <w14:schemeClr w14:val="accent1"/>
            </w14:solidFill>
          </w14:textFill>
        </w:rPr>
      </w:pPr>
      <w:r>
        <w:rPr>
          <w:rFonts w:hint="eastAsia" w:ascii="仿宋" w:hAnsi="仿宋" w:eastAsia="仿宋" w:cs="仿宋"/>
          <w:color w:val="4F81BD" w:themeColor="accent1"/>
          <w:sz w:val="24"/>
          <w14:textFill>
            <w14:solidFill>
              <w14:schemeClr w14:val="accent1"/>
            </w14:solidFill>
          </w14:textFill>
        </w:rPr>
        <w:t>本次评标采用综合评分法，投标文件满足招标文件全部实质性要求，且按照招标文件中规定的各项评审因素进行量化打分，评标结果按评审后得分由高到低顺序排列。得分相同的，按投标报价由低到高顺序排列。得分且投标报价相同的，按技术/服务部分得分由高到低排列。得分、投标报价和技术/服务部分得分均相同的并列，出现并列情况采取随机抽取的方式确定，具体操作办法及流程由评审委员会确定，以评审总得分最高的投标人为中标供应商（排名第二的投标人为第一替补中标候选人、排名第三的投标人为第二替补中标候选人）。</w:t>
      </w:r>
    </w:p>
    <w:tbl>
      <w:tblPr>
        <w:tblStyle w:val="17"/>
        <w:tblpPr w:leftFromText="180" w:rightFromText="180" w:vertAnchor="text" w:horzAnchor="page" w:tblpX="1989" w:tblpY="141"/>
        <w:tblOverlap w:val="never"/>
        <w:tblW w:w="81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0"/>
        <w:gridCol w:w="4065"/>
      </w:tblGrid>
      <w:tr w14:paraId="1336F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0" w:type="dxa"/>
            <w:vAlign w:val="top"/>
          </w:tcPr>
          <w:p w14:paraId="0CC08A99">
            <w:pPr>
              <w:widowControl w:val="0"/>
              <w:jc w:val="center"/>
            </w:pPr>
            <w:bookmarkStart w:id="29" w:name="_Hlk74239733"/>
            <w:r>
              <w:rPr>
                <w:rFonts w:hint="eastAsia"/>
              </w:rPr>
              <w:t>评标方法</w:t>
            </w:r>
          </w:p>
        </w:tc>
        <w:tc>
          <w:tcPr>
            <w:tcW w:w="4065" w:type="dxa"/>
            <w:vAlign w:val="top"/>
          </w:tcPr>
          <w:p w14:paraId="1962CAD0">
            <w:pPr>
              <w:widowControl w:val="0"/>
              <w:jc w:val="center"/>
            </w:pPr>
            <w:r>
              <w:rPr>
                <w:rFonts w:hint="eastAsia"/>
              </w:rPr>
              <w:t>综合评分法</w:t>
            </w:r>
          </w:p>
        </w:tc>
      </w:tr>
      <w:tr w14:paraId="44925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0" w:type="dxa"/>
            <w:vAlign w:val="top"/>
          </w:tcPr>
          <w:p w14:paraId="7E73D7E5">
            <w:pPr>
              <w:widowControl w:val="0"/>
              <w:jc w:val="center"/>
            </w:pPr>
            <w:r>
              <w:rPr>
                <w:rFonts w:hint="eastAsia"/>
              </w:rPr>
              <w:t>候选中标供应商家数</w:t>
            </w:r>
          </w:p>
        </w:tc>
        <w:tc>
          <w:tcPr>
            <w:tcW w:w="4065" w:type="dxa"/>
            <w:vAlign w:val="top"/>
          </w:tcPr>
          <w:p w14:paraId="61CE48E5">
            <w:pPr>
              <w:widowControl w:val="0"/>
              <w:jc w:val="center"/>
            </w:pPr>
            <w:r>
              <w:rPr>
                <w:rFonts w:hint="eastAsia"/>
              </w:rPr>
              <w:t>3</w:t>
            </w:r>
          </w:p>
        </w:tc>
      </w:tr>
      <w:tr w14:paraId="45C66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0" w:type="dxa"/>
            <w:vAlign w:val="top"/>
          </w:tcPr>
          <w:p w14:paraId="66C9F90C">
            <w:pPr>
              <w:widowControl w:val="0"/>
              <w:jc w:val="center"/>
            </w:pPr>
            <w:r>
              <w:rPr>
                <w:rFonts w:hint="eastAsia"/>
              </w:rPr>
              <w:t>中标供应商家数</w:t>
            </w:r>
          </w:p>
        </w:tc>
        <w:tc>
          <w:tcPr>
            <w:tcW w:w="4065" w:type="dxa"/>
            <w:vAlign w:val="top"/>
          </w:tcPr>
          <w:p w14:paraId="33C6F4C2">
            <w:pPr>
              <w:widowControl w:val="0"/>
              <w:jc w:val="center"/>
            </w:pPr>
            <w:r>
              <w:rPr>
                <w:rFonts w:hint="eastAsia"/>
              </w:rPr>
              <w:t>1</w:t>
            </w:r>
          </w:p>
        </w:tc>
      </w:tr>
      <w:bookmarkEnd w:id="29"/>
    </w:tbl>
    <w:p w14:paraId="31277078">
      <w:pPr>
        <w:pStyle w:val="7"/>
      </w:pPr>
    </w:p>
    <w:p w14:paraId="18EF4A0E">
      <w:pPr>
        <w:ind w:firstLine="480" w:firstLineChars="200"/>
        <w:rPr>
          <w:rFonts w:ascii="仿宋" w:hAnsi="仿宋" w:eastAsia="仿宋" w:cs="仿宋"/>
          <w:color w:val="4F81BD" w:themeColor="accent1"/>
          <w:sz w:val="24"/>
          <w14:textFill>
            <w14:solidFill>
              <w14:schemeClr w14:val="accent1"/>
            </w14:solidFill>
          </w14:textFill>
        </w:rPr>
      </w:pPr>
      <w:r>
        <w:rPr>
          <w:rFonts w:hint="eastAsia" w:ascii="仿宋" w:hAnsi="仿宋" w:eastAsia="仿宋" w:cs="仿宋"/>
          <w:color w:val="4F81BD" w:themeColor="accent1"/>
          <w:sz w:val="24"/>
          <w14:textFill>
            <w14:solidFill>
              <w14:schemeClr w14:val="accent1"/>
            </w14:solidFill>
          </w14:textFill>
        </w:rPr>
        <w:t>评审委员会对每个通过资格性检查和符合性检查且报价不超过最高限价的投标人进行评审、打分，然后汇总每个投标人每项</w:t>
      </w:r>
      <w:r>
        <w:rPr>
          <w:rFonts w:hint="eastAsia" w:ascii="仿宋" w:hAnsi="仿宋" w:eastAsia="仿宋" w:cs="仿宋"/>
          <w:color w:val="4F81BD" w:themeColor="accent1"/>
          <w:sz w:val="24"/>
          <w:lang w:eastAsia="zh-CN"/>
          <w14:textFill>
            <w14:solidFill>
              <w14:schemeClr w14:val="accent1"/>
            </w14:solidFill>
          </w14:textFill>
        </w:rPr>
        <w:t>评审因素</w:t>
      </w:r>
      <w:r>
        <w:rPr>
          <w:rFonts w:hint="eastAsia" w:ascii="仿宋" w:hAnsi="仿宋" w:eastAsia="仿宋" w:cs="仿宋"/>
          <w:color w:val="4F81BD" w:themeColor="accent1"/>
          <w:sz w:val="24"/>
          <w14:textFill>
            <w14:solidFill>
              <w14:schemeClr w14:val="accent1"/>
            </w14:solidFill>
          </w14:textFill>
        </w:rPr>
        <w:t>的评分。</w:t>
      </w:r>
    </w:p>
    <w:p w14:paraId="0520AF00">
      <w:pPr>
        <w:ind w:firstLine="480" w:firstLineChars="200"/>
        <w:rPr>
          <w:rFonts w:hint="eastAsia" w:ascii="仿宋" w:hAnsi="仿宋" w:eastAsia="仿宋" w:cs="仿宋"/>
          <w:color w:val="4F81BD" w:themeColor="accent1"/>
          <w:sz w:val="24"/>
          <w:lang w:eastAsia="zh-CN"/>
          <w14:textFill>
            <w14:solidFill>
              <w14:schemeClr w14:val="accent1"/>
            </w14:solidFill>
          </w14:textFill>
        </w:rPr>
      </w:pPr>
      <w:r>
        <w:rPr>
          <w:rFonts w:hint="eastAsia" w:ascii="仿宋" w:hAnsi="仿宋" w:eastAsia="仿宋" w:cs="仿宋"/>
          <w:color w:val="4F81BD" w:themeColor="accent1"/>
          <w:sz w:val="24"/>
          <w14:textFill>
            <w14:solidFill>
              <w14:schemeClr w14:val="accent1"/>
            </w14:solidFill>
          </w14:textFill>
        </w:rPr>
        <w:t>评委会在评审时，按照</w:t>
      </w:r>
      <w:r>
        <w:rPr>
          <w:rFonts w:hint="eastAsia" w:ascii="仿宋" w:hAnsi="仿宋" w:eastAsia="仿宋" w:cs="仿宋"/>
          <w:color w:val="4F81BD" w:themeColor="accent1"/>
          <w:sz w:val="24"/>
          <w:lang w:eastAsia="zh-CN"/>
          <w14:textFill>
            <w14:solidFill>
              <w14:schemeClr w14:val="accent1"/>
            </w14:solidFill>
          </w14:textFill>
        </w:rPr>
        <w:t>《评标信息》中</w:t>
      </w:r>
      <w:r>
        <w:rPr>
          <w:rFonts w:hint="eastAsia" w:ascii="仿宋" w:hAnsi="仿宋" w:eastAsia="仿宋" w:cs="仿宋"/>
          <w:color w:val="4F81BD" w:themeColor="accent1"/>
          <w:sz w:val="24"/>
          <w14:textFill>
            <w14:solidFill>
              <w14:schemeClr w14:val="accent1"/>
            </w14:solidFill>
          </w14:textFill>
        </w:rPr>
        <w:t>的评审因素，对进入该阶段评审的各投标文件进行分析和比较</w:t>
      </w:r>
      <w:r>
        <w:rPr>
          <w:rFonts w:hint="eastAsia" w:ascii="仿宋" w:hAnsi="仿宋" w:eastAsia="仿宋" w:cs="仿宋"/>
          <w:color w:val="4F81BD" w:themeColor="accent1"/>
          <w:sz w:val="24"/>
          <w:lang w:eastAsia="zh-CN"/>
          <w14:textFill>
            <w14:solidFill>
              <w14:schemeClr w14:val="accent1"/>
            </w14:solidFill>
          </w14:textFill>
        </w:rPr>
        <w:t>。</w:t>
      </w:r>
    </w:p>
    <w:p w14:paraId="1D5165A2">
      <w:pPr>
        <w:spacing w:line="360" w:lineRule="auto"/>
        <w:ind w:firstLine="480" w:firstLineChars="200"/>
        <w:rPr>
          <w:b/>
          <w:bCs/>
          <w:color w:val="000000" w:themeColor="text1"/>
          <w14:textFill>
            <w14:solidFill>
              <w14:schemeClr w14:val="tx1"/>
            </w14:solidFill>
          </w14:textFill>
        </w:rPr>
      </w:pPr>
      <w:r>
        <w:rPr>
          <w:rFonts w:hint="eastAsia"/>
          <w:b/>
          <w:color w:val="000000" w:themeColor="text1"/>
          <w14:textFill>
            <w14:solidFill>
              <w14:schemeClr w14:val="tx1"/>
            </w14:solidFill>
          </w14:textFill>
        </w:rPr>
        <w:t>（二）其他事项</w:t>
      </w:r>
    </w:p>
    <w:p w14:paraId="122A7625">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b/>
          <w:bCs/>
          <w:color w:val="000000" w:themeColor="text1"/>
          <w14:textFill>
            <w14:solidFill>
              <w14:schemeClr w14:val="tx1"/>
            </w14:solidFill>
          </w14:textFill>
        </w:rPr>
      </w:pPr>
      <w:r>
        <w:rPr>
          <w:b/>
          <w:bCs/>
          <w:color w:val="000000" w:themeColor="text1"/>
          <w14:textFill>
            <w14:solidFill>
              <w14:schemeClr w14:val="tx1"/>
            </w14:solidFill>
          </w14:textFill>
        </w:rPr>
        <w:t>1</w:t>
      </w:r>
      <w:r>
        <w:rPr>
          <w:rFonts w:hint="eastAsia" w:eastAsia="宋体"/>
          <w:b/>
          <w:bCs/>
          <w:color w:val="000000" w:themeColor="text1"/>
          <w:lang w:val="en-US" w:eastAsia="zh-CN"/>
          <w14:textFill>
            <w14:solidFill>
              <w14:schemeClr w14:val="tx1"/>
            </w14:solidFill>
          </w14:textFill>
        </w:rPr>
        <w:t>.</w:t>
      </w:r>
      <w:r>
        <w:rPr>
          <w:rFonts w:hint="eastAsia"/>
          <w:b/>
          <w:bCs/>
          <w:color w:val="000000" w:themeColor="text1"/>
          <w14:textFill>
            <w14:solidFill>
              <w14:schemeClr w14:val="tx1"/>
            </w14:solidFill>
          </w14:textFill>
        </w:rPr>
        <w:t>关于享受优惠政策的主体及价格扣除比例</w:t>
      </w:r>
    </w:p>
    <w:p w14:paraId="664D7009">
      <w:pPr>
        <w:keepNext w:val="0"/>
        <w:keepLines w:val="0"/>
        <w:pageBreakBefore w:val="0"/>
        <w:widowControl/>
        <w:kinsoku/>
        <w:wordWrap/>
        <w:overflowPunct/>
        <w:topLinePunct w:val="0"/>
        <w:autoSpaceDE/>
        <w:autoSpaceDN/>
        <w:bidi w:val="0"/>
        <w:adjustRightInd/>
        <w:snapToGrid/>
        <w:spacing w:line="240" w:lineRule="auto"/>
        <w:ind w:firstLine="480" w:firstLineChars="200"/>
        <w:jc w:val="both"/>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（1）投标人提供的服务</w:t>
      </w:r>
      <w:r>
        <w:rPr>
          <w:rFonts w:hint="eastAsia" w:ascii="宋体" w:hAnsi="宋体" w:eastAsia="宋体" w:cs="宋体"/>
          <w:color w:val="000000" w:themeColor="text1"/>
          <w14:textFill>
            <w14:solidFill>
              <w14:schemeClr w14:val="tx1"/>
            </w14:solidFill>
          </w14:textFill>
        </w:rPr>
        <w:t>全部</w:t>
      </w:r>
      <w:r>
        <w:rPr>
          <w:rFonts w:hint="eastAsia"/>
          <w:color w:val="000000" w:themeColor="text1"/>
          <w14:textFill>
            <w14:solidFill>
              <w14:schemeClr w14:val="tx1"/>
            </w14:solidFill>
          </w14:textFill>
        </w:rPr>
        <w:t>均由优惠主体承接，则对其投标总价给予</w:t>
      </w:r>
      <w:r>
        <w:rPr>
          <w:color w:val="000000" w:themeColor="text1"/>
          <w14:textFill>
            <w14:solidFill>
              <w14:schemeClr w14:val="tx1"/>
            </w14:solidFill>
          </w14:textFill>
        </w:rPr>
        <w:t xml:space="preserve"> </w:t>
      </w:r>
      <w:r>
        <w:rPr>
          <w:color w:val="FF0000"/>
        </w:rPr>
        <w:t>10</w:t>
      </w:r>
      <w:r>
        <w:rPr>
          <w:rFonts w:hint="eastAsia"/>
          <w:color w:val="FF0000"/>
        </w:rPr>
        <w:t>%</w:t>
      </w:r>
      <w:r>
        <w:rPr>
          <w:rFonts w:hint="eastAsia"/>
          <w:color w:val="000000" w:themeColor="text1"/>
          <w14:textFill>
            <w14:solidFill>
              <w14:schemeClr w14:val="tx1"/>
            </w14:solidFill>
          </w14:textFill>
        </w:rPr>
        <w:t>的扣除，用扣除后的价格参与评审。</w:t>
      </w:r>
    </w:p>
    <w:p w14:paraId="33AC089E">
      <w:pPr>
        <w:keepNext w:val="0"/>
        <w:keepLines w:val="0"/>
        <w:pageBreakBefore w:val="0"/>
        <w:widowControl/>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bCs/>
          <w:color w:val="FF0000"/>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满足多项优惠政策的企业，不重复享受多项价格扣除政策。</w:t>
      </w:r>
      <w:r>
        <w:rPr>
          <w:rFonts w:hint="eastAsia" w:ascii="宋体" w:hAnsi="宋体" w:eastAsia="宋体" w:cs="宋体"/>
          <w:b/>
          <w:bCs/>
          <w:color w:val="FF0000"/>
        </w:rPr>
        <w:t>政策调整后价格仅作为评审依据，不作为中标价格。享受价格扣除获得政府采购合同的，小微企业不得将合同分包给大中型企业。</w:t>
      </w:r>
    </w:p>
    <w:p w14:paraId="6ECEE9C3">
      <w:pPr>
        <w:keepNext w:val="0"/>
        <w:keepLines w:val="0"/>
        <w:pageBreakBefore w:val="0"/>
        <w:widowControl/>
        <w:tabs>
          <w:tab w:val="left" w:pos="720"/>
        </w:tabs>
        <w:kinsoku/>
        <w:wordWrap/>
        <w:overflowPunct/>
        <w:topLinePunct w:val="0"/>
        <w:autoSpaceDE/>
        <w:autoSpaceDN/>
        <w:bidi w:val="0"/>
        <w:adjustRightInd/>
        <w:snapToGrid/>
        <w:spacing w:line="240" w:lineRule="auto"/>
        <w:ind w:firstLine="480" w:firstLineChars="200"/>
        <w:jc w:val="both"/>
        <w:textAlignment w:val="auto"/>
        <w:rPr>
          <w:rFonts w:ascii="宋体" w:hAnsi="宋体"/>
          <w:bCs/>
        </w:rPr>
      </w:pPr>
      <w:r>
        <w:rPr>
          <w:rFonts w:hint="eastAsia"/>
          <w:color w:val="000000" w:themeColor="text1"/>
          <w14:textFill>
            <w14:solidFill>
              <w14:schemeClr w14:val="tx1"/>
            </w14:solidFill>
          </w14:textFill>
        </w:rPr>
        <w:t>备注：（a）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政府采购活动中视同中小企业；(</w:t>
      </w:r>
      <w:r>
        <w:rPr>
          <w:color w:val="000000" w:themeColor="text1"/>
          <w14:textFill>
            <w14:solidFill>
              <w14:schemeClr w14:val="tx1"/>
            </w14:solidFill>
          </w14:textFill>
        </w:rPr>
        <w:t>b)</w:t>
      </w:r>
      <w:r>
        <w:rPr>
          <w:rFonts w:hint="eastAsia"/>
          <w:color w:val="000000" w:themeColor="text1"/>
          <w14:textFill>
            <w14:solidFill>
              <w14:schemeClr w14:val="tx1"/>
            </w14:solidFill>
          </w14:textFill>
        </w:rPr>
        <w:t>优惠主体承接是指提供服务的人员为中小企业依照《中华人民共和国劳动合同法》订立劳动合同的从业人员。(</w:t>
      </w:r>
      <w:r>
        <w:rPr>
          <w:color w:val="000000" w:themeColor="text1"/>
          <w14:textFill>
            <w14:solidFill>
              <w14:schemeClr w14:val="tx1"/>
            </w14:solidFill>
          </w14:textFill>
        </w:rPr>
        <w:t>c)</w:t>
      </w:r>
      <w:r>
        <w:rPr>
          <w:rFonts w:hint="eastAsia" w:ascii="宋体" w:hAnsi="宋体"/>
          <w:bCs/>
        </w:rPr>
        <w:t>小型企业、微型企业、残疾人福利性单位作为优惠主体的认定资料为《中小企业声明函》、《残疾人福利性单位声明函》；监狱企业作为优惠主体的认定资料为省级以上监狱管理局、戒毒管理局出具的监狱企业证明文件。</w:t>
      </w:r>
    </w:p>
    <w:p w14:paraId="4B1AF0F1">
      <w:pPr>
        <w:keepNext w:val="0"/>
        <w:keepLines w:val="0"/>
        <w:pageBreakBefore w:val="0"/>
        <w:widowControl/>
        <w:tabs>
          <w:tab w:val="left" w:pos="720"/>
        </w:tabs>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bCs/>
        </w:rPr>
      </w:pPr>
      <w:r>
        <w:rPr>
          <w:rFonts w:hint="eastAsia" w:ascii="宋体" w:hAnsi="宋体"/>
          <w:bCs/>
        </w:rPr>
        <w:t>本项目采购标的对应的中小企业划分标准所属行业，根据《中小企业划型标准规定》（工信部联企业〔2011〕300号）、《</w:t>
      </w:r>
      <w:r>
        <w:rPr>
          <w:rFonts w:ascii="宋体" w:hAnsi="宋体"/>
          <w:bCs/>
        </w:rPr>
        <w:t>统计上大中小微型企业划分办法（2017）</w:t>
      </w:r>
      <w:r>
        <w:rPr>
          <w:rFonts w:hint="eastAsia" w:ascii="宋体" w:hAnsi="宋体"/>
          <w:bCs/>
        </w:rPr>
        <w:t>》（国统字〔2017〕213号）或国务院批准的其他中小企业划分标准文件确定。</w:t>
      </w:r>
    </w:p>
    <w:p w14:paraId="7AB2AA2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2.关于落实政府绿色采购有关事项</w:t>
      </w:r>
    </w:p>
    <w:p w14:paraId="744619D5">
      <w:pPr>
        <w:keepNext w:val="0"/>
        <w:keepLines w:val="0"/>
        <w:pageBreakBefore w:val="0"/>
        <w:widowControl/>
        <w:tabs>
          <w:tab w:val="left" w:pos="720"/>
        </w:tabs>
        <w:kinsoku/>
        <w:wordWrap/>
        <w:overflowPunct/>
        <w:topLinePunct w:val="0"/>
        <w:autoSpaceDE/>
        <w:autoSpaceDN/>
        <w:bidi w:val="0"/>
        <w:adjustRightInd/>
        <w:snapToGrid/>
        <w:spacing w:line="240" w:lineRule="auto"/>
        <w:ind w:firstLine="480" w:firstLineChars="200"/>
        <w:jc w:val="both"/>
        <w:textAlignment w:val="auto"/>
        <w:rPr>
          <w:rFonts w:hint="default" w:ascii="宋体" w:hAnsi="宋体"/>
          <w:bCs/>
          <w:lang w:val="en-US" w:eastAsia="zh-CN"/>
        </w:rPr>
      </w:pPr>
      <w:r>
        <w:rPr>
          <w:rFonts w:hint="eastAsia" w:ascii="宋体" w:hAnsi="宋体"/>
          <w:bCs/>
          <w:lang w:val="en-US" w:eastAsia="zh-CN"/>
        </w:rPr>
        <w:t>根据《深圳市财政局关于大力推广政府绿色采购有关事项的通知》（深财购〔2023〕49号）要求，如拟采购的产品属于节能产品或环境标志产品政府采购品目清单范围的，将在采购需求中对产品进行标识，并依据国家确认的认证机构出具的、处于有效期之内的节能产品或环境标志产品认证证书，对获得证书的产品实施政府优先采购或强制采购。如项目涉及商品包装、快递包装、绿色建筑和绿色建材、绿色数据中心等内容，需求标准将严格执行《商品包装政府采购需求标准（试行）》、《快递包装政府采购需求标准（试行）》（财办库〔2020〕123号）、《绿色建筑和绿色建材政府采购需求标准》（财办库〔2022〕35号）、《绿色数据中心政府采购需求标准（试行）》（财办库〔2023〕7号）等文件要求，并在采购文件和采购合同中载明具体需求、履约验收条款和违约责任，促进绿色包装、绿色运输、绿色建筑、绿色建材和绿色数据中心在政府采购领域的应用。</w:t>
      </w:r>
    </w:p>
    <w:p w14:paraId="1BAAF1E0">
      <w:pPr>
        <w:spacing w:line="360" w:lineRule="auto"/>
        <w:jc w:val="center"/>
        <w:rPr>
          <w:rFonts w:hint="eastAsia" w:cs="宋体"/>
          <w:b/>
          <w:bCs/>
          <w:color w:val="000000" w:themeColor="text1"/>
          <w:sz w:val="28"/>
          <w:szCs w:val="28"/>
          <w14:textFill>
            <w14:solidFill>
              <w14:schemeClr w14:val="tx1"/>
            </w14:solidFill>
          </w14:textFill>
        </w:rPr>
      </w:pPr>
      <w:bookmarkStart w:id="30" w:name="_Toc128884461"/>
    </w:p>
    <w:p w14:paraId="28CD323A">
      <w:pPr>
        <w:rPr>
          <w:rFonts w:hint="eastAsia" w:cs="宋体"/>
          <w:b/>
          <w:bCs/>
          <w:color w:val="000000" w:themeColor="text1"/>
          <w:sz w:val="28"/>
          <w:szCs w:val="28"/>
          <w14:textFill>
            <w14:solidFill>
              <w14:schemeClr w14:val="tx1"/>
            </w14:solidFill>
          </w14:textFill>
        </w:rPr>
      </w:pPr>
      <w:r>
        <w:rPr>
          <w:rFonts w:hint="eastAsia" w:cs="宋体"/>
          <w:b/>
          <w:bCs/>
          <w:color w:val="000000" w:themeColor="text1"/>
          <w:sz w:val="28"/>
          <w:szCs w:val="28"/>
          <w14:textFill>
            <w14:solidFill>
              <w14:schemeClr w14:val="tx1"/>
            </w14:solidFill>
          </w14:textFill>
        </w:rPr>
        <w:br w:type="page"/>
      </w:r>
    </w:p>
    <w:p w14:paraId="3CEF63FD">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1"/>
        <w:rPr>
          <w:b/>
          <w:bCs/>
          <w:color w:val="000000" w:themeColor="text1"/>
          <w:sz w:val="28"/>
          <w:szCs w:val="28"/>
          <w14:textFill>
            <w14:solidFill>
              <w14:schemeClr w14:val="tx1"/>
            </w14:solidFill>
          </w14:textFill>
        </w:rPr>
      </w:pPr>
      <w:r>
        <w:rPr>
          <w:rFonts w:hint="eastAsia" w:cs="宋体"/>
          <w:b/>
          <w:bCs/>
          <w:color w:val="000000" w:themeColor="text1"/>
          <w:sz w:val="28"/>
          <w:szCs w:val="28"/>
          <w14:textFill>
            <w14:solidFill>
              <w14:schemeClr w14:val="tx1"/>
            </w14:solidFill>
          </w14:textFill>
        </w:rPr>
        <w:t>第三章</w:t>
      </w:r>
      <w:r>
        <w:rPr>
          <w:rFonts w:hint="eastAsia"/>
          <w:b/>
          <w:bCs/>
          <w:color w:val="000000" w:themeColor="text1"/>
          <w:sz w:val="28"/>
          <w:szCs w:val="28"/>
          <w14:textFill>
            <w14:solidFill>
              <w14:schemeClr w14:val="tx1"/>
            </w14:solidFill>
          </w14:textFill>
        </w:rPr>
        <w:t xml:space="preserve"> </w:t>
      </w:r>
      <w:r>
        <w:rPr>
          <w:rFonts w:hint="eastAsia" w:cs="宋体"/>
          <w:b/>
          <w:bCs/>
          <w:color w:val="000000" w:themeColor="text1"/>
          <w:sz w:val="28"/>
          <w:szCs w:val="28"/>
          <w14:textFill>
            <w14:solidFill>
              <w14:schemeClr w14:val="tx1"/>
            </w14:solidFill>
          </w14:textFill>
        </w:rPr>
        <w:t>用户需求书</w:t>
      </w:r>
    </w:p>
    <w:bookmarkEnd w:id="30"/>
    <w:p w14:paraId="294D877E">
      <w:pPr>
        <w:spacing w:line="360" w:lineRule="auto"/>
        <w:jc w:val="center"/>
        <w:outlineLvl w:val="2"/>
        <w:rPr>
          <w:rFonts w:eastAsia="宋体"/>
          <w:b/>
          <w:bCs/>
        </w:rPr>
      </w:pPr>
      <w:bookmarkStart w:id="31" w:name="_Toc11426270"/>
      <w:r>
        <w:rPr>
          <w:rFonts w:hint="eastAsia" w:ascii="宋体" w:hAnsi="宋体" w:eastAsia="宋体" w:cs="宋体"/>
          <w:b/>
          <w:bCs/>
        </w:rPr>
        <w:t>一、项目基本信息</w:t>
      </w:r>
    </w:p>
    <w:tbl>
      <w:tblPr>
        <w:tblStyle w:val="16"/>
        <w:tblpPr w:leftFromText="180" w:rightFromText="180" w:vertAnchor="text" w:horzAnchor="margin" w:tblpXSpec="center" w:tblpY="17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2"/>
        <w:gridCol w:w="2745"/>
        <w:gridCol w:w="612"/>
        <w:gridCol w:w="2126"/>
        <w:gridCol w:w="1815"/>
        <w:gridCol w:w="612"/>
      </w:tblGrid>
      <w:tr w14:paraId="375B1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shd w:val="clear" w:color="auto" w:fill="C6D9F0" w:themeFill="text2" w:themeFillTint="33"/>
            <w:vAlign w:val="center"/>
          </w:tcPr>
          <w:p w14:paraId="1216A4E9">
            <w:pPr>
              <w:jc w:val="center"/>
              <w:rPr>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序</w:t>
            </w:r>
            <w:r>
              <w:rPr>
                <w:rFonts w:hint="eastAsia"/>
                <w:b/>
                <w:color w:val="000000" w:themeColor="text1"/>
                <w:szCs w:val="21"/>
                <w14:textFill>
                  <w14:solidFill>
                    <w14:schemeClr w14:val="tx1"/>
                  </w14:solidFill>
                </w14:textFill>
              </w:rPr>
              <w:t>号</w:t>
            </w:r>
          </w:p>
        </w:tc>
        <w:tc>
          <w:tcPr>
            <w:tcW w:w="0" w:type="auto"/>
            <w:shd w:val="clear" w:color="auto" w:fill="C6D9F0" w:themeFill="text2" w:themeFillTint="33"/>
            <w:vAlign w:val="center"/>
          </w:tcPr>
          <w:p w14:paraId="1C462331">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采购项目名称</w:t>
            </w:r>
          </w:p>
        </w:tc>
        <w:tc>
          <w:tcPr>
            <w:tcW w:w="0" w:type="auto"/>
            <w:shd w:val="clear" w:color="auto" w:fill="C6D9F0" w:themeFill="text2" w:themeFillTint="33"/>
            <w:vAlign w:val="center"/>
          </w:tcPr>
          <w:p w14:paraId="121C33C0">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b/>
                <w:color w:val="000000" w:themeColor="text1"/>
                <w:sz w:val="24"/>
                <w:szCs w:val="21"/>
                <w:highlight w:val="none"/>
                <w:lang w:val="en-US" w:eastAsia="zh-CN"/>
                <w14:textFill>
                  <w14:solidFill>
                    <w14:schemeClr w14:val="tx1"/>
                  </w14:solidFill>
                </w14:textFill>
              </w:rPr>
            </w:pPr>
            <w:r>
              <w:rPr>
                <w:rFonts w:hint="eastAsia" w:eastAsia="宋体"/>
                <w:b/>
                <w:color w:val="000000" w:themeColor="text1"/>
                <w:szCs w:val="21"/>
                <w:highlight w:val="none"/>
                <w:lang w:val="en-US" w:eastAsia="zh-CN"/>
                <w14:textFill>
                  <w14:solidFill>
                    <w14:schemeClr w14:val="tx1"/>
                  </w14:solidFill>
                </w14:textFill>
              </w:rPr>
              <w:t>包组</w:t>
            </w:r>
          </w:p>
        </w:tc>
        <w:tc>
          <w:tcPr>
            <w:tcW w:w="0" w:type="auto"/>
            <w:shd w:val="clear" w:color="auto" w:fill="C6D9F0" w:themeFill="text2" w:themeFillTint="33"/>
            <w:vAlign w:val="center"/>
          </w:tcPr>
          <w:p w14:paraId="28223F33">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财政预算限额（元）</w:t>
            </w:r>
          </w:p>
        </w:tc>
        <w:tc>
          <w:tcPr>
            <w:tcW w:w="0" w:type="auto"/>
            <w:shd w:val="clear" w:color="auto" w:fill="C6D9F0" w:themeFill="text2" w:themeFillTint="33"/>
            <w:vAlign w:val="center"/>
          </w:tcPr>
          <w:p w14:paraId="25160260">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最高限价（元）</w:t>
            </w:r>
          </w:p>
        </w:tc>
        <w:tc>
          <w:tcPr>
            <w:tcW w:w="0" w:type="auto"/>
            <w:shd w:val="clear" w:color="auto" w:fill="C6D9F0" w:themeFill="text2" w:themeFillTint="33"/>
            <w:vAlign w:val="center"/>
          </w:tcPr>
          <w:p w14:paraId="5FCB0429">
            <w:pPr>
              <w:jc w:val="center"/>
              <w:rPr>
                <w:rFonts w:hint="eastAsia" w:eastAsiaTheme="minorEastAsia"/>
                <w:b/>
                <w:color w:val="000000" w:themeColor="text1"/>
                <w:szCs w:val="21"/>
                <w:lang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备注</w:t>
            </w:r>
          </w:p>
        </w:tc>
      </w:tr>
      <w:tr w14:paraId="46A18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0" w:type="auto"/>
            <w:vAlign w:val="center"/>
          </w:tcPr>
          <w:p w14:paraId="704D8EB2">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w:t>
            </w:r>
          </w:p>
        </w:tc>
        <w:tc>
          <w:tcPr>
            <w:tcW w:w="0" w:type="auto"/>
            <w:vAlign w:val="center"/>
          </w:tcPr>
          <w:p w14:paraId="57671BBB">
            <w:pPr>
              <w:jc w:val="center"/>
              <w:rPr>
                <w:rFonts w:ascii="宋体" w:hAnsi="宋体" w:cs="宋体"/>
                <w:bCs/>
                <w:color w:val="FF0000"/>
                <w:szCs w:val="21"/>
              </w:rPr>
            </w:pPr>
            <w:r>
              <w:rPr>
                <w:rFonts w:hint="eastAsia" w:ascii="宋体" w:hAnsi="宋体" w:eastAsia="宋体" w:cs="宋体"/>
                <w:color w:val="auto"/>
                <w:sz w:val="24"/>
                <w:szCs w:val="24"/>
                <w:highlight w:val="none"/>
              </w:rPr>
              <w:t>2025年度深圳市市管桥涵定期检测</w:t>
            </w:r>
          </w:p>
        </w:tc>
        <w:tc>
          <w:tcPr>
            <w:tcW w:w="0" w:type="auto"/>
            <w:shd w:val="clear" w:color="auto" w:fill="auto"/>
            <w:vAlign w:val="center"/>
          </w:tcPr>
          <w:p w14:paraId="7F6DC81A">
            <w:pPr>
              <w:keepNext w:val="0"/>
              <w:keepLines w:val="0"/>
              <w:widowControl/>
              <w:suppressLineNumbers w:val="0"/>
              <w:spacing w:before="0" w:beforeAutospacing="0" w:after="0" w:afterAutospacing="0"/>
              <w:ind w:left="0" w:leftChars="0" w:right="0" w:rightChars="0"/>
              <w:jc w:val="center"/>
              <w:rPr>
                <w:rFonts w:hint="eastAsia" w:ascii="Times New Roman" w:hAnsi="Times New Roman" w:cs="Times New Roman" w:eastAsiaTheme="minorEastAsia"/>
                <w:b/>
                <w:bCs/>
                <w:color w:val="000000" w:themeColor="text1"/>
                <w:sz w:val="24"/>
                <w:szCs w:val="21"/>
                <w:highlight w:val="none"/>
                <w:lang w:val="en-US" w:eastAsia="zh-CN"/>
                <w14:textFill>
                  <w14:solidFill>
                    <w14:schemeClr w14:val="tx1"/>
                  </w14:solidFill>
                </w14:textFill>
              </w:rPr>
            </w:pPr>
            <w:r>
              <w:rPr>
                <w:rFonts w:hint="eastAsia" w:eastAsiaTheme="minorEastAsia"/>
                <w:b/>
                <w:bCs/>
                <w:color w:val="000000" w:themeColor="text1"/>
                <w:szCs w:val="21"/>
                <w:highlight w:val="none"/>
                <w:lang w:val="en-US" w:eastAsia="zh-CN"/>
                <w14:textFill>
                  <w14:solidFill>
                    <w14:schemeClr w14:val="tx1"/>
                  </w14:solidFill>
                </w14:textFill>
              </w:rPr>
              <w:t>C</w:t>
            </w:r>
          </w:p>
        </w:tc>
        <w:tc>
          <w:tcPr>
            <w:tcW w:w="0" w:type="auto"/>
            <w:vAlign w:val="center"/>
          </w:tcPr>
          <w:p w14:paraId="067BB701">
            <w:pPr>
              <w:jc w:val="center"/>
              <w:rPr>
                <w:rFonts w:hint="eastAsia" w:eastAsiaTheme="minorEastAsia"/>
                <w:b/>
                <w:bCs/>
                <w:color w:val="000000" w:themeColor="text1"/>
                <w:szCs w:val="21"/>
                <w:lang w:eastAsia="zh-CN"/>
                <w14:textFill>
                  <w14:solidFill>
                    <w14:schemeClr w14:val="tx1"/>
                  </w14:solidFill>
                </w14:textFill>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w:t>
            </w:r>
            <w:r>
              <w:rPr>
                <w:rFonts w:hint="default" w:ascii="宋体" w:hAnsi="宋体" w:eastAsia="宋体" w:cs="宋体"/>
                <w:color w:val="auto"/>
                <w:sz w:val="24"/>
                <w:highlight w:val="none"/>
                <w:lang w:val="en-US" w:eastAsia="zh-CN"/>
              </w:rPr>
              <w:t>9</w:t>
            </w:r>
            <w:r>
              <w:rPr>
                <w:rFonts w:hint="eastAsia" w:ascii="宋体" w:hAnsi="宋体" w:eastAsia="宋体" w:cs="宋体"/>
                <w:color w:val="auto"/>
                <w:sz w:val="24"/>
                <w:highlight w:val="none"/>
                <w:lang w:val="en-US" w:eastAsia="zh-CN"/>
              </w:rPr>
              <w:t>0</w:t>
            </w:r>
            <w:r>
              <w:rPr>
                <w:rFonts w:hint="eastAsia" w:ascii="宋体" w:hAnsi="宋体" w:eastAsia="宋体" w:cs="宋体"/>
                <w:color w:val="auto"/>
                <w:sz w:val="24"/>
                <w:highlight w:val="none"/>
              </w:rPr>
              <w:t>0,000.00</w:t>
            </w:r>
          </w:p>
        </w:tc>
        <w:tc>
          <w:tcPr>
            <w:tcW w:w="0" w:type="auto"/>
            <w:vAlign w:val="center"/>
          </w:tcPr>
          <w:p w14:paraId="02639ADB">
            <w:pPr>
              <w:jc w:val="center"/>
              <w:rPr>
                <w:rFonts w:hint="eastAsia" w:ascii="宋体" w:hAnsi="宋体" w:eastAsia="宋体" w:cs="宋体"/>
                <w:bCs/>
                <w:color w:val="000000" w:themeColor="text1"/>
                <w:szCs w:val="21"/>
                <w:lang w:eastAsia="zh-CN"/>
                <w14:textFill>
                  <w14:solidFill>
                    <w14:schemeClr w14:val="tx1"/>
                  </w14:solidFill>
                </w14:textFill>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w:t>
            </w:r>
            <w:r>
              <w:rPr>
                <w:rFonts w:hint="default" w:ascii="宋体" w:hAnsi="宋体" w:eastAsia="宋体" w:cs="宋体"/>
                <w:color w:val="auto"/>
                <w:sz w:val="24"/>
                <w:highlight w:val="none"/>
                <w:lang w:val="en-US" w:eastAsia="zh-CN"/>
              </w:rPr>
              <w:t>9</w:t>
            </w:r>
            <w:r>
              <w:rPr>
                <w:rFonts w:hint="eastAsia" w:ascii="宋体" w:hAnsi="宋体" w:eastAsia="宋体" w:cs="宋体"/>
                <w:color w:val="auto"/>
                <w:sz w:val="24"/>
                <w:highlight w:val="none"/>
                <w:lang w:val="en-US" w:eastAsia="zh-CN"/>
              </w:rPr>
              <w:t>0</w:t>
            </w:r>
            <w:r>
              <w:rPr>
                <w:rFonts w:hint="eastAsia" w:ascii="宋体" w:hAnsi="宋体" w:eastAsia="宋体" w:cs="宋体"/>
                <w:color w:val="auto"/>
                <w:sz w:val="24"/>
                <w:highlight w:val="none"/>
              </w:rPr>
              <w:t>0,000.00</w:t>
            </w:r>
          </w:p>
        </w:tc>
        <w:tc>
          <w:tcPr>
            <w:tcW w:w="0" w:type="auto"/>
            <w:vAlign w:val="center"/>
          </w:tcPr>
          <w:p w14:paraId="77183D06">
            <w:pPr>
              <w:jc w:val="center"/>
              <w:rPr>
                <w:rFonts w:hint="eastAsia" w:ascii="宋体" w:hAnsi="宋体" w:eastAsia="宋体" w:cs="宋体"/>
                <w:bCs/>
                <w:color w:val="000000" w:themeColor="text1"/>
                <w:szCs w:val="21"/>
                <w:lang w:eastAsia="zh-CN"/>
                <w14:textFill>
                  <w14:solidFill>
                    <w14:schemeClr w14:val="tx1"/>
                  </w14:solidFill>
                </w14:textFill>
              </w:rPr>
            </w:pPr>
          </w:p>
        </w:tc>
      </w:tr>
    </w:tbl>
    <w:p w14:paraId="7EF27720">
      <w:pPr>
        <w:ind w:firstLine="480" w:firstLineChars="200"/>
        <w:rPr>
          <w:rFonts w:ascii="宋体" w:hAnsi="宋体"/>
          <w:b/>
          <w:color w:val="FF0000"/>
          <w:szCs w:val="21"/>
        </w:rPr>
      </w:pPr>
      <w:r>
        <w:rPr>
          <w:rFonts w:hint="eastAsia" w:ascii="宋体" w:hAnsi="宋体"/>
          <w:b/>
          <w:color w:val="FF0000"/>
          <w:szCs w:val="21"/>
        </w:rPr>
        <w:t>本项目在财政预算金额下设定最高限价，如投标人的投标报价超过最高限价，将按照符合性审查要求作投标无效处理</w:t>
      </w:r>
    </w:p>
    <w:p w14:paraId="5720D9E1">
      <w:pPr>
        <w:pStyle w:val="6"/>
      </w:pPr>
    </w:p>
    <w:p w14:paraId="72B9ACD9">
      <w:pPr>
        <w:spacing w:line="360" w:lineRule="auto"/>
        <w:jc w:val="center"/>
        <w:outlineLvl w:val="2"/>
        <w:rPr>
          <w:rFonts w:ascii="宋体" w:hAnsi="宋体" w:eastAsia="宋体" w:cs="宋体"/>
          <w:b/>
          <w:bCs/>
        </w:rPr>
      </w:pPr>
      <w:r>
        <w:rPr>
          <w:rFonts w:hint="eastAsia" w:ascii="宋体" w:hAnsi="宋体" w:eastAsia="宋体" w:cs="宋体"/>
          <w:b/>
          <w:bCs/>
        </w:rPr>
        <w:t>二、</w:t>
      </w:r>
      <w:bookmarkStart w:id="32" w:name="_Hlk72073432"/>
      <w:r>
        <w:rPr>
          <w:rFonts w:hint="eastAsia" w:ascii="宋体" w:hAnsi="宋体" w:eastAsia="宋体" w:cs="宋体"/>
          <w:b/>
          <w:bCs/>
        </w:rPr>
        <w:t>服务需求明细</w:t>
      </w:r>
      <w:bookmarkEnd w:id="32"/>
    </w:p>
    <w:tbl>
      <w:tblPr>
        <w:tblStyle w:val="16"/>
        <w:tblW w:w="8273" w:type="dxa"/>
        <w:jc w:val="center"/>
        <w:tblLayout w:type="fixed"/>
        <w:tblCellMar>
          <w:top w:w="0" w:type="dxa"/>
          <w:left w:w="108" w:type="dxa"/>
          <w:bottom w:w="0" w:type="dxa"/>
          <w:right w:w="108" w:type="dxa"/>
        </w:tblCellMar>
      </w:tblPr>
      <w:tblGrid>
        <w:gridCol w:w="633"/>
        <w:gridCol w:w="3641"/>
        <w:gridCol w:w="797"/>
        <w:gridCol w:w="780"/>
        <w:gridCol w:w="1414"/>
        <w:gridCol w:w="1008"/>
      </w:tblGrid>
      <w:tr w14:paraId="43DD88A7">
        <w:tblPrEx>
          <w:tblCellMar>
            <w:top w:w="0" w:type="dxa"/>
            <w:left w:w="108" w:type="dxa"/>
            <w:bottom w:w="0" w:type="dxa"/>
            <w:right w:w="108" w:type="dxa"/>
          </w:tblCellMar>
        </w:tblPrEx>
        <w:trPr>
          <w:trHeight w:val="552" w:hRule="atLeast"/>
          <w:jc w:val="center"/>
        </w:trPr>
        <w:tc>
          <w:tcPr>
            <w:tcW w:w="633" w:type="dxa"/>
            <w:tcBorders>
              <w:top w:val="single" w:color="000000" w:sz="4" w:space="0"/>
              <w:left w:val="single" w:color="000000" w:sz="4" w:space="0"/>
              <w:bottom w:val="single" w:color="000000" w:sz="4" w:space="0"/>
              <w:right w:val="single" w:color="auto" w:sz="4" w:space="0"/>
            </w:tcBorders>
            <w:shd w:val="clear" w:color="auto" w:fill="C6D9F1"/>
            <w:tcMar>
              <w:top w:w="15" w:type="dxa"/>
              <w:left w:w="15" w:type="dxa"/>
              <w:bottom w:w="15" w:type="dxa"/>
              <w:right w:w="15" w:type="dxa"/>
            </w:tcMar>
            <w:vAlign w:val="center"/>
          </w:tcPr>
          <w:p w14:paraId="7C807A9C">
            <w:pPr>
              <w:jc w:val="center"/>
              <w:rPr>
                <w:b/>
                <w:bCs/>
              </w:rPr>
            </w:pPr>
            <w:r>
              <w:rPr>
                <w:rFonts w:hint="eastAsia" w:ascii="宋体" w:hAnsi="宋体" w:eastAsia="宋体" w:cs="宋体"/>
                <w:b/>
                <w:bCs/>
              </w:rPr>
              <w:t>序号</w:t>
            </w:r>
          </w:p>
        </w:tc>
        <w:tc>
          <w:tcPr>
            <w:tcW w:w="3641" w:type="dxa"/>
            <w:tcBorders>
              <w:top w:val="single" w:color="000000" w:sz="4" w:space="0"/>
              <w:left w:val="single" w:color="auto" w:sz="4" w:space="0"/>
              <w:bottom w:val="single" w:color="000000" w:sz="4" w:space="0"/>
              <w:right w:val="single" w:color="000000" w:sz="4" w:space="0"/>
            </w:tcBorders>
            <w:shd w:val="clear" w:color="auto" w:fill="C6D9F1"/>
            <w:tcMar>
              <w:top w:w="15" w:type="dxa"/>
              <w:left w:w="15" w:type="dxa"/>
              <w:bottom w:w="15" w:type="dxa"/>
              <w:right w:w="15" w:type="dxa"/>
            </w:tcMar>
            <w:vAlign w:val="center"/>
          </w:tcPr>
          <w:p w14:paraId="49919A40">
            <w:pPr>
              <w:jc w:val="center"/>
              <w:rPr>
                <w:b/>
                <w:bCs/>
              </w:rPr>
            </w:pPr>
            <w:r>
              <w:rPr>
                <w:rFonts w:hint="eastAsia" w:ascii="宋体" w:hAnsi="宋体" w:eastAsia="宋体" w:cs="宋体"/>
                <w:b/>
                <w:bCs/>
              </w:rPr>
              <w:t>服务名称（标的名称）</w:t>
            </w:r>
          </w:p>
        </w:tc>
        <w:tc>
          <w:tcPr>
            <w:tcW w:w="797" w:type="dxa"/>
            <w:tcBorders>
              <w:top w:val="single" w:color="000000" w:sz="4" w:space="0"/>
              <w:left w:val="single" w:color="000000" w:sz="4" w:space="0"/>
              <w:bottom w:val="single" w:color="000000" w:sz="4" w:space="0"/>
              <w:right w:val="single" w:color="000000" w:sz="4" w:space="0"/>
            </w:tcBorders>
            <w:shd w:val="clear" w:color="auto" w:fill="C6D9F1"/>
            <w:tcMar>
              <w:top w:w="15" w:type="dxa"/>
              <w:left w:w="15" w:type="dxa"/>
              <w:bottom w:w="15" w:type="dxa"/>
              <w:right w:w="15" w:type="dxa"/>
            </w:tcMar>
            <w:vAlign w:val="center"/>
          </w:tcPr>
          <w:p w14:paraId="29EDC34D">
            <w:pPr>
              <w:jc w:val="center"/>
              <w:rPr>
                <w:b/>
                <w:bCs/>
              </w:rPr>
            </w:pPr>
            <w:r>
              <w:rPr>
                <w:rFonts w:hint="eastAsia" w:ascii="宋体" w:hAnsi="宋体" w:eastAsia="宋体" w:cs="宋体"/>
                <w:b/>
                <w:bCs/>
              </w:rPr>
              <w:t>单位</w:t>
            </w:r>
          </w:p>
        </w:tc>
        <w:tc>
          <w:tcPr>
            <w:tcW w:w="780" w:type="dxa"/>
            <w:tcBorders>
              <w:top w:val="single" w:color="000000" w:sz="4" w:space="0"/>
              <w:left w:val="single" w:color="000000" w:sz="4" w:space="0"/>
              <w:bottom w:val="single" w:color="000000" w:sz="4" w:space="0"/>
              <w:right w:val="single" w:color="000000" w:sz="4" w:space="0"/>
            </w:tcBorders>
            <w:shd w:val="clear" w:color="auto" w:fill="C6D9F1"/>
            <w:tcMar>
              <w:top w:w="15" w:type="dxa"/>
              <w:left w:w="15" w:type="dxa"/>
              <w:bottom w:w="15" w:type="dxa"/>
              <w:right w:w="15" w:type="dxa"/>
            </w:tcMar>
            <w:vAlign w:val="center"/>
          </w:tcPr>
          <w:p w14:paraId="697E4215">
            <w:pPr>
              <w:jc w:val="center"/>
              <w:rPr>
                <w:b/>
                <w:bCs/>
              </w:rPr>
            </w:pPr>
            <w:r>
              <w:rPr>
                <w:rFonts w:hint="eastAsia" w:ascii="宋体" w:hAnsi="宋体" w:eastAsia="宋体" w:cs="宋体"/>
                <w:b/>
                <w:bCs/>
              </w:rPr>
              <w:t>数量</w:t>
            </w:r>
          </w:p>
        </w:tc>
        <w:tc>
          <w:tcPr>
            <w:tcW w:w="1414" w:type="dxa"/>
            <w:tcBorders>
              <w:top w:val="single" w:color="000000" w:sz="4" w:space="0"/>
              <w:left w:val="single" w:color="000000" w:sz="4" w:space="0"/>
              <w:bottom w:val="single" w:color="000000" w:sz="4" w:space="0"/>
              <w:right w:val="single" w:color="000000" w:sz="4" w:space="0"/>
            </w:tcBorders>
            <w:shd w:val="clear" w:color="auto" w:fill="C6D9F1"/>
            <w:tcMar>
              <w:top w:w="15" w:type="dxa"/>
              <w:left w:w="15" w:type="dxa"/>
              <w:bottom w:w="15" w:type="dxa"/>
              <w:right w:w="15" w:type="dxa"/>
            </w:tcMar>
            <w:vAlign w:val="center"/>
          </w:tcPr>
          <w:p w14:paraId="577F0BC5">
            <w:pPr>
              <w:jc w:val="center"/>
              <w:rPr>
                <w:b/>
                <w:bCs/>
                <w:highlight w:val="green"/>
              </w:rPr>
            </w:pPr>
            <w:r>
              <w:rPr>
                <w:rFonts w:hint="eastAsia" w:ascii="宋体" w:hAnsi="宋体" w:eastAsia="宋体" w:cs="宋体"/>
                <w:b/>
                <w:bCs/>
              </w:rPr>
              <w:t>所属行业</w:t>
            </w:r>
          </w:p>
        </w:tc>
        <w:tc>
          <w:tcPr>
            <w:tcW w:w="1008" w:type="dxa"/>
            <w:tcBorders>
              <w:top w:val="single" w:color="000000" w:sz="4" w:space="0"/>
              <w:left w:val="single" w:color="000000" w:sz="4" w:space="0"/>
              <w:bottom w:val="single" w:color="000000" w:sz="4" w:space="0"/>
              <w:right w:val="single" w:color="000000" w:sz="4" w:space="0"/>
            </w:tcBorders>
            <w:shd w:val="clear" w:color="auto" w:fill="C6D9F1"/>
            <w:tcMar>
              <w:top w:w="15" w:type="dxa"/>
              <w:left w:w="15" w:type="dxa"/>
              <w:bottom w:w="15" w:type="dxa"/>
              <w:right w:w="15" w:type="dxa"/>
            </w:tcMar>
            <w:vAlign w:val="center"/>
          </w:tcPr>
          <w:p w14:paraId="0A4A4133">
            <w:pPr>
              <w:jc w:val="center"/>
              <w:rPr>
                <w:b/>
                <w:bCs/>
                <w:highlight w:val="green"/>
              </w:rPr>
            </w:pPr>
            <w:r>
              <w:rPr>
                <w:rFonts w:hint="eastAsia" w:ascii="宋体" w:hAnsi="宋体" w:eastAsia="宋体" w:cs="宋体"/>
                <w:b/>
                <w:bCs/>
              </w:rPr>
              <w:t>备注</w:t>
            </w:r>
          </w:p>
        </w:tc>
      </w:tr>
      <w:tr w14:paraId="5BF53741">
        <w:tblPrEx>
          <w:tblCellMar>
            <w:top w:w="0" w:type="dxa"/>
            <w:left w:w="108" w:type="dxa"/>
            <w:bottom w:w="0" w:type="dxa"/>
            <w:right w:w="108" w:type="dxa"/>
          </w:tblCellMar>
        </w:tblPrEx>
        <w:trPr>
          <w:trHeight w:val="841" w:hRule="atLeast"/>
          <w:jc w:val="center"/>
        </w:trPr>
        <w:tc>
          <w:tcPr>
            <w:tcW w:w="633" w:type="dxa"/>
            <w:tcBorders>
              <w:top w:val="single" w:color="000000" w:sz="4" w:space="0"/>
              <w:left w:val="single" w:color="000000" w:sz="4" w:space="0"/>
              <w:bottom w:val="single" w:color="000000" w:sz="4" w:space="0"/>
              <w:right w:val="single" w:color="auto" w:sz="4" w:space="0"/>
            </w:tcBorders>
            <w:tcMar>
              <w:top w:w="15" w:type="dxa"/>
              <w:left w:w="15" w:type="dxa"/>
              <w:bottom w:w="15" w:type="dxa"/>
              <w:right w:w="15" w:type="dxa"/>
            </w:tcMar>
            <w:vAlign w:val="center"/>
          </w:tcPr>
          <w:p w14:paraId="5568ABE8">
            <w:pPr>
              <w:jc w:val="center"/>
            </w:pPr>
            <w:r>
              <w:rPr>
                <w:rFonts w:hint="eastAsia"/>
              </w:rPr>
              <w:t>1</w:t>
            </w:r>
          </w:p>
        </w:tc>
        <w:tc>
          <w:tcPr>
            <w:tcW w:w="3641" w:type="dxa"/>
            <w:tcBorders>
              <w:top w:val="single" w:color="000000" w:sz="4" w:space="0"/>
              <w:left w:val="single" w:color="auto" w:sz="4" w:space="0"/>
              <w:bottom w:val="single" w:color="000000" w:sz="4" w:space="0"/>
              <w:right w:val="single" w:color="000000" w:sz="4" w:space="0"/>
            </w:tcBorders>
            <w:tcMar>
              <w:top w:w="15" w:type="dxa"/>
              <w:left w:w="15" w:type="dxa"/>
              <w:bottom w:w="15" w:type="dxa"/>
              <w:right w:w="15" w:type="dxa"/>
            </w:tcMar>
            <w:vAlign w:val="center"/>
          </w:tcPr>
          <w:p w14:paraId="1E0151C1">
            <w:pPr>
              <w:jc w:val="center"/>
              <w:rPr>
                <w:rFonts w:hint="eastAsia" w:asciiTheme="minorEastAsia" w:hAnsiTheme="minorEastAsia" w:eastAsiaTheme="minorEastAsia"/>
                <w:b/>
                <w:bCs/>
                <w:highlight w:val="green"/>
                <w:lang w:eastAsia="zh-CN"/>
              </w:rPr>
            </w:pPr>
            <w:r>
              <w:rPr>
                <w:rFonts w:hint="eastAsia" w:asciiTheme="minorEastAsia" w:hAnsiTheme="minorEastAsia" w:eastAsiaTheme="minorEastAsia"/>
                <w:b/>
                <w:bCs/>
                <w:highlight w:val="none"/>
                <w:lang w:eastAsia="zh-CN"/>
              </w:rPr>
              <w:t>2025年度深圳市市管桥涵定期检测</w:t>
            </w:r>
          </w:p>
        </w:tc>
        <w:tc>
          <w:tcPr>
            <w:tcW w:w="79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CCAA682">
            <w:pPr>
              <w:jc w:val="center"/>
              <w:rPr>
                <w:bCs/>
              </w:rPr>
            </w:pPr>
            <w:r>
              <w:rPr>
                <w:rFonts w:hint="eastAsia" w:ascii="宋体" w:hAnsi="宋体" w:eastAsia="宋体" w:cs="宋体"/>
                <w:bCs/>
              </w:rPr>
              <w:t>项</w:t>
            </w:r>
          </w:p>
        </w:tc>
        <w:tc>
          <w:tcPr>
            <w:tcW w:w="78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B554C38">
            <w:pPr>
              <w:jc w:val="center"/>
              <w:rPr>
                <w:bCs/>
              </w:rPr>
            </w:pPr>
            <w:r>
              <w:rPr>
                <w:bCs/>
              </w:rPr>
              <w:t>1</w:t>
            </w:r>
          </w:p>
        </w:tc>
        <w:tc>
          <w:tcPr>
            <w:tcW w:w="141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F89BBEF">
            <w:pPr>
              <w:jc w:val="center"/>
              <w:rPr>
                <w:rFonts w:ascii="宋体" w:hAnsi="宋体" w:eastAsia="宋体" w:cs="宋体"/>
                <w:bCs/>
              </w:rPr>
            </w:pPr>
            <w:r>
              <w:rPr>
                <w:rFonts w:hint="eastAsia" w:ascii="宋体" w:hAnsi="宋体" w:eastAsia="宋体" w:cs="宋体"/>
                <w:bCs/>
                <w:highlight w:val="none"/>
              </w:rPr>
              <w:t>其他未列明行业</w:t>
            </w:r>
          </w:p>
        </w:tc>
        <w:tc>
          <w:tcPr>
            <w:tcW w:w="100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D113B0C">
            <w:pPr>
              <w:jc w:val="center"/>
              <w:rPr>
                <w:bCs/>
                <w:highlight w:val="green"/>
              </w:rPr>
            </w:pPr>
          </w:p>
        </w:tc>
      </w:tr>
      <w:bookmarkEnd w:id="31"/>
    </w:tbl>
    <w:p w14:paraId="61833573">
      <w:pPr>
        <w:rPr>
          <w:b/>
          <w:sz w:val="28"/>
        </w:rPr>
      </w:pPr>
      <w:r>
        <w:rPr>
          <w:b/>
          <w:sz w:val="28"/>
        </w:rPr>
        <w:t>项目</w:t>
      </w:r>
      <w:r>
        <w:rPr>
          <w:rFonts w:hint="eastAsia"/>
          <w:b/>
          <w:sz w:val="28"/>
        </w:rPr>
        <w:t>概况：</w:t>
      </w:r>
    </w:p>
    <w:p w14:paraId="3474E1AE">
      <w:pPr>
        <w:ind w:left="547" w:leftChars="228" w:firstLine="420" w:firstLineChars="200"/>
        <w:rPr>
          <w:rFonts w:cs="仿宋" w:asciiTheme="minorEastAsia" w:hAnsiTheme="minorEastAsia"/>
          <w:sz w:val="21"/>
          <w:szCs w:val="21"/>
        </w:rPr>
      </w:pPr>
      <w:bookmarkStart w:id="33" w:name="_Toc320311558"/>
      <w:bookmarkEnd w:id="33"/>
      <w:bookmarkStart w:id="34" w:name="_Toc11426271"/>
    </w:p>
    <w:p w14:paraId="570360B0">
      <w:pPr>
        <w:ind w:left="547" w:leftChars="228" w:firstLine="420" w:firstLineChars="200"/>
        <w:rPr>
          <w:rFonts w:cs="仿宋" w:asciiTheme="minorEastAsia" w:hAnsiTheme="minorEastAsia"/>
          <w:sz w:val="21"/>
          <w:szCs w:val="21"/>
        </w:rPr>
      </w:pPr>
    </w:p>
    <w:p w14:paraId="468870CA">
      <w:pPr>
        <w:spacing w:line="360" w:lineRule="auto"/>
        <w:jc w:val="center"/>
        <w:outlineLvl w:val="2"/>
        <w:rPr>
          <w:rFonts w:ascii="宋体" w:hAnsi="宋体" w:eastAsia="宋体" w:cs="宋体"/>
          <w:b/>
          <w:bCs/>
        </w:rPr>
      </w:pPr>
      <w:r>
        <w:rPr>
          <w:rFonts w:hint="eastAsia" w:ascii="宋体" w:hAnsi="宋体" w:eastAsia="宋体" w:cs="宋体"/>
          <w:b/>
          <w:bCs/>
        </w:rPr>
        <w:t>三</w:t>
      </w:r>
      <w:r>
        <w:rPr>
          <w:rFonts w:ascii="宋体" w:hAnsi="宋体" w:eastAsia="宋体" w:cs="宋体"/>
          <w:b/>
          <w:bCs/>
        </w:rPr>
        <w:t>、</w:t>
      </w:r>
      <w:r>
        <w:rPr>
          <w:rFonts w:hint="eastAsia" w:ascii="宋体" w:hAnsi="宋体" w:eastAsia="宋体" w:cs="宋体"/>
          <w:b/>
          <w:bCs/>
        </w:rPr>
        <w:t>实质性条款</w:t>
      </w:r>
    </w:p>
    <w:tbl>
      <w:tblPr>
        <w:tblStyle w:val="16"/>
        <w:tblW w:w="8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483"/>
      </w:tblGrid>
      <w:tr w14:paraId="09A35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tcPr>
          <w:p w14:paraId="1A45F107">
            <w:pPr>
              <w:adjustRightInd w:val="0"/>
              <w:snapToGrid w:val="0"/>
              <w:spacing w:line="360" w:lineRule="auto"/>
              <w:jc w:val="center"/>
              <w:rPr>
                <w:rFonts w:asciiTheme="minorEastAsia" w:hAnsiTheme="minorEastAsia"/>
                <w:sz w:val="21"/>
                <w:szCs w:val="21"/>
              </w:rPr>
            </w:pPr>
            <w:r>
              <w:rPr>
                <w:rFonts w:hint="eastAsia" w:asciiTheme="minorEastAsia" w:hAnsiTheme="minorEastAsia"/>
                <w:sz w:val="21"/>
                <w:szCs w:val="21"/>
              </w:rPr>
              <w:t>序号</w:t>
            </w:r>
          </w:p>
        </w:tc>
        <w:tc>
          <w:tcPr>
            <w:tcW w:w="7483" w:type="dxa"/>
          </w:tcPr>
          <w:p w14:paraId="4F08196F">
            <w:pPr>
              <w:adjustRightInd w:val="0"/>
              <w:snapToGrid w:val="0"/>
              <w:spacing w:line="360" w:lineRule="auto"/>
              <w:jc w:val="center"/>
              <w:rPr>
                <w:rFonts w:asciiTheme="minorEastAsia" w:hAnsiTheme="minorEastAsia"/>
                <w:sz w:val="21"/>
                <w:szCs w:val="21"/>
              </w:rPr>
            </w:pPr>
            <w:r>
              <w:rPr>
                <w:rFonts w:hint="eastAsia" w:asciiTheme="minorEastAsia" w:hAnsiTheme="minorEastAsia"/>
                <w:sz w:val="21"/>
                <w:szCs w:val="21"/>
              </w:rPr>
              <w:t>实质性条款具体内容</w:t>
            </w:r>
          </w:p>
        </w:tc>
      </w:tr>
      <w:tr w14:paraId="203A3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top"/>
          </w:tcPr>
          <w:p w14:paraId="349F1333">
            <w:pPr>
              <w:adjustRightInd w:val="0"/>
              <w:snapToGrid w:val="0"/>
              <w:spacing w:line="360" w:lineRule="auto"/>
              <w:jc w:val="center"/>
              <w:rPr>
                <w:rFonts w:hint="eastAsia" w:cs="Times New Roman" w:asciiTheme="minorEastAsia" w:hAnsiTheme="minorEastAsia"/>
                <w:sz w:val="21"/>
                <w:szCs w:val="21"/>
              </w:rPr>
            </w:pPr>
            <w:r>
              <w:rPr>
                <w:rFonts w:hint="eastAsia" w:ascii="宋体" w:hAnsi="宋体" w:eastAsia="宋体"/>
                <w:szCs w:val="21"/>
              </w:rPr>
              <w:t>1</w:t>
            </w:r>
          </w:p>
        </w:tc>
        <w:tc>
          <w:tcPr>
            <w:tcW w:w="7483" w:type="dxa"/>
            <w:vAlign w:val="top"/>
          </w:tcPr>
          <w:p w14:paraId="5314ADF9">
            <w:pPr>
              <w:keepNext w:val="0"/>
              <w:keepLines w:val="0"/>
              <w:pageBreakBefore w:val="0"/>
              <w:widowControl/>
              <w:tabs>
                <w:tab w:val="left" w:pos="720"/>
              </w:tabs>
              <w:kinsoku/>
              <w:wordWrap/>
              <w:overflowPunct/>
              <w:topLinePunct w:val="0"/>
              <w:autoSpaceDE/>
              <w:autoSpaceDN/>
              <w:bidi w:val="0"/>
              <w:adjustRightInd/>
              <w:snapToGrid/>
              <w:spacing w:line="240" w:lineRule="auto"/>
              <w:ind w:left="0" w:leftChars="0" w:firstLine="0" w:firstLineChars="0"/>
              <w:jc w:val="left"/>
              <w:textAlignment w:val="auto"/>
              <w:rPr>
                <w:rFonts w:hint="eastAsia" w:cs="Times New Roman" w:asciiTheme="minorEastAsia" w:hAnsiTheme="minorEastAsia"/>
                <w:sz w:val="21"/>
                <w:szCs w:val="21"/>
              </w:rPr>
            </w:pPr>
            <w:r>
              <w:rPr>
                <w:rFonts w:hint="eastAsia" w:cs="Times New Roman" w:asciiTheme="minorEastAsia" w:hAnsiTheme="minorEastAsia"/>
                <w:sz w:val="21"/>
                <w:szCs w:val="21"/>
                <w:lang w:val="en-US" w:eastAsia="zh-CN"/>
              </w:rPr>
              <w:t>(一)</w:t>
            </w:r>
            <w:r>
              <w:rPr>
                <w:rFonts w:hint="eastAsia" w:cs="Times New Roman" w:asciiTheme="minorEastAsia" w:hAnsiTheme="minorEastAsia"/>
                <w:sz w:val="21"/>
                <w:szCs w:val="21"/>
              </w:rPr>
              <w:t>项目服务期限</w:t>
            </w:r>
          </w:p>
          <w:p w14:paraId="354E3A78">
            <w:pPr>
              <w:keepNext w:val="0"/>
              <w:keepLines w:val="0"/>
              <w:pageBreakBefore w:val="0"/>
              <w:widowControl/>
              <w:tabs>
                <w:tab w:val="left" w:pos="720"/>
              </w:tabs>
              <w:kinsoku/>
              <w:wordWrap/>
              <w:overflowPunct/>
              <w:topLinePunct w:val="0"/>
              <w:autoSpaceDE/>
              <w:autoSpaceDN/>
              <w:bidi w:val="0"/>
              <w:adjustRightInd/>
              <w:snapToGrid/>
              <w:spacing w:line="240" w:lineRule="auto"/>
              <w:ind w:left="0" w:leftChars="0" w:firstLine="0" w:firstLineChars="0"/>
              <w:jc w:val="left"/>
              <w:textAlignment w:val="auto"/>
              <w:rPr>
                <w:rFonts w:hint="eastAsia" w:cs="Times New Roman" w:asciiTheme="minorEastAsia" w:hAnsiTheme="minorEastAsia"/>
                <w:sz w:val="21"/>
                <w:szCs w:val="21"/>
              </w:rPr>
            </w:pPr>
            <w:r>
              <w:rPr>
                <w:rFonts w:hint="eastAsia" w:cs="Times New Roman" w:asciiTheme="minorEastAsia" w:hAnsiTheme="minorEastAsia"/>
                <w:sz w:val="21"/>
                <w:szCs w:val="21"/>
              </w:rPr>
              <w:t>合同签订之日起12个月</w:t>
            </w:r>
            <w:r>
              <w:rPr>
                <w:rFonts w:hint="eastAsia" w:cs="Times New Roman" w:asciiTheme="minorEastAsia" w:hAnsiTheme="minorEastAsia"/>
                <w:sz w:val="21"/>
                <w:szCs w:val="21"/>
                <w:lang w:val="en-US" w:eastAsia="zh-CN"/>
              </w:rPr>
              <w:t>，</w:t>
            </w:r>
            <w:r>
              <w:rPr>
                <w:rFonts w:hint="eastAsia" w:cs="Times New Roman" w:asciiTheme="minorEastAsia" w:hAnsiTheme="minorEastAsia"/>
                <w:sz w:val="21"/>
                <w:szCs w:val="21"/>
                <w:lang w:eastAsia="zh-CN"/>
              </w:rPr>
              <w:t>且要求中标方在前</w:t>
            </w:r>
            <w:r>
              <w:rPr>
                <w:rFonts w:hint="eastAsia" w:cs="Times New Roman" w:asciiTheme="minorEastAsia" w:hAnsiTheme="minorEastAsia"/>
                <w:sz w:val="21"/>
                <w:szCs w:val="21"/>
                <w:lang w:val="en-US" w:eastAsia="zh-CN"/>
              </w:rPr>
              <w:t>2026年5月15日前提交最终的检测结果。</w:t>
            </w:r>
          </w:p>
        </w:tc>
      </w:tr>
      <w:tr w14:paraId="49649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top"/>
          </w:tcPr>
          <w:p w14:paraId="1F9D1EB5">
            <w:pPr>
              <w:adjustRightInd w:val="0"/>
              <w:snapToGrid w:val="0"/>
              <w:spacing w:line="360" w:lineRule="auto"/>
              <w:jc w:val="center"/>
              <w:rPr>
                <w:rFonts w:hint="eastAsia" w:ascii="宋体" w:hAnsi="宋体" w:eastAsia="宋体"/>
                <w:szCs w:val="21"/>
                <w:lang w:val="en-US" w:eastAsia="zh-CN"/>
              </w:rPr>
            </w:pPr>
            <w:r>
              <w:rPr>
                <w:rFonts w:hint="eastAsia" w:ascii="宋体" w:hAnsi="宋体" w:eastAsia="宋体"/>
                <w:szCs w:val="21"/>
                <w:lang w:val="en-US" w:eastAsia="zh-CN"/>
              </w:rPr>
              <w:t>2</w:t>
            </w:r>
          </w:p>
        </w:tc>
        <w:tc>
          <w:tcPr>
            <w:tcW w:w="7483" w:type="dxa"/>
            <w:vAlign w:val="top"/>
          </w:tcPr>
          <w:p w14:paraId="7FBFFC1E">
            <w:pPr>
              <w:keepNext w:val="0"/>
              <w:keepLines w:val="0"/>
              <w:pageBreakBefore w:val="0"/>
              <w:widowControl/>
              <w:tabs>
                <w:tab w:val="left" w:pos="720"/>
              </w:tabs>
              <w:kinsoku/>
              <w:wordWrap/>
              <w:overflowPunct/>
              <w:topLinePunct w:val="0"/>
              <w:autoSpaceDE/>
              <w:autoSpaceDN/>
              <w:bidi w:val="0"/>
              <w:adjustRightInd/>
              <w:snapToGrid/>
              <w:spacing w:line="240" w:lineRule="auto"/>
              <w:ind w:left="0" w:leftChars="0" w:firstLine="0" w:firstLineChars="0"/>
              <w:jc w:val="left"/>
              <w:textAlignment w:val="auto"/>
              <w:rPr>
                <w:rFonts w:hint="eastAsia" w:cs="Times New Roman" w:asciiTheme="minorEastAsia" w:hAnsiTheme="minorEastAsia"/>
                <w:sz w:val="21"/>
                <w:szCs w:val="21"/>
                <w:lang w:val="en-US" w:eastAsia="zh-CN"/>
              </w:rPr>
            </w:pPr>
            <w:r>
              <w:rPr>
                <w:rFonts w:hint="eastAsia" w:cs="Times New Roman" w:asciiTheme="minorEastAsia" w:hAnsiTheme="minorEastAsia"/>
                <w:sz w:val="21"/>
                <w:szCs w:val="21"/>
                <w:lang w:val="en-US" w:eastAsia="zh-CN"/>
              </w:rPr>
              <w:t>（四）付款方式：</w:t>
            </w:r>
          </w:p>
          <w:p w14:paraId="05FA5C49">
            <w:pPr>
              <w:keepNext w:val="0"/>
              <w:keepLines w:val="0"/>
              <w:pageBreakBefore w:val="0"/>
              <w:widowControl/>
              <w:tabs>
                <w:tab w:val="left" w:pos="720"/>
              </w:tabs>
              <w:kinsoku/>
              <w:wordWrap/>
              <w:overflowPunct/>
              <w:topLinePunct w:val="0"/>
              <w:autoSpaceDE/>
              <w:autoSpaceDN/>
              <w:bidi w:val="0"/>
              <w:adjustRightInd/>
              <w:snapToGrid/>
              <w:spacing w:line="240" w:lineRule="auto"/>
              <w:ind w:left="0" w:leftChars="0" w:firstLine="0" w:firstLineChars="0"/>
              <w:jc w:val="left"/>
              <w:textAlignment w:val="auto"/>
              <w:rPr>
                <w:rFonts w:hint="eastAsia" w:cs="Times New Roman" w:asciiTheme="minorEastAsia" w:hAnsiTheme="minorEastAsia"/>
                <w:sz w:val="21"/>
                <w:szCs w:val="21"/>
                <w:lang w:val="en-US" w:eastAsia="zh-CN"/>
              </w:rPr>
            </w:pPr>
            <w:r>
              <w:rPr>
                <w:rFonts w:hint="eastAsia" w:cs="Times New Roman" w:asciiTheme="minorEastAsia" w:hAnsiTheme="minorEastAsia"/>
                <w:sz w:val="21"/>
                <w:szCs w:val="21"/>
                <w:lang w:val="en-US" w:eastAsia="zh-CN"/>
              </w:rPr>
              <w:t>本项目分期支付：</w:t>
            </w:r>
          </w:p>
          <w:p w14:paraId="7CB6ADB0">
            <w:pPr>
              <w:keepNext w:val="0"/>
              <w:keepLines w:val="0"/>
              <w:pageBreakBefore w:val="0"/>
              <w:widowControl/>
              <w:tabs>
                <w:tab w:val="left" w:pos="720"/>
              </w:tabs>
              <w:kinsoku/>
              <w:wordWrap/>
              <w:overflowPunct/>
              <w:topLinePunct w:val="0"/>
              <w:autoSpaceDE/>
              <w:autoSpaceDN/>
              <w:bidi w:val="0"/>
              <w:adjustRightInd/>
              <w:snapToGrid/>
              <w:spacing w:line="240" w:lineRule="auto"/>
              <w:ind w:left="0" w:leftChars="0" w:firstLine="0" w:firstLineChars="0"/>
              <w:jc w:val="left"/>
              <w:textAlignment w:val="auto"/>
              <w:rPr>
                <w:rFonts w:hint="eastAsia" w:cs="Times New Roman" w:asciiTheme="minorEastAsia" w:hAnsiTheme="minorEastAsia"/>
                <w:sz w:val="21"/>
                <w:szCs w:val="21"/>
                <w:lang w:val="en-US" w:eastAsia="zh-CN"/>
              </w:rPr>
            </w:pPr>
            <w:r>
              <w:rPr>
                <w:rFonts w:hint="eastAsia" w:cs="Times New Roman" w:asciiTheme="minorEastAsia" w:hAnsiTheme="minorEastAsia"/>
                <w:sz w:val="21"/>
                <w:szCs w:val="21"/>
                <w:lang w:val="en-US" w:eastAsia="zh-CN"/>
              </w:rPr>
              <w:t>1.合同生效且中标方提交项目组织实施方案后，采购方向中标方支付合同总价的10%；</w:t>
            </w:r>
          </w:p>
          <w:p w14:paraId="0AFD2866">
            <w:pPr>
              <w:keepNext w:val="0"/>
              <w:keepLines w:val="0"/>
              <w:pageBreakBefore w:val="0"/>
              <w:widowControl/>
              <w:tabs>
                <w:tab w:val="left" w:pos="720"/>
              </w:tabs>
              <w:kinsoku/>
              <w:wordWrap/>
              <w:overflowPunct/>
              <w:topLinePunct w:val="0"/>
              <w:autoSpaceDE/>
              <w:autoSpaceDN/>
              <w:bidi w:val="0"/>
              <w:adjustRightInd/>
              <w:snapToGrid/>
              <w:spacing w:line="240" w:lineRule="auto"/>
              <w:ind w:left="0" w:leftChars="0" w:firstLine="0" w:firstLineChars="0"/>
              <w:jc w:val="left"/>
              <w:textAlignment w:val="auto"/>
              <w:rPr>
                <w:rFonts w:hint="eastAsia" w:cs="Times New Roman" w:asciiTheme="minorEastAsia" w:hAnsiTheme="minorEastAsia"/>
                <w:sz w:val="21"/>
                <w:szCs w:val="21"/>
                <w:lang w:val="en-US" w:eastAsia="zh-CN"/>
              </w:rPr>
            </w:pPr>
            <w:r>
              <w:rPr>
                <w:rFonts w:hint="eastAsia" w:cs="Times New Roman" w:asciiTheme="minorEastAsia" w:hAnsiTheme="minorEastAsia"/>
                <w:sz w:val="21"/>
                <w:szCs w:val="21"/>
                <w:lang w:val="en-US" w:eastAsia="zh-CN"/>
              </w:rPr>
              <w:t>2.中标方完成前款A、B、C包所要求检测桥梁长度50%的外业检测工作，结合财政实际预算下达情况，采购方向中标方最高支付至合同总价的40%；</w:t>
            </w:r>
          </w:p>
          <w:p w14:paraId="006DDF46">
            <w:pPr>
              <w:keepNext w:val="0"/>
              <w:keepLines w:val="0"/>
              <w:pageBreakBefore w:val="0"/>
              <w:widowControl/>
              <w:tabs>
                <w:tab w:val="left" w:pos="720"/>
              </w:tabs>
              <w:kinsoku/>
              <w:wordWrap/>
              <w:overflowPunct/>
              <w:topLinePunct w:val="0"/>
              <w:autoSpaceDE/>
              <w:autoSpaceDN/>
              <w:bidi w:val="0"/>
              <w:adjustRightInd/>
              <w:snapToGrid/>
              <w:spacing w:line="240" w:lineRule="auto"/>
              <w:ind w:left="0" w:leftChars="0" w:firstLine="0" w:firstLineChars="0"/>
              <w:jc w:val="left"/>
              <w:textAlignment w:val="auto"/>
              <w:rPr>
                <w:rFonts w:hint="eastAsia" w:cs="Times New Roman" w:asciiTheme="minorEastAsia" w:hAnsiTheme="minorEastAsia"/>
                <w:sz w:val="21"/>
                <w:szCs w:val="21"/>
                <w:lang w:val="en-US" w:eastAsia="zh-CN"/>
              </w:rPr>
            </w:pPr>
            <w:r>
              <w:rPr>
                <w:rFonts w:hint="eastAsia" w:cs="Times New Roman" w:asciiTheme="minorEastAsia" w:hAnsiTheme="minorEastAsia"/>
                <w:sz w:val="21"/>
                <w:szCs w:val="21"/>
                <w:lang w:val="en-US" w:eastAsia="zh-CN"/>
              </w:rPr>
              <w:t>3.中标方完成前款A、B、C包所要求全部检测桥梁长度的外业检测工作，采购方向中标方支付至合同总价的80%；</w:t>
            </w:r>
          </w:p>
          <w:p w14:paraId="77DD61E9">
            <w:pPr>
              <w:keepNext w:val="0"/>
              <w:keepLines w:val="0"/>
              <w:pageBreakBefore w:val="0"/>
              <w:widowControl/>
              <w:tabs>
                <w:tab w:val="left" w:pos="720"/>
              </w:tabs>
              <w:kinsoku/>
              <w:wordWrap/>
              <w:overflowPunct/>
              <w:topLinePunct w:val="0"/>
              <w:autoSpaceDE/>
              <w:autoSpaceDN/>
              <w:bidi w:val="0"/>
              <w:adjustRightInd/>
              <w:snapToGrid/>
              <w:spacing w:line="240" w:lineRule="auto"/>
              <w:ind w:left="0" w:leftChars="0" w:firstLine="0" w:firstLineChars="0"/>
              <w:jc w:val="left"/>
              <w:textAlignment w:val="auto"/>
              <w:rPr>
                <w:rFonts w:hint="eastAsia" w:cs="Times New Roman" w:asciiTheme="minorEastAsia" w:hAnsiTheme="minorEastAsia"/>
                <w:sz w:val="21"/>
                <w:szCs w:val="21"/>
              </w:rPr>
            </w:pPr>
            <w:r>
              <w:rPr>
                <w:rFonts w:hint="eastAsia" w:cs="Times New Roman" w:asciiTheme="minorEastAsia" w:hAnsiTheme="minorEastAsia"/>
                <w:sz w:val="21"/>
                <w:szCs w:val="21"/>
                <w:lang w:val="en-US" w:eastAsia="zh-CN"/>
              </w:rPr>
              <w:t>4.中标方提交项目成果，获采购方组织的专家评审会审查通过，并经第三方结算审核后，剩余合同价款按照审定后的金额一次性付清。如实际检测设施量少于项目要求检测的总设施量的，还须按同等比例核减相应费用。</w:t>
            </w:r>
          </w:p>
        </w:tc>
      </w:tr>
    </w:tbl>
    <w:p w14:paraId="74F546E5">
      <w:pPr>
        <w:rPr>
          <w:sz w:val="21"/>
        </w:rPr>
      </w:pPr>
      <w:r>
        <w:rPr>
          <w:rFonts w:hint="eastAsia"/>
          <w:sz w:val="21"/>
        </w:rPr>
        <w:t>注：上表所列内容为不可负偏离条款，负偏离将视为未实质性满足招标文件要求作投标无效处理。</w:t>
      </w:r>
    </w:p>
    <w:p w14:paraId="5CB16D85">
      <w:pPr>
        <w:pStyle w:val="3"/>
        <w:jc w:val="center"/>
        <w:rPr>
          <w:rFonts w:asciiTheme="minorEastAsia" w:hAnsiTheme="minorEastAsia" w:eastAsiaTheme="minorEastAsia"/>
          <w:szCs w:val="21"/>
        </w:rPr>
      </w:pPr>
      <w:r>
        <w:rPr>
          <w:rFonts w:hint="eastAsia" w:asciiTheme="minorEastAsia" w:hAnsiTheme="minorEastAsia" w:eastAsiaTheme="minorEastAsia"/>
          <w:szCs w:val="21"/>
        </w:rPr>
        <w:t>四、项目服务要求</w:t>
      </w:r>
    </w:p>
    <w:p w14:paraId="490AD1BE">
      <w:pPr>
        <w:keepNext w:val="0"/>
        <w:keepLines w:val="0"/>
        <w:pageBreakBefore w:val="0"/>
        <w:widowControl/>
        <w:kinsoku/>
        <w:wordWrap/>
        <w:overflowPunct/>
        <w:topLinePunct w:val="0"/>
        <w:autoSpaceDE/>
        <w:autoSpaceDN/>
        <w:bidi w:val="0"/>
        <w:adjustRightInd/>
        <w:snapToGrid/>
        <w:outlineLvl w:val="9"/>
        <w:rPr>
          <w:rFonts w:hint="eastAsia" w:ascii="宋体" w:hAnsi="宋体" w:eastAsia="宋体" w:cs="宋体"/>
          <w:b/>
          <w:color w:val="auto"/>
          <w:sz w:val="24"/>
          <w:szCs w:val="24"/>
          <w:lang w:val="en-US" w:eastAsia="zh-CN"/>
        </w:rPr>
      </w:pPr>
      <w:bookmarkStart w:id="35" w:name="_Toc26199253"/>
      <w:r>
        <w:rPr>
          <w:rFonts w:hint="eastAsia" w:ascii="宋体" w:hAnsi="宋体" w:eastAsia="宋体" w:cs="宋体"/>
          <w:b/>
          <w:color w:val="auto"/>
          <w:sz w:val="24"/>
          <w:szCs w:val="24"/>
        </w:rPr>
        <w:t>（一）项目</w:t>
      </w:r>
      <w:bookmarkEnd w:id="35"/>
      <w:bookmarkStart w:id="36" w:name="_Toc26199254"/>
      <w:r>
        <w:rPr>
          <w:rFonts w:hint="eastAsia" w:ascii="宋体" w:hAnsi="宋体" w:eastAsia="宋体" w:cs="宋体"/>
          <w:b/>
          <w:color w:val="auto"/>
          <w:sz w:val="24"/>
          <w:szCs w:val="24"/>
          <w:lang w:val="en-US" w:eastAsia="zh-CN"/>
        </w:rPr>
        <w:t>背景</w:t>
      </w:r>
      <w:bookmarkEnd w:id="36"/>
    </w:p>
    <w:p w14:paraId="33247C91">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本项目包含常规定期检测和结构定期检测两部分。</w:t>
      </w:r>
    </w:p>
    <w:p w14:paraId="675329CC">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《城市桥梁养护技术标准》（CJJ99-2017）中要求城市桥涵常规定期检测应每年一检。因此，本项目对深圳市交通运输局管养的4251座（含深汕管理局）桥涵进行常规定期检测，总长度为503.998km。</w:t>
      </w:r>
    </w:p>
    <w:p w14:paraId="23548A7A">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城市桥梁养护技术标准》（CJJ99-2017）中要求Ⅰ类养护的城市桥涵结构定期检测间隔宜为3~5年，Ⅱ~Ⅴ类养护的城市桥涵结构定期检测间隔宜为6~10年。因此，本项目对深圳市交通运输局管养的578座（可在10%以内调整）代表性桥梁进行结构定期检测（公路桥做承载能力检测评定，下同），检测内容包括桥梁线形、墩柱沉降，材质及退化，结构验算（承载力检算、稳定性验算和刚度验算），河道的淤积、冲刷等现象并记录水位，索杆桥梁的索力测试。</w:t>
      </w:r>
    </w:p>
    <w:p w14:paraId="6A8EE121">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本项目分为A、B、C三个包，覆盖深圳市交通运输局管养的桥涵，并以深圳市交通公用设施管理处最新公布的设施量汇编为准，并包含抽验和复测工作。</w:t>
      </w:r>
    </w:p>
    <w:p w14:paraId="06F10BF2">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A包的项目财政预算限额为6,620,000.00元（陆佰陆拾贰万元整），检测范围包括设施处、福田区、南山区和盐田区共1219座桥涵进行常规定期检测，检测桥梁总长度225.327km，并对156座（可在10%以内调整）桥梁进行结构定期检测。针对检测中发现的技术状况评级为C级（公路3类）及以下桥梁，实行1年检测2次；针对涉下穿施工作业桥涵，在施工作业开始前和完成后，均至少检测一次，需包含对墩台标高、竖直度、桥面线形等可用于表征施工前后桥梁现状数据的测量。此外，还需对上一年度检测发现存在支座病害以及评级在D级（四类）、E级（五类）、不合格级桥梁进行专项检测，鉴定其加固整治的效果。</w:t>
      </w:r>
    </w:p>
    <w:p w14:paraId="77A35E54">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B包的项目财政预算限额为6,480,000.00元（陆佰肆拾捌万元整），检测范围包括罗湖区、宝安区、龙华区、光明区和深汕特别合作区共1879座桥涵进行常规定期检测，检测桥梁总长度175.604km，并对259座（可在10%以内调整）桥梁进行结构定期检测。针对检测中发现的技术状况评级为C级（公路3类）及以下桥梁，实行1年检测2次；针对涉下穿施工作业桥涵，在施工作业开始前和完成后，均至少检测一次，需包含对墩台标高、竖直度、桥面线形等可用于表征施工前后桥梁现状数据的测量。此外，还需对上一年度检测发现存在支座病害以及评级在D级（四类）、E级（五类）、不合格级桥梁（详细清单附后）进行专项检测，鉴定其加固整治的效果。</w:t>
      </w:r>
    </w:p>
    <w:p w14:paraId="572C2035">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C包的项目财政预算限额为4,900,000.00元（肆佰玖拾万元整），检测范围包括龙岗区、坪山区和大鹏新区共1153座桥涵进行常规定期检测，检测桥梁总长度103.067km，并对163座（可在10%以内调整）桥梁进行结构定期检测。针对检测中发现的技术状况评级为C级（公路3类）及以下桥梁，实行1年检测2次；针对涉下穿施工作业桥涵，在施工作业开始前和完成后，均至少检测一次，需包含对墩台标高、竖直度、桥面线形等可用于表征施工前后桥梁现状数据的测量。此外，还需检测中对上一年度检测发现存在支座病害以及评级在D级（四类）、E级（五类）、不合格级桥梁进行专项检测，鉴定其加固整治的效果。负责对A包、B包中标方检测过程的监督检查，同时对A包、B包中标方的检测结果进行复核，复核的桥涵数量和长度不小于交通设施处及辖区管理局管养桥涵数量和长度的10%，包括但不限于对A包、B包的检测结果中所有技术评级为C级（三类）及以下的桥梁进行复核与复测工作。</w:t>
      </w:r>
    </w:p>
    <w:p w14:paraId="312C2F2F">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本项目检测成果应全面反映桥梁技术状况与养护水平，深入分析桥梁存在的病害及隐患的产生原因及目前的发展趋势，提出初步的整治措施，同时检测结果要满足深圳市交通运输局桥梁养护考核制度的有关要求。检测成果需整合到采购方指定的养护管理系统，为编制桥梁的养护计划提供决策依据。</w:t>
      </w:r>
    </w:p>
    <w:p w14:paraId="33D20BB0">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（二）服务要求</w:t>
      </w:r>
    </w:p>
    <w:p w14:paraId="399889B9">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一、项目目标</w:t>
      </w:r>
    </w:p>
    <w:p w14:paraId="6F892DCB">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本项目主要按照《公路桥涵养护规范》（JTG　5120－2021）、《公路桥涵技术状况评定标准》(JTG/T H21-2011)、《城市桥梁养护技术标准》（CJJ99-2017）的有关标准对局管共约4251座（含深汕管理局）桥涵进行常规定期检测，总长度为503.998km。同时对局管578座（可在10%以内调整）代表性桥梁进行结构定期检测，检测内容包括桥梁线型、材质、结构检算、索杆桥梁的索力测试。检测成果应全面、准确反映桥涵目前的技术状态，同时为桥涵养护计划的制订以及养护质量的考核提供技术基础信息。</w:t>
      </w:r>
    </w:p>
    <w:p w14:paraId="0B74B554">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二、项目依据及参考标准</w:t>
      </w:r>
    </w:p>
    <w:p w14:paraId="2212F3FC">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1.《公路桥梁技术状况评定标准》(JTG/T H21-2011)；</w:t>
      </w:r>
    </w:p>
    <w:p w14:paraId="2B9B3DFD">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2.《城市桥梁养护技术标准》（CJJ 99-2017）；</w:t>
      </w:r>
    </w:p>
    <w:p w14:paraId="499DCD58">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3.《公路桥涵养护规范》（JTG 5120－2021）；</w:t>
      </w:r>
    </w:p>
    <w:p w14:paraId="4F6219A7">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4.《公路养护技术标准》(JTG 5110-2023)；</w:t>
      </w:r>
    </w:p>
    <w:p w14:paraId="2D9B9EB5">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5.《城市桥梁检测与评定技术规范》（CJJ/T 233-2015）；</w:t>
      </w:r>
    </w:p>
    <w:p w14:paraId="5D7B62BF">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6.《城市桥梁设计规范》（CJJ 11-2011）（2019年版）；</w:t>
      </w:r>
    </w:p>
    <w:p w14:paraId="034F8DD7">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7.《公路桥梁荷载试验规程》（JTG/T J21-01-2015）；</w:t>
      </w:r>
    </w:p>
    <w:p w14:paraId="6DC5CDC4">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8.《公路桥梁承载能力检测评定规程》（JTG/T J21-2011）；</w:t>
      </w:r>
    </w:p>
    <w:p w14:paraId="4A48917C">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9.《公路桥涵设计通用规范》（JTG D60-2015）；</w:t>
      </w:r>
    </w:p>
    <w:p w14:paraId="18F1BF00">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10.《公路钢筋混凝土及预应力混凝土桥涵设计规范》（JTG 3362-2018）；</w:t>
      </w:r>
    </w:p>
    <w:p w14:paraId="2C1BF03F">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11.《公路养护质量检查评定标准》(JTJ075-94)；</w:t>
      </w:r>
    </w:p>
    <w:p w14:paraId="51808D93">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12.国家和行业现行的其它桥涵工程标准、规范、规程。</w:t>
      </w:r>
    </w:p>
    <w:p w14:paraId="5EC55451">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2.参考标准</w:t>
      </w:r>
    </w:p>
    <w:p w14:paraId="1ACAC737">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1.《“十四五”公路养护管理发展纲要》；</w:t>
      </w:r>
    </w:p>
    <w:p w14:paraId="0BC1BBB2">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2.《交通运输部关于进一步加强公路桥梁养护管理的若干意见》（交公路发[2013]321号）；</w:t>
      </w:r>
    </w:p>
    <w:p w14:paraId="00946A04">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3.《广东省公路桥梁养护管理工作制度实施细则（试行）》。</w:t>
      </w:r>
    </w:p>
    <w:p w14:paraId="6727E87D">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三、项目工作内容</w:t>
      </w:r>
    </w:p>
    <w:p w14:paraId="29752E82">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本项目研究工作至少应包含以下主要内容：</w:t>
      </w:r>
    </w:p>
    <w:p w14:paraId="6100940C">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按桥涵养护管理考核的要求，按照《公路桥涵养护规范》（JTG 5120－2021）、《公路桥梁技术状况评定标准》(JTG/T H21-2011)、《城市桥梁养护技术标准》（CJJ99-2017）的有关标准对局管4251座（含深汕管理局）桥涵进行定期检测，并按照《城市桥梁检测与评定技术规范》（CJJ/T 233-2015）、《城市桥梁设计规范》（CJJ 11-2011）（2019年版）、《公路桥梁荷载试验规程》（JTG/T J21-01-2015）、《公路桥梁承载能力检测评定规程》（JTG/T J21-2011）等相关规范标准对局管代表性桥梁进行结构定期检测，检测内容包括桥梁线形、墩柱沉降，材质及退化，结构验算（承载力检算、稳定性验算和刚度验算），河道的淤积、冲刷等现象并记录水位，索杆桥梁的索力测试。本检测清单参考《2024年度道路设施汇编》制定（清单中如存在桥涵重复，拆除重建以及不符合检测条件等情况，投标单位需对其进行调研核实，根据管养单位意见做相应的处理），并将检测结果录入采购方指定的养护管理系统之中。（该清单以深圳市交通公用设施管理处提供的正式文件为准）</w:t>
      </w:r>
    </w:p>
    <w:p w14:paraId="7E10D413">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1.按照《公路桥涵养护规范》（JTG 5120－2021）、《公路桥梁技术状况评定标准》(JTG/T H21-2011)、《城市桥梁养护技术标准》（CJJ99-2017）的有关技术要求和标准完成本项目所有桥涵的常规定期检查工作，重点检测内容应包括（但不限于）：</w:t>
      </w:r>
    </w:p>
    <w:p w14:paraId="3D54339F">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（1）对采购方指定的养护管理系统的基本信息进行现场校核；</w:t>
      </w:r>
    </w:p>
    <w:p w14:paraId="5CE0AC37">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（2）对桥涵进行技术评估分级；</w:t>
      </w:r>
    </w:p>
    <w:p w14:paraId="54D4C7A3">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3）判断桥涵是否存在异常裂缝、变形以及异常振动的情况，在方案中尤其应重点阐述对独墩单支座桥涵的梁体移位、翘曲以及支座工作状态的检查、对人行天桥异常振动或晃动的检查、拉索的防护、梁桥和拱桥的横向联系的裂缝与变形的检查、匝道高挡土墙墙身裂缝与变形的检查等；</w:t>
      </w:r>
    </w:p>
    <w:p w14:paraId="65EB1A58">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（4）检查已有的桥涵病害是否存在加速发展的情况；</w:t>
      </w:r>
    </w:p>
    <w:p w14:paraId="039A4898">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（5）对新的桥涵病害，分析初步原因，判断是否需要进一步的检测，并提出相应的维修方案和建议；</w:t>
      </w:r>
    </w:p>
    <w:p w14:paraId="7BD18523">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（6）检查桥涵遭受车、船等撞击的情况；</w:t>
      </w:r>
    </w:p>
    <w:p w14:paraId="0BB7B84A">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（7）桥涵排水情况的检查；</w:t>
      </w:r>
    </w:p>
    <w:p w14:paraId="116BA015">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（8）桥涵附属设施的检查；</w:t>
      </w:r>
    </w:p>
    <w:p w14:paraId="39E47E63">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（9）桥涵的防护状况的检查。</w:t>
      </w:r>
    </w:p>
    <w:p w14:paraId="72237808">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10）高架桥、立交桥、跨线桥、跨江河桥，每座桥均需使用桥检车或高空车对每个桥跨的梁（板）腹板与底板、横隔板、支座等进行近距离检测。检测过程须对桥检车或高空车、检测作业人员进行清晰拍照并记录，并需在每座桥的检测报告中体现，且中标人按相关交通主管部门的规定办理占道检测作业手续，保证作业的安全。</w:t>
      </w:r>
    </w:p>
    <w:p w14:paraId="6C1232EE">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2.按照《公路桥涵养护规范》（JTG 5120－2021）、《公路桥梁技术状况评定标准》(JTG/T H21-2011)、《城市桥梁养护技术标准》（CJJ99-2017）的有关技术要求和标准完成本项目桥涵的结构材料特性检测，检测内容应包括（但不限于）：</w:t>
      </w:r>
    </w:p>
    <w:p w14:paraId="6E47BB66">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（1）根据桥涵常规定期检测的结果有针对性地对桥涵关键部位的材料特性、退化程度和退化性质做深入的分析；</w:t>
      </w:r>
    </w:p>
    <w:p w14:paraId="4BEBB2F0">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（2）对桥涵关键部位的裂缝进行宽度、深度的测量，检查其发展情况并判断其对结构的影响；</w:t>
      </w:r>
    </w:p>
    <w:p w14:paraId="29751C4C">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（3）对砼结构钢筋以及钢结构锈蚀的检测，检查其发展情况并判断其对结构的影响；</w:t>
      </w:r>
    </w:p>
    <w:p w14:paraId="6BCDCEA2">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（4）检查结构支座的工作状态；</w:t>
      </w:r>
    </w:p>
    <w:p w14:paraId="7AF831DF">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（5）检测拉索与锚头的锈蚀情况并判断其对结构的影响；</w:t>
      </w:r>
    </w:p>
    <w:p w14:paraId="516BD8E6">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（6）根据检测结果提出维修建议、进一步的检测建议、桥涵限速与限载建议等；</w:t>
      </w:r>
    </w:p>
    <w:p w14:paraId="53DFD5EB">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（7）根据以前的桥涵检查、检测、监测成果，提出合理方案评估桥涵当前桥涵病害发展的趋势。</w:t>
      </w:r>
    </w:p>
    <w:p w14:paraId="03F88995">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3.按照《公路桥梁承载能力检测评定规程》（JTG/T J21-2011）、《城市桥梁检测与评定技术规范》（CJJ/T 233-2015）与相关设计规范的技术要求和标准，对本项目桥梁的重点联跨进行结构定期检测，检测内容包括桥梁线形、墩柱沉降，材质及退化，结构验算（承载力检算、稳定性验算和刚度验算），河道的淤积、冲刷等现象并记录水位，索杆桥梁的索力测试。</w:t>
      </w:r>
    </w:p>
    <w:p w14:paraId="2F62D3DA">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4.对跨越铁路的桥涵，中标方需与铁路部门进行沟通协调，并办理相关施工检测许可等手续后对跨越铁路桥涵进行检测。</w:t>
      </w:r>
    </w:p>
    <w:p w14:paraId="5E65A7B5">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 xml:space="preserve">5.中标方进行检测作业时，需按照相关交通主管部门的规定办理施工占道手续，并做好班组安全技术交底工作，且安全交底方案及要向采购人进行备案。  </w:t>
      </w:r>
    </w:p>
    <w:p w14:paraId="2D6D5E83">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6.其他工作要求</w:t>
      </w:r>
    </w:p>
    <w:p w14:paraId="52004B2D">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桥梁定期检查的中标方在合同服务期内，还应完成以下工作：</w:t>
      </w:r>
    </w:p>
    <w:p w14:paraId="2B54986F">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（1）选派专人配合采购方完成桥梁基础数据核查及档案建立情况检查等工作，必要时驻场服务；</w:t>
      </w:r>
    </w:p>
    <w:p w14:paraId="770DC263">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（2）项目实施期间，按采购方要求提供定期检查数据并配合开展桥梁相关督查考核检查工作；</w:t>
      </w:r>
    </w:p>
    <w:p w14:paraId="65422641">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（3）检测工作完成后，在采购方指定的养护管理系统上完成当年度桥梁数据库的更新、基础数据复核完善及检测结果的上传；</w:t>
      </w:r>
    </w:p>
    <w:p w14:paraId="7BE1800D">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（4）协助提供桥梁养护、质量回溯等相关技术支持服务。</w:t>
      </w:r>
    </w:p>
    <w:p w14:paraId="74920934">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（5）总结近两年检测完好情况并作出比对。</w:t>
      </w:r>
    </w:p>
    <w:p w14:paraId="16465C58">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四、项目技术要求</w:t>
      </w:r>
    </w:p>
    <w:p w14:paraId="19F9D0C8">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1.项目成果要严格依照国家颁布的有关法律、法规及政策要求，符合相关的技术规范和标准；</w:t>
      </w:r>
    </w:p>
    <w:p w14:paraId="30CB1C12">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2.桥涵检测中鼓励使用“四新”技术，提升工作质量和效率；</w:t>
      </w:r>
    </w:p>
    <w:p w14:paraId="278971EE">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3.桥涵检测工作须使用数字化采集手段。</w:t>
      </w:r>
    </w:p>
    <w:p w14:paraId="68295436">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五、项目人员要求</w:t>
      </w:r>
    </w:p>
    <w:p w14:paraId="1822F4E5">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投标人为项目投入的负责人和团队成员，必须为投标文件中的项目人员，其职称、学历、资质、经验等相关情况将作为评分的重要因素，但至少应满足以下条件：</w:t>
      </w:r>
    </w:p>
    <w:p w14:paraId="4F7F360A">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1.拟安排的项目负责人1人，应至少满足具有工程类副高级（或以上）职称和路桥相关专业本科（或以上）学历，且具有交通运输部门颁发的桥梁试验检测工程师或桥梁隧道工程试验检测师资格证书。</w:t>
      </w:r>
    </w:p>
    <w:p w14:paraId="49B7A768">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2.拟安排的项目团队成员不少于16人，均具备桥梁工程专业或桥梁隧道工程专业的试验检测资格证书（试验检测资格证书指试验检测工程师、试验检测师、试验检测员、助理试验检测师）。</w:t>
      </w:r>
    </w:p>
    <w:p w14:paraId="7BF34C1F">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3.中标方不得擅自更换项目负责人和项目团队成员。履约过程中，因客观原因确需更换项目人员的，应取得采购方同意后方可更换。</w:t>
      </w:r>
    </w:p>
    <w:p w14:paraId="6E9F00ED">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4.中标方需在服务期内安排一位专职的工程师负责项目的资料汇总、协调沟通等工作，所安排的专职工程师接受采购方监督管理和随时抽查。</w:t>
      </w:r>
    </w:p>
    <w:p w14:paraId="22B4FFAF">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5.中标方检测过程中，必须严格按照相关法律法规规定的安全文明施工要求做好现场交通疏导以及工程围挡防护措施，确保检测工作人员以及过往行人与行车安全。</w:t>
      </w:r>
    </w:p>
    <w:p w14:paraId="3AF237C7">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六、项目进度要求</w:t>
      </w:r>
    </w:p>
    <w:p w14:paraId="1D5BD440">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本项目合同服务期为自合同签订之日起12个月内完成。</w:t>
      </w:r>
    </w:p>
    <w:p w14:paraId="21E3F1C9">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1.中标方应在签署合同后10个工作日内提交工作方案，采购方将修改意见反馈给中标方后，中标方须依据修改意见认真修改、补充。</w:t>
      </w:r>
    </w:p>
    <w:p w14:paraId="710EB71A">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2.中标方应在于2026年5月15日前提交最终成果，且终成果应获采购方组织的开展项目专家评审审议通过。中标方须依据专家意见认真修改、补充，提交符合合同要求的最终成果。</w:t>
      </w:r>
    </w:p>
    <w:p w14:paraId="4E91E512">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七、项目成果要求</w:t>
      </w:r>
    </w:p>
    <w:p w14:paraId="07380ACA">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检测成果必须达到有关国家现行技术规范的标准，同时满足深圳市交通运输局养护管理考核的需要，至少包括：</w:t>
      </w:r>
    </w:p>
    <w:p w14:paraId="2C30519E">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1.桥涵检测成果</w:t>
      </w:r>
    </w:p>
    <w:p w14:paraId="3654DCBF">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提交的检测结果应包含但不限于以下内容：</w:t>
      </w:r>
    </w:p>
    <w:p w14:paraId="379984AC">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（1）每座桥涵的桥涵卡片和桥涵定期检查数据表（含电子文件）；参考《公路桥梁技术状况评定标准》(JTG/T H21-2011)附录A、《公路桥涵养护规范》（JTG 5120－2021）附录A、附录B、附录C，按采购方的桥涵信息管理系统提供的格式填写。</w:t>
      </w:r>
    </w:p>
    <w:p w14:paraId="5BD3F741">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在每个桥涵检测报告中详细列出所检出的缺损和病害的照片和简要说明。缺损状况的描述应采用专业标准术语，并列表说明缺损的具体部位、类型、性质、范围、数量、程度以及发展情况等，对于存在裂缝的构件需绘制裂缝展开图等。</w:t>
      </w:r>
    </w:p>
    <w:p w14:paraId="4D276B22">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（3）桥涵检测总报告（包含结构定期检测结果，以及特殊结构桥梁索力检测结果等内容）。</w:t>
      </w:r>
    </w:p>
    <w:p w14:paraId="23D3AB77">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4）为便于桥涵精细化养护，中标方在出具每座桥涵的分报告时，应以独立受力结构桥涵为单位出具报告成果。具体划分规则如下：左右幅分离，独立受力结构桥涵，将左右幅分开，按2座桥数量出具报告成果；立交桥中主桥与各匝道桥相互间独立受力，将主桥与各匝道桥拆分，分别计算桥涵数量出具报告成果；匝道桥分叉时，从分叉口鼻端断开，分别计算匝道桥数量出具报告成果。</w:t>
      </w:r>
    </w:p>
    <w:p w14:paraId="3701EDE4">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（5）对合同包内所有的独墩柱梁桥（含曲线梁桥）做专题报告书。</w:t>
      </w:r>
    </w:p>
    <w:p w14:paraId="799289BA">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（6）所有检测成果资料（包括检测总报告、检测分报告、图片等）须上载到采购方指定的养护管理系统。</w:t>
      </w:r>
    </w:p>
    <w:p w14:paraId="19C329AF">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（7）填报每座桥涵资卡片，并录入采购方指定的养护管理系统；协助采购方采集桥涵矢量信息。</w:t>
      </w:r>
    </w:p>
    <w:p w14:paraId="4C3FE9BB">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（8）为按数量要求完成定期检测任务，在定期检测中如发现封闭或施工围挡无法检测的桥涵，服务单位可用采购方新接养的桥涵进行替换以完成检测工作。</w:t>
      </w:r>
    </w:p>
    <w:p w14:paraId="3B00F8E8">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2.桥涵检测分报告应包含以下内容（但不限于）：</w:t>
      </w:r>
    </w:p>
    <w:p w14:paraId="480A70D2">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（1）概述－介绍桥涵的基本情况，目前交通现状，桥涵限载限速情况，历次检测评定结果，大修加固以及改造的情况；</w:t>
      </w:r>
    </w:p>
    <w:p w14:paraId="175E5287">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（2）桥涵的平面、立面以及关键横断面图；</w:t>
      </w:r>
    </w:p>
    <w:p w14:paraId="658D44A4">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（3）桥涵检查结果－对各个部件的病害进行详细的描述并分析病害成因，根据已收集到的桥涵信息对病害的程度以及发展趋势做出合理判断；</w:t>
      </w:r>
    </w:p>
    <w:p w14:paraId="13AB9051">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（4）桥涵技术等级评定－对各个部件进行评定。根据检测结果，《公路桥梁技术状况评定标准》（JTG、H21-2011）、《公路桥涵养护规范》（JTG　5120－2021）、《城市桥梁养护技术标准》（CJJ99-2017）中的相关规定对桥涵的部件及总体技术状态等级等进行评定；</w:t>
      </w:r>
    </w:p>
    <w:p w14:paraId="2363FADF">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（5）有结构定期检测的桥梁，需补充承载力计算过程、结论以及承载力退化的原因、主要病害和处治建议；</w:t>
      </w:r>
    </w:p>
    <w:p w14:paraId="1E0649DF">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（6）结论－根据检查和检测结果作出评定结论；</w:t>
      </w:r>
    </w:p>
    <w:p w14:paraId="7F3B22AA">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（7）建议－根据检查和检测结果，提出病害的养护、维修、加固等处理措施，为下一步的养护维修加固施工提供理论依据；</w:t>
      </w:r>
    </w:p>
    <w:p w14:paraId="70EEBD39">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（8）桥涵检测过程的工作照片（每桥至少四张。注：照片应清楚显示桥涵的全貌及工作人员及工作仪器、平台）；</w:t>
      </w:r>
    </w:p>
    <w:p w14:paraId="711217B4">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（9）对上一年度定期检测评级在D级（四类）、E级（五类）、不合格级桥涵和三危台账桥涵的复查检测内容，并鉴定其加固整治的效果。</w:t>
      </w:r>
    </w:p>
    <w:p w14:paraId="23BF747E">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（10）检查桥涵限高架、限载牌、限速牌、桥铭牌等附属设施的设置情况。</w:t>
      </w:r>
    </w:p>
    <w:p w14:paraId="4D81E550">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（11）纸质版每座桥涵分报告打印3套，桥梁左、右幅可拆分的必须分开出具报告。</w:t>
      </w:r>
    </w:p>
    <w:p w14:paraId="435AC265">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3.桥涵检测总报告应包含以下内容（但不限于）：</w:t>
      </w:r>
    </w:p>
    <w:p w14:paraId="73BBDB35">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（1）项目概况－包括项目简介、本项目桥涵的基本情况；</w:t>
      </w:r>
    </w:p>
    <w:p w14:paraId="325B1F8C">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（2）本项目完成情况；</w:t>
      </w:r>
    </w:p>
    <w:p w14:paraId="40B72A1A">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（3）主要技术评价的统计；</w:t>
      </w:r>
    </w:p>
    <w:p w14:paraId="74D958FD">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（4）本项目检测发现存在严重病害、严重安全隐患的桥涵情况，以及相应的养护、维修、加固等处理措施；</w:t>
      </w:r>
    </w:p>
    <w:p w14:paraId="6B4AAD52">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（5）按照桥涵的常规定期检测的评级情况列表简述桥涵的检测成果（主要内容应包括桥名、桥位、结构形式、跨径组合、技术评级、主要结构病害、维修建议等）；</w:t>
      </w:r>
    </w:p>
    <w:p w14:paraId="01D4C975">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（6）结构定期检测的检测成果（主要内容应包括桥名、桥位、结构形式、跨径组合、技术评级、承载力结论、主要结构病害和承载力退化的原因、维修建议等）；</w:t>
      </w:r>
    </w:p>
    <w:p w14:paraId="59A5818E">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（7）最终提交的报告应附上专家评审意见以及针对有关意见进行的修改完善说明；</w:t>
      </w:r>
    </w:p>
    <w:p w14:paraId="7BA59314">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（8）本项目检测结果一览表；</w:t>
      </w:r>
    </w:p>
    <w:p w14:paraId="216F7AF6">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（9）项目检测结果简本（另行出版）；</w:t>
      </w:r>
    </w:p>
    <w:p w14:paraId="6FC6494C">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4.成果文件材料：</w:t>
      </w:r>
    </w:p>
    <w:p w14:paraId="15D5C8F8">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（1）纸质版每座桥涵分报告打印3套，桥梁左右幅可拆分的必须分开出具报告；</w:t>
      </w:r>
    </w:p>
    <w:p w14:paraId="116203FB">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（2）纸质版深圳桥涵总报告打印15套/各区总报告3套；</w:t>
      </w:r>
    </w:p>
    <w:p w14:paraId="5E4946EE">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（3）电子版报告提供2个移动硬盘（包含分报告、总报告）</w:t>
      </w:r>
    </w:p>
    <w:p w14:paraId="0CBC30EB">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八、场地设备要求</w:t>
      </w:r>
    </w:p>
    <w:p w14:paraId="44186DB2">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投标人为项目投入的设备等相关情况将作为评分的重要因素，但至少应满足以下条件：投标人自有设备必须包含雷达仪、裂缝深度仪、钢筋位置及保护层厚度仪。</w:t>
      </w:r>
    </w:p>
    <w:p w14:paraId="6A965B12">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九、项目验收要求</w:t>
      </w:r>
    </w:p>
    <w:p w14:paraId="4F01550F">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1.验收标准。</w:t>
      </w:r>
    </w:p>
    <w:p w14:paraId="63A65B58">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（1）项目成果严格依照国家颁布的有关法律、法规及政策要求，符合相关的技术规范和标准，符合合同约定的成果内容。</w:t>
      </w:r>
    </w:p>
    <w:p w14:paraId="56809F6F">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（2）提交的报告成果应获得采购方组织的专家评审会审查通过。</w:t>
      </w:r>
    </w:p>
    <w:p w14:paraId="2FD6365E">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（3）项目成果应做到文字流畅、思路清晰、逻辑性强、数据详实可靠、图表规范清晰。</w:t>
      </w:r>
    </w:p>
    <w:p w14:paraId="11F91F11">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（4）项目成果有下列情况之一者无效：提交的成果不符合合同约定的成果内容和格式；未经采购方同意而逾期送达；图片和文字辨认不清、内容不全、粗制滥造；未盖有中标方公章等。</w:t>
      </w:r>
    </w:p>
    <w:p w14:paraId="2E45EB6D">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2.验收内容。</w:t>
      </w:r>
    </w:p>
    <w:p w14:paraId="7CCE90C8">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（1）纸质版每座桥涵分报告打印3套，桥梁左右幅可拆分的必须分开出具报告；</w:t>
      </w:r>
    </w:p>
    <w:p w14:paraId="50AD86F1">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（2）纸质版深圳桥涵总报告打印3套/各区总报告3套；</w:t>
      </w:r>
    </w:p>
    <w:p w14:paraId="4C20ADBD">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（3）电子版报告提供2个移动硬盘（包含分报告、总报告）。</w:t>
      </w:r>
    </w:p>
    <w:p w14:paraId="1CE369B5">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3.验收方法。</w:t>
      </w:r>
    </w:p>
    <w:p w14:paraId="26775112">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当满足以下条件时，采购方向中标方签发验收报告：</w:t>
      </w:r>
    </w:p>
    <w:p w14:paraId="0636DBB0">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（1）中标方已按合同约定提供了全部技术资料。</w:t>
      </w:r>
    </w:p>
    <w:p w14:paraId="18A31626">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（2）服务过程符合合同约定的服务要求。</w:t>
      </w:r>
    </w:p>
    <w:p w14:paraId="5218A8D6">
      <w:pPr>
        <w:keepNext w:val="0"/>
        <w:keepLines w:val="0"/>
        <w:pageBreakBefore w:val="0"/>
        <w:widowControl/>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b/>
          <w:color w:val="auto"/>
          <w:sz w:val="24"/>
          <w:szCs w:val="24"/>
          <w:lang w:val="en-US" w:eastAsia="zh-CN"/>
        </w:rPr>
      </w:pPr>
      <w:r>
        <w:rPr>
          <w:rFonts w:hint="eastAsia" w:ascii="宋体" w:hAnsi="宋体" w:eastAsia="宋体" w:cs="宋体"/>
          <w:b w:val="0"/>
          <w:bCs/>
          <w:color w:val="auto"/>
          <w:sz w:val="24"/>
          <w:szCs w:val="24"/>
          <w:lang w:val="en-US" w:eastAsia="zh-CN"/>
        </w:rPr>
        <w:t>（3）项目成果应获得采购方组织的专家评审会审查通过。</w:t>
      </w:r>
    </w:p>
    <w:p w14:paraId="6D8528C3"/>
    <w:p w14:paraId="71710C90">
      <w:pPr>
        <w:pStyle w:val="3"/>
        <w:jc w:val="center"/>
        <w:rPr>
          <w:rFonts w:asciiTheme="minorEastAsia" w:hAnsiTheme="minorEastAsia" w:eastAsiaTheme="minorEastAsia"/>
          <w:szCs w:val="21"/>
        </w:rPr>
      </w:pPr>
      <w:r>
        <w:rPr>
          <w:rFonts w:hint="eastAsia" w:asciiTheme="minorEastAsia" w:hAnsiTheme="minorEastAsia" w:eastAsiaTheme="minorEastAsia"/>
          <w:szCs w:val="21"/>
        </w:rPr>
        <w:t>五</w:t>
      </w:r>
      <w:r>
        <w:rPr>
          <w:rFonts w:asciiTheme="minorEastAsia" w:hAnsiTheme="minorEastAsia" w:eastAsiaTheme="minorEastAsia"/>
          <w:szCs w:val="21"/>
        </w:rPr>
        <w:t>、</w:t>
      </w:r>
      <w:r>
        <w:rPr>
          <w:rFonts w:hint="eastAsia" w:asciiTheme="minorEastAsia" w:hAnsiTheme="minorEastAsia" w:eastAsiaTheme="minorEastAsia"/>
          <w:szCs w:val="21"/>
        </w:rPr>
        <w:t>项目商务要求</w:t>
      </w:r>
    </w:p>
    <w:p w14:paraId="40600A4F">
      <w:pPr>
        <w:ind w:firstLine="482" w:firstLineChars="200"/>
        <w:rPr>
          <w:rFonts w:ascii="宋体" w:hAnsi="宋体"/>
          <w:b/>
          <w:color w:val="FF0000"/>
          <w:szCs w:val="21"/>
        </w:rPr>
      </w:pPr>
      <w:r>
        <w:rPr>
          <w:rFonts w:hint="eastAsia" w:ascii="宋体" w:hAnsi="宋体" w:eastAsia="宋体" w:cs="宋体"/>
          <w:b/>
          <w:bCs/>
          <w:color w:val="auto"/>
          <w:kern w:val="0"/>
          <w:sz w:val="24"/>
          <w:highlight w:val="none"/>
          <w:lang w:val="en-US" w:eastAsia="zh-CN"/>
        </w:rPr>
        <w:t>★(一)</w:t>
      </w:r>
      <w:r>
        <w:rPr>
          <w:rFonts w:hint="eastAsia" w:ascii="宋体" w:hAnsi="宋体" w:cs="宋体"/>
          <w:b/>
          <w:bCs/>
          <w:color w:val="auto"/>
          <w:kern w:val="0"/>
          <w:sz w:val="24"/>
          <w:highlight w:val="none"/>
        </w:rPr>
        <w:t>项目服务期限</w:t>
      </w:r>
    </w:p>
    <w:p w14:paraId="4A5DA902">
      <w:pPr>
        <w:ind w:firstLine="480" w:firstLineChars="200"/>
        <w:rPr>
          <w:rFonts w:hint="eastAsia" w:ascii="宋体" w:hAnsi="宋体" w:eastAsia="宋体" w:cs="宋体"/>
          <w:color w:val="auto"/>
          <w:sz w:val="24"/>
          <w:szCs w:val="24"/>
          <w:highlight w:val="none"/>
          <w:lang w:val="en-US" w:eastAsia="zh-CN"/>
        </w:rPr>
      </w:pPr>
      <w:r>
        <w:rPr>
          <w:rFonts w:hint="eastAsia" w:ascii="宋体" w:hAnsi="宋体" w:cs="宋体"/>
          <w:color w:val="auto"/>
          <w:kern w:val="0"/>
          <w:sz w:val="24"/>
          <w:highlight w:val="none"/>
        </w:rPr>
        <w:t>合同签订之日起12个月</w:t>
      </w:r>
      <w:r>
        <w:rPr>
          <w:rFonts w:hint="eastAsia" w:ascii="宋体" w:hAnsi="宋体" w:cs="宋体"/>
          <w:color w:val="auto"/>
          <w:sz w:val="24"/>
          <w:highlight w:val="none"/>
          <w:lang w:val="en-US" w:eastAsia="zh-CN"/>
        </w:rPr>
        <w:t>，</w:t>
      </w:r>
      <w:r>
        <w:rPr>
          <w:rFonts w:hint="eastAsia" w:ascii="宋体" w:hAnsi="宋体" w:eastAsia="宋体" w:cs="宋体"/>
          <w:color w:val="auto"/>
          <w:sz w:val="24"/>
          <w:szCs w:val="24"/>
          <w:highlight w:val="none"/>
          <w:lang w:eastAsia="zh-CN"/>
        </w:rPr>
        <w:t>且要求中标方在前</w:t>
      </w:r>
      <w:r>
        <w:rPr>
          <w:rFonts w:hint="eastAsia" w:ascii="宋体" w:hAnsi="宋体" w:eastAsia="宋体" w:cs="宋体"/>
          <w:color w:val="auto"/>
          <w:sz w:val="24"/>
          <w:szCs w:val="24"/>
          <w:highlight w:val="none"/>
          <w:lang w:val="en-US" w:eastAsia="zh-CN"/>
        </w:rPr>
        <w:t>2026年5月15日前提交最终的检测结果。</w:t>
      </w:r>
    </w:p>
    <w:p w14:paraId="00763B6B">
      <w:pPr>
        <w:ind w:firstLine="480" w:firstLineChars="200"/>
        <w:rPr>
          <w:rFonts w:hint="default" w:ascii="宋体" w:hAnsi="宋体" w:eastAsia="宋体" w:cs="宋体"/>
          <w:color w:val="auto"/>
          <w:sz w:val="24"/>
          <w:szCs w:val="24"/>
          <w:highlight w:val="none"/>
          <w:lang w:val="en-US" w:eastAsia="zh-CN"/>
        </w:rPr>
      </w:pPr>
      <w:r>
        <w:rPr>
          <w:rFonts w:hint="eastAsia" w:ascii="宋体" w:hAnsi="宋体" w:cs="宋体"/>
          <w:b/>
          <w:bCs/>
          <w:color w:val="auto"/>
          <w:kern w:val="0"/>
          <w:sz w:val="24"/>
          <w:highlight w:val="none"/>
          <w:lang w:val="en-US" w:eastAsia="zh-CN"/>
        </w:rPr>
        <w:t>（二）</w:t>
      </w:r>
      <w:r>
        <w:rPr>
          <w:rFonts w:hint="eastAsia" w:ascii="宋体" w:hAnsi="宋体" w:cs="宋体"/>
          <w:b/>
          <w:bCs/>
          <w:color w:val="auto"/>
          <w:kern w:val="0"/>
          <w:sz w:val="24"/>
          <w:highlight w:val="none"/>
        </w:rPr>
        <w:t>服务地点：</w:t>
      </w:r>
      <w:r>
        <w:rPr>
          <w:rFonts w:hint="eastAsia" w:ascii="宋体" w:hAnsi="宋体" w:cs="宋体"/>
          <w:color w:val="auto"/>
          <w:kern w:val="0"/>
          <w:sz w:val="24"/>
          <w:highlight w:val="none"/>
        </w:rPr>
        <w:t>深圳市</w:t>
      </w:r>
      <w:r>
        <w:rPr>
          <w:rFonts w:hint="eastAsia" w:ascii="宋体" w:hAnsi="宋体" w:cs="宋体"/>
          <w:color w:val="auto"/>
          <w:kern w:val="0"/>
          <w:sz w:val="24"/>
          <w:highlight w:val="none"/>
          <w:lang w:eastAsia="zh-CN"/>
        </w:rPr>
        <w:t>（含深汕特别合作区）</w:t>
      </w:r>
      <w:r>
        <w:rPr>
          <w:rFonts w:hint="eastAsia" w:ascii="宋体" w:hAnsi="宋体" w:cs="宋体"/>
          <w:color w:val="auto"/>
          <w:kern w:val="0"/>
          <w:sz w:val="24"/>
          <w:highlight w:val="none"/>
        </w:rPr>
        <w:t>。</w:t>
      </w:r>
    </w:p>
    <w:p w14:paraId="76514904">
      <w:pPr>
        <w:ind w:firstLine="480" w:firstLineChars="200"/>
        <w:rPr>
          <w:rFonts w:hint="eastAsia" w:ascii="宋体" w:hAnsi="宋体" w:eastAsia="宋体" w:cs="宋体"/>
          <w:b/>
          <w:bCs/>
          <w:color w:val="auto"/>
          <w:sz w:val="24"/>
          <w:szCs w:val="24"/>
          <w:highlight w:val="none"/>
        </w:rPr>
      </w:pPr>
      <w:r>
        <w:rPr>
          <w:rFonts w:hint="eastAsia" w:ascii="宋体" w:hAnsi="宋体" w:cs="宋体"/>
          <w:b/>
          <w:bCs/>
          <w:color w:val="auto"/>
          <w:kern w:val="0"/>
          <w:sz w:val="24"/>
          <w:highlight w:val="none"/>
          <w:lang w:val="en-US" w:eastAsia="zh-CN"/>
        </w:rPr>
        <w:t>（三）</w:t>
      </w:r>
      <w:r>
        <w:rPr>
          <w:rFonts w:hint="eastAsia" w:ascii="宋体" w:hAnsi="宋体" w:eastAsia="宋体" w:cs="宋体"/>
          <w:b/>
          <w:bCs/>
          <w:color w:val="auto"/>
          <w:sz w:val="24"/>
          <w:szCs w:val="24"/>
          <w:highlight w:val="none"/>
        </w:rPr>
        <w:t>投标报价要求</w:t>
      </w:r>
    </w:p>
    <w:p w14:paraId="5C65E503">
      <w:pPr>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1.本项目投标报价采用包干制，应包括成本、法定税费和相应的利润。应涵盖本项目采购范围和采购文件所列的各项内容中所述的全部。由投标</w:t>
      </w:r>
      <w:r>
        <w:rPr>
          <w:rFonts w:hint="eastAsia" w:ascii="宋体" w:hAnsi="宋体" w:cs="宋体"/>
          <w:color w:val="auto"/>
          <w:kern w:val="0"/>
          <w:sz w:val="24"/>
          <w:highlight w:val="none"/>
          <w:lang w:val="en-US" w:eastAsia="zh-CN"/>
        </w:rPr>
        <w:t>方</w:t>
      </w:r>
      <w:r>
        <w:rPr>
          <w:rFonts w:hint="eastAsia" w:ascii="宋体" w:hAnsi="宋体" w:cs="宋体"/>
          <w:color w:val="auto"/>
          <w:kern w:val="0"/>
          <w:sz w:val="24"/>
          <w:highlight w:val="none"/>
        </w:rPr>
        <w:t>根据采购需求自行测算投标报价，一经中标投标报价即作为</w:t>
      </w:r>
      <w:r>
        <w:rPr>
          <w:rFonts w:hint="eastAsia" w:ascii="宋体" w:hAnsi="宋体" w:cs="宋体"/>
          <w:color w:val="auto"/>
          <w:kern w:val="0"/>
          <w:sz w:val="24"/>
          <w:highlight w:val="none"/>
          <w:lang w:eastAsia="zh-CN"/>
        </w:rPr>
        <w:t>中标方</w:t>
      </w:r>
      <w:r>
        <w:rPr>
          <w:rFonts w:hint="eastAsia" w:ascii="宋体" w:hAnsi="宋体" w:cs="宋体"/>
          <w:color w:val="auto"/>
          <w:kern w:val="0"/>
          <w:sz w:val="24"/>
          <w:highlight w:val="none"/>
        </w:rPr>
        <w:t>与</w:t>
      </w:r>
      <w:r>
        <w:rPr>
          <w:rFonts w:hint="eastAsia" w:ascii="宋体" w:hAnsi="宋体" w:cs="宋体"/>
          <w:color w:val="auto"/>
          <w:kern w:val="0"/>
          <w:sz w:val="24"/>
          <w:highlight w:val="none"/>
          <w:lang w:eastAsia="zh-CN"/>
        </w:rPr>
        <w:t>采购方</w:t>
      </w:r>
      <w:r>
        <w:rPr>
          <w:rFonts w:hint="eastAsia" w:ascii="宋体" w:hAnsi="宋体" w:cs="宋体"/>
          <w:color w:val="auto"/>
          <w:kern w:val="0"/>
          <w:sz w:val="24"/>
          <w:highlight w:val="none"/>
        </w:rPr>
        <w:t>签订的合同金额。</w:t>
      </w:r>
    </w:p>
    <w:p w14:paraId="11D2B1D1">
      <w:pPr>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rPr>
        <w:t>.投标</w:t>
      </w:r>
      <w:r>
        <w:rPr>
          <w:rFonts w:hint="eastAsia" w:ascii="宋体" w:hAnsi="宋体" w:cs="宋体"/>
          <w:color w:val="auto"/>
          <w:kern w:val="0"/>
          <w:sz w:val="24"/>
          <w:highlight w:val="none"/>
          <w:lang w:val="en-US" w:eastAsia="zh-CN"/>
        </w:rPr>
        <w:t>方</w:t>
      </w:r>
      <w:r>
        <w:rPr>
          <w:rFonts w:hint="eastAsia" w:ascii="宋体" w:hAnsi="宋体" w:cs="宋体"/>
          <w:color w:val="auto"/>
          <w:kern w:val="0"/>
          <w:sz w:val="24"/>
          <w:highlight w:val="none"/>
        </w:rPr>
        <w:t>应根据本企业的成本自行决定报价，但不得以低于其企业成本的报价投标；评标时，评标委员会认为投标</w:t>
      </w:r>
      <w:r>
        <w:rPr>
          <w:rFonts w:hint="eastAsia" w:ascii="宋体" w:hAnsi="宋体" w:cs="宋体"/>
          <w:color w:val="auto"/>
          <w:kern w:val="0"/>
          <w:sz w:val="24"/>
          <w:highlight w:val="none"/>
          <w:lang w:val="en-US" w:eastAsia="zh-CN"/>
        </w:rPr>
        <w:t>方</w:t>
      </w:r>
      <w:r>
        <w:rPr>
          <w:rFonts w:hint="eastAsia" w:ascii="宋体" w:hAnsi="宋体" w:cs="宋体"/>
          <w:color w:val="auto"/>
          <w:kern w:val="0"/>
          <w:sz w:val="24"/>
          <w:highlight w:val="none"/>
        </w:rPr>
        <w:t>的报价明显低于其他通过符合性审查投标</w:t>
      </w:r>
      <w:r>
        <w:rPr>
          <w:rFonts w:hint="eastAsia" w:ascii="宋体" w:hAnsi="宋体" w:cs="宋体"/>
          <w:color w:val="auto"/>
          <w:kern w:val="0"/>
          <w:sz w:val="24"/>
          <w:highlight w:val="none"/>
          <w:lang w:val="en-US" w:eastAsia="zh-CN"/>
        </w:rPr>
        <w:t>方</w:t>
      </w:r>
      <w:r>
        <w:rPr>
          <w:rFonts w:hint="eastAsia" w:ascii="宋体" w:hAnsi="宋体" w:cs="宋体"/>
          <w:color w:val="auto"/>
          <w:kern w:val="0"/>
          <w:sz w:val="24"/>
          <w:highlight w:val="none"/>
        </w:rPr>
        <w:t>的报价，有可能影响服务质量或者不能诚信履约的，应当要求其在评标现场合理的时间内提供书面说明，必要时提交相关证明材料；投标</w:t>
      </w:r>
      <w:r>
        <w:rPr>
          <w:rFonts w:hint="eastAsia" w:ascii="宋体" w:hAnsi="宋体" w:cs="宋体"/>
          <w:color w:val="auto"/>
          <w:kern w:val="0"/>
          <w:sz w:val="24"/>
          <w:highlight w:val="none"/>
          <w:lang w:val="en-US" w:eastAsia="zh-CN"/>
        </w:rPr>
        <w:t>方</w:t>
      </w:r>
      <w:r>
        <w:rPr>
          <w:rFonts w:hint="eastAsia" w:ascii="宋体" w:hAnsi="宋体" w:cs="宋体"/>
          <w:color w:val="auto"/>
          <w:kern w:val="0"/>
          <w:sz w:val="24"/>
          <w:highlight w:val="none"/>
        </w:rPr>
        <w:t>不能证明其报价合理性的，评标委员会应当将其作为无效投标处理。若评审委员会成员对是否须由投标</w:t>
      </w:r>
      <w:r>
        <w:rPr>
          <w:rFonts w:hint="eastAsia" w:ascii="宋体" w:hAnsi="宋体" w:cs="宋体"/>
          <w:color w:val="auto"/>
          <w:kern w:val="0"/>
          <w:sz w:val="24"/>
          <w:highlight w:val="none"/>
          <w:lang w:val="en-US" w:eastAsia="zh-CN"/>
        </w:rPr>
        <w:t>方</w:t>
      </w:r>
      <w:r>
        <w:rPr>
          <w:rFonts w:hint="eastAsia" w:ascii="宋体" w:hAnsi="宋体" w:cs="宋体"/>
          <w:color w:val="auto"/>
          <w:kern w:val="0"/>
          <w:sz w:val="24"/>
          <w:highlight w:val="none"/>
        </w:rPr>
        <w:t>作出报价合理性说明，以及书面说明是否采纳等判断不一致的，按照“少数服从多数”的原则确定评审委员会的意见。</w:t>
      </w:r>
    </w:p>
    <w:p w14:paraId="0F822C44">
      <w:pPr>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lang w:val="en-US" w:eastAsia="zh-CN"/>
        </w:rPr>
        <w:t>3</w:t>
      </w:r>
      <w:r>
        <w:rPr>
          <w:rFonts w:hint="eastAsia" w:ascii="宋体" w:hAnsi="宋体" w:cs="宋体"/>
          <w:color w:val="auto"/>
          <w:kern w:val="0"/>
          <w:sz w:val="24"/>
          <w:highlight w:val="none"/>
        </w:rPr>
        <w:t>.投标</w:t>
      </w:r>
      <w:r>
        <w:rPr>
          <w:rFonts w:hint="eastAsia" w:ascii="宋体" w:hAnsi="宋体" w:cs="宋体"/>
          <w:color w:val="auto"/>
          <w:kern w:val="0"/>
          <w:sz w:val="24"/>
          <w:highlight w:val="none"/>
          <w:lang w:val="en-US" w:eastAsia="zh-CN"/>
        </w:rPr>
        <w:t>方</w:t>
      </w:r>
      <w:r>
        <w:rPr>
          <w:rFonts w:hint="eastAsia" w:ascii="宋体" w:hAnsi="宋体" w:cs="宋体"/>
          <w:color w:val="auto"/>
          <w:kern w:val="0"/>
          <w:sz w:val="24"/>
          <w:highlight w:val="none"/>
        </w:rPr>
        <w:t>在投标报价时，应充分考虑投标报价的风险，充分了解项目的位置及任何足以影响投标报价的情况，任何因忽视或误解项目情况而导致的索赔或服务期限延长申请将不获批准。</w:t>
      </w:r>
    </w:p>
    <w:p w14:paraId="7E7DF48A">
      <w:pPr>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lang w:val="en-US" w:eastAsia="zh-CN"/>
        </w:rPr>
        <w:t>4</w:t>
      </w:r>
      <w:r>
        <w:rPr>
          <w:rFonts w:hint="eastAsia" w:ascii="宋体" w:hAnsi="宋体" w:cs="宋体"/>
          <w:color w:val="auto"/>
          <w:kern w:val="0"/>
          <w:sz w:val="24"/>
          <w:highlight w:val="none"/>
        </w:rPr>
        <w:t>.</w:t>
      </w:r>
      <w:r>
        <w:rPr>
          <w:rFonts w:hint="eastAsia" w:ascii="宋体" w:hAnsi="宋体" w:cs="宋体"/>
          <w:color w:val="auto"/>
          <w:kern w:val="0"/>
          <w:sz w:val="24"/>
          <w:highlight w:val="none"/>
          <w:lang w:val="en"/>
        </w:rPr>
        <w:t>投标</w:t>
      </w:r>
      <w:r>
        <w:rPr>
          <w:rFonts w:hint="eastAsia" w:ascii="宋体" w:hAnsi="宋体" w:cs="宋体"/>
          <w:color w:val="auto"/>
          <w:kern w:val="0"/>
          <w:sz w:val="24"/>
          <w:highlight w:val="none"/>
          <w:lang w:val="en-US" w:eastAsia="zh-CN"/>
        </w:rPr>
        <w:t>方</w:t>
      </w:r>
      <w:r>
        <w:rPr>
          <w:rFonts w:hint="eastAsia" w:ascii="宋体" w:hAnsi="宋体" w:cs="宋体"/>
          <w:color w:val="auto"/>
          <w:kern w:val="0"/>
          <w:sz w:val="24"/>
          <w:highlight w:val="none"/>
        </w:rPr>
        <w:t>投标报价可参考《广东省关于交通建设工程现场检测和工程材料试（检）验收问题的复函（粤价函2012-1490）》、《城市规划设计计费指导意见（2004年）》、《工程勘察设计收费标准（2002年修订本）》制定。</w:t>
      </w:r>
    </w:p>
    <w:p w14:paraId="6B784B26">
      <w:pPr>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lang w:val="en-US" w:eastAsia="zh-CN"/>
        </w:rPr>
        <w:t>5</w:t>
      </w:r>
      <w:r>
        <w:rPr>
          <w:rFonts w:hint="eastAsia" w:ascii="宋体" w:hAnsi="宋体" w:cs="宋体"/>
          <w:color w:val="auto"/>
          <w:kern w:val="0"/>
          <w:sz w:val="24"/>
          <w:highlight w:val="none"/>
        </w:rPr>
        <w:t>.</w:t>
      </w:r>
      <w:r>
        <w:rPr>
          <w:rFonts w:hint="eastAsia" w:ascii="宋体" w:hAnsi="宋体" w:cs="宋体"/>
          <w:color w:val="auto"/>
          <w:kern w:val="0"/>
          <w:sz w:val="24"/>
          <w:highlight w:val="none"/>
          <w:lang w:eastAsia="zh-CN"/>
        </w:rPr>
        <w:t>检测桥涵所在地的</w:t>
      </w:r>
      <w:r>
        <w:rPr>
          <w:rFonts w:hint="eastAsia" w:ascii="宋体" w:hAnsi="宋体" w:cs="宋体"/>
          <w:color w:val="auto"/>
          <w:kern w:val="0"/>
          <w:sz w:val="24"/>
          <w:highlight w:val="none"/>
        </w:rPr>
        <w:t>桥涵检测工作存在桥涵分布广、桥型众多、交通繁忙、交通组织实施困难等情况。报价需根据本项目的实际情况、工作要求、实施难度、历年桥涵检测工作结算情况的综合分析，要充分考虑深圳桥检费用单价偏低的实际情况。</w:t>
      </w:r>
    </w:p>
    <w:p w14:paraId="51E2D89A">
      <w:pPr>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lang w:val="en-US" w:eastAsia="zh-CN"/>
        </w:rPr>
        <w:t>6</w:t>
      </w:r>
      <w:r>
        <w:rPr>
          <w:rFonts w:hint="eastAsia" w:ascii="宋体" w:hAnsi="宋体" w:cs="宋体"/>
          <w:color w:val="auto"/>
          <w:kern w:val="0"/>
          <w:sz w:val="24"/>
          <w:highlight w:val="none"/>
        </w:rPr>
        <w:t>.投标</w:t>
      </w:r>
      <w:r>
        <w:rPr>
          <w:rFonts w:hint="eastAsia" w:ascii="宋体" w:hAnsi="宋体" w:cs="宋体"/>
          <w:color w:val="auto"/>
          <w:kern w:val="0"/>
          <w:sz w:val="24"/>
          <w:highlight w:val="none"/>
          <w:lang w:val="en-US" w:eastAsia="zh-CN"/>
        </w:rPr>
        <w:t>方</w:t>
      </w:r>
      <w:r>
        <w:rPr>
          <w:rFonts w:hint="eastAsia" w:ascii="宋体" w:hAnsi="宋体" w:cs="宋体"/>
          <w:color w:val="auto"/>
          <w:kern w:val="0"/>
          <w:sz w:val="24"/>
          <w:highlight w:val="none"/>
        </w:rPr>
        <w:t>在投标报价时应充分考虑在合同履行过程中，因</w:t>
      </w:r>
      <w:r>
        <w:rPr>
          <w:rFonts w:hint="eastAsia" w:ascii="宋体" w:hAnsi="宋体" w:cs="宋体"/>
          <w:color w:val="auto"/>
          <w:kern w:val="0"/>
          <w:sz w:val="24"/>
          <w:highlight w:val="none"/>
          <w:lang w:eastAsia="zh-CN"/>
        </w:rPr>
        <w:t>采购方</w:t>
      </w:r>
      <w:r>
        <w:rPr>
          <w:rFonts w:hint="eastAsia" w:ascii="宋体" w:hAnsi="宋体" w:cs="宋体"/>
          <w:color w:val="auto"/>
          <w:kern w:val="0"/>
          <w:sz w:val="24"/>
          <w:highlight w:val="none"/>
        </w:rPr>
        <w:t>要求完成与本项目相关的工作。为此增加的相关费用</w:t>
      </w:r>
      <w:r>
        <w:rPr>
          <w:rFonts w:hint="eastAsia" w:ascii="宋体" w:hAnsi="宋体" w:cs="宋体"/>
          <w:color w:val="auto"/>
          <w:kern w:val="0"/>
          <w:sz w:val="24"/>
          <w:highlight w:val="none"/>
          <w:lang w:eastAsia="zh-CN"/>
        </w:rPr>
        <w:t>采购方</w:t>
      </w:r>
      <w:r>
        <w:rPr>
          <w:rFonts w:hint="eastAsia" w:ascii="宋体" w:hAnsi="宋体" w:cs="宋体"/>
          <w:color w:val="auto"/>
          <w:kern w:val="0"/>
          <w:sz w:val="24"/>
          <w:highlight w:val="none"/>
        </w:rPr>
        <w:t>将不另行支付。</w:t>
      </w:r>
    </w:p>
    <w:p w14:paraId="5A206B76">
      <w:pPr>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lang w:val="en-US" w:eastAsia="zh-CN"/>
        </w:rPr>
        <w:t>7.投标方在投标报价时应充分考虑在合同履行过程中，对由于自然灾害或突发事件等原因导致服务区域或服务项目清单内桥梁受损的，应按照采购方要求，3小时内应抵达项目地点（深汕特别合作区应6小时内抵达现场），立即对服务区域或服务项目的受损桥梁进行应急检测，24小时内出具应急检测报告，为此增加的相关费用采购人将不另行支付。</w:t>
      </w:r>
    </w:p>
    <w:p w14:paraId="51D04F62">
      <w:pPr>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lang w:val="en-US" w:eastAsia="zh-CN"/>
        </w:rPr>
        <w:t>8.投标方应先到项目地点踏勘以充分了解项目的位置、情况、道路及任何其它足以影响投标报价的情况，任何因忽视或误解项目情况而导致的索赔或服务期限延长申请将不获批准。</w:t>
      </w:r>
    </w:p>
    <w:p w14:paraId="2F3E9364">
      <w:pPr>
        <w:ind w:firstLine="480" w:firstLineChars="200"/>
        <w:rPr>
          <w:rFonts w:hint="eastAsia" w:ascii="宋体" w:hAnsi="宋体" w:eastAsia="宋体" w:cs="宋体"/>
          <w:sz w:val="21"/>
          <w:szCs w:val="21"/>
        </w:rPr>
      </w:pPr>
      <w:r>
        <w:rPr>
          <w:rFonts w:hint="eastAsia" w:ascii="宋体" w:hAnsi="宋体" w:cs="宋体"/>
          <w:color w:val="auto"/>
          <w:kern w:val="0"/>
          <w:sz w:val="24"/>
          <w:highlight w:val="none"/>
          <w:lang w:val="en-US" w:eastAsia="zh-CN"/>
        </w:rPr>
        <w:t>9.在合同签订或实施过程中，采购方有权根据管养要求对合同包内的桥涵清单做适当调整，投标方应当按采购方要求提供服务。实际检测的总设施量（不分等级）超过相应清单所列总设施量</w:t>
      </w:r>
      <w:r>
        <w:rPr>
          <w:rFonts w:hint="eastAsia" w:ascii="宋体" w:hAnsi="宋体" w:cs="宋体"/>
          <w:color w:val="auto"/>
          <w:kern w:val="0"/>
          <w:sz w:val="24"/>
          <w:highlight w:val="none"/>
          <w:lang w:val="en" w:eastAsia="zh-CN"/>
        </w:rPr>
        <w:t>（不分等级，</w:t>
      </w:r>
      <w:r>
        <w:rPr>
          <w:rFonts w:hint="eastAsia" w:ascii="宋体" w:hAnsi="宋体" w:cs="宋体"/>
          <w:color w:val="auto"/>
          <w:kern w:val="0"/>
          <w:sz w:val="24"/>
          <w:highlight w:val="none"/>
          <w:lang w:val="en"/>
        </w:rPr>
        <w:t>正式的检测清单以外业开始时深圳</w:t>
      </w:r>
      <w:r>
        <w:rPr>
          <w:rFonts w:hint="eastAsia" w:ascii="宋体" w:hAnsi="宋体" w:cs="宋体"/>
          <w:color w:val="auto"/>
          <w:kern w:val="0"/>
          <w:sz w:val="24"/>
          <w:highlight w:val="none"/>
          <w:lang w:val="en" w:eastAsia="zh-CN"/>
        </w:rPr>
        <w:t>市</w:t>
      </w:r>
      <w:r>
        <w:rPr>
          <w:rFonts w:hint="eastAsia" w:ascii="宋体" w:hAnsi="宋体" w:cs="宋体"/>
          <w:color w:val="auto"/>
          <w:kern w:val="0"/>
          <w:sz w:val="24"/>
          <w:highlight w:val="none"/>
          <w:lang w:val="en"/>
        </w:rPr>
        <w:t>交通公用设施管理处发布的最新设施量清单为准</w:t>
      </w:r>
      <w:r>
        <w:rPr>
          <w:rFonts w:hint="eastAsia" w:ascii="宋体" w:hAnsi="宋体" w:cs="宋体"/>
          <w:color w:val="auto"/>
          <w:kern w:val="0"/>
          <w:sz w:val="24"/>
          <w:highlight w:val="none"/>
          <w:lang w:val="en" w:eastAsia="zh-CN"/>
        </w:rPr>
        <w:t>）</w:t>
      </w:r>
      <w:r>
        <w:rPr>
          <w:rFonts w:hint="eastAsia" w:ascii="宋体" w:hAnsi="宋体" w:cs="宋体"/>
          <w:color w:val="auto"/>
          <w:kern w:val="0"/>
          <w:sz w:val="24"/>
          <w:highlight w:val="none"/>
          <w:lang w:val="en-US" w:eastAsia="zh-CN"/>
        </w:rPr>
        <w:t>，合同总价不做调整，且合同最终结算价不超过前款约定的合同总价额。如实际检测设施量少于项目要求检测的总设施量的，则在合同总价中同等比例核减相应费用；合同最终结算价以第三方结算审核单价审定金额为准。</w:t>
      </w:r>
    </w:p>
    <w:p w14:paraId="13D9B979">
      <w:pPr>
        <w:numPr>
          <w:ilvl w:val="0"/>
          <w:numId w:val="0"/>
        </w:numPr>
        <w:ind w:firstLine="482" w:firstLineChars="200"/>
        <w:rPr>
          <w:rFonts w:hint="eastAsia" w:ascii="宋体" w:hAnsi="宋体" w:eastAsia="宋体"/>
          <w:b/>
          <w:bCs/>
          <w:lang w:val="en-US" w:eastAsia="zh-CN"/>
        </w:rPr>
      </w:pPr>
      <w:r>
        <w:rPr>
          <w:rFonts w:hint="eastAsia" w:ascii="宋体" w:hAnsi="宋体" w:eastAsia="宋体" w:cs="Times New Roman"/>
          <w:b/>
          <w:bCs/>
          <w:sz w:val="24"/>
          <w:szCs w:val="24"/>
          <w:lang w:val="en-US" w:eastAsia="zh-CN"/>
        </w:rPr>
        <w:t>★（四）</w:t>
      </w:r>
      <w:r>
        <w:rPr>
          <w:rFonts w:hint="eastAsia" w:ascii="宋体" w:hAnsi="宋体" w:eastAsia="宋体"/>
          <w:b/>
          <w:bCs/>
          <w:lang w:val="en-US" w:eastAsia="zh-CN"/>
        </w:rPr>
        <w:t>付款方式：</w:t>
      </w:r>
    </w:p>
    <w:p w14:paraId="67EB880B">
      <w:pPr>
        <w:ind w:firstLine="480" w:firstLineChars="200"/>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本项目分期支付：</w:t>
      </w:r>
    </w:p>
    <w:p w14:paraId="0188FA45">
      <w:pPr>
        <w:ind w:firstLine="480" w:firstLineChars="200"/>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1.合同生效且中标方提交项目组织实施方案后，采购方向中标方支付合同总价的10%；</w:t>
      </w:r>
    </w:p>
    <w:p w14:paraId="30B5DC8D">
      <w:pPr>
        <w:ind w:firstLine="480" w:firstLineChars="200"/>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2.中标方完成前款A、B、C包所要求检测桥梁长度50%的外业检测工作，结合财政实际预算下达情况，采购方向中标方最高支付至合同总价的40%；</w:t>
      </w:r>
    </w:p>
    <w:p w14:paraId="2C1DF90D">
      <w:pPr>
        <w:ind w:firstLine="480" w:firstLineChars="200"/>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3.中标方完成前款A、B、C包所要求全部检测桥梁长度的外业检测工作，采购方向中标方支付至合同总价的80%；</w:t>
      </w:r>
    </w:p>
    <w:p w14:paraId="041EA448">
      <w:pPr>
        <w:ind w:firstLine="480" w:firstLineChars="200"/>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4.中标方提交项目成果，获采购方组织的专家评审会审查通过，并经第三方结算审核后，剩余合同价款按照审定后的金额一次性付清。如实际检测设施量少于项目要求检测的总设施量的，还须按同等比例核减相应费用。</w:t>
      </w:r>
    </w:p>
    <w:p w14:paraId="5656BFAB">
      <w:pPr>
        <w:keepNext w:val="0"/>
        <w:keepLines w:val="0"/>
        <w:pageBreakBefore w:val="0"/>
        <w:kinsoku/>
        <w:wordWrap/>
        <w:overflowPunct/>
        <w:topLinePunct w:val="0"/>
        <w:autoSpaceDE/>
        <w:autoSpaceDN/>
        <w:bidi w:val="0"/>
        <w:adjustRightInd/>
        <w:snapToGrid/>
        <w:spacing w:line="460" w:lineRule="exact"/>
        <w:ind w:firstLine="0" w:firstLineChars="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（五）</w:t>
      </w:r>
      <w:r>
        <w:rPr>
          <w:rFonts w:hint="eastAsia" w:ascii="宋体" w:hAnsi="宋体" w:eastAsia="宋体" w:cs="宋体"/>
          <w:b/>
          <w:color w:val="auto"/>
          <w:sz w:val="24"/>
          <w:szCs w:val="24"/>
          <w:highlight w:val="none"/>
        </w:rPr>
        <w:t>售后服务要求</w:t>
      </w:r>
    </w:p>
    <w:p w14:paraId="182B469F">
      <w:pPr>
        <w:ind w:firstLine="480" w:firstLineChars="200"/>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1.售后服务内容</w:t>
      </w:r>
    </w:p>
    <w:p w14:paraId="074ABFB3">
      <w:pPr>
        <w:ind w:firstLine="480" w:firstLineChars="200"/>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（1）在售后服务期限内对存在安全隐患的桥涵以及需要大修加固的桥涵提供检测方面的技术支持（限于本项目列明的定期检测内容）。</w:t>
      </w:r>
    </w:p>
    <w:p w14:paraId="4D001C35">
      <w:pPr>
        <w:ind w:firstLine="480" w:firstLineChars="200"/>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（2）对技术状况存疑的桥涵进行复核复测与技术状况评定。</w:t>
      </w:r>
    </w:p>
    <w:p w14:paraId="4C8D1C10">
      <w:pPr>
        <w:ind w:firstLine="480" w:firstLineChars="200"/>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（3）根据采购方的工作需要提供本项目相关的统计查询工作。</w:t>
      </w:r>
    </w:p>
    <w:p w14:paraId="776C99C7">
      <w:pPr>
        <w:ind w:firstLine="480" w:firstLineChars="200"/>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（4）协助采购方准备养护例会的汇报材料。</w:t>
      </w:r>
    </w:p>
    <w:p w14:paraId="1A604473">
      <w:pPr>
        <w:ind w:firstLine="480" w:firstLineChars="200"/>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2.售后服务要求</w:t>
      </w:r>
    </w:p>
    <w:p w14:paraId="5BE47788">
      <w:pPr>
        <w:ind w:firstLine="480" w:firstLineChars="200"/>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（1）投标方在投标文件中应提供详细的售后服务承诺书；</w:t>
      </w:r>
    </w:p>
    <w:p w14:paraId="3B38A9AA">
      <w:pPr>
        <w:ind w:firstLine="480" w:firstLineChars="200"/>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（2）安排专人负责售后技术支持，并提供其联系手机、电话、传真、Email；如人员需要调整应及时通知采购方；</w:t>
      </w:r>
    </w:p>
    <w:p w14:paraId="076C7DEB">
      <w:pPr>
        <w:ind w:firstLine="480" w:firstLineChars="200"/>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（3）按采购方要求完成售后服务。</w:t>
      </w:r>
    </w:p>
    <w:p w14:paraId="6C1121FB">
      <w:pPr>
        <w:ind w:firstLine="480" w:firstLineChars="200"/>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3.售后服务期限</w:t>
      </w:r>
    </w:p>
    <w:p w14:paraId="3E3AC84D">
      <w:pPr>
        <w:ind w:firstLine="480" w:firstLineChars="200"/>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本项目最后成果提交采购方后即进入售后服务期，要求由中标方提供1年的技术支持（包含桥涵基础数据统计支持、项目相关的技术答疑、大中修过程中配合病害桥梁整治、应急抢险赴现场配合等免费售后支持）。</w:t>
      </w:r>
    </w:p>
    <w:p w14:paraId="0B96A7B1">
      <w:pPr>
        <w:keepNext w:val="0"/>
        <w:keepLines w:val="0"/>
        <w:pageBreakBefore w:val="0"/>
        <w:numPr>
          <w:ilvl w:val="0"/>
          <w:numId w:val="0"/>
        </w:numPr>
        <w:kinsoku/>
        <w:wordWrap/>
        <w:overflowPunct/>
        <w:topLinePunct w:val="0"/>
        <w:autoSpaceDE/>
        <w:autoSpaceDN/>
        <w:bidi w:val="0"/>
        <w:adjustRightInd/>
        <w:snapToGrid/>
        <w:spacing w:line="460" w:lineRule="exact"/>
        <w:ind w:firstLine="0" w:firstLineChars="0"/>
        <w:jc w:val="left"/>
        <w:textAlignment w:val="auto"/>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rPr>
        <w:t>（六）</w:t>
      </w:r>
      <w:r>
        <w:rPr>
          <w:rFonts w:hint="eastAsia" w:ascii="宋体" w:hAnsi="宋体" w:eastAsia="宋体" w:cs="宋体"/>
          <w:b/>
          <w:bCs w:val="0"/>
          <w:color w:val="auto"/>
          <w:kern w:val="2"/>
          <w:sz w:val="24"/>
          <w:szCs w:val="24"/>
          <w:highlight w:val="none"/>
          <w:lang w:val="en"/>
        </w:rPr>
        <w:t>违约责任</w:t>
      </w:r>
    </w:p>
    <w:p w14:paraId="5D58B020">
      <w:pPr>
        <w:ind w:firstLine="480" w:firstLineChars="200"/>
        <w:rPr>
          <w:rFonts w:hint="eastAsia" w:ascii="宋体" w:hAnsi="宋体" w:cs="宋体"/>
          <w:color w:val="auto"/>
          <w:kern w:val="0"/>
          <w:sz w:val="24"/>
          <w:highlight w:val="none"/>
          <w:lang w:val="en" w:eastAsia="zh-CN"/>
        </w:rPr>
      </w:pPr>
      <w:r>
        <w:rPr>
          <w:rFonts w:hint="eastAsia" w:ascii="宋体" w:hAnsi="宋体" w:cs="宋体"/>
          <w:color w:val="auto"/>
          <w:kern w:val="0"/>
          <w:sz w:val="24"/>
          <w:highlight w:val="none"/>
          <w:lang w:val="en" w:eastAsia="zh-CN"/>
        </w:rPr>
        <w:t>1.中标方逾期提交合同约定的成果或逾期履行合同项下义务，每延误一个工作日，采购方有权向中标方按中标价的</w:t>
      </w:r>
      <w:r>
        <w:rPr>
          <w:rFonts w:hint="eastAsia" w:ascii="宋体" w:hAnsi="宋体" w:cs="宋体"/>
          <w:color w:val="auto"/>
          <w:kern w:val="0"/>
          <w:sz w:val="24"/>
          <w:highlight w:val="none"/>
          <w:lang w:val="en-US" w:eastAsia="zh-CN"/>
        </w:rPr>
        <w:t>1%的标准</w:t>
      </w:r>
      <w:r>
        <w:rPr>
          <w:rFonts w:hint="eastAsia" w:ascii="宋体" w:hAnsi="宋体" w:cs="宋体"/>
          <w:color w:val="auto"/>
          <w:kern w:val="0"/>
          <w:sz w:val="24"/>
          <w:highlight w:val="none"/>
          <w:lang w:val="en" w:eastAsia="zh-CN"/>
        </w:rPr>
        <w:t>收取违约金。逾期</w:t>
      </w:r>
      <w:r>
        <w:rPr>
          <w:rFonts w:hint="eastAsia" w:ascii="宋体" w:hAnsi="宋体" w:cs="宋体"/>
          <w:color w:val="auto"/>
          <w:kern w:val="0"/>
          <w:sz w:val="24"/>
          <w:highlight w:val="none"/>
          <w:lang w:val="en-US" w:eastAsia="zh-CN"/>
        </w:rPr>
        <w:t>20个工作日</w:t>
      </w:r>
      <w:r>
        <w:rPr>
          <w:rFonts w:hint="eastAsia" w:ascii="宋体" w:hAnsi="宋体" w:cs="宋体"/>
          <w:color w:val="auto"/>
          <w:kern w:val="0"/>
          <w:sz w:val="24"/>
          <w:highlight w:val="none"/>
          <w:lang w:val="en" w:eastAsia="zh-CN"/>
        </w:rPr>
        <w:t>，采购方有权解除合同，</w:t>
      </w:r>
      <w:r>
        <w:rPr>
          <w:rFonts w:hint="eastAsia" w:ascii="宋体" w:hAnsi="宋体" w:cs="宋体"/>
          <w:color w:val="auto"/>
          <w:kern w:val="0"/>
          <w:sz w:val="24"/>
          <w:highlight w:val="none"/>
          <w:lang w:val="en-US" w:eastAsia="zh-CN"/>
        </w:rPr>
        <w:t>中标方应无条件交出本项目的一切基础资料及研究成果给采购方，采购方有权另行委托其它单位继续开展此项工作，同时，</w:t>
      </w:r>
      <w:r>
        <w:rPr>
          <w:rFonts w:hint="eastAsia" w:ascii="宋体" w:hAnsi="宋体" w:cs="宋体"/>
          <w:color w:val="auto"/>
          <w:kern w:val="0"/>
          <w:sz w:val="24"/>
          <w:highlight w:val="none"/>
          <w:lang w:val="en" w:eastAsia="zh-CN"/>
        </w:rPr>
        <w:t>采购方有权向中标方按中标价的</w:t>
      </w:r>
      <w:r>
        <w:rPr>
          <w:rFonts w:hint="eastAsia" w:ascii="宋体" w:hAnsi="宋体" w:cs="宋体"/>
          <w:color w:val="auto"/>
          <w:kern w:val="0"/>
          <w:sz w:val="24"/>
          <w:highlight w:val="none"/>
          <w:lang w:val="en-US" w:eastAsia="zh-CN"/>
        </w:rPr>
        <w:t>20%的标准</w:t>
      </w:r>
      <w:r>
        <w:rPr>
          <w:rFonts w:hint="eastAsia" w:ascii="宋体" w:hAnsi="宋体" w:cs="宋体"/>
          <w:color w:val="auto"/>
          <w:kern w:val="0"/>
          <w:sz w:val="24"/>
          <w:highlight w:val="none"/>
          <w:lang w:val="en" w:eastAsia="zh-CN"/>
        </w:rPr>
        <w:t>收取违约金。</w:t>
      </w:r>
    </w:p>
    <w:p w14:paraId="3E5948DF">
      <w:pPr>
        <w:ind w:firstLine="480" w:firstLineChars="200"/>
        <w:rPr>
          <w:rFonts w:hint="eastAsia" w:ascii="宋体" w:hAnsi="宋体" w:cs="宋体"/>
          <w:color w:val="auto"/>
          <w:kern w:val="0"/>
          <w:sz w:val="24"/>
          <w:highlight w:val="none"/>
          <w:lang w:val="en" w:eastAsia="zh-CN"/>
        </w:rPr>
      </w:pPr>
      <w:r>
        <w:rPr>
          <w:rFonts w:hint="eastAsia" w:ascii="宋体" w:hAnsi="宋体" w:cs="宋体"/>
          <w:color w:val="auto"/>
          <w:kern w:val="0"/>
          <w:sz w:val="24"/>
          <w:highlight w:val="none"/>
          <w:lang w:val="en" w:eastAsia="zh-CN"/>
        </w:rPr>
        <w:t>2.中标方提供的成果不能通过采购方任一阶段审查或验收的，采购方有权解除合同，中标方应向采购方支付相当于合同中标价20%的违约金，并有权另行委托其它单位继续开展此项工作。如采购方同意中标方继续履行合同的，中标方应向采购方支付合同中标价5%的违约金，并在</w:t>
      </w:r>
      <w:r>
        <w:rPr>
          <w:rFonts w:hint="eastAsia" w:ascii="宋体" w:hAnsi="宋体" w:cs="宋体"/>
          <w:color w:val="auto"/>
          <w:kern w:val="0"/>
          <w:sz w:val="24"/>
          <w:highlight w:val="none"/>
          <w:lang w:val="en-US" w:eastAsia="zh-CN"/>
        </w:rPr>
        <w:t>约定</w:t>
      </w:r>
      <w:r>
        <w:rPr>
          <w:rFonts w:hint="eastAsia" w:ascii="宋体" w:hAnsi="宋体" w:cs="宋体"/>
          <w:color w:val="auto"/>
          <w:kern w:val="0"/>
          <w:sz w:val="24"/>
          <w:highlight w:val="none"/>
          <w:lang w:val="en" w:eastAsia="zh-CN"/>
        </w:rPr>
        <w:t>工作日内完成修改完善工作，</w:t>
      </w:r>
      <w:r>
        <w:rPr>
          <w:rFonts w:hint="eastAsia" w:ascii="宋体" w:hAnsi="宋体" w:cs="宋体"/>
          <w:color w:val="auto"/>
          <w:kern w:val="0"/>
          <w:sz w:val="24"/>
          <w:highlight w:val="none"/>
          <w:lang w:val="en-US" w:eastAsia="zh-CN"/>
        </w:rPr>
        <w:t>未如期</w:t>
      </w:r>
      <w:r>
        <w:rPr>
          <w:rFonts w:hint="eastAsia" w:ascii="宋体" w:hAnsi="宋体" w:cs="宋体"/>
          <w:color w:val="auto"/>
          <w:kern w:val="0"/>
          <w:sz w:val="24"/>
          <w:highlight w:val="none"/>
          <w:lang w:val="en" w:eastAsia="zh-CN"/>
        </w:rPr>
        <w:t>完成修善并通过采购方审核的，采购方仍有权解除合同，中标方应向采购方支付相当于合同中标价20%的违约金。</w:t>
      </w:r>
    </w:p>
    <w:p w14:paraId="127F55A2">
      <w:pPr>
        <w:ind w:firstLine="480" w:firstLineChars="200"/>
        <w:rPr>
          <w:rFonts w:hint="eastAsia" w:ascii="宋体" w:hAnsi="宋体" w:cs="宋体"/>
          <w:color w:val="auto"/>
          <w:kern w:val="0"/>
          <w:sz w:val="24"/>
          <w:highlight w:val="none"/>
          <w:lang w:val="en" w:eastAsia="zh-CN"/>
        </w:rPr>
      </w:pPr>
      <w:r>
        <w:rPr>
          <w:rFonts w:hint="eastAsia" w:ascii="宋体" w:hAnsi="宋体" w:cs="宋体"/>
          <w:color w:val="auto"/>
          <w:kern w:val="0"/>
          <w:sz w:val="24"/>
          <w:highlight w:val="none"/>
          <w:lang w:val="en" w:eastAsia="zh-CN"/>
        </w:rPr>
        <w:t>3.中标方不得随意更换项目负责人，如需更换须征得采购方同意，即使同意更换后，中标方应按10万元/项目负责人的标准向采购方支付违约金，若涉及《深圳市人民政府印发关于建设工程招标投标改革若干规定的通知》（深府〔2015〕73号）第五十四条相关规定的情形，不追究相应违约责任。</w:t>
      </w:r>
    </w:p>
    <w:p w14:paraId="6389597D">
      <w:pPr>
        <w:ind w:firstLine="480" w:firstLineChars="200"/>
        <w:rPr>
          <w:rFonts w:hint="eastAsia" w:ascii="宋体" w:hAnsi="宋体" w:cs="宋体"/>
          <w:color w:val="auto"/>
          <w:kern w:val="0"/>
          <w:sz w:val="24"/>
          <w:highlight w:val="none"/>
          <w:lang w:val="en" w:eastAsia="zh-CN"/>
        </w:rPr>
      </w:pPr>
      <w:r>
        <w:rPr>
          <w:rFonts w:hint="eastAsia" w:ascii="宋体" w:hAnsi="宋体" w:cs="宋体"/>
          <w:color w:val="auto"/>
          <w:kern w:val="0"/>
          <w:sz w:val="24"/>
          <w:highlight w:val="none"/>
          <w:lang w:val="en-US" w:eastAsia="zh-CN"/>
        </w:rPr>
        <w:t>4</w:t>
      </w:r>
      <w:r>
        <w:rPr>
          <w:rFonts w:hint="eastAsia" w:ascii="宋体" w:hAnsi="宋体" w:cs="宋体"/>
          <w:color w:val="auto"/>
          <w:kern w:val="0"/>
          <w:sz w:val="24"/>
          <w:highlight w:val="none"/>
          <w:lang w:val="en" w:eastAsia="zh-CN"/>
        </w:rPr>
        <w:t>.中标方未按照合同约定提供咨询、现场服务及售后服务的，每发生一起，应当向采购方支付合同中标价</w:t>
      </w:r>
      <w:r>
        <w:rPr>
          <w:rFonts w:hint="eastAsia" w:ascii="宋体" w:hAnsi="宋体" w:cs="宋体"/>
          <w:color w:val="auto"/>
          <w:kern w:val="0"/>
          <w:sz w:val="24"/>
          <w:highlight w:val="none"/>
          <w:lang w:val="en-US" w:eastAsia="zh-CN"/>
        </w:rPr>
        <w:t>5</w:t>
      </w:r>
      <w:r>
        <w:rPr>
          <w:rFonts w:hint="eastAsia" w:ascii="宋体" w:hAnsi="宋体" w:cs="宋体"/>
          <w:color w:val="auto"/>
          <w:kern w:val="0"/>
          <w:sz w:val="24"/>
          <w:highlight w:val="none"/>
          <w:lang w:val="en" w:eastAsia="zh-CN"/>
        </w:rPr>
        <w:t>%的违约金，且采购方有权寻求第三方提供服务，因此发生的费用由中标方予以承担。</w:t>
      </w:r>
    </w:p>
    <w:p w14:paraId="2670BAA3">
      <w:pPr>
        <w:ind w:firstLine="480" w:firstLineChars="200"/>
        <w:rPr>
          <w:rFonts w:hint="eastAsia" w:ascii="宋体" w:hAnsi="宋体" w:cs="宋体"/>
          <w:color w:val="auto"/>
          <w:kern w:val="0"/>
          <w:sz w:val="24"/>
          <w:highlight w:val="none"/>
          <w:lang w:val="en" w:eastAsia="zh-CN"/>
        </w:rPr>
      </w:pPr>
      <w:r>
        <w:rPr>
          <w:rFonts w:hint="eastAsia" w:ascii="宋体" w:hAnsi="宋体" w:cs="宋体"/>
          <w:color w:val="auto"/>
          <w:kern w:val="0"/>
          <w:sz w:val="24"/>
          <w:highlight w:val="none"/>
          <w:lang w:val="en-US" w:eastAsia="zh-CN"/>
        </w:rPr>
        <w:t>5</w:t>
      </w:r>
      <w:r>
        <w:rPr>
          <w:rFonts w:hint="eastAsia" w:ascii="宋体" w:hAnsi="宋体" w:cs="宋体"/>
          <w:color w:val="auto"/>
          <w:kern w:val="0"/>
          <w:sz w:val="24"/>
          <w:highlight w:val="none"/>
          <w:lang w:val="en" w:eastAsia="zh-CN"/>
        </w:rPr>
        <w:t>.中标方须保证所</w:t>
      </w:r>
      <w:r>
        <w:rPr>
          <w:rFonts w:hint="eastAsia" w:ascii="宋体" w:hAnsi="宋体" w:cs="宋体"/>
          <w:color w:val="auto"/>
          <w:kern w:val="0"/>
          <w:sz w:val="24"/>
          <w:highlight w:val="none"/>
          <w:lang w:val="en-US" w:eastAsia="zh-CN"/>
        </w:rPr>
        <w:t>检测</w:t>
      </w:r>
      <w:r>
        <w:rPr>
          <w:rFonts w:hint="eastAsia" w:ascii="宋体" w:hAnsi="宋体" w:cs="宋体"/>
          <w:color w:val="auto"/>
          <w:kern w:val="0"/>
          <w:sz w:val="24"/>
          <w:highlight w:val="none"/>
          <w:lang w:val="en" w:eastAsia="zh-CN"/>
        </w:rPr>
        <w:t>和统计的信息和数据真实反映客观情况，不存在抄袭、弄虚作假或其他不诚信行为,中标方经调研形成的相关数据、报告及建议应当真实、准确、合理、可行，如中标方调查统计的信息、数据和资料不真实、不准确、辨认不清、内容不全、粗制滥造或者存在抄袭现象的，采购方有权解除合同，中标方应向采购方支付相当于合同中标价20%的违约金。造成不良影响或引起其他后果的，中标方还应承担消除影响、赔偿损失等一切法律责任。</w:t>
      </w:r>
    </w:p>
    <w:p w14:paraId="43CF1261">
      <w:pPr>
        <w:ind w:firstLine="480" w:firstLineChars="200"/>
        <w:rPr>
          <w:rFonts w:hint="default"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6.中标方不得将采购方委托完成的任何工作转包，且未经采购方书面同意，不得将采购方委托完成的任何工作分包给任何第三人，否则采购方有权解除合同，中标方应向</w:t>
      </w:r>
      <w:r>
        <w:rPr>
          <w:rFonts w:hint="eastAsia" w:ascii="宋体" w:hAnsi="宋体" w:cs="宋体"/>
          <w:color w:val="auto"/>
          <w:kern w:val="0"/>
          <w:sz w:val="24"/>
          <w:highlight w:val="none"/>
          <w:lang w:val="en" w:eastAsia="zh-CN"/>
        </w:rPr>
        <w:t>采购方支付相当于合同中标价20%的违约金。</w:t>
      </w:r>
    </w:p>
    <w:p w14:paraId="021B7995">
      <w:pPr>
        <w:ind w:firstLine="480" w:firstLineChars="200"/>
        <w:rPr>
          <w:rFonts w:hint="eastAsia" w:ascii="宋体" w:hAnsi="宋体" w:cs="宋体"/>
          <w:color w:val="auto"/>
          <w:kern w:val="0"/>
          <w:sz w:val="24"/>
          <w:highlight w:val="none"/>
          <w:lang w:val="en" w:eastAsia="zh-CN"/>
        </w:rPr>
      </w:pPr>
      <w:r>
        <w:rPr>
          <w:rFonts w:hint="eastAsia" w:ascii="宋体" w:hAnsi="宋体" w:cs="宋体"/>
          <w:color w:val="auto"/>
          <w:kern w:val="0"/>
          <w:sz w:val="24"/>
          <w:highlight w:val="none"/>
          <w:lang w:val="en-US" w:eastAsia="zh-CN"/>
        </w:rPr>
        <w:t>7</w:t>
      </w:r>
      <w:r>
        <w:rPr>
          <w:rFonts w:hint="eastAsia" w:ascii="宋体" w:hAnsi="宋体" w:cs="宋体"/>
          <w:color w:val="auto"/>
          <w:kern w:val="0"/>
          <w:sz w:val="24"/>
          <w:highlight w:val="none"/>
          <w:lang w:val="en" w:eastAsia="zh-CN"/>
        </w:rPr>
        <w:t>.没有发生法律或者合同约定的合同解除事项，中标方解除合同的，应返还采购方已支付费用与实际工作量的差值（若实际工作量大于已支付费用，采购方无需向中标方予以补偿），除此之外，还应支付采购方合同中标价20%的违约金。本条款不视为赋予中标方单方解除合同的权利。因政策变化、规划调整、机构改革、履职要求、产权变更、形势变更以及公共利益需要等原因，采购方不需要中标方继续提供服务的，经采购方提前10天通知中标方，采购方有权解除合同，这不视为采购方违约。采购方应按照中标方实际完成的合格工作量支付服务价款，此外采购方无需向中标方承担任何赔偿、补偿责任。</w:t>
      </w:r>
    </w:p>
    <w:p w14:paraId="0D48794F">
      <w:pPr>
        <w:ind w:firstLine="480" w:firstLineChars="200"/>
        <w:rPr>
          <w:rFonts w:hint="default"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8.</w:t>
      </w:r>
      <w:r>
        <w:rPr>
          <w:rFonts w:hint="eastAsia" w:ascii="宋体" w:hAnsi="宋体" w:cs="宋体"/>
          <w:color w:val="auto"/>
          <w:kern w:val="0"/>
          <w:sz w:val="24"/>
          <w:highlight w:val="none"/>
          <w:lang w:val="en" w:eastAsia="zh-CN"/>
        </w:rPr>
        <w:t>在服务期内，中标方应具有履行合同的相应资质并安排具有相应履行资质的人员向采购方提供服务，否则采购方有权解除合同，中标方应向采购方支付相当于合同中标价20%的违约金。</w:t>
      </w:r>
    </w:p>
    <w:p w14:paraId="03A2B6E7">
      <w:pPr>
        <w:ind w:firstLine="480" w:firstLineChars="200"/>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9.除合同对违约责任另有约定外，中标方有任何违反合同约定的行为的，采购方有权要求中标方改正和补救，并按照合同中标价5%每次的标准计扣违约金。中标方拒不改正、未改正至采购方满意或累计3次（含本数）出现违约行为的，采购方有权解除合同，中标方应向采购方支付相当于合同中标价20%的违约金。</w:t>
      </w:r>
    </w:p>
    <w:p w14:paraId="6099875C">
      <w:pPr>
        <w:ind w:firstLine="480" w:firstLineChars="200"/>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10.中标方违反合同，给采购方造成的损失超过违约金的，还应承担补足责任。</w:t>
      </w:r>
    </w:p>
    <w:p w14:paraId="4030A99A">
      <w:pPr>
        <w:ind w:firstLine="480" w:firstLineChars="200"/>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11.中标方投入的项目成员需按投标文件进行履约，采购方如发现项目成员未按要求执行，第一次查实，中标方按1万元/人次标准向采购方支付违约金；第二次查实，中标方按2万元/人次标准向采购方支付违约金；第三次查实或项目成员单次或累计更换达到50%及以上，采购方有权单方面解除合同并作为不良履约情形，中标方还应承担合同价款总金额的20%的违约金。</w:t>
      </w:r>
    </w:p>
    <w:p w14:paraId="4B7C9D17">
      <w:pPr>
        <w:ind w:firstLine="480" w:firstLineChars="200"/>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12.为加强项目例会与采购方组织的其他会议管理，要求项目负责人正常履约和出席相关会议，并要求亲自汇报。如第一次无故缺席，中标方按1万/次标准向采购方支付违约金；第二次查实，中标方按2万/次标准向采购方支付违约金；第三次查实，采购方有权单方面解除合同并作为不良履约情形，中标方还应承担合同价款总金额的 20%的违约金。</w:t>
      </w:r>
    </w:p>
    <w:p w14:paraId="76D1908E">
      <w:pPr>
        <w:ind w:firstLine="480" w:firstLineChars="200"/>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13.中标方检测过程中，必须严格按照国家的有关法律法规的安全文明施工，做好现场交通疏导及有限空间作业安全防范工作，确保检测工作人员以及过往行人及行车安全。如被采购方或相关管理部门抽查发现未落实安全文明施工要求的，第一次中标方向采购方支付违约金1万元，第二次中标方向采购方支付违约金2万元，第三次采购方有权单方面解除合同并作为不良履约情形，且中标方承担合同价款总金的额20%的违约金。并且因中标方原因导致发生事故的，由中标方承担所有的人身、财产损失。</w:t>
      </w:r>
    </w:p>
    <w:p w14:paraId="7AEDEAFE">
      <w:pPr>
        <w:ind w:firstLine="480" w:firstLineChars="200"/>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14.中标方将加强对检测质量和成果的管理。当检测单位完成检测后，若存在未发现桥涵病害的情形，将根据病害的危害程度对其进行分级处罚。对于一般病害，遗漏一处病害予以中标价的1‰处罚；对于影响桥涵运行安全的重点病害，予以检测单位中标价20%的违约金处罚，造成不良影响或引起其他后果的，检测单位还需承担消除影响、赔偿损失等一切法律责任。</w:t>
      </w:r>
    </w:p>
    <w:p w14:paraId="289E0E1A">
      <w:pPr>
        <w:ind w:firstLine="480" w:firstLineChars="200"/>
        <w:rPr>
          <w:rFonts w:hint="eastAsia" w:ascii="宋体" w:hAnsi="宋体" w:cs="宋体"/>
          <w:color w:val="auto"/>
          <w:kern w:val="0"/>
          <w:sz w:val="24"/>
          <w:highlight w:val="none"/>
          <w:lang w:val="en" w:eastAsia="zh-CN"/>
        </w:rPr>
      </w:pPr>
      <w:r>
        <w:rPr>
          <w:rFonts w:hint="eastAsia" w:ascii="宋体" w:hAnsi="宋体" w:cs="宋体"/>
          <w:color w:val="auto"/>
          <w:kern w:val="0"/>
          <w:sz w:val="24"/>
          <w:highlight w:val="none"/>
          <w:lang w:val="en-US" w:eastAsia="zh-CN"/>
        </w:rPr>
        <w:t>15</w:t>
      </w:r>
      <w:r>
        <w:rPr>
          <w:rFonts w:hint="eastAsia" w:ascii="宋体" w:hAnsi="宋体" w:cs="宋体"/>
          <w:color w:val="auto"/>
          <w:kern w:val="0"/>
          <w:sz w:val="24"/>
          <w:highlight w:val="none"/>
          <w:lang w:val="en" w:eastAsia="zh-CN"/>
        </w:rPr>
        <w:t>.中标方投入的项目负责人、项目组成员及辅助检测人员都需穿戴安全帽、安全绳、反光衣（如进入特殊空间作业，需携带国家有关安全施工标准所需的有关设备），如发现未按要求执行，第一次查实，中标方按 1</w:t>
      </w:r>
      <w:r>
        <w:rPr>
          <w:rFonts w:hint="eastAsia" w:ascii="宋体" w:hAnsi="宋体" w:cs="宋体"/>
          <w:color w:val="auto"/>
          <w:kern w:val="0"/>
          <w:sz w:val="24"/>
          <w:highlight w:val="none"/>
          <w:lang w:val="en-US" w:eastAsia="zh-CN"/>
        </w:rPr>
        <w:t>万</w:t>
      </w:r>
      <w:r>
        <w:rPr>
          <w:rFonts w:hint="eastAsia" w:ascii="宋体" w:hAnsi="宋体" w:cs="宋体"/>
          <w:color w:val="auto"/>
          <w:kern w:val="0"/>
          <w:sz w:val="24"/>
          <w:highlight w:val="none"/>
          <w:lang w:val="en" w:eastAsia="zh-CN"/>
        </w:rPr>
        <w:t>元/人次标准向采购方支付违约金；第二次查实，中标方按 2</w:t>
      </w:r>
      <w:r>
        <w:rPr>
          <w:rFonts w:hint="eastAsia" w:ascii="宋体" w:hAnsi="宋体" w:cs="宋体"/>
          <w:color w:val="auto"/>
          <w:kern w:val="0"/>
          <w:sz w:val="24"/>
          <w:highlight w:val="none"/>
          <w:lang w:val="en-US" w:eastAsia="zh-CN"/>
        </w:rPr>
        <w:t>万</w:t>
      </w:r>
      <w:r>
        <w:rPr>
          <w:rFonts w:hint="eastAsia" w:ascii="宋体" w:hAnsi="宋体" w:cs="宋体"/>
          <w:color w:val="auto"/>
          <w:kern w:val="0"/>
          <w:sz w:val="24"/>
          <w:highlight w:val="none"/>
          <w:lang w:val="en" w:eastAsia="zh-CN"/>
        </w:rPr>
        <w:t>元/人次标准向采购方支付违约金；第三次查实，中标方按 5</w:t>
      </w:r>
      <w:r>
        <w:rPr>
          <w:rFonts w:hint="eastAsia" w:ascii="宋体" w:hAnsi="宋体" w:cs="宋体"/>
          <w:color w:val="auto"/>
          <w:kern w:val="0"/>
          <w:sz w:val="24"/>
          <w:highlight w:val="none"/>
          <w:lang w:val="en-US" w:eastAsia="zh-CN"/>
        </w:rPr>
        <w:t>万</w:t>
      </w:r>
      <w:r>
        <w:rPr>
          <w:rFonts w:hint="eastAsia" w:ascii="宋体" w:hAnsi="宋体" w:cs="宋体"/>
          <w:color w:val="auto"/>
          <w:kern w:val="0"/>
          <w:sz w:val="24"/>
          <w:highlight w:val="none"/>
          <w:lang w:val="en" w:eastAsia="zh-CN"/>
        </w:rPr>
        <w:t>元/人次标准向采购方支付违约金；第四次采购方有权单方面解除合同并作为不良履约情形，且中标方承担合同价款总金额的20%的违约金。</w:t>
      </w:r>
    </w:p>
    <w:p w14:paraId="76CFCA68">
      <w:pPr>
        <w:ind w:firstLine="480" w:firstLineChars="200"/>
        <w:rPr>
          <w:rFonts w:hint="eastAsia" w:ascii="宋体" w:hAnsi="宋体" w:cs="宋体"/>
          <w:kern w:val="0"/>
          <w:sz w:val="24"/>
        </w:rPr>
      </w:pPr>
      <w:r>
        <w:rPr>
          <w:rFonts w:hint="eastAsia" w:ascii="宋体" w:hAnsi="宋体" w:cs="宋体"/>
          <w:color w:val="auto"/>
          <w:kern w:val="0"/>
          <w:sz w:val="24"/>
          <w:highlight w:val="none"/>
          <w:lang w:val="en-US" w:eastAsia="zh-CN"/>
        </w:rPr>
        <w:t>16.</w:t>
      </w:r>
      <w:r>
        <w:rPr>
          <w:rFonts w:hint="eastAsia" w:ascii="宋体" w:hAnsi="宋体" w:cs="宋体"/>
          <w:color w:val="auto"/>
          <w:kern w:val="0"/>
          <w:sz w:val="24"/>
          <w:highlight w:val="none"/>
          <w:lang w:val="en" w:eastAsia="zh-CN"/>
        </w:rPr>
        <w:t>若中标方在合同履行过程中发生事故，导致人员伤亡或财产损失，因中标方采用安全保障措施不足、操作规范不当和质量标准不严以及疏忽、过错或故意行为等原因导致的，中标方应承担由此产生的全部法律责任和经济赔偿责任。</w:t>
      </w:r>
    </w:p>
    <w:p w14:paraId="25E279D1">
      <w:pPr>
        <w:keepNext w:val="0"/>
        <w:keepLines w:val="0"/>
        <w:pageBreakBefore w:val="0"/>
        <w:kinsoku/>
        <w:wordWrap/>
        <w:overflowPunct/>
        <w:topLinePunct w:val="0"/>
        <w:autoSpaceDE/>
        <w:autoSpaceDN/>
        <w:bidi w:val="0"/>
        <w:adjustRightInd/>
        <w:snapToGrid/>
        <w:spacing w:line="460" w:lineRule="exact"/>
        <w:ind w:firstLine="0" w:firstLineChars="0"/>
        <w:jc w:val="left"/>
        <w:textAlignment w:val="auto"/>
        <w:rPr>
          <w:rFonts w:hint="eastAsia" w:ascii="宋体" w:hAnsi="宋体" w:eastAsia="宋体" w:cs="宋体"/>
          <w:b/>
          <w:bCs/>
          <w:color w:val="auto"/>
          <w:kern w:val="0"/>
          <w:sz w:val="24"/>
          <w:szCs w:val="24"/>
          <w:highlight w:val="none"/>
          <w:lang w:val="en"/>
        </w:rPr>
      </w:pPr>
      <w:r>
        <w:rPr>
          <w:rFonts w:hint="eastAsia" w:ascii="宋体" w:hAnsi="宋体" w:eastAsia="宋体" w:cs="宋体"/>
          <w:b/>
          <w:bCs/>
          <w:color w:val="auto"/>
          <w:kern w:val="0"/>
          <w:sz w:val="24"/>
          <w:szCs w:val="24"/>
          <w:highlight w:val="none"/>
          <w:lang w:val="en" w:eastAsia="zh-CN"/>
        </w:rPr>
        <w:t>（七）</w:t>
      </w:r>
      <w:r>
        <w:rPr>
          <w:rFonts w:hint="eastAsia" w:ascii="宋体" w:hAnsi="宋体" w:eastAsia="宋体" w:cs="宋体"/>
          <w:b/>
          <w:bCs/>
          <w:color w:val="auto"/>
          <w:kern w:val="0"/>
          <w:sz w:val="24"/>
          <w:szCs w:val="24"/>
          <w:highlight w:val="none"/>
          <w:lang w:val="en"/>
        </w:rPr>
        <w:t>项目其他要求</w:t>
      </w:r>
    </w:p>
    <w:p w14:paraId="5BF1DEBA">
      <w:pPr>
        <w:ind w:firstLine="480" w:firstLineChars="200"/>
        <w:rPr>
          <w:rFonts w:hint="eastAsia" w:ascii="宋体" w:hAnsi="宋体" w:cs="宋体"/>
          <w:color w:val="auto"/>
          <w:kern w:val="0"/>
          <w:sz w:val="24"/>
          <w:highlight w:val="none"/>
          <w:lang w:val="en" w:eastAsia="zh-CN"/>
        </w:rPr>
      </w:pPr>
      <w:r>
        <w:rPr>
          <w:rFonts w:hint="eastAsia" w:ascii="宋体" w:hAnsi="宋体" w:cs="宋体"/>
          <w:color w:val="auto"/>
          <w:kern w:val="0"/>
          <w:sz w:val="24"/>
          <w:highlight w:val="none"/>
          <w:lang w:val="en" w:eastAsia="zh-CN"/>
        </w:rPr>
        <w:t>1.投标</w:t>
      </w:r>
      <w:r>
        <w:rPr>
          <w:rFonts w:hint="eastAsia" w:ascii="宋体" w:hAnsi="宋体" w:cs="宋体"/>
          <w:color w:val="auto"/>
          <w:kern w:val="0"/>
          <w:sz w:val="24"/>
          <w:highlight w:val="none"/>
          <w:lang w:val="en-US" w:eastAsia="zh-CN"/>
        </w:rPr>
        <w:t>方</w:t>
      </w:r>
      <w:r>
        <w:rPr>
          <w:rFonts w:hint="eastAsia" w:ascii="宋体" w:hAnsi="宋体" w:cs="宋体"/>
          <w:color w:val="auto"/>
          <w:kern w:val="0"/>
          <w:sz w:val="24"/>
          <w:highlight w:val="none"/>
          <w:lang w:val="en" w:eastAsia="zh-CN"/>
        </w:rPr>
        <w:t>应确保投标文件信息真实、有效。</w:t>
      </w:r>
    </w:p>
    <w:p w14:paraId="3C4C0262">
      <w:pPr>
        <w:ind w:firstLine="480" w:firstLineChars="200"/>
        <w:rPr>
          <w:rFonts w:hint="eastAsia" w:ascii="宋体" w:hAnsi="宋体" w:cs="宋体"/>
          <w:color w:val="auto"/>
          <w:kern w:val="0"/>
          <w:sz w:val="24"/>
          <w:highlight w:val="none"/>
          <w:lang w:val="en" w:eastAsia="zh-CN"/>
        </w:rPr>
      </w:pPr>
      <w:r>
        <w:rPr>
          <w:rFonts w:hint="eastAsia" w:ascii="宋体" w:hAnsi="宋体" w:cs="宋体"/>
          <w:color w:val="auto"/>
          <w:kern w:val="0"/>
          <w:sz w:val="24"/>
          <w:highlight w:val="none"/>
          <w:lang w:val="en" w:eastAsia="zh-CN"/>
        </w:rPr>
        <w:t>2.本项目实施所需相关资料及评价标准等均需由投标</w:t>
      </w:r>
      <w:r>
        <w:rPr>
          <w:rFonts w:hint="eastAsia" w:ascii="宋体" w:hAnsi="宋体" w:cs="宋体"/>
          <w:color w:val="auto"/>
          <w:kern w:val="0"/>
          <w:sz w:val="24"/>
          <w:highlight w:val="none"/>
          <w:lang w:val="en-US" w:eastAsia="zh-CN"/>
        </w:rPr>
        <w:t>方</w:t>
      </w:r>
      <w:r>
        <w:rPr>
          <w:rFonts w:hint="eastAsia" w:ascii="宋体" w:hAnsi="宋体" w:cs="宋体"/>
          <w:color w:val="auto"/>
          <w:kern w:val="0"/>
          <w:sz w:val="24"/>
          <w:highlight w:val="none"/>
          <w:lang w:val="en" w:eastAsia="zh-CN"/>
        </w:rPr>
        <w:t>自行收集，投标</w:t>
      </w:r>
      <w:r>
        <w:rPr>
          <w:rFonts w:hint="eastAsia" w:ascii="宋体" w:hAnsi="宋体" w:cs="宋体"/>
          <w:color w:val="auto"/>
          <w:kern w:val="0"/>
          <w:sz w:val="24"/>
          <w:highlight w:val="none"/>
          <w:lang w:val="en-US" w:eastAsia="zh-CN"/>
        </w:rPr>
        <w:t>方</w:t>
      </w:r>
      <w:r>
        <w:rPr>
          <w:rFonts w:hint="eastAsia" w:ascii="宋体" w:hAnsi="宋体" w:cs="宋体"/>
          <w:color w:val="auto"/>
          <w:kern w:val="0"/>
          <w:sz w:val="24"/>
          <w:highlight w:val="none"/>
          <w:lang w:val="en" w:eastAsia="zh-CN"/>
        </w:rPr>
        <w:t>使用的标准必须是国际公认或国家、地方政府颁布的同等或更高的标准。</w:t>
      </w:r>
    </w:p>
    <w:p w14:paraId="63E1175D">
      <w:pPr>
        <w:ind w:firstLine="480" w:firstLineChars="200"/>
        <w:rPr>
          <w:rFonts w:hint="eastAsia" w:ascii="宋体" w:hAnsi="宋体" w:cs="宋体"/>
          <w:color w:val="auto"/>
          <w:kern w:val="0"/>
          <w:sz w:val="24"/>
          <w:highlight w:val="none"/>
          <w:lang w:val="en" w:eastAsia="zh-CN"/>
        </w:rPr>
      </w:pPr>
      <w:r>
        <w:rPr>
          <w:rFonts w:hint="eastAsia" w:ascii="宋体" w:hAnsi="宋体" w:cs="宋体"/>
          <w:color w:val="auto"/>
          <w:kern w:val="0"/>
          <w:sz w:val="24"/>
          <w:highlight w:val="none"/>
          <w:lang w:val="en" w:eastAsia="zh-CN"/>
        </w:rPr>
        <w:t>3.本次提交的成果应在方案图纸和文本上标注承接单位名称、项目人员名单。</w:t>
      </w:r>
    </w:p>
    <w:p w14:paraId="4AA353F2">
      <w:pPr>
        <w:ind w:firstLine="480" w:firstLineChars="200"/>
        <w:rPr>
          <w:rFonts w:hint="eastAsia" w:ascii="宋体" w:hAnsi="宋体" w:cs="宋体"/>
          <w:color w:val="auto"/>
          <w:kern w:val="0"/>
          <w:sz w:val="24"/>
          <w:highlight w:val="none"/>
          <w:lang w:val="en" w:eastAsia="zh-CN"/>
        </w:rPr>
      </w:pPr>
      <w:r>
        <w:rPr>
          <w:rFonts w:hint="eastAsia" w:ascii="宋体" w:hAnsi="宋体" w:cs="宋体"/>
          <w:color w:val="auto"/>
          <w:kern w:val="0"/>
          <w:sz w:val="24"/>
          <w:highlight w:val="none"/>
          <w:lang w:val="en" w:eastAsia="zh-CN"/>
        </w:rPr>
        <w:t>4.采购方有权在审批后公开展示本次成果，并通过传播媒介、专业杂志、书刊或其它形式介绍、展示及评价其成果。</w:t>
      </w:r>
    </w:p>
    <w:p w14:paraId="10C08279">
      <w:pPr>
        <w:ind w:firstLine="480" w:firstLineChars="200"/>
        <w:rPr>
          <w:rFonts w:hint="eastAsia" w:ascii="宋体" w:hAnsi="宋体" w:cs="宋体"/>
          <w:color w:val="auto"/>
          <w:kern w:val="0"/>
          <w:sz w:val="24"/>
          <w:highlight w:val="none"/>
          <w:lang w:val="en" w:eastAsia="zh-CN"/>
        </w:rPr>
      </w:pPr>
      <w:r>
        <w:rPr>
          <w:rFonts w:hint="eastAsia" w:ascii="宋体" w:hAnsi="宋体" w:cs="宋体"/>
          <w:color w:val="auto"/>
          <w:kern w:val="0"/>
          <w:sz w:val="24"/>
          <w:highlight w:val="none"/>
          <w:lang w:val="en" w:eastAsia="zh-CN"/>
        </w:rPr>
        <w:t>5.采购方有权根据实际需要对成果进行综合优化、调整和修改。</w:t>
      </w:r>
    </w:p>
    <w:p w14:paraId="2FEFACDC">
      <w:pPr>
        <w:ind w:firstLine="480" w:firstLineChars="200"/>
        <w:rPr>
          <w:rFonts w:hint="eastAsia" w:ascii="宋体" w:hAnsi="宋体" w:cs="宋体"/>
          <w:color w:val="auto"/>
          <w:kern w:val="0"/>
          <w:sz w:val="24"/>
          <w:highlight w:val="none"/>
          <w:lang w:val="en" w:eastAsia="zh-CN"/>
        </w:rPr>
      </w:pPr>
      <w:r>
        <w:rPr>
          <w:rFonts w:hint="eastAsia" w:ascii="宋体" w:hAnsi="宋体" w:cs="宋体"/>
          <w:color w:val="auto"/>
          <w:kern w:val="0"/>
          <w:sz w:val="24"/>
          <w:highlight w:val="none"/>
          <w:lang w:val="en" w:eastAsia="zh-CN"/>
        </w:rPr>
        <w:t>6.中标方不得以任何名义分包本项目工作中的主体工作内容。</w:t>
      </w:r>
    </w:p>
    <w:p w14:paraId="3EFF67A2">
      <w:pPr>
        <w:ind w:firstLine="480" w:firstLineChars="200"/>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7.检测成果有下列情况之一者无效：提交的成果不符合招标文件规定的成果内容和格式；未经采购单位同意而逾期送达；有关经济技术指标严重不实；图纸和文字辨认不清、内容不全、粗制滥造；未盖有中标方公章。</w:t>
      </w:r>
    </w:p>
    <w:p w14:paraId="6487BEF9">
      <w:pPr>
        <w:ind w:firstLine="480" w:firstLineChars="200"/>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8.中标方应当做好安全、人员、质量、进度等方面的工作，需符合采购方、合同和国家的法律法规的要求；具体要求，合同另行规定。</w:t>
      </w:r>
    </w:p>
    <w:p w14:paraId="6B6727DD">
      <w:pPr>
        <w:ind w:firstLine="480" w:firstLineChars="200"/>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9.中标方必须对整个项目的数据与内容严格保密，在合同期间不得向第三方泄露。未经采购方同意不得将成果发布网上。</w:t>
      </w:r>
    </w:p>
    <w:p w14:paraId="74E7267E">
      <w:pPr>
        <w:ind w:firstLine="480" w:firstLineChars="200"/>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10.本项目采购工作完成后，由市交通运输局交通设施处及各辖区管理局等桥梁实际养护监管单位作为共同甲方分别与对应区域中标方签订合同并组织开展检测工作，相关合同金额由交通设施处根据辖区待检桥梁座数、长度等予以确定。其中，辖区管理局负责按合同组织检测单位开展辖区内设施的检测工作并对其进行管理，具体工作包括项目的实施、进度与质量监督、检测结果的验收及归档等，并根据检测进度对支付款项进行签字确认。交通设施处负责组织抽查，根据辖区管理局确认的支付款项支付检测费用；依据辖区管理局的考核结果以及监督抽查情况对检测单位的履约情况进行评价，建立检测单位信用评价体系。</w:t>
      </w:r>
    </w:p>
    <w:p w14:paraId="759A64AD">
      <w:pPr>
        <w:ind w:firstLine="480" w:firstLineChars="200"/>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11.A包作为项目统筹单位，总体负责项目检测成果资料档案按照采购方单位的档案管理制度进行移交。A、B、C包各自都按照采购方单位的档案管理制度完成检测成果资料的归档工作。</w:t>
      </w:r>
    </w:p>
    <w:p w14:paraId="16985B6C">
      <w:pPr>
        <w:ind w:firstLine="480" w:firstLineChars="200"/>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12.投标原则：本项目将根据综合评分法，选择出优秀的专业供应商承担本项目任务。本项目共分为编号为A、B、C3个包，投标方可以选择投其中1个包或多个包，1个包需要独立制作1份投标文件，并按所投包号进行上传投标文件。</w:t>
      </w:r>
    </w:p>
    <w:p w14:paraId="1F79B10C">
      <w:pPr>
        <w:ind w:firstLine="480" w:firstLineChars="200"/>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13.中标原则：本项目按A-B-C顺序分包进行评审，每个包均取排名第一名者为该包的候选中标供应商。各投标方可同时对多个包号进行投标，但最多只能中一个包，当某一投标方已在某个包号中综合得分排名第一时，则该投标方不得参与下一个包号评审（在符合性审查中将做不通过处理）。</w:t>
      </w:r>
    </w:p>
    <w:p w14:paraId="028C3E15">
      <w:pPr>
        <w:ind w:firstLine="480" w:firstLineChars="200"/>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14.所有包号有效投标方均必须达到法定数量（三家或以上），有效投标方未达到法定数量的包组作废标处理。</w:t>
      </w:r>
    </w:p>
    <w:p w14:paraId="36CBEE09">
      <w:pPr>
        <w:ind w:firstLine="480" w:firstLineChars="200"/>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15.举例：甲单位同时投标三个包（A、B、C），且通过综合评分，在A包评审中综合得分排名第一时，不能再参与B、C包的评审。</w:t>
      </w:r>
    </w:p>
    <w:p w14:paraId="1AAB38A1">
      <w:pPr>
        <w:ind w:firstLine="480" w:firstLineChars="200"/>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16.为避免出现不同包组之间的“交叉感染”，如其中某一个包因质疑投诉或其他原因导致出现中标结果发生变化的情况，相关情况不影响其它包的招标投标程序及定标结果。</w:t>
      </w:r>
    </w:p>
    <w:p w14:paraId="1AFBC13C">
      <w:pPr>
        <w:ind w:firstLine="480" w:firstLineChars="200"/>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17.包中标方协助采购方按照《道路交通设施养护工作考核办法》进行检测结果的统计汇总。</w:t>
      </w:r>
    </w:p>
    <w:p w14:paraId="233BBF53">
      <w:pPr>
        <w:ind w:firstLine="480" w:firstLineChars="200"/>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18.中标方必须具有开展项目所需的交通疏解方案设计和交通疏解组织能力；若在项目实施过程中出现交通安全事故以及其它工程事故，中标方应自行承担相应责任并赔偿全部费用。</w:t>
      </w:r>
    </w:p>
    <w:p w14:paraId="390B4375">
      <w:pPr>
        <w:ind w:firstLine="480" w:firstLineChars="200"/>
        <w:rPr>
          <w:rFonts w:hint="default"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19.项目检测成果资料档案按照采购方的档案管理制度进行移交。</w:t>
      </w:r>
    </w:p>
    <w:p w14:paraId="36E5ADE7"/>
    <w:p w14:paraId="4E659700">
      <w:pPr>
        <w:pStyle w:val="3"/>
        <w:jc w:val="center"/>
        <w:rPr>
          <w:rFonts w:asciiTheme="minorEastAsia" w:hAnsiTheme="minorEastAsia" w:eastAsiaTheme="minorEastAsia"/>
          <w:szCs w:val="21"/>
        </w:rPr>
      </w:pPr>
      <w:r>
        <w:rPr>
          <w:rFonts w:hint="eastAsia" w:asciiTheme="minorEastAsia" w:hAnsiTheme="minorEastAsia" w:eastAsiaTheme="minorEastAsia"/>
          <w:szCs w:val="21"/>
        </w:rPr>
        <w:t>六、其他重要条款</w:t>
      </w:r>
    </w:p>
    <w:p w14:paraId="5937D80D">
      <w:pPr>
        <w:ind w:firstLine="480" w:firstLineChars="200"/>
        <w:rPr>
          <w:rFonts w:hint="eastAsia" w:ascii="宋体" w:hAnsi="宋体" w:cs="宋体"/>
          <w:color w:val="auto"/>
          <w:kern w:val="0"/>
          <w:sz w:val="24"/>
          <w:highlight w:val="none"/>
          <w:lang w:val="en-US" w:eastAsia="zh-CN"/>
        </w:rPr>
      </w:pPr>
      <w:bookmarkStart w:id="37" w:name="_Hlk72257111"/>
      <w:r>
        <w:rPr>
          <w:rFonts w:hint="eastAsia" w:ascii="宋体" w:hAnsi="宋体" w:cs="宋体"/>
          <w:color w:val="auto"/>
          <w:kern w:val="0"/>
          <w:sz w:val="24"/>
          <w:highlight w:val="none"/>
          <w:lang w:val="en-US" w:eastAsia="zh-CN"/>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4FE2BB6C">
      <w:pPr>
        <w:ind w:firstLine="480" w:firstLineChars="200"/>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2、投标人应充分了解项目的位置、情况、道路及任何其它足以影响投标报价的情况，任何因忽视或误解项目情况而导致的索赔或服务期限延长申请将不获批准。</w:t>
      </w:r>
    </w:p>
    <w:p w14:paraId="794376A4">
      <w:pPr>
        <w:ind w:firstLine="480" w:firstLineChars="200"/>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3、投标人不得期望通过索赔等方式获取补偿，否则，除可能遭到拒绝外，还可能将被作为不良行为记录在案，并可能影响其以后参加政府采购的项目投标。各投标人在投标报价时，应充分考虑投标报价的风险。</w:t>
      </w:r>
    </w:p>
    <w:p w14:paraId="43039C7F">
      <w:pPr>
        <w:ind w:firstLine="480" w:firstLineChars="200"/>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4、鼓励采购人积极运用公共信用信息，明确对信用记录良好的供应商（特别是中小微企业）免收履约保证金，确需收取履约保证金的，列明通过保函等非现金方式收取。在采购合同中明确对上述企业加大首付款或预付款比例，具体由采购人根据项目实际情况确定。</w:t>
      </w:r>
    </w:p>
    <w:p w14:paraId="4CAD0BDA">
      <w:pPr>
        <w:ind w:firstLine="480" w:firstLineChars="200"/>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5、除政府采购合同继续履行将损害国家利益和社会公共利益外，双方当事人不得擅自变更、中止或者终止合同。</w:t>
      </w:r>
    </w:p>
    <w:p w14:paraId="1DD7C6FD">
      <w:pPr>
        <w:ind w:firstLine="480" w:firstLineChars="200"/>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6、“信用中国”、“中国政府采购网”、“深圳信用网”以及“深圳市政府采购监管网”为供应商信用信息的查询渠道，相关信息以开标当日的查询结果为准。</w:t>
      </w:r>
      <w:bookmarkEnd w:id="37"/>
    </w:p>
    <w:bookmarkEnd w:id="34"/>
    <w:p w14:paraId="6F59219F">
      <w:pPr>
        <w:pStyle w:val="6"/>
        <w:spacing w:before="60" w:beforeLines="25" w:after="60" w:afterLines="25"/>
        <w:ind w:firstLine="0"/>
        <w:rPr>
          <w:rFonts w:asciiTheme="minorEastAsia" w:hAnsiTheme="minorEastAsia"/>
          <w:sz w:val="21"/>
          <w:szCs w:val="21"/>
        </w:rPr>
      </w:pPr>
      <w:r>
        <w:rPr>
          <w:rFonts w:asciiTheme="minorEastAsia" w:hAnsiTheme="minorEastAsia"/>
          <w:sz w:val="21"/>
          <w:szCs w:val="21"/>
        </w:rPr>
        <w:br w:type="page"/>
      </w:r>
    </w:p>
    <w:p w14:paraId="1A171FC9">
      <w:pPr>
        <w:pStyle w:val="5"/>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第四章 投标文件组成要求及格式</w:t>
      </w:r>
    </w:p>
    <w:p w14:paraId="519DBCE2">
      <w:pPr>
        <w:spacing w:line="360" w:lineRule="auto"/>
        <w:rPr>
          <w:rStyle w:val="31"/>
          <w:rFonts w:ascii="宋体" w:hAnsi="宋体" w:eastAsia="宋体" w:cs="宋体"/>
          <w:b/>
          <w:bCs w:val="0"/>
          <w:color w:val="000000" w:themeColor="text1"/>
          <w:sz w:val="24"/>
          <w14:textFill>
            <w14:solidFill>
              <w14:schemeClr w14:val="tx1"/>
            </w14:solidFill>
          </w14:textFill>
        </w:rPr>
      </w:pPr>
      <w:r>
        <w:rPr>
          <w:rStyle w:val="31"/>
          <w:rFonts w:hint="eastAsia" w:ascii="宋体" w:hAnsi="宋体" w:eastAsia="宋体" w:cs="宋体"/>
          <w:b/>
          <w:bCs w:val="0"/>
          <w:color w:val="000000" w:themeColor="text1"/>
          <w:sz w:val="24"/>
          <w14:textFill>
            <w14:solidFill>
              <w14:schemeClr w14:val="tx1"/>
            </w14:solidFill>
          </w14:textFill>
        </w:rPr>
        <w:t>特别提醒：</w:t>
      </w:r>
    </w:p>
    <w:p w14:paraId="56AA5607">
      <w:pPr>
        <w:spacing w:line="360" w:lineRule="auto"/>
        <w:ind w:firstLine="48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14:paraId="43FB44E7">
      <w:pPr>
        <w:spacing w:line="360" w:lineRule="auto"/>
        <w:ind w:firstLine="48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投标文件正文（信息公开部分）必须编制于“投标书目录”部分，投标文件附件（非信息公开部分）必须编制于“投标书附件”部分，如下图所示。</w:t>
      </w:r>
    </w:p>
    <w:p w14:paraId="74ACCCD3">
      <w:pPr>
        <w:rPr>
          <w:rFonts w:ascii="宋体" w:hAnsi="宋体" w:cs="宋体"/>
          <w:color w:val="000000" w:themeColor="text1"/>
          <w14:textFill>
            <w14:solidFill>
              <w14:schemeClr w14:val="tx1"/>
            </w14:solidFill>
          </w14:textFill>
        </w:rPr>
      </w:pPr>
      <w:r>
        <w:rPr>
          <w:rFonts w:ascii="仿宋_GB2312" w:eastAsia="仿宋_GB2312"/>
          <w:color w:val="000000" w:themeColor="text1"/>
          <w14:textFill>
            <w14:solidFill>
              <w14:schemeClr w14:val="tx1"/>
            </w14:solidFill>
          </w14:textFill>
        </w:rPr>
        <w:drawing>
          <wp:inline distT="0" distB="0" distL="0" distR="0">
            <wp:extent cx="5278755" cy="4126230"/>
            <wp:effectExtent l="0" t="0" r="0" b="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8755" cy="4126230"/>
                    </a:xfrm>
                    <a:prstGeom prst="rect">
                      <a:avLst/>
                    </a:prstGeom>
                    <a:noFill/>
                    <a:ln>
                      <a:noFill/>
                    </a:ln>
                  </pic:spPr>
                </pic:pic>
              </a:graphicData>
            </a:graphic>
          </wp:inline>
        </w:drawing>
      </w:r>
    </w:p>
    <w:p w14:paraId="0A241892">
      <w:pPr>
        <w:rPr>
          <w:rFonts w:ascii="仿宋_GB2312" w:eastAsia="仿宋_GB2312"/>
          <w:color w:val="000000" w:themeColor="text1"/>
          <w14:textFill>
            <w14:solidFill>
              <w14:schemeClr w14:val="tx1"/>
            </w14:solidFill>
          </w14:textFill>
        </w:rPr>
      </w:pPr>
    </w:p>
    <w:p w14:paraId="1BDFE1E5">
      <w:pPr>
        <w:pStyle w:val="6"/>
        <w:rPr>
          <w:rFonts w:eastAsia="仿宋_GB2312"/>
        </w:rPr>
      </w:pPr>
    </w:p>
    <w:p w14:paraId="056BC1F2">
      <w:pPr>
        <w:rPr>
          <w:rFonts w:eastAsia="仿宋_GB2312"/>
        </w:rPr>
      </w:pPr>
    </w:p>
    <w:p w14:paraId="7E00DAF1">
      <w:pPr>
        <w:pStyle w:val="6"/>
        <w:rPr>
          <w:rFonts w:eastAsia="仿宋_GB2312"/>
        </w:rPr>
      </w:pPr>
    </w:p>
    <w:p w14:paraId="2E908341">
      <w:pPr>
        <w:rPr>
          <w:rFonts w:eastAsia="仿宋_GB2312"/>
        </w:rPr>
      </w:pPr>
    </w:p>
    <w:p w14:paraId="479BCCEB">
      <w:pPr>
        <w:pStyle w:val="6"/>
        <w:rPr>
          <w:rFonts w:eastAsia="仿宋_GB2312"/>
        </w:rPr>
      </w:pPr>
    </w:p>
    <w:p w14:paraId="4788CB61">
      <w:pPr>
        <w:rPr>
          <w:rFonts w:eastAsia="仿宋_GB2312"/>
        </w:rPr>
      </w:pPr>
    </w:p>
    <w:p w14:paraId="12150D81">
      <w:pPr>
        <w:pStyle w:val="6"/>
        <w:rPr>
          <w:rFonts w:eastAsia="仿宋_GB2312"/>
        </w:rPr>
      </w:pPr>
    </w:p>
    <w:p w14:paraId="4BCC6640">
      <w:pPr>
        <w:rPr>
          <w:rFonts w:eastAsia="仿宋_GB2312"/>
        </w:rPr>
      </w:pPr>
    </w:p>
    <w:p w14:paraId="40DDB131">
      <w:pPr>
        <w:pStyle w:val="6"/>
        <w:rPr>
          <w:rFonts w:eastAsia="仿宋_GB2312"/>
        </w:rPr>
      </w:pPr>
    </w:p>
    <w:p w14:paraId="6C390604">
      <w:pPr>
        <w:rPr>
          <w:rFonts w:eastAsia="仿宋_GB2312"/>
        </w:rPr>
      </w:pPr>
    </w:p>
    <w:p w14:paraId="3174AA35">
      <w:pPr>
        <w:pStyle w:val="6"/>
        <w:rPr>
          <w:rFonts w:eastAsia="仿宋_GB2312"/>
        </w:rPr>
      </w:pPr>
    </w:p>
    <w:p w14:paraId="47C2F916">
      <w:pPr>
        <w:rPr>
          <w:rFonts w:eastAsia="仿宋_GB2312"/>
        </w:rPr>
      </w:pPr>
    </w:p>
    <w:p w14:paraId="34048C93">
      <w:pPr>
        <w:pStyle w:val="6"/>
        <w:ind w:firstLine="0"/>
        <w:rPr>
          <w:rFonts w:eastAsia="仿宋_GB2312"/>
        </w:rPr>
      </w:pPr>
    </w:p>
    <w:p w14:paraId="2F744F10">
      <w:pPr>
        <w:keepNext w:val="0"/>
        <w:keepLines w:val="0"/>
        <w:pageBreakBefore w:val="0"/>
        <w:widowControl/>
        <w:kinsoku/>
        <w:wordWrap/>
        <w:overflowPunct/>
        <w:topLinePunct w:val="0"/>
        <w:autoSpaceDE/>
        <w:autoSpaceDN/>
        <w:bidi w:val="0"/>
        <w:adjustRightInd/>
        <w:snapToGrid/>
        <w:spacing w:line="400" w:lineRule="exact"/>
        <w:ind w:firstLine="480" w:firstLineChars="200"/>
        <w:jc w:val="both"/>
        <w:textAlignment w:val="auto"/>
        <w:rPr>
          <w:rFonts w:ascii="仿宋_GB2312" w:eastAsia="仿宋_GB2312"/>
          <w:color w:val="000000" w:themeColor="text1"/>
          <w14:textFill>
            <w14:solidFill>
              <w14:schemeClr w14:val="tx1"/>
            </w14:solidFill>
          </w14:textFill>
        </w:rPr>
      </w:pPr>
      <w:bookmarkStart w:id="38" w:name="_Hlk72257167"/>
      <w:r>
        <w:rPr>
          <w:rFonts w:hint="eastAsia" w:ascii="宋体" w:hAnsi="宋体" w:cs="宋体"/>
          <w:color w:val="000000" w:themeColor="text1"/>
          <w14:textFill>
            <w14:solidFill>
              <w14:schemeClr w14:val="tx1"/>
            </w14:solidFill>
          </w14:textFill>
        </w:rPr>
        <w:t>招标机构公布投标文件正文（信息公开部分）时为计算机截取信息自动公布，</w:t>
      </w:r>
      <w:r>
        <w:rPr>
          <w:rFonts w:hint="eastAsia" w:ascii="宋体" w:hAnsi="宋体" w:cs="宋体"/>
          <w:b/>
          <w:bCs/>
          <w:color w:val="000000" w:themeColor="text1"/>
          <w14:textFill>
            <w14:solidFill>
              <w14:schemeClr w14:val="tx1"/>
            </w14:solidFill>
          </w14:textFill>
        </w:rPr>
        <w:t>如投标人误将涉及个人隐私的信息放入投标文件正文，相关后果由投标人自负；</w:t>
      </w:r>
      <w:r>
        <w:rPr>
          <w:rFonts w:hint="eastAsia" w:ascii="宋体" w:hAnsi="宋体" w:cs="宋体"/>
          <w:color w:val="000000" w:themeColor="text1"/>
          <w14:textFill>
            <w14:solidFill>
              <w14:schemeClr w14:val="tx1"/>
            </w14:solidFill>
          </w14:textFill>
        </w:rPr>
        <w:t>如投标人将必须放于投标文件正文（信息公开部分）的内容放入投标文件附件（非信息公开部分），将作投标无效处理。</w:t>
      </w:r>
      <w:bookmarkEnd w:id="38"/>
    </w:p>
    <w:p w14:paraId="4E68442C">
      <w:pPr>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投标文件组成：</w:t>
      </w:r>
    </w:p>
    <w:p w14:paraId="7F80E17E">
      <w:pPr>
        <w:ind w:firstLine="480" w:firstLineChars="200"/>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1.投标文件正文（信息公开部分），主要包括以下内容：</w:t>
      </w:r>
    </w:p>
    <w:p w14:paraId="6654D4AE">
      <w:pPr>
        <w:ind w:firstLine="48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（1）投标函</w:t>
      </w:r>
    </w:p>
    <w:p w14:paraId="6A3C5B9E">
      <w:pPr>
        <w:ind w:firstLine="48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（2）政府采购投标及履约承诺函</w:t>
      </w:r>
    </w:p>
    <w:p w14:paraId="0EE8B34A">
      <w:pPr>
        <w:ind w:firstLine="48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（3）投标人情况及资格证明文件</w:t>
      </w:r>
    </w:p>
    <w:p w14:paraId="5994C8E3">
      <w:pPr>
        <w:ind w:firstLine="48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（4）项目详细报价</w:t>
      </w:r>
    </w:p>
    <w:p w14:paraId="41B2F513">
      <w:pPr>
        <w:ind w:firstLine="48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（5）供应商资格（资质、认证）情况</w:t>
      </w:r>
    </w:p>
    <w:p w14:paraId="35875712">
      <w:pPr>
        <w:ind w:firstLine="48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（6）</w:t>
      </w:r>
      <w:r>
        <w:rPr>
          <w:rFonts w:hint="eastAsia" w:ascii="宋体" w:hAnsi="宋体" w:eastAsia="宋体" w:cs="宋体"/>
          <w:color w:val="auto"/>
          <w:sz w:val="24"/>
          <w:szCs w:val="24"/>
          <w:highlight w:val="none"/>
        </w:rPr>
        <w:t>供应商同类业绩情况</w:t>
      </w:r>
    </w:p>
    <w:p w14:paraId="2ED8D60E">
      <w:pPr>
        <w:ind w:firstLine="48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（7）投标</w:t>
      </w:r>
      <w:r>
        <w:rPr>
          <w:rFonts w:hint="eastAsia" w:ascii="宋体" w:hAnsi="宋体" w:cs="宋体"/>
          <w:color w:val="000000" w:themeColor="text1"/>
          <w:lang w:val="en-US" w:eastAsia="zh-CN"/>
          <w14:textFill>
            <w14:solidFill>
              <w14:schemeClr w14:val="tx1"/>
            </w14:solidFill>
          </w14:textFill>
        </w:rPr>
        <w:t>人</w:t>
      </w:r>
      <w:r>
        <w:rPr>
          <w:rFonts w:hint="eastAsia" w:ascii="宋体" w:hAnsi="宋体" w:cs="宋体"/>
          <w:color w:val="000000" w:themeColor="text1"/>
          <w14:textFill>
            <w14:solidFill>
              <w14:schemeClr w14:val="tx1"/>
            </w14:solidFill>
          </w14:textFill>
        </w:rPr>
        <w:t>自主知识产权产品（创新、设计）情况</w:t>
      </w:r>
    </w:p>
    <w:p w14:paraId="0B5D9BEC">
      <w:pPr>
        <w:ind w:firstLine="48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（8）</w:t>
      </w:r>
      <w:r>
        <w:rPr>
          <w:rFonts w:hint="eastAsia" w:ascii="宋体" w:hAnsi="宋体" w:eastAsia="宋体" w:cs="宋体"/>
          <w:color w:val="auto"/>
          <w:sz w:val="24"/>
          <w:szCs w:val="24"/>
          <w:highlight w:val="none"/>
        </w:rPr>
        <w:t>项目拟使用的场地、工具、机器等情况</w:t>
      </w:r>
    </w:p>
    <w:p w14:paraId="5E59F670">
      <w:pPr>
        <w:ind w:firstLine="48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9</w:t>
      </w:r>
      <w:r>
        <w:rPr>
          <w:rFonts w:hint="eastAsia" w:ascii="宋体" w:hAnsi="宋体" w:cs="宋体"/>
          <w:color w:val="000000" w:themeColor="text1"/>
          <w14:textFill>
            <w14:solidFill>
              <w14:schemeClr w14:val="tx1"/>
            </w14:solidFill>
          </w14:textFill>
        </w:rPr>
        <w:t>）投标人认为需要加以说明的其他内容（格式自定）</w:t>
      </w:r>
    </w:p>
    <w:p w14:paraId="7FA14215">
      <w:pPr>
        <w:ind w:firstLine="480" w:firstLineChars="200"/>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2.投标文件附件（信息不公开部分）：主要包括以下内容：</w:t>
      </w:r>
    </w:p>
    <w:p w14:paraId="0329FBDD">
      <w:pPr>
        <w:ind w:firstLine="484" w:firstLineChars="202"/>
        <w:rPr>
          <w:rFonts w:hint="eastAsia" w:ascii="宋体" w:hAnsi="宋体" w:eastAsia="宋体" w:cs="宋体"/>
          <w:color w:val="000000" w:themeColor="text1"/>
          <w:lang w:eastAsia="zh-CN"/>
          <w14:textFill>
            <w14:solidFill>
              <w14:schemeClr w14:val="tx1"/>
            </w14:solidFill>
          </w14:textFill>
        </w:rPr>
      </w:pPr>
      <w:r>
        <w:rPr>
          <w:rFonts w:hint="eastAsia" w:ascii="宋体" w:hAnsi="宋体" w:cs="宋体"/>
          <w:color w:val="000000" w:themeColor="text1"/>
          <w14:textFill>
            <w14:solidFill>
              <w14:schemeClr w14:val="tx1"/>
            </w14:solidFill>
          </w14:textFill>
        </w:rPr>
        <w:t>（1）</w:t>
      </w:r>
      <w:r>
        <w:rPr>
          <w:rFonts w:hint="eastAsia" w:ascii="宋体" w:hAnsi="宋体" w:eastAsia="宋体" w:cs="宋体"/>
          <w:color w:val="000000" w:themeColor="text1"/>
          <w:lang w:eastAsia="zh-CN"/>
          <w14:textFill>
            <w14:solidFill>
              <w14:schemeClr w14:val="tx1"/>
            </w14:solidFill>
          </w14:textFill>
        </w:rPr>
        <w:t>法定代表人（负责人或执行事务合伙人）资格证明书</w:t>
      </w:r>
    </w:p>
    <w:p w14:paraId="3CA318BD">
      <w:pPr>
        <w:ind w:firstLine="484" w:firstLineChars="202"/>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（2）投标文件签署授权委托书</w:t>
      </w:r>
    </w:p>
    <w:p w14:paraId="66A57079">
      <w:pPr>
        <w:ind w:firstLine="484" w:firstLineChars="202"/>
        <w:rPr>
          <w:rFonts w:hint="eastAsia" w:ascii="宋体" w:hAnsi="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（3）供应商基本情况表</w:t>
      </w:r>
    </w:p>
    <w:p w14:paraId="758860BD">
      <w:pPr>
        <w:ind w:firstLine="484" w:firstLineChars="202"/>
        <w:rPr>
          <w:rFonts w:hint="default" w:ascii="宋体" w:hAnsi="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（4）供应商基本情况表及附件</w:t>
      </w:r>
    </w:p>
    <w:p w14:paraId="20DE8A44">
      <w:pPr>
        <w:ind w:firstLine="484" w:firstLineChars="202"/>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5</w:t>
      </w:r>
      <w:r>
        <w:rPr>
          <w:rFonts w:hint="eastAsia" w:ascii="宋体" w:hAnsi="宋体" w:cs="宋体"/>
          <w:color w:val="000000" w:themeColor="text1"/>
          <w14:textFill>
            <w14:solidFill>
              <w14:schemeClr w14:val="tx1"/>
            </w14:solidFill>
          </w14:textFill>
        </w:rPr>
        <w:t>）实质性条款响应情况表</w:t>
      </w:r>
    </w:p>
    <w:p w14:paraId="49E6450F">
      <w:pPr>
        <w:ind w:firstLine="484" w:firstLineChars="202"/>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6</w:t>
      </w:r>
      <w:r>
        <w:rPr>
          <w:rFonts w:hint="eastAsia" w:ascii="宋体" w:hAnsi="宋体" w:cs="宋体"/>
          <w:color w:val="000000" w:themeColor="text1"/>
          <w14:textFill>
            <w14:solidFill>
              <w14:schemeClr w14:val="tx1"/>
            </w14:solidFill>
          </w14:textFill>
        </w:rPr>
        <w:t>）商务、</w:t>
      </w:r>
      <w:r>
        <w:rPr>
          <w:rFonts w:hint="eastAsia" w:ascii="宋体" w:hAnsi="宋体" w:cs="宋体"/>
          <w:color w:val="000000" w:themeColor="text1"/>
          <w:lang w:eastAsia="zh-CN"/>
          <w14:textFill>
            <w14:solidFill>
              <w14:schemeClr w14:val="tx1"/>
            </w14:solidFill>
          </w14:textFill>
        </w:rPr>
        <w:t>服务</w:t>
      </w:r>
      <w:r>
        <w:rPr>
          <w:rFonts w:hint="eastAsia" w:ascii="宋体" w:hAnsi="宋体" w:cs="宋体"/>
          <w:color w:val="000000" w:themeColor="text1"/>
          <w14:textFill>
            <w14:solidFill>
              <w14:schemeClr w14:val="tx1"/>
            </w14:solidFill>
          </w14:textFill>
        </w:rPr>
        <w:t>条款偏离表</w:t>
      </w:r>
    </w:p>
    <w:p w14:paraId="49FD0CB4">
      <w:pPr>
        <w:ind w:left="480" w:leftChars="200" w:firstLine="0" w:firstLineChars="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7</w:t>
      </w:r>
      <w:r>
        <w:rPr>
          <w:rFonts w:hint="eastAsia" w:ascii="宋体" w:hAnsi="宋体" w:cs="宋体"/>
          <w:color w:val="000000" w:themeColor="text1"/>
          <w14:textFill>
            <w14:solidFill>
              <w14:schemeClr w14:val="tx1"/>
            </w14:solidFill>
          </w14:textFill>
        </w:rPr>
        <w:t>）拟安排的项目负责人情况（仅限一人）</w:t>
      </w:r>
    </w:p>
    <w:p w14:paraId="46D18DDE">
      <w:pPr>
        <w:ind w:left="480" w:leftChars="200" w:firstLine="0" w:firstLineChars="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8</w:t>
      </w:r>
      <w:r>
        <w:rPr>
          <w:rFonts w:hint="eastAsia" w:ascii="宋体" w:hAnsi="宋体" w:cs="宋体"/>
          <w:color w:val="000000" w:themeColor="text1"/>
          <w14:textFill>
            <w14:solidFill>
              <w14:schemeClr w14:val="tx1"/>
            </w14:solidFill>
          </w14:textFill>
        </w:rPr>
        <w:t>）拟安排的项目主要团队成员（主要技术人员）情况（项目负责人除外）</w:t>
      </w:r>
    </w:p>
    <w:p w14:paraId="75E55FFB">
      <w:pPr>
        <w:ind w:left="480" w:leftChars="200" w:firstLine="0" w:firstLineChars="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9</w:t>
      </w:r>
      <w:r>
        <w:rPr>
          <w:rFonts w:hint="eastAsia" w:ascii="宋体" w:hAnsi="宋体" w:cs="宋体"/>
          <w:color w:val="000000" w:themeColor="text1"/>
          <w14:textFill>
            <w14:solidFill>
              <w14:schemeClr w14:val="tx1"/>
            </w14:solidFill>
          </w14:textFill>
        </w:rPr>
        <w:t>）实施方案（格式自定）</w:t>
      </w:r>
    </w:p>
    <w:p w14:paraId="1A9CC2B7">
      <w:pPr>
        <w:ind w:left="480" w:leftChars="200" w:firstLine="0" w:firstLineChars="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10</w:t>
      </w:r>
      <w:r>
        <w:rPr>
          <w:rFonts w:hint="eastAsia" w:ascii="宋体" w:hAnsi="宋体" w:cs="宋体"/>
          <w:color w:val="000000" w:themeColor="text1"/>
          <w14:textFill>
            <w14:solidFill>
              <w14:schemeClr w14:val="tx1"/>
            </w14:solidFill>
          </w14:textFill>
        </w:rPr>
        <w:t>）项目重点难点分析、应对措施及相关的合理化建议（格式自定）</w:t>
      </w:r>
    </w:p>
    <w:p w14:paraId="0F223FC8">
      <w:pPr>
        <w:ind w:left="480" w:leftChars="200" w:firstLine="0" w:firstLineChars="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11</w:t>
      </w:r>
      <w:r>
        <w:rPr>
          <w:rFonts w:hint="eastAsia" w:ascii="宋体" w:hAnsi="宋体" w:cs="宋体"/>
          <w:color w:val="000000" w:themeColor="text1"/>
          <w14:textFill>
            <w14:solidFill>
              <w14:schemeClr w14:val="tx1"/>
            </w14:solidFill>
          </w14:textFill>
        </w:rPr>
        <w:t>）质量保障措施及方案（格式自定）</w:t>
      </w:r>
    </w:p>
    <w:p w14:paraId="3ED3A6FF">
      <w:pPr>
        <w:ind w:left="480" w:leftChars="200" w:firstLine="0" w:firstLineChars="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12</w:t>
      </w:r>
      <w:r>
        <w:rPr>
          <w:rFonts w:hint="eastAsia" w:ascii="宋体" w:hAnsi="宋体" w:cs="宋体"/>
          <w:color w:val="000000" w:themeColor="text1"/>
          <w14:textFill>
            <w14:solidFill>
              <w14:schemeClr w14:val="tx1"/>
            </w14:solidFill>
          </w14:textFill>
        </w:rPr>
        <w:t>）</w:t>
      </w:r>
      <w:r>
        <w:rPr>
          <w:rFonts w:hint="eastAsia" w:ascii="宋体" w:hAnsi="宋体" w:eastAsia="宋体" w:cs="宋体"/>
          <w:color w:val="auto"/>
          <w:sz w:val="24"/>
          <w:szCs w:val="24"/>
          <w:highlight w:val="none"/>
        </w:rPr>
        <w:t>项目完成（服务期满）后的服务承诺</w:t>
      </w:r>
      <w:r>
        <w:rPr>
          <w:rFonts w:hint="eastAsia" w:ascii="宋体" w:hAnsi="宋体" w:cs="宋体"/>
          <w:color w:val="000000" w:themeColor="text1"/>
          <w14:textFill>
            <w14:solidFill>
              <w14:schemeClr w14:val="tx1"/>
            </w14:solidFill>
          </w14:textFill>
        </w:rPr>
        <w:t>（格式自定）</w:t>
      </w:r>
    </w:p>
    <w:p w14:paraId="2AB0D3D2">
      <w:pPr>
        <w:ind w:left="480" w:leftChars="200" w:firstLine="0" w:firstLineChars="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w:t>
      </w:r>
      <w:r>
        <w:rPr>
          <w:rFonts w:hint="eastAsia" w:ascii="宋体" w:hAnsi="宋体" w:eastAsia="宋体" w:cs="宋体"/>
          <w:color w:val="000000" w:themeColor="text1"/>
          <w:lang w:val="en-US" w:eastAsia="zh-CN"/>
          <w14:textFill>
            <w14:solidFill>
              <w14:schemeClr w14:val="tx1"/>
            </w14:solidFill>
          </w14:textFill>
        </w:rPr>
        <w:t>3</w:t>
      </w:r>
      <w:r>
        <w:rPr>
          <w:rFonts w:hint="eastAsia" w:ascii="宋体" w:hAnsi="宋体" w:cs="宋体"/>
          <w:color w:val="000000" w:themeColor="text1"/>
          <w14:textFill>
            <w14:solidFill>
              <w14:schemeClr w14:val="tx1"/>
            </w14:solidFill>
          </w14:textFill>
        </w:rPr>
        <w:t>）违约承诺（格式自定）</w:t>
      </w:r>
    </w:p>
    <w:p w14:paraId="5D355DEE">
      <w:pPr>
        <w:ind w:left="480" w:leftChars="200" w:firstLine="0" w:firstLineChars="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w:t>
      </w:r>
      <w:r>
        <w:rPr>
          <w:rFonts w:hint="eastAsia" w:ascii="宋体" w:hAnsi="宋体" w:eastAsia="宋体" w:cs="宋体"/>
          <w:color w:val="000000" w:themeColor="text1"/>
          <w:lang w:val="en-US" w:eastAsia="zh-CN"/>
          <w14:textFill>
            <w14:solidFill>
              <w14:schemeClr w14:val="tx1"/>
            </w14:solidFill>
          </w14:textFill>
        </w:rPr>
        <w:t>4</w:t>
      </w:r>
      <w:r>
        <w:rPr>
          <w:rFonts w:hint="eastAsia" w:ascii="宋体" w:hAnsi="宋体" w:cs="宋体"/>
          <w:color w:val="000000" w:themeColor="text1"/>
          <w14:textFill>
            <w14:solidFill>
              <w14:schemeClr w14:val="tx1"/>
            </w14:solidFill>
          </w14:textFill>
        </w:rPr>
        <w:t>）投标人认为需要加以说明的其他内容（格式自定）</w:t>
      </w:r>
    </w:p>
    <w:p w14:paraId="4771C150">
      <w:pPr>
        <w:ind w:firstLine="485" w:firstLineChars="202"/>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备注：</w:t>
      </w:r>
    </w:p>
    <w:p w14:paraId="19212C12">
      <w:pPr>
        <w:ind w:firstLine="485" w:firstLineChars="202"/>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1.本项目为网上电子投标项目，投标文件不需法人或授权委托人另行签字，无需加盖单位公章，招标文件专用条款另有规定的除外。</w:t>
      </w:r>
    </w:p>
    <w:p w14:paraId="4F83BC1A">
      <w:pPr>
        <w:ind w:firstLine="485" w:firstLineChars="202"/>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2.关于填写“开标一览表”的说明：“开标一览表”中除“投标报价”外，其他信息不作评审依据。</w:t>
      </w:r>
    </w:p>
    <w:p w14:paraId="68F8B32C"/>
    <w:p w14:paraId="48383120">
      <w:pPr>
        <w:pStyle w:val="6"/>
      </w:pPr>
    </w:p>
    <w:p w14:paraId="4BFC908D"/>
    <w:p w14:paraId="51A1EFDD">
      <w:pPr>
        <w:pStyle w:val="6"/>
      </w:pPr>
    </w:p>
    <w:p w14:paraId="2EBB7ABE"/>
    <w:p w14:paraId="4AC56C65">
      <w:pPr>
        <w:pStyle w:val="6"/>
      </w:pPr>
      <w:r>
        <w:br w:type="page"/>
      </w:r>
    </w:p>
    <w:p w14:paraId="52AEDAF8">
      <w:pPr>
        <w:outlineLvl w:val="1"/>
        <w:rPr>
          <w:rFonts w:ascii="宋体" w:hAnsi="宋体"/>
          <w:b/>
          <w:color w:val="FF0000"/>
          <w:sz w:val="28"/>
          <w:szCs w:val="28"/>
        </w:rPr>
      </w:pPr>
      <w:r>
        <w:rPr>
          <w:rFonts w:hint="eastAsia" w:ascii="宋体" w:hAnsi="宋体"/>
          <w:b/>
          <w:color w:val="FF0000"/>
          <w:sz w:val="28"/>
          <w:szCs w:val="28"/>
        </w:rPr>
        <w:t>投标文件正文（信息公开部分）</w:t>
      </w:r>
    </w:p>
    <w:p w14:paraId="69CA0355">
      <w:pPr>
        <w:pStyle w:val="3"/>
        <w:jc w:val="center"/>
        <w:rPr>
          <w:rFonts w:ascii="黑体" w:eastAsia="黑体"/>
          <w:b w:val="0"/>
          <w:color w:val="000000" w:themeColor="text1"/>
          <w:sz w:val="24"/>
          <w14:textFill>
            <w14:solidFill>
              <w14:schemeClr w14:val="tx1"/>
            </w14:solidFill>
          </w14:textFill>
        </w:rPr>
      </w:pPr>
      <w:r>
        <w:rPr>
          <w:rFonts w:hint="eastAsia" w:ascii="黑体" w:eastAsia="黑体"/>
          <w:b w:val="0"/>
          <w:color w:val="000000" w:themeColor="text1"/>
          <w:sz w:val="24"/>
          <w14:textFill>
            <w14:solidFill>
              <w14:schemeClr w14:val="tx1"/>
            </w14:solidFill>
          </w14:textFill>
        </w:rPr>
        <w:t>一、投标函</w:t>
      </w:r>
    </w:p>
    <w:p w14:paraId="358E07B8">
      <w:pPr>
        <w:spacing w:line="360" w:lineRule="auto"/>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致：</w:t>
      </w:r>
      <w:r>
        <w:rPr>
          <w:rFonts w:hint="eastAsia" w:ascii="宋体" w:hAnsi="宋体" w:eastAsia="宋体"/>
          <w:color w:val="000000" w:themeColor="text1"/>
          <w:u w:val="single"/>
          <w14:textFill>
            <w14:solidFill>
              <w14:schemeClr w14:val="tx1"/>
            </w14:solidFill>
          </w14:textFill>
        </w:rPr>
        <w:t xml:space="preserve">友和保险经纪有限公司 </w:t>
      </w:r>
    </w:p>
    <w:p w14:paraId="6D8B0152">
      <w:pPr>
        <w:ind w:firstLine="480" w:firstLineChars="200"/>
        <w:rPr>
          <w:rFonts w:ascii="宋体" w:hAnsi="宋体" w:eastAsia="宋体"/>
          <w:color w:val="000000" w:themeColor="text1"/>
          <w14:textFill>
            <w14:solidFill>
              <w14:schemeClr w14:val="tx1"/>
            </w14:solidFill>
          </w14:textFill>
        </w:rPr>
      </w:pPr>
      <w:bookmarkStart w:id="39" w:name="_Hlk73818812"/>
      <w:r>
        <w:rPr>
          <w:rFonts w:hint="eastAsia" w:ascii="宋体" w:hAnsi="宋体" w:eastAsia="宋体"/>
          <w:color w:val="000000" w:themeColor="text1"/>
          <w14:textFill>
            <w14:solidFill>
              <w14:schemeClr w14:val="tx1"/>
            </w14:solidFill>
          </w14:textFill>
        </w:rPr>
        <w:t>1、根据已收到贵单位的项目编号为</w:t>
      </w:r>
      <w:r>
        <w:rPr>
          <w:rFonts w:hint="eastAsia" w:ascii="宋体" w:hAnsi="宋体" w:eastAsia="宋体"/>
          <w:color w:val="000000" w:themeColor="text1"/>
          <w:u w:val="single"/>
          <w14:textFill>
            <w14:solidFill>
              <w14:schemeClr w14:val="tx1"/>
            </w14:solidFill>
          </w14:textFill>
        </w:rPr>
        <w:t>SZDL2025001627</w:t>
      </w:r>
      <w:r>
        <w:rPr>
          <w:rFonts w:hint="eastAsia" w:ascii="宋体" w:hAnsi="宋体" w:eastAsia="宋体"/>
          <w:color w:val="000000" w:themeColor="text1"/>
          <w14:textFill>
            <w14:solidFill>
              <w14:schemeClr w14:val="tx1"/>
            </w14:solidFill>
          </w14:textFill>
        </w:rPr>
        <w:t>的</w:t>
      </w:r>
      <w:r>
        <w:rPr>
          <w:rFonts w:hint="eastAsia" w:ascii="宋体" w:hAnsi="宋体" w:eastAsia="宋体"/>
          <w:color w:val="000000" w:themeColor="text1"/>
          <w:u w:val="single"/>
          <w14:textFill>
            <w14:solidFill>
              <w14:schemeClr w14:val="tx1"/>
            </w14:solidFill>
          </w14:textFill>
        </w:rPr>
        <w:t>2025年度深圳市市管桥涵定期检测</w:t>
      </w:r>
      <w:r>
        <w:rPr>
          <w:rFonts w:hint="eastAsia" w:ascii="宋体" w:hAnsi="宋体" w:eastAsia="宋体"/>
          <w:color w:val="000000" w:themeColor="text1"/>
          <w14:textFill>
            <w14:solidFill>
              <w14:schemeClr w14:val="tx1"/>
            </w14:solidFill>
          </w14:textFill>
        </w:rPr>
        <w:t>项目的招标文件，遵照《深圳经济特区政府采购条例》和《深圳网上政府采购管理暂行办法》等有关规定，我单位经研究上述招标文件的专用条款及通用条款后，</w:t>
      </w:r>
      <w:bookmarkStart w:id="40" w:name="_Hlk72263588"/>
      <w:r>
        <w:rPr>
          <w:rFonts w:hint="eastAsia" w:ascii="宋体" w:hAnsi="宋体" w:eastAsia="宋体"/>
          <w:color w:val="000000" w:themeColor="text1"/>
          <w14:textFill>
            <w14:solidFill>
              <w14:schemeClr w14:val="tx1"/>
            </w14:solidFill>
          </w14:textFill>
        </w:rPr>
        <w:t>愿意按照招标文件要求承包上述项目并修补其任何缺陷。</w:t>
      </w:r>
      <w:bookmarkEnd w:id="40"/>
    </w:p>
    <w:p w14:paraId="5C619848">
      <w:pPr>
        <w:ind w:firstLine="480" w:firstLineChars="200"/>
        <w:rPr>
          <w:rFonts w:ascii="宋体" w:hAnsi="宋体" w:eastAsia="宋体"/>
          <w:color w:val="000000" w:themeColor="text1"/>
          <w14:textFill>
            <w14:solidFill>
              <w14:schemeClr w14:val="tx1"/>
            </w14:solidFill>
          </w14:textFill>
        </w:rPr>
      </w:pPr>
      <w:r>
        <w:rPr>
          <w:rFonts w:ascii="宋体" w:hAnsi="宋体" w:eastAsia="宋体"/>
          <w:color w:val="000000" w:themeColor="text1"/>
          <w14:textFill>
            <w14:solidFill>
              <w14:schemeClr w14:val="tx1"/>
            </w14:solidFill>
          </w14:textFill>
        </w:rPr>
        <w:t>2</w:t>
      </w:r>
      <w:r>
        <w:rPr>
          <w:rFonts w:hint="eastAsia" w:ascii="宋体" w:hAnsi="宋体" w:eastAsia="宋体"/>
          <w:color w:val="000000" w:themeColor="text1"/>
          <w14:textFill>
            <w14:solidFill>
              <w14:schemeClr w14:val="tx1"/>
            </w14:solidFill>
          </w14:textFill>
        </w:rPr>
        <w:t>、投标价格见投标书编制软件中《开标一览表》中填写的投标总价。</w:t>
      </w:r>
    </w:p>
    <w:p w14:paraId="5E7E6A48">
      <w:pPr>
        <w:ind w:firstLine="48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3、如果我单位中标，我单位将按照招标文件的要求足额提交履约担保。</w:t>
      </w:r>
    </w:p>
    <w:p w14:paraId="617CB471">
      <w:pPr>
        <w:ind w:firstLine="48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4、我单位同意所递交的投标文件在“对通用条款的补充内容”中明确的投标有效期内有效，在此期间内我单位的投标有可能中标，我方将受此约束。</w:t>
      </w:r>
    </w:p>
    <w:p w14:paraId="297F42D9">
      <w:pPr>
        <w:ind w:firstLine="48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5、除非另外达成协议并生效，贵单位的中标通知书和本投标文件将构成合同的重要内容。</w:t>
      </w:r>
    </w:p>
    <w:p w14:paraId="5EA3CF57">
      <w:pPr>
        <w:ind w:left="600" w:leftChars="200" w:hanging="120" w:hangingChars="50"/>
        <w:rPr>
          <w:rFonts w:hint="eastAsia"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6、我单位理解贵单位将不受必须接受所收到的最低报价或其它任何投标文件的约束。</w:t>
      </w:r>
      <w:bookmarkEnd w:id="39"/>
    </w:p>
    <w:p w14:paraId="1E77E545">
      <w:pPr>
        <w:ind w:left="600" w:leftChars="200" w:hanging="120" w:hangingChars="50"/>
        <w:rPr>
          <w:rFonts w:hint="eastAsia" w:ascii="宋体" w:hAnsi="宋体" w:eastAsia="宋体"/>
          <w:color w:val="000000" w:themeColor="text1"/>
          <w14:textFill>
            <w14:solidFill>
              <w14:schemeClr w14:val="tx1"/>
            </w14:solidFill>
          </w14:textFill>
        </w:rPr>
      </w:pPr>
    </w:p>
    <w:p w14:paraId="4F536B8C">
      <w:pPr>
        <w:ind w:left="600" w:leftChars="200" w:hanging="120" w:hangingChars="50"/>
        <w:rPr>
          <w:rFonts w:ascii="宋体" w:hAnsi="宋体" w:eastAsia="宋体"/>
          <w:color w:val="000000" w:themeColor="text1"/>
          <w:u w:val="single"/>
          <w14:textFill>
            <w14:solidFill>
              <w14:schemeClr w14:val="tx1"/>
            </w14:solidFill>
          </w14:textFill>
        </w:rPr>
      </w:pPr>
      <w:r>
        <w:rPr>
          <w:rFonts w:hint="eastAsia" w:ascii="宋体" w:hAnsi="宋体" w:eastAsia="宋体"/>
          <w:color w:val="000000" w:themeColor="text1"/>
          <w14:textFill>
            <w14:solidFill>
              <w14:schemeClr w14:val="tx1"/>
            </w14:solidFill>
          </w14:textFill>
        </w:rPr>
        <w:t>投标人：</w:t>
      </w:r>
      <w:r>
        <w:rPr>
          <w:rFonts w:hint="eastAsia" w:ascii="宋体" w:hAnsi="宋体" w:eastAsia="宋体"/>
          <w:color w:val="000000" w:themeColor="text1"/>
          <w:u w:val="single"/>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 xml:space="preserve">    单位地址：</w:t>
      </w:r>
      <w:r>
        <w:rPr>
          <w:rFonts w:hint="eastAsia" w:ascii="宋体" w:hAnsi="宋体" w:eastAsia="宋体"/>
          <w:color w:val="000000" w:themeColor="text1"/>
          <w:u w:val="single"/>
          <w14:textFill>
            <w14:solidFill>
              <w14:schemeClr w14:val="tx1"/>
            </w14:solidFill>
          </w14:textFill>
        </w:rPr>
        <w:t xml:space="preserve">               </w:t>
      </w:r>
    </w:p>
    <w:p w14:paraId="74D36F0D">
      <w:pPr>
        <w:ind w:firstLine="480" w:firstLineChars="200"/>
        <w:rPr>
          <w:rFonts w:ascii="宋体" w:hAnsi="宋体" w:eastAsia="宋体"/>
          <w:color w:val="000000" w:themeColor="text1"/>
          <w:u w:val="single"/>
          <w14:textFill>
            <w14:solidFill>
              <w14:schemeClr w14:val="tx1"/>
            </w14:solidFill>
          </w14:textFill>
        </w:rPr>
      </w:pPr>
      <w:r>
        <w:rPr>
          <w:rFonts w:hint="eastAsia" w:ascii="宋体" w:hAnsi="宋体" w:eastAsia="宋体"/>
          <w:color w:val="000000" w:themeColor="text1"/>
          <w14:textFill>
            <w14:solidFill>
              <w14:schemeClr w14:val="tx1"/>
            </w14:solidFill>
          </w14:textFill>
        </w:rPr>
        <w:t>法定代表人（负责人）或其委托代理人：</w:t>
      </w:r>
      <w:r>
        <w:rPr>
          <w:rFonts w:hint="eastAsia" w:ascii="宋体" w:hAnsi="宋体" w:eastAsia="宋体"/>
          <w:color w:val="000000" w:themeColor="text1"/>
          <w:u w:val="single"/>
          <w14:textFill>
            <w14:solidFill>
              <w14:schemeClr w14:val="tx1"/>
            </w14:solidFill>
          </w14:textFill>
        </w:rPr>
        <w:t xml:space="preserve">                   </w:t>
      </w:r>
    </w:p>
    <w:p w14:paraId="55F97C74">
      <w:pPr>
        <w:ind w:firstLine="480" w:firstLineChars="200"/>
        <w:rPr>
          <w:rFonts w:hint="eastAsia" w:ascii="宋体" w:hAnsi="宋体" w:eastAsia="宋体"/>
          <w:color w:val="000000" w:themeColor="text1"/>
          <w:u w:val="single"/>
          <w14:textFill>
            <w14:solidFill>
              <w14:schemeClr w14:val="tx1"/>
            </w14:solidFill>
          </w14:textFill>
        </w:rPr>
      </w:pPr>
      <w:r>
        <w:rPr>
          <w:rFonts w:hint="eastAsia" w:ascii="宋体" w:hAnsi="宋体" w:eastAsia="宋体"/>
          <w:color w:val="000000" w:themeColor="text1"/>
          <w14:textFill>
            <w14:solidFill>
              <w14:schemeClr w14:val="tx1"/>
            </w14:solidFill>
          </w14:textFill>
        </w:rPr>
        <w:t>邮政编码：</w:t>
      </w:r>
      <w:r>
        <w:rPr>
          <w:rFonts w:hint="eastAsia" w:ascii="宋体" w:hAnsi="宋体" w:eastAsia="宋体"/>
          <w:color w:val="000000" w:themeColor="text1"/>
          <w:u w:val="single"/>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 xml:space="preserve">  电话：</w:t>
      </w:r>
      <w:r>
        <w:rPr>
          <w:rFonts w:hint="eastAsia" w:ascii="宋体" w:hAnsi="宋体" w:eastAsia="宋体"/>
          <w:color w:val="000000" w:themeColor="text1"/>
          <w:u w:val="single"/>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 xml:space="preserve">  传真：</w:t>
      </w:r>
      <w:r>
        <w:rPr>
          <w:rFonts w:hint="eastAsia" w:ascii="宋体" w:hAnsi="宋体" w:eastAsia="宋体"/>
          <w:color w:val="000000" w:themeColor="text1"/>
          <w:u w:val="single"/>
          <w14:textFill>
            <w14:solidFill>
              <w14:schemeClr w14:val="tx1"/>
            </w14:solidFill>
          </w14:textFill>
        </w:rPr>
        <w:t xml:space="preserve">            </w:t>
      </w:r>
    </w:p>
    <w:p w14:paraId="37CAEBAA">
      <w:pPr>
        <w:pStyle w:val="6"/>
        <w:ind w:left="0" w:leftChars="0" w:firstLine="480" w:firstLineChars="200"/>
        <w:rPr>
          <w:rFonts w:hint="eastAsia"/>
          <w:lang w:val="en-US" w:eastAsia="zh-CN"/>
        </w:rPr>
      </w:pPr>
      <w:r>
        <w:rPr>
          <w:rFonts w:hint="eastAsia" w:ascii="宋体" w:hAnsi="宋体" w:eastAsia="宋体"/>
          <w:color w:val="000000" w:themeColor="text1"/>
          <w:lang w:val="en-US" w:eastAsia="zh-CN"/>
          <w14:textFill>
            <w14:solidFill>
              <w14:schemeClr w14:val="tx1"/>
            </w14:solidFill>
          </w14:textFill>
        </w:rPr>
        <w:t>邮箱</w:t>
      </w:r>
      <w:r>
        <w:rPr>
          <w:rFonts w:hint="eastAsia" w:ascii="宋体" w:hAnsi="宋体" w:eastAsia="宋体"/>
          <w:color w:val="000000" w:themeColor="text1"/>
          <w14:textFill>
            <w14:solidFill>
              <w14:schemeClr w14:val="tx1"/>
            </w14:solidFill>
          </w14:textFill>
        </w:rPr>
        <w:t>：</w:t>
      </w:r>
      <w:r>
        <w:rPr>
          <w:rFonts w:hint="eastAsia" w:ascii="宋体" w:hAnsi="宋体" w:eastAsia="宋体"/>
          <w:color w:val="000000" w:themeColor="text1"/>
          <w:u w:val="single"/>
          <w14:textFill>
            <w14:solidFill>
              <w14:schemeClr w14:val="tx1"/>
            </w14:solidFill>
          </w14:textFill>
        </w:rPr>
        <w:t xml:space="preserve"> </w:t>
      </w:r>
      <w:r>
        <w:rPr>
          <w:rFonts w:hint="eastAsia" w:ascii="宋体" w:hAnsi="宋体" w:eastAsia="宋体"/>
          <w:color w:val="000000" w:themeColor="text1"/>
          <w:u w:val="single"/>
          <w:lang w:val="en-US" w:eastAsia="zh-CN"/>
          <w14:textFill>
            <w14:solidFill>
              <w14:schemeClr w14:val="tx1"/>
            </w14:solidFill>
          </w14:textFill>
        </w:rPr>
        <w:t xml:space="preserve">                      </w:t>
      </w:r>
      <w:r>
        <w:rPr>
          <w:rFonts w:hint="eastAsia" w:ascii="宋体" w:hAnsi="宋体" w:eastAsia="宋体"/>
          <w:color w:val="000000" w:themeColor="text1"/>
          <w:u w:val="single"/>
          <w14:textFill>
            <w14:solidFill>
              <w14:schemeClr w14:val="tx1"/>
            </w14:solidFill>
          </w14:textFill>
        </w:rPr>
        <w:t xml:space="preserve">     </w:t>
      </w:r>
    </w:p>
    <w:p w14:paraId="4C63BB1B">
      <w:pPr>
        <w:ind w:firstLine="48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开户银行名称：</w:t>
      </w:r>
      <w:r>
        <w:rPr>
          <w:rFonts w:hint="eastAsia" w:ascii="宋体" w:hAnsi="宋体" w:eastAsia="宋体"/>
          <w:color w:val="000000" w:themeColor="text1"/>
          <w:u w:val="single"/>
          <w14:textFill>
            <w14:solidFill>
              <w14:schemeClr w14:val="tx1"/>
            </w14:solidFill>
          </w14:textFill>
        </w:rPr>
        <w:tab/>
      </w:r>
      <w:r>
        <w:rPr>
          <w:rFonts w:hint="eastAsia" w:ascii="宋体" w:hAnsi="宋体" w:eastAsia="宋体"/>
          <w:color w:val="000000" w:themeColor="text1"/>
          <w:u w:val="single"/>
          <w14:textFill>
            <w14:solidFill>
              <w14:schemeClr w14:val="tx1"/>
            </w14:solidFill>
          </w14:textFill>
        </w:rPr>
        <w:tab/>
      </w:r>
      <w:r>
        <w:rPr>
          <w:rFonts w:hint="eastAsia" w:ascii="宋体" w:hAnsi="宋体" w:eastAsia="宋体"/>
          <w:color w:val="000000" w:themeColor="text1"/>
          <w:u w:val="single"/>
          <w14:textFill>
            <w14:solidFill>
              <w14:schemeClr w14:val="tx1"/>
            </w14:solidFill>
          </w14:textFill>
        </w:rPr>
        <w:tab/>
      </w:r>
      <w:r>
        <w:rPr>
          <w:rFonts w:hint="eastAsia" w:ascii="宋体" w:hAnsi="宋体" w:eastAsia="宋体"/>
          <w:color w:val="000000" w:themeColor="text1"/>
          <w:u w:val="single"/>
          <w14:textFill>
            <w14:solidFill>
              <w14:schemeClr w14:val="tx1"/>
            </w14:solidFill>
          </w14:textFill>
        </w:rPr>
        <w:tab/>
      </w:r>
      <w:r>
        <w:rPr>
          <w:rFonts w:hint="eastAsia" w:ascii="宋体" w:hAnsi="宋体" w:eastAsia="宋体"/>
          <w:color w:val="000000" w:themeColor="text1"/>
          <w14:textFill>
            <w14:solidFill>
              <w14:schemeClr w14:val="tx1"/>
            </w14:solidFill>
          </w14:textFill>
        </w:rPr>
        <w:tab/>
      </w:r>
      <w:r>
        <w:rPr>
          <w:rFonts w:hint="eastAsia" w:ascii="宋体" w:hAnsi="宋体" w:eastAsia="宋体"/>
          <w:color w:val="000000" w:themeColor="text1"/>
          <w14:textFill>
            <w14:solidFill>
              <w14:schemeClr w14:val="tx1"/>
            </w14:solidFill>
          </w14:textFill>
        </w:rPr>
        <w:t>开户银行账号：</w:t>
      </w:r>
      <w:r>
        <w:rPr>
          <w:rFonts w:hint="eastAsia" w:ascii="宋体" w:hAnsi="宋体" w:eastAsia="宋体"/>
          <w:color w:val="000000" w:themeColor="text1"/>
          <w:u w:val="single"/>
          <w14:textFill>
            <w14:solidFill>
              <w14:schemeClr w14:val="tx1"/>
            </w14:solidFill>
          </w14:textFill>
        </w:rPr>
        <w:tab/>
      </w:r>
      <w:r>
        <w:rPr>
          <w:rFonts w:hint="eastAsia" w:ascii="宋体" w:hAnsi="宋体" w:eastAsia="宋体"/>
          <w:color w:val="000000" w:themeColor="text1"/>
          <w:u w:val="single"/>
          <w14:textFill>
            <w14:solidFill>
              <w14:schemeClr w14:val="tx1"/>
            </w14:solidFill>
          </w14:textFill>
        </w:rPr>
        <w:tab/>
      </w:r>
      <w:r>
        <w:rPr>
          <w:rFonts w:hint="eastAsia" w:ascii="宋体" w:hAnsi="宋体" w:eastAsia="宋体"/>
          <w:color w:val="000000" w:themeColor="text1"/>
          <w:u w:val="single"/>
          <w14:textFill>
            <w14:solidFill>
              <w14:schemeClr w14:val="tx1"/>
            </w14:solidFill>
          </w14:textFill>
        </w:rPr>
        <w:tab/>
      </w:r>
      <w:r>
        <w:rPr>
          <w:rFonts w:hint="eastAsia" w:ascii="宋体" w:hAnsi="宋体" w:eastAsia="宋体"/>
          <w:color w:val="000000" w:themeColor="text1"/>
          <w:u w:val="single"/>
          <w14:textFill>
            <w14:solidFill>
              <w14:schemeClr w14:val="tx1"/>
            </w14:solidFill>
          </w14:textFill>
        </w:rPr>
        <w:tab/>
      </w:r>
    </w:p>
    <w:p w14:paraId="2B4A64BC">
      <w:pPr>
        <w:ind w:firstLine="48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开户银行地址：</w:t>
      </w:r>
      <w:r>
        <w:rPr>
          <w:rFonts w:hint="eastAsia" w:ascii="宋体" w:hAnsi="宋体" w:eastAsia="宋体"/>
          <w:color w:val="000000" w:themeColor="text1"/>
          <w:u w:val="single"/>
          <w14:textFill>
            <w14:solidFill>
              <w14:schemeClr w14:val="tx1"/>
            </w14:solidFill>
          </w14:textFill>
        </w:rPr>
        <w:tab/>
      </w:r>
      <w:r>
        <w:rPr>
          <w:rFonts w:hint="eastAsia" w:ascii="宋体" w:hAnsi="宋体" w:eastAsia="宋体"/>
          <w:color w:val="000000" w:themeColor="text1"/>
          <w:u w:val="single"/>
          <w14:textFill>
            <w14:solidFill>
              <w14:schemeClr w14:val="tx1"/>
            </w14:solidFill>
          </w14:textFill>
        </w:rPr>
        <w:tab/>
      </w:r>
      <w:r>
        <w:rPr>
          <w:rFonts w:hint="eastAsia" w:ascii="宋体" w:hAnsi="宋体" w:eastAsia="宋体"/>
          <w:color w:val="000000" w:themeColor="text1"/>
          <w:u w:val="single"/>
          <w14:textFill>
            <w14:solidFill>
              <w14:schemeClr w14:val="tx1"/>
            </w14:solidFill>
          </w14:textFill>
        </w:rPr>
        <w:tab/>
      </w:r>
      <w:r>
        <w:rPr>
          <w:rFonts w:hint="eastAsia" w:ascii="宋体" w:hAnsi="宋体" w:eastAsia="宋体"/>
          <w:color w:val="000000" w:themeColor="text1"/>
          <w:u w:val="single"/>
          <w14:textFill>
            <w14:solidFill>
              <w14:schemeClr w14:val="tx1"/>
            </w14:solidFill>
          </w14:textFill>
        </w:rPr>
        <w:tab/>
      </w:r>
      <w:r>
        <w:rPr>
          <w:rFonts w:hint="eastAsia" w:ascii="宋体" w:hAnsi="宋体" w:eastAsia="宋体"/>
          <w:color w:val="000000" w:themeColor="text1"/>
          <w14:textFill>
            <w14:solidFill>
              <w14:schemeClr w14:val="tx1"/>
            </w14:solidFill>
          </w14:textFill>
        </w:rPr>
        <w:tab/>
      </w:r>
      <w:r>
        <w:rPr>
          <w:rFonts w:hint="eastAsia" w:ascii="宋体" w:hAnsi="宋体" w:eastAsia="宋体"/>
          <w:color w:val="000000" w:themeColor="text1"/>
          <w14:textFill>
            <w14:solidFill>
              <w14:schemeClr w14:val="tx1"/>
            </w14:solidFill>
          </w14:textFill>
        </w:rPr>
        <w:t>开户银行电话：</w:t>
      </w:r>
      <w:r>
        <w:rPr>
          <w:rFonts w:hint="eastAsia" w:ascii="宋体" w:hAnsi="宋体" w:eastAsia="宋体"/>
          <w:color w:val="000000" w:themeColor="text1"/>
          <w:u w:val="single"/>
          <w14:textFill>
            <w14:solidFill>
              <w14:schemeClr w14:val="tx1"/>
            </w14:solidFill>
          </w14:textFill>
        </w:rPr>
        <w:tab/>
      </w:r>
      <w:r>
        <w:rPr>
          <w:rFonts w:hint="eastAsia" w:ascii="宋体" w:hAnsi="宋体" w:eastAsia="宋体"/>
          <w:color w:val="000000" w:themeColor="text1"/>
          <w:u w:val="single"/>
          <w14:textFill>
            <w14:solidFill>
              <w14:schemeClr w14:val="tx1"/>
            </w14:solidFill>
          </w14:textFill>
        </w:rPr>
        <w:tab/>
      </w:r>
      <w:r>
        <w:rPr>
          <w:rFonts w:hint="eastAsia" w:ascii="宋体" w:hAnsi="宋体" w:eastAsia="宋体"/>
          <w:color w:val="000000" w:themeColor="text1"/>
          <w:u w:val="single"/>
          <w14:textFill>
            <w14:solidFill>
              <w14:schemeClr w14:val="tx1"/>
            </w14:solidFill>
          </w14:textFill>
        </w:rPr>
        <w:tab/>
      </w:r>
      <w:r>
        <w:rPr>
          <w:rFonts w:hint="eastAsia" w:ascii="宋体" w:hAnsi="宋体" w:eastAsia="宋体"/>
          <w:color w:val="000000" w:themeColor="text1"/>
          <w:u w:val="single"/>
          <w14:textFill>
            <w14:solidFill>
              <w14:schemeClr w14:val="tx1"/>
            </w14:solidFill>
          </w14:textFill>
        </w:rPr>
        <w:tab/>
      </w:r>
    </w:p>
    <w:p w14:paraId="25DDA1A7">
      <w:pPr>
        <w:ind w:firstLine="480" w:firstLineChars="200"/>
        <w:rPr>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日期：</w:t>
      </w:r>
      <w:r>
        <w:rPr>
          <w:rFonts w:hint="eastAsia" w:ascii="宋体" w:hAnsi="宋体" w:eastAsia="宋体"/>
          <w:color w:val="000000" w:themeColor="text1"/>
          <w:u w:val="single"/>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年</w:t>
      </w:r>
      <w:r>
        <w:rPr>
          <w:rFonts w:hint="eastAsia" w:ascii="宋体" w:hAnsi="宋体" w:eastAsia="宋体"/>
          <w:color w:val="000000" w:themeColor="text1"/>
          <w:u w:val="single"/>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月</w:t>
      </w:r>
      <w:r>
        <w:rPr>
          <w:rFonts w:hint="eastAsia" w:ascii="宋体" w:hAnsi="宋体" w:eastAsia="宋体"/>
          <w:color w:val="000000" w:themeColor="text1"/>
          <w:u w:val="single"/>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 xml:space="preserve">日    </w:t>
      </w:r>
      <w:r>
        <w:rPr>
          <w:rFonts w:hint="eastAsia"/>
          <w:color w:val="000000" w:themeColor="text1"/>
          <w14:textFill>
            <w14:solidFill>
              <w14:schemeClr w14:val="tx1"/>
            </w14:solidFill>
          </w14:textFill>
        </w:rPr>
        <w:t xml:space="preserve">                            </w:t>
      </w:r>
    </w:p>
    <w:p w14:paraId="0A4A5FDD">
      <w:pPr>
        <w:rPr>
          <w:rFonts w:ascii="黑体" w:hAnsi="宋体" w:eastAsia="黑体"/>
          <w:color w:val="000000" w:themeColor="text1"/>
          <w14:textFill>
            <w14:solidFill>
              <w14:schemeClr w14:val="tx1"/>
            </w14:solidFill>
          </w14:textFill>
        </w:rPr>
      </w:pPr>
    </w:p>
    <w:p w14:paraId="7267ADD6">
      <w:pPr>
        <w:rPr>
          <w:rFonts w:ascii="宋体" w:hAnsi="宋体"/>
          <w:color w:val="000000" w:themeColor="text1"/>
          <w:szCs w:val="21"/>
          <w14:textFill>
            <w14:solidFill>
              <w14:schemeClr w14:val="tx1"/>
            </w14:solidFill>
          </w14:textFill>
        </w:rPr>
      </w:pPr>
    </w:p>
    <w:p w14:paraId="14E0E62F">
      <w:pPr>
        <w:rPr>
          <w:rFonts w:ascii="黑体" w:hAnsi="宋体" w:eastAsia="黑体"/>
          <w:color w:val="000000" w:themeColor="text1"/>
          <w14:textFill>
            <w14:solidFill>
              <w14:schemeClr w14:val="tx1"/>
            </w14:solidFill>
          </w14:textFill>
        </w:rPr>
      </w:pPr>
    </w:p>
    <w:p w14:paraId="130005B3">
      <w:pPr>
        <w:rPr>
          <w:rFonts w:ascii="黑体" w:hAnsi="宋体" w:eastAsia="黑体"/>
          <w:color w:val="000000" w:themeColor="text1"/>
          <w14:textFill>
            <w14:solidFill>
              <w14:schemeClr w14:val="tx1"/>
            </w14:solidFill>
          </w14:textFill>
        </w:rPr>
      </w:pPr>
    </w:p>
    <w:p w14:paraId="55965961">
      <w:pPr>
        <w:rPr>
          <w:rFonts w:ascii="黑体" w:hAnsi="宋体" w:eastAsia="黑体"/>
          <w:color w:val="000000" w:themeColor="text1"/>
          <w14:textFill>
            <w14:solidFill>
              <w14:schemeClr w14:val="tx1"/>
            </w14:solidFill>
          </w14:textFill>
        </w:rPr>
      </w:pPr>
    </w:p>
    <w:p w14:paraId="13F88B40">
      <w:pPr>
        <w:pStyle w:val="3"/>
        <w:jc w:val="center"/>
        <w:rPr>
          <w:rFonts w:ascii="黑体" w:eastAsia="黑体"/>
          <w:b w:val="0"/>
          <w:color w:val="000000" w:themeColor="text1"/>
          <w:sz w:val="24"/>
          <w14:textFill>
            <w14:solidFill>
              <w14:schemeClr w14:val="tx1"/>
            </w14:solidFill>
          </w14:textFill>
        </w:rPr>
      </w:pPr>
      <w:r>
        <w:rPr>
          <w:rFonts w:hint="eastAsia" w:ascii="黑体" w:eastAsia="黑体"/>
          <w:b w:val="0"/>
          <w:color w:val="000000" w:themeColor="text1"/>
          <w:sz w:val="24"/>
          <w14:textFill>
            <w14:solidFill>
              <w14:schemeClr w14:val="tx1"/>
            </w14:solidFill>
          </w14:textFill>
        </w:rPr>
        <w:br w:type="page"/>
      </w:r>
      <w:r>
        <w:rPr>
          <w:rFonts w:hint="eastAsia" w:ascii="黑体" w:eastAsia="黑体"/>
          <w:b w:val="0"/>
          <w:color w:val="000000" w:themeColor="text1"/>
          <w:sz w:val="24"/>
          <w14:textFill>
            <w14:solidFill>
              <w14:schemeClr w14:val="tx1"/>
            </w14:solidFill>
          </w14:textFill>
        </w:rPr>
        <w:t>二、政府采购投标及履约承诺函</w:t>
      </w:r>
    </w:p>
    <w:p w14:paraId="7E8015DB">
      <w:pP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致：</w:t>
      </w:r>
      <w:r>
        <w:rPr>
          <w:rFonts w:hint="eastAsia" w:ascii="宋体" w:hAnsi="宋体" w:eastAsia="宋体"/>
          <w:color w:val="000000" w:themeColor="text1"/>
          <w:u w:val="single"/>
          <w14:textFill>
            <w14:solidFill>
              <w14:schemeClr w14:val="tx1"/>
            </w14:solidFill>
          </w14:textFill>
        </w:rPr>
        <w:t>友和保险经纪有限公司</w:t>
      </w:r>
    </w:p>
    <w:p w14:paraId="7F952564">
      <w:pPr>
        <w:ind w:right="-815" w:firstLine="48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我单位承诺：</w:t>
      </w:r>
    </w:p>
    <w:p w14:paraId="13A0A190">
      <w:pPr>
        <w:ind w:firstLine="48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1.</w:t>
      </w:r>
      <w:r>
        <w:rPr>
          <w:rFonts w:hint="eastAsia" w:ascii="宋体" w:hAnsi="宋体"/>
          <w:szCs w:val="21"/>
        </w:rPr>
        <w:t>我单位参与本项目所投标（响应）的货物、工程或服务，不存在侵犯知识产权的情况；已知悉并同意中标（成交）结果信息公示（公开）的内容。</w:t>
      </w:r>
    </w:p>
    <w:p w14:paraId="6AAF0378">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宋体" w:hAnsi="宋体" w:eastAsia="宋体"/>
          <w:lang w:eastAsia="zh-CN"/>
        </w:rPr>
      </w:pPr>
      <w:r>
        <w:rPr>
          <w:rFonts w:hint="eastAsia" w:ascii="宋体" w:hAnsi="宋体" w:eastAsia="宋体"/>
          <w:color w:val="000000" w:themeColor="text1"/>
          <w14:textFill>
            <w14:solidFill>
              <w14:schemeClr w14:val="tx1"/>
            </w14:solidFill>
          </w14:textFill>
        </w:rPr>
        <w:t>2.</w:t>
      </w:r>
      <w:r>
        <w:rPr>
          <w:rFonts w:hint="eastAsia" w:ascii="宋体" w:hAnsi="宋体"/>
          <w:szCs w:val="21"/>
        </w:rPr>
        <w:t>我单位参与该项目投标，</w:t>
      </w:r>
      <w:r>
        <w:rPr>
          <w:rFonts w:hint="eastAsia" w:ascii="宋体" w:hAnsi="宋体" w:eastAsia="宋体"/>
        </w:rPr>
        <w:t>不</w:t>
      </w:r>
      <w:r>
        <w:rPr>
          <w:rFonts w:hint="eastAsia" w:ascii="宋体" w:hAnsi="宋体" w:eastAsia="宋体"/>
          <w:lang w:eastAsia="zh-CN"/>
        </w:rPr>
        <w:t>采用</w:t>
      </w:r>
      <w:r>
        <w:rPr>
          <w:rFonts w:hint="eastAsia" w:ascii="宋体" w:hAnsi="宋体" w:eastAsia="宋体"/>
        </w:rPr>
        <w:t>联合体投标</w:t>
      </w:r>
      <w:r>
        <w:rPr>
          <w:rFonts w:hint="eastAsia" w:ascii="宋体" w:hAnsi="宋体" w:eastAsia="宋体"/>
          <w:lang w:eastAsia="zh-CN"/>
        </w:rPr>
        <w:t>，</w:t>
      </w:r>
      <w:r>
        <w:rPr>
          <w:rFonts w:hint="eastAsia" w:ascii="宋体" w:hAnsi="宋体" w:eastAsia="宋体"/>
        </w:rPr>
        <w:t>不</w:t>
      </w:r>
      <w:r>
        <w:rPr>
          <w:rFonts w:hint="eastAsia" w:ascii="宋体" w:hAnsi="宋体" w:eastAsia="宋体"/>
          <w:lang w:eastAsia="zh-CN"/>
        </w:rPr>
        <w:t>使用</w:t>
      </w:r>
      <w:r>
        <w:rPr>
          <w:rFonts w:hint="eastAsia" w:ascii="宋体" w:hAnsi="宋体" w:eastAsia="宋体"/>
        </w:rPr>
        <w:t>进口产品参与投标</w:t>
      </w:r>
      <w:r>
        <w:rPr>
          <w:rFonts w:hint="eastAsia" w:ascii="宋体" w:hAnsi="宋体" w:eastAsia="宋体"/>
          <w:lang w:eastAsia="zh-CN"/>
        </w:rPr>
        <w:t>。</w:t>
      </w:r>
    </w:p>
    <w:p w14:paraId="3FD64320">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宋体" w:hAnsi="宋体"/>
          <w:szCs w:val="21"/>
        </w:rPr>
      </w:pPr>
      <w:r>
        <w:rPr>
          <w:rFonts w:hint="eastAsia" w:ascii="宋体" w:hAnsi="宋体"/>
          <w:szCs w:val="21"/>
        </w:rPr>
        <w:t>3.我单位参与本项目政府采购活动时不存在被有关部门禁止参与政府采购活动且在有效期内的情况。</w:t>
      </w:r>
    </w:p>
    <w:p w14:paraId="04929CA3">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宋体" w:hAnsi="宋体"/>
          <w:szCs w:val="21"/>
        </w:rPr>
      </w:pPr>
      <w:r>
        <w:rPr>
          <w:rFonts w:hint="eastAsia" w:ascii="宋体" w:hAnsi="宋体"/>
          <w:szCs w:val="21"/>
        </w:rPr>
        <w:t>4.我单位具备《中华人民共和国政府采购法》第二十二条第一款规定的六项条件。</w:t>
      </w:r>
    </w:p>
    <w:p w14:paraId="5DB5103E">
      <w:pPr>
        <w:ind w:firstLine="48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5.我单位未被列入失信被执行人、</w:t>
      </w:r>
      <w:r>
        <w:rPr>
          <w:rFonts w:hint="eastAsia" w:ascii="宋体" w:hAnsi="宋体" w:eastAsia="宋体"/>
          <w:color w:val="000000" w:themeColor="text1"/>
          <w:lang w:eastAsia="zh-CN"/>
          <w14:textFill>
            <w14:solidFill>
              <w14:schemeClr w14:val="tx1"/>
            </w14:solidFill>
          </w14:textFill>
        </w:rPr>
        <w:t>重大税收违法失信主体</w:t>
      </w:r>
      <w:r>
        <w:rPr>
          <w:rFonts w:hint="eastAsia" w:ascii="宋体" w:hAnsi="宋体" w:eastAsia="宋体"/>
          <w:color w:val="000000" w:themeColor="text1"/>
          <w14:textFill>
            <w14:solidFill>
              <w14:schemeClr w14:val="tx1"/>
            </w14:solidFill>
          </w14:textFill>
        </w:rPr>
        <w:t>、政府采购严重违法失信行为记录名单</w:t>
      </w:r>
      <w:r>
        <w:rPr>
          <w:rFonts w:hint="eastAsia" w:ascii="宋体" w:hAnsi="宋体" w:eastAsia="宋体"/>
          <w:color w:val="000000" w:themeColor="text1"/>
          <w:lang w:eastAsia="zh-CN"/>
          <w14:textFill>
            <w14:solidFill>
              <w14:schemeClr w14:val="tx1"/>
            </w14:solidFill>
          </w14:textFill>
        </w:rPr>
        <w:t>；不存在《深圳市财政局政府采购供应商信用信息管理办法》（深财规〔2023〕3号）列明的严重违法失信行为。</w:t>
      </w:r>
    </w:p>
    <w:p w14:paraId="2400117D">
      <w:pPr>
        <w:ind w:firstLine="48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6.我单位参与该项目投标，严格遵守政府采购相关法律，不造假，不围标、串标、陪标。我单位已清楚，如违反上述要求，投标将作无效处理，被列入不良记录名单并在网上曝光，同时将被提请政府采购主管部门给予一定年限</w:t>
      </w:r>
      <w:r>
        <w:rPr>
          <w:rFonts w:ascii="宋体" w:hAnsi="宋体" w:eastAsia="宋体"/>
          <w:color w:val="000000" w:themeColor="text1"/>
          <w14:textFill>
            <w14:solidFill>
              <w14:schemeClr w14:val="tx1"/>
            </w14:solidFill>
          </w14:textFill>
        </w:rPr>
        <w:t>内禁止参与政府采购活动或其他处罚。</w:t>
      </w:r>
    </w:p>
    <w:p w14:paraId="534A3D8C">
      <w:pPr>
        <w:ind w:firstLine="480" w:firstLineChars="200"/>
        <w:rPr>
          <w:rFonts w:ascii="宋体" w:hAnsi="宋体" w:eastAsia="宋体"/>
          <w:color w:val="000000" w:themeColor="text1"/>
          <w14:textFill>
            <w14:solidFill>
              <w14:schemeClr w14:val="tx1"/>
            </w14:solidFill>
          </w14:textFill>
        </w:rPr>
      </w:pPr>
      <w:r>
        <w:rPr>
          <w:rFonts w:ascii="宋体" w:hAnsi="宋体" w:eastAsia="宋体"/>
          <w:color w:val="000000" w:themeColor="text1"/>
          <w14:textFill>
            <w14:solidFill>
              <w14:schemeClr w14:val="tx1"/>
            </w14:solidFill>
          </w14:textFill>
        </w:rPr>
        <w:t>7.</w:t>
      </w:r>
      <w:r>
        <w:rPr>
          <w:rFonts w:hint="eastAsia" w:ascii="宋体" w:hAnsi="宋体" w:eastAsia="宋体"/>
          <w:color w:val="000000" w:themeColor="text1"/>
          <w14:textFill>
            <w14:solidFill>
              <w14:schemeClr w14:val="tx1"/>
            </w14:solidFill>
          </w14:textFill>
        </w:rPr>
        <w:t>我单位不存在“单位负责人为同一人或者存在直接控股、管理关系的不同供应商，参加同一合同项下的政府采购活动”的情形；不存在不同投标供应商法定代表人、主要经营负责人、投标授权代表人、项目负责人、主要技术人员、投标文件编制人员为同一人、属同一单位或者在同一单位缴纳社会保险的情形。</w:t>
      </w:r>
    </w:p>
    <w:p w14:paraId="5EFC1BB8">
      <w:pPr>
        <w:ind w:firstLine="48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8</w:t>
      </w:r>
      <w:r>
        <w:rPr>
          <w:rFonts w:ascii="宋体" w:hAnsi="宋体" w:eastAsia="宋体"/>
          <w:color w:val="000000" w:themeColor="text1"/>
          <w14:textFill>
            <w14:solidFill>
              <w14:schemeClr w14:val="tx1"/>
            </w14:solidFill>
          </w14:textFill>
        </w:rPr>
        <w:t>.我单位如果中标，做到守信，不偷工减料，依</w:t>
      </w:r>
      <w:r>
        <w:rPr>
          <w:rFonts w:hint="eastAsia" w:ascii="宋体" w:hAnsi="宋体" w:eastAsia="宋体"/>
          <w:color w:val="000000" w:themeColor="text1"/>
          <w14:textFill>
            <w14:solidFill>
              <w14:schemeClr w14:val="tx1"/>
            </w14:solidFill>
          </w14:textFill>
        </w:rPr>
        <w:t>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013D3E4E">
      <w:pPr>
        <w:ind w:firstLine="48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9</w:t>
      </w:r>
      <w:r>
        <w:rPr>
          <w:rFonts w:ascii="宋体" w:hAnsi="宋体" w:eastAsia="宋体"/>
          <w:color w:val="000000" w:themeColor="text1"/>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我单位清楚，若以</w:t>
      </w:r>
      <w:r>
        <w:rPr>
          <w:rFonts w:ascii="宋体" w:hAnsi="宋体" w:eastAsia="宋体"/>
          <w:color w:val="000000" w:themeColor="text1"/>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报价太低而无法履约</w:t>
      </w:r>
      <w:r>
        <w:rPr>
          <w:rFonts w:ascii="宋体" w:hAnsi="宋体" w:eastAsia="宋体"/>
          <w:color w:val="000000" w:themeColor="text1"/>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为理由放弃本项目中标资格时，愿意接受主管部门的处理处罚。若我单位中标本项目，我单位的报价明显低于其他通过符合性审查投标人的报价时，我单位清楚，本项目将成为重点监管、重点验收项目，我单位将按时保质保量完成，并全力配合有关监管、验收工作；若我单位未按上述要求履约，我单位愿意接受主管部门的处理处罚。</w:t>
      </w:r>
    </w:p>
    <w:p w14:paraId="3A165256">
      <w:pPr>
        <w:ind w:firstLine="480" w:firstLineChars="200"/>
        <w:rPr>
          <w:rFonts w:ascii="宋体" w:hAnsi="宋体" w:eastAsia="宋体"/>
          <w:color w:val="000000" w:themeColor="text1"/>
          <w14:textFill>
            <w14:solidFill>
              <w14:schemeClr w14:val="tx1"/>
            </w14:solidFill>
          </w14:textFill>
        </w:rPr>
      </w:pPr>
      <w:r>
        <w:rPr>
          <w:rFonts w:ascii="宋体" w:hAnsi="宋体" w:eastAsia="宋体"/>
          <w:color w:val="000000" w:themeColor="text1"/>
          <w14:textFill>
            <w14:solidFill>
              <w14:schemeClr w14:val="tx1"/>
            </w14:solidFill>
          </w14:textFill>
        </w:rPr>
        <w:t>10.</w:t>
      </w:r>
      <w:r>
        <w:rPr>
          <w:rFonts w:hint="eastAsia" w:ascii="宋体" w:hAnsi="宋体" w:eastAsia="宋体"/>
          <w:color w:val="000000" w:themeColor="text1"/>
          <w14:textFill>
            <w14:solidFill>
              <w14:schemeClr w14:val="tx1"/>
            </w14:solidFill>
          </w14:textFill>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4D7DAA10">
      <w:pPr>
        <w:ind w:firstLine="48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1</w:t>
      </w:r>
      <w:r>
        <w:rPr>
          <w:rFonts w:ascii="宋体" w:hAnsi="宋体" w:eastAsia="宋体"/>
          <w:color w:val="000000" w:themeColor="text1"/>
          <w14:textFill>
            <w14:solidFill>
              <w14:schemeClr w14:val="tx1"/>
            </w14:solidFill>
          </w14:textFill>
        </w:rPr>
        <w:t>1</w:t>
      </w:r>
      <w:r>
        <w:rPr>
          <w:rFonts w:hint="eastAsia" w:ascii="宋体" w:hAnsi="宋体" w:eastAsia="宋体"/>
          <w:color w:val="000000" w:themeColor="text1"/>
          <w14:textFill>
            <w14:solidFill>
              <w14:schemeClr w14:val="tx1"/>
            </w14:solidFill>
          </w14:textFill>
        </w:rPr>
        <w:t>.我</w:t>
      </w:r>
      <w:r>
        <w:rPr>
          <w:rFonts w:hint="eastAsia" w:ascii="宋体" w:hAnsi="宋体" w:eastAsia="宋体"/>
          <w:color w:val="000000" w:themeColor="text1"/>
          <w:lang w:val="en-US" w:eastAsia="zh-CN"/>
          <w14:textFill>
            <w14:solidFill>
              <w14:schemeClr w14:val="tx1"/>
            </w14:solidFill>
          </w14:textFill>
        </w:rPr>
        <w:t>单位</w:t>
      </w:r>
      <w:r>
        <w:rPr>
          <w:rFonts w:hint="eastAsia" w:ascii="宋体" w:hAnsi="宋体" w:eastAsia="宋体"/>
          <w:color w:val="000000" w:themeColor="text1"/>
          <w14:textFill>
            <w14:solidFill>
              <w14:schemeClr w14:val="tx1"/>
            </w14:solidFill>
          </w14:textFill>
        </w:rPr>
        <w:t>承诺中标后项目不转包，未经采购人同意不进行分包。</w:t>
      </w:r>
    </w:p>
    <w:p w14:paraId="02C30789">
      <w:pPr>
        <w:ind w:firstLine="48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1</w:t>
      </w:r>
      <w:r>
        <w:rPr>
          <w:rFonts w:ascii="宋体" w:hAnsi="宋体" w:eastAsia="宋体"/>
          <w:color w:val="000000" w:themeColor="text1"/>
          <w14:textFill>
            <w14:solidFill>
              <w14:schemeClr w14:val="tx1"/>
            </w14:solidFill>
          </w14:textFill>
        </w:rPr>
        <w:t>2.</w:t>
      </w:r>
      <w:r>
        <w:rPr>
          <w:rFonts w:hint="eastAsia" w:ascii="宋体" w:hAnsi="宋体" w:eastAsia="宋体"/>
          <w:color w:val="000000" w:themeColor="text1"/>
          <w14:textFill>
            <w14:solidFill>
              <w14:schemeClr w14:val="tx1"/>
            </w14:solidFill>
          </w14:textFill>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27F075F6">
      <w:pPr>
        <w:ind w:firstLine="480" w:firstLineChars="200"/>
        <w:rPr>
          <w:rFonts w:ascii="宋体" w:hAnsi="宋体" w:eastAsia="宋体"/>
          <w:color w:val="000000" w:themeColor="text1"/>
          <w14:textFill>
            <w14:solidFill>
              <w14:schemeClr w14:val="tx1"/>
            </w14:solidFill>
          </w14:textFill>
        </w:rPr>
      </w:pPr>
      <w:r>
        <w:rPr>
          <w:rFonts w:ascii="宋体" w:hAnsi="宋体" w:eastAsia="宋体"/>
          <w:color w:val="000000" w:themeColor="text1"/>
          <w14:textFill>
            <w14:solidFill>
              <w14:schemeClr w14:val="tx1"/>
            </w14:solidFill>
          </w14:textFill>
        </w:rPr>
        <w:t>13.</w:t>
      </w:r>
      <w:r>
        <w:rPr>
          <w:rFonts w:hint="eastAsia" w:ascii="宋体" w:hAnsi="宋体" w:eastAsia="宋体"/>
          <w:color w:val="000000" w:themeColor="text1"/>
          <w14:textFill>
            <w14:solidFill>
              <w14:schemeClr w14:val="tx1"/>
            </w14:solidFill>
          </w14:textFill>
        </w:rPr>
        <w:t>我单位保证，若所投货物涉及</w:t>
      </w:r>
      <w:r>
        <w:rPr>
          <w:rFonts w:ascii="宋体" w:hAnsi="宋体" w:eastAsia="宋体"/>
          <w:color w:val="000000" w:themeColor="text1"/>
          <w14:textFill>
            <w14:solidFill>
              <w14:schemeClr w14:val="tx1"/>
            </w14:solidFill>
          </w14:textFill>
        </w:rPr>
        <w:t>《</w:t>
      </w:r>
      <w:r>
        <w:rPr>
          <w:rFonts w:hint="eastAsia" w:ascii="宋体" w:hAnsi="宋体" w:eastAsia="宋体"/>
          <w:color w:val="000000" w:themeColor="text1"/>
          <w14:textFill>
            <w14:solidFill>
              <w14:schemeClr w14:val="tx1"/>
            </w14:solidFill>
          </w14:textFill>
        </w:rPr>
        <w:t>财政部生态环境部关于印发节能产品政府采购品目清单的通知》（财库〔20</w:t>
      </w:r>
      <w:r>
        <w:rPr>
          <w:rFonts w:ascii="宋体" w:hAnsi="宋体" w:eastAsia="宋体"/>
          <w:color w:val="000000" w:themeColor="text1"/>
          <w14:textFill>
            <w14:solidFill>
              <w14:schemeClr w14:val="tx1"/>
            </w14:solidFill>
          </w14:textFill>
        </w:rPr>
        <w:t>19</w:t>
      </w:r>
      <w:r>
        <w:rPr>
          <w:rFonts w:hint="eastAsia" w:ascii="宋体" w:hAnsi="宋体" w:eastAsia="宋体"/>
          <w:color w:val="000000" w:themeColor="text1"/>
          <w14:textFill>
            <w14:solidFill>
              <w14:schemeClr w14:val="tx1"/>
            </w14:solidFill>
          </w14:textFill>
        </w:rPr>
        <w:t>〕</w:t>
      </w:r>
      <w:r>
        <w:rPr>
          <w:rFonts w:ascii="宋体" w:hAnsi="宋体" w:eastAsia="宋体"/>
          <w:color w:val="000000" w:themeColor="text1"/>
          <w14:textFill>
            <w14:solidFill>
              <w14:schemeClr w14:val="tx1"/>
            </w14:solidFill>
          </w14:textFill>
        </w:rPr>
        <w:t>19</w:t>
      </w:r>
      <w:r>
        <w:rPr>
          <w:rFonts w:hint="eastAsia" w:ascii="宋体" w:hAnsi="宋体" w:eastAsia="宋体"/>
          <w:color w:val="000000" w:themeColor="text1"/>
          <w14:textFill>
            <w14:solidFill>
              <w14:schemeClr w14:val="tx1"/>
            </w14:solidFill>
          </w14:textFill>
        </w:rPr>
        <w:t>号）列明的政府采购强制产品，则所投该产品符合节能产品的认证要求。</w:t>
      </w:r>
    </w:p>
    <w:p w14:paraId="36376877">
      <w:pPr>
        <w:pStyle w:val="6"/>
        <w:rPr>
          <w:rFonts w:ascii="宋体" w:hAnsi="宋体" w:eastAsia="宋体" w:cs="宋体"/>
          <w:color w:val="000000" w:themeColor="text1"/>
          <w:szCs w:val="24"/>
          <w14:textFill>
            <w14:solidFill>
              <w14:schemeClr w14:val="tx1"/>
            </w14:solidFill>
          </w14:textFill>
        </w:rPr>
      </w:pPr>
      <w:r>
        <w:rPr>
          <w:rFonts w:hint="eastAsia" w:ascii="宋体" w:hAnsi="宋体" w:eastAsia="宋体"/>
          <w:szCs w:val="24"/>
        </w:rPr>
        <w:t>1</w:t>
      </w:r>
      <w:r>
        <w:rPr>
          <w:rFonts w:ascii="宋体" w:hAnsi="宋体" w:eastAsia="宋体"/>
          <w:szCs w:val="24"/>
        </w:rPr>
        <w:t>4.</w:t>
      </w:r>
      <w:r>
        <w:rPr>
          <w:rFonts w:hint="eastAsia" w:ascii="宋体" w:hAnsi="宋体" w:eastAsia="宋体" w:cs="宋体"/>
          <w:color w:val="000000" w:themeColor="text1"/>
          <w:szCs w:val="24"/>
          <w14:textFill>
            <w14:solidFill>
              <w14:schemeClr w14:val="tx1"/>
            </w14:solidFill>
          </w14:textFill>
        </w:rPr>
        <w:t xml:space="preserve"> 我单位承诺未为本项目提供整体设计、规范编制或者管理、监理、检测等服务。</w:t>
      </w:r>
    </w:p>
    <w:p w14:paraId="0B4A46FD">
      <w:pPr>
        <w:pStyle w:val="6"/>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1</w:t>
      </w:r>
      <w:r>
        <w:rPr>
          <w:rFonts w:ascii="宋体" w:hAnsi="宋体" w:eastAsia="宋体" w:cs="宋体"/>
          <w:color w:val="000000" w:themeColor="text1"/>
          <w:szCs w:val="24"/>
          <w14:textFill>
            <w14:solidFill>
              <w14:schemeClr w14:val="tx1"/>
            </w14:solidFill>
          </w14:textFill>
        </w:rPr>
        <w:t>5.</w:t>
      </w:r>
      <w:r>
        <w:rPr>
          <w:rFonts w:hint="eastAsia" w:ascii="宋体" w:hAnsi="宋体" w:eastAsia="宋体" w:cs="宋体"/>
          <w:color w:val="000000" w:themeColor="text1"/>
          <w:szCs w:val="24"/>
          <w14:textFill>
            <w14:solidFill>
              <w14:schemeClr w14:val="tx1"/>
            </w14:solidFill>
          </w14:textFill>
        </w:rPr>
        <w:t>我单位承诺，参与本项目投标前三年内，未受过环境监测行政主管部门行政处罚或未有被政府相关部门（如质检部门等）、媒体通报弄虚作假等情形。</w:t>
      </w:r>
      <w:r>
        <w:rPr>
          <w:rFonts w:ascii="宋体" w:hAnsi="宋体" w:eastAsia="宋体" w:cs="宋体"/>
          <w:color w:val="000000" w:themeColor="text1"/>
          <w:szCs w:val="24"/>
          <w14:textFill>
            <w14:solidFill>
              <w14:schemeClr w14:val="tx1"/>
            </w14:solidFill>
          </w14:textFill>
        </w:rPr>
        <w:t xml:space="preserve"> </w:t>
      </w:r>
    </w:p>
    <w:p w14:paraId="5F194863">
      <w:pPr>
        <w:pStyle w:val="6"/>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lang w:val="en-US" w:eastAsia="zh-CN"/>
          <w14:textFill>
            <w14:solidFill>
              <w14:schemeClr w14:val="tx1"/>
            </w14:solidFill>
          </w14:textFill>
        </w:rPr>
        <w:t>16.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r>
        <w:rPr>
          <w:rFonts w:ascii="宋体" w:hAnsi="宋体" w:eastAsia="宋体" w:cs="宋体"/>
          <w:color w:val="000000" w:themeColor="text1"/>
          <w:szCs w:val="24"/>
          <w14:textFill>
            <w14:solidFill>
              <w14:schemeClr w14:val="tx1"/>
            </w14:solidFill>
          </w14:textFill>
        </w:rPr>
        <w:t xml:space="preserve"> </w:t>
      </w:r>
    </w:p>
    <w:p w14:paraId="4B3AA2B1">
      <w:pPr>
        <w:ind w:firstLine="480" w:firstLineChars="200"/>
        <w:rPr>
          <w:rFonts w:hint="eastAsia"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17.我单位承诺，不同投标供应商不存在直接控股、管理关系的情形。</w:t>
      </w:r>
    </w:p>
    <w:p w14:paraId="2AB2DEF6">
      <w:pPr>
        <w:ind w:firstLine="48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以上承诺，如有违反，愿依照国家相关法律法规处理，并承担由此给采购人带来的损失。</w:t>
      </w:r>
    </w:p>
    <w:p w14:paraId="4697A9F2">
      <w:pPr>
        <w:spacing w:before="60" w:beforeLines="25" w:after="60" w:afterLines="25"/>
        <w:ind w:firstLine="6240" w:firstLineChars="26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 xml:space="preserve">                                    </w:t>
      </w:r>
    </w:p>
    <w:p w14:paraId="540FB4BA">
      <w:pPr>
        <w:spacing w:before="60" w:beforeLines="25" w:after="60" w:afterLines="25"/>
        <w:ind w:firstLine="6240" w:firstLineChars="26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投标人：</w:t>
      </w:r>
      <w:r>
        <w:rPr>
          <w:rFonts w:hint="eastAsia" w:ascii="宋体" w:hAnsi="宋体" w:eastAsia="宋体"/>
          <w:color w:val="000000" w:themeColor="text1"/>
          <w:u w:val="single"/>
          <w14:textFill>
            <w14:solidFill>
              <w14:schemeClr w14:val="tx1"/>
            </w14:solidFill>
          </w14:textFill>
        </w:rPr>
        <w:t xml:space="preserve">              </w:t>
      </w:r>
    </w:p>
    <w:p w14:paraId="78A0168B">
      <w:pPr>
        <w:ind w:firstLine="645"/>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 xml:space="preserve">                                        日期：</w:t>
      </w:r>
      <w:r>
        <w:rPr>
          <w:rFonts w:hint="eastAsia" w:ascii="宋体" w:hAnsi="宋体" w:eastAsia="宋体"/>
          <w:color w:val="000000" w:themeColor="text1"/>
          <w:u w:val="single"/>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年</w:t>
      </w:r>
      <w:r>
        <w:rPr>
          <w:rFonts w:hint="eastAsia" w:ascii="宋体" w:hAnsi="宋体" w:eastAsia="宋体"/>
          <w:color w:val="000000" w:themeColor="text1"/>
          <w:u w:val="single"/>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月</w:t>
      </w:r>
      <w:r>
        <w:rPr>
          <w:rFonts w:hint="eastAsia" w:ascii="宋体" w:hAnsi="宋体" w:eastAsia="宋体"/>
          <w:color w:val="000000" w:themeColor="text1"/>
          <w:u w:val="single"/>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日</w:t>
      </w:r>
    </w:p>
    <w:p w14:paraId="69E4E156">
      <w:pPr>
        <w:rPr>
          <w:rFonts w:ascii="宋体" w:hAnsi="宋体" w:eastAsia="宋体"/>
          <w:color w:val="000000" w:themeColor="text1"/>
          <w14:textFill>
            <w14:solidFill>
              <w14:schemeClr w14:val="tx1"/>
            </w14:solidFill>
          </w14:textFill>
        </w:rPr>
      </w:pPr>
    </w:p>
    <w:p w14:paraId="3B58AE82">
      <w:pPr>
        <w:rPr>
          <w:rFonts w:ascii="宋体" w:hAnsi="宋体" w:eastAsia="宋体" w:cs="宋体"/>
          <w:color w:val="000000" w:themeColor="text1"/>
          <w:szCs w:val="21"/>
          <w14:textFill>
            <w14:solidFill>
              <w14:schemeClr w14:val="tx1"/>
            </w14:solidFill>
          </w14:textFill>
        </w:rPr>
      </w:pPr>
    </w:p>
    <w:p w14:paraId="096F5BC6">
      <w:pPr>
        <w:pStyle w:val="6"/>
      </w:pPr>
    </w:p>
    <w:p w14:paraId="6BD63C26"/>
    <w:p w14:paraId="7035DC50">
      <w:pPr>
        <w:rPr>
          <w:color w:val="000000" w:themeColor="text1"/>
          <w14:textFill>
            <w14:solidFill>
              <w14:schemeClr w14:val="tx1"/>
            </w14:solidFill>
          </w14:textFill>
        </w:rPr>
      </w:pPr>
      <w:r>
        <w:rPr>
          <w:color w:val="000000" w:themeColor="text1"/>
          <w14:textFill>
            <w14:solidFill>
              <w14:schemeClr w14:val="tx1"/>
            </w14:solidFill>
          </w14:textFill>
        </w:rPr>
        <w:br w:type="page"/>
      </w:r>
    </w:p>
    <w:p w14:paraId="7013F5A8">
      <w:pPr>
        <w:pStyle w:val="3"/>
        <w:jc w:val="center"/>
      </w:pPr>
      <w:r>
        <w:rPr>
          <w:rFonts w:hint="eastAsia" w:ascii="黑体" w:eastAsia="黑体"/>
          <w:b w:val="0"/>
          <w:color w:val="000000" w:themeColor="text1"/>
          <w:sz w:val="24"/>
          <w14:textFill>
            <w14:solidFill>
              <w14:schemeClr w14:val="tx1"/>
            </w14:solidFill>
          </w14:textFill>
        </w:rPr>
        <w:t>三、投标人情况及资格证明文件</w:t>
      </w:r>
    </w:p>
    <w:p w14:paraId="4836B3EE">
      <w:pPr>
        <w:ind w:firstLine="480" w:firstLineChars="200"/>
        <w:outlineLvl w:val="3"/>
        <w:rPr>
          <w:rFonts w:hint="eastAsia" w:ascii="宋体" w:hAnsi="宋体" w:eastAsia="宋体"/>
          <w:bCs/>
          <w:szCs w:val="32"/>
          <w:lang w:val="en-US" w:eastAsia="zh-CN" w:bidi="ar-SA"/>
        </w:rPr>
      </w:pPr>
      <w:r>
        <w:rPr>
          <w:rFonts w:hint="eastAsia" w:ascii="宋体" w:hAnsi="宋体" w:eastAsia="宋体"/>
          <w:bCs/>
          <w:szCs w:val="32"/>
          <w:lang w:val="en-US" w:eastAsia="zh-CN" w:bidi="ar-SA"/>
        </w:rPr>
        <w:t>（一）投标人资格证明文件</w:t>
      </w:r>
    </w:p>
    <w:p w14:paraId="4B56F0DA">
      <w:pPr>
        <w:spacing w:before="120" w:beforeLines="50"/>
        <w:ind w:firstLine="480"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（特别提示：投标人须按本招标文件第一册第一章招标公告 “申请人的资格要求”（即投标人资格要求）提供相关的资格证明资料，未提供或提供不完整、不符合要求的，将作投标无效处理。）</w:t>
      </w:r>
    </w:p>
    <w:p w14:paraId="2227D845">
      <w:pPr>
        <w:spacing w:line="360" w:lineRule="auto"/>
        <w:ind w:firstLine="480" w:firstLineChars="200"/>
        <w:rPr>
          <w:b/>
          <w:color w:val="000000" w:themeColor="text1"/>
          <w14:textFill>
            <w14:solidFill>
              <w14:schemeClr w14:val="tx1"/>
            </w14:solidFill>
          </w14:textFill>
        </w:rPr>
      </w:pPr>
    </w:p>
    <w:p w14:paraId="68360F47">
      <w:pPr>
        <w:spacing w:line="360" w:lineRule="auto"/>
        <w:rPr>
          <w:rFonts w:eastAsia="黑体"/>
        </w:rPr>
      </w:pPr>
    </w:p>
    <w:p w14:paraId="14F28A19">
      <w:pPr>
        <w:ind w:firstLine="480" w:firstLineChars="200"/>
        <w:outlineLvl w:val="3"/>
        <w:rPr>
          <w:rFonts w:hint="eastAsia" w:ascii="宋体" w:hAnsi="宋体" w:eastAsia="宋体"/>
          <w:bCs/>
          <w:szCs w:val="32"/>
          <w:lang w:val="en-US" w:eastAsia="zh-CN" w:bidi="ar-SA"/>
        </w:rPr>
      </w:pPr>
      <w:r>
        <w:rPr>
          <w:rFonts w:hint="eastAsia" w:ascii="宋体" w:hAnsi="宋体" w:eastAsia="宋体"/>
          <w:bCs/>
          <w:szCs w:val="32"/>
          <w:lang w:val="en-US" w:eastAsia="zh-CN" w:bidi="ar-SA"/>
        </w:rPr>
        <w:t>（二）中小企业声明函、残疾人福利性单位声明函及监狱企业声明函</w:t>
      </w:r>
    </w:p>
    <w:p w14:paraId="1A79855B">
      <w:pPr>
        <w:spacing w:before="120" w:beforeLines="50"/>
        <w:ind w:firstLine="482" w:firstLineChars="200"/>
        <w:rPr>
          <w:rFonts w:hint="eastAsia" w:ascii="宋体" w:hAnsi="宋体" w:eastAsia="宋体"/>
          <w:b/>
          <w:bCs/>
          <w:color w:val="FF0000"/>
          <w:lang w:val="en-US" w:eastAsia="zh-CN"/>
        </w:rPr>
      </w:pPr>
      <w:r>
        <w:rPr>
          <w:rFonts w:hint="eastAsia" w:ascii="宋体" w:hAnsi="宋体" w:eastAsia="宋体"/>
          <w:b/>
          <w:bCs/>
          <w:color w:val="FF0000"/>
          <w:lang w:val="en-US" w:eastAsia="zh-CN"/>
        </w:rPr>
        <w:t>注：采购人、采购代理机构、评标委员会（评审小组）在依法进行资格审查、评审过程中，发现《中小企业声明函》存在明显笔误或者含义不明确的，按照政府采购相关规定要求供应商进行澄清、说明或补正。澄清、说明或补正后符合中小企业条件的供应商，可以享受中小企业扶持政策。（参照《广东省政府采购促进中小企业发展实施细则》第十八条精神）</w:t>
      </w:r>
    </w:p>
    <w:p w14:paraId="79279235">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b/>
          <w:color w:val="000000" w:themeColor="text1"/>
          <w14:textFill>
            <w14:solidFill>
              <w14:schemeClr w14:val="tx1"/>
            </w14:solidFill>
          </w14:textFill>
        </w:rPr>
      </w:pPr>
    </w:p>
    <w:p w14:paraId="5FB9B966">
      <w:pPr>
        <w:jc w:val="center"/>
        <w:outlineLvl w:val="3"/>
        <w:rPr>
          <w:b/>
          <w:color w:val="000000" w:themeColor="text1"/>
          <w14:textFill>
            <w14:solidFill>
              <w14:schemeClr w14:val="tx1"/>
            </w14:solidFill>
          </w14:textFill>
        </w:rPr>
      </w:pPr>
      <w:r>
        <w:rPr>
          <w:rFonts w:hint="eastAsia"/>
          <w:b/>
          <w:color w:val="000000" w:themeColor="text1"/>
          <w14:textFill>
            <w14:solidFill>
              <w14:schemeClr w14:val="tx1"/>
            </w14:solidFill>
          </w14:textFill>
        </w:rPr>
        <w:t>1、</w:t>
      </w:r>
      <w:r>
        <w:rPr>
          <w:b/>
          <w:color w:val="000000" w:themeColor="text1"/>
          <w14:textFill>
            <w14:solidFill>
              <w14:schemeClr w14:val="tx1"/>
            </w14:solidFill>
          </w14:textFill>
        </w:rPr>
        <w:t>中小企业声明函（</w:t>
      </w:r>
      <w:r>
        <w:rPr>
          <w:rFonts w:hint="eastAsia"/>
          <w:b/>
          <w:color w:val="000000" w:themeColor="text1"/>
          <w14:textFill>
            <w14:solidFill>
              <w14:schemeClr w14:val="tx1"/>
            </w14:solidFill>
          </w14:textFill>
        </w:rPr>
        <w:t>服务</w:t>
      </w:r>
      <w:r>
        <w:rPr>
          <w:b/>
          <w:color w:val="000000" w:themeColor="text1"/>
          <w14:textFill>
            <w14:solidFill>
              <w14:schemeClr w14:val="tx1"/>
            </w14:solidFill>
          </w14:textFill>
        </w:rPr>
        <w:t xml:space="preserve">） </w:t>
      </w:r>
    </w:p>
    <w:p w14:paraId="0D034F36">
      <w:pPr>
        <w:spacing w:after="60" w:afterLines="25" w:line="300" w:lineRule="auto"/>
        <w:ind w:firstLine="480" w:firstLineChars="200"/>
        <w:rPr>
          <w:rFonts w:ascii="宋体" w:hAnsi="宋体" w:eastAsia="宋体"/>
          <w:szCs w:val="21"/>
        </w:rPr>
      </w:pPr>
      <w:r>
        <w:rPr>
          <w:rFonts w:hint="eastAsia" w:ascii="宋体" w:hAnsi="宋体" w:eastAsia="宋体"/>
          <w:szCs w:val="21"/>
        </w:rPr>
        <w:t>本投标人郑重声明，根据《政府采购促进中小企业发展管理办法》（财库﹝2020﹞46 号）的规定，本投标人参加</w:t>
      </w:r>
      <w:r>
        <w:rPr>
          <w:rFonts w:hint="eastAsia" w:ascii="宋体" w:hAnsi="宋体" w:eastAsia="宋体"/>
          <w:b/>
          <w:bCs/>
          <w:szCs w:val="21"/>
          <w:u w:val="single"/>
        </w:rPr>
        <w:t>深圳市交通公用设施管理处</w:t>
      </w:r>
      <w:r>
        <w:rPr>
          <w:rFonts w:hint="eastAsia" w:ascii="宋体" w:hAnsi="宋体" w:eastAsia="宋体"/>
          <w:szCs w:val="21"/>
        </w:rPr>
        <w:t>的</w:t>
      </w:r>
      <w:r>
        <w:rPr>
          <w:rFonts w:hint="eastAsia" w:ascii="宋体" w:hAnsi="宋体" w:eastAsia="宋体" w:cs="宋体"/>
          <w:b/>
          <w:bCs/>
          <w:color w:val="auto"/>
          <w:sz w:val="24"/>
          <w:szCs w:val="24"/>
          <w:highlight w:val="none"/>
          <w:u w:val="single"/>
        </w:rPr>
        <w:t>2025年度深圳市市管桥涵定期检测</w:t>
      </w:r>
      <w:r>
        <w:rPr>
          <w:rFonts w:hint="eastAsia" w:ascii="宋体" w:hAnsi="宋体" w:eastAsia="宋体"/>
          <w:szCs w:val="21"/>
        </w:rPr>
        <w:t>采购活动，服务全部由符合政策要求的中小企业承接。相关企业的具体情况如下：</w:t>
      </w:r>
    </w:p>
    <w:p w14:paraId="69A8D74D">
      <w:pPr>
        <w:spacing w:after="60" w:afterLines="25" w:line="300" w:lineRule="auto"/>
        <w:ind w:firstLine="480" w:firstLineChars="200"/>
        <w:rPr>
          <w:rFonts w:ascii="宋体" w:hAnsi="宋体" w:eastAsia="宋体"/>
          <w:szCs w:val="21"/>
        </w:rPr>
      </w:pPr>
      <w:r>
        <w:rPr>
          <w:rFonts w:hint="eastAsia" w:ascii="宋体" w:hAnsi="宋体" w:eastAsia="宋体"/>
          <w:szCs w:val="21"/>
        </w:rPr>
        <w:t>1.</w:t>
      </w:r>
      <w:r>
        <w:rPr>
          <w:rFonts w:hint="eastAsia" w:ascii="宋体" w:hAnsi="宋体" w:eastAsia="宋体"/>
          <w:b/>
          <w:bCs/>
          <w:szCs w:val="21"/>
          <w:u w:val="single"/>
        </w:rPr>
        <w:t xml:space="preserve"> </w:t>
      </w:r>
      <w:r>
        <w:rPr>
          <w:rFonts w:hint="eastAsia" w:ascii="宋体" w:hAnsi="宋体" w:eastAsia="宋体" w:cs="宋体"/>
          <w:b/>
          <w:bCs/>
          <w:color w:val="auto"/>
          <w:sz w:val="24"/>
          <w:szCs w:val="24"/>
          <w:highlight w:val="none"/>
          <w:u w:val="single"/>
        </w:rPr>
        <w:t>2025年度深圳市市管桥涵定期检测</w:t>
      </w:r>
      <w:r>
        <w:rPr>
          <w:rFonts w:hint="eastAsia" w:ascii="宋体" w:hAnsi="宋体" w:eastAsia="宋体"/>
          <w:szCs w:val="21"/>
        </w:rPr>
        <w:t xml:space="preserve"> ，属于</w:t>
      </w:r>
      <w:r>
        <w:rPr>
          <w:rFonts w:hint="eastAsia" w:ascii="宋体" w:hAnsi="宋体" w:eastAsia="宋体"/>
          <w:b/>
          <w:bCs/>
          <w:szCs w:val="21"/>
          <w:u w:val="single"/>
        </w:rPr>
        <w:t xml:space="preserve">其他未列明行业 </w:t>
      </w:r>
      <w:r>
        <w:rPr>
          <w:rFonts w:hint="eastAsia" w:ascii="宋体" w:hAnsi="宋体" w:eastAsia="宋体"/>
          <w:szCs w:val="21"/>
        </w:rPr>
        <w:t>行业；承接企业为</w:t>
      </w:r>
      <w:r>
        <w:rPr>
          <w:rFonts w:hint="eastAsia" w:ascii="宋体" w:hAnsi="宋体" w:eastAsia="宋体"/>
          <w:b/>
          <w:bCs/>
          <w:szCs w:val="21"/>
          <w:u w:val="single"/>
        </w:rPr>
        <w:t>（企业名称）</w:t>
      </w:r>
      <w:r>
        <w:rPr>
          <w:rFonts w:hint="eastAsia" w:ascii="宋体" w:hAnsi="宋体" w:eastAsia="宋体"/>
          <w:szCs w:val="21"/>
        </w:rPr>
        <w:t>，从业人员</w:t>
      </w:r>
      <w:r>
        <w:rPr>
          <w:rFonts w:hint="eastAsia" w:ascii="宋体" w:hAnsi="宋体" w:eastAsia="宋体"/>
          <w:szCs w:val="21"/>
          <w:u w:val="single"/>
          <w:lang w:val="en-US" w:eastAsia="zh-CN"/>
        </w:rPr>
        <w:t xml:space="preserve">   </w:t>
      </w:r>
      <w:r>
        <w:rPr>
          <w:rFonts w:hint="eastAsia" w:ascii="宋体" w:hAnsi="宋体" w:eastAsia="宋体"/>
          <w:szCs w:val="21"/>
        </w:rPr>
        <w:t>人，营业收入为</w:t>
      </w:r>
      <w:r>
        <w:rPr>
          <w:rFonts w:hint="eastAsia" w:ascii="宋体" w:hAnsi="宋体" w:eastAsia="宋体"/>
          <w:szCs w:val="21"/>
          <w:u w:val="single"/>
          <w:lang w:val="en-US" w:eastAsia="zh-CN"/>
        </w:rPr>
        <w:t xml:space="preserve">   </w:t>
      </w:r>
      <w:r>
        <w:rPr>
          <w:rFonts w:hint="eastAsia" w:ascii="宋体" w:hAnsi="宋体" w:eastAsia="宋体"/>
          <w:szCs w:val="21"/>
        </w:rPr>
        <w:t>万元，资产总额为</w:t>
      </w:r>
      <w:r>
        <w:rPr>
          <w:rFonts w:hint="eastAsia" w:ascii="宋体" w:hAnsi="宋体" w:eastAsia="宋体"/>
          <w:szCs w:val="21"/>
          <w:u w:val="single"/>
          <w:lang w:val="en-US" w:eastAsia="zh-CN"/>
        </w:rPr>
        <w:t xml:space="preserve">   </w:t>
      </w:r>
      <w:r>
        <w:rPr>
          <w:rFonts w:hint="eastAsia" w:ascii="宋体" w:hAnsi="宋体" w:eastAsia="宋体"/>
          <w:szCs w:val="21"/>
        </w:rPr>
        <w:t>万元 ，属于</w:t>
      </w:r>
      <w:r>
        <w:rPr>
          <w:rFonts w:hint="eastAsia" w:ascii="宋体" w:hAnsi="宋体" w:eastAsia="宋体"/>
          <w:b/>
          <w:bCs/>
          <w:szCs w:val="21"/>
          <w:u w:val="single"/>
        </w:rPr>
        <w:t>（中型企业、小型企业、微型企业）</w:t>
      </w:r>
      <w:r>
        <w:rPr>
          <w:rFonts w:hint="eastAsia" w:ascii="宋体" w:hAnsi="宋体" w:eastAsia="宋体"/>
          <w:szCs w:val="21"/>
        </w:rPr>
        <w:t xml:space="preserve">； </w:t>
      </w:r>
    </w:p>
    <w:p w14:paraId="07B95F78">
      <w:pPr>
        <w:spacing w:after="60" w:afterLines="25" w:line="300" w:lineRule="auto"/>
        <w:ind w:firstLine="480" w:firstLineChars="200"/>
        <w:rPr>
          <w:rFonts w:ascii="宋体" w:hAnsi="宋体" w:eastAsia="宋体"/>
          <w:szCs w:val="21"/>
        </w:rPr>
      </w:pPr>
      <w:r>
        <w:rPr>
          <w:rFonts w:hint="eastAsia" w:ascii="宋体" w:hAnsi="宋体" w:eastAsia="宋体"/>
          <w:szCs w:val="21"/>
        </w:rPr>
        <w:t>以上企业，不属于大企业的分支机构，不存在控股股东为大企业的情形，也不存在与大企业的负责人为同一人的情形。</w:t>
      </w:r>
    </w:p>
    <w:p w14:paraId="57902699">
      <w:pPr>
        <w:spacing w:after="60" w:afterLines="25" w:line="300" w:lineRule="auto"/>
        <w:ind w:firstLine="480" w:firstLineChars="200"/>
        <w:rPr>
          <w:rFonts w:ascii="宋体" w:hAnsi="宋体" w:eastAsia="宋体"/>
          <w:szCs w:val="21"/>
        </w:rPr>
      </w:pPr>
      <w:bookmarkStart w:id="41" w:name="_Hlk73562275"/>
      <w:r>
        <w:rPr>
          <w:rFonts w:hint="eastAsia" w:ascii="宋体" w:hAnsi="宋体" w:eastAsia="宋体"/>
          <w:szCs w:val="21"/>
        </w:rPr>
        <w:t>本投标人已知悉《政府采购促进中小企业发展管理办法》（财库〔2020〕46 号）、《中小企业划型标准规定》（工信部联企〔2011〕 300 号）、《统计上大中小微型企业划分办法（2017）》等规定，承诺提供的声明函内容是真实的，并知悉根据《政府采购促进中小企业发展管理办法》（财库〔2020〕46 号）第二十条规定，投标人按照本办法规定提供声明函内容不实的，属于提供虚假材料谋取中标，依照《政府采购法》等政府采购有关法律法规规定追究相应责任。</w:t>
      </w:r>
      <w:bookmarkEnd w:id="41"/>
    </w:p>
    <w:p w14:paraId="74B67A95">
      <w:pPr>
        <w:wordWrap w:val="0"/>
        <w:spacing w:after="60" w:afterLines="25" w:line="300" w:lineRule="auto"/>
        <w:ind w:firstLine="480" w:firstLineChars="200"/>
        <w:jc w:val="right"/>
        <w:rPr>
          <w:rFonts w:ascii="宋体" w:hAnsi="宋体" w:eastAsia="宋体"/>
          <w:szCs w:val="21"/>
        </w:rPr>
      </w:pPr>
      <w:r>
        <w:rPr>
          <w:rFonts w:hint="eastAsia" w:ascii="宋体" w:hAnsi="宋体" w:eastAsia="宋体"/>
          <w:szCs w:val="21"/>
        </w:rPr>
        <w:t xml:space="preserve">     投标人（投标单位）：       </w:t>
      </w:r>
    </w:p>
    <w:p w14:paraId="6F0DEDB3">
      <w:pPr>
        <w:ind w:firstLine="6720" w:firstLineChars="2800"/>
        <w:rPr>
          <w:rFonts w:ascii="宋体" w:hAnsi="宋体"/>
          <w:color w:val="000000" w:themeColor="text1"/>
          <w:szCs w:val="21"/>
          <w14:textFill>
            <w14:solidFill>
              <w14:schemeClr w14:val="tx1"/>
            </w14:solidFill>
          </w14:textFill>
        </w:rPr>
      </w:pPr>
      <w:r>
        <w:rPr>
          <w:rFonts w:hint="eastAsia" w:ascii="宋体" w:hAnsi="宋体" w:eastAsia="宋体"/>
          <w:szCs w:val="21"/>
        </w:rPr>
        <w:t>日期：</w:t>
      </w:r>
    </w:p>
    <w:p w14:paraId="0636AB0D">
      <w:pPr>
        <w:spacing w:after="60" w:afterLines="25" w:line="300" w:lineRule="auto"/>
        <w:ind w:firstLine="482" w:firstLineChars="200"/>
        <w:rPr>
          <w:rFonts w:ascii="Arial" w:hAnsi="Arial" w:eastAsia="宋体"/>
          <w:b/>
          <w:color w:val="FF0000"/>
          <w:highlight w:val="yellow"/>
        </w:rPr>
      </w:pPr>
    </w:p>
    <w:p w14:paraId="05FAE451">
      <w:pPr>
        <w:pStyle w:val="6"/>
      </w:pPr>
    </w:p>
    <w:p w14:paraId="5619D618"/>
    <w:p w14:paraId="590BD3B7">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b/>
          <w:color w:val="000000" w:themeColor="text1"/>
          <w14:textFill>
            <w14:solidFill>
              <w14:schemeClr w14:val="tx1"/>
            </w14:solidFill>
          </w14:textFill>
        </w:rPr>
      </w:pPr>
    </w:p>
    <w:p w14:paraId="03F822D2">
      <w:pPr>
        <w:jc w:val="center"/>
        <w:outlineLvl w:val="3"/>
        <w:rPr>
          <w:b/>
          <w:color w:val="000000" w:themeColor="text1"/>
          <w14:textFill>
            <w14:solidFill>
              <w14:schemeClr w14:val="tx1"/>
            </w14:solidFill>
          </w14:textFill>
        </w:rPr>
      </w:pPr>
      <w:r>
        <w:rPr>
          <w:rFonts w:hint="eastAsia"/>
          <w:b/>
          <w:color w:val="000000" w:themeColor="text1"/>
          <w14:textFill>
            <w14:solidFill>
              <w14:schemeClr w14:val="tx1"/>
            </w14:solidFill>
          </w14:textFill>
        </w:rPr>
        <w:t>2、残疾人福利性单位声明函（服务类）</w:t>
      </w:r>
    </w:p>
    <w:p w14:paraId="5C3D78E9">
      <w:pPr>
        <w:rPr>
          <w:b/>
          <w:bCs/>
          <w:color w:val="000000" w:themeColor="text1"/>
          <w14:textFill>
            <w14:solidFill>
              <w14:schemeClr w14:val="tx1"/>
            </w14:solidFill>
          </w14:textFill>
        </w:rPr>
      </w:pPr>
    </w:p>
    <w:p w14:paraId="13E6D24A">
      <w:pPr>
        <w:spacing w:after="60" w:afterLines="25" w:line="300" w:lineRule="auto"/>
        <w:ind w:firstLine="480" w:firstLineChars="200"/>
        <w:rPr>
          <w:rFonts w:asciiTheme="minorEastAsia" w:hAnsiTheme="minorEastAsia"/>
          <w:szCs w:val="21"/>
        </w:rPr>
      </w:pPr>
      <w:r>
        <w:rPr>
          <w:rFonts w:hint="eastAsia" w:asciiTheme="minorEastAsia" w:hAnsiTheme="minorEastAsia"/>
          <w:szCs w:val="21"/>
        </w:rPr>
        <w:t>本投标人郑重声明，根据《财政部民政部中国残疾人联合会关于促进残疾人就业政府采购政策的通知》（财库〔2017〕141 号）的规定，本投标人参加</w:t>
      </w:r>
      <w:r>
        <w:rPr>
          <w:rFonts w:hint="eastAsia" w:asciiTheme="minorEastAsia" w:hAnsiTheme="minorEastAsia"/>
          <w:b/>
          <w:bCs/>
          <w:szCs w:val="21"/>
          <w:u w:val="single"/>
        </w:rPr>
        <w:t>（采购人名称）</w:t>
      </w:r>
      <w:r>
        <w:rPr>
          <w:rFonts w:hint="eastAsia" w:asciiTheme="minorEastAsia" w:hAnsiTheme="minorEastAsia"/>
          <w:szCs w:val="21"/>
        </w:rPr>
        <w:t>的</w:t>
      </w:r>
      <w:r>
        <w:rPr>
          <w:rFonts w:hint="eastAsia" w:asciiTheme="minorEastAsia" w:hAnsiTheme="minorEastAsia"/>
          <w:b/>
          <w:bCs/>
          <w:szCs w:val="21"/>
          <w:u w:val="single"/>
        </w:rPr>
        <w:t>（项目名称）</w:t>
      </w:r>
      <w:r>
        <w:rPr>
          <w:rFonts w:hint="eastAsia" w:asciiTheme="minorEastAsia" w:hAnsiTheme="minorEastAsia"/>
          <w:szCs w:val="21"/>
        </w:rPr>
        <w:t>采购活动，服务全部由符合政策要求的残疾人福利性单位承接。相关残疾人福利性单位的具体情况如下：</w:t>
      </w:r>
    </w:p>
    <w:p w14:paraId="55793767">
      <w:pPr>
        <w:spacing w:after="60" w:afterLines="25" w:line="300" w:lineRule="auto"/>
        <w:ind w:firstLine="480" w:firstLineChars="200"/>
        <w:rPr>
          <w:rFonts w:asciiTheme="minorEastAsia" w:hAnsiTheme="minorEastAsia"/>
          <w:szCs w:val="21"/>
        </w:rPr>
      </w:pPr>
      <w:r>
        <w:rPr>
          <w:rFonts w:hint="eastAsia" w:asciiTheme="minorEastAsia" w:hAnsiTheme="minorEastAsia"/>
          <w:szCs w:val="21"/>
        </w:rPr>
        <w:t>1.</w:t>
      </w:r>
      <w:r>
        <w:rPr>
          <w:rFonts w:hint="eastAsia" w:asciiTheme="minorEastAsia" w:hAnsiTheme="minorEastAsia"/>
          <w:b/>
          <w:bCs/>
          <w:szCs w:val="21"/>
          <w:u w:val="single"/>
        </w:rPr>
        <w:t xml:space="preserve"> （标的名称）</w:t>
      </w:r>
      <w:r>
        <w:rPr>
          <w:rFonts w:hint="eastAsia" w:asciiTheme="minorEastAsia" w:hAnsiTheme="minorEastAsia"/>
          <w:szCs w:val="21"/>
        </w:rPr>
        <w:t>，承接企业为</w:t>
      </w:r>
      <w:r>
        <w:rPr>
          <w:rFonts w:hint="eastAsia" w:asciiTheme="minorEastAsia" w:hAnsiTheme="minorEastAsia"/>
          <w:b/>
          <w:bCs/>
          <w:szCs w:val="21"/>
          <w:u w:val="single"/>
        </w:rPr>
        <w:t>（单位名称）</w:t>
      </w:r>
      <w:r>
        <w:rPr>
          <w:rFonts w:hint="eastAsia" w:asciiTheme="minorEastAsia" w:hAnsiTheme="minorEastAsia"/>
          <w:szCs w:val="21"/>
        </w:rPr>
        <w:t>，属于</w:t>
      </w:r>
      <w:r>
        <w:rPr>
          <w:rFonts w:hint="eastAsia" w:asciiTheme="minorEastAsia" w:hAnsiTheme="minorEastAsia"/>
          <w:b/>
          <w:bCs/>
          <w:szCs w:val="21"/>
          <w:u w:val="single"/>
        </w:rPr>
        <w:t>残疾人福利性单位</w:t>
      </w:r>
      <w:r>
        <w:rPr>
          <w:rFonts w:hint="eastAsia" w:asciiTheme="minorEastAsia" w:hAnsiTheme="minorEastAsia"/>
          <w:szCs w:val="21"/>
        </w:rPr>
        <w:t>；</w:t>
      </w:r>
    </w:p>
    <w:p w14:paraId="502BF74E">
      <w:pPr>
        <w:spacing w:after="60" w:afterLines="25" w:line="300" w:lineRule="auto"/>
        <w:ind w:firstLine="480" w:firstLineChars="200"/>
        <w:rPr>
          <w:rFonts w:asciiTheme="minorEastAsia" w:hAnsiTheme="minorEastAsia"/>
          <w:szCs w:val="21"/>
        </w:rPr>
      </w:pPr>
      <w:r>
        <w:rPr>
          <w:rFonts w:hint="eastAsia" w:asciiTheme="minorEastAsia" w:hAnsiTheme="minorEastAsia"/>
          <w:szCs w:val="21"/>
        </w:rPr>
        <w:t>2.</w:t>
      </w:r>
      <w:r>
        <w:rPr>
          <w:rFonts w:hint="eastAsia" w:asciiTheme="minorEastAsia" w:hAnsiTheme="minorEastAsia"/>
          <w:b/>
          <w:bCs/>
          <w:szCs w:val="21"/>
          <w:u w:val="single"/>
        </w:rPr>
        <w:t xml:space="preserve"> （标的名称）</w:t>
      </w:r>
      <w:r>
        <w:rPr>
          <w:rFonts w:hint="eastAsia" w:asciiTheme="minorEastAsia" w:hAnsiTheme="minorEastAsia"/>
          <w:szCs w:val="21"/>
        </w:rPr>
        <w:t>，承接企业为</w:t>
      </w:r>
      <w:r>
        <w:rPr>
          <w:rFonts w:hint="eastAsia" w:asciiTheme="minorEastAsia" w:hAnsiTheme="minorEastAsia"/>
          <w:b/>
          <w:bCs/>
          <w:szCs w:val="21"/>
          <w:u w:val="single"/>
        </w:rPr>
        <w:t>（单位名称）</w:t>
      </w:r>
      <w:r>
        <w:rPr>
          <w:rFonts w:hint="eastAsia" w:asciiTheme="minorEastAsia" w:hAnsiTheme="minorEastAsia"/>
          <w:szCs w:val="21"/>
        </w:rPr>
        <w:t>，属于</w:t>
      </w:r>
      <w:r>
        <w:rPr>
          <w:rFonts w:hint="eastAsia" w:asciiTheme="minorEastAsia" w:hAnsiTheme="minorEastAsia"/>
          <w:b/>
          <w:bCs/>
          <w:szCs w:val="21"/>
          <w:u w:val="single"/>
        </w:rPr>
        <w:t>残疾人福利性单位</w:t>
      </w:r>
      <w:r>
        <w:rPr>
          <w:rFonts w:hint="eastAsia" w:asciiTheme="minorEastAsia" w:hAnsiTheme="minorEastAsia"/>
          <w:szCs w:val="21"/>
        </w:rPr>
        <w:t>。</w:t>
      </w:r>
    </w:p>
    <w:p w14:paraId="18707C9A">
      <w:pPr>
        <w:spacing w:after="60" w:afterLines="25" w:line="300" w:lineRule="auto"/>
        <w:ind w:firstLine="480" w:firstLineChars="200"/>
        <w:rPr>
          <w:rFonts w:asciiTheme="minorEastAsia" w:hAnsiTheme="minorEastAsia"/>
          <w:szCs w:val="21"/>
        </w:rPr>
      </w:pPr>
      <w:r>
        <w:rPr>
          <w:rFonts w:hint="eastAsia" w:asciiTheme="minorEastAsia" w:hAnsiTheme="minorEastAsia"/>
          <w:szCs w:val="21"/>
        </w:rPr>
        <w:t xml:space="preserve">…… </w:t>
      </w:r>
    </w:p>
    <w:p w14:paraId="2BADE38B">
      <w:pPr>
        <w:spacing w:after="60" w:afterLines="25" w:line="300" w:lineRule="auto"/>
        <w:ind w:firstLine="480" w:firstLineChars="200"/>
        <w:rPr>
          <w:rFonts w:asciiTheme="minorEastAsia" w:hAnsiTheme="minorEastAsia"/>
          <w:szCs w:val="21"/>
        </w:rPr>
      </w:pPr>
      <w:r>
        <w:rPr>
          <w:rFonts w:hint="eastAsia" w:asciiTheme="minorEastAsia" w:hAnsiTheme="minorEastAsia"/>
          <w:szCs w:val="21"/>
        </w:rPr>
        <w:t>本投标人已知悉《财政部民政部中国残疾人联合会关于促进残疾人就业政府采购政策的通知》（财库〔2017〕141 号）的规定，承诺提供的声明函内容是真实的，如提供声明函内容不实，则依法追究相关法律责任。</w:t>
      </w:r>
    </w:p>
    <w:p w14:paraId="3D27FE08">
      <w:pPr>
        <w:spacing w:after="60" w:afterLines="25" w:line="560" w:lineRule="exact"/>
        <w:ind w:firstLine="480" w:firstLineChars="200"/>
        <w:jc w:val="center"/>
        <w:rPr>
          <w:rFonts w:asciiTheme="minorEastAsia" w:hAnsiTheme="minorEastAsia"/>
        </w:rPr>
      </w:pPr>
    </w:p>
    <w:p w14:paraId="65323B30">
      <w:pPr>
        <w:wordWrap w:val="0"/>
        <w:spacing w:after="60" w:afterLines="25" w:line="300" w:lineRule="auto"/>
        <w:ind w:firstLine="480" w:firstLineChars="200"/>
        <w:jc w:val="right"/>
        <w:rPr>
          <w:rFonts w:asciiTheme="minorEastAsia" w:hAnsiTheme="minorEastAsia"/>
          <w:szCs w:val="21"/>
        </w:rPr>
      </w:pPr>
      <w:r>
        <w:rPr>
          <w:rFonts w:hint="eastAsia" w:asciiTheme="minorEastAsia" w:hAnsiTheme="minorEastAsia"/>
          <w:szCs w:val="21"/>
        </w:rPr>
        <w:t xml:space="preserve">投标人（投标单位）：       </w:t>
      </w:r>
    </w:p>
    <w:p w14:paraId="7DF9B810">
      <w:pPr>
        <w:ind w:firstLine="6720" w:firstLineChars="2800"/>
        <w:rPr>
          <w:rFonts w:ascii="宋体" w:hAnsi="宋体"/>
          <w:color w:val="000000" w:themeColor="text1"/>
          <w:szCs w:val="21"/>
          <w14:textFill>
            <w14:solidFill>
              <w14:schemeClr w14:val="tx1"/>
            </w14:solidFill>
          </w14:textFill>
        </w:rPr>
      </w:pPr>
      <w:r>
        <w:rPr>
          <w:rFonts w:hint="eastAsia" w:asciiTheme="minorEastAsia" w:hAnsiTheme="minorEastAsia"/>
          <w:szCs w:val="21"/>
        </w:rPr>
        <w:t>日期：</w:t>
      </w:r>
    </w:p>
    <w:p w14:paraId="5F6DFDA1">
      <w:pPr>
        <w:ind w:firstLine="480" w:firstLineChars="200"/>
        <w:rPr>
          <w:rFonts w:ascii="宋体" w:hAnsi="宋体"/>
          <w:color w:val="000000" w:themeColor="text1"/>
          <w:szCs w:val="21"/>
          <w14:textFill>
            <w14:solidFill>
              <w14:schemeClr w14:val="tx1"/>
            </w14:solidFill>
          </w14:textFill>
        </w:rPr>
      </w:pPr>
    </w:p>
    <w:p w14:paraId="52FEC837">
      <w:pPr>
        <w:ind w:firstLine="480" w:firstLineChars="200"/>
        <w:rPr>
          <w:rFonts w:ascii="宋体" w:hAnsi="宋体"/>
          <w:color w:val="000000" w:themeColor="text1"/>
          <w:szCs w:val="21"/>
          <w14:textFill>
            <w14:solidFill>
              <w14:schemeClr w14:val="tx1"/>
            </w14:solidFill>
          </w14:textFill>
        </w:rPr>
      </w:pPr>
    </w:p>
    <w:p w14:paraId="44ABA85C">
      <w:pPr>
        <w:jc w:val="center"/>
        <w:outlineLvl w:val="3"/>
        <w:rPr>
          <w:b/>
          <w:color w:val="000000" w:themeColor="text1"/>
          <w14:textFill>
            <w14:solidFill>
              <w14:schemeClr w14:val="tx1"/>
            </w14:solidFill>
          </w14:textFill>
        </w:rPr>
      </w:pPr>
      <w:r>
        <w:rPr>
          <w:rFonts w:hint="eastAsia"/>
          <w:b/>
          <w:color w:val="000000" w:themeColor="text1"/>
          <w14:textFill>
            <w14:solidFill>
              <w14:schemeClr w14:val="tx1"/>
            </w14:solidFill>
          </w14:textFill>
        </w:rPr>
        <w:t>3、监狱企业声明函【服务类，监狱企业如需享受优惠政策，还须另行提供省级以上监狱管理局、戒毒管理局（含新疆生产建设兵团）出具的监狱企业证明文件】</w:t>
      </w:r>
    </w:p>
    <w:p w14:paraId="079DFDA4">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本投标人郑重声明，根据《财政部司法部关于政府采购支持监狱企业发展有关问题的通知》（财库〔</w:t>
      </w:r>
      <w:r>
        <w:rPr>
          <w:rFonts w:ascii="宋体" w:hAnsi="宋体"/>
          <w:color w:val="000000" w:themeColor="text1"/>
          <w:szCs w:val="21"/>
          <w14:textFill>
            <w14:solidFill>
              <w14:schemeClr w14:val="tx1"/>
            </w14:solidFill>
          </w14:textFill>
        </w:rPr>
        <w:t>2014</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68</w:t>
      </w:r>
      <w:r>
        <w:rPr>
          <w:rFonts w:hint="eastAsia" w:ascii="宋体" w:hAnsi="宋体"/>
          <w:color w:val="000000" w:themeColor="text1"/>
          <w:szCs w:val="21"/>
          <w14:textFill>
            <w14:solidFill>
              <w14:schemeClr w14:val="tx1"/>
            </w14:solidFill>
          </w14:textFill>
        </w:rPr>
        <w:t>号）的规定，本投标人</w:t>
      </w:r>
      <w:r>
        <w:rPr>
          <w:rFonts w:ascii="宋体" w:hAnsi="宋体" w:cstheme="minorBidi"/>
          <w:color w:val="000000" w:themeColor="text1"/>
          <w:szCs w:val="21"/>
          <w14:textFill>
            <w14:solidFill>
              <w14:schemeClr w14:val="tx1"/>
            </w14:solidFill>
          </w14:textFill>
        </w:rPr>
        <w:t>参加</w:t>
      </w:r>
      <w:r>
        <w:rPr>
          <w:rFonts w:ascii="宋体" w:hAnsi="宋体"/>
          <w:b/>
          <w:bCs/>
          <w:color w:val="000000" w:themeColor="text1"/>
          <w:szCs w:val="21"/>
          <w:u w:val="single"/>
          <w14:textFill>
            <w14:solidFill>
              <w14:schemeClr w14:val="tx1"/>
            </w14:solidFill>
          </w14:textFill>
        </w:rPr>
        <w:t>（</w:t>
      </w:r>
      <w:r>
        <w:rPr>
          <w:rFonts w:hint="eastAsia" w:ascii="宋体" w:hAnsi="宋体"/>
          <w:b/>
          <w:bCs/>
          <w:color w:val="000000" w:themeColor="text1"/>
          <w:szCs w:val="21"/>
          <w:u w:val="single"/>
          <w14:textFill>
            <w14:solidFill>
              <w14:schemeClr w14:val="tx1"/>
            </w14:solidFill>
          </w14:textFill>
        </w:rPr>
        <w:t>采购人</w:t>
      </w:r>
      <w:r>
        <w:rPr>
          <w:rFonts w:ascii="宋体" w:hAnsi="宋体"/>
          <w:b/>
          <w:bCs/>
          <w:color w:val="000000" w:themeColor="text1"/>
          <w:szCs w:val="21"/>
          <w:u w:val="single"/>
          <w14:textFill>
            <w14:solidFill>
              <w14:schemeClr w14:val="tx1"/>
            </w14:solidFill>
          </w14:textFill>
        </w:rPr>
        <w:t>名称）</w:t>
      </w:r>
      <w:r>
        <w:rPr>
          <w:rFonts w:ascii="宋体" w:hAnsi="宋体"/>
          <w:color w:val="000000" w:themeColor="text1"/>
          <w:szCs w:val="21"/>
          <w14:textFill>
            <w14:solidFill>
              <w14:schemeClr w14:val="tx1"/>
            </w14:solidFill>
          </w14:textFill>
        </w:rPr>
        <w:t>的</w:t>
      </w:r>
      <w:r>
        <w:rPr>
          <w:rFonts w:ascii="宋体" w:hAnsi="宋体"/>
          <w:b/>
          <w:bCs/>
          <w:color w:val="000000" w:themeColor="text1"/>
          <w:szCs w:val="21"/>
          <w:u w:val="single"/>
          <w14:textFill>
            <w14:solidFill>
              <w14:schemeClr w14:val="tx1"/>
            </w14:solidFill>
          </w14:textFill>
        </w:rPr>
        <w:t>（项目名称）</w:t>
      </w:r>
      <w:r>
        <w:rPr>
          <w:rFonts w:ascii="宋体" w:hAnsi="宋体"/>
          <w:color w:val="000000" w:themeColor="text1"/>
          <w:szCs w:val="21"/>
          <w14:textFill>
            <w14:solidFill>
              <w14:schemeClr w14:val="tx1"/>
            </w14:solidFill>
          </w14:textFill>
        </w:rPr>
        <w:t>采购活动，</w:t>
      </w:r>
      <w:r>
        <w:rPr>
          <w:rFonts w:hint="eastAsia" w:ascii="宋体" w:hAnsi="宋体"/>
          <w:color w:val="000000" w:themeColor="text1"/>
          <w:szCs w:val="21"/>
          <w14:textFill>
            <w14:solidFill>
              <w14:schemeClr w14:val="tx1"/>
            </w14:solidFill>
          </w14:textFill>
        </w:rPr>
        <w:t>服务</w:t>
      </w:r>
      <w:r>
        <w:rPr>
          <w:rFonts w:ascii="宋体" w:hAnsi="宋体"/>
          <w:color w:val="000000" w:themeColor="text1"/>
          <w:szCs w:val="21"/>
          <w14:textFill>
            <w14:solidFill>
              <w14:schemeClr w14:val="tx1"/>
            </w14:solidFill>
          </w14:textFill>
        </w:rPr>
        <w:t>全部由符合政策要求的</w:t>
      </w:r>
      <w:r>
        <w:rPr>
          <w:rFonts w:hint="eastAsia" w:ascii="宋体" w:hAnsi="宋体"/>
          <w:color w:val="000000" w:themeColor="text1"/>
          <w:szCs w:val="21"/>
          <w14:textFill>
            <w14:solidFill>
              <w14:schemeClr w14:val="tx1"/>
            </w14:solidFill>
          </w14:textFill>
        </w:rPr>
        <w:t>监狱企业承接</w:t>
      </w:r>
      <w:r>
        <w:rPr>
          <w:rFonts w:ascii="宋体" w:hAnsi="宋体"/>
          <w:color w:val="000000" w:themeColor="text1"/>
          <w:szCs w:val="21"/>
          <w14:textFill>
            <w14:solidFill>
              <w14:schemeClr w14:val="tx1"/>
            </w14:solidFill>
          </w14:textFill>
        </w:rPr>
        <w:t>。相关</w:t>
      </w:r>
      <w:r>
        <w:rPr>
          <w:rFonts w:hint="eastAsia" w:ascii="宋体" w:hAnsi="宋体"/>
          <w:color w:val="000000" w:themeColor="text1"/>
          <w:szCs w:val="21"/>
          <w14:textFill>
            <w14:solidFill>
              <w14:schemeClr w14:val="tx1"/>
            </w14:solidFill>
          </w14:textFill>
        </w:rPr>
        <w:t>监狱企业</w:t>
      </w:r>
      <w:r>
        <w:rPr>
          <w:rFonts w:ascii="宋体" w:hAnsi="宋体"/>
          <w:color w:val="000000" w:themeColor="text1"/>
          <w:szCs w:val="21"/>
          <w14:textFill>
            <w14:solidFill>
              <w14:schemeClr w14:val="tx1"/>
            </w14:solidFill>
          </w14:textFill>
        </w:rPr>
        <w:t>的具体情况如下：</w:t>
      </w:r>
    </w:p>
    <w:p w14:paraId="3C73EAAE">
      <w:pPr>
        <w:ind w:firstLine="480" w:firstLineChars="20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w:t>
      </w:r>
      <w:r>
        <w:rPr>
          <w:rFonts w:ascii="宋体" w:hAnsi="宋体"/>
          <w:b/>
          <w:bCs/>
          <w:color w:val="000000" w:themeColor="text1"/>
          <w:szCs w:val="21"/>
          <w:u w:val="single"/>
          <w14:textFill>
            <w14:solidFill>
              <w14:schemeClr w14:val="tx1"/>
            </w14:solidFill>
          </w14:textFill>
        </w:rPr>
        <w:t xml:space="preserve"> （标的名称）</w:t>
      </w: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，承接单位</w:t>
      </w:r>
      <w:r>
        <w:rPr>
          <w:rFonts w:ascii="宋体" w:hAnsi="宋体"/>
          <w:color w:val="000000" w:themeColor="text1"/>
          <w:szCs w:val="21"/>
          <w14:textFill>
            <w14:solidFill>
              <w14:schemeClr w14:val="tx1"/>
            </w14:solidFill>
          </w14:textFill>
        </w:rPr>
        <w:t>为</w:t>
      </w:r>
      <w:r>
        <w:rPr>
          <w:rFonts w:ascii="宋体" w:hAnsi="宋体"/>
          <w:b/>
          <w:bCs/>
          <w:color w:val="000000" w:themeColor="text1"/>
          <w:szCs w:val="21"/>
          <w:u w:val="single"/>
          <w14:textFill>
            <w14:solidFill>
              <w14:schemeClr w14:val="tx1"/>
            </w14:solidFill>
          </w14:textFill>
        </w:rPr>
        <w:t>（</w:t>
      </w:r>
      <w:r>
        <w:rPr>
          <w:rFonts w:hint="eastAsia" w:ascii="宋体" w:hAnsi="宋体"/>
          <w:b/>
          <w:bCs/>
          <w:color w:val="000000" w:themeColor="text1"/>
          <w:szCs w:val="21"/>
          <w:u w:val="single"/>
          <w14:textFill>
            <w14:solidFill>
              <w14:schemeClr w14:val="tx1"/>
            </w14:solidFill>
          </w14:textFill>
        </w:rPr>
        <w:t>企业</w:t>
      </w:r>
      <w:r>
        <w:rPr>
          <w:rFonts w:ascii="宋体" w:hAnsi="宋体"/>
          <w:b/>
          <w:bCs/>
          <w:color w:val="000000" w:themeColor="text1"/>
          <w:szCs w:val="21"/>
          <w:u w:val="single"/>
          <w14:textFill>
            <w14:solidFill>
              <w14:schemeClr w14:val="tx1"/>
            </w14:solidFill>
          </w14:textFill>
        </w:rPr>
        <w:t>名称）</w:t>
      </w:r>
      <w:r>
        <w:rPr>
          <w:rFonts w:ascii="宋体" w:hAnsi="宋体"/>
          <w:color w:val="000000" w:themeColor="text1"/>
          <w:szCs w:val="21"/>
          <w14:textFill>
            <w14:solidFill>
              <w14:schemeClr w14:val="tx1"/>
            </w14:solidFill>
          </w14:textFill>
        </w:rPr>
        <w:t>，属于</w:t>
      </w:r>
      <w:r>
        <w:rPr>
          <w:rFonts w:hint="eastAsia" w:ascii="宋体" w:hAnsi="宋体"/>
          <w:b/>
          <w:bCs/>
          <w:color w:val="000000" w:themeColor="text1"/>
          <w:szCs w:val="21"/>
          <w:u w:val="single"/>
          <w14:textFill>
            <w14:solidFill>
              <w14:schemeClr w14:val="tx1"/>
            </w14:solidFill>
          </w14:textFill>
        </w:rPr>
        <w:t>监狱企业</w:t>
      </w:r>
      <w:r>
        <w:rPr>
          <w:rFonts w:ascii="宋体" w:hAnsi="宋体"/>
          <w:color w:val="000000" w:themeColor="text1"/>
          <w:szCs w:val="21"/>
          <w14:textFill>
            <w14:solidFill>
              <w14:schemeClr w14:val="tx1"/>
            </w14:solidFill>
          </w14:textFill>
        </w:rPr>
        <w:t>；</w:t>
      </w:r>
    </w:p>
    <w:p w14:paraId="5D836C46">
      <w:pPr>
        <w:ind w:firstLine="480" w:firstLineChars="20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w:t>
      </w:r>
      <w:r>
        <w:rPr>
          <w:rFonts w:ascii="宋体" w:hAnsi="宋体"/>
          <w:b/>
          <w:bCs/>
          <w:color w:val="000000" w:themeColor="text1"/>
          <w:szCs w:val="21"/>
          <w:u w:val="single"/>
          <w14:textFill>
            <w14:solidFill>
              <w14:schemeClr w14:val="tx1"/>
            </w14:solidFill>
          </w14:textFill>
        </w:rPr>
        <w:t xml:space="preserve"> （标的名称）</w:t>
      </w: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，承接单位</w:t>
      </w:r>
      <w:r>
        <w:rPr>
          <w:rFonts w:ascii="宋体" w:hAnsi="宋体"/>
          <w:color w:val="000000" w:themeColor="text1"/>
          <w:szCs w:val="21"/>
          <w14:textFill>
            <w14:solidFill>
              <w14:schemeClr w14:val="tx1"/>
            </w14:solidFill>
          </w14:textFill>
        </w:rPr>
        <w:t>为</w:t>
      </w:r>
      <w:r>
        <w:rPr>
          <w:rFonts w:ascii="宋体" w:hAnsi="宋体"/>
          <w:b/>
          <w:bCs/>
          <w:color w:val="000000" w:themeColor="text1"/>
          <w:szCs w:val="21"/>
          <w:u w:val="single"/>
          <w14:textFill>
            <w14:solidFill>
              <w14:schemeClr w14:val="tx1"/>
            </w14:solidFill>
          </w14:textFill>
        </w:rPr>
        <w:t>（</w:t>
      </w:r>
      <w:r>
        <w:rPr>
          <w:rFonts w:hint="eastAsia" w:ascii="宋体" w:hAnsi="宋体"/>
          <w:b/>
          <w:bCs/>
          <w:color w:val="000000" w:themeColor="text1"/>
          <w:szCs w:val="21"/>
          <w:u w:val="single"/>
          <w14:textFill>
            <w14:solidFill>
              <w14:schemeClr w14:val="tx1"/>
            </w14:solidFill>
          </w14:textFill>
        </w:rPr>
        <w:t>企业</w:t>
      </w:r>
      <w:r>
        <w:rPr>
          <w:rFonts w:ascii="宋体" w:hAnsi="宋体"/>
          <w:b/>
          <w:bCs/>
          <w:color w:val="000000" w:themeColor="text1"/>
          <w:szCs w:val="21"/>
          <w:u w:val="single"/>
          <w14:textFill>
            <w14:solidFill>
              <w14:schemeClr w14:val="tx1"/>
            </w14:solidFill>
          </w14:textFill>
        </w:rPr>
        <w:t>名称）</w:t>
      </w:r>
      <w:r>
        <w:rPr>
          <w:rFonts w:ascii="宋体" w:hAnsi="宋体"/>
          <w:color w:val="000000" w:themeColor="text1"/>
          <w:szCs w:val="21"/>
          <w14:textFill>
            <w14:solidFill>
              <w14:schemeClr w14:val="tx1"/>
            </w14:solidFill>
          </w14:textFill>
        </w:rPr>
        <w:t>，属于</w:t>
      </w:r>
      <w:r>
        <w:rPr>
          <w:rFonts w:hint="eastAsia" w:ascii="宋体" w:hAnsi="宋体"/>
          <w:b/>
          <w:bCs/>
          <w:color w:val="000000" w:themeColor="text1"/>
          <w:szCs w:val="21"/>
          <w:u w:val="single"/>
          <w14:textFill>
            <w14:solidFill>
              <w14:schemeClr w14:val="tx1"/>
            </w14:solidFill>
          </w14:textFill>
        </w:rPr>
        <w:t>监狱企业</w:t>
      </w:r>
      <w:r>
        <w:rPr>
          <w:rFonts w:hint="eastAsia" w:ascii="宋体" w:hAnsi="宋体"/>
          <w:color w:val="000000" w:themeColor="text1"/>
          <w:szCs w:val="21"/>
          <w14:textFill>
            <w14:solidFill>
              <w14:schemeClr w14:val="tx1"/>
            </w14:solidFill>
          </w14:textFill>
        </w:rPr>
        <w:t>。</w:t>
      </w:r>
    </w:p>
    <w:p w14:paraId="3A9BC34E">
      <w:pPr>
        <w:ind w:firstLine="480" w:firstLineChars="20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 </w:t>
      </w:r>
    </w:p>
    <w:p w14:paraId="36C76A39">
      <w:pPr>
        <w:ind w:firstLine="480" w:firstLineChars="200"/>
        <w:rPr>
          <w:rFonts w:ascii="宋体" w:hAnsi="宋体"/>
          <w:color w:val="000000" w:themeColor="text1"/>
          <w:szCs w:val="21"/>
          <w14:textFill>
            <w14:solidFill>
              <w14:schemeClr w14:val="tx1"/>
            </w14:solidFill>
          </w14:textFill>
        </w:rPr>
      </w:pPr>
      <w:r>
        <w:rPr>
          <w:rFonts w:ascii="宋体" w:hAnsi="宋体" w:cstheme="minorBidi"/>
          <w:color w:val="000000" w:themeColor="text1"/>
          <w:szCs w:val="21"/>
          <w14:textFill>
            <w14:solidFill>
              <w14:schemeClr w14:val="tx1"/>
            </w14:solidFill>
          </w14:textFill>
        </w:rPr>
        <w:t>本</w:t>
      </w:r>
      <w:r>
        <w:rPr>
          <w:rFonts w:hint="eastAsia" w:ascii="宋体" w:hAnsi="宋体" w:cstheme="minorBidi"/>
          <w:color w:val="000000" w:themeColor="text1"/>
          <w:szCs w:val="21"/>
          <w14:textFill>
            <w14:solidFill>
              <w14:schemeClr w14:val="tx1"/>
            </w14:solidFill>
          </w14:textFill>
        </w:rPr>
        <w:t>投标人</w:t>
      </w:r>
      <w:r>
        <w:rPr>
          <w:rFonts w:ascii="宋体" w:hAnsi="宋体"/>
          <w:color w:val="000000" w:themeColor="text1"/>
          <w:szCs w:val="21"/>
          <w14:textFill>
            <w14:solidFill>
              <w14:schemeClr w14:val="tx1"/>
            </w14:solidFill>
          </w14:textFill>
        </w:rPr>
        <w:t>对上述声明内容的真实性负责。如有虚假，将依法承担相应责任。</w:t>
      </w:r>
    </w:p>
    <w:p w14:paraId="6C8B97FA">
      <w:pPr>
        <w:ind w:firstLine="480" w:firstLineChars="200"/>
        <w:rPr>
          <w:rFonts w:ascii="宋体" w:hAnsi="宋体"/>
          <w:color w:val="FF0000"/>
          <w:szCs w:val="21"/>
        </w:rPr>
      </w:pPr>
      <w:r>
        <w:rPr>
          <w:rFonts w:hint="eastAsia" w:ascii="宋体" w:hAnsi="宋体"/>
          <w:color w:val="FF0000"/>
          <w:szCs w:val="21"/>
        </w:rPr>
        <w:t>附：省级以上监狱管理局、戒毒管理局（含新疆生产建设兵团）出具的监狱企业证明文件。</w:t>
      </w:r>
    </w:p>
    <w:p w14:paraId="562438EA">
      <w:pPr>
        <w:ind w:left="723" w:hanging="720" w:hangingChars="300"/>
        <w:rPr>
          <w:b/>
          <w:color w:val="000000" w:themeColor="text1"/>
          <w14:textFill>
            <w14:solidFill>
              <w14:schemeClr w14:val="tx1"/>
            </w14:solidFill>
          </w14:textFill>
        </w:rPr>
      </w:pPr>
    </w:p>
    <w:p w14:paraId="0C304B13">
      <w:pPr>
        <w:wordWrap w:val="0"/>
        <w:spacing w:after="60" w:afterLines="25" w:line="300" w:lineRule="auto"/>
        <w:ind w:firstLine="480" w:firstLineChars="200"/>
        <w:jc w:val="right"/>
        <w:rPr>
          <w:rFonts w:asciiTheme="minorEastAsia" w:hAnsiTheme="minorEastAsia"/>
          <w:szCs w:val="21"/>
        </w:rPr>
      </w:pPr>
      <w:r>
        <w:rPr>
          <w:rFonts w:hint="eastAsia" w:asciiTheme="minorEastAsia" w:hAnsiTheme="minorEastAsia"/>
          <w:szCs w:val="21"/>
        </w:rPr>
        <w:t xml:space="preserve">投标人（投标单位）：       </w:t>
      </w:r>
    </w:p>
    <w:p w14:paraId="1B166A31">
      <w:pPr>
        <w:ind w:firstLine="6720" w:firstLineChars="2800"/>
        <w:rPr>
          <w:rFonts w:ascii="宋体" w:hAnsi="宋体"/>
          <w:color w:val="000000" w:themeColor="text1"/>
          <w:szCs w:val="21"/>
          <w14:textFill>
            <w14:solidFill>
              <w14:schemeClr w14:val="tx1"/>
            </w14:solidFill>
          </w14:textFill>
        </w:rPr>
      </w:pPr>
      <w:r>
        <w:rPr>
          <w:rFonts w:hint="eastAsia" w:asciiTheme="minorEastAsia" w:hAnsiTheme="minorEastAsia"/>
          <w:szCs w:val="21"/>
        </w:rPr>
        <w:t>日期：</w:t>
      </w:r>
    </w:p>
    <w:p w14:paraId="0FB1D6DC">
      <w:pPr>
        <w:ind w:left="723" w:hanging="720" w:hangingChars="300"/>
        <w:rPr>
          <w:b/>
          <w:color w:val="000000" w:themeColor="text1"/>
          <w14:textFill>
            <w14:solidFill>
              <w14:schemeClr w14:val="tx1"/>
            </w14:solidFill>
          </w14:textFill>
        </w:rPr>
      </w:pPr>
    </w:p>
    <w:p w14:paraId="72CFFF69">
      <w:pPr>
        <w:rPr>
          <w:rFonts w:eastAsia="黑体"/>
        </w:rPr>
      </w:pPr>
    </w:p>
    <w:p w14:paraId="6A9C2DD0">
      <w:pPr>
        <w:rPr>
          <w:rFonts w:hint="eastAsia" w:ascii="黑体" w:eastAsia="黑体"/>
          <w:b w:val="0"/>
          <w:sz w:val="24"/>
          <w:szCs w:val="24"/>
        </w:rPr>
      </w:pPr>
      <w:r>
        <w:rPr>
          <w:rFonts w:hint="eastAsia" w:ascii="黑体" w:eastAsia="黑体"/>
          <w:b w:val="0"/>
          <w:sz w:val="24"/>
          <w:szCs w:val="24"/>
        </w:rPr>
        <w:br w:type="page"/>
      </w:r>
    </w:p>
    <w:p w14:paraId="4E8F3947">
      <w:pPr>
        <w:pStyle w:val="3"/>
        <w:jc w:val="center"/>
        <w:rPr>
          <w:rFonts w:ascii="黑体" w:eastAsia="黑体"/>
          <w:b w:val="0"/>
          <w:sz w:val="24"/>
          <w:szCs w:val="24"/>
        </w:rPr>
      </w:pPr>
      <w:r>
        <w:rPr>
          <w:rFonts w:hint="eastAsia" w:ascii="黑体" w:eastAsia="黑体"/>
          <w:b w:val="0"/>
          <w:sz w:val="24"/>
          <w:szCs w:val="24"/>
        </w:rPr>
        <w:t>四、项目详细报价</w:t>
      </w:r>
    </w:p>
    <w:p w14:paraId="251FF110">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项目名称：2025年度深圳市市管桥涵定期检测</w:t>
      </w:r>
    </w:p>
    <w:p w14:paraId="6CD845A4">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项目编号：SZDL2025001627</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
        <w:gridCol w:w="3568"/>
        <w:gridCol w:w="1936"/>
        <w:gridCol w:w="1968"/>
      </w:tblGrid>
      <w:tr w14:paraId="4872B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14" w:type="pct"/>
            <w:noWrap w:val="0"/>
            <w:vAlign w:val="center"/>
          </w:tcPr>
          <w:p w14:paraId="0BCC40A7">
            <w:pPr>
              <w:pStyle w:val="3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序号</w:t>
            </w:r>
          </w:p>
        </w:tc>
        <w:tc>
          <w:tcPr>
            <w:tcW w:w="2094" w:type="pct"/>
            <w:noWrap w:val="0"/>
            <w:vAlign w:val="center"/>
          </w:tcPr>
          <w:p w14:paraId="19F0E5EB">
            <w:pPr>
              <w:pStyle w:val="3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项目内容</w:t>
            </w:r>
          </w:p>
        </w:tc>
        <w:tc>
          <w:tcPr>
            <w:tcW w:w="1135" w:type="pct"/>
            <w:noWrap w:val="0"/>
            <w:vAlign w:val="center"/>
          </w:tcPr>
          <w:p w14:paraId="4EDE114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金额（元）</w:t>
            </w:r>
          </w:p>
        </w:tc>
        <w:tc>
          <w:tcPr>
            <w:tcW w:w="1155" w:type="pct"/>
            <w:noWrap w:val="0"/>
            <w:vAlign w:val="center"/>
          </w:tcPr>
          <w:p w14:paraId="5AFA7E03">
            <w:pPr>
              <w:pStyle w:val="3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备注</w:t>
            </w:r>
          </w:p>
        </w:tc>
      </w:tr>
      <w:tr w14:paraId="3CA55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14" w:type="pct"/>
            <w:noWrap w:val="0"/>
            <w:vAlign w:val="center"/>
          </w:tcPr>
          <w:p w14:paraId="4DDF7A0E">
            <w:pPr>
              <w:pStyle w:val="3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w:t>
            </w:r>
          </w:p>
        </w:tc>
        <w:tc>
          <w:tcPr>
            <w:tcW w:w="2094" w:type="pct"/>
            <w:noWrap w:val="0"/>
            <w:vAlign w:val="top"/>
          </w:tcPr>
          <w:p w14:paraId="0E905D2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1"/>
                <w:szCs w:val="21"/>
              </w:rPr>
            </w:pPr>
          </w:p>
        </w:tc>
        <w:tc>
          <w:tcPr>
            <w:tcW w:w="1135" w:type="pct"/>
            <w:noWrap w:val="0"/>
            <w:vAlign w:val="center"/>
          </w:tcPr>
          <w:p w14:paraId="4394015F">
            <w:pPr>
              <w:pStyle w:val="3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1"/>
                <w:szCs w:val="21"/>
              </w:rPr>
            </w:pPr>
          </w:p>
        </w:tc>
        <w:tc>
          <w:tcPr>
            <w:tcW w:w="1155" w:type="pct"/>
            <w:noWrap w:val="0"/>
            <w:vAlign w:val="center"/>
          </w:tcPr>
          <w:p w14:paraId="2635008E">
            <w:pPr>
              <w:pStyle w:val="3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1"/>
                <w:szCs w:val="21"/>
              </w:rPr>
            </w:pPr>
          </w:p>
        </w:tc>
      </w:tr>
      <w:tr w14:paraId="13FE6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14" w:type="pct"/>
            <w:noWrap w:val="0"/>
            <w:vAlign w:val="center"/>
          </w:tcPr>
          <w:p w14:paraId="4FADFE6A">
            <w:pPr>
              <w:pStyle w:val="3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2</w:t>
            </w:r>
          </w:p>
        </w:tc>
        <w:tc>
          <w:tcPr>
            <w:tcW w:w="2094" w:type="pct"/>
            <w:noWrap w:val="0"/>
            <w:vAlign w:val="top"/>
          </w:tcPr>
          <w:p w14:paraId="7DFDFE8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1"/>
                <w:szCs w:val="21"/>
              </w:rPr>
            </w:pPr>
          </w:p>
        </w:tc>
        <w:tc>
          <w:tcPr>
            <w:tcW w:w="1135" w:type="pct"/>
            <w:noWrap w:val="0"/>
            <w:vAlign w:val="center"/>
          </w:tcPr>
          <w:p w14:paraId="5DF1B562">
            <w:pPr>
              <w:pStyle w:val="3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1"/>
                <w:szCs w:val="21"/>
              </w:rPr>
            </w:pPr>
          </w:p>
        </w:tc>
        <w:tc>
          <w:tcPr>
            <w:tcW w:w="1155" w:type="pct"/>
            <w:noWrap w:val="0"/>
            <w:vAlign w:val="center"/>
          </w:tcPr>
          <w:p w14:paraId="123C1666">
            <w:pPr>
              <w:pStyle w:val="3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1"/>
                <w:szCs w:val="21"/>
              </w:rPr>
            </w:pPr>
          </w:p>
        </w:tc>
      </w:tr>
      <w:tr w14:paraId="11367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14" w:type="pct"/>
            <w:noWrap w:val="0"/>
            <w:vAlign w:val="center"/>
          </w:tcPr>
          <w:p w14:paraId="21D00FCA">
            <w:pPr>
              <w:pStyle w:val="3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3</w:t>
            </w:r>
          </w:p>
        </w:tc>
        <w:tc>
          <w:tcPr>
            <w:tcW w:w="2094" w:type="pct"/>
            <w:noWrap w:val="0"/>
            <w:vAlign w:val="top"/>
          </w:tcPr>
          <w:p w14:paraId="2EC20CA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1"/>
                <w:szCs w:val="21"/>
              </w:rPr>
            </w:pPr>
          </w:p>
        </w:tc>
        <w:tc>
          <w:tcPr>
            <w:tcW w:w="1135" w:type="pct"/>
            <w:noWrap w:val="0"/>
            <w:vAlign w:val="center"/>
          </w:tcPr>
          <w:p w14:paraId="786F6BA7">
            <w:pPr>
              <w:pStyle w:val="3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1"/>
                <w:szCs w:val="21"/>
              </w:rPr>
            </w:pPr>
          </w:p>
        </w:tc>
        <w:tc>
          <w:tcPr>
            <w:tcW w:w="1155" w:type="pct"/>
            <w:noWrap w:val="0"/>
            <w:vAlign w:val="center"/>
          </w:tcPr>
          <w:p w14:paraId="78E7C052">
            <w:pPr>
              <w:pStyle w:val="3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1"/>
                <w:szCs w:val="21"/>
              </w:rPr>
            </w:pPr>
          </w:p>
        </w:tc>
      </w:tr>
      <w:tr w14:paraId="61D10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14" w:type="pct"/>
            <w:noWrap w:val="0"/>
            <w:vAlign w:val="center"/>
          </w:tcPr>
          <w:p w14:paraId="16AFAA9F">
            <w:pPr>
              <w:pStyle w:val="3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w:t>
            </w:r>
          </w:p>
        </w:tc>
        <w:tc>
          <w:tcPr>
            <w:tcW w:w="2094" w:type="pct"/>
            <w:noWrap w:val="0"/>
            <w:vAlign w:val="top"/>
          </w:tcPr>
          <w:p w14:paraId="6FC5194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1"/>
                <w:szCs w:val="21"/>
              </w:rPr>
            </w:pPr>
          </w:p>
        </w:tc>
        <w:tc>
          <w:tcPr>
            <w:tcW w:w="1135" w:type="pct"/>
            <w:noWrap w:val="0"/>
            <w:vAlign w:val="center"/>
          </w:tcPr>
          <w:p w14:paraId="53081107">
            <w:pPr>
              <w:pStyle w:val="3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1"/>
                <w:szCs w:val="21"/>
              </w:rPr>
            </w:pPr>
          </w:p>
        </w:tc>
        <w:tc>
          <w:tcPr>
            <w:tcW w:w="1155" w:type="pct"/>
            <w:noWrap w:val="0"/>
            <w:vAlign w:val="center"/>
          </w:tcPr>
          <w:p w14:paraId="1AEE9B03">
            <w:pPr>
              <w:pStyle w:val="3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1"/>
                <w:szCs w:val="21"/>
              </w:rPr>
            </w:pPr>
          </w:p>
        </w:tc>
      </w:tr>
      <w:tr w14:paraId="5D0F4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844" w:type="pct"/>
            <w:gridSpan w:val="3"/>
            <w:noWrap w:val="0"/>
            <w:vAlign w:val="center"/>
          </w:tcPr>
          <w:p w14:paraId="519CC8D0">
            <w:pPr>
              <w:pStyle w:val="32"/>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sz w:val="21"/>
                <w:szCs w:val="21"/>
              </w:rPr>
            </w:pPr>
            <w:r>
              <w:rPr>
                <w:rFonts w:hint="eastAsia" w:ascii="宋体" w:hAnsi="宋体" w:eastAsia="宋体" w:cs="宋体"/>
                <w:bCs/>
                <w:color w:val="000000"/>
                <w:sz w:val="21"/>
                <w:szCs w:val="21"/>
              </w:rPr>
              <w:t>投标总价（元）</w:t>
            </w:r>
            <w:r>
              <w:rPr>
                <w:rFonts w:hint="eastAsia" w:ascii="宋体" w:hAnsi="宋体" w:eastAsia="宋体" w:cs="宋体"/>
                <w:bCs/>
                <w:color w:val="000000"/>
                <w:sz w:val="21"/>
                <w:szCs w:val="21"/>
                <w:lang w:eastAsia="zh-CN"/>
              </w:rPr>
              <w:t>：</w:t>
            </w:r>
            <w:r>
              <w:rPr>
                <w:rFonts w:hint="eastAsia" w:ascii="宋体" w:hAnsi="宋体" w:eastAsia="宋体" w:cs="宋体"/>
                <w:bCs/>
                <w:color w:val="000000"/>
                <w:sz w:val="21"/>
                <w:szCs w:val="21"/>
              </w:rPr>
              <w:tab/>
            </w:r>
          </w:p>
        </w:tc>
        <w:tc>
          <w:tcPr>
            <w:tcW w:w="1155" w:type="pct"/>
            <w:noWrap w:val="0"/>
            <w:vAlign w:val="center"/>
          </w:tcPr>
          <w:p w14:paraId="1FF6158D">
            <w:pPr>
              <w:pStyle w:val="32"/>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sz w:val="21"/>
                <w:szCs w:val="21"/>
              </w:rPr>
            </w:pPr>
          </w:p>
        </w:tc>
      </w:tr>
    </w:tbl>
    <w:p w14:paraId="0090BF64">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注：</w:t>
      </w:r>
    </w:p>
    <w:p w14:paraId="083D26D6">
      <w:pPr>
        <w:keepNext w:val="0"/>
        <w:keepLines w:val="0"/>
        <w:pageBreakBefore w:val="0"/>
        <w:widowControl/>
        <w:tabs>
          <w:tab w:val="left" w:pos="424"/>
        </w:tabs>
        <w:kinsoku/>
        <w:wordWrap/>
        <w:overflowPunct/>
        <w:topLinePunct w:val="0"/>
        <w:autoSpaceDE/>
        <w:autoSpaceDN/>
        <w:bidi w:val="0"/>
        <w:adjustRightInd/>
        <w:snapToGrid/>
        <w:spacing w:line="240" w:lineRule="auto"/>
        <w:jc w:val="left"/>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1.本表格仅为指导性范本，供应商应根据项目具体情况对各分项内容进行调整提供详细分项报价。</w:t>
      </w:r>
    </w:p>
    <w:p w14:paraId="1B1DE61F">
      <w:pPr>
        <w:keepNext w:val="0"/>
        <w:keepLines w:val="0"/>
        <w:pageBreakBefore w:val="0"/>
        <w:widowControl/>
        <w:tabs>
          <w:tab w:val="left" w:pos="424"/>
        </w:tabs>
        <w:kinsoku/>
        <w:wordWrap/>
        <w:overflowPunct/>
        <w:topLinePunct w:val="0"/>
        <w:autoSpaceDE/>
        <w:autoSpaceDN/>
        <w:bidi w:val="0"/>
        <w:adjustRightInd/>
        <w:snapToGrid/>
        <w:spacing w:line="240" w:lineRule="auto"/>
        <w:jc w:val="left"/>
        <w:textAlignment w:val="auto"/>
        <w:rPr>
          <w:rFonts w:hint="eastAsia" w:ascii="宋体" w:hAnsi="宋体" w:eastAsia="宋体" w:cs="宋体"/>
          <w:b/>
          <w:color w:val="auto"/>
          <w:sz w:val="21"/>
          <w:szCs w:val="21"/>
        </w:rPr>
      </w:pPr>
      <w:r>
        <w:rPr>
          <w:rFonts w:hint="eastAsia" w:ascii="宋体" w:hAnsi="宋体" w:eastAsia="宋体" w:cs="宋体"/>
          <w:b/>
          <w:color w:val="000000"/>
          <w:sz w:val="21"/>
          <w:szCs w:val="21"/>
        </w:rPr>
        <w:t>2.分项报价的汇总价等于“开标一览表”中的</w:t>
      </w:r>
      <w:r>
        <w:rPr>
          <w:rFonts w:hint="eastAsia" w:ascii="宋体" w:hAnsi="宋体" w:eastAsia="宋体" w:cs="宋体"/>
          <w:b/>
          <w:color w:val="auto"/>
          <w:sz w:val="21"/>
          <w:szCs w:val="21"/>
        </w:rPr>
        <w:t>报价总价。</w:t>
      </w:r>
    </w:p>
    <w:p w14:paraId="711BFFE2">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b/>
          <w:color w:val="auto"/>
          <w:sz w:val="21"/>
          <w:szCs w:val="21"/>
        </w:rPr>
      </w:pPr>
      <w:r>
        <w:rPr>
          <w:rFonts w:hint="eastAsia" w:ascii="宋体" w:hAnsi="宋体" w:eastAsia="宋体" w:cs="宋体"/>
          <w:b/>
          <w:bCs/>
          <w:color w:val="auto"/>
          <w:sz w:val="21"/>
          <w:szCs w:val="21"/>
        </w:rPr>
        <w:t>3.</w:t>
      </w:r>
      <w:r>
        <w:rPr>
          <w:rFonts w:hint="eastAsia" w:ascii="宋体" w:hAnsi="宋体" w:eastAsia="宋体" w:cs="宋体"/>
          <w:b/>
          <w:color w:val="auto"/>
          <w:sz w:val="21"/>
          <w:szCs w:val="21"/>
        </w:rPr>
        <w:t>如果以上内容无法满足投标人对报价描述，可自行添加包含在价格因素内的一切内容，但不提供详细分项报价将视为没有实质性响应招标文件</w:t>
      </w:r>
      <w:r>
        <w:rPr>
          <w:rFonts w:hint="eastAsia" w:ascii="宋体" w:hAnsi="宋体" w:eastAsia="宋体" w:cs="宋体"/>
          <w:b w:val="0"/>
          <w:color w:val="auto"/>
          <w:sz w:val="21"/>
          <w:szCs w:val="21"/>
        </w:rPr>
        <w:t>。</w:t>
      </w:r>
    </w:p>
    <w:p w14:paraId="0A0BFE4E"/>
    <w:p w14:paraId="63D1C3D3">
      <w:pPr>
        <w:pStyle w:val="3"/>
        <w:jc w:val="center"/>
        <w:rPr>
          <w:bCs w:val="0"/>
          <w:color w:val="000000" w:themeColor="text1"/>
          <w:sz w:val="24"/>
          <w:szCs w:val="24"/>
          <w14:textFill>
            <w14:solidFill>
              <w14:schemeClr w14:val="tx1"/>
            </w14:solidFill>
          </w14:textFill>
        </w:rPr>
      </w:pPr>
      <w:r>
        <w:rPr>
          <w:rFonts w:hint="eastAsia"/>
          <w:bCs w:val="0"/>
          <w:color w:val="000000" w:themeColor="text1"/>
          <w:sz w:val="24"/>
          <w:szCs w:val="24"/>
          <w14:textFill>
            <w14:solidFill>
              <w14:schemeClr w14:val="tx1"/>
            </w14:solidFill>
          </w14:textFill>
        </w:rPr>
        <w:t>五、供应商资格（资质、认证）情况</w:t>
      </w:r>
    </w:p>
    <w:p w14:paraId="68A041F7">
      <w:pPr>
        <w:pStyle w:val="3"/>
        <w:jc w:val="center"/>
        <w:rPr>
          <w:bCs w:val="0"/>
          <w:color w:val="000000" w:themeColor="text1"/>
          <w:sz w:val="24"/>
          <w:szCs w:val="24"/>
          <w14:textFill>
            <w14:solidFill>
              <w14:schemeClr w14:val="tx1"/>
            </w14:solidFill>
          </w14:textFill>
        </w:rPr>
      </w:pPr>
      <w:r>
        <w:rPr>
          <w:rFonts w:hint="eastAsia"/>
          <w:bCs w:val="0"/>
          <w:sz w:val="24"/>
          <w:szCs w:val="24"/>
        </w:rPr>
        <w:t>六、供应商同类业绩情况</w:t>
      </w:r>
    </w:p>
    <w:p w14:paraId="0C7AA1F4">
      <w:pPr>
        <w:pStyle w:val="3"/>
        <w:jc w:val="center"/>
        <w:rPr>
          <w:rFonts w:hint="eastAsia"/>
          <w:bCs w:val="0"/>
          <w:sz w:val="24"/>
          <w:szCs w:val="24"/>
        </w:rPr>
      </w:pPr>
      <w:r>
        <w:rPr>
          <w:rFonts w:hint="eastAsia"/>
          <w:bCs w:val="0"/>
          <w:sz w:val="24"/>
          <w:szCs w:val="24"/>
          <w:lang w:val="en-US" w:eastAsia="zh-CN"/>
        </w:rPr>
        <w:t>七、投标人自主知识产权产品（创新、设计）情况</w:t>
      </w:r>
    </w:p>
    <w:p w14:paraId="0FEDAECD">
      <w:pPr>
        <w:pStyle w:val="3"/>
        <w:jc w:val="center"/>
        <w:rPr>
          <w:bCs w:val="0"/>
          <w:sz w:val="24"/>
          <w:szCs w:val="24"/>
        </w:rPr>
      </w:pPr>
      <w:r>
        <w:rPr>
          <w:rFonts w:hint="eastAsia"/>
          <w:bCs w:val="0"/>
          <w:sz w:val="24"/>
          <w:szCs w:val="24"/>
          <w:lang w:val="en-US" w:eastAsia="zh-CN"/>
        </w:rPr>
        <w:t>八</w:t>
      </w:r>
      <w:r>
        <w:rPr>
          <w:rFonts w:hint="eastAsia"/>
          <w:bCs w:val="0"/>
          <w:sz w:val="24"/>
          <w:szCs w:val="24"/>
        </w:rPr>
        <w:t>、项目拟使用的场地、工具、机器等情况</w:t>
      </w:r>
    </w:p>
    <w:p w14:paraId="30ED11AA">
      <w:pPr>
        <w:pStyle w:val="3"/>
        <w:jc w:val="center"/>
        <w:rPr>
          <w:bCs w:val="0"/>
          <w:color w:val="000000" w:themeColor="text1"/>
          <w:sz w:val="24"/>
          <w:szCs w:val="24"/>
          <w14:textFill>
            <w14:solidFill>
              <w14:schemeClr w14:val="tx1"/>
            </w14:solidFill>
          </w14:textFill>
        </w:rPr>
      </w:pPr>
      <w:r>
        <w:rPr>
          <w:rFonts w:hint="eastAsia"/>
          <w:bCs w:val="0"/>
          <w:sz w:val="24"/>
          <w:szCs w:val="24"/>
          <w:lang w:val="en-US" w:eastAsia="zh-CN"/>
        </w:rPr>
        <w:t>九、</w:t>
      </w:r>
      <w:r>
        <w:rPr>
          <w:rFonts w:hint="eastAsia"/>
          <w:bCs w:val="0"/>
          <w:color w:val="000000" w:themeColor="text1"/>
          <w:sz w:val="24"/>
          <w:szCs w:val="24"/>
          <w14:textFill>
            <w14:solidFill>
              <w14:schemeClr w14:val="tx1"/>
            </w14:solidFill>
          </w14:textFill>
        </w:rPr>
        <w:t>投标人认为需要加以说明的其他内容（格式自定）</w:t>
      </w:r>
    </w:p>
    <w:p w14:paraId="47AF6F77">
      <w:pPr>
        <w:rPr>
          <w:rFonts w:eastAsia="黑体"/>
          <w:bCs/>
        </w:rPr>
      </w:pPr>
    </w:p>
    <w:p w14:paraId="1A069AF3">
      <w:pPr>
        <w:rPr>
          <w:color w:val="000000" w:themeColor="text1"/>
          <w14:textFill>
            <w14:solidFill>
              <w14:schemeClr w14:val="tx1"/>
            </w14:solidFill>
          </w14:textFill>
        </w:rPr>
      </w:pPr>
    </w:p>
    <w:p w14:paraId="583C2AFA">
      <w:pPr>
        <w:rPr>
          <w:color w:val="000000" w:themeColor="text1"/>
          <w14:textFill>
            <w14:solidFill>
              <w14:schemeClr w14:val="tx1"/>
            </w14:solidFill>
          </w14:textFill>
        </w:rPr>
      </w:pPr>
    </w:p>
    <w:p w14:paraId="35B57953">
      <w:pPr>
        <w:ind w:firstLine="1441" w:firstLineChars="600"/>
        <w:rPr>
          <w:b/>
          <w:color w:val="FF0000"/>
        </w:rPr>
      </w:pPr>
      <w:r>
        <w:rPr>
          <w:rFonts w:hint="eastAsia"/>
          <w:b/>
          <w:color w:val="FF0000"/>
        </w:rPr>
        <w:t>（信息公开部分的内容到此为止！以下为信息不公开部分。）</w:t>
      </w:r>
    </w:p>
    <w:p w14:paraId="123F8E8E">
      <w:pPr>
        <w:ind w:firstLine="1441" w:firstLineChars="600"/>
        <w:rPr>
          <w:b/>
          <w:color w:val="FF0000"/>
        </w:rPr>
      </w:pPr>
    </w:p>
    <w:p w14:paraId="509E9FDD">
      <w:pPr>
        <w:ind w:firstLine="1441" w:firstLineChars="600"/>
        <w:rPr>
          <w:b/>
          <w:color w:val="FF0000"/>
        </w:rPr>
      </w:pPr>
    </w:p>
    <w:p w14:paraId="6C205233">
      <w:pPr>
        <w:rPr>
          <w:b/>
          <w:color w:val="FF0000"/>
        </w:rPr>
      </w:pPr>
      <w:r>
        <w:rPr>
          <w:b/>
          <w:color w:val="FF0000"/>
        </w:rPr>
        <w:br w:type="page"/>
      </w:r>
    </w:p>
    <w:p w14:paraId="02E77BE5">
      <w:pPr>
        <w:outlineLvl w:val="1"/>
        <w:rPr>
          <w:rFonts w:ascii="宋体" w:hAnsi="宋体"/>
          <w:b/>
          <w:color w:val="FF0000"/>
          <w:sz w:val="28"/>
          <w:szCs w:val="28"/>
        </w:rPr>
      </w:pPr>
      <w:r>
        <w:rPr>
          <w:rFonts w:hint="eastAsia" w:ascii="宋体" w:hAnsi="宋体"/>
          <w:b/>
          <w:color w:val="FF0000"/>
          <w:sz w:val="28"/>
          <w:szCs w:val="28"/>
        </w:rPr>
        <w:t>投标文件附件（信息不公开部分）</w:t>
      </w:r>
    </w:p>
    <w:p w14:paraId="3F1D9D52">
      <w:pPr>
        <w:pStyle w:val="3"/>
        <w:jc w:val="center"/>
        <w:rPr>
          <w:rFonts w:ascii="黑体" w:eastAsia="黑体"/>
          <w:b w:val="0"/>
          <w:sz w:val="24"/>
          <w:highlight w:val="none"/>
        </w:rPr>
      </w:pPr>
      <w:r>
        <w:rPr>
          <w:rFonts w:hint="eastAsia" w:ascii="黑体" w:eastAsia="黑体"/>
          <w:bCs w:val="0"/>
          <w:color w:val="000000" w:themeColor="text1"/>
          <w:sz w:val="24"/>
          <w14:textFill>
            <w14:solidFill>
              <w14:schemeClr w14:val="tx1"/>
            </w14:solidFill>
          </w14:textFill>
        </w:rPr>
        <w:t>一、</w:t>
      </w:r>
      <w:bookmarkStart w:id="42" w:name="_Hlk72092499"/>
      <w:r>
        <w:rPr>
          <w:rFonts w:hint="eastAsia" w:ascii="黑体" w:eastAsia="黑体"/>
          <w:b w:val="0"/>
          <w:sz w:val="24"/>
          <w:highlight w:val="none"/>
        </w:rPr>
        <w:t>法定代表人（负责人或</w:t>
      </w:r>
      <w:r>
        <w:rPr>
          <w:rFonts w:hint="eastAsia" w:ascii="黑体" w:eastAsia="黑体"/>
          <w:b w:val="0"/>
          <w:color w:val="4F81BD" w:themeColor="accent1"/>
          <w:sz w:val="24"/>
          <w:highlight w:val="none"/>
          <w14:textFill>
            <w14:solidFill>
              <w14:schemeClr w14:val="accent1"/>
            </w14:solidFill>
          </w14:textFill>
        </w:rPr>
        <w:t>执行事务合伙人</w:t>
      </w:r>
      <w:r>
        <w:rPr>
          <w:rFonts w:hint="eastAsia" w:ascii="黑体" w:eastAsia="黑体"/>
          <w:b w:val="0"/>
          <w:sz w:val="24"/>
          <w:highlight w:val="none"/>
        </w:rPr>
        <w:t>）资格证明书</w:t>
      </w:r>
      <w:bookmarkEnd w:id="42"/>
    </w:p>
    <w:p w14:paraId="4FE51534">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致友和保险经纪有限公司：</w:t>
      </w:r>
    </w:p>
    <w:p w14:paraId="4D763601">
      <w:pPr>
        <w:keepNext w:val="0"/>
        <w:keepLines w:val="0"/>
        <w:pageBreakBefore w:val="0"/>
        <w:kinsoku/>
        <w:wordWrap/>
        <w:overflowPunct/>
        <w:topLinePunct w:val="0"/>
        <w:autoSpaceDE/>
        <w:autoSpaceDN/>
        <w:bidi w:val="0"/>
        <w:adjustRightInd/>
        <w:spacing w:line="340" w:lineRule="exact"/>
        <w:textAlignment w:val="auto"/>
        <w:rPr>
          <w:rFonts w:hint="eastAsia" w:asciiTheme="minorEastAsia" w:hAnsiTheme="minorEastAsia" w:eastAsiaTheme="minorEastAsia" w:cstheme="minorEastAsia"/>
          <w:sz w:val="24"/>
        </w:rPr>
      </w:pPr>
    </w:p>
    <w:p w14:paraId="0891CD20">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Theme="minorEastAsia" w:hAnsiTheme="minorEastAsia" w:eastAsiaTheme="minorEastAsia" w:cstheme="minorEastAsia"/>
          <w:color w:val="000000"/>
          <w:sz w:val="24"/>
          <w:u w:val="single"/>
        </w:rPr>
      </w:pPr>
      <w:r>
        <w:rPr>
          <w:rFonts w:hint="eastAsia" w:asciiTheme="minorEastAsia" w:hAnsiTheme="minorEastAsia" w:eastAsiaTheme="minorEastAsia" w:cstheme="minorEastAsia"/>
          <w:color w:val="000000"/>
          <w:sz w:val="24"/>
        </w:rPr>
        <w:t>单位名称：</w:t>
      </w:r>
      <w:r>
        <w:rPr>
          <w:rFonts w:hint="eastAsia" w:asciiTheme="minorEastAsia" w:hAnsiTheme="minorEastAsia" w:eastAsiaTheme="minorEastAsia" w:cstheme="minorEastAsia"/>
          <w:color w:val="000000"/>
          <w:sz w:val="24"/>
          <w:u w:val="single"/>
          <w:lang w:val="en-US" w:eastAsia="zh-CN"/>
        </w:rPr>
        <w:t xml:space="preserve">                   </w:t>
      </w:r>
      <w:r>
        <w:rPr>
          <w:rFonts w:hint="eastAsia" w:asciiTheme="minorEastAsia" w:hAnsiTheme="minorEastAsia" w:eastAsiaTheme="minorEastAsia" w:cstheme="minorEastAsia"/>
          <w:color w:val="000000"/>
          <w:sz w:val="24"/>
          <w:u w:val="single"/>
        </w:rPr>
        <w:softHyphen/>
      </w:r>
      <w:r>
        <w:rPr>
          <w:rFonts w:hint="eastAsia" w:asciiTheme="minorEastAsia" w:hAnsiTheme="minorEastAsia" w:eastAsiaTheme="minorEastAsia" w:cstheme="minorEastAsia"/>
          <w:color w:val="000000"/>
          <w:sz w:val="24"/>
          <w:u w:val="single"/>
        </w:rPr>
        <w:softHyphen/>
      </w:r>
      <w:r>
        <w:rPr>
          <w:rFonts w:hint="eastAsia" w:asciiTheme="minorEastAsia" w:hAnsiTheme="minorEastAsia" w:eastAsiaTheme="minorEastAsia" w:cstheme="minorEastAsia"/>
          <w:color w:val="000000"/>
          <w:sz w:val="24"/>
          <w:u w:val="single"/>
        </w:rPr>
        <w:softHyphen/>
      </w:r>
      <w:r>
        <w:rPr>
          <w:rFonts w:hint="eastAsia" w:asciiTheme="minorEastAsia" w:hAnsiTheme="minorEastAsia" w:eastAsiaTheme="minorEastAsia" w:cstheme="minorEastAsia"/>
          <w:color w:val="000000"/>
          <w:sz w:val="24"/>
          <w:u w:val="single"/>
        </w:rPr>
        <w:softHyphen/>
      </w:r>
      <w:r>
        <w:rPr>
          <w:rFonts w:hint="eastAsia" w:asciiTheme="minorEastAsia" w:hAnsiTheme="minorEastAsia" w:eastAsiaTheme="minorEastAsia" w:cstheme="minorEastAsia"/>
          <w:color w:val="000000"/>
          <w:sz w:val="24"/>
          <w:u w:val="single"/>
        </w:rPr>
        <w:softHyphen/>
      </w:r>
    </w:p>
    <w:p w14:paraId="2C4E1A2A">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地    址：</w:t>
      </w:r>
      <w:r>
        <w:rPr>
          <w:rFonts w:hint="eastAsia" w:asciiTheme="minorEastAsia" w:hAnsiTheme="minorEastAsia" w:eastAsiaTheme="minorEastAsia" w:cstheme="minorEastAsia"/>
          <w:color w:val="000000"/>
          <w:sz w:val="24"/>
          <w:u w:val="single"/>
          <w:lang w:val="en-US" w:eastAsia="zh-CN"/>
        </w:rPr>
        <w:t xml:space="preserve">                   </w:t>
      </w:r>
    </w:p>
    <w:p w14:paraId="6A74B8D3">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姓    名：</w:t>
      </w:r>
      <w:r>
        <w:rPr>
          <w:rFonts w:hint="eastAsia" w:asciiTheme="minorEastAsia" w:hAnsiTheme="minorEastAsia" w:eastAsiaTheme="minorEastAsia" w:cstheme="minorEastAsia"/>
          <w:color w:val="000000"/>
          <w:sz w:val="24"/>
          <w:u w:val="single"/>
          <w:lang w:val="en-US" w:eastAsia="zh-CN"/>
        </w:rPr>
        <w:t xml:space="preserve">              </w:t>
      </w:r>
      <w:r>
        <w:rPr>
          <w:rFonts w:hint="eastAsia" w:asciiTheme="minorEastAsia" w:hAnsiTheme="minorEastAsia" w:eastAsiaTheme="minorEastAsia" w:cstheme="minorEastAsia"/>
          <w:color w:val="000000"/>
          <w:sz w:val="24"/>
          <w:lang w:val="en-US" w:eastAsia="zh-CN"/>
        </w:rPr>
        <w:t xml:space="preserve"> </w:t>
      </w:r>
      <w:r>
        <w:rPr>
          <w:rFonts w:hint="eastAsia" w:asciiTheme="minorEastAsia" w:hAnsiTheme="minorEastAsia" w:eastAsiaTheme="minorEastAsia" w:cstheme="minorEastAsia"/>
          <w:color w:val="000000"/>
          <w:sz w:val="24"/>
        </w:rPr>
        <w:t>性别：</w:t>
      </w:r>
      <w:r>
        <w:rPr>
          <w:rFonts w:hint="eastAsia" w:asciiTheme="minorEastAsia" w:hAnsiTheme="minorEastAsia" w:eastAsiaTheme="minorEastAsia" w:cstheme="minorEastAsia"/>
          <w:color w:val="000000"/>
          <w:sz w:val="24"/>
          <w:u w:val="single"/>
          <w:lang w:val="en-US" w:eastAsia="zh-CN"/>
        </w:rPr>
        <w:t xml:space="preserve">          </w:t>
      </w:r>
      <w:r>
        <w:rPr>
          <w:rFonts w:hint="eastAsia" w:asciiTheme="minorEastAsia" w:hAnsiTheme="minorEastAsia" w:eastAsiaTheme="minorEastAsia" w:cstheme="minorEastAsia"/>
          <w:color w:val="000000"/>
          <w:sz w:val="24"/>
          <w:lang w:val="en-US" w:eastAsia="zh-CN"/>
        </w:rPr>
        <w:t xml:space="preserve"> </w:t>
      </w:r>
      <w:r>
        <w:rPr>
          <w:rFonts w:hint="eastAsia" w:asciiTheme="minorEastAsia" w:hAnsiTheme="minorEastAsia" w:eastAsiaTheme="minorEastAsia" w:cstheme="minorEastAsia"/>
          <w:color w:val="000000"/>
          <w:sz w:val="24"/>
        </w:rPr>
        <w:t>年龄：</w:t>
      </w:r>
      <w:r>
        <w:rPr>
          <w:rFonts w:hint="eastAsia" w:asciiTheme="minorEastAsia" w:hAnsiTheme="minorEastAsia" w:eastAsiaTheme="minorEastAsia" w:cstheme="minorEastAsia"/>
          <w:color w:val="000000"/>
          <w:sz w:val="24"/>
          <w:u w:val="single"/>
          <w:lang w:val="en-US" w:eastAsia="zh-CN"/>
        </w:rPr>
        <w:t xml:space="preserve">          </w:t>
      </w:r>
    </w:p>
    <w:p w14:paraId="6425B3C9">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身份证号码：</w:t>
      </w:r>
      <w:r>
        <w:rPr>
          <w:rFonts w:hint="eastAsia" w:asciiTheme="minorEastAsia" w:hAnsiTheme="minorEastAsia" w:eastAsiaTheme="minorEastAsia" w:cstheme="minorEastAsia"/>
          <w:color w:val="000000"/>
          <w:sz w:val="24"/>
          <w:u w:val="single"/>
          <w:lang w:val="en-US" w:eastAsia="zh-CN"/>
        </w:rPr>
        <w:t xml:space="preserve">                     </w:t>
      </w:r>
      <w:r>
        <w:rPr>
          <w:rFonts w:hint="eastAsia" w:asciiTheme="minorEastAsia" w:hAnsiTheme="minorEastAsia" w:eastAsiaTheme="minorEastAsia" w:cstheme="minorEastAsia"/>
          <w:color w:val="000000"/>
          <w:sz w:val="24"/>
        </w:rPr>
        <w:t>职务：</w:t>
      </w:r>
      <w:r>
        <w:rPr>
          <w:rFonts w:hint="eastAsia" w:asciiTheme="minorEastAsia" w:hAnsiTheme="minorEastAsia" w:eastAsiaTheme="minorEastAsia" w:cstheme="minorEastAsia"/>
          <w:color w:val="000000"/>
          <w:sz w:val="24"/>
          <w:u w:val="single"/>
          <w:lang w:val="en-US" w:eastAsia="zh-CN"/>
        </w:rPr>
        <w:t xml:space="preserve">                   </w:t>
      </w:r>
    </w:p>
    <w:p w14:paraId="43FAA11E">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lang w:val="en-US" w:eastAsia="zh-CN"/>
        </w:rPr>
        <w:t>联系电话或手机号码</w:t>
      </w:r>
      <w:r>
        <w:rPr>
          <w:rFonts w:hint="eastAsia" w:asciiTheme="minorEastAsia" w:hAnsiTheme="minorEastAsia" w:eastAsiaTheme="minorEastAsia" w:cstheme="minorEastAsia"/>
          <w:color w:val="000000"/>
          <w:sz w:val="24"/>
          <w:highlight w:val="yellow"/>
          <w:u w:val="single"/>
          <w:lang w:val="en-US" w:eastAsia="zh-CN"/>
        </w:rPr>
        <w:t>：（如法定代表人为投标人代表，则必须需填写此项）</w:t>
      </w:r>
      <w:r>
        <w:rPr>
          <w:rFonts w:hint="eastAsia" w:asciiTheme="minorEastAsia" w:hAnsiTheme="minorEastAsia" w:eastAsiaTheme="minorEastAsia" w:cstheme="minorEastAsia"/>
          <w:color w:val="000000"/>
          <w:sz w:val="24"/>
          <w:highlight w:val="yellow"/>
          <w:lang w:val="en-US" w:eastAsia="zh-CN"/>
        </w:rPr>
        <w:t>。</w:t>
      </w:r>
    </w:p>
    <w:p w14:paraId="426BB7A9">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我系</w:t>
      </w:r>
      <w:r>
        <w:rPr>
          <w:rFonts w:hint="eastAsia" w:asciiTheme="minorEastAsia" w:hAnsiTheme="minorEastAsia" w:eastAsiaTheme="minorEastAsia" w:cstheme="minorEastAsia"/>
          <w:color w:val="000000"/>
          <w:sz w:val="24"/>
          <w:u w:val="single"/>
          <w:lang w:val="en-US" w:eastAsia="zh-CN"/>
        </w:rPr>
        <w:t xml:space="preserve">  </w:t>
      </w:r>
      <w:r>
        <w:rPr>
          <w:rFonts w:hint="eastAsia" w:asciiTheme="minorEastAsia" w:hAnsiTheme="minorEastAsia" w:eastAsiaTheme="minorEastAsia" w:cstheme="minorEastAsia"/>
          <w:color w:val="000000"/>
          <w:sz w:val="24"/>
          <w:u w:val="single"/>
        </w:rPr>
        <w:t>投标人名称</w:t>
      </w:r>
      <w:r>
        <w:rPr>
          <w:rFonts w:hint="eastAsia" w:asciiTheme="minorEastAsia" w:hAnsiTheme="minorEastAsia" w:eastAsiaTheme="minorEastAsia" w:cstheme="minorEastAsia"/>
          <w:color w:val="000000"/>
          <w:sz w:val="24"/>
          <w:u w:val="single"/>
          <w:lang w:val="en-US" w:eastAsia="zh-CN"/>
        </w:rPr>
        <w:t xml:space="preserve"> </w:t>
      </w:r>
      <w:r>
        <w:rPr>
          <w:rFonts w:hint="eastAsia" w:asciiTheme="minorEastAsia" w:hAnsiTheme="minorEastAsia" w:eastAsiaTheme="minorEastAsia" w:cstheme="minorEastAsia"/>
          <w:color w:val="000000"/>
          <w:sz w:val="24"/>
        </w:rPr>
        <w:t>的法定代表人（</w:t>
      </w:r>
      <w:r>
        <w:rPr>
          <w:rFonts w:hint="eastAsia" w:asciiTheme="minorEastAsia" w:hAnsiTheme="minorEastAsia" w:eastAsiaTheme="minorEastAsia" w:cstheme="minorEastAsia"/>
          <w:color w:val="000000"/>
          <w:sz w:val="24"/>
          <w:lang w:eastAsia="zh-CN"/>
        </w:rPr>
        <w:t>负责人或执行事务合伙人</w:t>
      </w:r>
      <w:r>
        <w:rPr>
          <w:rFonts w:hint="eastAsia" w:asciiTheme="minorEastAsia" w:hAnsiTheme="minorEastAsia" w:eastAsiaTheme="minorEastAsia" w:cstheme="minorEastAsia"/>
          <w:color w:val="000000"/>
          <w:sz w:val="24"/>
        </w:rPr>
        <w:t>）。本证明书用于</w:t>
      </w:r>
      <w:r>
        <w:rPr>
          <w:rFonts w:hint="eastAsia" w:asciiTheme="minorEastAsia" w:hAnsiTheme="minorEastAsia" w:eastAsiaTheme="minorEastAsia" w:cstheme="minorEastAsia"/>
          <w:color w:val="000000"/>
          <w:sz w:val="24"/>
          <w:u w:val="single"/>
          <w:lang w:val="en-US" w:eastAsia="zh-CN"/>
        </w:rPr>
        <w:t xml:space="preserve"> </w:t>
      </w:r>
      <w:r>
        <w:rPr>
          <w:rFonts w:hint="eastAsia" w:asciiTheme="minorEastAsia" w:hAnsiTheme="minorEastAsia" w:eastAsiaTheme="minorEastAsia" w:cstheme="minorEastAsia"/>
          <w:color w:val="000000"/>
          <w:sz w:val="24"/>
          <w:u w:val="single"/>
          <w:lang w:eastAsia="zh-CN"/>
        </w:rPr>
        <w:t>投标人</w:t>
      </w:r>
      <w:r>
        <w:rPr>
          <w:rFonts w:hint="eastAsia" w:asciiTheme="minorEastAsia" w:hAnsiTheme="minorEastAsia" w:eastAsiaTheme="minorEastAsia" w:cstheme="minorEastAsia"/>
          <w:color w:val="000000"/>
          <w:sz w:val="24"/>
          <w:u w:val="single"/>
        </w:rPr>
        <w:t>名称</w:t>
      </w:r>
      <w:r>
        <w:rPr>
          <w:rFonts w:hint="eastAsia" w:asciiTheme="minorEastAsia" w:hAnsiTheme="minorEastAsia" w:eastAsiaTheme="minorEastAsia" w:cstheme="minorEastAsia"/>
          <w:color w:val="000000"/>
          <w:sz w:val="24"/>
          <w:u w:val="single"/>
          <w:lang w:val="en-US" w:eastAsia="zh-CN"/>
        </w:rPr>
        <w:t xml:space="preserve"> </w:t>
      </w:r>
      <w:r>
        <w:rPr>
          <w:rFonts w:hint="eastAsia" w:asciiTheme="minorEastAsia" w:hAnsiTheme="minorEastAsia" w:eastAsiaTheme="minorEastAsia" w:cstheme="minorEastAsia"/>
          <w:color w:val="000000"/>
          <w:sz w:val="24"/>
        </w:rPr>
        <w:t>签署</w:t>
      </w:r>
      <w:r>
        <w:rPr>
          <w:rFonts w:hint="eastAsia" w:asciiTheme="minorEastAsia" w:hAnsiTheme="minorEastAsia" w:eastAsiaTheme="minorEastAsia" w:cstheme="minorEastAsia"/>
          <w:color w:val="000000"/>
          <w:sz w:val="24"/>
          <w:u w:val="single"/>
          <w:lang w:val="en-US" w:eastAsia="zh-CN"/>
        </w:rPr>
        <w:t xml:space="preserve"> </w:t>
      </w:r>
      <w:r>
        <w:rPr>
          <w:rFonts w:hint="eastAsia" w:asciiTheme="minorEastAsia" w:hAnsiTheme="minorEastAsia" w:eastAsiaTheme="minorEastAsia" w:cstheme="minorEastAsia"/>
          <w:color w:val="000000"/>
          <w:sz w:val="24"/>
          <w:u w:val="single"/>
          <w:lang w:eastAsia="zh-CN"/>
        </w:rPr>
        <w:t>项目名称</w:t>
      </w:r>
      <w:r>
        <w:rPr>
          <w:rFonts w:hint="eastAsia" w:asciiTheme="minorEastAsia" w:hAnsiTheme="minorEastAsia" w:eastAsiaTheme="minorEastAsia" w:cstheme="minorEastAsia"/>
          <w:color w:val="000000"/>
          <w:sz w:val="24"/>
          <w:u w:val="single"/>
        </w:rPr>
        <w:t>（项目编号）</w:t>
      </w:r>
      <w:r>
        <w:rPr>
          <w:rFonts w:hint="eastAsia" w:asciiTheme="minorEastAsia" w:hAnsiTheme="minorEastAsia" w:eastAsiaTheme="minorEastAsia" w:cstheme="minorEastAsia"/>
          <w:color w:val="000000"/>
          <w:sz w:val="24"/>
        </w:rPr>
        <w:t>项目的投标文件、进行合同投标、签署合同和处理与之有关的一切事务。</w:t>
      </w:r>
    </w:p>
    <w:p w14:paraId="66156FA6">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特此证明。</w:t>
      </w:r>
    </w:p>
    <w:p w14:paraId="6B34FD28">
      <w:pPr>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日  期：</w:t>
      </w:r>
      <w:r>
        <w:rPr>
          <w:rFonts w:hint="eastAsia"/>
          <w:szCs w:val="21"/>
          <w:highlight w:val="none"/>
          <w:u w:val="single"/>
        </w:rPr>
        <w:t xml:space="preserve">      </w:t>
      </w:r>
      <w:r>
        <w:rPr>
          <w:rFonts w:hint="eastAsia" w:asciiTheme="minorEastAsia" w:hAnsiTheme="minorEastAsia" w:eastAsiaTheme="minorEastAsia" w:cstheme="minorEastAsia"/>
          <w:color w:val="000000"/>
          <w:sz w:val="24"/>
        </w:rPr>
        <w:t>年</w:t>
      </w:r>
      <w:r>
        <w:rPr>
          <w:rFonts w:hint="eastAsia"/>
          <w:szCs w:val="21"/>
          <w:highlight w:val="none"/>
          <w:u w:val="single"/>
        </w:rPr>
        <w:t xml:space="preserve">      </w:t>
      </w:r>
      <w:r>
        <w:rPr>
          <w:rFonts w:hint="eastAsia" w:asciiTheme="minorEastAsia" w:hAnsiTheme="minorEastAsia" w:eastAsiaTheme="minorEastAsia" w:cstheme="minorEastAsia"/>
          <w:color w:val="000000"/>
          <w:sz w:val="24"/>
        </w:rPr>
        <w:t>月</w:t>
      </w:r>
      <w:r>
        <w:rPr>
          <w:rFonts w:hint="eastAsia"/>
          <w:szCs w:val="21"/>
          <w:highlight w:val="none"/>
          <w:u w:val="single"/>
        </w:rPr>
        <w:t xml:space="preserve">      </w:t>
      </w:r>
      <w:r>
        <w:rPr>
          <w:rFonts w:hint="eastAsia" w:asciiTheme="minorEastAsia" w:hAnsiTheme="minorEastAsia" w:eastAsiaTheme="minorEastAsia" w:cstheme="minorEastAsia"/>
          <w:color w:val="000000"/>
          <w:sz w:val="24"/>
        </w:rPr>
        <w:t>日</w:t>
      </w:r>
    </w:p>
    <w:p w14:paraId="5C7D8F68">
      <w:pPr>
        <w:keepNext w:val="0"/>
        <w:keepLines w:val="0"/>
        <w:pageBreakBefore w:val="0"/>
        <w:kinsoku/>
        <w:wordWrap/>
        <w:overflowPunct/>
        <w:topLinePunct w:val="0"/>
        <w:autoSpaceDE/>
        <w:autoSpaceDN/>
        <w:bidi w:val="0"/>
        <w:adjustRightInd/>
        <w:spacing w:line="340" w:lineRule="exact"/>
        <w:textAlignment w:val="auto"/>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color w:val="000000"/>
        </w:rPr>
        <mc:AlternateContent>
          <mc:Choice Requires="wps">
            <w:drawing>
              <wp:anchor distT="0" distB="0" distL="114300" distR="114300" simplePos="0" relativeHeight="251660288" behindDoc="0" locked="0" layoutInCell="1" allowOverlap="1">
                <wp:simplePos x="0" y="0"/>
                <wp:positionH relativeFrom="column">
                  <wp:posOffset>2999740</wp:posOffset>
                </wp:positionH>
                <wp:positionV relativeFrom="paragraph">
                  <wp:posOffset>113030</wp:posOffset>
                </wp:positionV>
                <wp:extent cx="2782570" cy="1920875"/>
                <wp:effectExtent l="5080" t="4445" r="12700" b="17780"/>
                <wp:wrapNone/>
                <wp:docPr id="2" name="文本框 2"/>
                <wp:cNvGraphicFramePr/>
                <a:graphic xmlns:a="http://schemas.openxmlformats.org/drawingml/2006/main">
                  <a:graphicData uri="http://schemas.microsoft.com/office/word/2010/wordprocessingShape">
                    <wps:wsp>
                      <wps:cNvSpPr txBox="1"/>
                      <wps:spPr>
                        <a:xfrm>
                          <a:off x="0" y="0"/>
                          <a:ext cx="2782570" cy="19208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65F0D44">
                            <w:pPr>
                              <w:widowControl/>
                              <w:jc w:val="left"/>
                              <w:rPr>
                                <w:rFonts w:ascii="宋体" w:hAnsi="宋体" w:cs="宋体"/>
                                <w:kern w:val="0"/>
                                <w:sz w:val="24"/>
                              </w:rPr>
                            </w:pPr>
                          </w:p>
                          <w:p w14:paraId="393BD3FA">
                            <w:pPr>
                              <w:widowControl/>
                              <w:jc w:val="left"/>
                            </w:pPr>
                          </w:p>
                          <w:p w14:paraId="2C04521C">
                            <w:pPr>
                              <w:jc w:val="center"/>
                              <w:rPr>
                                <w:rFonts w:hint="eastAsia" w:ascii="仿宋" w:hAnsi="仿宋" w:eastAsia="仿宋" w:cs="仿宋"/>
                                <w:bCs/>
                                <w:sz w:val="22"/>
                                <w:szCs w:val="22"/>
                              </w:rPr>
                            </w:pPr>
                            <w:r>
                              <w:rPr>
                                <w:rFonts w:hint="eastAsia" w:ascii="仿宋" w:hAnsi="仿宋" w:eastAsia="仿宋" w:cs="仿宋"/>
                                <w:bCs/>
                                <w:sz w:val="22"/>
                                <w:szCs w:val="22"/>
                              </w:rPr>
                              <w:t>法定代表人（</w:t>
                            </w:r>
                            <w:r>
                              <w:rPr>
                                <w:rFonts w:hint="eastAsia" w:ascii="仿宋" w:hAnsi="仿宋" w:eastAsia="仿宋" w:cs="仿宋"/>
                                <w:bCs/>
                                <w:sz w:val="22"/>
                                <w:szCs w:val="22"/>
                                <w:lang w:eastAsia="zh-CN"/>
                              </w:rPr>
                              <w:t>负责人或执行事务合伙人</w:t>
                            </w:r>
                            <w:r>
                              <w:rPr>
                                <w:rFonts w:hint="eastAsia" w:ascii="仿宋" w:hAnsi="仿宋" w:eastAsia="仿宋" w:cs="仿宋"/>
                                <w:bCs/>
                                <w:sz w:val="22"/>
                                <w:szCs w:val="22"/>
                              </w:rPr>
                              <w:t>）</w:t>
                            </w:r>
                          </w:p>
                          <w:p w14:paraId="305BAE98">
                            <w:pPr>
                              <w:jc w:val="center"/>
                              <w:rPr>
                                <w:rFonts w:hint="eastAsia" w:ascii="仿宋" w:hAnsi="仿宋" w:eastAsia="仿宋" w:cs="仿宋"/>
                                <w:bCs/>
                                <w:sz w:val="28"/>
                                <w:szCs w:val="28"/>
                              </w:rPr>
                            </w:pPr>
                            <w:r>
                              <w:rPr>
                                <w:rFonts w:hint="eastAsia" w:ascii="仿宋" w:hAnsi="仿宋" w:eastAsia="仿宋" w:cs="仿宋"/>
                                <w:bCs/>
                                <w:sz w:val="28"/>
                                <w:szCs w:val="28"/>
                              </w:rPr>
                              <w:t>身份证反面</w:t>
                            </w:r>
                          </w:p>
                        </w:txbxContent>
                      </wps:txbx>
                      <wps:bodyPr vert="horz" wrap="square" anchor="t" anchorCtr="0" upright="1"/>
                    </wps:wsp>
                  </a:graphicData>
                </a:graphic>
              </wp:anchor>
            </w:drawing>
          </mc:Choice>
          <mc:Fallback>
            <w:pict>
              <v:shape id="_x0000_s1026" o:spid="_x0000_s1026" o:spt="202" type="#_x0000_t202" style="position:absolute;left:0pt;margin-left:236.2pt;margin-top:8.9pt;height:151.25pt;width:219.1pt;z-index:251660288;mso-width-relative:page;mso-height-relative:page;" fillcolor="#FFFFFF" filled="t" stroked="t" coordsize="21600,21600" o:gfxdata="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UHQ1S2QAAAAoBAAAPAAAAAAAAAAEAIAAAACIAAABkcnMvZG93bnJldi54bWxQ&#10;SwECFAAUAAAACACHTuJA0Ql06i8CAAB4BAAADgAAAAAAAAABACAAAAAoAQAAZHJzL2Uyb0RvYy54&#10;bWxQSwUGAAAAAAYABgBZAQAAyQUAAAAA&#10;">
                <v:fill on="t" focussize="0,0"/>
                <v:stroke color="#000000" joinstyle="miter"/>
                <v:imagedata o:title=""/>
                <o:lock v:ext="edit" aspectratio="f"/>
                <v:textbox>
                  <w:txbxContent>
                    <w:p w14:paraId="465F0D44">
                      <w:pPr>
                        <w:widowControl/>
                        <w:jc w:val="left"/>
                        <w:rPr>
                          <w:rFonts w:ascii="宋体" w:hAnsi="宋体" w:cs="宋体"/>
                          <w:kern w:val="0"/>
                          <w:sz w:val="24"/>
                        </w:rPr>
                      </w:pPr>
                    </w:p>
                    <w:p w14:paraId="393BD3FA">
                      <w:pPr>
                        <w:widowControl/>
                        <w:jc w:val="left"/>
                      </w:pPr>
                    </w:p>
                    <w:p w14:paraId="2C04521C">
                      <w:pPr>
                        <w:jc w:val="center"/>
                        <w:rPr>
                          <w:rFonts w:hint="eastAsia" w:ascii="仿宋" w:hAnsi="仿宋" w:eastAsia="仿宋" w:cs="仿宋"/>
                          <w:bCs/>
                          <w:sz w:val="22"/>
                          <w:szCs w:val="22"/>
                        </w:rPr>
                      </w:pPr>
                      <w:r>
                        <w:rPr>
                          <w:rFonts w:hint="eastAsia" w:ascii="仿宋" w:hAnsi="仿宋" w:eastAsia="仿宋" w:cs="仿宋"/>
                          <w:bCs/>
                          <w:sz w:val="22"/>
                          <w:szCs w:val="22"/>
                        </w:rPr>
                        <w:t>法定代表人（</w:t>
                      </w:r>
                      <w:r>
                        <w:rPr>
                          <w:rFonts w:hint="eastAsia" w:ascii="仿宋" w:hAnsi="仿宋" w:eastAsia="仿宋" w:cs="仿宋"/>
                          <w:bCs/>
                          <w:sz w:val="22"/>
                          <w:szCs w:val="22"/>
                          <w:lang w:eastAsia="zh-CN"/>
                        </w:rPr>
                        <w:t>负责人或执行事务合伙人</w:t>
                      </w:r>
                      <w:r>
                        <w:rPr>
                          <w:rFonts w:hint="eastAsia" w:ascii="仿宋" w:hAnsi="仿宋" w:eastAsia="仿宋" w:cs="仿宋"/>
                          <w:bCs/>
                          <w:sz w:val="22"/>
                          <w:szCs w:val="22"/>
                        </w:rPr>
                        <w:t>）</w:t>
                      </w:r>
                    </w:p>
                    <w:p w14:paraId="305BAE98">
                      <w:pPr>
                        <w:jc w:val="center"/>
                        <w:rPr>
                          <w:rFonts w:hint="eastAsia" w:ascii="仿宋" w:hAnsi="仿宋" w:eastAsia="仿宋" w:cs="仿宋"/>
                          <w:bCs/>
                          <w:sz w:val="28"/>
                          <w:szCs w:val="28"/>
                        </w:rPr>
                      </w:pPr>
                      <w:r>
                        <w:rPr>
                          <w:rFonts w:hint="eastAsia" w:ascii="仿宋" w:hAnsi="仿宋" w:eastAsia="仿宋" w:cs="仿宋"/>
                          <w:bCs/>
                          <w:sz w:val="28"/>
                          <w:szCs w:val="28"/>
                        </w:rPr>
                        <w:t>身份证反面</w:t>
                      </w:r>
                    </w:p>
                  </w:txbxContent>
                </v:textbox>
              </v:shape>
            </w:pict>
          </mc:Fallback>
        </mc:AlternateContent>
      </w:r>
      <w:r>
        <w:rPr>
          <w:rFonts w:hint="eastAsia" w:asciiTheme="minorEastAsia" w:hAnsiTheme="minorEastAsia" w:eastAsiaTheme="minorEastAsia" w:cstheme="minorEastAsia"/>
          <w:color w:val="000000"/>
        </w:rPr>
        <mc:AlternateContent>
          <mc:Choice Requires="wps">
            <w:drawing>
              <wp:anchor distT="0" distB="0" distL="114300" distR="114300" simplePos="0" relativeHeight="251659264" behindDoc="0" locked="0" layoutInCell="1" allowOverlap="1">
                <wp:simplePos x="0" y="0"/>
                <wp:positionH relativeFrom="column">
                  <wp:posOffset>1905</wp:posOffset>
                </wp:positionH>
                <wp:positionV relativeFrom="paragraph">
                  <wp:posOffset>109855</wp:posOffset>
                </wp:positionV>
                <wp:extent cx="2830830" cy="1920875"/>
                <wp:effectExtent l="5080" t="4445" r="21590" b="17780"/>
                <wp:wrapNone/>
                <wp:docPr id="5" name="文本框 5"/>
                <wp:cNvGraphicFramePr/>
                <a:graphic xmlns:a="http://schemas.openxmlformats.org/drawingml/2006/main">
                  <a:graphicData uri="http://schemas.microsoft.com/office/word/2010/wordprocessingShape">
                    <wps:wsp>
                      <wps:cNvSpPr txBox="1"/>
                      <wps:spPr>
                        <a:xfrm>
                          <a:off x="0" y="0"/>
                          <a:ext cx="2830830" cy="19208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3A62EE1">
                            <w:pPr>
                              <w:widowControl/>
                              <w:jc w:val="left"/>
                              <w:rPr>
                                <w:rFonts w:ascii="宋体" w:hAnsi="宋体" w:cs="宋体"/>
                                <w:kern w:val="0"/>
                                <w:sz w:val="24"/>
                              </w:rPr>
                            </w:pPr>
                          </w:p>
                          <w:p w14:paraId="005BFF48">
                            <w:pPr>
                              <w:widowControl/>
                              <w:jc w:val="left"/>
                            </w:pPr>
                          </w:p>
                          <w:p w14:paraId="460EFAAF">
                            <w:pPr>
                              <w:jc w:val="center"/>
                              <w:rPr>
                                <w:rFonts w:hint="eastAsia" w:ascii="仿宋" w:hAnsi="仿宋" w:eastAsia="仿宋" w:cs="仿宋"/>
                                <w:bCs/>
                                <w:sz w:val="22"/>
                                <w:szCs w:val="22"/>
                              </w:rPr>
                            </w:pPr>
                            <w:r>
                              <w:rPr>
                                <w:rFonts w:hint="eastAsia" w:ascii="仿宋" w:hAnsi="仿宋" w:eastAsia="仿宋" w:cs="仿宋"/>
                                <w:bCs/>
                                <w:sz w:val="22"/>
                                <w:szCs w:val="22"/>
                              </w:rPr>
                              <w:t>法定代表人（</w:t>
                            </w:r>
                            <w:r>
                              <w:rPr>
                                <w:rFonts w:hint="eastAsia" w:ascii="仿宋" w:hAnsi="仿宋" w:eastAsia="仿宋" w:cs="仿宋"/>
                                <w:bCs/>
                                <w:sz w:val="22"/>
                                <w:szCs w:val="22"/>
                                <w:lang w:eastAsia="zh-CN"/>
                              </w:rPr>
                              <w:t>负责人或执行事务合伙人</w:t>
                            </w:r>
                            <w:r>
                              <w:rPr>
                                <w:rFonts w:hint="eastAsia" w:ascii="仿宋" w:hAnsi="仿宋" w:eastAsia="仿宋" w:cs="仿宋"/>
                                <w:bCs/>
                                <w:sz w:val="22"/>
                                <w:szCs w:val="22"/>
                              </w:rPr>
                              <w:t>）</w:t>
                            </w:r>
                          </w:p>
                          <w:p w14:paraId="207D8E15">
                            <w:pPr>
                              <w:jc w:val="center"/>
                              <w:rPr>
                                <w:rFonts w:hint="eastAsia" w:ascii="仿宋" w:hAnsi="仿宋" w:eastAsia="仿宋" w:cs="仿宋"/>
                                <w:sz w:val="22"/>
                                <w:szCs w:val="28"/>
                              </w:rPr>
                            </w:pPr>
                            <w:r>
                              <w:rPr>
                                <w:rFonts w:hint="eastAsia" w:ascii="仿宋" w:hAnsi="仿宋" w:eastAsia="仿宋" w:cs="仿宋"/>
                                <w:bCs/>
                                <w:sz w:val="28"/>
                                <w:szCs w:val="28"/>
                              </w:rPr>
                              <w:t>身份证</w:t>
                            </w:r>
                            <w:r>
                              <w:rPr>
                                <w:rFonts w:hint="eastAsia" w:ascii="仿宋" w:hAnsi="仿宋" w:eastAsia="仿宋" w:cs="仿宋"/>
                                <w:sz w:val="28"/>
                                <w:szCs w:val="36"/>
                              </w:rPr>
                              <w:t>正面</w:t>
                            </w:r>
                          </w:p>
                        </w:txbxContent>
                      </wps:txbx>
                      <wps:bodyPr vert="horz" wrap="square" anchor="t" anchorCtr="0" upright="1"/>
                    </wps:wsp>
                  </a:graphicData>
                </a:graphic>
              </wp:anchor>
            </w:drawing>
          </mc:Choice>
          <mc:Fallback>
            <w:pict>
              <v:shape id="_x0000_s1026" o:spid="_x0000_s1026" o:spt="202" type="#_x0000_t202" style="position:absolute;left:0pt;margin-left:0.15pt;margin-top:8.65pt;height:151.25pt;width:222.9pt;z-index:251659264;mso-width-relative:page;mso-height-relative:page;" fillcolor="#FFFFFF" filled="t" stroked="t" coordsize="21600,21600" o:gfxdata="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VMnmr1QAAAAcBAAAPAAAAAAAAAAEAIAAAACIAAABkcnMvZG93bnJldi54bWxQSwEC&#10;FAAUAAAACACHTuJAFt58ZDACAAB4BAAADgAAAAAAAAABACAAAAAkAQAAZHJzL2Uyb0RvYy54bWxQ&#10;SwUGAAAAAAYABgBZAQAAxgUAAAAA&#10;">
                <v:fill on="t" focussize="0,0"/>
                <v:stroke color="#000000" joinstyle="miter"/>
                <v:imagedata o:title=""/>
                <o:lock v:ext="edit" aspectratio="f"/>
                <v:textbox>
                  <w:txbxContent>
                    <w:p w14:paraId="43A62EE1">
                      <w:pPr>
                        <w:widowControl/>
                        <w:jc w:val="left"/>
                        <w:rPr>
                          <w:rFonts w:ascii="宋体" w:hAnsi="宋体" w:cs="宋体"/>
                          <w:kern w:val="0"/>
                          <w:sz w:val="24"/>
                        </w:rPr>
                      </w:pPr>
                    </w:p>
                    <w:p w14:paraId="005BFF48">
                      <w:pPr>
                        <w:widowControl/>
                        <w:jc w:val="left"/>
                      </w:pPr>
                    </w:p>
                    <w:p w14:paraId="460EFAAF">
                      <w:pPr>
                        <w:jc w:val="center"/>
                        <w:rPr>
                          <w:rFonts w:hint="eastAsia" w:ascii="仿宋" w:hAnsi="仿宋" w:eastAsia="仿宋" w:cs="仿宋"/>
                          <w:bCs/>
                          <w:sz w:val="22"/>
                          <w:szCs w:val="22"/>
                        </w:rPr>
                      </w:pPr>
                      <w:r>
                        <w:rPr>
                          <w:rFonts w:hint="eastAsia" w:ascii="仿宋" w:hAnsi="仿宋" w:eastAsia="仿宋" w:cs="仿宋"/>
                          <w:bCs/>
                          <w:sz w:val="22"/>
                          <w:szCs w:val="22"/>
                        </w:rPr>
                        <w:t>法定代表人（</w:t>
                      </w:r>
                      <w:r>
                        <w:rPr>
                          <w:rFonts w:hint="eastAsia" w:ascii="仿宋" w:hAnsi="仿宋" w:eastAsia="仿宋" w:cs="仿宋"/>
                          <w:bCs/>
                          <w:sz w:val="22"/>
                          <w:szCs w:val="22"/>
                          <w:lang w:eastAsia="zh-CN"/>
                        </w:rPr>
                        <w:t>负责人或执行事务合伙人</w:t>
                      </w:r>
                      <w:r>
                        <w:rPr>
                          <w:rFonts w:hint="eastAsia" w:ascii="仿宋" w:hAnsi="仿宋" w:eastAsia="仿宋" w:cs="仿宋"/>
                          <w:bCs/>
                          <w:sz w:val="22"/>
                          <w:szCs w:val="22"/>
                        </w:rPr>
                        <w:t>）</w:t>
                      </w:r>
                    </w:p>
                    <w:p w14:paraId="207D8E15">
                      <w:pPr>
                        <w:jc w:val="center"/>
                        <w:rPr>
                          <w:rFonts w:hint="eastAsia" w:ascii="仿宋" w:hAnsi="仿宋" w:eastAsia="仿宋" w:cs="仿宋"/>
                          <w:sz w:val="22"/>
                          <w:szCs w:val="28"/>
                        </w:rPr>
                      </w:pPr>
                      <w:r>
                        <w:rPr>
                          <w:rFonts w:hint="eastAsia" w:ascii="仿宋" w:hAnsi="仿宋" w:eastAsia="仿宋" w:cs="仿宋"/>
                          <w:bCs/>
                          <w:sz w:val="28"/>
                          <w:szCs w:val="28"/>
                        </w:rPr>
                        <w:t>身份证</w:t>
                      </w:r>
                      <w:r>
                        <w:rPr>
                          <w:rFonts w:hint="eastAsia" w:ascii="仿宋" w:hAnsi="仿宋" w:eastAsia="仿宋" w:cs="仿宋"/>
                          <w:sz w:val="28"/>
                          <w:szCs w:val="36"/>
                        </w:rPr>
                        <w:t>正面</w:t>
                      </w:r>
                    </w:p>
                  </w:txbxContent>
                </v:textbox>
              </v:shape>
            </w:pict>
          </mc:Fallback>
        </mc:AlternateContent>
      </w:r>
    </w:p>
    <w:p w14:paraId="40995176">
      <w:pPr>
        <w:keepNext w:val="0"/>
        <w:keepLines w:val="0"/>
        <w:pageBreakBefore w:val="0"/>
        <w:kinsoku/>
        <w:wordWrap/>
        <w:overflowPunct/>
        <w:topLinePunct w:val="0"/>
        <w:autoSpaceDE/>
        <w:autoSpaceDN/>
        <w:bidi w:val="0"/>
        <w:adjustRightInd/>
        <w:spacing w:line="340" w:lineRule="exact"/>
        <w:textAlignment w:val="auto"/>
        <w:rPr>
          <w:rFonts w:hint="eastAsia" w:asciiTheme="minorEastAsia" w:hAnsiTheme="minorEastAsia" w:eastAsiaTheme="minorEastAsia" w:cstheme="minorEastAsia"/>
          <w:bCs/>
          <w:color w:val="000000"/>
          <w:sz w:val="24"/>
        </w:rPr>
      </w:pPr>
    </w:p>
    <w:p w14:paraId="01DD76DD">
      <w:pPr>
        <w:keepNext w:val="0"/>
        <w:keepLines w:val="0"/>
        <w:pageBreakBefore w:val="0"/>
        <w:kinsoku/>
        <w:wordWrap/>
        <w:overflowPunct/>
        <w:topLinePunct w:val="0"/>
        <w:autoSpaceDE/>
        <w:autoSpaceDN/>
        <w:bidi w:val="0"/>
        <w:adjustRightInd/>
        <w:spacing w:line="340" w:lineRule="exact"/>
        <w:textAlignment w:val="auto"/>
        <w:rPr>
          <w:rFonts w:hint="eastAsia" w:asciiTheme="minorEastAsia" w:hAnsiTheme="minorEastAsia" w:eastAsiaTheme="minorEastAsia" w:cstheme="minorEastAsia"/>
          <w:bCs/>
          <w:color w:val="000000"/>
          <w:sz w:val="24"/>
        </w:rPr>
      </w:pPr>
    </w:p>
    <w:p w14:paraId="4E8E70D4">
      <w:pPr>
        <w:keepNext w:val="0"/>
        <w:keepLines w:val="0"/>
        <w:pageBreakBefore w:val="0"/>
        <w:kinsoku/>
        <w:wordWrap/>
        <w:overflowPunct/>
        <w:topLinePunct w:val="0"/>
        <w:autoSpaceDE/>
        <w:autoSpaceDN/>
        <w:bidi w:val="0"/>
        <w:adjustRightInd/>
        <w:spacing w:line="340" w:lineRule="exact"/>
        <w:textAlignment w:val="auto"/>
        <w:rPr>
          <w:rFonts w:hint="eastAsia" w:asciiTheme="minorEastAsia" w:hAnsiTheme="minorEastAsia" w:eastAsiaTheme="minorEastAsia" w:cstheme="minorEastAsia"/>
          <w:bCs/>
          <w:color w:val="000000"/>
          <w:sz w:val="24"/>
        </w:rPr>
      </w:pPr>
    </w:p>
    <w:p w14:paraId="0D3AA633">
      <w:pPr>
        <w:keepNext w:val="0"/>
        <w:keepLines w:val="0"/>
        <w:pageBreakBefore w:val="0"/>
        <w:kinsoku/>
        <w:wordWrap/>
        <w:overflowPunct/>
        <w:topLinePunct w:val="0"/>
        <w:autoSpaceDE/>
        <w:autoSpaceDN/>
        <w:bidi w:val="0"/>
        <w:adjustRightInd/>
        <w:spacing w:line="340" w:lineRule="exact"/>
        <w:textAlignment w:val="auto"/>
        <w:rPr>
          <w:rFonts w:hint="eastAsia" w:asciiTheme="minorEastAsia" w:hAnsiTheme="minorEastAsia" w:eastAsiaTheme="minorEastAsia" w:cstheme="minorEastAsia"/>
          <w:color w:val="000000"/>
          <w:sz w:val="24"/>
        </w:rPr>
      </w:pPr>
    </w:p>
    <w:p w14:paraId="467A81EB">
      <w:pPr>
        <w:keepNext w:val="0"/>
        <w:keepLines w:val="0"/>
        <w:pageBreakBefore w:val="0"/>
        <w:kinsoku/>
        <w:wordWrap/>
        <w:overflowPunct/>
        <w:topLinePunct w:val="0"/>
        <w:autoSpaceDE/>
        <w:autoSpaceDN/>
        <w:bidi w:val="0"/>
        <w:adjustRightInd/>
        <w:spacing w:line="340" w:lineRule="exact"/>
        <w:textAlignment w:val="auto"/>
        <w:rPr>
          <w:rFonts w:hint="eastAsia" w:asciiTheme="minorEastAsia" w:hAnsiTheme="minorEastAsia" w:eastAsiaTheme="minorEastAsia" w:cstheme="minorEastAsia"/>
          <w:color w:val="000000"/>
          <w:sz w:val="24"/>
        </w:rPr>
      </w:pPr>
    </w:p>
    <w:p w14:paraId="77B9F623">
      <w:pPr>
        <w:keepNext w:val="0"/>
        <w:keepLines w:val="0"/>
        <w:pageBreakBefore w:val="0"/>
        <w:kinsoku/>
        <w:wordWrap/>
        <w:overflowPunct/>
        <w:topLinePunct w:val="0"/>
        <w:autoSpaceDE/>
        <w:autoSpaceDN/>
        <w:bidi w:val="0"/>
        <w:adjustRightInd/>
        <w:spacing w:after="60" w:line="340" w:lineRule="exact"/>
        <w:textAlignment w:val="auto"/>
        <w:rPr>
          <w:rFonts w:hint="eastAsia" w:asciiTheme="minorEastAsia" w:hAnsiTheme="minorEastAsia" w:eastAsiaTheme="minorEastAsia" w:cstheme="minorEastAsia"/>
          <w:color w:val="000000"/>
          <w:sz w:val="24"/>
        </w:rPr>
      </w:pPr>
    </w:p>
    <w:p w14:paraId="66966ABD">
      <w:pPr>
        <w:keepNext w:val="0"/>
        <w:keepLines w:val="0"/>
        <w:pageBreakBefore w:val="0"/>
        <w:kinsoku/>
        <w:wordWrap/>
        <w:overflowPunct/>
        <w:topLinePunct w:val="0"/>
        <w:autoSpaceDE/>
        <w:autoSpaceDN/>
        <w:bidi w:val="0"/>
        <w:adjustRightInd/>
        <w:spacing w:line="340" w:lineRule="exact"/>
        <w:textAlignment w:val="auto"/>
        <w:rPr>
          <w:rFonts w:hint="eastAsia" w:asciiTheme="minorEastAsia" w:hAnsiTheme="minorEastAsia" w:eastAsiaTheme="minorEastAsia" w:cstheme="minorEastAsia"/>
          <w:color w:val="000000"/>
          <w:sz w:val="24"/>
        </w:rPr>
      </w:pPr>
    </w:p>
    <w:p w14:paraId="315AC5F7">
      <w:pPr>
        <w:keepNext w:val="0"/>
        <w:keepLines w:val="0"/>
        <w:pageBreakBefore w:val="0"/>
        <w:kinsoku/>
        <w:wordWrap/>
        <w:overflowPunct/>
        <w:topLinePunct w:val="0"/>
        <w:autoSpaceDE/>
        <w:autoSpaceDN/>
        <w:bidi w:val="0"/>
        <w:adjustRightInd/>
        <w:spacing w:line="340" w:lineRule="exact"/>
        <w:jc w:val="center"/>
        <w:textAlignment w:val="auto"/>
        <w:rPr>
          <w:rFonts w:hint="eastAsia" w:asciiTheme="minorEastAsia" w:hAnsiTheme="minorEastAsia" w:eastAsiaTheme="minorEastAsia" w:cstheme="minorEastAsia"/>
          <w:b/>
          <w:bCs/>
          <w:color w:val="000000"/>
          <w:sz w:val="24"/>
        </w:rPr>
      </w:pPr>
    </w:p>
    <w:p w14:paraId="53D3F926">
      <w:pPr>
        <w:keepNext w:val="0"/>
        <w:keepLines w:val="0"/>
        <w:pageBreakBefore w:val="0"/>
        <w:kinsoku/>
        <w:wordWrap/>
        <w:overflowPunct/>
        <w:topLinePunct w:val="0"/>
        <w:autoSpaceDE/>
        <w:autoSpaceDN/>
        <w:bidi w:val="0"/>
        <w:adjustRightInd/>
        <w:snapToGrid w:val="0"/>
        <w:spacing w:line="340" w:lineRule="exact"/>
        <w:ind w:left="840" w:hanging="840" w:hangingChars="350"/>
        <w:textAlignment w:val="auto"/>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说明：</w:t>
      </w:r>
    </w:p>
    <w:p w14:paraId="760971EC">
      <w:pPr>
        <w:keepNext w:val="0"/>
        <w:keepLines w:val="0"/>
        <w:pageBreakBefore w:val="0"/>
        <w:kinsoku/>
        <w:wordWrap/>
        <w:overflowPunct/>
        <w:topLinePunct w:val="0"/>
        <w:autoSpaceDE/>
        <w:autoSpaceDN/>
        <w:bidi w:val="0"/>
        <w:adjustRightInd/>
        <w:snapToGrid w:val="0"/>
        <w:spacing w:line="340" w:lineRule="exact"/>
        <w:ind w:firstLine="480" w:firstLineChars="200"/>
        <w:textAlignment w:val="auto"/>
        <w:rPr>
          <w:rFonts w:hint="eastAsia" w:asciiTheme="minorEastAsia" w:hAnsiTheme="minorEastAsia" w:eastAsiaTheme="minorEastAsia" w:cstheme="minorEastAsia"/>
          <w:bCs/>
          <w:color w:val="000000"/>
          <w:sz w:val="24"/>
          <w:lang w:eastAsia="zh-CN"/>
        </w:rPr>
      </w:pPr>
      <w:r>
        <w:rPr>
          <w:rFonts w:hint="eastAsia" w:asciiTheme="minorEastAsia" w:hAnsiTheme="minorEastAsia" w:eastAsiaTheme="minorEastAsia" w:cstheme="minorEastAsia"/>
          <w:bCs/>
          <w:color w:val="000000"/>
          <w:sz w:val="24"/>
        </w:rPr>
        <w:t>1.</w:t>
      </w:r>
      <w:r>
        <w:rPr>
          <w:rFonts w:hint="eastAsia"/>
          <w:szCs w:val="21"/>
          <w:highlight w:val="none"/>
        </w:rPr>
        <w:t>法定代表人（负责人或</w:t>
      </w:r>
      <w:r>
        <w:rPr>
          <w:rFonts w:hint="eastAsia"/>
          <w:color w:val="4F81BD" w:themeColor="accent1"/>
          <w:szCs w:val="21"/>
          <w:highlight w:val="none"/>
          <w14:textFill>
            <w14:solidFill>
              <w14:schemeClr w14:val="accent1"/>
            </w14:solidFill>
          </w14:textFill>
        </w:rPr>
        <w:t>执行事务合伙人</w:t>
      </w:r>
      <w:r>
        <w:rPr>
          <w:rFonts w:hint="eastAsia"/>
          <w:szCs w:val="21"/>
          <w:highlight w:val="none"/>
        </w:rPr>
        <w:t>）为投标人（企业事业单位、国家机关、社会团体）的主要行政负责人。</w:t>
      </w:r>
      <w:r>
        <w:rPr>
          <w:rFonts w:hint="eastAsia" w:asciiTheme="minorEastAsia" w:hAnsiTheme="minorEastAsia" w:eastAsiaTheme="minorEastAsia" w:cstheme="minorEastAsia"/>
          <w:bCs/>
          <w:color w:val="000000"/>
          <w:sz w:val="24"/>
        </w:rPr>
        <w:t>须提供法定代表人（</w:t>
      </w:r>
      <w:r>
        <w:rPr>
          <w:rFonts w:hint="eastAsia" w:asciiTheme="minorEastAsia" w:hAnsiTheme="minorEastAsia" w:eastAsiaTheme="minorEastAsia" w:cstheme="minorEastAsia"/>
          <w:bCs/>
          <w:color w:val="000000"/>
          <w:sz w:val="24"/>
          <w:lang w:eastAsia="zh-CN"/>
        </w:rPr>
        <w:t>负责人或执行事务合伙人</w:t>
      </w:r>
      <w:r>
        <w:rPr>
          <w:rFonts w:hint="eastAsia" w:asciiTheme="minorEastAsia" w:hAnsiTheme="minorEastAsia" w:eastAsiaTheme="minorEastAsia" w:cstheme="minorEastAsia"/>
          <w:bCs/>
          <w:color w:val="000000"/>
          <w:sz w:val="24"/>
        </w:rPr>
        <w:t>）的身份证</w:t>
      </w:r>
      <w:r>
        <w:rPr>
          <w:rFonts w:hint="eastAsia" w:asciiTheme="minorEastAsia" w:hAnsiTheme="minorEastAsia" w:eastAsiaTheme="minorEastAsia" w:cstheme="minorEastAsia"/>
          <w:bCs/>
          <w:color w:val="000000"/>
          <w:sz w:val="24"/>
          <w:lang w:eastAsia="zh-CN"/>
        </w:rPr>
        <w:t>扫描</w:t>
      </w:r>
      <w:r>
        <w:rPr>
          <w:rFonts w:hint="eastAsia" w:asciiTheme="minorEastAsia" w:hAnsiTheme="minorEastAsia" w:eastAsiaTheme="minorEastAsia" w:cstheme="minorEastAsia"/>
          <w:bCs/>
          <w:color w:val="000000"/>
          <w:sz w:val="24"/>
        </w:rPr>
        <w:t>件</w:t>
      </w:r>
      <w:r>
        <w:rPr>
          <w:rFonts w:hint="eastAsia" w:asciiTheme="minorEastAsia" w:hAnsiTheme="minorEastAsia" w:eastAsiaTheme="minorEastAsia" w:cstheme="minorEastAsia"/>
          <w:bCs/>
          <w:color w:val="000000"/>
          <w:sz w:val="24"/>
          <w:lang w:eastAsia="zh-CN"/>
        </w:rPr>
        <w:t>；港澳台居民可提供来往通行证扫描</w:t>
      </w:r>
      <w:r>
        <w:rPr>
          <w:rFonts w:hint="eastAsia" w:asciiTheme="minorEastAsia" w:hAnsiTheme="minorEastAsia" w:eastAsiaTheme="minorEastAsia" w:cstheme="minorEastAsia"/>
          <w:bCs/>
          <w:color w:val="000000"/>
          <w:sz w:val="24"/>
        </w:rPr>
        <w:t>件</w:t>
      </w:r>
      <w:r>
        <w:rPr>
          <w:rFonts w:hint="eastAsia" w:asciiTheme="minorEastAsia" w:hAnsiTheme="minorEastAsia" w:eastAsiaTheme="minorEastAsia" w:cstheme="minorEastAsia"/>
          <w:bCs/>
          <w:color w:val="000000"/>
          <w:sz w:val="24"/>
          <w:lang w:eastAsia="zh-CN"/>
        </w:rPr>
        <w:t>；非中国国籍管辖范围人员，可提供公安部门认可的身份证明材料扫描</w:t>
      </w:r>
      <w:r>
        <w:rPr>
          <w:rFonts w:hint="eastAsia" w:asciiTheme="minorEastAsia" w:hAnsiTheme="minorEastAsia" w:eastAsiaTheme="minorEastAsia" w:cstheme="minorEastAsia"/>
          <w:bCs/>
          <w:color w:val="000000"/>
          <w:sz w:val="24"/>
        </w:rPr>
        <w:t>件</w:t>
      </w:r>
      <w:r>
        <w:rPr>
          <w:rFonts w:hint="eastAsia" w:asciiTheme="minorEastAsia" w:hAnsiTheme="minorEastAsia" w:eastAsiaTheme="minorEastAsia" w:cstheme="minorEastAsia"/>
          <w:bCs/>
          <w:color w:val="000000"/>
          <w:sz w:val="24"/>
          <w:lang w:eastAsia="zh-CN"/>
        </w:rPr>
        <w:t>；</w:t>
      </w:r>
    </w:p>
    <w:p w14:paraId="09C50FB1">
      <w:pPr>
        <w:keepNext w:val="0"/>
        <w:keepLines w:val="0"/>
        <w:pageBreakBefore w:val="0"/>
        <w:kinsoku/>
        <w:wordWrap/>
        <w:overflowPunct/>
        <w:topLinePunct w:val="0"/>
        <w:autoSpaceDE/>
        <w:autoSpaceDN/>
        <w:bidi w:val="0"/>
        <w:adjustRightInd/>
        <w:snapToGrid w:val="0"/>
        <w:spacing w:line="340" w:lineRule="exact"/>
        <w:ind w:firstLine="480" w:firstLineChars="200"/>
        <w:textAlignment w:val="auto"/>
        <w:rPr>
          <w:rFonts w:hint="eastAsia" w:asciiTheme="minorEastAsia" w:hAnsiTheme="minorEastAsia" w:eastAsiaTheme="minorEastAsia" w:cstheme="minorEastAsia"/>
          <w:bCs/>
          <w:color w:val="000000"/>
          <w:sz w:val="24"/>
          <w:lang w:val="en-US" w:eastAsia="zh-CN"/>
        </w:rPr>
      </w:pPr>
      <w:r>
        <w:rPr>
          <w:rFonts w:hint="eastAsia" w:asciiTheme="minorEastAsia" w:hAnsiTheme="minorEastAsia" w:eastAsiaTheme="minorEastAsia" w:cstheme="minorEastAsia"/>
          <w:bCs/>
          <w:color w:val="000000"/>
          <w:sz w:val="24"/>
          <w:lang w:val="en-US" w:eastAsia="zh-CN"/>
        </w:rPr>
        <w:t>2.招投标文件中涉及需法定代表人之处，非法人组织可由负责人或执行事务合伙人执行。</w:t>
      </w:r>
    </w:p>
    <w:p w14:paraId="47AAE733">
      <w:pPr>
        <w:keepNext w:val="0"/>
        <w:keepLines w:val="0"/>
        <w:pageBreakBefore w:val="0"/>
        <w:kinsoku/>
        <w:wordWrap/>
        <w:overflowPunct/>
        <w:topLinePunct w:val="0"/>
        <w:autoSpaceDE/>
        <w:autoSpaceDN/>
        <w:bidi w:val="0"/>
        <w:adjustRightInd/>
        <w:snapToGrid w:val="0"/>
        <w:spacing w:line="340" w:lineRule="exact"/>
        <w:ind w:firstLine="480" w:firstLineChars="200"/>
        <w:textAlignment w:val="auto"/>
        <w:rPr>
          <w:rFonts w:hint="eastAsia" w:asciiTheme="minorEastAsia" w:hAnsiTheme="minorEastAsia" w:eastAsiaTheme="minorEastAsia" w:cstheme="minorEastAsia"/>
          <w:bCs/>
          <w:color w:val="000000"/>
          <w:sz w:val="24"/>
          <w:lang w:val="en-US" w:eastAsia="zh-CN"/>
        </w:rPr>
      </w:pPr>
      <w:r>
        <w:rPr>
          <w:rFonts w:hint="eastAsia" w:asciiTheme="minorEastAsia" w:hAnsiTheme="minorEastAsia" w:eastAsiaTheme="minorEastAsia" w:cstheme="minorEastAsia"/>
          <w:bCs/>
          <w:color w:val="000000"/>
          <w:sz w:val="24"/>
          <w:lang w:val="en-US" w:eastAsia="zh-CN"/>
        </w:rPr>
        <w:t>3.如是法定代表人（负责人或执行事务合伙人）直接参与投标，必须填写《法定代表人（负责人或执行事务合伙人）资格证明书》，可不用填写《法定代表人（负责人或执行事务合伙人）授权书》。</w:t>
      </w:r>
    </w:p>
    <w:p w14:paraId="3719B903">
      <w:pPr>
        <w:pStyle w:val="6"/>
        <w:keepNext w:val="0"/>
        <w:keepLines w:val="0"/>
        <w:pageBreakBefore w:val="0"/>
        <w:kinsoku/>
        <w:wordWrap/>
        <w:overflowPunct/>
        <w:topLinePunct w:val="0"/>
        <w:autoSpaceDE/>
        <w:autoSpaceDN/>
        <w:bidi w:val="0"/>
        <w:adjustRightInd/>
        <w:spacing w:line="340" w:lineRule="exact"/>
        <w:textAlignment w:val="auto"/>
        <w:rPr>
          <w:rFonts w:hint="eastAsia"/>
          <w:lang w:val="en-US" w:eastAsia="zh-CN"/>
        </w:rPr>
      </w:pPr>
      <w:r>
        <w:rPr>
          <w:rFonts w:hint="eastAsia" w:eastAsia="宋体"/>
          <w:szCs w:val="21"/>
          <w:highlight w:val="none"/>
          <w:lang w:val="en-US" w:eastAsia="zh-CN"/>
        </w:rPr>
        <w:t>4.</w:t>
      </w:r>
      <w:r>
        <w:rPr>
          <w:rFonts w:hint="eastAsia"/>
          <w:szCs w:val="21"/>
          <w:highlight w:val="none"/>
        </w:rPr>
        <w:t>内容必须填写真实、清</w:t>
      </w:r>
      <w:r>
        <w:rPr>
          <w:rFonts w:hint="eastAsia"/>
          <w:szCs w:val="21"/>
          <w:highlight w:val="none"/>
          <w:lang w:val="en-US" w:eastAsia="zh-CN"/>
        </w:rPr>
        <w:t>楚，涂改无效，不得转让、买卖。</w:t>
      </w:r>
    </w:p>
    <w:p w14:paraId="4F484483">
      <w:pPr>
        <w:keepNext w:val="0"/>
        <w:keepLines w:val="0"/>
        <w:pageBreakBefore w:val="0"/>
        <w:kinsoku/>
        <w:wordWrap/>
        <w:overflowPunct/>
        <w:topLinePunct w:val="0"/>
        <w:autoSpaceDE/>
        <w:autoSpaceDN/>
        <w:bidi w:val="0"/>
        <w:adjustRightInd/>
        <w:snapToGrid w:val="0"/>
        <w:spacing w:line="340" w:lineRule="exact"/>
        <w:ind w:firstLine="480" w:firstLineChars="200"/>
        <w:textAlignment w:val="auto"/>
        <w:rPr>
          <w:rFonts w:hint="eastAsia"/>
          <w:color w:val="FF0000"/>
          <w:szCs w:val="21"/>
          <w:highlight w:val="none"/>
          <w:lang w:val="en-US" w:eastAsia="zh-CN"/>
        </w:rPr>
      </w:pPr>
      <w:r>
        <w:rPr>
          <w:rFonts w:hint="eastAsia"/>
          <w:b/>
          <w:bCs/>
          <w:color w:val="FF0000"/>
          <w:szCs w:val="21"/>
          <w:highlight w:val="none"/>
          <w:lang w:val="en-US" w:eastAsia="zh-CN"/>
        </w:rPr>
        <w:t>温馨提示:</w:t>
      </w:r>
      <w:r>
        <w:rPr>
          <w:rFonts w:hint="eastAsia"/>
          <w:color w:val="FF0000"/>
          <w:szCs w:val="21"/>
          <w:highlight w:val="none"/>
          <w:lang w:val="en-US" w:eastAsia="zh-CN"/>
        </w:rPr>
        <w:t>为避免出现《深圳经济特区政府采购条例实施细则》第七十五条第二项所列情形，请投标供应商核实你单位法定代表人、本项目投标授权代表人、项目负责人、主要技术人员等是否在你公司缴纳社会保险。</w:t>
      </w:r>
    </w:p>
    <w:p w14:paraId="727B553A">
      <w:pPr>
        <w:pStyle w:val="6"/>
      </w:pPr>
    </w:p>
    <w:p w14:paraId="43D0AD2F"/>
    <w:p w14:paraId="2EABFF0E">
      <w:pPr>
        <w:pStyle w:val="3"/>
        <w:spacing w:before="120" w:after="120"/>
        <w:jc w:val="center"/>
        <w:rPr>
          <w:rFonts w:ascii="黑体" w:eastAsia="黑体"/>
          <w:b w:val="0"/>
          <w:sz w:val="24"/>
          <w:highlight w:val="none"/>
        </w:rPr>
      </w:pPr>
      <w:r>
        <w:rPr>
          <w:rFonts w:hint="eastAsia" w:ascii="黑体" w:eastAsia="黑体"/>
          <w:b w:val="0"/>
          <w:sz w:val="24"/>
          <w:highlight w:val="none"/>
        </w:rPr>
        <w:t>二、投标文件签署授权委托书</w:t>
      </w:r>
    </w:p>
    <w:p w14:paraId="0A42156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致友和保险经纪有限公司：</w:t>
      </w:r>
    </w:p>
    <w:p w14:paraId="0A64581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本授权委托书声明：我</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u w:val="single"/>
          <w:lang w:val="en-US" w:eastAsia="zh-CN"/>
        </w:rPr>
        <w:t xml:space="preserve"> </w:t>
      </w:r>
      <w:r>
        <w:rPr>
          <w:rFonts w:hint="eastAsia" w:asciiTheme="minorEastAsia" w:hAnsiTheme="minorEastAsia" w:eastAsiaTheme="minorEastAsia" w:cstheme="minorEastAsia"/>
          <w:color w:val="000000"/>
          <w:sz w:val="24"/>
          <w:u w:val="single"/>
        </w:rPr>
        <w:t>姓名</w:t>
      </w:r>
      <w:r>
        <w:rPr>
          <w:rFonts w:hint="eastAsia" w:asciiTheme="minorEastAsia" w:hAnsiTheme="minorEastAsia" w:eastAsiaTheme="minorEastAsia" w:cstheme="minorEastAsia"/>
          <w:color w:val="000000"/>
          <w:sz w:val="24"/>
          <w:u w:val="single"/>
          <w:lang w:val="en-US" w:eastAsia="zh-CN"/>
        </w:rPr>
        <w:t xml:space="preserve">  </w:t>
      </w:r>
      <w:r>
        <w:rPr>
          <w:rFonts w:hint="eastAsia" w:asciiTheme="minorEastAsia" w:hAnsiTheme="minorEastAsia" w:eastAsiaTheme="minorEastAsia" w:cstheme="minorEastAsia"/>
          <w:color w:val="000000"/>
          <w:sz w:val="24"/>
        </w:rPr>
        <w:t>系</w:t>
      </w:r>
      <w:r>
        <w:rPr>
          <w:rFonts w:hint="eastAsia" w:asciiTheme="minorEastAsia" w:hAnsiTheme="minorEastAsia" w:eastAsiaTheme="minorEastAsia" w:cstheme="minorEastAsia"/>
          <w:color w:val="000000"/>
          <w:sz w:val="24"/>
          <w:u w:val="single"/>
          <w:lang w:val="en-US" w:eastAsia="zh-CN"/>
        </w:rPr>
        <w:t xml:space="preserve">  </w:t>
      </w:r>
      <w:r>
        <w:rPr>
          <w:rFonts w:hint="eastAsia" w:asciiTheme="minorEastAsia" w:hAnsiTheme="minorEastAsia" w:eastAsiaTheme="minorEastAsia" w:cstheme="minorEastAsia"/>
          <w:color w:val="000000"/>
          <w:sz w:val="24"/>
          <w:u w:val="single"/>
        </w:rPr>
        <w:t>投标人名称</w:t>
      </w:r>
      <w:r>
        <w:rPr>
          <w:rFonts w:hint="eastAsia" w:asciiTheme="minorEastAsia" w:hAnsiTheme="minorEastAsia" w:eastAsiaTheme="minorEastAsia" w:cstheme="minorEastAsia"/>
          <w:color w:val="000000"/>
          <w:sz w:val="24"/>
          <w:u w:val="single"/>
          <w:lang w:val="en-US" w:eastAsia="zh-CN"/>
        </w:rPr>
        <w:t xml:space="preserve">  </w:t>
      </w:r>
      <w:r>
        <w:rPr>
          <w:rFonts w:hint="eastAsia" w:asciiTheme="minorEastAsia" w:hAnsiTheme="minorEastAsia" w:eastAsiaTheme="minorEastAsia" w:cstheme="minorEastAsia"/>
          <w:color w:val="000000"/>
          <w:sz w:val="24"/>
        </w:rPr>
        <w:t>的法定代表人（</w:t>
      </w:r>
      <w:r>
        <w:rPr>
          <w:rFonts w:hint="eastAsia" w:asciiTheme="minorEastAsia" w:hAnsiTheme="minorEastAsia" w:eastAsiaTheme="minorEastAsia" w:cstheme="minorEastAsia"/>
          <w:color w:val="000000"/>
          <w:sz w:val="24"/>
          <w:lang w:eastAsia="zh-CN"/>
        </w:rPr>
        <w:t>负责人或执行事务合伙人</w:t>
      </w:r>
      <w:r>
        <w:rPr>
          <w:rFonts w:hint="eastAsia" w:asciiTheme="minorEastAsia" w:hAnsiTheme="minorEastAsia" w:eastAsiaTheme="minorEastAsia" w:cstheme="minorEastAsia"/>
          <w:color w:val="000000"/>
          <w:sz w:val="24"/>
        </w:rPr>
        <w:t>），现授权委托</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u w:val="single"/>
          <w:lang w:val="en-US" w:eastAsia="zh-CN"/>
        </w:rPr>
        <w:t xml:space="preserve"> </w:t>
      </w:r>
      <w:r>
        <w:rPr>
          <w:rFonts w:hint="eastAsia" w:asciiTheme="minorEastAsia" w:hAnsiTheme="minorEastAsia" w:eastAsiaTheme="minorEastAsia" w:cstheme="minorEastAsia"/>
          <w:color w:val="000000"/>
          <w:sz w:val="24"/>
          <w:u w:val="single"/>
        </w:rPr>
        <w:t>姓名</w:t>
      </w:r>
      <w:r>
        <w:rPr>
          <w:rFonts w:hint="eastAsia" w:asciiTheme="minorEastAsia" w:hAnsiTheme="minorEastAsia" w:eastAsiaTheme="minorEastAsia" w:cstheme="minorEastAsia"/>
          <w:color w:val="000000"/>
          <w:sz w:val="24"/>
          <w:u w:val="single"/>
          <w:lang w:val="en-US" w:eastAsia="zh-CN"/>
        </w:rPr>
        <w:t xml:space="preserve">  </w:t>
      </w:r>
      <w:r>
        <w:rPr>
          <w:rFonts w:hint="eastAsia" w:asciiTheme="minorEastAsia" w:hAnsiTheme="minorEastAsia" w:eastAsiaTheme="minorEastAsia" w:cstheme="minorEastAsia"/>
          <w:color w:val="000000"/>
          <w:sz w:val="24"/>
        </w:rPr>
        <w:t>为我公司签署本项目已递交的投标文件的法定代表人的授权委托代理人，代理人全权代表我所签署的本项目已递交的投标文件内容我均承认。</w:t>
      </w:r>
    </w:p>
    <w:p w14:paraId="5DFBB89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代理人无转委托权，特此委托。</w:t>
      </w:r>
    </w:p>
    <w:p w14:paraId="2E4C777C">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color w:val="000000"/>
          <w:sz w:val="24"/>
        </w:rPr>
      </w:pPr>
    </w:p>
    <w:p w14:paraId="6E6D5B7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代理人：</w:t>
      </w:r>
      <w:r>
        <w:rPr>
          <w:rFonts w:hint="eastAsia"/>
          <w:szCs w:val="21"/>
          <w:highlight w:val="none"/>
          <w:u w:val="single"/>
        </w:rPr>
        <w:t xml:space="preserve">                  </w:t>
      </w:r>
      <w:r>
        <w:rPr>
          <w:rFonts w:hint="eastAsia" w:asciiTheme="minorEastAsia" w:hAnsiTheme="minorEastAsia" w:eastAsiaTheme="minorEastAsia" w:cstheme="minorEastAsia"/>
          <w:color w:val="000000"/>
          <w:sz w:val="24"/>
        </w:rPr>
        <w:t>性别：</w:t>
      </w:r>
      <w:r>
        <w:rPr>
          <w:rFonts w:hint="eastAsia"/>
          <w:szCs w:val="21"/>
          <w:highlight w:val="none"/>
          <w:u w:val="single"/>
        </w:rPr>
        <w:t xml:space="preserve">                  </w:t>
      </w:r>
      <w:r>
        <w:rPr>
          <w:rFonts w:hint="eastAsia" w:asciiTheme="minorEastAsia" w:hAnsiTheme="minorEastAsia" w:eastAsiaTheme="minorEastAsia" w:cstheme="minorEastAsia"/>
          <w:color w:val="000000"/>
          <w:sz w:val="24"/>
        </w:rPr>
        <w:t>年龄：</w:t>
      </w:r>
      <w:r>
        <w:rPr>
          <w:rFonts w:hint="eastAsia"/>
          <w:szCs w:val="21"/>
          <w:highlight w:val="none"/>
          <w:u w:val="single"/>
        </w:rPr>
        <w:t xml:space="preserve">                  </w:t>
      </w:r>
    </w:p>
    <w:p w14:paraId="561F9CD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联系电话：</w:t>
      </w:r>
      <w:r>
        <w:rPr>
          <w:rFonts w:hint="eastAsia"/>
          <w:szCs w:val="21"/>
          <w:highlight w:val="none"/>
          <w:u w:val="single"/>
        </w:rPr>
        <w:t xml:space="preserve">                  </w:t>
      </w:r>
      <w:r>
        <w:rPr>
          <w:rFonts w:hint="eastAsia" w:asciiTheme="minorEastAsia" w:hAnsiTheme="minorEastAsia" w:eastAsiaTheme="minorEastAsia" w:cstheme="minorEastAsia"/>
          <w:color w:val="000000"/>
          <w:sz w:val="24"/>
        </w:rPr>
        <w:t>手机：</w:t>
      </w:r>
      <w:r>
        <w:rPr>
          <w:rFonts w:hint="eastAsia"/>
          <w:szCs w:val="21"/>
          <w:highlight w:val="none"/>
          <w:u w:val="single"/>
        </w:rPr>
        <w:t xml:space="preserve">                  </w:t>
      </w:r>
    </w:p>
    <w:p w14:paraId="7F264015">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color w:val="000000"/>
          <w:sz w:val="24"/>
          <w:u w:val="single"/>
        </w:rPr>
      </w:pPr>
      <w:r>
        <w:rPr>
          <w:rFonts w:hint="eastAsia" w:asciiTheme="minorEastAsia" w:hAnsiTheme="minorEastAsia" w:eastAsiaTheme="minorEastAsia" w:cstheme="minorEastAsia"/>
          <w:color w:val="000000"/>
          <w:sz w:val="24"/>
        </w:rPr>
        <w:t>身份证号码：</w:t>
      </w:r>
      <w:r>
        <w:rPr>
          <w:rFonts w:hint="eastAsia"/>
          <w:szCs w:val="21"/>
          <w:highlight w:val="none"/>
          <w:u w:val="single"/>
        </w:rPr>
        <w:t xml:space="preserve">                  </w:t>
      </w:r>
      <w:r>
        <w:rPr>
          <w:rFonts w:hint="eastAsia" w:asciiTheme="minorEastAsia" w:hAnsiTheme="minorEastAsia" w:eastAsiaTheme="minorEastAsia" w:cstheme="minorEastAsia"/>
          <w:color w:val="000000"/>
          <w:sz w:val="24"/>
        </w:rPr>
        <w:t>职务：</w:t>
      </w:r>
      <w:r>
        <w:rPr>
          <w:rFonts w:hint="eastAsia"/>
          <w:szCs w:val="21"/>
          <w:highlight w:val="none"/>
          <w:u w:val="single"/>
        </w:rPr>
        <w:t xml:space="preserve">                  </w:t>
      </w:r>
    </w:p>
    <w:p w14:paraId="67FFE29A">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color w:val="000000"/>
          <w:sz w:val="24"/>
        </w:rPr>
      </w:pPr>
    </w:p>
    <w:p w14:paraId="5059C69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color w:val="000000"/>
          <w:kern w:val="0"/>
          <w:sz w:val="24"/>
          <w:lang w:eastAsia="zh-CN"/>
        </w:rPr>
      </w:pPr>
      <w:r>
        <w:rPr>
          <w:rFonts w:hint="eastAsia" w:asciiTheme="minorEastAsia" w:hAnsiTheme="minorEastAsia" w:eastAsiaTheme="minorEastAsia" w:cstheme="minorEastAsia"/>
          <w:color w:val="000000"/>
          <w:sz w:val="24"/>
        </w:rPr>
        <w:t>授权委托日期：</w:t>
      </w:r>
      <w:r>
        <w:rPr>
          <w:rFonts w:hint="eastAsia"/>
          <w:szCs w:val="21"/>
          <w:highlight w:val="none"/>
          <w:u w:val="single"/>
        </w:rPr>
        <w:t xml:space="preserve">       </w:t>
      </w:r>
      <w:r>
        <w:rPr>
          <w:rFonts w:hint="eastAsia" w:asciiTheme="minorEastAsia" w:hAnsiTheme="minorEastAsia" w:eastAsiaTheme="minorEastAsia" w:cstheme="minorEastAsia"/>
          <w:color w:val="000000"/>
          <w:sz w:val="24"/>
        </w:rPr>
        <w:t>年</w:t>
      </w:r>
      <w:r>
        <w:rPr>
          <w:rFonts w:hint="eastAsia"/>
          <w:szCs w:val="21"/>
          <w:highlight w:val="none"/>
          <w:u w:val="single"/>
        </w:rPr>
        <w:t xml:space="preserve">      </w:t>
      </w:r>
      <w:r>
        <w:rPr>
          <w:rFonts w:hint="eastAsia" w:asciiTheme="minorEastAsia" w:hAnsiTheme="minorEastAsia" w:eastAsiaTheme="minorEastAsia" w:cstheme="minorEastAsia"/>
          <w:color w:val="000000"/>
          <w:sz w:val="24"/>
        </w:rPr>
        <w:t>月</w:t>
      </w:r>
      <w:r>
        <w:rPr>
          <w:rFonts w:hint="eastAsia"/>
          <w:szCs w:val="21"/>
          <w:highlight w:val="none"/>
          <w:u w:val="single"/>
        </w:rPr>
        <w:t xml:space="preserve">      </w:t>
      </w:r>
      <w:r>
        <w:rPr>
          <w:rFonts w:hint="eastAsia" w:asciiTheme="minorEastAsia" w:hAnsiTheme="minorEastAsia" w:eastAsiaTheme="minorEastAsia" w:cstheme="minorEastAsia"/>
          <w:color w:val="000000"/>
          <w:sz w:val="24"/>
        </w:rPr>
        <w:t>日</w:t>
      </w:r>
      <w:r>
        <w:rPr>
          <w:rFonts w:hint="eastAsia" w:asciiTheme="minorEastAsia" w:hAnsiTheme="minorEastAsia" w:eastAsiaTheme="minorEastAsia" w:cstheme="minorEastAsia"/>
          <w:color w:val="000000"/>
          <w:sz w:val="24"/>
          <w:lang w:eastAsia="zh-CN"/>
        </w:rPr>
        <w:t>，有效期至</w:t>
      </w:r>
      <w:r>
        <w:rPr>
          <w:rFonts w:hint="eastAsia"/>
          <w:szCs w:val="21"/>
          <w:highlight w:val="none"/>
          <w:u w:val="single"/>
        </w:rPr>
        <w:t xml:space="preserve">       </w:t>
      </w:r>
      <w:r>
        <w:rPr>
          <w:rFonts w:hint="eastAsia" w:asciiTheme="minorEastAsia" w:hAnsiTheme="minorEastAsia" w:eastAsiaTheme="minorEastAsia" w:cstheme="minorEastAsia"/>
          <w:color w:val="000000"/>
          <w:sz w:val="24"/>
        </w:rPr>
        <w:t>年</w:t>
      </w:r>
      <w:r>
        <w:rPr>
          <w:rFonts w:hint="eastAsia"/>
          <w:szCs w:val="21"/>
          <w:highlight w:val="none"/>
          <w:u w:val="single"/>
        </w:rPr>
        <w:t xml:space="preserve">      </w:t>
      </w:r>
      <w:r>
        <w:rPr>
          <w:rFonts w:hint="eastAsia" w:asciiTheme="minorEastAsia" w:hAnsiTheme="minorEastAsia" w:eastAsiaTheme="minorEastAsia" w:cstheme="minorEastAsia"/>
          <w:color w:val="000000"/>
          <w:sz w:val="24"/>
        </w:rPr>
        <w:t>月</w:t>
      </w:r>
      <w:r>
        <w:rPr>
          <w:rFonts w:hint="eastAsia"/>
          <w:szCs w:val="21"/>
          <w:highlight w:val="none"/>
          <w:u w:val="single"/>
        </w:rPr>
        <w:t xml:space="preserve">      </w:t>
      </w:r>
      <w:r>
        <w:rPr>
          <w:rFonts w:hint="eastAsia" w:asciiTheme="minorEastAsia" w:hAnsiTheme="minorEastAsia" w:eastAsiaTheme="minorEastAsia" w:cstheme="minorEastAsia"/>
          <w:color w:val="000000"/>
          <w:sz w:val="24"/>
        </w:rPr>
        <w:t>日</w:t>
      </w:r>
      <w:r>
        <w:rPr>
          <w:rFonts w:hint="eastAsia" w:asciiTheme="minorEastAsia" w:hAnsiTheme="minorEastAsia" w:eastAsiaTheme="minorEastAsia" w:cstheme="minorEastAsia"/>
          <w:color w:val="000000"/>
          <w:sz w:val="24"/>
          <w:lang w:eastAsia="zh-CN"/>
        </w:rPr>
        <w:t>。</w:t>
      </w:r>
    </w:p>
    <w:p w14:paraId="45254A7D">
      <w:pPr>
        <w:spacing w:line="360" w:lineRule="auto"/>
        <w:rPr>
          <w:rFonts w:ascii="仿宋" w:hAnsi="仿宋" w:eastAsia="仿宋" w:cs="仿宋"/>
          <w:bCs/>
          <w:color w:val="000000"/>
          <w:sz w:val="24"/>
        </w:rPr>
      </w:pPr>
      <w:r>
        <w:rPr>
          <w:color w:val="000000"/>
        </w:rPr>
        <mc:AlternateContent>
          <mc:Choice Requires="wps">
            <w:drawing>
              <wp:anchor distT="0" distB="0" distL="114300" distR="114300" simplePos="0" relativeHeight="251662336" behindDoc="0" locked="0" layoutInCell="1" allowOverlap="1">
                <wp:simplePos x="0" y="0"/>
                <wp:positionH relativeFrom="column">
                  <wp:posOffset>2999740</wp:posOffset>
                </wp:positionH>
                <wp:positionV relativeFrom="paragraph">
                  <wp:posOffset>20955</wp:posOffset>
                </wp:positionV>
                <wp:extent cx="2782570" cy="1920875"/>
                <wp:effectExtent l="5080" t="4445" r="12700" b="17780"/>
                <wp:wrapNone/>
                <wp:docPr id="12" name="文本框 12"/>
                <wp:cNvGraphicFramePr/>
                <a:graphic xmlns:a="http://schemas.openxmlformats.org/drawingml/2006/main">
                  <a:graphicData uri="http://schemas.microsoft.com/office/word/2010/wordprocessingShape">
                    <wps:wsp>
                      <wps:cNvSpPr txBox="1"/>
                      <wps:spPr>
                        <a:xfrm>
                          <a:off x="0" y="0"/>
                          <a:ext cx="2782570" cy="19208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725A9FD">
                            <w:pPr>
                              <w:widowControl/>
                              <w:jc w:val="left"/>
                              <w:rPr>
                                <w:rFonts w:ascii="宋体" w:hAnsi="宋体" w:cs="宋体"/>
                                <w:kern w:val="0"/>
                                <w:sz w:val="24"/>
                              </w:rPr>
                            </w:pPr>
                          </w:p>
                          <w:p w14:paraId="1F71AD1A">
                            <w:pPr>
                              <w:widowControl/>
                              <w:jc w:val="left"/>
                            </w:pPr>
                          </w:p>
                          <w:p w14:paraId="736F9CCF">
                            <w:pPr>
                              <w:jc w:val="center"/>
                              <w:rPr>
                                <w:rFonts w:hint="eastAsia" w:ascii="仿宋" w:hAnsi="仿宋" w:eastAsia="仿宋" w:cs="仿宋"/>
                                <w:bCs/>
                                <w:sz w:val="24"/>
                                <w:szCs w:val="24"/>
                              </w:rPr>
                            </w:pPr>
                            <w:r>
                              <w:rPr>
                                <w:rFonts w:hint="eastAsia" w:ascii="仿宋" w:hAnsi="仿宋" w:eastAsia="仿宋" w:cs="仿宋"/>
                                <w:bCs/>
                                <w:sz w:val="24"/>
                                <w:szCs w:val="24"/>
                              </w:rPr>
                              <w:t>被授权人身份证反面</w:t>
                            </w:r>
                          </w:p>
                        </w:txbxContent>
                      </wps:txbx>
                      <wps:bodyPr vert="horz" wrap="square" anchor="t" anchorCtr="0" upright="1"/>
                    </wps:wsp>
                  </a:graphicData>
                </a:graphic>
              </wp:anchor>
            </w:drawing>
          </mc:Choice>
          <mc:Fallback>
            <w:pict>
              <v:shape id="_x0000_s1026" o:spid="_x0000_s1026" o:spt="202" type="#_x0000_t202" style="position:absolute;left:0pt;margin-left:236.2pt;margin-top:1.65pt;height:151.25pt;width:219.1pt;z-index:251662336;mso-width-relative:page;mso-height-relative:page;" fillcolor="#FFFFFF" filled="t" stroked="t" coordsize="21600,21600" o:gfxdata="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Z41nYAAAACQEAAA8AAAAAAAAAAQAgAAAAIgAAAGRycy9kb3ducmV2LnhtbFBL&#10;AQIUABQAAAAIAIdO4kBZsc1XLwIAAHoEAAAOAAAAAAAAAAEAIAAAACcBAABkcnMvZTJvRG9jLnht&#10;bFBLBQYAAAAABgAGAFkBAADIBQAAAAA=&#10;">
                <v:fill on="t" focussize="0,0"/>
                <v:stroke color="#000000" joinstyle="miter"/>
                <v:imagedata o:title=""/>
                <o:lock v:ext="edit" aspectratio="f"/>
                <v:textbox>
                  <w:txbxContent>
                    <w:p w14:paraId="6725A9FD">
                      <w:pPr>
                        <w:widowControl/>
                        <w:jc w:val="left"/>
                        <w:rPr>
                          <w:rFonts w:ascii="宋体" w:hAnsi="宋体" w:cs="宋体"/>
                          <w:kern w:val="0"/>
                          <w:sz w:val="24"/>
                        </w:rPr>
                      </w:pPr>
                    </w:p>
                    <w:p w14:paraId="1F71AD1A">
                      <w:pPr>
                        <w:widowControl/>
                        <w:jc w:val="left"/>
                      </w:pPr>
                    </w:p>
                    <w:p w14:paraId="736F9CCF">
                      <w:pPr>
                        <w:jc w:val="center"/>
                        <w:rPr>
                          <w:rFonts w:hint="eastAsia" w:ascii="仿宋" w:hAnsi="仿宋" w:eastAsia="仿宋" w:cs="仿宋"/>
                          <w:bCs/>
                          <w:sz w:val="24"/>
                          <w:szCs w:val="24"/>
                        </w:rPr>
                      </w:pPr>
                      <w:r>
                        <w:rPr>
                          <w:rFonts w:hint="eastAsia" w:ascii="仿宋" w:hAnsi="仿宋" w:eastAsia="仿宋" w:cs="仿宋"/>
                          <w:bCs/>
                          <w:sz w:val="24"/>
                          <w:szCs w:val="24"/>
                        </w:rPr>
                        <w:t>被授权人身份证反面</w:t>
                      </w:r>
                    </w:p>
                  </w:txbxContent>
                </v:textbox>
              </v:shape>
            </w:pict>
          </mc:Fallback>
        </mc:AlternateContent>
      </w:r>
      <w:r>
        <w:rPr>
          <w:color w:val="000000"/>
        </w:rPr>
        <mc:AlternateContent>
          <mc:Choice Requires="wps">
            <w:drawing>
              <wp:anchor distT="0" distB="0" distL="114300" distR="114300" simplePos="0" relativeHeight="251661312" behindDoc="0" locked="0" layoutInCell="1" allowOverlap="1">
                <wp:simplePos x="0" y="0"/>
                <wp:positionH relativeFrom="column">
                  <wp:posOffset>1905</wp:posOffset>
                </wp:positionH>
                <wp:positionV relativeFrom="paragraph">
                  <wp:posOffset>20955</wp:posOffset>
                </wp:positionV>
                <wp:extent cx="2830830" cy="1920875"/>
                <wp:effectExtent l="5080" t="4445" r="21590" b="17780"/>
                <wp:wrapNone/>
                <wp:docPr id="11" name="文本框 11"/>
                <wp:cNvGraphicFramePr/>
                <a:graphic xmlns:a="http://schemas.openxmlformats.org/drawingml/2006/main">
                  <a:graphicData uri="http://schemas.microsoft.com/office/word/2010/wordprocessingShape">
                    <wps:wsp>
                      <wps:cNvSpPr txBox="1"/>
                      <wps:spPr>
                        <a:xfrm>
                          <a:off x="0" y="0"/>
                          <a:ext cx="2830830" cy="19208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62765F2">
                            <w:pPr>
                              <w:widowControl/>
                              <w:jc w:val="left"/>
                              <w:rPr>
                                <w:rFonts w:ascii="宋体" w:hAnsi="宋体" w:cs="宋体"/>
                                <w:kern w:val="0"/>
                                <w:sz w:val="24"/>
                              </w:rPr>
                            </w:pPr>
                          </w:p>
                          <w:p w14:paraId="3241D179">
                            <w:pPr>
                              <w:widowControl/>
                              <w:jc w:val="left"/>
                            </w:pPr>
                          </w:p>
                          <w:p w14:paraId="374C485A">
                            <w:pPr>
                              <w:jc w:val="center"/>
                              <w:rPr>
                                <w:rFonts w:hint="eastAsia" w:ascii="仿宋" w:hAnsi="仿宋" w:eastAsia="仿宋" w:cs="仿宋"/>
                                <w:bCs/>
                                <w:sz w:val="22"/>
                                <w:szCs w:val="22"/>
                              </w:rPr>
                            </w:pPr>
                            <w:r>
                              <w:rPr>
                                <w:rFonts w:hint="eastAsia" w:ascii="仿宋" w:hAnsi="仿宋" w:eastAsia="仿宋" w:cs="仿宋"/>
                                <w:bCs/>
                                <w:sz w:val="24"/>
                                <w:szCs w:val="24"/>
                              </w:rPr>
                              <w:t>被授权人身份证正面</w:t>
                            </w:r>
                          </w:p>
                        </w:txbxContent>
                      </wps:txbx>
                      <wps:bodyPr vert="horz" wrap="square" anchor="t" anchorCtr="0" upright="1"/>
                    </wps:wsp>
                  </a:graphicData>
                </a:graphic>
              </wp:anchor>
            </w:drawing>
          </mc:Choice>
          <mc:Fallback>
            <w:pict>
              <v:shape id="_x0000_s1026" o:spid="_x0000_s1026" o:spt="202" type="#_x0000_t202" style="position:absolute;left:0pt;margin-left:0.15pt;margin-top:1.65pt;height:151.25pt;width:222.9pt;z-index:251661312;mso-width-relative:page;mso-height-relative:page;" fillcolor="#FFFFFF" filled="t" stroked="t" coordsize="21600,21600" o:gfxdata="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GdNwDVAAAABgEAAA8AAAAAAAAAAQAgAAAAIgAAAGRycy9kb3ducmV2LnhtbFBLAQIU&#10;ABQAAAAIAIdO4kDplZsDLwIAAHoEAAAOAAAAAAAAAAEAIAAAACQBAABkcnMvZTJvRG9jLnhtbFBL&#10;BQYAAAAABgAGAFkBAADFBQAAAAA=&#10;">
                <v:fill on="t" focussize="0,0"/>
                <v:stroke color="#000000" joinstyle="miter"/>
                <v:imagedata o:title=""/>
                <o:lock v:ext="edit" aspectratio="f"/>
                <v:textbox>
                  <w:txbxContent>
                    <w:p w14:paraId="262765F2">
                      <w:pPr>
                        <w:widowControl/>
                        <w:jc w:val="left"/>
                        <w:rPr>
                          <w:rFonts w:ascii="宋体" w:hAnsi="宋体" w:cs="宋体"/>
                          <w:kern w:val="0"/>
                          <w:sz w:val="24"/>
                        </w:rPr>
                      </w:pPr>
                    </w:p>
                    <w:p w14:paraId="3241D179">
                      <w:pPr>
                        <w:widowControl/>
                        <w:jc w:val="left"/>
                      </w:pPr>
                    </w:p>
                    <w:p w14:paraId="374C485A">
                      <w:pPr>
                        <w:jc w:val="center"/>
                        <w:rPr>
                          <w:rFonts w:hint="eastAsia" w:ascii="仿宋" w:hAnsi="仿宋" w:eastAsia="仿宋" w:cs="仿宋"/>
                          <w:bCs/>
                          <w:sz w:val="22"/>
                          <w:szCs w:val="22"/>
                        </w:rPr>
                      </w:pPr>
                      <w:r>
                        <w:rPr>
                          <w:rFonts w:hint="eastAsia" w:ascii="仿宋" w:hAnsi="仿宋" w:eastAsia="仿宋" w:cs="仿宋"/>
                          <w:bCs/>
                          <w:sz w:val="24"/>
                          <w:szCs w:val="24"/>
                        </w:rPr>
                        <w:t>被授权人身份证正面</w:t>
                      </w:r>
                    </w:p>
                  </w:txbxContent>
                </v:textbox>
              </v:shape>
            </w:pict>
          </mc:Fallback>
        </mc:AlternateContent>
      </w:r>
    </w:p>
    <w:p w14:paraId="58937014">
      <w:pPr>
        <w:spacing w:line="360" w:lineRule="auto"/>
        <w:rPr>
          <w:rFonts w:ascii="仿宋" w:hAnsi="仿宋" w:eastAsia="仿宋" w:cs="仿宋"/>
          <w:bCs/>
          <w:color w:val="000000"/>
          <w:sz w:val="24"/>
        </w:rPr>
      </w:pPr>
    </w:p>
    <w:p w14:paraId="26DD9217">
      <w:pPr>
        <w:spacing w:line="360" w:lineRule="auto"/>
        <w:rPr>
          <w:rFonts w:ascii="仿宋" w:hAnsi="仿宋" w:eastAsia="仿宋" w:cs="仿宋"/>
          <w:bCs/>
          <w:color w:val="000000"/>
          <w:sz w:val="24"/>
        </w:rPr>
      </w:pPr>
    </w:p>
    <w:p w14:paraId="3C49B918">
      <w:pPr>
        <w:spacing w:line="360" w:lineRule="auto"/>
        <w:rPr>
          <w:rFonts w:ascii="仿宋" w:hAnsi="仿宋" w:eastAsia="仿宋" w:cs="仿宋"/>
          <w:bCs/>
          <w:color w:val="000000"/>
          <w:sz w:val="24"/>
        </w:rPr>
      </w:pPr>
    </w:p>
    <w:p w14:paraId="0ACAFF1F">
      <w:pPr>
        <w:rPr>
          <w:rFonts w:ascii="仿宋" w:hAnsi="仿宋" w:eastAsia="仿宋" w:cs="仿宋"/>
          <w:color w:val="000000"/>
          <w:sz w:val="24"/>
        </w:rPr>
      </w:pPr>
    </w:p>
    <w:p w14:paraId="7C9164DB">
      <w:pPr>
        <w:rPr>
          <w:rFonts w:ascii="仿宋" w:hAnsi="仿宋" w:eastAsia="仿宋" w:cs="仿宋"/>
          <w:color w:val="000000"/>
          <w:sz w:val="24"/>
        </w:rPr>
      </w:pPr>
    </w:p>
    <w:p w14:paraId="6D5FA704">
      <w:pPr>
        <w:spacing w:after="60"/>
        <w:rPr>
          <w:rFonts w:ascii="仿宋" w:hAnsi="仿宋" w:eastAsia="仿宋" w:cs="仿宋"/>
          <w:color w:val="000000"/>
          <w:sz w:val="24"/>
        </w:rPr>
      </w:pPr>
    </w:p>
    <w:p w14:paraId="0663094E">
      <w:pPr>
        <w:rPr>
          <w:rFonts w:ascii="仿宋" w:hAnsi="仿宋" w:eastAsia="仿宋" w:cs="仿宋"/>
          <w:color w:val="000000"/>
          <w:sz w:val="24"/>
        </w:rPr>
      </w:pPr>
    </w:p>
    <w:p w14:paraId="33D5952F">
      <w:pPr>
        <w:spacing w:line="360" w:lineRule="auto"/>
        <w:jc w:val="both"/>
        <w:rPr>
          <w:rFonts w:hint="eastAsia"/>
          <w:szCs w:val="21"/>
          <w:highlight w:val="none"/>
          <w:lang w:val="en-US" w:eastAsia="zh-CN"/>
        </w:rPr>
      </w:pPr>
      <w:r>
        <w:rPr>
          <w:rFonts w:hint="eastAsia"/>
          <w:szCs w:val="21"/>
          <w:highlight w:val="none"/>
          <w:lang w:val="en-US" w:eastAsia="zh-CN"/>
        </w:rPr>
        <w:t>说明：</w:t>
      </w:r>
    </w:p>
    <w:p w14:paraId="3A6D085A">
      <w:pPr>
        <w:keepNext w:val="0"/>
        <w:keepLines w:val="0"/>
        <w:pageBreakBefore w:val="0"/>
        <w:kinsoku/>
        <w:wordWrap/>
        <w:overflowPunct/>
        <w:topLinePunct w:val="0"/>
        <w:autoSpaceDE/>
        <w:autoSpaceDN/>
        <w:bidi w:val="0"/>
        <w:adjustRightInd/>
        <w:snapToGrid w:val="0"/>
        <w:spacing w:line="340" w:lineRule="exact"/>
        <w:ind w:firstLine="480" w:firstLineChars="200"/>
        <w:textAlignment w:val="auto"/>
        <w:rPr>
          <w:rFonts w:hint="default"/>
          <w:szCs w:val="21"/>
          <w:highlight w:val="none"/>
          <w:lang w:val="en-US" w:eastAsia="zh-CN" w:bidi="ar-SA"/>
        </w:rPr>
      </w:pPr>
      <w:r>
        <w:rPr>
          <w:rFonts w:hint="eastAsia"/>
          <w:szCs w:val="21"/>
          <w:highlight w:val="none"/>
          <w:lang w:val="en-US" w:eastAsia="zh-CN" w:bidi="ar-SA"/>
        </w:rPr>
        <w:t>1.如是代理人（受托人）参与投标，则必须提供《法定代表人（负责人或执行事务合伙人）证明书》和《投标文件签署授权委托书》，且《投标函》的委托代理人与《投标文件签署授权委托书》的代理人（受托人）必须一致。</w:t>
      </w:r>
    </w:p>
    <w:p w14:paraId="4FCBCB73">
      <w:pPr>
        <w:keepNext w:val="0"/>
        <w:keepLines w:val="0"/>
        <w:pageBreakBefore w:val="0"/>
        <w:kinsoku/>
        <w:wordWrap/>
        <w:overflowPunct/>
        <w:topLinePunct w:val="0"/>
        <w:autoSpaceDE/>
        <w:autoSpaceDN/>
        <w:bidi w:val="0"/>
        <w:adjustRightInd/>
        <w:snapToGrid w:val="0"/>
        <w:spacing w:line="340" w:lineRule="exact"/>
        <w:ind w:firstLine="480" w:firstLineChars="200"/>
        <w:textAlignment w:val="auto"/>
        <w:rPr>
          <w:rFonts w:hint="eastAsia"/>
          <w:szCs w:val="21"/>
          <w:highlight w:val="none"/>
          <w:lang w:val="en-US" w:eastAsia="zh-CN" w:bidi="ar-SA"/>
        </w:rPr>
      </w:pPr>
      <w:r>
        <w:rPr>
          <w:rFonts w:hint="eastAsia"/>
          <w:szCs w:val="21"/>
          <w:highlight w:val="none"/>
          <w:lang w:val="en-US" w:eastAsia="zh-CN" w:bidi="ar-SA"/>
        </w:rPr>
        <w:t>2.请提供代理人身份证扫描件（正反两面）；港澳台居民可提供来往通行证扫描件；非中国国籍管辖范围人员，可提供公安部门认可的身份证明材料扫描件。</w:t>
      </w:r>
    </w:p>
    <w:p w14:paraId="102201D3">
      <w:pPr>
        <w:keepNext w:val="0"/>
        <w:keepLines w:val="0"/>
        <w:pageBreakBefore w:val="0"/>
        <w:kinsoku/>
        <w:wordWrap/>
        <w:overflowPunct/>
        <w:topLinePunct w:val="0"/>
        <w:autoSpaceDE/>
        <w:autoSpaceDN/>
        <w:bidi w:val="0"/>
        <w:adjustRightInd/>
        <w:snapToGrid w:val="0"/>
        <w:spacing w:line="340" w:lineRule="exact"/>
        <w:ind w:firstLine="480" w:firstLineChars="200"/>
        <w:textAlignment w:val="auto"/>
        <w:rPr>
          <w:rFonts w:hint="eastAsia"/>
          <w:color w:val="FF0000"/>
          <w:szCs w:val="21"/>
          <w:highlight w:val="none"/>
          <w:lang w:val="en-US" w:eastAsia="zh-CN"/>
        </w:rPr>
      </w:pPr>
      <w:r>
        <w:rPr>
          <w:rFonts w:hint="eastAsia"/>
          <w:b/>
          <w:bCs/>
          <w:color w:val="FF0000"/>
          <w:szCs w:val="21"/>
          <w:highlight w:val="none"/>
          <w:lang w:val="en-US" w:eastAsia="zh-CN"/>
        </w:rPr>
        <w:t>温馨提示:</w:t>
      </w:r>
      <w:r>
        <w:rPr>
          <w:rFonts w:hint="eastAsia"/>
          <w:color w:val="FF0000"/>
          <w:szCs w:val="21"/>
          <w:highlight w:val="none"/>
          <w:lang w:val="en-US" w:eastAsia="zh-CN"/>
        </w:rPr>
        <w:t>为避免出现《深圳经济特区政府采购条例实施细则》第七十五条第二项所列情形，请投标供应商核实你单位法定代表人、本项目投标授权代表人、项目负责人、主要技术人员等是否在你公司缴纳社会保险。</w:t>
      </w:r>
    </w:p>
    <w:p w14:paraId="0C52FD42">
      <w:pPr>
        <w:pStyle w:val="6"/>
      </w:pPr>
    </w:p>
    <w:p w14:paraId="390BFFB9">
      <w:pPr>
        <w:rPr>
          <w:rFonts w:ascii="黑体" w:hAnsi="宋体" w:eastAsia="黑体"/>
          <w:color w:val="000000" w:themeColor="text1"/>
          <w:szCs w:val="20"/>
          <w14:textFill>
            <w14:solidFill>
              <w14:schemeClr w14:val="tx1"/>
            </w14:solidFill>
          </w14:textFill>
        </w:rPr>
      </w:pPr>
    </w:p>
    <w:p w14:paraId="0F47E8D6">
      <w:pPr>
        <w:rPr>
          <w:rFonts w:ascii="黑体" w:hAnsi="宋体" w:eastAsia="黑体"/>
          <w:color w:val="000000" w:themeColor="text1"/>
          <w:szCs w:val="20"/>
          <w14:textFill>
            <w14:solidFill>
              <w14:schemeClr w14:val="tx1"/>
            </w14:solidFill>
          </w14:textFill>
        </w:rPr>
      </w:pPr>
    </w:p>
    <w:p w14:paraId="3DDF80C5">
      <w:pPr>
        <w:rPr>
          <w:rFonts w:ascii="黑体" w:hAnsi="宋体" w:eastAsia="黑体"/>
          <w:color w:val="000000" w:themeColor="text1"/>
          <w:szCs w:val="20"/>
          <w14:textFill>
            <w14:solidFill>
              <w14:schemeClr w14:val="tx1"/>
            </w14:solidFill>
          </w14:textFill>
        </w:rPr>
      </w:pPr>
    </w:p>
    <w:p w14:paraId="17BAF647">
      <w:pPr>
        <w:rPr>
          <w:rFonts w:ascii="黑体" w:hAnsi="宋体" w:eastAsia="黑体"/>
          <w:color w:val="000000" w:themeColor="text1"/>
          <w:szCs w:val="20"/>
          <w14:textFill>
            <w14:solidFill>
              <w14:schemeClr w14:val="tx1"/>
            </w14:solidFill>
          </w14:textFill>
        </w:rPr>
      </w:pPr>
    </w:p>
    <w:p w14:paraId="1424CD42">
      <w:pPr>
        <w:pStyle w:val="3"/>
        <w:spacing w:before="120" w:after="120"/>
        <w:jc w:val="center"/>
        <w:rPr>
          <w:rFonts w:hint="default" w:ascii="黑体" w:hAnsi="宋体" w:eastAsia="黑体" w:cs="Times New Roman"/>
          <w:b w:val="0"/>
          <w:sz w:val="24"/>
          <w:highlight w:val="none"/>
          <w:lang w:val="en-US" w:eastAsia="zh-CN"/>
        </w:rPr>
      </w:pPr>
      <w:r>
        <w:rPr>
          <w:rFonts w:hint="eastAsia" w:ascii="黑体" w:hAnsi="宋体" w:eastAsia="黑体" w:cs="Times New Roman"/>
          <w:b w:val="0"/>
          <w:sz w:val="24"/>
          <w:highlight w:val="none"/>
          <w:lang w:eastAsia="zh-CN"/>
        </w:rPr>
        <w:t>三、供应商</w:t>
      </w:r>
      <w:r>
        <w:rPr>
          <w:rFonts w:hint="eastAsia" w:ascii="黑体" w:eastAsia="黑体" w:cs="Times New Roman"/>
          <w:b w:val="0"/>
          <w:sz w:val="24"/>
          <w:highlight w:val="none"/>
          <w:lang w:val="en-US" w:eastAsia="zh-CN"/>
        </w:rPr>
        <w:t>基本</w:t>
      </w:r>
      <w:r>
        <w:rPr>
          <w:rFonts w:hint="eastAsia" w:ascii="黑体" w:hAnsi="宋体" w:eastAsia="黑体" w:cs="Times New Roman"/>
          <w:b w:val="0"/>
          <w:sz w:val="24"/>
          <w:highlight w:val="none"/>
          <w:lang w:eastAsia="zh-CN"/>
        </w:rPr>
        <w:t>情况表</w:t>
      </w:r>
    </w:p>
    <w:p w14:paraId="60E70352">
      <w:pPr>
        <w:spacing w:before="120" w:after="120"/>
        <w:jc w:val="center"/>
        <w:outlineLvl w:val="9"/>
        <w:rPr>
          <w:rFonts w:hint="eastAsia" w:ascii="黑体" w:hAnsi="宋体" w:eastAsia="黑体"/>
          <w:color w:val="0000FF"/>
          <w:szCs w:val="20"/>
          <w:highlight w:val="none"/>
          <w:lang w:eastAsia="zh-CN"/>
        </w:rPr>
      </w:pPr>
      <w:r>
        <w:rPr>
          <w:rFonts w:hint="eastAsia" w:ascii="黑体" w:hAnsi="宋体" w:eastAsia="黑体"/>
          <w:color w:val="0000FF"/>
          <w:szCs w:val="20"/>
          <w:highlight w:val="none"/>
          <w:lang w:eastAsia="zh-CN"/>
        </w:rPr>
        <w:t>（</w:t>
      </w:r>
      <w:r>
        <w:rPr>
          <w:rFonts w:hint="eastAsia" w:ascii="黑体" w:hAnsi="宋体" w:eastAsia="黑体"/>
          <w:color w:val="0000FF"/>
          <w:szCs w:val="20"/>
          <w:highlight w:val="none"/>
          <w:lang w:val="en-US" w:eastAsia="zh-CN"/>
        </w:rPr>
        <w:t>此为系统节点，请在系统填报</w:t>
      </w:r>
      <w:r>
        <w:rPr>
          <w:rFonts w:hint="eastAsia" w:ascii="黑体" w:hAnsi="宋体" w:eastAsia="黑体"/>
          <w:color w:val="0000FF"/>
          <w:szCs w:val="20"/>
          <w:highlight w:val="none"/>
          <w:lang w:eastAsia="zh-CN"/>
        </w:rPr>
        <w:t>）</w:t>
      </w:r>
    </w:p>
    <w:p w14:paraId="01C58532">
      <w:pPr>
        <w:rPr>
          <w:rFonts w:hint="default"/>
          <w:lang w:val="en-US" w:eastAsia="zh-CN"/>
        </w:rPr>
      </w:pPr>
      <w:r>
        <w:rPr>
          <w:rFonts w:hint="eastAsia" w:ascii="黑体" w:hAnsi="宋体" w:eastAsia="黑体"/>
          <w:color w:val="0000FF"/>
          <w:szCs w:val="20"/>
          <w:highlight w:val="none"/>
          <w:lang w:eastAsia="zh-CN"/>
        </w:rPr>
        <w:br w:type="page"/>
      </w:r>
    </w:p>
    <w:p w14:paraId="3585D7F1">
      <w:pPr>
        <w:pStyle w:val="3"/>
        <w:spacing w:before="120" w:after="120"/>
        <w:jc w:val="center"/>
        <w:rPr>
          <w:rFonts w:hint="default" w:ascii="黑体" w:hAnsi="宋体" w:eastAsia="黑体" w:cs="Times New Roman"/>
          <w:b w:val="0"/>
          <w:sz w:val="24"/>
          <w:highlight w:val="none"/>
          <w:lang w:val="en-US" w:eastAsia="zh-CN"/>
        </w:rPr>
      </w:pPr>
      <w:r>
        <w:rPr>
          <w:rFonts w:hint="eastAsia" w:ascii="黑体" w:eastAsia="黑体" w:cs="Times New Roman"/>
          <w:b w:val="0"/>
          <w:sz w:val="24"/>
          <w:highlight w:val="none"/>
          <w:lang w:eastAsia="zh-CN"/>
        </w:rPr>
        <w:t>四</w:t>
      </w:r>
      <w:r>
        <w:rPr>
          <w:rFonts w:hint="eastAsia" w:ascii="黑体" w:hAnsi="宋体" w:eastAsia="黑体" w:cs="Times New Roman"/>
          <w:b w:val="0"/>
          <w:sz w:val="24"/>
          <w:highlight w:val="none"/>
          <w:lang w:eastAsia="zh-CN"/>
        </w:rPr>
        <w:t>、供应商</w:t>
      </w:r>
      <w:r>
        <w:rPr>
          <w:rFonts w:hint="eastAsia" w:ascii="黑体" w:eastAsia="黑体" w:cs="Times New Roman"/>
          <w:b w:val="0"/>
          <w:sz w:val="24"/>
          <w:highlight w:val="none"/>
          <w:lang w:val="en-US" w:eastAsia="zh-CN"/>
        </w:rPr>
        <w:t>基本</w:t>
      </w:r>
      <w:r>
        <w:rPr>
          <w:rFonts w:hint="eastAsia" w:ascii="黑体" w:hAnsi="宋体" w:eastAsia="黑体" w:cs="Times New Roman"/>
          <w:b w:val="0"/>
          <w:sz w:val="24"/>
          <w:highlight w:val="none"/>
          <w:lang w:eastAsia="zh-CN"/>
        </w:rPr>
        <w:t>情况表</w:t>
      </w:r>
      <w:r>
        <w:rPr>
          <w:rFonts w:hint="eastAsia" w:ascii="黑体" w:eastAsia="黑体" w:cs="Times New Roman"/>
          <w:b w:val="0"/>
          <w:sz w:val="24"/>
          <w:highlight w:val="none"/>
          <w:lang w:val="en-US" w:eastAsia="zh-CN"/>
        </w:rPr>
        <w:t>及附件</w:t>
      </w:r>
    </w:p>
    <w:p w14:paraId="26CF8F4D">
      <w:pPr>
        <w:keepNext w:val="0"/>
        <w:keepLines w:val="0"/>
        <w:pageBreakBefore w:val="0"/>
        <w:widowControl/>
        <w:numPr>
          <w:ilvl w:val="0"/>
          <w:numId w:val="0"/>
        </w:numPr>
        <w:kinsoku/>
        <w:wordWrap/>
        <w:overflowPunct/>
        <w:topLinePunct w:val="0"/>
        <w:autoSpaceDE/>
        <w:autoSpaceDN/>
        <w:bidi w:val="0"/>
        <w:adjustRightInd/>
        <w:snapToGrid w:val="0"/>
        <w:ind w:firstLine="482" w:firstLineChars="200"/>
        <w:textAlignment w:val="auto"/>
        <w:outlineLvl w:val="9"/>
        <w:rPr>
          <w:rFonts w:hint="eastAsia" w:ascii="宋体" w:hAnsi="宋体" w:eastAsia="宋体" w:cs="宋体"/>
          <w:b/>
          <w:bCs w:val="0"/>
          <w:color w:val="auto"/>
          <w:sz w:val="24"/>
          <w:szCs w:val="24"/>
          <w:lang w:eastAsia="zh-CN"/>
        </w:rPr>
      </w:pPr>
      <w:r>
        <w:rPr>
          <w:rFonts w:hint="eastAsia" w:ascii="宋体" w:hAnsi="宋体" w:eastAsia="宋体" w:cs="宋体"/>
          <w:b/>
          <w:bCs w:val="0"/>
          <w:color w:val="auto"/>
          <w:sz w:val="24"/>
          <w:szCs w:val="24"/>
          <w:lang w:eastAsia="zh-CN"/>
        </w:rPr>
        <w:t>根据《深圳经济特区政府采购条例实施细则》第七十五条第一款（二）规定，存在“不同投标供应商的法定代表人、主要经营负责人、项目投标授权代表人、项目负责人、主要技术人员为同一人、属同一单位或者在同一单位缴纳社会保险”情形的，属于串通投标行为。</w:t>
      </w:r>
    </w:p>
    <w:p w14:paraId="5570716B">
      <w:pPr>
        <w:keepNext w:val="0"/>
        <w:keepLines w:val="0"/>
        <w:pageBreakBefore w:val="0"/>
        <w:widowControl/>
        <w:numPr>
          <w:ilvl w:val="0"/>
          <w:numId w:val="0"/>
        </w:numPr>
        <w:kinsoku/>
        <w:wordWrap/>
        <w:overflowPunct/>
        <w:topLinePunct w:val="0"/>
        <w:autoSpaceDE/>
        <w:autoSpaceDN/>
        <w:bidi w:val="0"/>
        <w:adjustRightInd/>
        <w:snapToGrid w:val="0"/>
        <w:ind w:firstLine="482" w:firstLineChars="200"/>
        <w:textAlignment w:val="auto"/>
        <w:outlineLvl w:val="9"/>
        <w:rPr>
          <w:rFonts w:hint="eastAsia" w:ascii="宋体" w:hAnsi="宋体" w:eastAsia="宋体" w:cs="宋体"/>
          <w:b/>
          <w:bCs w:val="0"/>
          <w:color w:val="auto"/>
          <w:sz w:val="24"/>
          <w:szCs w:val="24"/>
          <w:highlight w:val="yellow"/>
          <w:lang w:eastAsia="zh-CN"/>
        </w:rPr>
      </w:pPr>
      <w:r>
        <w:rPr>
          <w:rFonts w:hint="eastAsia" w:ascii="宋体" w:hAnsi="宋体" w:eastAsia="宋体" w:cs="宋体"/>
          <w:b/>
          <w:bCs w:val="0"/>
          <w:color w:val="auto"/>
          <w:sz w:val="24"/>
          <w:szCs w:val="24"/>
          <w:lang w:eastAsia="zh-CN"/>
        </w:rPr>
        <w:t>请供应商按以下格式提供上述法规涉及人员情况。（注：以下内容将作为评审委员会和主管部门判定本项目不同投标供应商是否涉嫌、属于串通投标的重要依据，请供应商认真填报，并保证所填信息的真实、准确和完整。）</w:t>
      </w:r>
    </w:p>
    <w:p w14:paraId="349F469D">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color w:val="auto"/>
          <w:sz w:val="24"/>
          <w:szCs w:val="24"/>
          <w:lang w:val="en-US" w:eastAsia="zh-CN"/>
        </w:rPr>
      </w:pPr>
    </w:p>
    <w:p w14:paraId="22BA2AF5">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1.情况一览表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644"/>
        <w:gridCol w:w="1728"/>
        <w:gridCol w:w="1005"/>
        <w:gridCol w:w="693"/>
        <w:gridCol w:w="1165"/>
        <w:gridCol w:w="1263"/>
        <w:gridCol w:w="1328"/>
      </w:tblGrid>
      <w:tr w14:paraId="56EC6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pct"/>
            <w:gridSpan w:val="2"/>
            <w:noWrap w:val="0"/>
            <w:vAlign w:val="center"/>
          </w:tcPr>
          <w:p w14:paraId="02151F86">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bCs/>
                <w:color w:val="FF0000"/>
                <w:spacing w:val="-4"/>
                <w:sz w:val="24"/>
                <w:szCs w:val="24"/>
                <w:lang w:val="en-US" w:eastAsia="zh-CN"/>
              </w:rPr>
              <w:t>投标（响应）供应商</w:t>
            </w:r>
          </w:p>
        </w:tc>
        <w:tc>
          <w:tcPr>
            <w:tcW w:w="1604" w:type="pct"/>
            <w:gridSpan w:val="2"/>
            <w:noWrap w:val="0"/>
            <w:vAlign w:val="center"/>
          </w:tcPr>
          <w:p w14:paraId="573A26BC">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p>
        </w:tc>
        <w:tc>
          <w:tcPr>
            <w:tcW w:w="1091" w:type="pct"/>
            <w:gridSpan w:val="2"/>
            <w:noWrap w:val="0"/>
            <w:vAlign w:val="center"/>
          </w:tcPr>
          <w:p w14:paraId="6AC5BD9B">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bCs/>
                <w:color w:val="FF0000"/>
                <w:spacing w:val="-4"/>
                <w:sz w:val="24"/>
                <w:szCs w:val="24"/>
                <w:lang w:val="en-US" w:eastAsia="zh-CN"/>
              </w:rPr>
              <w:t>供应商统一社会信用代码</w:t>
            </w:r>
          </w:p>
        </w:tc>
        <w:tc>
          <w:tcPr>
            <w:tcW w:w="1519" w:type="pct"/>
            <w:gridSpan w:val="2"/>
            <w:noWrap w:val="0"/>
            <w:vAlign w:val="center"/>
          </w:tcPr>
          <w:p w14:paraId="1314D4F8">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p>
        </w:tc>
      </w:tr>
      <w:tr w14:paraId="2B770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8"/>
            <w:noWrap w:val="0"/>
            <w:vAlign w:val="center"/>
          </w:tcPr>
          <w:p w14:paraId="3A3FF41F">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投标（响应）供应商相关人员情况</w:t>
            </w:r>
          </w:p>
        </w:tc>
      </w:tr>
      <w:tr w14:paraId="680E7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tcBorders>
              <w:bottom w:val="single" w:color="auto" w:sz="4" w:space="0"/>
            </w:tcBorders>
            <w:noWrap w:val="0"/>
            <w:vAlign w:val="center"/>
          </w:tcPr>
          <w:p w14:paraId="0FBBE0A6">
            <w:pPr>
              <w:keepNext w:val="0"/>
              <w:keepLines w:val="0"/>
              <w:pageBreakBefore w:val="0"/>
              <w:widowControl/>
              <w:numPr>
                <w:ilvl w:val="0"/>
                <w:numId w:val="0"/>
              </w:numPr>
              <w:kinsoku/>
              <w:wordWrap/>
              <w:overflowPunct/>
              <w:topLinePunct w:val="0"/>
              <w:autoSpaceDE/>
              <w:autoSpaceDN/>
              <w:bidi w:val="0"/>
              <w:adjustRightInd/>
              <w:snapToGrid w:val="0"/>
              <w:jc w:val="center"/>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序号</w:t>
            </w:r>
          </w:p>
        </w:tc>
        <w:tc>
          <w:tcPr>
            <w:tcW w:w="1392" w:type="pct"/>
            <w:gridSpan w:val="2"/>
            <w:tcBorders>
              <w:bottom w:val="single" w:color="auto" w:sz="4" w:space="0"/>
            </w:tcBorders>
            <w:noWrap w:val="0"/>
            <w:vAlign w:val="center"/>
          </w:tcPr>
          <w:p w14:paraId="5B5221EE">
            <w:pPr>
              <w:keepNext w:val="0"/>
              <w:keepLines w:val="0"/>
              <w:pageBreakBefore w:val="0"/>
              <w:widowControl/>
              <w:numPr>
                <w:ilvl w:val="0"/>
                <w:numId w:val="0"/>
              </w:numPr>
              <w:kinsoku/>
              <w:wordWrap/>
              <w:overflowPunct/>
              <w:topLinePunct w:val="0"/>
              <w:autoSpaceDE/>
              <w:autoSpaceDN/>
              <w:bidi w:val="0"/>
              <w:adjustRightInd/>
              <w:snapToGrid w:val="0"/>
              <w:jc w:val="center"/>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职务</w:t>
            </w:r>
          </w:p>
        </w:tc>
        <w:tc>
          <w:tcPr>
            <w:tcW w:w="589" w:type="pct"/>
            <w:tcBorders>
              <w:bottom w:val="single" w:color="auto" w:sz="4" w:space="0"/>
            </w:tcBorders>
            <w:noWrap w:val="0"/>
            <w:vAlign w:val="center"/>
          </w:tcPr>
          <w:p w14:paraId="1BA28ACA">
            <w:pPr>
              <w:keepNext w:val="0"/>
              <w:keepLines w:val="0"/>
              <w:pageBreakBefore w:val="0"/>
              <w:widowControl/>
              <w:numPr>
                <w:ilvl w:val="0"/>
                <w:numId w:val="0"/>
              </w:numPr>
              <w:kinsoku/>
              <w:wordWrap/>
              <w:overflowPunct/>
              <w:topLinePunct w:val="0"/>
              <w:autoSpaceDE/>
              <w:autoSpaceDN/>
              <w:bidi w:val="0"/>
              <w:adjustRightInd/>
              <w:snapToGrid w:val="0"/>
              <w:jc w:val="center"/>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姓名</w:t>
            </w:r>
          </w:p>
        </w:tc>
        <w:tc>
          <w:tcPr>
            <w:tcW w:w="1091" w:type="pct"/>
            <w:gridSpan w:val="2"/>
            <w:tcBorders>
              <w:bottom w:val="single" w:color="auto" w:sz="4" w:space="0"/>
            </w:tcBorders>
            <w:noWrap w:val="0"/>
            <w:vAlign w:val="center"/>
          </w:tcPr>
          <w:p w14:paraId="7BB498FD">
            <w:pPr>
              <w:keepNext w:val="0"/>
              <w:keepLines w:val="0"/>
              <w:pageBreakBefore w:val="0"/>
              <w:widowControl/>
              <w:numPr>
                <w:ilvl w:val="0"/>
                <w:numId w:val="0"/>
              </w:numPr>
              <w:kinsoku/>
              <w:wordWrap/>
              <w:overflowPunct/>
              <w:topLinePunct w:val="0"/>
              <w:autoSpaceDE/>
              <w:autoSpaceDN/>
              <w:bidi w:val="0"/>
              <w:adjustRightInd/>
              <w:snapToGrid w:val="0"/>
              <w:jc w:val="center"/>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身份证号码</w:t>
            </w:r>
          </w:p>
        </w:tc>
        <w:tc>
          <w:tcPr>
            <w:tcW w:w="741" w:type="pct"/>
            <w:tcBorders>
              <w:bottom w:val="single" w:color="auto" w:sz="4" w:space="0"/>
            </w:tcBorders>
            <w:noWrap w:val="0"/>
            <w:vAlign w:val="center"/>
          </w:tcPr>
          <w:p w14:paraId="5926C5DC">
            <w:pPr>
              <w:keepNext w:val="0"/>
              <w:keepLines w:val="0"/>
              <w:pageBreakBefore w:val="0"/>
              <w:widowControl/>
              <w:numPr>
                <w:ilvl w:val="0"/>
                <w:numId w:val="0"/>
              </w:numPr>
              <w:kinsoku/>
              <w:wordWrap/>
              <w:overflowPunct/>
              <w:topLinePunct w:val="0"/>
              <w:autoSpaceDE/>
              <w:autoSpaceDN/>
              <w:bidi w:val="0"/>
              <w:adjustRightInd/>
              <w:snapToGrid w:val="0"/>
              <w:jc w:val="center"/>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劳动合同</w:t>
            </w:r>
          </w:p>
          <w:p w14:paraId="704147A2">
            <w:pPr>
              <w:keepNext w:val="0"/>
              <w:keepLines w:val="0"/>
              <w:pageBreakBefore w:val="0"/>
              <w:widowControl/>
              <w:numPr>
                <w:ilvl w:val="0"/>
                <w:numId w:val="0"/>
              </w:numPr>
              <w:kinsoku/>
              <w:wordWrap/>
              <w:overflowPunct/>
              <w:topLinePunct w:val="0"/>
              <w:autoSpaceDE/>
              <w:autoSpaceDN/>
              <w:bidi w:val="0"/>
              <w:adjustRightInd/>
              <w:snapToGrid w:val="0"/>
              <w:jc w:val="center"/>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关系单位</w:t>
            </w:r>
          </w:p>
        </w:tc>
        <w:tc>
          <w:tcPr>
            <w:tcW w:w="778" w:type="pct"/>
            <w:tcBorders>
              <w:bottom w:val="single" w:color="auto" w:sz="4" w:space="0"/>
            </w:tcBorders>
            <w:noWrap w:val="0"/>
            <w:vAlign w:val="center"/>
          </w:tcPr>
          <w:p w14:paraId="3A417413">
            <w:pPr>
              <w:keepNext w:val="0"/>
              <w:keepLines w:val="0"/>
              <w:pageBreakBefore w:val="0"/>
              <w:widowControl/>
              <w:numPr>
                <w:ilvl w:val="0"/>
                <w:numId w:val="0"/>
              </w:numPr>
              <w:kinsoku/>
              <w:wordWrap/>
              <w:overflowPunct/>
              <w:topLinePunct w:val="0"/>
              <w:autoSpaceDE/>
              <w:autoSpaceDN/>
              <w:bidi w:val="0"/>
              <w:adjustRightInd/>
              <w:snapToGrid w:val="0"/>
              <w:jc w:val="center"/>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缴纳社会</w:t>
            </w:r>
          </w:p>
          <w:p w14:paraId="30A5D892">
            <w:pPr>
              <w:keepNext w:val="0"/>
              <w:keepLines w:val="0"/>
              <w:pageBreakBefore w:val="0"/>
              <w:widowControl/>
              <w:numPr>
                <w:ilvl w:val="0"/>
                <w:numId w:val="0"/>
              </w:numPr>
              <w:kinsoku/>
              <w:wordWrap/>
              <w:overflowPunct/>
              <w:topLinePunct w:val="0"/>
              <w:autoSpaceDE/>
              <w:autoSpaceDN/>
              <w:bidi w:val="0"/>
              <w:adjustRightInd/>
              <w:snapToGrid w:val="0"/>
              <w:jc w:val="center"/>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保险单位</w:t>
            </w:r>
          </w:p>
        </w:tc>
      </w:tr>
      <w:tr w14:paraId="3BB3F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tcBorders>
              <w:top w:val="single" w:color="auto" w:sz="4" w:space="0"/>
              <w:left w:val="single" w:color="auto" w:sz="4" w:space="0"/>
              <w:bottom w:val="single" w:color="auto" w:sz="4" w:space="0"/>
              <w:right w:val="single" w:color="auto" w:sz="4" w:space="0"/>
            </w:tcBorders>
            <w:noWrap w:val="0"/>
            <w:vAlign w:val="center"/>
          </w:tcPr>
          <w:p w14:paraId="445E7EBA">
            <w:pPr>
              <w:keepNext w:val="0"/>
              <w:keepLines w:val="0"/>
              <w:pageBreakBefore w:val="0"/>
              <w:widowControl/>
              <w:numPr>
                <w:ilvl w:val="0"/>
                <w:numId w:val="0"/>
              </w:numPr>
              <w:kinsoku/>
              <w:wordWrap/>
              <w:overflowPunct/>
              <w:topLinePunct w:val="0"/>
              <w:autoSpaceDE/>
              <w:autoSpaceDN/>
              <w:bidi w:val="0"/>
              <w:adjustRightInd/>
              <w:snapToGrid w:val="0"/>
              <w:jc w:val="center"/>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w:t>
            </w:r>
          </w:p>
        </w:tc>
        <w:tc>
          <w:tcPr>
            <w:tcW w:w="1392" w:type="pct"/>
            <w:gridSpan w:val="2"/>
            <w:tcBorders>
              <w:top w:val="single" w:color="auto" w:sz="4" w:space="0"/>
              <w:left w:val="single" w:color="auto" w:sz="4" w:space="0"/>
              <w:bottom w:val="single" w:color="auto" w:sz="4" w:space="0"/>
              <w:right w:val="single" w:color="auto" w:sz="4" w:space="0"/>
            </w:tcBorders>
            <w:noWrap w:val="0"/>
            <w:vAlign w:val="center"/>
          </w:tcPr>
          <w:p w14:paraId="1F3E004F">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val="0"/>
                <w:color w:val="auto"/>
                <w:spacing w:val="-4"/>
                <w:sz w:val="24"/>
                <w:szCs w:val="24"/>
                <w:lang w:val="en-US" w:eastAsia="zh-CN"/>
              </w:rPr>
              <w:t>法定代表人（或单位负责人或执行事务合伙人）</w:t>
            </w:r>
          </w:p>
        </w:tc>
        <w:tc>
          <w:tcPr>
            <w:tcW w:w="589" w:type="pct"/>
            <w:tcBorders>
              <w:top w:val="single" w:color="auto" w:sz="4" w:space="0"/>
              <w:left w:val="single" w:color="auto" w:sz="4" w:space="0"/>
              <w:bottom w:val="single" w:color="auto" w:sz="4" w:space="0"/>
              <w:right w:val="single" w:color="auto" w:sz="4" w:space="0"/>
            </w:tcBorders>
            <w:noWrap w:val="0"/>
            <w:vAlign w:val="center"/>
          </w:tcPr>
          <w:p w14:paraId="61627A3F">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p>
        </w:tc>
        <w:tc>
          <w:tcPr>
            <w:tcW w:w="1091" w:type="pct"/>
            <w:gridSpan w:val="2"/>
            <w:tcBorders>
              <w:top w:val="single" w:color="auto" w:sz="4" w:space="0"/>
              <w:left w:val="single" w:color="auto" w:sz="4" w:space="0"/>
              <w:bottom w:val="single" w:color="auto" w:sz="4" w:space="0"/>
              <w:right w:val="single" w:color="auto" w:sz="4" w:space="0"/>
            </w:tcBorders>
            <w:noWrap w:val="0"/>
            <w:vAlign w:val="center"/>
          </w:tcPr>
          <w:p w14:paraId="2B7E3168">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p>
        </w:tc>
        <w:tc>
          <w:tcPr>
            <w:tcW w:w="741" w:type="pct"/>
            <w:tcBorders>
              <w:top w:val="single" w:color="auto" w:sz="4" w:space="0"/>
              <w:left w:val="single" w:color="auto" w:sz="4" w:space="0"/>
              <w:bottom w:val="single" w:color="auto" w:sz="4" w:space="0"/>
              <w:right w:val="single" w:color="auto" w:sz="4" w:space="0"/>
            </w:tcBorders>
            <w:noWrap w:val="0"/>
            <w:vAlign w:val="center"/>
          </w:tcPr>
          <w:p w14:paraId="1A490901">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p>
        </w:tc>
        <w:tc>
          <w:tcPr>
            <w:tcW w:w="778" w:type="pct"/>
            <w:tcBorders>
              <w:top w:val="single" w:color="auto" w:sz="4" w:space="0"/>
              <w:left w:val="single" w:color="auto" w:sz="4" w:space="0"/>
              <w:bottom w:val="single" w:color="auto" w:sz="4" w:space="0"/>
              <w:right w:val="single" w:color="auto" w:sz="4" w:space="0"/>
            </w:tcBorders>
            <w:noWrap w:val="0"/>
            <w:vAlign w:val="center"/>
          </w:tcPr>
          <w:p w14:paraId="692F235A">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p>
        </w:tc>
      </w:tr>
      <w:tr w14:paraId="526F6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tcBorders>
              <w:top w:val="single" w:color="auto" w:sz="4" w:space="0"/>
              <w:left w:val="single" w:color="auto" w:sz="4" w:space="0"/>
              <w:bottom w:val="single" w:color="auto" w:sz="4" w:space="0"/>
              <w:right w:val="single" w:color="auto" w:sz="4" w:space="0"/>
            </w:tcBorders>
            <w:noWrap w:val="0"/>
            <w:vAlign w:val="center"/>
          </w:tcPr>
          <w:p w14:paraId="75DD3A43">
            <w:pPr>
              <w:keepNext w:val="0"/>
              <w:keepLines w:val="0"/>
              <w:pageBreakBefore w:val="0"/>
              <w:widowControl/>
              <w:numPr>
                <w:ilvl w:val="0"/>
                <w:numId w:val="0"/>
              </w:numPr>
              <w:kinsoku/>
              <w:wordWrap/>
              <w:overflowPunct/>
              <w:topLinePunct w:val="0"/>
              <w:autoSpaceDE/>
              <w:autoSpaceDN/>
              <w:bidi w:val="0"/>
              <w:adjustRightInd/>
              <w:snapToGrid w:val="0"/>
              <w:jc w:val="center"/>
              <w:textAlignment w:val="auto"/>
              <w:outlineLvl w:val="9"/>
              <w:rPr>
                <w:rFonts w:hint="default"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w:t>
            </w:r>
          </w:p>
        </w:tc>
        <w:tc>
          <w:tcPr>
            <w:tcW w:w="1392" w:type="pct"/>
            <w:gridSpan w:val="2"/>
            <w:tcBorders>
              <w:top w:val="single" w:color="auto" w:sz="4" w:space="0"/>
              <w:left w:val="single" w:color="auto" w:sz="4" w:space="0"/>
              <w:bottom w:val="single" w:color="auto" w:sz="4" w:space="0"/>
              <w:right w:val="single" w:color="auto" w:sz="4" w:space="0"/>
            </w:tcBorders>
            <w:noWrap w:val="0"/>
            <w:vAlign w:val="center"/>
          </w:tcPr>
          <w:p w14:paraId="48B065EF">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bCs/>
                <w:color w:val="FF0000"/>
                <w:spacing w:val="-4"/>
                <w:sz w:val="24"/>
                <w:szCs w:val="24"/>
                <w:lang w:val="en-US" w:eastAsia="zh-CN"/>
              </w:rPr>
            </w:pPr>
            <w:r>
              <w:rPr>
                <w:rFonts w:hint="eastAsia" w:ascii="宋体" w:hAnsi="宋体" w:eastAsia="宋体" w:cs="宋体"/>
                <w:b w:val="0"/>
                <w:bCs w:val="0"/>
                <w:color w:val="auto"/>
                <w:spacing w:val="-4"/>
                <w:sz w:val="24"/>
                <w:szCs w:val="24"/>
                <w:lang w:val="en-US" w:eastAsia="zh-CN"/>
              </w:rPr>
              <w:t>主要经营负责人</w:t>
            </w:r>
          </w:p>
        </w:tc>
        <w:tc>
          <w:tcPr>
            <w:tcW w:w="589" w:type="pct"/>
            <w:tcBorders>
              <w:top w:val="single" w:color="auto" w:sz="4" w:space="0"/>
              <w:left w:val="single" w:color="auto" w:sz="4" w:space="0"/>
              <w:bottom w:val="single" w:color="auto" w:sz="4" w:space="0"/>
              <w:right w:val="single" w:color="auto" w:sz="4" w:space="0"/>
            </w:tcBorders>
            <w:noWrap w:val="0"/>
            <w:vAlign w:val="center"/>
          </w:tcPr>
          <w:p w14:paraId="00B8034A">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p>
        </w:tc>
        <w:tc>
          <w:tcPr>
            <w:tcW w:w="1091" w:type="pct"/>
            <w:gridSpan w:val="2"/>
            <w:tcBorders>
              <w:top w:val="single" w:color="auto" w:sz="4" w:space="0"/>
              <w:left w:val="single" w:color="auto" w:sz="4" w:space="0"/>
              <w:bottom w:val="single" w:color="auto" w:sz="4" w:space="0"/>
              <w:right w:val="single" w:color="auto" w:sz="4" w:space="0"/>
            </w:tcBorders>
            <w:noWrap w:val="0"/>
            <w:vAlign w:val="center"/>
          </w:tcPr>
          <w:p w14:paraId="389F9188">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p>
        </w:tc>
        <w:tc>
          <w:tcPr>
            <w:tcW w:w="741" w:type="pct"/>
            <w:tcBorders>
              <w:top w:val="single" w:color="auto" w:sz="4" w:space="0"/>
              <w:left w:val="single" w:color="auto" w:sz="4" w:space="0"/>
              <w:bottom w:val="single" w:color="auto" w:sz="4" w:space="0"/>
              <w:right w:val="single" w:color="auto" w:sz="4" w:space="0"/>
            </w:tcBorders>
            <w:noWrap w:val="0"/>
            <w:vAlign w:val="center"/>
          </w:tcPr>
          <w:p w14:paraId="19B655B1">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p>
        </w:tc>
        <w:tc>
          <w:tcPr>
            <w:tcW w:w="778" w:type="pct"/>
            <w:tcBorders>
              <w:top w:val="single" w:color="auto" w:sz="4" w:space="0"/>
              <w:left w:val="single" w:color="auto" w:sz="4" w:space="0"/>
              <w:bottom w:val="single" w:color="auto" w:sz="4" w:space="0"/>
              <w:right w:val="single" w:color="auto" w:sz="4" w:space="0"/>
            </w:tcBorders>
            <w:noWrap w:val="0"/>
            <w:vAlign w:val="center"/>
          </w:tcPr>
          <w:p w14:paraId="68968D98">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p>
        </w:tc>
      </w:tr>
      <w:tr w14:paraId="0D32F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tcBorders>
              <w:top w:val="single" w:color="auto" w:sz="4" w:space="0"/>
              <w:left w:val="single" w:color="auto" w:sz="4" w:space="0"/>
              <w:bottom w:val="single" w:color="auto" w:sz="4" w:space="0"/>
              <w:right w:val="single" w:color="auto" w:sz="4" w:space="0"/>
            </w:tcBorders>
            <w:noWrap w:val="0"/>
            <w:vAlign w:val="center"/>
          </w:tcPr>
          <w:p w14:paraId="7BDC545E">
            <w:pPr>
              <w:keepNext w:val="0"/>
              <w:keepLines w:val="0"/>
              <w:pageBreakBefore w:val="0"/>
              <w:widowControl/>
              <w:numPr>
                <w:ilvl w:val="0"/>
                <w:numId w:val="0"/>
              </w:numPr>
              <w:kinsoku/>
              <w:wordWrap/>
              <w:overflowPunct/>
              <w:topLinePunct w:val="0"/>
              <w:autoSpaceDE/>
              <w:autoSpaceDN/>
              <w:bidi w:val="0"/>
              <w:adjustRightInd/>
              <w:snapToGrid w:val="0"/>
              <w:jc w:val="center"/>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3</w:t>
            </w:r>
          </w:p>
        </w:tc>
        <w:tc>
          <w:tcPr>
            <w:tcW w:w="1392" w:type="pct"/>
            <w:gridSpan w:val="2"/>
            <w:tcBorders>
              <w:top w:val="single" w:color="auto" w:sz="4" w:space="0"/>
              <w:left w:val="single" w:color="auto" w:sz="4" w:space="0"/>
              <w:bottom w:val="single" w:color="auto" w:sz="4" w:space="0"/>
              <w:right w:val="single" w:color="auto" w:sz="4" w:space="0"/>
            </w:tcBorders>
            <w:noWrap w:val="0"/>
            <w:vAlign w:val="center"/>
          </w:tcPr>
          <w:p w14:paraId="0C10BA87">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val="0"/>
                <w:color w:val="auto"/>
                <w:spacing w:val="-4"/>
                <w:sz w:val="24"/>
                <w:szCs w:val="24"/>
                <w:lang w:val="en-US" w:eastAsia="zh-CN"/>
              </w:rPr>
              <w:t>项目投标授权代表人</w:t>
            </w:r>
          </w:p>
        </w:tc>
        <w:tc>
          <w:tcPr>
            <w:tcW w:w="589" w:type="pct"/>
            <w:tcBorders>
              <w:top w:val="single" w:color="auto" w:sz="4" w:space="0"/>
              <w:left w:val="single" w:color="auto" w:sz="4" w:space="0"/>
              <w:bottom w:val="single" w:color="auto" w:sz="4" w:space="0"/>
              <w:right w:val="single" w:color="auto" w:sz="4" w:space="0"/>
            </w:tcBorders>
            <w:noWrap w:val="0"/>
            <w:vAlign w:val="center"/>
          </w:tcPr>
          <w:p w14:paraId="777E788E">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p>
        </w:tc>
        <w:tc>
          <w:tcPr>
            <w:tcW w:w="1091" w:type="pct"/>
            <w:gridSpan w:val="2"/>
            <w:tcBorders>
              <w:top w:val="single" w:color="auto" w:sz="4" w:space="0"/>
              <w:left w:val="single" w:color="auto" w:sz="4" w:space="0"/>
              <w:bottom w:val="single" w:color="auto" w:sz="4" w:space="0"/>
              <w:right w:val="single" w:color="auto" w:sz="4" w:space="0"/>
            </w:tcBorders>
            <w:noWrap w:val="0"/>
            <w:vAlign w:val="center"/>
          </w:tcPr>
          <w:p w14:paraId="79165BE8">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p>
        </w:tc>
        <w:tc>
          <w:tcPr>
            <w:tcW w:w="741" w:type="pct"/>
            <w:tcBorders>
              <w:top w:val="single" w:color="auto" w:sz="4" w:space="0"/>
              <w:left w:val="single" w:color="auto" w:sz="4" w:space="0"/>
              <w:bottom w:val="single" w:color="auto" w:sz="4" w:space="0"/>
              <w:right w:val="single" w:color="auto" w:sz="4" w:space="0"/>
            </w:tcBorders>
            <w:noWrap w:val="0"/>
            <w:vAlign w:val="center"/>
          </w:tcPr>
          <w:p w14:paraId="081E2681">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p>
        </w:tc>
        <w:tc>
          <w:tcPr>
            <w:tcW w:w="778" w:type="pct"/>
            <w:tcBorders>
              <w:top w:val="single" w:color="auto" w:sz="4" w:space="0"/>
              <w:left w:val="single" w:color="auto" w:sz="4" w:space="0"/>
              <w:bottom w:val="single" w:color="auto" w:sz="4" w:space="0"/>
              <w:right w:val="single" w:color="auto" w:sz="4" w:space="0"/>
            </w:tcBorders>
            <w:noWrap w:val="0"/>
            <w:vAlign w:val="center"/>
          </w:tcPr>
          <w:p w14:paraId="406F3AF6">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p>
        </w:tc>
      </w:tr>
      <w:tr w14:paraId="4D760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tcBorders>
              <w:top w:val="single" w:color="auto" w:sz="4" w:space="0"/>
            </w:tcBorders>
            <w:noWrap w:val="0"/>
            <w:vAlign w:val="center"/>
          </w:tcPr>
          <w:p w14:paraId="1645A49F">
            <w:pPr>
              <w:keepNext w:val="0"/>
              <w:keepLines w:val="0"/>
              <w:pageBreakBefore w:val="0"/>
              <w:widowControl/>
              <w:numPr>
                <w:ilvl w:val="0"/>
                <w:numId w:val="0"/>
              </w:numPr>
              <w:kinsoku/>
              <w:wordWrap/>
              <w:overflowPunct/>
              <w:topLinePunct w:val="0"/>
              <w:autoSpaceDE/>
              <w:autoSpaceDN/>
              <w:bidi w:val="0"/>
              <w:adjustRightInd/>
              <w:snapToGrid w:val="0"/>
              <w:jc w:val="center"/>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4</w:t>
            </w:r>
          </w:p>
        </w:tc>
        <w:tc>
          <w:tcPr>
            <w:tcW w:w="1392" w:type="pct"/>
            <w:gridSpan w:val="2"/>
            <w:tcBorders>
              <w:top w:val="single" w:color="auto" w:sz="4" w:space="0"/>
            </w:tcBorders>
            <w:noWrap w:val="0"/>
            <w:vAlign w:val="center"/>
          </w:tcPr>
          <w:p w14:paraId="08AC2AB5">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项目负责人</w:t>
            </w:r>
          </w:p>
        </w:tc>
        <w:tc>
          <w:tcPr>
            <w:tcW w:w="589" w:type="pct"/>
            <w:tcBorders>
              <w:top w:val="single" w:color="auto" w:sz="4" w:space="0"/>
            </w:tcBorders>
            <w:noWrap w:val="0"/>
            <w:vAlign w:val="center"/>
          </w:tcPr>
          <w:p w14:paraId="354CAF34">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p>
        </w:tc>
        <w:tc>
          <w:tcPr>
            <w:tcW w:w="1091" w:type="pct"/>
            <w:gridSpan w:val="2"/>
            <w:tcBorders>
              <w:top w:val="single" w:color="auto" w:sz="4" w:space="0"/>
            </w:tcBorders>
            <w:noWrap w:val="0"/>
            <w:vAlign w:val="center"/>
          </w:tcPr>
          <w:p w14:paraId="02D2A8C9">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p>
        </w:tc>
        <w:tc>
          <w:tcPr>
            <w:tcW w:w="741" w:type="pct"/>
            <w:tcBorders>
              <w:top w:val="single" w:color="auto" w:sz="4" w:space="0"/>
            </w:tcBorders>
            <w:noWrap w:val="0"/>
            <w:vAlign w:val="center"/>
          </w:tcPr>
          <w:p w14:paraId="6401F1C0">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p>
        </w:tc>
        <w:tc>
          <w:tcPr>
            <w:tcW w:w="778" w:type="pct"/>
            <w:tcBorders>
              <w:top w:val="single" w:color="auto" w:sz="4" w:space="0"/>
            </w:tcBorders>
            <w:noWrap w:val="0"/>
            <w:vAlign w:val="center"/>
          </w:tcPr>
          <w:p w14:paraId="3C889994">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p>
        </w:tc>
      </w:tr>
      <w:tr w14:paraId="37CE5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noWrap w:val="0"/>
            <w:vAlign w:val="center"/>
          </w:tcPr>
          <w:p w14:paraId="16557B32">
            <w:pPr>
              <w:keepNext w:val="0"/>
              <w:keepLines w:val="0"/>
              <w:pageBreakBefore w:val="0"/>
              <w:widowControl/>
              <w:numPr>
                <w:ilvl w:val="0"/>
                <w:numId w:val="0"/>
              </w:numPr>
              <w:kinsoku/>
              <w:wordWrap/>
              <w:overflowPunct/>
              <w:topLinePunct w:val="0"/>
              <w:autoSpaceDE/>
              <w:autoSpaceDN/>
              <w:bidi w:val="0"/>
              <w:adjustRightInd/>
              <w:snapToGrid w:val="0"/>
              <w:jc w:val="center"/>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5</w:t>
            </w:r>
          </w:p>
        </w:tc>
        <w:tc>
          <w:tcPr>
            <w:tcW w:w="1392" w:type="pct"/>
            <w:gridSpan w:val="2"/>
            <w:noWrap w:val="0"/>
            <w:vAlign w:val="center"/>
          </w:tcPr>
          <w:p w14:paraId="45C2AC29">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主要技术人员</w:t>
            </w:r>
          </w:p>
        </w:tc>
        <w:tc>
          <w:tcPr>
            <w:tcW w:w="589" w:type="pct"/>
            <w:noWrap w:val="0"/>
            <w:vAlign w:val="center"/>
          </w:tcPr>
          <w:p w14:paraId="65DF2D90">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p>
        </w:tc>
        <w:tc>
          <w:tcPr>
            <w:tcW w:w="1091" w:type="pct"/>
            <w:gridSpan w:val="2"/>
            <w:noWrap w:val="0"/>
            <w:vAlign w:val="center"/>
          </w:tcPr>
          <w:p w14:paraId="5D07D24E">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p>
        </w:tc>
        <w:tc>
          <w:tcPr>
            <w:tcW w:w="741" w:type="pct"/>
            <w:noWrap w:val="0"/>
            <w:vAlign w:val="center"/>
          </w:tcPr>
          <w:p w14:paraId="06C24C3D">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p>
        </w:tc>
        <w:tc>
          <w:tcPr>
            <w:tcW w:w="778" w:type="pct"/>
            <w:noWrap w:val="0"/>
            <w:vAlign w:val="center"/>
          </w:tcPr>
          <w:p w14:paraId="33235D81">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p>
        </w:tc>
      </w:tr>
      <w:tr w14:paraId="2340A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noWrap w:val="0"/>
            <w:vAlign w:val="center"/>
          </w:tcPr>
          <w:p w14:paraId="70AC23A7">
            <w:pPr>
              <w:keepNext w:val="0"/>
              <w:keepLines w:val="0"/>
              <w:pageBreakBefore w:val="0"/>
              <w:widowControl/>
              <w:numPr>
                <w:ilvl w:val="0"/>
                <w:numId w:val="0"/>
              </w:numPr>
              <w:kinsoku/>
              <w:wordWrap/>
              <w:overflowPunct/>
              <w:topLinePunct w:val="0"/>
              <w:autoSpaceDE/>
              <w:autoSpaceDN/>
              <w:bidi w:val="0"/>
              <w:adjustRightInd/>
              <w:snapToGrid w:val="0"/>
              <w:jc w:val="center"/>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6</w:t>
            </w:r>
          </w:p>
        </w:tc>
        <w:tc>
          <w:tcPr>
            <w:tcW w:w="1392" w:type="pct"/>
            <w:gridSpan w:val="2"/>
            <w:noWrap w:val="0"/>
            <w:vAlign w:val="center"/>
          </w:tcPr>
          <w:p w14:paraId="02F65671">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val="0"/>
                <w:color w:val="auto"/>
                <w:spacing w:val="-4"/>
                <w:sz w:val="24"/>
                <w:szCs w:val="24"/>
                <w:lang w:val="en-US" w:eastAsia="zh-CN"/>
              </w:rPr>
              <w:t>投标文件编制人员</w:t>
            </w:r>
          </w:p>
        </w:tc>
        <w:tc>
          <w:tcPr>
            <w:tcW w:w="589" w:type="pct"/>
            <w:noWrap w:val="0"/>
            <w:vAlign w:val="center"/>
          </w:tcPr>
          <w:p w14:paraId="4E97E1EB">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p>
        </w:tc>
        <w:tc>
          <w:tcPr>
            <w:tcW w:w="1091" w:type="pct"/>
            <w:gridSpan w:val="2"/>
            <w:noWrap w:val="0"/>
            <w:vAlign w:val="center"/>
          </w:tcPr>
          <w:p w14:paraId="3307B6C2">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p>
        </w:tc>
        <w:tc>
          <w:tcPr>
            <w:tcW w:w="741" w:type="pct"/>
            <w:noWrap w:val="0"/>
            <w:vAlign w:val="center"/>
          </w:tcPr>
          <w:p w14:paraId="5C0A8AEE">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p>
        </w:tc>
        <w:tc>
          <w:tcPr>
            <w:tcW w:w="778" w:type="pct"/>
            <w:noWrap w:val="0"/>
            <w:vAlign w:val="center"/>
          </w:tcPr>
          <w:p w14:paraId="0394CE0E">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p>
        </w:tc>
      </w:tr>
      <w:tr w14:paraId="28ADE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8"/>
            <w:noWrap w:val="0"/>
            <w:vAlign w:val="center"/>
          </w:tcPr>
          <w:p w14:paraId="74D66DDC">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说明：</w:t>
            </w:r>
          </w:p>
          <w:p w14:paraId="240DA8FF">
            <w:pPr>
              <w:pStyle w:val="7"/>
              <w:widowControl w:val="0"/>
              <w:numPr>
                <w:ilvl w:val="0"/>
                <w:numId w:val="0"/>
              </w:numPr>
              <w:jc w:val="both"/>
              <w:rPr>
                <w:rFonts w:hint="eastAsia" w:eastAsia="宋体"/>
                <w:lang w:val="en-US" w:eastAsia="zh-CN"/>
              </w:rPr>
            </w:pPr>
            <w:r>
              <w:rPr>
                <w:rFonts w:hint="eastAsia" w:eastAsia="宋体"/>
                <w:lang w:val="en-US" w:eastAsia="zh-CN"/>
              </w:rPr>
              <w:t>1.同一职务有多人担任（如</w:t>
            </w:r>
            <w:r>
              <w:rPr>
                <w:rFonts w:hint="eastAsia" w:ascii="宋体" w:hAnsi="宋体" w:eastAsia="宋体" w:cs="宋体"/>
                <w:b w:val="0"/>
                <w:bCs w:val="0"/>
                <w:color w:val="auto"/>
                <w:spacing w:val="-4"/>
                <w:sz w:val="24"/>
                <w:szCs w:val="24"/>
                <w:lang w:val="en-US" w:eastAsia="zh-CN"/>
              </w:rPr>
              <w:t>主要经营负责人、</w:t>
            </w:r>
            <w:r>
              <w:rPr>
                <w:rFonts w:hint="eastAsia" w:eastAsia="宋体"/>
                <w:lang w:val="en-US" w:eastAsia="zh-CN"/>
              </w:rPr>
              <w:t>主要技术人员）或</w:t>
            </w:r>
            <w:r>
              <w:rPr>
                <w:rFonts w:hint="eastAsia" w:ascii="宋体" w:hAnsi="宋体" w:eastAsia="宋体" w:cs="宋体"/>
                <w:b w:val="0"/>
                <w:bCs w:val="0"/>
                <w:color w:val="FF0000"/>
                <w:spacing w:val="-4"/>
                <w:sz w:val="24"/>
                <w:szCs w:val="24"/>
                <w:lang w:val="en-US" w:eastAsia="zh-CN" w:bidi="ar-SA"/>
              </w:rPr>
              <w:t>同一人担任多个职务的</w:t>
            </w:r>
            <w:r>
              <w:rPr>
                <w:rFonts w:hint="eastAsia" w:eastAsia="宋体"/>
                <w:lang w:val="en-US" w:eastAsia="zh-CN"/>
              </w:rPr>
              <w:t>，应分行填写</w:t>
            </w:r>
            <w:r>
              <w:rPr>
                <w:rFonts w:hint="eastAsia" w:ascii="宋体" w:hAnsi="宋体" w:eastAsia="宋体" w:cs="宋体"/>
                <w:b w:val="0"/>
                <w:bCs w:val="0"/>
                <w:color w:val="FF0000"/>
                <w:spacing w:val="-4"/>
                <w:sz w:val="24"/>
                <w:szCs w:val="24"/>
                <w:lang w:val="en-US" w:eastAsia="zh-CN" w:bidi="ar-SA"/>
              </w:rPr>
              <w:t>。</w:t>
            </w:r>
          </w:p>
          <w:p w14:paraId="18A55BBC">
            <w:pPr>
              <w:pStyle w:val="7"/>
              <w:widowControl w:val="0"/>
              <w:numPr>
                <w:ilvl w:val="0"/>
                <w:numId w:val="0"/>
              </w:numPr>
              <w:jc w:val="both"/>
              <w:rPr>
                <w:rFonts w:hint="eastAsia" w:eastAsia="宋体"/>
                <w:lang w:val="en-US" w:eastAsia="zh-CN"/>
              </w:rPr>
            </w:pPr>
            <w:r>
              <w:rPr>
                <w:rFonts w:hint="eastAsia" w:eastAsia="宋体"/>
                <w:lang w:val="en-US" w:eastAsia="zh-CN"/>
              </w:rPr>
              <w:t>2.上述项目负责人、主要技术人员必须为供应商本单位人员。</w:t>
            </w:r>
          </w:p>
          <w:p w14:paraId="5381C93E">
            <w:pPr>
              <w:pStyle w:val="7"/>
              <w:widowControl w:val="0"/>
              <w:numPr>
                <w:ilvl w:val="0"/>
                <w:numId w:val="0"/>
              </w:numPr>
              <w:jc w:val="both"/>
              <w:rPr>
                <w:rFonts w:hint="default" w:eastAsia="宋体"/>
                <w:lang w:val="en-US" w:eastAsia="zh-CN"/>
              </w:rPr>
            </w:pPr>
            <w:r>
              <w:rPr>
                <w:rFonts w:hint="eastAsia" w:eastAsia="宋体"/>
                <w:lang w:val="en-US" w:eastAsia="zh-CN"/>
              </w:rPr>
              <w:t>3.</w:t>
            </w:r>
            <w:r>
              <w:rPr>
                <w:rFonts w:hint="default" w:eastAsia="宋体"/>
                <w:lang w:val="en-US" w:eastAsia="zh-CN"/>
              </w:rPr>
              <w:t>依据《民法典》第504条规定，上述单位负责人，是指非法人组织（如个体工商户、分支机构）的负责人，即对外代表该组织的自然人。</w:t>
            </w:r>
          </w:p>
        </w:tc>
      </w:tr>
      <w:tr w14:paraId="2F549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5000" w:type="pct"/>
            <w:gridSpan w:val="8"/>
            <w:noWrap w:val="0"/>
            <w:vAlign w:val="center"/>
          </w:tcPr>
          <w:p w14:paraId="733F4131">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投标（响应）供应商关联关系情况</w:t>
            </w:r>
          </w:p>
        </w:tc>
      </w:tr>
      <w:tr w14:paraId="69B59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tcBorders>
              <w:bottom w:val="single" w:color="auto" w:sz="4" w:space="0"/>
            </w:tcBorders>
            <w:noWrap w:val="0"/>
            <w:vAlign w:val="center"/>
          </w:tcPr>
          <w:p w14:paraId="346E7380">
            <w:pPr>
              <w:keepNext w:val="0"/>
              <w:keepLines w:val="0"/>
              <w:pageBreakBefore w:val="0"/>
              <w:widowControl/>
              <w:numPr>
                <w:ilvl w:val="0"/>
                <w:numId w:val="0"/>
              </w:numPr>
              <w:kinsoku/>
              <w:wordWrap/>
              <w:overflowPunct/>
              <w:topLinePunct w:val="0"/>
              <w:autoSpaceDE/>
              <w:autoSpaceDN/>
              <w:bidi w:val="0"/>
              <w:adjustRightInd/>
              <w:snapToGrid w:val="0"/>
              <w:jc w:val="center"/>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序号</w:t>
            </w:r>
          </w:p>
        </w:tc>
        <w:tc>
          <w:tcPr>
            <w:tcW w:w="1392" w:type="pct"/>
            <w:gridSpan w:val="2"/>
            <w:tcBorders>
              <w:bottom w:val="single" w:color="auto" w:sz="4" w:space="0"/>
            </w:tcBorders>
            <w:noWrap w:val="0"/>
            <w:vAlign w:val="center"/>
          </w:tcPr>
          <w:p w14:paraId="41484119">
            <w:pPr>
              <w:keepNext w:val="0"/>
              <w:keepLines w:val="0"/>
              <w:pageBreakBefore w:val="0"/>
              <w:widowControl/>
              <w:numPr>
                <w:ilvl w:val="0"/>
                <w:numId w:val="0"/>
              </w:numPr>
              <w:kinsoku/>
              <w:wordWrap/>
              <w:overflowPunct/>
              <w:topLinePunct w:val="0"/>
              <w:autoSpaceDE/>
              <w:autoSpaceDN/>
              <w:bidi w:val="0"/>
              <w:adjustRightInd/>
              <w:snapToGrid w:val="0"/>
              <w:jc w:val="center"/>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关联关系类型</w:t>
            </w:r>
          </w:p>
        </w:tc>
        <w:tc>
          <w:tcPr>
            <w:tcW w:w="997" w:type="pct"/>
            <w:gridSpan w:val="2"/>
            <w:tcBorders>
              <w:bottom w:val="single" w:color="auto" w:sz="4" w:space="0"/>
            </w:tcBorders>
            <w:noWrap w:val="0"/>
            <w:vAlign w:val="center"/>
          </w:tcPr>
          <w:p w14:paraId="6753159D">
            <w:pPr>
              <w:keepNext w:val="0"/>
              <w:keepLines w:val="0"/>
              <w:pageBreakBefore w:val="0"/>
              <w:widowControl/>
              <w:numPr>
                <w:ilvl w:val="0"/>
                <w:numId w:val="0"/>
              </w:numPr>
              <w:kinsoku/>
              <w:wordWrap/>
              <w:overflowPunct/>
              <w:topLinePunct w:val="0"/>
              <w:autoSpaceDE/>
              <w:autoSpaceDN/>
              <w:bidi w:val="0"/>
              <w:adjustRightInd/>
              <w:snapToGrid w:val="0"/>
              <w:jc w:val="center"/>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关联主体名称</w:t>
            </w:r>
          </w:p>
        </w:tc>
        <w:tc>
          <w:tcPr>
            <w:tcW w:w="2203" w:type="pct"/>
            <w:gridSpan w:val="3"/>
            <w:tcBorders>
              <w:bottom w:val="single" w:color="auto" w:sz="4" w:space="0"/>
            </w:tcBorders>
            <w:noWrap w:val="0"/>
            <w:vAlign w:val="center"/>
          </w:tcPr>
          <w:p w14:paraId="3FD57C76">
            <w:pPr>
              <w:keepNext w:val="0"/>
              <w:keepLines w:val="0"/>
              <w:pageBreakBefore w:val="0"/>
              <w:widowControl/>
              <w:numPr>
                <w:ilvl w:val="0"/>
                <w:numId w:val="0"/>
              </w:numPr>
              <w:kinsoku/>
              <w:wordWrap/>
              <w:overflowPunct/>
              <w:topLinePunct w:val="0"/>
              <w:autoSpaceDE/>
              <w:autoSpaceDN/>
              <w:bidi w:val="0"/>
              <w:adjustRightInd/>
              <w:snapToGrid w:val="0"/>
              <w:jc w:val="center"/>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备注</w:t>
            </w:r>
          </w:p>
        </w:tc>
      </w:tr>
      <w:tr w14:paraId="38B7C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tcBorders>
              <w:top w:val="single" w:color="auto" w:sz="4" w:space="0"/>
              <w:left w:val="single" w:color="auto" w:sz="4" w:space="0"/>
              <w:bottom w:val="single" w:color="auto" w:sz="4" w:space="0"/>
              <w:right w:val="single" w:color="auto" w:sz="4" w:space="0"/>
            </w:tcBorders>
            <w:noWrap w:val="0"/>
            <w:vAlign w:val="center"/>
          </w:tcPr>
          <w:p w14:paraId="33E2A226">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w:t>
            </w:r>
          </w:p>
        </w:tc>
        <w:tc>
          <w:tcPr>
            <w:tcW w:w="1392" w:type="pct"/>
            <w:gridSpan w:val="2"/>
            <w:tcBorders>
              <w:top w:val="single" w:color="auto" w:sz="4" w:space="0"/>
              <w:left w:val="single" w:color="auto" w:sz="4" w:space="0"/>
              <w:bottom w:val="single" w:color="auto" w:sz="4" w:space="0"/>
              <w:right w:val="single" w:color="auto" w:sz="4" w:space="0"/>
            </w:tcBorders>
            <w:noWrap w:val="0"/>
            <w:vAlign w:val="center"/>
          </w:tcPr>
          <w:p w14:paraId="690859DE">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bCs/>
                <w:color w:val="FF0000"/>
                <w:spacing w:val="-4"/>
                <w:sz w:val="24"/>
                <w:szCs w:val="24"/>
                <w:lang w:val="en-US" w:eastAsia="zh-CN"/>
              </w:rPr>
              <w:t>控股股东</w:t>
            </w:r>
          </w:p>
        </w:tc>
        <w:tc>
          <w:tcPr>
            <w:tcW w:w="997" w:type="pct"/>
            <w:gridSpan w:val="2"/>
            <w:tcBorders>
              <w:top w:val="single" w:color="auto" w:sz="4" w:space="0"/>
              <w:left w:val="single" w:color="auto" w:sz="4" w:space="0"/>
              <w:bottom w:val="single" w:color="auto" w:sz="4" w:space="0"/>
              <w:right w:val="single" w:color="auto" w:sz="4" w:space="0"/>
            </w:tcBorders>
            <w:noWrap w:val="0"/>
            <w:vAlign w:val="center"/>
          </w:tcPr>
          <w:p w14:paraId="2C3F38BF">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p>
        </w:tc>
        <w:tc>
          <w:tcPr>
            <w:tcW w:w="2203" w:type="pct"/>
            <w:gridSpan w:val="3"/>
            <w:tcBorders>
              <w:top w:val="single" w:color="auto" w:sz="4" w:space="0"/>
              <w:left w:val="single" w:color="auto" w:sz="4" w:space="0"/>
              <w:bottom w:val="single" w:color="auto" w:sz="4" w:space="0"/>
              <w:right w:val="single" w:color="auto" w:sz="4" w:space="0"/>
            </w:tcBorders>
            <w:noWrap w:val="0"/>
            <w:vAlign w:val="center"/>
          </w:tcPr>
          <w:p w14:paraId="6AD72AED">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49F43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tcBorders>
              <w:top w:val="single" w:color="auto" w:sz="4" w:space="0"/>
              <w:left w:val="single" w:color="auto" w:sz="4" w:space="0"/>
              <w:bottom w:val="single" w:color="auto" w:sz="4" w:space="0"/>
              <w:right w:val="single" w:color="auto" w:sz="4" w:space="0"/>
            </w:tcBorders>
            <w:noWrap w:val="0"/>
            <w:vAlign w:val="center"/>
          </w:tcPr>
          <w:p w14:paraId="43F1F022">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w:t>
            </w:r>
          </w:p>
        </w:tc>
        <w:tc>
          <w:tcPr>
            <w:tcW w:w="1392" w:type="pct"/>
            <w:gridSpan w:val="2"/>
            <w:tcBorders>
              <w:top w:val="single" w:color="auto" w:sz="4" w:space="0"/>
              <w:left w:val="single" w:color="auto" w:sz="4" w:space="0"/>
              <w:bottom w:val="single" w:color="auto" w:sz="4" w:space="0"/>
              <w:right w:val="single" w:color="auto" w:sz="4" w:space="0"/>
            </w:tcBorders>
            <w:noWrap w:val="0"/>
            <w:vAlign w:val="center"/>
          </w:tcPr>
          <w:p w14:paraId="72DE6235">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管理关系</w:t>
            </w:r>
          </w:p>
        </w:tc>
        <w:tc>
          <w:tcPr>
            <w:tcW w:w="997" w:type="pct"/>
            <w:gridSpan w:val="2"/>
            <w:tcBorders>
              <w:top w:val="single" w:color="auto" w:sz="4" w:space="0"/>
              <w:left w:val="single" w:color="auto" w:sz="4" w:space="0"/>
              <w:bottom w:val="single" w:color="auto" w:sz="4" w:space="0"/>
              <w:right w:val="single" w:color="auto" w:sz="4" w:space="0"/>
            </w:tcBorders>
            <w:noWrap w:val="0"/>
            <w:vAlign w:val="center"/>
          </w:tcPr>
          <w:p w14:paraId="377B97D5">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p>
        </w:tc>
        <w:tc>
          <w:tcPr>
            <w:tcW w:w="2203" w:type="pct"/>
            <w:gridSpan w:val="3"/>
            <w:tcBorders>
              <w:top w:val="single" w:color="auto" w:sz="4" w:space="0"/>
              <w:left w:val="single" w:color="auto" w:sz="4" w:space="0"/>
              <w:bottom w:val="single" w:color="auto" w:sz="4" w:space="0"/>
              <w:right w:val="single" w:color="auto" w:sz="4" w:space="0"/>
            </w:tcBorders>
            <w:noWrap w:val="0"/>
            <w:vAlign w:val="center"/>
          </w:tcPr>
          <w:p w14:paraId="0744AC37">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指对投标（响应）供应商不具有出资持股关系，但对其存在管理关系的主体。</w:t>
            </w:r>
          </w:p>
        </w:tc>
      </w:tr>
      <w:tr w14:paraId="0CC5F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8"/>
            <w:tcBorders>
              <w:top w:val="single" w:color="auto" w:sz="4" w:space="0"/>
              <w:left w:val="single" w:color="auto" w:sz="4" w:space="0"/>
              <w:bottom w:val="single" w:color="auto" w:sz="4" w:space="0"/>
              <w:right w:val="single" w:color="auto" w:sz="4" w:space="0"/>
            </w:tcBorders>
            <w:noWrap w:val="0"/>
            <w:vAlign w:val="center"/>
          </w:tcPr>
          <w:p w14:paraId="390AF9D2">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说明：</w:t>
            </w:r>
          </w:p>
          <w:p w14:paraId="0766F73E">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1.同一关联关系类型有多个主体的，应分行填写。</w:t>
            </w:r>
          </w:p>
          <w:p w14:paraId="0713001F">
            <w:pPr>
              <w:keepNext w:val="0"/>
              <w:keepLines w:val="0"/>
              <w:pageBreakBefore w:val="0"/>
              <w:widowControl/>
              <w:numPr>
                <w:ilvl w:val="0"/>
                <w:numId w:val="0"/>
              </w:numPr>
              <w:kinsoku/>
              <w:wordWrap/>
              <w:overflowPunct/>
              <w:topLinePunct w:val="0"/>
              <w:autoSpaceDE/>
              <w:autoSpaceDN/>
              <w:bidi w:val="0"/>
              <w:adjustRightInd/>
              <w:snapToGrid w:val="0"/>
              <w:jc w:val="both"/>
              <w:textAlignment w:val="auto"/>
              <w:outlineLvl w:val="9"/>
              <w:rPr>
                <w:rFonts w:hint="eastAsia"/>
                <w:lang w:val="en-US" w:eastAsia="zh-CN"/>
              </w:rPr>
            </w:pPr>
            <w:r>
              <w:rPr>
                <w:rFonts w:hint="eastAsia" w:ascii="宋体" w:hAnsi="宋体" w:eastAsia="宋体" w:cs="宋体"/>
                <w:b/>
                <w:color w:val="auto"/>
                <w:sz w:val="24"/>
                <w:szCs w:val="24"/>
                <w:lang w:val="en-US" w:eastAsia="zh-CN"/>
              </w:rPr>
              <w:t>2.上述规定的控股、管理关系仅限于直接控股、直接管理关系，不包括间接的控股或管理关系。</w:t>
            </w:r>
          </w:p>
        </w:tc>
      </w:tr>
    </w:tbl>
    <w:p w14:paraId="2FFD2ADD">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color w:val="auto"/>
          <w:sz w:val="24"/>
          <w:szCs w:val="24"/>
          <w:lang w:val="en-US" w:eastAsia="zh-CN"/>
        </w:rPr>
      </w:pPr>
    </w:p>
    <w:p w14:paraId="1152D817">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2.社保证明材料：</w:t>
      </w:r>
    </w:p>
    <w:p w14:paraId="22EECAEA">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（1）法定代表人（单位负责人或执行事务合伙人）</w:t>
      </w:r>
    </w:p>
    <w:p w14:paraId="72AAEE9F">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身份证扫描件（正反面）：</w:t>
      </w:r>
    </w:p>
    <w:p w14:paraId="4DF80368">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开标前一个月的社保缴纳凭证(须由社保部门出具，并至少载明参保人姓名、身份证号和参保单位名称)：</w:t>
      </w:r>
    </w:p>
    <w:p w14:paraId="41A8AB6F">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p>
    <w:p w14:paraId="7452DB9F">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（2）主要经营负责人</w:t>
      </w:r>
    </w:p>
    <w:p w14:paraId="685C5487">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身份证扫描件（正反面）：</w:t>
      </w:r>
    </w:p>
    <w:p w14:paraId="187F4D95">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开标前一个月的社保缴纳凭证(须由社保部门出具，并至少载明参保人姓名、身份证号和参保单位名称)：</w:t>
      </w:r>
    </w:p>
    <w:p w14:paraId="3B95C95B">
      <w:pPr>
        <w:pStyle w:val="7"/>
        <w:rPr>
          <w:rFonts w:hint="eastAsia"/>
          <w:lang w:val="en-US" w:eastAsia="zh-CN"/>
        </w:rPr>
      </w:pPr>
    </w:p>
    <w:p w14:paraId="604037CB">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（3）投标授权代表人</w:t>
      </w:r>
    </w:p>
    <w:p w14:paraId="634FD555">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身份证扫描件（正反面）：</w:t>
      </w:r>
    </w:p>
    <w:p w14:paraId="1BD3C881">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开标前一个月的社保缴纳凭证(须由社保部门出具，并至少载明参保人姓名、身份证号和参保单位名称)：</w:t>
      </w:r>
    </w:p>
    <w:p w14:paraId="410403FD">
      <w:pPr>
        <w:pStyle w:val="6"/>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val="0"/>
          <w:bCs/>
          <w:color w:val="auto"/>
          <w:sz w:val="24"/>
          <w:szCs w:val="24"/>
          <w:lang w:val="en-US" w:eastAsia="zh-CN"/>
        </w:rPr>
      </w:pPr>
    </w:p>
    <w:p w14:paraId="1CFEADCC">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（4）项目负责人</w:t>
      </w:r>
    </w:p>
    <w:p w14:paraId="36ADCB81">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身份证扫描件（正反面）：</w:t>
      </w:r>
    </w:p>
    <w:p w14:paraId="135550B3">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开标前一个月的社保缴纳凭证(须由社保部门出具，并至少载明参保人姓名、身份证号和参保单位名称)：</w:t>
      </w:r>
    </w:p>
    <w:p w14:paraId="732D12B6">
      <w:pPr>
        <w:pStyle w:val="6"/>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val="0"/>
          <w:bCs/>
          <w:color w:val="auto"/>
          <w:sz w:val="24"/>
          <w:szCs w:val="24"/>
          <w:lang w:val="en-US" w:eastAsia="zh-CN"/>
        </w:rPr>
      </w:pPr>
    </w:p>
    <w:p w14:paraId="3C00368A">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（5）主要技术人员</w:t>
      </w:r>
    </w:p>
    <w:p w14:paraId="028F0966">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身份证扫描件（正反面）：</w:t>
      </w:r>
    </w:p>
    <w:p w14:paraId="56A09F28">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开标前一个月的社保缴纳凭证(须由社保部门出具，并至少载明参保人姓名、身份证号和参保单位名称)：</w:t>
      </w:r>
    </w:p>
    <w:p w14:paraId="141394F8">
      <w:pPr>
        <w:pStyle w:val="6"/>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val="0"/>
          <w:bCs/>
          <w:color w:val="auto"/>
          <w:sz w:val="24"/>
          <w:szCs w:val="24"/>
          <w:lang w:val="en-US" w:eastAsia="zh-CN"/>
        </w:rPr>
      </w:pPr>
    </w:p>
    <w:p w14:paraId="6E7865F5">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（6）投标文件编制人员</w:t>
      </w:r>
    </w:p>
    <w:p w14:paraId="0FC1A01F">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身份证扫描件（正反面）：</w:t>
      </w:r>
    </w:p>
    <w:p w14:paraId="1EF0351F">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开标前一个月的社保缴纳凭证(须由社保部门出具，并至少载明参保人姓名、身份证号和参保单位名称)：</w:t>
      </w:r>
    </w:p>
    <w:p w14:paraId="4FCED6E3">
      <w:pPr>
        <w:pStyle w:val="6"/>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color w:val="auto"/>
          <w:sz w:val="24"/>
          <w:szCs w:val="24"/>
          <w:lang w:val="en-US" w:eastAsia="zh-CN"/>
        </w:rPr>
      </w:pPr>
    </w:p>
    <w:p w14:paraId="505B31FC">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注：</w:t>
      </w:r>
    </w:p>
    <w:p w14:paraId="11D4DB1D">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1）如开标前近一个月的社保材料因社保部门原因暂时无法取得，则可以往前顺延一个月。其中项目负责人及主要技术人员社保证明须由供应商缴纳。</w:t>
      </w:r>
    </w:p>
    <w:p w14:paraId="75F873C4">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2）供应商的项目投标授权代表人与法定代表人为同一人的，则须提供法定代表人的社保证明；本项目未安排项目负责人的，则无须提供项目负责人的社保证明。</w:t>
      </w:r>
    </w:p>
    <w:p w14:paraId="68723C7F">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3）如无法按上述要求提供人员社会保险证明材料的，提交以下材料亦视为符合：</w:t>
      </w:r>
    </w:p>
    <w:p w14:paraId="3EF9AB40">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若供应商为新成立企业且成立时间不足一个月，提供加盖投标人公章的情况说明或者证明材料。</w:t>
      </w:r>
      <w:r>
        <w:rPr>
          <w:rFonts w:hint="eastAsia" w:ascii="宋体" w:hAnsi="宋体" w:eastAsia="宋体" w:cs="宋体"/>
          <w:b w:val="0"/>
          <w:bCs/>
          <w:color w:val="FF0000"/>
          <w:sz w:val="24"/>
          <w:szCs w:val="24"/>
          <w:lang w:val="en-US" w:eastAsia="zh-CN"/>
        </w:rPr>
        <w:t>若为退休人员，需提供社保部门出具的退休证明。</w:t>
      </w:r>
      <w:r>
        <w:rPr>
          <w:rFonts w:hint="eastAsia" w:ascii="宋体" w:hAnsi="宋体" w:eastAsia="宋体" w:cs="宋体"/>
          <w:b w:val="0"/>
          <w:bCs/>
          <w:color w:val="auto"/>
          <w:sz w:val="24"/>
          <w:szCs w:val="24"/>
          <w:lang w:val="en-US" w:eastAsia="zh-CN"/>
        </w:rPr>
        <w:t>如依法不需要缴纳社会保险的，应提供相应文件证明并对其真实性负责。若因为社保部门原因无法提供的，需提供劳动合同及社保部门官方通知证明(或官网公告截图)。</w:t>
      </w:r>
    </w:p>
    <w:p w14:paraId="468925F4">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p>
    <w:p w14:paraId="5D733165">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3.股权关系证明材料：</w:t>
      </w:r>
    </w:p>
    <w:p w14:paraId="54C21ADB">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（1）股权（或管理）关系证明材料：</w:t>
      </w:r>
    </w:p>
    <w:p w14:paraId="6B75CEF8">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通过国家企业信用信息公示系统(https://www.gsxt.gov.cn/index.html）、或机关赋码和事业单位登记管理网（http://gjsy.gov.cn/sydwfrxxcx/)、或全国社会组织信用信息公示平台（https://xxgs.chinanpo.mca.gov.cn/gsxt/newList)等网站查询的最新股权（或管理）关系截图）</w:t>
      </w:r>
    </w:p>
    <w:p w14:paraId="58F2D498">
      <w:pPr>
        <w:jc w:val="left"/>
        <w:rPr>
          <w:rFonts w:hint="eastAsia" w:ascii="宋体" w:hAnsi="宋体" w:eastAsia="宋体" w:cs="宋体"/>
          <w:color w:val="auto"/>
          <w:sz w:val="24"/>
          <w:szCs w:val="24"/>
          <w:highlight w:val="none"/>
          <w:lang w:eastAsia="zh-CN"/>
        </w:rPr>
      </w:pPr>
    </w:p>
    <w:p w14:paraId="765D2CFC">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（2）《股权关系情况承诺函》</w:t>
      </w:r>
    </w:p>
    <w:p w14:paraId="79935376">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致：深圳市交通公用设施管理处、友和保险经纪有限公司</w:t>
      </w:r>
    </w:p>
    <w:p w14:paraId="0A4622E2">
      <w:pPr>
        <w:keepNext w:val="0"/>
        <w:keepLines w:val="0"/>
        <w:pageBreakBefore w:val="0"/>
        <w:widowControl/>
        <w:numPr>
          <w:ilvl w:val="0"/>
          <w:numId w:val="0"/>
        </w:numPr>
        <w:kinsoku/>
        <w:wordWrap w:val="0"/>
        <w:overflowPunct/>
        <w:topLinePunct w:val="0"/>
        <w:autoSpaceDE/>
        <w:autoSpaceDN/>
        <w:bidi w:val="0"/>
        <w:adjustRightInd/>
        <w:snapToGrid w:val="0"/>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我公司申请参加</w:t>
      </w:r>
      <w:r>
        <w:rPr>
          <w:rFonts w:hint="eastAsia" w:ascii="宋体" w:hAnsi="宋体" w:eastAsia="宋体" w:cs="宋体"/>
          <w:color w:val="auto"/>
          <w:sz w:val="24"/>
          <w:szCs w:val="24"/>
          <w:highlight w:val="none"/>
        </w:rPr>
        <w:t>2025年度深圳市市管桥涵定期检测</w:t>
      </w:r>
      <w:r>
        <w:rPr>
          <w:rFonts w:hint="eastAsia" w:ascii="宋体" w:hAnsi="宋体" w:eastAsia="宋体" w:cs="宋体"/>
          <w:b w:val="0"/>
          <w:bCs/>
          <w:color w:val="auto"/>
          <w:sz w:val="24"/>
          <w:szCs w:val="24"/>
          <w:lang w:val="en-US" w:eastAsia="zh-CN"/>
        </w:rPr>
        <w:t>项目编号为SZDL2025001627的项目投标，并作出如下承诺：</w:t>
      </w:r>
    </w:p>
    <w:p w14:paraId="3D7CF813">
      <w:pPr>
        <w:keepNext w:val="0"/>
        <w:keepLines w:val="0"/>
        <w:pageBreakBefore w:val="0"/>
        <w:widowControl/>
        <w:numPr>
          <w:ilvl w:val="0"/>
          <w:numId w:val="0"/>
        </w:numPr>
        <w:kinsoku/>
        <w:wordWrap/>
        <w:overflowPunct/>
        <w:topLinePunct w:val="0"/>
        <w:autoSpaceDE/>
        <w:autoSpaceDN/>
        <w:bidi w:val="0"/>
        <w:adjustRightInd/>
        <w:snapToGrid w:val="0"/>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我公司承诺所填的股权关系情况真实、准确、完整。</w:t>
      </w:r>
    </w:p>
    <w:p w14:paraId="7FB5F79B">
      <w:pPr>
        <w:keepNext w:val="0"/>
        <w:keepLines w:val="0"/>
        <w:pageBreakBefore w:val="0"/>
        <w:widowControl/>
        <w:numPr>
          <w:ilvl w:val="0"/>
          <w:numId w:val="0"/>
        </w:numPr>
        <w:kinsoku/>
        <w:wordWrap/>
        <w:overflowPunct/>
        <w:topLinePunct w:val="0"/>
        <w:autoSpaceDE/>
        <w:autoSpaceDN/>
        <w:bidi w:val="0"/>
        <w:adjustRightInd/>
        <w:snapToGrid w:val="0"/>
        <w:ind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我公司承诺自股权关系证明材料查询之日起至本项目投标截止日止，股权关系如发生变更，将在投标文件中另行申明并附证明材料，保证不出现违背《中华人民共和国政府采购法实施条例》第十八条规定的情形。否则，自愿承担因此产生的不利后果而无异议。</w:t>
      </w:r>
    </w:p>
    <w:p w14:paraId="36AAE5D9">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特此承诺！</w:t>
      </w:r>
    </w:p>
    <w:p w14:paraId="11F06EA5">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p>
    <w:p w14:paraId="3406E5A3">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 xml:space="preserve">                                供应商名称： </w:t>
      </w:r>
    </w:p>
    <w:p w14:paraId="66D6AE0D">
      <w:pPr>
        <w:keepNext w:val="0"/>
        <w:keepLines w:val="0"/>
        <w:pageBreakBefore w:val="0"/>
        <w:widowControl/>
        <w:numPr>
          <w:ilvl w:val="0"/>
          <w:numId w:val="0"/>
        </w:numPr>
        <w:kinsoku/>
        <w:wordWrap/>
        <w:overflowPunct/>
        <w:topLinePunct w:val="0"/>
        <w:autoSpaceDE/>
        <w:autoSpaceDN/>
        <w:bidi w:val="0"/>
        <w:adjustRightInd/>
        <w:snapToGrid w:val="0"/>
        <w:ind w:firstLine="3840" w:firstLineChars="16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日  期：       年    月   日</w:t>
      </w:r>
    </w:p>
    <w:p w14:paraId="5542DDF6">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p>
    <w:p w14:paraId="2ECAF4F6">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注：代理机构将于截标当日同步通过上述网站进行查询，查询结果与供应商填报信息不一致的，以代理机构于截标当日的查询结果为准。</w:t>
      </w:r>
    </w:p>
    <w:p w14:paraId="7B271D5F">
      <w:pPr>
        <w:rPr>
          <w:rFonts w:hint="default"/>
          <w:lang w:val="en-US" w:eastAsia="zh-CN"/>
        </w:rPr>
      </w:pPr>
    </w:p>
    <w:p w14:paraId="694EFC62">
      <w:pPr>
        <w:rPr>
          <w:rFonts w:hint="eastAsia"/>
          <w:b w:val="0"/>
          <w:sz w:val="24"/>
          <w:szCs w:val="24"/>
          <w:lang w:eastAsia="zh-CN"/>
        </w:rPr>
      </w:pPr>
      <w:r>
        <w:rPr>
          <w:rFonts w:hint="eastAsia"/>
          <w:b w:val="0"/>
          <w:sz w:val="24"/>
          <w:szCs w:val="24"/>
          <w:lang w:eastAsia="zh-CN"/>
        </w:rPr>
        <w:br w:type="page"/>
      </w:r>
    </w:p>
    <w:p w14:paraId="7903A795">
      <w:pPr>
        <w:pStyle w:val="3"/>
        <w:jc w:val="center"/>
        <w:rPr>
          <w:b w:val="0"/>
          <w:sz w:val="24"/>
          <w:szCs w:val="24"/>
        </w:rPr>
      </w:pPr>
      <w:r>
        <w:rPr>
          <w:rFonts w:hint="eastAsia"/>
          <w:b w:val="0"/>
          <w:sz w:val="24"/>
          <w:szCs w:val="24"/>
          <w:lang w:eastAsia="zh-CN"/>
        </w:rPr>
        <w:t>五</w:t>
      </w:r>
      <w:r>
        <w:rPr>
          <w:rFonts w:hint="eastAsia"/>
          <w:b w:val="0"/>
          <w:sz w:val="24"/>
          <w:szCs w:val="24"/>
        </w:rPr>
        <w:t>、</w:t>
      </w:r>
      <w:bookmarkStart w:id="43" w:name="_Hlk72092634"/>
      <w:r>
        <w:rPr>
          <w:rFonts w:hint="eastAsia"/>
          <w:b w:val="0"/>
          <w:sz w:val="24"/>
          <w:szCs w:val="24"/>
        </w:rPr>
        <w:t>实质性条款响应情况表</w:t>
      </w:r>
      <w:bookmarkEnd w:id="43"/>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4401"/>
        <w:gridCol w:w="2084"/>
        <w:gridCol w:w="762"/>
        <w:gridCol w:w="580"/>
      </w:tblGrid>
      <w:tr w14:paraId="4F7BE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08" w:type="pct"/>
            <w:vAlign w:val="center"/>
          </w:tcPr>
          <w:p w14:paraId="2C42F81F">
            <w:pPr>
              <w:adjustRightInd w:val="0"/>
              <w:snapToGrid w:val="0"/>
              <w:spacing w:line="360" w:lineRule="auto"/>
              <w:jc w:val="center"/>
              <w:rPr>
                <w:rFonts w:ascii="宋体" w:hAnsi="宋体" w:eastAsia="宋体"/>
                <w:szCs w:val="21"/>
              </w:rPr>
            </w:pPr>
            <w:bookmarkStart w:id="44" w:name="_Hlk72092651"/>
            <w:r>
              <w:rPr>
                <w:rFonts w:hint="eastAsia" w:ascii="宋体" w:hAnsi="宋体" w:eastAsia="宋体"/>
                <w:szCs w:val="21"/>
              </w:rPr>
              <w:t>序号</w:t>
            </w:r>
          </w:p>
        </w:tc>
        <w:tc>
          <w:tcPr>
            <w:tcW w:w="2581" w:type="pct"/>
            <w:vAlign w:val="center"/>
          </w:tcPr>
          <w:p w14:paraId="72EDE88F">
            <w:pPr>
              <w:adjustRightInd w:val="0"/>
              <w:snapToGrid w:val="0"/>
              <w:spacing w:line="360" w:lineRule="auto"/>
              <w:jc w:val="center"/>
              <w:rPr>
                <w:rFonts w:ascii="宋体" w:hAnsi="宋体" w:eastAsia="宋体"/>
                <w:szCs w:val="21"/>
              </w:rPr>
            </w:pPr>
            <w:r>
              <w:rPr>
                <w:rFonts w:hint="eastAsia" w:ascii="宋体" w:hAnsi="宋体" w:eastAsia="宋体"/>
                <w:szCs w:val="21"/>
              </w:rPr>
              <w:t>实质性条款具体内容</w:t>
            </w:r>
          </w:p>
        </w:tc>
        <w:tc>
          <w:tcPr>
            <w:tcW w:w="1222" w:type="pct"/>
            <w:vAlign w:val="center"/>
          </w:tcPr>
          <w:p w14:paraId="5FE83A5C">
            <w:pPr>
              <w:adjustRightInd w:val="0"/>
              <w:snapToGrid w:val="0"/>
              <w:spacing w:line="360" w:lineRule="auto"/>
              <w:jc w:val="center"/>
              <w:rPr>
                <w:rFonts w:ascii="宋体" w:hAnsi="宋体" w:eastAsia="宋体"/>
                <w:szCs w:val="21"/>
              </w:rPr>
            </w:pPr>
            <w:r>
              <w:rPr>
                <w:rFonts w:hint="eastAsia" w:ascii="宋体" w:hAnsi="宋体" w:eastAsia="宋体"/>
              </w:rPr>
              <w:t>投标响应</w:t>
            </w:r>
          </w:p>
        </w:tc>
        <w:tc>
          <w:tcPr>
            <w:tcW w:w="447" w:type="pct"/>
            <w:vAlign w:val="center"/>
          </w:tcPr>
          <w:p w14:paraId="2E090357">
            <w:pPr>
              <w:adjustRightInd w:val="0"/>
              <w:snapToGrid w:val="0"/>
              <w:spacing w:line="360" w:lineRule="auto"/>
              <w:jc w:val="center"/>
              <w:rPr>
                <w:rFonts w:ascii="宋体" w:hAnsi="宋体" w:eastAsia="宋体"/>
                <w:szCs w:val="21"/>
              </w:rPr>
            </w:pPr>
            <w:r>
              <w:rPr>
                <w:rFonts w:hint="eastAsia" w:ascii="宋体" w:hAnsi="宋体" w:eastAsia="宋体"/>
              </w:rPr>
              <w:t>偏离情况</w:t>
            </w:r>
          </w:p>
        </w:tc>
        <w:tc>
          <w:tcPr>
            <w:tcW w:w="340" w:type="pct"/>
            <w:vAlign w:val="center"/>
          </w:tcPr>
          <w:p w14:paraId="349C8AFB">
            <w:pPr>
              <w:adjustRightInd w:val="0"/>
              <w:snapToGrid w:val="0"/>
              <w:spacing w:line="360" w:lineRule="auto"/>
              <w:jc w:val="center"/>
              <w:rPr>
                <w:rFonts w:ascii="宋体" w:hAnsi="宋体" w:eastAsia="宋体"/>
                <w:szCs w:val="21"/>
              </w:rPr>
            </w:pPr>
            <w:r>
              <w:rPr>
                <w:rFonts w:hint="eastAsia" w:ascii="宋体" w:hAnsi="宋体" w:eastAsia="宋体"/>
              </w:rPr>
              <w:t>说明</w:t>
            </w:r>
          </w:p>
        </w:tc>
      </w:tr>
      <w:bookmarkEnd w:id="44"/>
      <w:tr w14:paraId="7E031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Align w:val="top"/>
          </w:tcPr>
          <w:p w14:paraId="14138B6A">
            <w:pPr>
              <w:adjustRightInd w:val="0"/>
              <w:snapToGrid w:val="0"/>
              <w:spacing w:line="360" w:lineRule="auto"/>
              <w:jc w:val="center"/>
              <w:rPr>
                <w:rFonts w:hint="eastAsia" w:ascii="宋体" w:hAnsi="宋体" w:eastAsia="宋体"/>
                <w:szCs w:val="21"/>
                <w:lang w:val="en-US" w:eastAsia="zh-CN"/>
              </w:rPr>
            </w:pPr>
            <w:r>
              <w:rPr>
                <w:rFonts w:hint="eastAsia" w:ascii="宋体" w:hAnsi="宋体" w:eastAsia="宋体"/>
                <w:szCs w:val="21"/>
              </w:rPr>
              <w:t>1</w:t>
            </w:r>
          </w:p>
        </w:tc>
        <w:tc>
          <w:tcPr>
            <w:tcW w:w="4401" w:type="dxa"/>
            <w:vAlign w:val="top"/>
          </w:tcPr>
          <w:p w14:paraId="0CB5C8C6">
            <w:pPr>
              <w:keepNext w:val="0"/>
              <w:keepLines w:val="0"/>
              <w:pageBreakBefore w:val="0"/>
              <w:widowControl/>
              <w:tabs>
                <w:tab w:val="left" w:pos="720"/>
              </w:tabs>
              <w:kinsoku/>
              <w:wordWrap/>
              <w:overflowPunct/>
              <w:topLinePunct w:val="0"/>
              <w:autoSpaceDE/>
              <w:autoSpaceDN/>
              <w:bidi w:val="0"/>
              <w:adjustRightInd/>
              <w:snapToGrid/>
              <w:spacing w:line="240" w:lineRule="auto"/>
              <w:ind w:left="0" w:leftChars="0" w:firstLine="0" w:firstLineChars="0"/>
              <w:jc w:val="left"/>
              <w:textAlignment w:val="auto"/>
              <w:rPr>
                <w:rFonts w:hint="eastAsia" w:cs="Times New Roman" w:asciiTheme="minorEastAsia" w:hAnsiTheme="minorEastAsia"/>
                <w:sz w:val="21"/>
                <w:szCs w:val="21"/>
              </w:rPr>
            </w:pPr>
            <w:r>
              <w:rPr>
                <w:rFonts w:hint="eastAsia" w:cs="Times New Roman" w:asciiTheme="minorEastAsia" w:hAnsiTheme="minorEastAsia"/>
                <w:sz w:val="21"/>
                <w:szCs w:val="21"/>
                <w:lang w:val="en-US" w:eastAsia="zh-CN"/>
              </w:rPr>
              <w:t>(一)</w:t>
            </w:r>
            <w:r>
              <w:rPr>
                <w:rFonts w:hint="eastAsia" w:cs="Times New Roman" w:asciiTheme="minorEastAsia" w:hAnsiTheme="minorEastAsia"/>
                <w:sz w:val="21"/>
                <w:szCs w:val="21"/>
              </w:rPr>
              <w:t>项目服务期限</w:t>
            </w:r>
          </w:p>
          <w:p w14:paraId="447FE6B0">
            <w:pPr>
              <w:keepNext w:val="0"/>
              <w:keepLines w:val="0"/>
              <w:pageBreakBefore w:val="0"/>
              <w:widowControl/>
              <w:tabs>
                <w:tab w:val="left" w:pos="720"/>
              </w:tabs>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olor w:val="4F81BD" w:themeColor="accent1"/>
                <w:szCs w:val="21"/>
                <w:lang w:eastAsia="zh-CN"/>
                <w14:textFill>
                  <w14:solidFill>
                    <w14:schemeClr w14:val="accent1"/>
                  </w14:solidFill>
                </w14:textFill>
              </w:rPr>
            </w:pPr>
            <w:r>
              <w:rPr>
                <w:rFonts w:hint="eastAsia" w:cs="Times New Roman" w:asciiTheme="minorEastAsia" w:hAnsiTheme="minorEastAsia"/>
                <w:sz w:val="21"/>
                <w:szCs w:val="21"/>
              </w:rPr>
              <w:t>合同签订之日起12个月</w:t>
            </w:r>
            <w:r>
              <w:rPr>
                <w:rFonts w:hint="eastAsia" w:cs="Times New Roman" w:asciiTheme="minorEastAsia" w:hAnsiTheme="minorEastAsia"/>
                <w:sz w:val="21"/>
                <w:szCs w:val="21"/>
                <w:lang w:val="en-US" w:eastAsia="zh-CN"/>
              </w:rPr>
              <w:t>，</w:t>
            </w:r>
            <w:r>
              <w:rPr>
                <w:rFonts w:hint="eastAsia" w:cs="Times New Roman" w:asciiTheme="minorEastAsia" w:hAnsiTheme="minorEastAsia"/>
                <w:sz w:val="21"/>
                <w:szCs w:val="21"/>
                <w:lang w:eastAsia="zh-CN"/>
              </w:rPr>
              <w:t>且要求中标方在前</w:t>
            </w:r>
            <w:r>
              <w:rPr>
                <w:rFonts w:hint="eastAsia" w:cs="Times New Roman" w:asciiTheme="minorEastAsia" w:hAnsiTheme="minorEastAsia"/>
                <w:sz w:val="21"/>
                <w:szCs w:val="21"/>
                <w:lang w:val="en-US" w:eastAsia="zh-CN"/>
              </w:rPr>
              <w:t>2026年5月15日前提交最终的检测结果。</w:t>
            </w:r>
          </w:p>
        </w:tc>
        <w:tc>
          <w:tcPr>
            <w:tcW w:w="1222" w:type="pct"/>
          </w:tcPr>
          <w:p w14:paraId="44783E68">
            <w:pPr>
              <w:adjustRightInd w:val="0"/>
              <w:snapToGrid w:val="0"/>
              <w:spacing w:line="360" w:lineRule="auto"/>
              <w:rPr>
                <w:rFonts w:ascii="宋体" w:hAnsi="宋体" w:eastAsia="宋体"/>
                <w:szCs w:val="21"/>
              </w:rPr>
            </w:pPr>
          </w:p>
        </w:tc>
        <w:tc>
          <w:tcPr>
            <w:tcW w:w="447" w:type="pct"/>
          </w:tcPr>
          <w:p w14:paraId="438C4720">
            <w:pPr>
              <w:adjustRightInd w:val="0"/>
              <w:snapToGrid w:val="0"/>
              <w:spacing w:line="360" w:lineRule="auto"/>
              <w:rPr>
                <w:rFonts w:ascii="宋体" w:hAnsi="宋体" w:eastAsia="宋体"/>
                <w:szCs w:val="21"/>
              </w:rPr>
            </w:pPr>
          </w:p>
        </w:tc>
        <w:tc>
          <w:tcPr>
            <w:tcW w:w="340" w:type="pct"/>
          </w:tcPr>
          <w:p w14:paraId="53FDF816">
            <w:pPr>
              <w:adjustRightInd w:val="0"/>
              <w:snapToGrid w:val="0"/>
              <w:spacing w:line="360" w:lineRule="auto"/>
              <w:rPr>
                <w:rFonts w:ascii="宋体" w:hAnsi="宋体" w:eastAsia="宋体"/>
                <w:szCs w:val="21"/>
              </w:rPr>
            </w:pPr>
          </w:p>
        </w:tc>
      </w:tr>
      <w:tr w14:paraId="791F5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Align w:val="top"/>
          </w:tcPr>
          <w:p w14:paraId="65660691">
            <w:pPr>
              <w:adjustRightInd w:val="0"/>
              <w:snapToGrid w:val="0"/>
              <w:spacing w:line="360" w:lineRule="auto"/>
              <w:jc w:val="center"/>
              <w:rPr>
                <w:rFonts w:hint="eastAsia" w:ascii="宋体" w:hAnsi="宋体" w:eastAsia="宋体"/>
                <w:szCs w:val="21"/>
                <w:lang w:val="en-US" w:eastAsia="zh-CN"/>
              </w:rPr>
            </w:pPr>
            <w:r>
              <w:rPr>
                <w:rFonts w:hint="eastAsia" w:ascii="宋体" w:hAnsi="宋体" w:eastAsia="宋体"/>
                <w:szCs w:val="21"/>
                <w:lang w:val="en-US" w:eastAsia="zh-CN"/>
              </w:rPr>
              <w:t>2</w:t>
            </w:r>
          </w:p>
        </w:tc>
        <w:tc>
          <w:tcPr>
            <w:tcW w:w="4401" w:type="dxa"/>
            <w:vAlign w:val="top"/>
          </w:tcPr>
          <w:p w14:paraId="3A50E215">
            <w:pPr>
              <w:keepNext w:val="0"/>
              <w:keepLines w:val="0"/>
              <w:pageBreakBefore w:val="0"/>
              <w:widowControl/>
              <w:tabs>
                <w:tab w:val="left" w:pos="720"/>
              </w:tabs>
              <w:kinsoku/>
              <w:wordWrap/>
              <w:overflowPunct/>
              <w:topLinePunct w:val="0"/>
              <w:autoSpaceDE/>
              <w:autoSpaceDN/>
              <w:bidi w:val="0"/>
              <w:adjustRightInd/>
              <w:snapToGrid/>
              <w:spacing w:line="240" w:lineRule="auto"/>
              <w:ind w:left="0" w:leftChars="0" w:firstLine="0" w:firstLineChars="0"/>
              <w:jc w:val="left"/>
              <w:textAlignment w:val="auto"/>
              <w:rPr>
                <w:rFonts w:hint="eastAsia" w:cs="Times New Roman" w:asciiTheme="minorEastAsia" w:hAnsiTheme="minorEastAsia"/>
                <w:sz w:val="21"/>
                <w:szCs w:val="21"/>
                <w:lang w:val="en-US" w:eastAsia="zh-CN"/>
              </w:rPr>
            </w:pPr>
            <w:r>
              <w:rPr>
                <w:rFonts w:hint="eastAsia" w:cs="Times New Roman" w:asciiTheme="minorEastAsia" w:hAnsiTheme="minorEastAsia"/>
                <w:sz w:val="21"/>
                <w:szCs w:val="21"/>
                <w:lang w:val="en-US" w:eastAsia="zh-CN"/>
              </w:rPr>
              <w:t>（四）付款方式：</w:t>
            </w:r>
          </w:p>
          <w:p w14:paraId="657D0D5B">
            <w:pPr>
              <w:keepNext w:val="0"/>
              <w:keepLines w:val="0"/>
              <w:pageBreakBefore w:val="0"/>
              <w:widowControl/>
              <w:tabs>
                <w:tab w:val="left" w:pos="720"/>
              </w:tabs>
              <w:kinsoku/>
              <w:wordWrap/>
              <w:overflowPunct/>
              <w:topLinePunct w:val="0"/>
              <w:autoSpaceDE/>
              <w:autoSpaceDN/>
              <w:bidi w:val="0"/>
              <w:adjustRightInd/>
              <w:snapToGrid/>
              <w:spacing w:line="240" w:lineRule="auto"/>
              <w:ind w:left="0" w:leftChars="0" w:firstLine="0" w:firstLineChars="0"/>
              <w:jc w:val="left"/>
              <w:textAlignment w:val="auto"/>
              <w:rPr>
                <w:rFonts w:hint="eastAsia" w:cs="Times New Roman" w:asciiTheme="minorEastAsia" w:hAnsiTheme="minorEastAsia"/>
                <w:sz w:val="21"/>
                <w:szCs w:val="21"/>
                <w:lang w:val="en-US" w:eastAsia="zh-CN"/>
              </w:rPr>
            </w:pPr>
            <w:r>
              <w:rPr>
                <w:rFonts w:hint="eastAsia" w:cs="Times New Roman" w:asciiTheme="minorEastAsia" w:hAnsiTheme="minorEastAsia"/>
                <w:sz w:val="21"/>
                <w:szCs w:val="21"/>
                <w:lang w:val="en-US" w:eastAsia="zh-CN"/>
              </w:rPr>
              <w:t>本项目分期支付：</w:t>
            </w:r>
          </w:p>
          <w:p w14:paraId="5BC197C2">
            <w:pPr>
              <w:keepNext w:val="0"/>
              <w:keepLines w:val="0"/>
              <w:pageBreakBefore w:val="0"/>
              <w:widowControl/>
              <w:tabs>
                <w:tab w:val="left" w:pos="720"/>
              </w:tabs>
              <w:kinsoku/>
              <w:wordWrap/>
              <w:overflowPunct/>
              <w:topLinePunct w:val="0"/>
              <w:autoSpaceDE/>
              <w:autoSpaceDN/>
              <w:bidi w:val="0"/>
              <w:adjustRightInd/>
              <w:snapToGrid/>
              <w:spacing w:line="240" w:lineRule="auto"/>
              <w:ind w:left="0" w:leftChars="0" w:firstLine="0" w:firstLineChars="0"/>
              <w:jc w:val="left"/>
              <w:textAlignment w:val="auto"/>
              <w:rPr>
                <w:rFonts w:hint="eastAsia" w:cs="Times New Roman" w:asciiTheme="minorEastAsia" w:hAnsiTheme="minorEastAsia"/>
                <w:sz w:val="21"/>
                <w:szCs w:val="21"/>
                <w:lang w:val="en-US" w:eastAsia="zh-CN"/>
              </w:rPr>
            </w:pPr>
            <w:r>
              <w:rPr>
                <w:rFonts w:hint="eastAsia" w:cs="Times New Roman" w:asciiTheme="minorEastAsia" w:hAnsiTheme="minorEastAsia"/>
                <w:sz w:val="21"/>
                <w:szCs w:val="21"/>
                <w:lang w:val="en-US" w:eastAsia="zh-CN"/>
              </w:rPr>
              <w:t>1.合同生效且中标方提交项目组织实施方案后，采购方向中标方支付合同总价的10%；</w:t>
            </w:r>
          </w:p>
          <w:p w14:paraId="5EEE4B81">
            <w:pPr>
              <w:keepNext w:val="0"/>
              <w:keepLines w:val="0"/>
              <w:pageBreakBefore w:val="0"/>
              <w:widowControl/>
              <w:tabs>
                <w:tab w:val="left" w:pos="720"/>
              </w:tabs>
              <w:kinsoku/>
              <w:wordWrap/>
              <w:overflowPunct/>
              <w:topLinePunct w:val="0"/>
              <w:autoSpaceDE/>
              <w:autoSpaceDN/>
              <w:bidi w:val="0"/>
              <w:adjustRightInd/>
              <w:snapToGrid/>
              <w:spacing w:line="240" w:lineRule="auto"/>
              <w:ind w:left="0" w:leftChars="0" w:firstLine="0" w:firstLineChars="0"/>
              <w:jc w:val="left"/>
              <w:textAlignment w:val="auto"/>
              <w:rPr>
                <w:rFonts w:hint="eastAsia" w:cs="Times New Roman" w:asciiTheme="minorEastAsia" w:hAnsiTheme="minorEastAsia"/>
                <w:sz w:val="21"/>
                <w:szCs w:val="21"/>
                <w:lang w:val="en-US" w:eastAsia="zh-CN"/>
              </w:rPr>
            </w:pPr>
            <w:r>
              <w:rPr>
                <w:rFonts w:hint="eastAsia" w:cs="Times New Roman" w:asciiTheme="minorEastAsia" w:hAnsiTheme="minorEastAsia"/>
                <w:sz w:val="21"/>
                <w:szCs w:val="21"/>
                <w:lang w:val="en-US" w:eastAsia="zh-CN"/>
              </w:rPr>
              <w:t>2.中标方完成前款A、B、C包所要求检测桥梁长度50%的外业检测工作，结合财政实际预算下达情况，采购方向中标方最高支付至合同总价的40%；</w:t>
            </w:r>
          </w:p>
          <w:p w14:paraId="282538D3">
            <w:pPr>
              <w:keepNext w:val="0"/>
              <w:keepLines w:val="0"/>
              <w:pageBreakBefore w:val="0"/>
              <w:widowControl/>
              <w:tabs>
                <w:tab w:val="left" w:pos="720"/>
              </w:tabs>
              <w:kinsoku/>
              <w:wordWrap/>
              <w:overflowPunct/>
              <w:topLinePunct w:val="0"/>
              <w:autoSpaceDE/>
              <w:autoSpaceDN/>
              <w:bidi w:val="0"/>
              <w:adjustRightInd/>
              <w:snapToGrid/>
              <w:spacing w:line="240" w:lineRule="auto"/>
              <w:ind w:left="0" w:leftChars="0" w:firstLine="0" w:firstLineChars="0"/>
              <w:jc w:val="left"/>
              <w:textAlignment w:val="auto"/>
              <w:rPr>
                <w:rFonts w:hint="eastAsia" w:cs="Times New Roman" w:asciiTheme="minorEastAsia" w:hAnsiTheme="minorEastAsia"/>
                <w:sz w:val="21"/>
                <w:szCs w:val="21"/>
                <w:lang w:val="en-US" w:eastAsia="zh-CN"/>
              </w:rPr>
            </w:pPr>
            <w:r>
              <w:rPr>
                <w:rFonts w:hint="eastAsia" w:cs="Times New Roman" w:asciiTheme="minorEastAsia" w:hAnsiTheme="minorEastAsia"/>
                <w:sz w:val="21"/>
                <w:szCs w:val="21"/>
                <w:lang w:val="en-US" w:eastAsia="zh-CN"/>
              </w:rPr>
              <w:t>3.中标方完成前款A、B、C包所要求全部检测桥梁长度的外业检测工作，采购方向中标方支付至合同总价的80%；</w:t>
            </w:r>
          </w:p>
          <w:p w14:paraId="06C89297">
            <w:pPr>
              <w:keepNext w:val="0"/>
              <w:keepLines w:val="0"/>
              <w:pageBreakBefore w:val="0"/>
              <w:widowControl/>
              <w:tabs>
                <w:tab w:val="left" w:pos="720"/>
              </w:tabs>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eastAsia="宋体"/>
                <w:color w:val="4F81BD" w:themeColor="accent1"/>
                <w:szCs w:val="21"/>
                <w14:textFill>
                  <w14:solidFill>
                    <w14:schemeClr w14:val="accent1"/>
                  </w14:solidFill>
                </w14:textFill>
              </w:rPr>
            </w:pPr>
            <w:r>
              <w:rPr>
                <w:rFonts w:hint="eastAsia" w:cs="Times New Roman" w:asciiTheme="minorEastAsia" w:hAnsiTheme="minorEastAsia"/>
                <w:sz w:val="21"/>
                <w:szCs w:val="21"/>
                <w:lang w:val="en-US" w:eastAsia="zh-CN"/>
              </w:rPr>
              <w:t>4.中标方提交项目成果，获采购方组织的专家评审会审查通过，并经第三方结算审核后，剩余合同价款按照审定后的金额一次性付清。如实际检测设施量少于项目要求检测的总设施量的，还须按同等比例核减相应费用。</w:t>
            </w:r>
          </w:p>
        </w:tc>
        <w:tc>
          <w:tcPr>
            <w:tcW w:w="1222" w:type="pct"/>
          </w:tcPr>
          <w:p w14:paraId="25270970">
            <w:pPr>
              <w:adjustRightInd w:val="0"/>
              <w:snapToGrid w:val="0"/>
              <w:spacing w:line="360" w:lineRule="auto"/>
              <w:rPr>
                <w:rFonts w:ascii="宋体" w:hAnsi="宋体" w:eastAsia="宋体"/>
                <w:szCs w:val="21"/>
              </w:rPr>
            </w:pPr>
          </w:p>
        </w:tc>
        <w:tc>
          <w:tcPr>
            <w:tcW w:w="447" w:type="pct"/>
          </w:tcPr>
          <w:p w14:paraId="3424ACA9">
            <w:pPr>
              <w:adjustRightInd w:val="0"/>
              <w:snapToGrid w:val="0"/>
              <w:spacing w:line="360" w:lineRule="auto"/>
              <w:rPr>
                <w:rFonts w:ascii="宋体" w:hAnsi="宋体" w:eastAsia="宋体"/>
                <w:szCs w:val="21"/>
              </w:rPr>
            </w:pPr>
          </w:p>
        </w:tc>
        <w:tc>
          <w:tcPr>
            <w:tcW w:w="340" w:type="pct"/>
          </w:tcPr>
          <w:p w14:paraId="3976EFC8">
            <w:pPr>
              <w:adjustRightInd w:val="0"/>
              <w:snapToGrid w:val="0"/>
              <w:spacing w:line="360" w:lineRule="auto"/>
              <w:rPr>
                <w:rFonts w:ascii="宋体" w:hAnsi="宋体" w:eastAsia="宋体"/>
                <w:szCs w:val="21"/>
              </w:rPr>
            </w:pPr>
          </w:p>
        </w:tc>
      </w:tr>
    </w:tbl>
    <w:p w14:paraId="717B10A1">
      <w:pPr>
        <w:ind w:firstLine="482" w:firstLineChars="200"/>
        <w:rPr>
          <w:rFonts w:ascii="宋体" w:hAnsi="宋体" w:eastAsia="宋体"/>
          <w:b/>
          <w:szCs w:val="22"/>
        </w:rPr>
      </w:pPr>
    </w:p>
    <w:p w14:paraId="37E0C7F3">
      <w:pPr>
        <w:ind w:firstLine="482" w:firstLineChars="200"/>
        <w:rPr>
          <w:rFonts w:ascii="宋体" w:hAnsi="宋体" w:eastAsia="宋体"/>
          <w:b/>
          <w:szCs w:val="22"/>
        </w:rPr>
      </w:pPr>
      <w:r>
        <w:rPr>
          <w:rFonts w:hint="eastAsia" w:ascii="宋体" w:hAnsi="宋体" w:eastAsia="宋体"/>
          <w:b/>
          <w:szCs w:val="22"/>
        </w:rPr>
        <w:t>注：1. 上表所列各项均为不可负偏离条款。</w:t>
      </w:r>
    </w:p>
    <w:p w14:paraId="77AA97F5">
      <w:pPr>
        <w:ind w:firstLine="482" w:firstLineChars="200"/>
        <w:rPr>
          <w:rFonts w:ascii="宋体" w:hAnsi="宋体" w:eastAsia="宋体"/>
          <w:b/>
          <w:szCs w:val="22"/>
        </w:rPr>
      </w:pPr>
      <w:r>
        <w:rPr>
          <w:rFonts w:hint="eastAsia" w:ascii="宋体" w:hAnsi="宋体" w:eastAsia="宋体"/>
          <w:b/>
          <w:szCs w:val="22"/>
        </w:rPr>
        <w:t>2.“投标响应”一栏应当详细填写投标人自身响应情况，而不能不合理照搬照抄招实质性条款具体内容。</w:t>
      </w:r>
    </w:p>
    <w:p w14:paraId="45141244">
      <w:pPr>
        <w:ind w:firstLine="482" w:firstLineChars="200"/>
        <w:rPr>
          <w:rFonts w:ascii="宋体" w:hAnsi="宋体" w:eastAsia="宋体"/>
          <w:b/>
          <w:szCs w:val="22"/>
        </w:rPr>
      </w:pPr>
      <w:r>
        <w:rPr>
          <w:rFonts w:hint="eastAsia" w:ascii="宋体" w:hAnsi="宋体" w:eastAsia="宋体"/>
          <w:b/>
          <w:szCs w:val="22"/>
        </w:rPr>
        <w:t>3</w:t>
      </w:r>
      <w:r>
        <w:rPr>
          <w:rFonts w:ascii="宋体" w:hAnsi="宋体" w:eastAsia="宋体"/>
          <w:b/>
          <w:szCs w:val="22"/>
        </w:rPr>
        <w:t>.</w:t>
      </w:r>
      <w:r>
        <w:rPr>
          <w:rFonts w:hint="eastAsia" w:ascii="宋体" w:hAnsi="宋体" w:eastAsia="宋体"/>
          <w:b/>
          <w:szCs w:val="22"/>
        </w:rPr>
        <w:t>“偏离情况”一栏应填写“正偏离”、“负偏离”或“无偏离”，</w:t>
      </w:r>
      <w:r>
        <w:rPr>
          <w:rFonts w:hint="eastAsia" w:ascii="宋体" w:hAnsi="宋体" w:eastAsia="宋体"/>
          <w:b/>
        </w:rPr>
        <w:t>“正偏离”表示“投标响应优于实质性条款具体内容要求”，“负偏离”表示“投标响应不满足实质性条款具体内容要求”，“无偏离”表示“投标响应与实质性条款具体内容要求一致”。</w:t>
      </w:r>
    </w:p>
    <w:p w14:paraId="0A9E6D02">
      <w:pPr>
        <w:ind w:firstLine="482" w:firstLineChars="200"/>
        <w:rPr>
          <w:rFonts w:ascii="宋体" w:hAnsi="宋体" w:eastAsia="宋体"/>
          <w:b/>
        </w:rPr>
      </w:pPr>
      <w:r>
        <w:rPr>
          <w:rFonts w:ascii="宋体" w:hAnsi="宋体" w:eastAsia="宋体"/>
          <w:b/>
        </w:rPr>
        <w:t>4.</w:t>
      </w:r>
      <w:r>
        <w:rPr>
          <w:rFonts w:hint="eastAsia" w:ascii="宋体" w:hAnsi="宋体" w:eastAsia="宋体"/>
          <w:b/>
        </w:rPr>
        <w:t>评审委员会有权对投标响应情况作出判断（作出评审结论）。</w:t>
      </w:r>
    </w:p>
    <w:p w14:paraId="3E61BA80">
      <w:pPr>
        <w:ind w:firstLine="482" w:firstLineChars="200"/>
        <w:rPr>
          <w:color w:val="000000" w:themeColor="text1"/>
          <w14:textFill>
            <w14:solidFill>
              <w14:schemeClr w14:val="tx1"/>
            </w14:solidFill>
          </w14:textFill>
        </w:rPr>
      </w:pPr>
      <w:r>
        <w:rPr>
          <w:rFonts w:ascii="宋体" w:hAnsi="宋体" w:eastAsia="宋体"/>
          <w:b/>
          <w:szCs w:val="22"/>
        </w:rPr>
        <w:t>5</w:t>
      </w:r>
      <w:r>
        <w:rPr>
          <w:rFonts w:hint="eastAsia" w:ascii="宋体" w:hAnsi="宋体" w:eastAsia="宋体"/>
          <w:b/>
          <w:szCs w:val="22"/>
        </w:rPr>
        <w:t>.实质性响应条款“投标响应情况”与投标文件其它内容冲突的，以实质性响应条款“投标响应情况”为准。</w:t>
      </w:r>
    </w:p>
    <w:p w14:paraId="46DF14FC">
      <w:pPr>
        <w:rPr>
          <w:rFonts w:eastAsia="黑体"/>
        </w:rPr>
      </w:pPr>
    </w:p>
    <w:p w14:paraId="48522C66">
      <w:pPr>
        <w:rPr>
          <w:rFonts w:hint="eastAsia" w:ascii="黑体" w:eastAsia="黑体"/>
          <w:bCs w:val="0"/>
          <w:color w:val="000000" w:themeColor="text1"/>
          <w:sz w:val="24"/>
          <w:lang w:val="en-US" w:eastAsia="zh-CN"/>
          <w14:textFill>
            <w14:solidFill>
              <w14:schemeClr w14:val="tx1"/>
            </w14:solidFill>
          </w14:textFill>
        </w:rPr>
      </w:pPr>
      <w:r>
        <w:rPr>
          <w:rFonts w:hint="eastAsia" w:ascii="黑体" w:eastAsia="黑体"/>
          <w:bCs w:val="0"/>
          <w:color w:val="000000" w:themeColor="text1"/>
          <w:sz w:val="24"/>
          <w:lang w:val="en-US" w:eastAsia="zh-CN"/>
          <w14:textFill>
            <w14:solidFill>
              <w14:schemeClr w14:val="tx1"/>
            </w14:solidFill>
          </w14:textFill>
        </w:rPr>
        <w:br w:type="page"/>
      </w:r>
    </w:p>
    <w:p w14:paraId="0332ACBC">
      <w:pPr>
        <w:pStyle w:val="3"/>
        <w:jc w:val="center"/>
        <w:rPr>
          <w:rFonts w:ascii="黑体" w:eastAsia="黑体"/>
          <w:bCs w:val="0"/>
          <w:color w:val="000000" w:themeColor="text1"/>
          <w:sz w:val="24"/>
          <w14:textFill>
            <w14:solidFill>
              <w14:schemeClr w14:val="tx1"/>
            </w14:solidFill>
          </w14:textFill>
        </w:rPr>
      </w:pPr>
      <w:r>
        <w:rPr>
          <w:rFonts w:hint="eastAsia" w:ascii="黑体" w:eastAsia="黑体"/>
          <w:bCs w:val="0"/>
          <w:color w:val="000000" w:themeColor="text1"/>
          <w:sz w:val="24"/>
          <w:lang w:val="en-US" w:eastAsia="zh-CN"/>
          <w14:textFill>
            <w14:solidFill>
              <w14:schemeClr w14:val="tx1"/>
            </w14:solidFill>
          </w14:textFill>
        </w:rPr>
        <w:t>六</w:t>
      </w:r>
      <w:r>
        <w:rPr>
          <w:rFonts w:hint="eastAsia" w:ascii="黑体" w:eastAsia="黑体"/>
          <w:bCs w:val="0"/>
          <w:color w:val="000000" w:themeColor="text1"/>
          <w:sz w:val="24"/>
          <w14:textFill>
            <w14:solidFill>
              <w14:schemeClr w14:val="tx1"/>
            </w14:solidFill>
          </w14:textFill>
        </w:rPr>
        <w:t>、商务、</w:t>
      </w:r>
      <w:r>
        <w:rPr>
          <w:rFonts w:hint="eastAsia" w:ascii="黑体" w:eastAsia="黑体"/>
          <w:bCs w:val="0"/>
          <w:color w:val="000000" w:themeColor="text1"/>
          <w:sz w:val="24"/>
          <w:lang w:eastAsia="zh-CN"/>
          <w14:textFill>
            <w14:solidFill>
              <w14:schemeClr w14:val="tx1"/>
            </w14:solidFill>
          </w14:textFill>
        </w:rPr>
        <w:t>服务</w:t>
      </w:r>
      <w:r>
        <w:rPr>
          <w:rFonts w:hint="eastAsia" w:ascii="黑体" w:eastAsia="黑体"/>
          <w:bCs w:val="0"/>
          <w:color w:val="000000" w:themeColor="text1"/>
          <w:sz w:val="24"/>
          <w14:textFill>
            <w14:solidFill>
              <w14:schemeClr w14:val="tx1"/>
            </w14:solidFill>
          </w14:textFill>
        </w:rPr>
        <w:t>条款偏离表</w:t>
      </w:r>
    </w:p>
    <w:p w14:paraId="341C1E2E">
      <w:pPr>
        <w:snapToGrid w:val="0"/>
        <w:spacing w:line="360" w:lineRule="auto"/>
        <w:rPr>
          <w:rFonts w:ascii="Arial" w:hAnsi="Arial" w:eastAsia="宋体" w:cs="Arial"/>
          <w:color w:val="000000"/>
          <w:u w:val="single"/>
        </w:rPr>
      </w:pPr>
      <w:r>
        <w:rPr>
          <w:rFonts w:hint="eastAsia" w:ascii="Arial" w:hAnsi="Arial" w:eastAsia="宋体" w:cs="Arial"/>
          <w:color w:val="000000"/>
        </w:rPr>
        <w:t>投标单位（投标人）名称：</w:t>
      </w:r>
    </w:p>
    <w:tbl>
      <w:tblPr>
        <w:tblStyle w:val="16"/>
        <w:tblW w:w="4999" w:type="pct"/>
        <w:jc w:val="center"/>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autofit"/>
        <w:tblCellMar>
          <w:top w:w="0" w:type="dxa"/>
          <w:left w:w="108" w:type="dxa"/>
          <w:bottom w:w="0" w:type="dxa"/>
          <w:right w:w="108" w:type="dxa"/>
        </w:tblCellMar>
      </w:tblPr>
      <w:tblGrid>
        <w:gridCol w:w="497"/>
        <w:gridCol w:w="3683"/>
        <w:gridCol w:w="2376"/>
        <w:gridCol w:w="982"/>
        <w:gridCol w:w="982"/>
      </w:tblGrid>
      <w:tr w14:paraId="236193EE">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361" w:hRule="atLeast"/>
          <w:jc w:val="center"/>
        </w:trPr>
        <w:tc>
          <w:tcPr>
            <w:tcW w:w="292" w:type="pct"/>
            <w:vAlign w:val="center"/>
          </w:tcPr>
          <w:p w14:paraId="6AE73F72">
            <w:pPr>
              <w:spacing w:line="360" w:lineRule="auto"/>
              <w:jc w:val="center"/>
              <w:rPr>
                <w:rFonts w:cs="Arial" w:asciiTheme="minorEastAsia" w:hAnsiTheme="minorEastAsia"/>
                <w:b/>
                <w:sz w:val="21"/>
                <w:szCs w:val="21"/>
              </w:rPr>
            </w:pPr>
            <w:r>
              <w:rPr>
                <w:rFonts w:hint="eastAsia" w:cs="Arial" w:asciiTheme="minorEastAsia" w:hAnsiTheme="minorEastAsia"/>
                <w:b/>
                <w:sz w:val="21"/>
                <w:szCs w:val="21"/>
              </w:rPr>
              <w:t>序号</w:t>
            </w:r>
          </w:p>
        </w:tc>
        <w:tc>
          <w:tcPr>
            <w:tcW w:w="2161" w:type="pct"/>
            <w:vAlign w:val="center"/>
          </w:tcPr>
          <w:p w14:paraId="52536B07">
            <w:pPr>
              <w:spacing w:line="360" w:lineRule="auto"/>
              <w:jc w:val="center"/>
              <w:rPr>
                <w:rFonts w:cs="Arial" w:asciiTheme="minorEastAsia" w:hAnsiTheme="minorEastAsia"/>
                <w:b/>
                <w:sz w:val="21"/>
                <w:szCs w:val="21"/>
              </w:rPr>
            </w:pPr>
            <w:r>
              <w:rPr>
                <w:rFonts w:hint="eastAsia" w:cs="Arial" w:asciiTheme="minorEastAsia" w:hAnsiTheme="minorEastAsia"/>
                <w:b/>
                <w:sz w:val="21"/>
                <w:szCs w:val="21"/>
              </w:rPr>
              <w:t>招标文件要求</w:t>
            </w:r>
          </w:p>
        </w:tc>
        <w:tc>
          <w:tcPr>
            <w:tcW w:w="1394" w:type="pct"/>
            <w:vAlign w:val="center"/>
          </w:tcPr>
          <w:p w14:paraId="07470E5E">
            <w:pPr>
              <w:spacing w:line="360" w:lineRule="auto"/>
              <w:jc w:val="center"/>
              <w:rPr>
                <w:rFonts w:cs="Arial" w:asciiTheme="minorEastAsia" w:hAnsiTheme="minorEastAsia"/>
                <w:b/>
                <w:sz w:val="21"/>
                <w:szCs w:val="21"/>
              </w:rPr>
            </w:pPr>
            <w:r>
              <w:rPr>
                <w:rFonts w:hint="eastAsia" w:cs="Arial" w:asciiTheme="minorEastAsia" w:hAnsiTheme="minorEastAsia"/>
                <w:b/>
                <w:sz w:val="21"/>
                <w:szCs w:val="21"/>
              </w:rPr>
              <w:t>投标文件响应</w:t>
            </w:r>
          </w:p>
        </w:tc>
        <w:tc>
          <w:tcPr>
            <w:tcW w:w="576" w:type="pct"/>
            <w:vAlign w:val="center"/>
          </w:tcPr>
          <w:p w14:paraId="2FAC8B36">
            <w:pPr>
              <w:spacing w:line="360" w:lineRule="auto"/>
              <w:jc w:val="center"/>
              <w:rPr>
                <w:rFonts w:hint="eastAsia" w:eastAsia="宋体" w:cs="Arial" w:asciiTheme="minorEastAsia" w:hAnsiTheme="minorEastAsia"/>
                <w:b/>
                <w:sz w:val="21"/>
                <w:szCs w:val="21"/>
                <w:lang w:eastAsia="zh-CN"/>
              </w:rPr>
            </w:pPr>
            <w:r>
              <w:rPr>
                <w:rFonts w:hint="eastAsia" w:eastAsia="宋体" w:cs="Arial" w:asciiTheme="minorEastAsia" w:hAnsiTheme="minorEastAsia"/>
                <w:b/>
                <w:sz w:val="21"/>
                <w:szCs w:val="21"/>
                <w:lang w:eastAsia="zh-CN"/>
              </w:rPr>
              <w:t>偏离情况</w:t>
            </w:r>
          </w:p>
        </w:tc>
        <w:tc>
          <w:tcPr>
            <w:tcW w:w="576" w:type="pct"/>
            <w:vAlign w:val="center"/>
          </w:tcPr>
          <w:p w14:paraId="024E888B">
            <w:pPr>
              <w:spacing w:line="360" w:lineRule="auto"/>
              <w:jc w:val="center"/>
              <w:rPr>
                <w:rFonts w:cs="Arial" w:asciiTheme="minorEastAsia" w:hAnsiTheme="minorEastAsia"/>
                <w:b/>
                <w:sz w:val="21"/>
                <w:szCs w:val="21"/>
              </w:rPr>
            </w:pPr>
            <w:r>
              <w:rPr>
                <w:rFonts w:hint="eastAsia" w:cs="Arial" w:asciiTheme="minorEastAsia" w:hAnsiTheme="minorEastAsia"/>
                <w:b/>
                <w:sz w:val="21"/>
                <w:szCs w:val="21"/>
              </w:rPr>
              <w:t>说明</w:t>
            </w:r>
          </w:p>
        </w:tc>
      </w:tr>
      <w:tr w14:paraId="391FB7BD">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PrEx>
        <w:trPr>
          <w:trHeight w:val="1341" w:hRule="atLeast"/>
          <w:jc w:val="center"/>
        </w:trPr>
        <w:tc>
          <w:tcPr>
            <w:tcW w:w="292" w:type="pct"/>
            <w:vAlign w:val="center"/>
          </w:tcPr>
          <w:p w14:paraId="513E9864">
            <w:pPr>
              <w:spacing w:line="360" w:lineRule="auto"/>
              <w:jc w:val="center"/>
              <w:rPr>
                <w:rFonts w:asciiTheme="minorEastAsia" w:hAnsiTheme="minorEastAsia"/>
                <w:sz w:val="21"/>
                <w:szCs w:val="21"/>
              </w:rPr>
            </w:pPr>
            <w:r>
              <w:rPr>
                <w:rFonts w:hint="eastAsia" w:asciiTheme="minorEastAsia" w:hAnsiTheme="minorEastAsia"/>
                <w:sz w:val="21"/>
                <w:szCs w:val="21"/>
              </w:rPr>
              <w:t>1</w:t>
            </w:r>
          </w:p>
        </w:tc>
        <w:tc>
          <w:tcPr>
            <w:tcW w:w="2161" w:type="pct"/>
            <w:vAlign w:val="center"/>
          </w:tcPr>
          <w:p w14:paraId="67D04890">
            <w:pPr>
              <w:spacing w:line="360" w:lineRule="auto"/>
              <w:rPr>
                <w:rFonts w:asciiTheme="minorEastAsia" w:hAnsiTheme="minorEastAsia"/>
                <w:b/>
                <w:color w:val="FF0000"/>
                <w:sz w:val="21"/>
                <w:szCs w:val="21"/>
              </w:rPr>
            </w:pPr>
            <w:r>
              <w:rPr>
                <w:rFonts w:hint="eastAsia" w:asciiTheme="minorEastAsia" w:hAnsiTheme="minorEastAsia"/>
                <w:b/>
                <w:color w:val="FF0000"/>
                <w:sz w:val="21"/>
                <w:szCs w:val="21"/>
              </w:rPr>
              <w:t>《第三章 用户需求书：四、项目服务要求》中所有条款要求。</w:t>
            </w:r>
          </w:p>
        </w:tc>
        <w:tc>
          <w:tcPr>
            <w:tcW w:w="1394" w:type="pct"/>
            <w:vAlign w:val="center"/>
          </w:tcPr>
          <w:p w14:paraId="7B083ADD">
            <w:pPr>
              <w:spacing w:line="360" w:lineRule="auto"/>
              <w:rPr>
                <w:rFonts w:cs="Arial" w:asciiTheme="minorEastAsia" w:hAnsiTheme="minorEastAsia"/>
                <w:sz w:val="21"/>
                <w:szCs w:val="21"/>
              </w:rPr>
            </w:pPr>
            <w:r>
              <w:rPr>
                <w:rFonts w:hint="eastAsia" w:cs="Arial" w:asciiTheme="minorEastAsia" w:hAnsiTheme="minorEastAsia"/>
                <w:sz w:val="21"/>
                <w:szCs w:val="21"/>
              </w:rPr>
              <w:t>我公司完全响应满足招标文件中此项要求。</w:t>
            </w:r>
          </w:p>
        </w:tc>
        <w:tc>
          <w:tcPr>
            <w:tcW w:w="576" w:type="pct"/>
            <w:shd w:val="clear" w:color="auto" w:fill="auto"/>
            <w:vAlign w:val="center"/>
          </w:tcPr>
          <w:p w14:paraId="5B9A7A27">
            <w:pPr>
              <w:spacing w:line="360" w:lineRule="auto"/>
              <w:jc w:val="center"/>
              <w:rPr>
                <w:rFonts w:hint="eastAsia" w:eastAsia="Times New Roman" w:cs="Arial" w:asciiTheme="minorEastAsia" w:hAnsiTheme="minorEastAsia"/>
                <w:sz w:val="21"/>
                <w:szCs w:val="21"/>
              </w:rPr>
            </w:pPr>
          </w:p>
        </w:tc>
        <w:tc>
          <w:tcPr>
            <w:tcW w:w="576" w:type="pct"/>
            <w:vAlign w:val="center"/>
          </w:tcPr>
          <w:p w14:paraId="27434CF9">
            <w:pPr>
              <w:spacing w:line="360" w:lineRule="auto"/>
              <w:jc w:val="center"/>
              <w:rPr>
                <w:rFonts w:cs="Arial" w:asciiTheme="minorEastAsia" w:hAnsiTheme="minorEastAsia"/>
                <w:sz w:val="21"/>
                <w:szCs w:val="21"/>
              </w:rPr>
            </w:pPr>
          </w:p>
        </w:tc>
      </w:tr>
      <w:tr w14:paraId="73834C42">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904" w:hRule="atLeast"/>
          <w:jc w:val="center"/>
        </w:trPr>
        <w:tc>
          <w:tcPr>
            <w:tcW w:w="292" w:type="pct"/>
            <w:vAlign w:val="center"/>
          </w:tcPr>
          <w:p w14:paraId="63085350">
            <w:pPr>
              <w:spacing w:line="360" w:lineRule="auto"/>
              <w:jc w:val="center"/>
              <w:rPr>
                <w:rFonts w:asciiTheme="minorEastAsia" w:hAnsiTheme="minorEastAsia"/>
                <w:sz w:val="21"/>
                <w:szCs w:val="21"/>
              </w:rPr>
            </w:pPr>
            <w:r>
              <w:rPr>
                <w:rFonts w:hint="eastAsia" w:asciiTheme="minorEastAsia" w:hAnsiTheme="minorEastAsia"/>
                <w:sz w:val="21"/>
                <w:szCs w:val="21"/>
              </w:rPr>
              <w:t>2</w:t>
            </w:r>
          </w:p>
        </w:tc>
        <w:tc>
          <w:tcPr>
            <w:tcW w:w="2161" w:type="pct"/>
          </w:tcPr>
          <w:p w14:paraId="2B54F4D5">
            <w:pPr>
              <w:spacing w:line="360" w:lineRule="auto"/>
              <w:rPr>
                <w:rFonts w:asciiTheme="minorEastAsia" w:hAnsiTheme="minorEastAsia"/>
                <w:b/>
                <w:color w:val="FF0000"/>
                <w:sz w:val="21"/>
                <w:szCs w:val="21"/>
                <w:highlight w:val="green"/>
              </w:rPr>
            </w:pPr>
            <w:r>
              <w:rPr>
                <w:rFonts w:hint="eastAsia" w:asciiTheme="minorEastAsia" w:hAnsiTheme="minorEastAsia"/>
                <w:b/>
                <w:color w:val="FF0000"/>
                <w:sz w:val="21"/>
                <w:szCs w:val="21"/>
              </w:rPr>
              <w:t>《第三章 用户需求书：五、项目商务要求》中所有条款要求。</w:t>
            </w:r>
          </w:p>
        </w:tc>
        <w:tc>
          <w:tcPr>
            <w:tcW w:w="1394" w:type="pct"/>
            <w:vAlign w:val="center"/>
          </w:tcPr>
          <w:p w14:paraId="25358BE3">
            <w:pPr>
              <w:spacing w:line="360" w:lineRule="auto"/>
              <w:rPr>
                <w:rFonts w:cs="Arial" w:asciiTheme="minorEastAsia" w:hAnsiTheme="minorEastAsia"/>
                <w:sz w:val="21"/>
                <w:szCs w:val="21"/>
              </w:rPr>
            </w:pPr>
            <w:r>
              <w:rPr>
                <w:rFonts w:hint="eastAsia" w:cs="Arial" w:asciiTheme="minorEastAsia" w:hAnsiTheme="minorEastAsia"/>
                <w:sz w:val="21"/>
                <w:szCs w:val="21"/>
              </w:rPr>
              <w:t>我公司完全响应满足招标文件中此项要求。</w:t>
            </w:r>
          </w:p>
        </w:tc>
        <w:tc>
          <w:tcPr>
            <w:tcW w:w="576" w:type="pct"/>
            <w:shd w:val="clear" w:color="auto" w:fill="auto"/>
            <w:vAlign w:val="center"/>
          </w:tcPr>
          <w:p w14:paraId="1A1C55E2">
            <w:pPr>
              <w:spacing w:line="360" w:lineRule="auto"/>
              <w:jc w:val="center"/>
              <w:rPr>
                <w:rFonts w:hint="eastAsia" w:eastAsia="Times New Roman" w:cs="Arial" w:asciiTheme="minorEastAsia" w:hAnsiTheme="minorEastAsia"/>
                <w:sz w:val="21"/>
                <w:szCs w:val="21"/>
              </w:rPr>
            </w:pPr>
          </w:p>
        </w:tc>
        <w:tc>
          <w:tcPr>
            <w:tcW w:w="576" w:type="pct"/>
            <w:vAlign w:val="center"/>
          </w:tcPr>
          <w:p w14:paraId="0DFE121B">
            <w:pPr>
              <w:spacing w:line="360" w:lineRule="auto"/>
              <w:jc w:val="center"/>
              <w:rPr>
                <w:rFonts w:cs="Arial" w:asciiTheme="minorEastAsia" w:hAnsiTheme="minorEastAsia"/>
                <w:sz w:val="21"/>
                <w:szCs w:val="21"/>
              </w:rPr>
            </w:pPr>
          </w:p>
        </w:tc>
      </w:tr>
    </w:tbl>
    <w:p w14:paraId="49EC2BA9">
      <w:pPr>
        <w:snapToGrid w:val="0"/>
        <w:spacing w:line="360" w:lineRule="auto"/>
        <w:rPr>
          <w:rFonts w:asciiTheme="minorEastAsia" w:hAnsiTheme="minorEastAsia"/>
          <w:b/>
        </w:rPr>
      </w:pPr>
    </w:p>
    <w:p w14:paraId="73681ACD">
      <w:pPr>
        <w:numPr>
          <w:ilvl w:val="0"/>
          <w:numId w:val="0"/>
        </w:numPr>
        <w:snapToGrid w:val="0"/>
        <w:spacing w:after="60" w:afterLines="25" w:line="360" w:lineRule="auto"/>
        <w:ind w:leftChars="0"/>
        <w:rPr>
          <w:rFonts w:hint="eastAsia" w:ascii="宋体" w:hAnsi="宋体" w:eastAsia="宋体"/>
          <w:b/>
          <w:szCs w:val="22"/>
        </w:rPr>
      </w:pPr>
      <w:r>
        <w:rPr>
          <w:rFonts w:hint="eastAsia" w:ascii="宋体" w:hAnsi="宋体" w:eastAsia="宋体"/>
          <w:b/>
          <w:szCs w:val="22"/>
        </w:rPr>
        <w:t>注：</w:t>
      </w:r>
    </w:p>
    <w:p w14:paraId="3A6128CA">
      <w:pPr>
        <w:numPr>
          <w:ilvl w:val="0"/>
          <w:numId w:val="0"/>
        </w:numPr>
        <w:snapToGrid w:val="0"/>
        <w:spacing w:after="60" w:afterLines="25" w:line="360" w:lineRule="auto"/>
        <w:rPr>
          <w:rFonts w:hint="eastAsia" w:asciiTheme="majorEastAsia" w:hAnsiTheme="majorEastAsia" w:eastAsiaTheme="majorEastAsia"/>
          <w:lang w:eastAsia="zh-CN"/>
        </w:rPr>
      </w:pPr>
      <w:r>
        <w:rPr>
          <w:rFonts w:hint="eastAsia" w:asciiTheme="majorEastAsia" w:hAnsiTheme="majorEastAsia" w:eastAsiaTheme="majorEastAsia"/>
          <w:lang w:eastAsia="zh-CN"/>
        </w:rPr>
        <w:t>1.</w:t>
      </w:r>
      <w:r>
        <w:rPr>
          <w:rFonts w:hint="eastAsia" w:asciiTheme="majorEastAsia" w:hAnsiTheme="majorEastAsia" w:eastAsiaTheme="majorEastAsia"/>
          <w:b/>
          <w:bCs/>
          <w:color w:val="FF0000"/>
          <w:lang w:eastAsia="zh-CN"/>
        </w:rPr>
        <w:t>“偏离情况”一栏应填写“正偏离”“负偏离”或“无偏离”。</w:t>
      </w:r>
      <w:r>
        <w:rPr>
          <w:rFonts w:hint="eastAsia" w:asciiTheme="majorEastAsia" w:hAnsiTheme="majorEastAsia" w:eastAsiaTheme="majorEastAsia"/>
          <w:lang w:eastAsia="zh-CN"/>
        </w:rPr>
        <w:t>其中，“正偏离”表示投标响应优于招标文件要求，“负偏离”表示投标响应不满足招标文件要求，“无偏离”表示投标响应与招标文件要求一致。</w:t>
      </w:r>
    </w:p>
    <w:p w14:paraId="114E4E8D">
      <w:pPr>
        <w:numPr>
          <w:ilvl w:val="0"/>
          <w:numId w:val="0"/>
        </w:numPr>
        <w:snapToGrid w:val="0"/>
        <w:spacing w:after="60" w:afterLines="25" w:line="360" w:lineRule="auto"/>
        <w:ind w:leftChars="0"/>
        <w:rPr>
          <w:rFonts w:hint="eastAsia" w:ascii="宋体" w:hAnsi="宋体" w:eastAsia="宋体"/>
          <w:b/>
          <w:szCs w:val="22"/>
          <w:lang w:val="en-US" w:eastAsia="zh-CN"/>
        </w:rPr>
      </w:pPr>
      <w:r>
        <w:rPr>
          <w:rFonts w:hint="eastAsia" w:ascii="宋体" w:hAnsi="宋体" w:eastAsia="宋体"/>
          <w:b/>
          <w:szCs w:val="22"/>
          <w:lang w:val="en-US" w:eastAsia="zh-CN"/>
        </w:rPr>
        <w:t>2.如投标人能完全响应并满足本表【招标文件要求】栏中的内容，可在对应的【投标文件响应】栏中填写“我公司完全响应并满足招标文件中此项要求”。除招标文件另有注明外，不强制要求逐条列出投标文件响应情况。</w:t>
      </w:r>
    </w:p>
    <w:p w14:paraId="7ECBE907">
      <w:pPr>
        <w:numPr>
          <w:ilvl w:val="0"/>
          <w:numId w:val="0"/>
        </w:numPr>
        <w:snapToGrid w:val="0"/>
        <w:spacing w:after="60" w:afterLines="25" w:line="360" w:lineRule="auto"/>
        <w:ind w:leftChars="0"/>
        <w:rPr>
          <w:rFonts w:hint="eastAsia" w:asciiTheme="majorEastAsia" w:hAnsiTheme="majorEastAsia" w:eastAsiaTheme="majorEastAsia"/>
        </w:rPr>
      </w:pPr>
      <w:r>
        <w:rPr>
          <w:rFonts w:hint="eastAsia" w:asciiTheme="majorEastAsia" w:hAnsiTheme="majorEastAsia" w:eastAsiaTheme="majorEastAsia"/>
          <w:lang w:val="en-US" w:eastAsia="zh-CN"/>
        </w:rPr>
        <w:t>3.</w:t>
      </w:r>
      <w:r>
        <w:rPr>
          <w:rFonts w:hint="eastAsia" w:asciiTheme="majorEastAsia" w:hAnsiTheme="majorEastAsia" w:eastAsiaTheme="majorEastAsia"/>
        </w:rPr>
        <w:t>如投标人响应情况出现“正偏离”或“负偏离”，请在【投标文件响应】栏中对存在“正偏离”或“负偏离”的条款逐条做出说明。</w:t>
      </w:r>
    </w:p>
    <w:p w14:paraId="74C0EC74">
      <w:pPr>
        <w:numPr>
          <w:ilvl w:val="0"/>
          <w:numId w:val="0"/>
        </w:numPr>
        <w:snapToGrid w:val="0"/>
        <w:spacing w:after="60" w:afterLines="25" w:line="360" w:lineRule="auto"/>
        <w:ind w:leftChars="0"/>
        <w:rPr>
          <w:rFonts w:hint="eastAsia" w:asciiTheme="majorEastAsia" w:hAnsiTheme="majorEastAsia" w:eastAsiaTheme="majorEastAsia"/>
        </w:rPr>
      </w:pPr>
      <w:r>
        <w:rPr>
          <w:rFonts w:hint="eastAsia" w:asciiTheme="majorEastAsia" w:hAnsiTheme="majorEastAsia" w:eastAsiaTheme="majorEastAsia"/>
          <w:lang w:val="en-US" w:eastAsia="zh-CN"/>
        </w:rPr>
        <w:t>4.</w:t>
      </w:r>
      <w:r>
        <w:rPr>
          <w:rFonts w:hint="eastAsia" w:asciiTheme="majorEastAsia" w:hAnsiTheme="majorEastAsia" w:eastAsiaTheme="majorEastAsia"/>
        </w:rPr>
        <w:t>如果偏离情况与投标文件响应情况不一致，或要求提供相关证明材料但投标人未提供的，或提供的相关证明材料与偏离情况、投标文件响应情况不一致的，均视为负偏离。</w:t>
      </w:r>
    </w:p>
    <w:p w14:paraId="66D186CF">
      <w:pPr>
        <w:pStyle w:val="3"/>
        <w:jc w:val="center"/>
        <w:rPr>
          <w:rFonts w:hint="eastAsia" w:ascii="黑体" w:eastAsia="黑体"/>
          <w:bCs w:val="0"/>
          <w:color w:val="000000" w:themeColor="text1"/>
          <w:sz w:val="24"/>
          <w14:textFill>
            <w14:solidFill>
              <w14:schemeClr w14:val="tx1"/>
            </w14:solidFill>
          </w14:textFill>
        </w:rPr>
      </w:pPr>
      <w:r>
        <w:rPr>
          <w:rFonts w:hint="eastAsia" w:ascii="黑体" w:eastAsia="黑体"/>
          <w:bCs w:val="0"/>
          <w:color w:val="000000" w:themeColor="text1"/>
          <w:sz w:val="24"/>
          <w:lang w:eastAsia="zh-CN"/>
          <w14:textFill>
            <w14:solidFill>
              <w14:schemeClr w14:val="tx1"/>
            </w14:solidFill>
          </w14:textFill>
        </w:rPr>
        <w:t>七</w:t>
      </w:r>
      <w:r>
        <w:rPr>
          <w:rFonts w:hint="eastAsia" w:ascii="黑体" w:eastAsia="黑体"/>
          <w:bCs w:val="0"/>
          <w:color w:val="000000" w:themeColor="text1"/>
          <w:sz w:val="24"/>
          <w14:textFill>
            <w14:solidFill>
              <w14:schemeClr w14:val="tx1"/>
            </w14:solidFill>
          </w14:textFill>
        </w:rPr>
        <w:t>、拟安排的项目负责人情况（仅限一人）</w:t>
      </w:r>
    </w:p>
    <w:p w14:paraId="5E86E92E">
      <w:pPr>
        <w:pStyle w:val="3"/>
        <w:jc w:val="center"/>
        <w:rPr>
          <w:rFonts w:hint="eastAsia" w:ascii="黑体" w:eastAsia="黑体"/>
          <w:bCs w:val="0"/>
          <w:color w:val="000000" w:themeColor="text1"/>
          <w:sz w:val="24"/>
          <w:lang w:val="en-US" w:eastAsia="zh-CN"/>
          <w14:textFill>
            <w14:solidFill>
              <w14:schemeClr w14:val="tx1"/>
            </w14:solidFill>
          </w14:textFill>
        </w:rPr>
      </w:pPr>
      <w:r>
        <w:rPr>
          <w:rFonts w:hint="eastAsia" w:ascii="黑体" w:eastAsia="黑体"/>
          <w:bCs w:val="0"/>
          <w:color w:val="000000" w:themeColor="text1"/>
          <w:sz w:val="24"/>
          <w:lang w:val="en-US" w:eastAsia="zh-CN"/>
          <w14:textFill>
            <w14:solidFill>
              <w14:schemeClr w14:val="tx1"/>
            </w14:solidFill>
          </w14:textFill>
        </w:rPr>
        <w:t>八、拟安排的项目主要团队成员（主要技术人员）情况（项目负责人除外）</w:t>
      </w:r>
    </w:p>
    <w:p w14:paraId="4FDFB10A">
      <w:pPr>
        <w:pStyle w:val="3"/>
        <w:jc w:val="center"/>
        <w:rPr>
          <w:rFonts w:hint="eastAsia" w:ascii="黑体" w:eastAsia="黑体"/>
          <w:bCs w:val="0"/>
          <w:color w:val="000000" w:themeColor="text1"/>
          <w:sz w:val="24"/>
          <w:lang w:val="en-US" w:eastAsia="zh-CN"/>
          <w14:textFill>
            <w14:solidFill>
              <w14:schemeClr w14:val="tx1"/>
            </w14:solidFill>
          </w14:textFill>
        </w:rPr>
      </w:pPr>
      <w:r>
        <w:rPr>
          <w:rFonts w:hint="eastAsia" w:ascii="黑体" w:eastAsia="黑体"/>
          <w:bCs w:val="0"/>
          <w:color w:val="000000" w:themeColor="text1"/>
          <w:sz w:val="24"/>
          <w:lang w:val="en-US" w:eastAsia="zh-CN"/>
          <w14:textFill>
            <w14:solidFill>
              <w14:schemeClr w14:val="tx1"/>
            </w14:solidFill>
          </w14:textFill>
        </w:rPr>
        <w:t>九、实施方案（格式自定）</w:t>
      </w:r>
    </w:p>
    <w:p w14:paraId="6FCE41CB">
      <w:pPr>
        <w:pStyle w:val="3"/>
        <w:jc w:val="center"/>
        <w:rPr>
          <w:rFonts w:hint="eastAsia" w:ascii="黑体" w:eastAsia="黑体"/>
          <w:bCs w:val="0"/>
          <w:color w:val="000000" w:themeColor="text1"/>
          <w:sz w:val="24"/>
          <w14:textFill>
            <w14:solidFill>
              <w14:schemeClr w14:val="tx1"/>
            </w14:solidFill>
          </w14:textFill>
        </w:rPr>
      </w:pPr>
      <w:r>
        <w:rPr>
          <w:rFonts w:hint="eastAsia" w:ascii="黑体" w:eastAsia="黑体"/>
          <w:bCs w:val="0"/>
          <w:color w:val="000000" w:themeColor="text1"/>
          <w:sz w:val="24"/>
          <w:lang w:val="en-US" w:eastAsia="zh-CN"/>
          <w14:textFill>
            <w14:solidFill>
              <w14:schemeClr w14:val="tx1"/>
            </w14:solidFill>
          </w14:textFill>
        </w:rPr>
        <w:t>十、项目重点难点分析、应对措施及相关的合理化建议（格式自定）</w:t>
      </w:r>
    </w:p>
    <w:p w14:paraId="1548B040">
      <w:pPr>
        <w:pStyle w:val="3"/>
        <w:jc w:val="center"/>
        <w:rPr>
          <w:rFonts w:hint="eastAsia" w:ascii="黑体" w:eastAsia="黑体"/>
          <w:bCs w:val="0"/>
          <w:color w:val="000000" w:themeColor="text1"/>
          <w:sz w:val="24"/>
          <w14:textFill>
            <w14:solidFill>
              <w14:schemeClr w14:val="tx1"/>
            </w14:solidFill>
          </w14:textFill>
        </w:rPr>
      </w:pPr>
      <w:r>
        <w:rPr>
          <w:rFonts w:hint="eastAsia" w:ascii="黑体" w:eastAsia="黑体"/>
          <w:bCs w:val="0"/>
          <w:color w:val="000000" w:themeColor="text1"/>
          <w:sz w:val="24"/>
          <w:lang w:val="en-US" w:eastAsia="zh-CN"/>
          <w14:textFill>
            <w14:solidFill>
              <w14:schemeClr w14:val="tx1"/>
            </w14:solidFill>
          </w14:textFill>
        </w:rPr>
        <w:t>十一、质量保障措施及方案（格式自定）</w:t>
      </w:r>
    </w:p>
    <w:p w14:paraId="0039E5ED">
      <w:pPr>
        <w:pStyle w:val="3"/>
        <w:jc w:val="center"/>
        <w:rPr>
          <w:rFonts w:hint="eastAsia" w:ascii="黑体" w:eastAsia="黑体"/>
          <w:bCs w:val="0"/>
          <w:color w:val="000000" w:themeColor="text1"/>
          <w:sz w:val="24"/>
          <w:lang w:val="en-US" w:eastAsia="zh-CN"/>
          <w14:textFill>
            <w14:solidFill>
              <w14:schemeClr w14:val="tx1"/>
            </w14:solidFill>
          </w14:textFill>
        </w:rPr>
      </w:pPr>
      <w:r>
        <w:rPr>
          <w:rFonts w:hint="eastAsia" w:ascii="黑体" w:eastAsia="黑体"/>
          <w:bCs w:val="0"/>
          <w:color w:val="000000" w:themeColor="text1"/>
          <w:sz w:val="24"/>
          <w:lang w:val="en-US" w:eastAsia="zh-CN"/>
          <w14:textFill>
            <w14:solidFill>
              <w14:schemeClr w14:val="tx1"/>
            </w14:solidFill>
          </w14:textFill>
        </w:rPr>
        <w:t>十二、项目完成（服务期满）后的服务承诺（格式自定）</w:t>
      </w:r>
    </w:p>
    <w:p w14:paraId="3935089A">
      <w:pPr>
        <w:pStyle w:val="3"/>
        <w:jc w:val="center"/>
        <w:rPr>
          <w:rFonts w:ascii="黑体" w:eastAsia="黑体"/>
          <w:bCs w:val="0"/>
          <w:color w:val="000000" w:themeColor="text1"/>
          <w:sz w:val="24"/>
          <w14:textFill>
            <w14:solidFill>
              <w14:schemeClr w14:val="tx1"/>
            </w14:solidFill>
          </w14:textFill>
        </w:rPr>
      </w:pPr>
      <w:r>
        <w:rPr>
          <w:rFonts w:hint="eastAsia" w:ascii="黑体" w:eastAsia="黑体"/>
          <w:bCs w:val="0"/>
          <w:color w:val="000000" w:themeColor="text1"/>
          <w:sz w:val="24"/>
          <w:lang w:val="en-US" w:eastAsia="zh-CN"/>
          <w14:textFill>
            <w14:solidFill>
              <w14:schemeClr w14:val="tx1"/>
            </w14:solidFill>
          </w14:textFill>
        </w:rPr>
        <w:t>十三、违约承诺（格式自定）</w:t>
      </w:r>
    </w:p>
    <w:p w14:paraId="6B4C4A67">
      <w:pPr>
        <w:pStyle w:val="3"/>
        <w:jc w:val="center"/>
        <w:rPr>
          <w:rFonts w:hint="eastAsia" w:ascii="黑体" w:eastAsia="黑体"/>
          <w:bCs w:val="0"/>
          <w:color w:val="000000" w:themeColor="text1"/>
          <w:sz w:val="24"/>
          <w14:textFill>
            <w14:solidFill>
              <w14:schemeClr w14:val="tx1"/>
            </w14:solidFill>
          </w14:textFill>
        </w:rPr>
      </w:pPr>
      <w:r>
        <w:rPr>
          <w:rFonts w:hint="eastAsia" w:ascii="黑体" w:eastAsia="黑体"/>
          <w:bCs w:val="0"/>
          <w:color w:val="000000" w:themeColor="text1"/>
          <w:sz w:val="24"/>
          <w:lang w:val="en-US" w:eastAsia="zh-CN"/>
          <w14:textFill>
            <w14:solidFill>
              <w14:schemeClr w14:val="tx1"/>
            </w14:solidFill>
          </w14:textFill>
        </w:rPr>
        <w:t>十四</w:t>
      </w:r>
      <w:r>
        <w:rPr>
          <w:rFonts w:ascii="黑体" w:eastAsia="黑体"/>
          <w:bCs w:val="0"/>
          <w:color w:val="000000" w:themeColor="text1"/>
          <w:sz w:val="24"/>
          <w14:textFill>
            <w14:solidFill>
              <w14:schemeClr w14:val="tx1"/>
            </w14:solidFill>
          </w14:textFill>
        </w:rPr>
        <w:t>、</w:t>
      </w:r>
      <w:r>
        <w:rPr>
          <w:rFonts w:hint="eastAsia" w:ascii="黑体" w:eastAsia="黑体"/>
          <w:bCs w:val="0"/>
          <w:color w:val="000000" w:themeColor="text1"/>
          <w:sz w:val="24"/>
          <w14:textFill>
            <w14:solidFill>
              <w14:schemeClr w14:val="tx1"/>
            </w14:solidFill>
          </w14:textFill>
        </w:rPr>
        <w:t>投标人认为需要加以说明的其他内容（格式自定）</w:t>
      </w:r>
    </w:p>
    <w:p w14:paraId="6FB62550">
      <w:pPr>
        <w:rPr>
          <w:rFonts w:hint="eastAsia" w:asciiTheme="majorEastAsia" w:hAnsiTheme="majorEastAsia" w:eastAsiaTheme="majorEastAsia" w:cstheme="majorEastAsia"/>
          <w:b/>
          <w:bCs/>
          <w:sz w:val="24"/>
          <w:szCs w:val="20"/>
          <w:lang w:eastAsia="zh-CN"/>
        </w:rPr>
      </w:pPr>
      <w:r>
        <w:rPr>
          <w:rFonts w:hint="eastAsia" w:asciiTheme="majorEastAsia" w:hAnsiTheme="majorEastAsia" w:eastAsiaTheme="majorEastAsia" w:cstheme="majorEastAsia"/>
          <w:b/>
          <w:bCs/>
          <w:sz w:val="24"/>
          <w:szCs w:val="20"/>
          <w:lang w:eastAsia="zh-CN"/>
        </w:rPr>
        <w:t>（</w:t>
      </w:r>
      <w:r>
        <w:rPr>
          <w:rFonts w:hint="eastAsia" w:asciiTheme="majorEastAsia" w:hAnsiTheme="majorEastAsia" w:eastAsiaTheme="majorEastAsia" w:cstheme="majorEastAsia"/>
          <w:b/>
          <w:bCs/>
          <w:sz w:val="24"/>
          <w:szCs w:val="20"/>
          <w:lang w:val="en-US" w:eastAsia="zh-CN"/>
        </w:rPr>
        <w:t>1</w:t>
      </w:r>
      <w:r>
        <w:rPr>
          <w:rFonts w:hint="eastAsia" w:asciiTheme="majorEastAsia" w:hAnsiTheme="majorEastAsia" w:eastAsiaTheme="majorEastAsia" w:cstheme="majorEastAsia"/>
          <w:b/>
          <w:bCs/>
          <w:sz w:val="24"/>
          <w:szCs w:val="20"/>
          <w:lang w:eastAsia="zh-CN"/>
        </w:rPr>
        <w:t>）政府采购违法行为风险知悉确认书</w:t>
      </w:r>
    </w:p>
    <w:p w14:paraId="6EB90145">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我单位在投标前已充分知悉以下情形为参与政府采购活动时的重大风险事项，并承诺已对下述风险提示事项重点排查，若存在下述情况，我单位愿意依法承担被记入供应商诚信档案、罚款、取消参与政府采购资格、吊销营业执照等处罚；构成犯罪的，依法承担刑事责任。</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14:paraId="0E62C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tcPr>
          <w:p w14:paraId="37AC6F62">
            <w:pPr>
              <w:widowControl w:val="0"/>
              <w:spacing w:line="400" w:lineRule="exact"/>
              <w:jc w:val="center"/>
              <w:rPr>
                <w:rFonts w:hint="eastAsia" w:ascii="宋体" w:hAnsi="宋体" w:eastAsia="宋体" w:cs="宋体"/>
                <w:sz w:val="21"/>
                <w:szCs w:val="18"/>
                <w:highlight w:val="yellow"/>
              </w:rPr>
            </w:pPr>
            <w:r>
              <w:rPr>
                <w:rFonts w:hint="eastAsia" w:ascii="宋体" w:hAnsi="宋体" w:eastAsia="宋体" w:cs="宋体"/>
                <w:sz w:val="21"/>
                <w:szCs w:val="18"/>
                <w:highlight w:val="yellow"/>
              </w:rPr>
              <w:t>序号</w:t>
            </w:r>
          </w:p>
        </w:tc>
        <w:tc>
          <w:tcPr>
            <w:tcW w:w="7811" w:type="dxa"/>
          </w:tcPr>
          <w:p w14:paraId="40C5AD5A">
            <w:pPr>
              <w:widowControl w:val="0"/>
              <w:spacing w:line="400" w:lineRule="exact"/>
              <w:jc w:val="center"/>
              <w:rPr>
                <w:rFonts w:hint="eastAsia" w:ascii="宋体" w:hAnsi="宋体" w:eastAsia="宋体" w:cs="宋体"/>
                <w:sz w:val="21"/>
                <w:szCs w:val="18"/>
                <w:highlight w:val="yellow"/>
              </w:rPr>
            </w:pPr>
            <w:r>
              <w:rPr>
                <w:rFonts w:hint="eastAsia" w:ascii="宋体" w:hAnsi="宋体" w:eastAsia="宋体" w:cs="宋体"/>
                <w:b/>
                <w:bCs/>
                <w:sz w:val="21"/>
                <w:szCs w:val="18"/>
                <w:highlight w:val="yellow"/>
              </w:rPr>
              <w:t>供应商参与投标禁止情形</w:t>
            </w:r>
          </w:p>
        </w:tc>
      </w:tr>
      <w:tr w14:paraId="30A81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531A1352">
            <w:pPr>
              <w:widowControl w:val="0"/>
              <w:spacing w:line="400" w:lineRule="exact"/>
              <w:jc w:val="center"/>
              <w:rPr>
                <w:rFonts w:hint="eastAsia" w:ascii="宋体" w:hAnsi="宋体" w:eastAsia="宋体" w:cs="宋体"/>
                <w:sz w:val="21"/>
                <w:szCs w:val="18"/>
                <w:highlight w:val="yellow"/>
              </w:rPr>
            </w:pPr>
            <w:r>
              <w:rPr>
                <w:rFonts w:hint="eastAsia" w:ascii="宋体" w:hAnsi="宋体" w:eastAsia="宋体" w:cs="宋体"/>
                <w:sz w:val="21"/>
                <w:szCs w:val="18"/>
                <w:highlight w:val="yellow"/>
              </w:rPr>
              <w:t>1</w:t>
            </w:r>
          </w:p>
        </w:tc>
        <w:tc>
          <w:tcPr>
            <w:tcW w:w="7811" w:type="dxa"/>
            <w:vAlign w:val="center"/>
          </w:tcPr>
          <w:p w14:paraId="1F07F1AC">
            <w:pPr>
              <w:widowControl w:val="0"/>
              <w:spacing w:line="400" w:lineRule="exact"/>
              <w:jc w:val="left"/>
              <w:rPr>
                <w:rFonts w:hint="eastAsia" w:ascii="宋体" w:hAnsi="宋体" w:eastAsia="宋体" w:cs="宋体"/>
                <w:sz w:val="21"/>
                <w:szCs w:val="18"/>
                <w:highlight w:val="yellow"/>
              </w:rPr>
            </w:pPr>
            <w:r>
              <w:rPr>
                <w:rFonts w:hint="eastAsia" w:ascii="宋体" w:hAnsi="宋体" w:eastAsia="宋体" w:cs="宋体"/>
                <w:sz w:val="21"/>
                <w:szCs w:val="18"/>
                <w:highlight w:val="yellow"/>
              </w:rPr>
              <w:t>与其他投标供应商的法定代表人、主要经营负责人、投标授权代表人、项目负责人、主要技术人员为</w:t>
            </w:r>
            <w:r>
              <w:rPr>
                <w:rFonts w:hint="eastAsia" w:ascii="宋体" w:hAnsi="宋体" w:eastAsia="宋体" w:cs="宋体"/>
                <w:b/>
                <w:bCs/>
                <w:sz w:val="21"/>
                <w:szCs w:val="18"/>
                <w:highlight w:val="yellow"/>
              </w:rPr>
              <w:t>同一人、属同一单位或者在同一单位缴纳社会保险</w:t>
            </w:r>
            <w:r>
              <w:rPr>
                <w:rFonts w:hint="eastAsia" w:ascii="宋体" w:hAnsi="宋体" w:eastAsia="宋体" w:cs="宋体"/>
                <w:sz w:val="21"/>
                <w:szCs w:val="18"/>
                <w:highlight w:val="yellow"/>
              </w:rPr>
              <w:t>。</w:t>
            </w:r>
          </w:p>
        </w:tc>
      </w:tr>
      <w:tr w14:paraId="06438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tcPr>
          <w:p w14:paraId="50621D12">
            <w:pPr>
              <w:widowControl w:val="0"/>
              <w:spacing w:line="400" w:lineRule="exact"/>
              <w:jc w:val="center"/>
              <w:rPr>
                <w:rFonts w:hint="eastAsia" w:ascii="宋体" w:hAnsi="宋体" w:eastAsia="宋体" w:cs="宋体"/>
                <w:sz w:val="21"/>
                <w:szCs w:val="18"/>
                <w:highlight w:val="yellow"/>
              </w:rPr>
            </w:pPr>
            <w:r>
              <w:rPr>
                <w:rFonts w:hint="eastAsia" w:ascii="宋体" w:hAnsi="宋体" w:eastAsia="宋体" w:cs="宋体"/>
                <w:sz w:val="21"/>
                <w:szCs w:val="18"/>
                <w:highlight w:val="yellow"/>
              </w:rPr>
              <w:t>2</w:t>
            </w:r>
          </w:p>
        </w:tc>
        <w:tc>
          <w:tcPr>
            <w:tcW w:w="7811" w:type="dxa"/>
            <w:vAlign w:val="center"/>
          </w:tcPr>
          <w:p w14:paraId="33968C54">
            <w:pPr>
              <w:widowControl w:val="0"/>
              <w:spacing w:line="400" w:lineRule="exact"/>
              <w:jc w:val="left"/>
              <w:rPr>
                <w:rFonts w:hint="eastAsia" w:ascii="宋体" w:hAnsi="宋体" w:eastAsia="宋体" w:cs="宋体"/>
                <w:sz w:val="21"/>
                <w:szCs w:val="18"/>
                <w:highlight w:val="yellow"/>
              </w:rPr>
            </w:pPr>
            <w:r>
              <w:rPr>
                <w:rFonts w:hint="eastAsia" w:ascii="宋体" w:hAnsi="宋体" w:eastAsia="宋体" w:cs="宋体"/>
                <w:sz w:val="21"/>
                <w:szCs w:val="18"/>
                <w:highlight w:val="yellow"/>
              </w:rPr>
              <w:t>参与本项目政府采购活动时，与其他投标供应商存在单位负责人为</w:t>
            </w:r>
            <w:r>
              <w:rPr>
                <w:rFonts w:hint="eastAsia" w:ascii="宋体" w:hAnsi="宋体" w:eastAsia="宋体" w:cs="宋体"/>
                <w:b/>
                <w:bCs/>
                <w:sz w:val="21"/>
                <w:szCs w:val="18"/>
                <w:highlight w:val="yellow"/>
              </w:rPr>
              <w:t>同一人或直接控股、管理关系</w:t>
            </w:r>
            <w:r>
              <w:rPr>
                <w:rFonts w:hint="eastAsia" w:ascii="宋体" w:hAnsi="宋体" w:eastAsia="宋体" w:cs="宋体"/>
                <w:sz w:val="21"/>
                <w:szCs w:val="18"/>
                <w:highlight w:val="yellow"/>
              </w:rPr>
              <w:t>。</w:t>
            </w:r>
          </w:p>
        </w:tc>
      </w:tr>
      <w:tr w14:paraId="5184C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2967B8FD">
            <w:pPr>
              <w:widowControl w:val="0"/>
              <w:spacing w:line="400" w:lineRule="exact"/>
              <w:jc w:val="center"/>
              <w:rPr>
                <w:rFonts w:hint="eastAsia" w:ascii="宋体" w:hAnsi="宋体" w:eastAsia="宋体" w:cs="宋体"/>
                <w:sz w:val="21"/>
                <w:szCs w:val="18"/>
                <w:highlight w:val="yellow"/>
              </w:rPr>
            </w:pPr>
            <w:r>
              <w:rPr>
                <w:rFonts w:hint="eastAsia" w:ascii="宋体" w:hAnsi="宋体" w:eastAsia="宋体" w:cs="宋体"/>
                <w:sz w:val="21"/>
                <w:szCs w:val="18"/>
                <w:highlight w:val="yellow"/>
              </w:rPr>
              <w:t>3</w:t>
            </w:r>
          </w:p>
        </w:tc>
        <w:tc>
          <w:tcPr>
            <w:tcW w:w="7811" w:type="dxa"/>
            <w:vAlign w:val="center"/>
          </w:tcPr>
          <w:p w14:paraId="5DE3398F">
            <w:pPr>
              <w:widowControl w:val="0"/>
              <w:spacing w:line="400" w:lineRule="exact"/>
              <w:jc w:val="left"/>
              <w:rPr>
                <w:rFonts w:hint="eastAsia" w:ascii="宋体" w:hAnsi="宋体" w:eastAsia="宋体" w:cs="宋体"/>
                <w:sz w:val="21"/>
                <w:szCs w:val="18"/>
                <w:highlight w:val="yellow"/>
              </w:rPr>
            </w:pPr>
            <w:r>
              <w:rPr>
                <w:rFonts w:hint="eastAsia" w:ascii="宋体" w:hAnsi="宋体" w:eastAsia="宋体" w:cs="宋体"/>
                <w:sz w:val="21"/>
                <w:szCs w:val="18"/>
                <w:highlight w:val="yellow"/>
              </w:rPr>
              <w:t>与其他投标供应商的投标文件或部分投标文件</w:t>
            </w:r>
            <w:r>
              <w:rPr>
                <w:rFonts w:hint="eastAsia" w:ascii="宋体" w:hAnsi="宋体" w:eastAsia="宋体" w:cs="宋体"/>
                <w:b/>
                <w:bCs/>
                <w:sz w:val="21"/>
                <w:szCs w:val="18"/>
                <w:highlight w:val="yellow"/>
              </w:rPr>
              <w:t>相互混装或存在非正常一致</w:t>
            </w:r>
            <w:r>
              <w:rPr>
                <w:rFonts w:hint="eastAsia" w:ascii="宋体" w:hAnsi="宋体" w:eastAsia="宋体" w:cs="宋体"/>
                <w:sz w:val="21"/>
                <w:szCs w:val="18"/>
                <w:highlight w:val="yellow"/>
              </w:rPr>
              <w:t>。</w:t>
            </w:r>
          </w:p>
        </w:tc>
      </w:tr>
      <w:tr w14:paraId="4CC60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5DF807FC">
            <w:pPr>
              <w:widowControl w:val="0"/>
              <w:spacing w:line="400" w:lineRule="exact"/>
              <w:jc w:val="center"/>
              <w:rPr>
                <w:rFonts w:hint="eastAsia" w:ascii="宋体" w:hAnsi="宋体" w:eastAsia="宋体" w:cs="宋体"/>
                <w:sz w:val="21"/>
                <w:szCs w:val="18"/>
                <w:highlight w:val="yellow"/>
              </w:rPr>
            </w:pPr>
            <w:r>
              <w:rPr>
                <w:rFonts w:hint="eastAsia" w:ascii="宋体" w:hAnsi="宋体" w:eastAsia="宋体" w:cs="宋体"/>
                <w:sz w:val="21"/>
                <w:szCs w:val="18"/>
                <w:highlight w:val="yellow"/>
              </w:rPr>
              <w:t>4</w:t>
            </w:r>
          </w:p>
        </w:tc>
        <w:tc>
          <w:tcPr>
            <w:tcW w:w="7811" w:type="dxa"/>
            <w:vAlign w:val="center"/>
          </w:tcPr>
          <w:p w14:paraId="6ACC9269">
            <w:pPr>
              <w:widowControl w:val="0"/>
              <w:spacing w:line="400" w:lineRule="exact"/>
              <w:jc w:val="left"/>
              <w:rPr>
                <w:rFonts w:hint="eastAsia" w:ascii="宋体" w:hAnsi="宋体" w:eastAsia="宋体" w:cs="宋体"/>
                <w:sz w:val="21"/>
                <w:szCs w:val="18"/>
                <w:highlight w:val="yellow"/>
              </w:rPr>
            </w:pPr>
            <w:r>
              <w:rPr>
                <w:rFonts w:hint="eastAsia" w:ascii="宋体" w:hAnsi="宋体" w:eastAsia="宋体" w:cs="宋体"/>
                <w:sz w:val="21"/>
                <w:szCs w:val="18"/>
                <w:highlight w:val="yellow"/>
              </w:rPr>
              <w:t>与其他投标供应商的投标文件由</w:t>
            </w:r>
            <w:r>
              <w:rPr>
                <w:rFonts w:hint="eastAsia" w:ascii="宋体" w:hAnsi="宋体" w:eastAsia="宋体" w:cs="宋体"/>
                <w:b/>
                <w:bCs/>
                <w:sz w:val="21"/>
                <w:szCs w:val="18"/>
                <w:highlight w:val="yellow"/>
              </w:rPr>
              <w:t>同一单位或者同一人编制</w:t>
            </w:r>
            <w:r>
              <w:rPr>
                <w:rFonts w:hint="eastAsia" w:ascii="宋体" w:hAnsi="宋体" w:eastAsia="宋体" w:cs="宋体"/>
                <w:sz w:val="21"/>
                <w:szCs w:val="18"/>
                <w:highlight w:val="yellow"/>
              </w:rPr>
              <w:t>，或者使用</w:t>
            </w:r>
            <w:r>
              <w:rPr>
                <w:rFonts w:hint="eastAsia" w:ascii="宋体" w:hAnsi="宋体" w:eastAsia="宋体" w:cs="宋体"/>
                <w:b/>
                <w:bCs/>
                <w:sz w:val="21"/>
                <w:szCs w:val="18"/>
                <w:highlight w:val="yellow"/>
              </w:rPr>
              <w:t>同一设备编制</w:t>
            </w:r>
            <w:r>
              <w:rPr>
                <w:rFonts w:hint="eastAsia" w:ascii="宋体" w:hAnsi="宋体" w:eastAsia="宋体" w:cs="宋体"/>
                <w:sz w:val="21"/>
                <w:szCs w:val="18"/>
                <w:highlight w:val="yellow"/>
              </w:rPr>
              <w:t>（“文件制作机器码”“文件创建标识码”一致）。</w:t>
            </w:r>
          </w:p>
        </w:tc>
      </w:tr>
      <w:tr w14:paraId="79C25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tcPr>
          <w:p w14:paraId="5E917517">
            <w:pPr>
              <w:widowControl w:val="0"/>
              <w:spacing w:line="400" w:lineRule="exact"/>
              <w:jc w:val="center"/>
              <w:rPr>
                <w:rFonts w:hint="eastAsia" w:ascii="宋体" w:hAnsi="宋体" w:eastAsia="宋体" w:cs="宋体"/>
                <w:sz w:val="21"/>
                <w:szCs w:val="18"/>
                <w:highlight w:val="yellow"/>
              </w:rPr>
            </w:pPr>
            <w:r>
              <w:rPr>
                <w:rFonts w:hint="eastAsia" w:ascii="宋体" w:hAnsi="宋体" w:eastAsia="宋体" w:cs="宋体"/>
                <w:sz w:val="21"/>
                <w:szCs w:val="18"/>
                <w:highlight w:val="yellow"/>
              </w:rPr>
              <w:t>5</w:t>
            </w:r>
          </w:p>
        </w:tc>
        <w:tc>
          <w:tcPr>
            <w:tcW w:w="7811" w:type="dxa"/>
            <w:vAlign w:val="center"/>
          </w:tcPr>
          <w:p w14:paraId="5036EDA8">
            <w:pPr>
              <w:widowControl w:val="0"/>
              <w:spacing w:line="400" w:lineRule="exact"/>
              <w:jc w:val="left"/>
              <w:rPr>
                <w:rFonts w:hint="eastAsia" w:ascii="宋体" w:hAnsi="宋体" w:eastAsia="宋体" w:cs="宋体"/>
                <w:sz w:val="21"/>
                <w:szCs w:val="18"/>
                <w:highlight w:val="yellow"/>
              </w:rPr>
            </w:pPr>
            <w:r>
              <w:rPr>
                <w:rFonts w:hint="eastAsia" w:ascii="宋体" w:hAnsi="宋体" w:eastAsia="宋体" w:cs="宋体"/>
                <w:sz w:val="21"/>
                <w:szCs w:val="18"/>
                <w:highlight w:val="yellow"/>
              </w:rPr>
              <w:t>提供</w:t>
            </w:r>
            <w:r>
              <w:rPr>
                <w:rFonts w:hint="eastAsia" w:ascii="宋体" w:hAnsi="宋体" w:eastAsia="宋体" w:cs="宋体"/>
                <w:b/>
                <w:bCs/>
                <w:sz w:val="21"/>
                <w:szCs w:val="18"/>
                <w:highlight w:val="yellow"/>
              </w:rPr>
              <w:t>未经出具机构核实</w:t>
            </w:r>
            <w:r>
              <w:rPr>
                <w:rFonts w:hint="eastAsia" w:ascii="宋体" w:hAnsi="宋体" w:eastAsia="宋体" w:cs="宋体"/>
                <w:sz w:val="21"/>
                <w:szCs w:val="18"/>
                <w:highlight w:val="yellow"/>
              </w:rPr>
              <w:t>的虚假的检验检测报告、业绩材料、社保缴纳证明、学历学位证书、职称认证证书等材料。</w:t>
            </w:r>
          </w:p>
        </w:tc>
      </w:tr>
      <w:tr w14:paraId="51D2F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30DC986F">
            <w:pPr>
              <w:widowControl w:val="0"/>
              <w:spacing w:line="400" w:lineRule="exact"/>
              <w:jc w:val="center"/>
              <w:rPr>
                <w:rFonts w:hint="eastAsia" w:ascii="宋体" w:hAnsi="宋体" w:eastAsia="宋体" w:cs="宋体"/>
                <w:sz w:val="21"/>
                <w:szCs w:val="18"/>
                <w:highlight w:val="yellow"/>
              </w:rPr>
            </w:pPr>
            <w:r>
              <w:rPr>
                <w:rFonts w:hint="eastAsia" w:ascii="宋体" w:hAnsi="宋体" w:eastAsia="宋体" w:cs="宋体"/>
                <w:sz w:val="21"/>
                <w:szCs w:val="18"/>
                <w:highlight w:val="yellow"/>
              </w:rPr>
              <w:t>6</w:t>
            </w:r>
          </w:p>
        </w:tc>
        <w:tc>
          <w:tcPr>
            <w:tcW w:w="7811" w:type="dxa"/>
            <w:vAlign w:val="center"/>
          </w:tcPr>
          <w:p w14:paraId="4D8A953A">
            <w:pPr>
              <w:widowControl w:val="0"/>
              <w:spacing w:line="400" w:lineRule="exact"/>
              <w:jc w:val="left"/>
              <w:rPr>
                <w:rFonts w:hint="eastAsia" w:ascii="宋体" w:hAnsi="宋体" w:eastAsia="宋体" w:cs="宋体"/>
                <w:sz w:val="21"/>
                <w:szCs w:val="18"/>
                <w:highlight w:val="yellow"/>
              </w:rPr>
            </w:pPr>
            <w:r>
              <w:rPr>
                <w:rFonts w:hint="eastAsia" w:ascii="宋体" w:hAnsi="宋体" w:eastAsia="宋体" w:cs="宋体"/>
                <w:sz w:val="21"/>
                <w:szCs w:val="18"/>
                <w:highlight w:val="yellow"/>
              </w:rPr>
              <w:t>擅自将投标密钥或电子营业执照出借他人使用或未妥善保管。</w:t>
            </w:r>
          </w:p>
        </w:tc>
      </w:tr>
    </w:tbl>
    <w:p w14:paraId="5EBE1088">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本公司在投标前已充分知悉以下情形为参与政府采购活动时的重大风险事项，并承诺已对下述风险提示事项重点排查，做到严谨、诚信、依法依规参与政府采购活动。</w:t>
      </w:r>
    </w:p>
    <w:p w14:paraId="0B760D21">
      <w:pPr>
        <w:keepNext w:val="0"/>
        <w:keepLines w:val="0"/>
        <w:pageBreakBefore w:val="0"/>
        <w:kinsoku/>
        <w:wordWrap/>
        <w:overflowPunct/>
        <w:topLinePunct w:val="0"/>
        <w:bidi w:val="0"/>
        <w:adjustRightInd/>
        <w:snapToGrid/>
        <w:spacing w:beforeAutospacing="0" w:afterAutospacing="0" w:line="240" w:lineRule="auto"/>
        <w:ind w:right="0" w:rightChars="0" w:firstLine="422" w:firstLineChars="200"/>
        <w:textAlignment w:val="auto"/>
        <w:rPr>
          <w:rFonts w:hint="eastAsia" w:ascii="宋体" w:hAnsi="宋体" w:eastAsia="宋体" w:cs="宋体"/>
          <w:b/>
          <w:bCs/>
          <w:sz w:val="21"/>
          <w:szCs w:val="21"/>
          <w:highlight w:val="yellow"/>
        </w:rPr>
      </w:pPr>
      <w:r>
        <w:rPr>
          <w:rFonts w:hint="eastAsia" w:ascii="宋体" w:hAnsi="宋体" w:eastAsia="宋体" w:cs="宋体"/>
          <w:b/>
          <w:bCs/>
          <w:sz w:val="21"/>
          <w:szCs w:val="21"/>
          <w:highlight w:val="yellow"/>
        </w:rPr>
        <w:t>一、本公司已充分知悉“隐瞒真实情况，提供虚假资料”的法定情形，相关情形包括但不限于：</w:t>
      </w:r>
    </w:p>
    <w:p w14:paraId="4D10AE50">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（一）通过转让或者租借等方式从其他单位获取资格或者资质证书投标的。</w:t>
      </w:r>
    </w:p>
    <w:p w14:paraId="2BD2434E">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（二）由其他单位或者其他单位负责人在投标供应商编制的投标文件上加盖印章或者签字的。</w:t>
      </w:r>
    </w:p>
    <w:p w14:paraId="456EFF09">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（三）项目负责人或者主要技术人员不是本单位人员的。</w:t>
      </w:r>
    </w:p>
    <w:p w14:paraId="2DDC9ABF">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（四）投标保证金不是从投标供应商基本账户转出的。</w:t>
      </w:r>
    </w:p>
    <w:p w14:paraId="1DE2C7FA">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（五）其他隐瞒真实情况、提供虚假资料的行为。</w:t>
      </w:r>
    </w:p>
    <w:p w14:paraId="55496AAE">
      <w:pPr>
        <w:keepNext w:val="0"/>
        <w:keepLines w:val="0"/>
        <w:pageBreakBefore w:val="0"/>
        <w:kinsoku/>
        <w:wordWrap/>
        <w:overflowPunct/>
        <w:topLinePunct w:val="0"/>
        <w:bidi w:val="0"/>
        <w:adjustRightInd/>
        <w:snapToGrid/>
        <w:spacing w:beforeAutospacing="0" w:afterAutospacing="0" w:line="240" w:lineRule="auto"/>
        <w:ind w:right="0" w:rightChars="0" w:firstLine="422" w:firstLineChars="200"/>
        <w:textAlignment w:val="auto"/>
        <w:rPr>
          <w:rFonts w:hint="eastAsia" w:ascii="宋体" w:hAnsi="宋体" w:eastAsia="宋体" w:cs="宋体"/>
          <w:b/>
          <w:bCs/>
          <w:sz w:val="21"/>
          <w:szCs w:val="21"/>
          <w:highlight w:val="yellow"/>
        </w:rPr>
      </w:pPr>
      <w:r>
        <w:rPr>
          <w:rFonts w:hint="eastAsia" w:ascii="宋体" w:hAnsi="宋体" w:eastAsia="宋体" w:cs="宋体"/>
          <w:b/>
          <w:bCs/>
          <w:sz w:val="21"/>
          <w:szCs w:val="21"/>
          <w:highlight w:val="yellow"/>
        </w:rPr>
        <w:t>二、本公司已充分知悉“与其他采购参加人串通投标”的法定情形，相关情形包括但不限于：</w:t>
      </w:r>
    </w:p>
    <w:p w14:paraId="0DD4C41D">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（一）投标供应商之间相互约定给予未中标的供应商利益补偿。</w:t>
      </w:r>
    </w:p>
    <w:p w14:paraId="51B70C5D">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（二）不同投标供应商的法定代表人、主要经营负责人、项目投标授权代表人、项目负责人、主要技术人员为同一人、属同一单位或者在同一单位缴纳社会保险。</w:t>
      </w:r>
    </w:p>
    <w:p w14:paraId="19B31935">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（三）不同投标供应商的投标文件由同一单位或者同一人编制，或者由同一人分阶段参与编制的。</w:t>
      </w:r>
    </w:p>
    <w:p w14:paraId="5663EAE0">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（四）不同投标供应商的投标文件或部分投标文件相互混装。</w:t>
      </w:r>
    </w:p>
    <w:p w14:paraId="2C72F4B6">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（五）不同投标供应商的投标文件内容存在非正常一致。</w:t>
      </w:r>
    </w:p>
    <w:p w14:paraId="351D2399">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（六）由同一单位工作人员为两家以上（含两家）供应商进行同一项投标活动的。</w:t>
      </w:r>
    </w:p>
    <w:p w14:paraId="79A18B18">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（七）不同投标人的投标报价呈规律性差异。</w:t>
      </w:r>
    </w:p>
    <w:p w14:paraId="3417E40C">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（八）不同投标人的投标保证金从同一单位或者个人的账户转出。</w:t>
      </w:r>
    </w:p>
    <w:p w14:paraId="6491DC7E">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（九）主管部门依照法律、法规认定的其他情形。</w:t>
      </w:r>
    </w:p>
    <w:p w14:paraId="285B71B9">
      <w:pPr>
        <w:keepNext w:val="0"/>
        <w:keepLines w:val="0"/>
        <w:pageBreakBefore w:val="0"/>
        <w:kinsoku/>
        <w:wordWrap/>
        <w:overflowPunct/>
        <w:topLinePunct w:val="0"/>
        <w:bidi w:val="0"/>
        <w:adjustRightInd/>
        <w:snapToGrid/>
        <w:spacing w:beforeAutospacing="0" w:afterAutospacing="0" w:line="240" w:lineRule="auto"/>
        <w:ind w:right="0" w:rightChars="0" w:firstLine="422" w:firstLineChars="200"/>
        <w:textAlignment w:val="auto"/>
        <w:rPr>
          <w:rFonts w:hint="eastAsia" w:ascii="宋体" w:hAnsi="宋体" w:eastAsia="宋体" w:cs="宋体"/>
          <w:b/>
          <w:bCs/>
          <w:sz w:val="21"/>
          <w:szCs w:val="21"/>
          <w:highlight w:val="yellow"/>
        </w:rPr>
      </w:pPr>
      <w:r>
        <w:rPr>
          <w:rFonts w:hint="eastAsia" w:ascii="宋体" w:hAnsi="宋体" w:eastAsia="宋体" w:cs="宋体"/>
          <w:b/>
          <w:bCs/>
          <w:sz w:val="21"/>
          <w:szCs w:val="21"/>
          <w:highlight w:val="yellow"/>
        </w:rPr>
        <w:t>三、本公司已充分知悉下列情形所对应的法律风险，并在投标前已对相关风险事项进行排查。</w:t>
      </w:r>
    </w:p>
    <w:p w14:paraId="174DEF06">
      <w:pPr>
        <w:keepNext w:val="0"/>
        <w:keepLines w:val="0"/>
        <w:pageBreakBefore w:val="0"/>
        <w:kinsoku/>
        <w:wordWrap/>
        <w:overflowPunct/>
        <w:topLinePunct w:val="0"/>
        <w:autoSpaceDE w:val="0"/>
        <w:autoSpaceDN w:val="0"/>
        <w:bidi w:val="0"/>
        <w:adjustRightInd/>
        <w:snapToGrid/>
        <w:spacing w:beforeAutospacing="0" w:afterAutospacing="0" w:line="240" w:lineRule="auto"/>
        <w:ind w:right="0" w:rightChars="0" w:firstLine="404" w:firstLineChars="200"/>
        <w:textAlignment w:val="auto"/>
        <w:rPr>
          <w:rFonts w:hint="eastAsia" w:ascii="宋体" w:hAnsi="宋体" w:eastAsia="宋体" w:cs="宋体"/>
          <w:b/>
          <w:bCs/>
          <w:spacing w:val="-4"/>
          <w:kern w:val="0"/>
          <w:sz w:val="21"/>
          <w:szCs w:val="21"/>
          <w:highlight w:val="yellow"/>
        </w:rPr>
      </w:pPr>
      <w:r>
        <w:rPr>
          <w:rFonts w:hint="eastAsia" w:ascii="宋体" w:hAnsi="宋体" w:eastAsia="宋体" w:cs="宋体"/>
          <w:spacing w:val="-4"/>
          <w:kern w:val="0"/>
          <w:sz w:val="21"/>
          <w:szCs w:val="21"/>
          <w:highlight w:val="yellow"/>
        </w:rPr>
        <w:t>（一）对于从其他主体获取的投标资料，供应商应审慎核查，确保投标资料的真实性。</w:t>
      </w:r>
      <w:r>
        <w:rPr>
          <w:rFonts w:hint="eastAsia" w:ascii="宋体" w:hAnsi="宋体" w:eastAsia="宋体" w:cs="宋体"/>
          <w:b/>
          <w:bCs/>
          <w:spacing w:val="-4"/>
          <w:kern w:val="0"/>
          <w:sz w:val="21"/>
          <w:szCs w:val="21"/>
          <w:highlight w:val="yellow"/>
        </w:rPr>
        <w:t>如主管部门查实投标文件中存在虚假资料的，无论相关资料是否由第三方或本公司员工提供，均不影响主管部门对供应商存在“隐瞒真实情况，提供虚假资料”违法行为的认定。</w:t>
      </w:r>
    </w:p>
    <w:p w14:paraId="4CCF4CAC">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（二）对于涉及国家机关出具的公文、证件、证明材料等文件，一旦涉嫌虚假，经查实，主管部门将依法从严处理，并移送有关部门追究法律责任；涉嫌犯罪的，主管部门将一并移送司法机关追究法律责任。</w:t>
      </w:r>
    </w:p>
    <w:p w14:paraId="56F8181B">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（三）对于涉及安全生产、特种作业、抢险救灾、防疫等政府采购项目，供应商实施提供虚假资料、串通投标等违法行为的，主管部门将依法从严处理。</w:t>
      </w:r>
    </w:p>
    <w:p w14:paraId="4AABF752">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61417B63">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五）供应商对投标电子密钥负有妥善保管、及时变更和续期等主体责任。供应商使用电子密钥在深圳政府采购网站进行的活动，均具有法律效力，须承担相应的法律后果。供应商擅自将投标密钥出借他人使用所造成的法律后果，由供应商自行承担。</w:t>
      </w:r>
    </w:p>
    <w:p w14:paraId="55FC3519">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（六）单位负责人为同一人或者存在直接控股、管理关系的不同供应商，不得参加同一合同项下的政府采购活动。相关情形如查实，依法作投标无效处理；涉嫌串通投标等违法行为的，主管部门将依法调查处理。</w:t>
      </w:r>
    </w:p>
    <w:p w14:paraId="208D5AF1">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22" w:firstLineChars="200"/>
        <w:jc w:val="left"/>
        <w:textAlignment w:val="auto"/>
        <w:rPr>
          <w:rFonts w:hint="eastAsia" w:ascii="宋体" w:hAnsi="宋体" w:eastAsia="宋体" w:cs="宋体"/>
          <w:b/>
          <w:bCs/>
          <w:kern w:val="0"/>
          <w:sz w:val="21"/>
          <w:szCs w:val="21"/>
          <w:highlight w:val="yellow"/>
          <w:lang w:val="en-US" w:eastAsia="zh-CN" w:bidi="ar-SA"/>
        </w:rPr>
      </w:pPr>
      <w:r>
        <w:rPr>
          <w:rFonts w:hint="eastAsia" w:ascii="宋体" w:hAnsi="宋体" w:eastAsia="宋体" w:cs="宋体"/>
          <w:b/>
          <w:bCs/>
          <w:kern w:val="0"/>
          <w:sz w:val="21"/>
          <w:szCs w:val="21"/>
          <w:highlight w:val="yellow"/>
          <w:lang w:val="en-US" w:eastAsia="zh-CN" w:bidi="ar-SA"/>
        </w:rPr>
        <w:t>四、本公司已充分知悉政府采购违法、违规行为的法律后果。</w:t>
      </w:r>
    </w:p>
    <w:p w14:paraId="147B938F">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4" w:firstLineChars="200"/>
        <w:jc w:val="left"/>
        <w:textAlignment w:val="auto"/>
        <w:rPr>
          <w:rFonts w:hint="eastAsia" w:ascii="宋体" w:hAnsi="宋体" w:eastAsia="宋体" w:cs="宋体"/>
          <w:b/>
          <w:bCs/>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经查实，若投标供应商存在政府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r>
        <w:rPr>
          <w:rFonts w:hint="eastAsia" w:ascii="宋体" w:hAnsi="宋体" w:eastAsia="宋体" w:cs="宋体"/>
          <w:b/>
          <w:bCs/>
          <w:spacing w:val="-4"/>
          <w:kern w:val="0"/>
          <w:sz w:val="21"/>
          <w:szCs w:val="21"/>
          <w:highlight w:val="yellow"/>
          <w:lang w:val="en-US" w:eastAsia="zh-CN" w:bidi="ar-SA"/>
        </w:rPr>
        <w:t>以下文字请投标供应商抄写并确认：“本公司已仔细阅读《政府采购违法行为风险知悉确认书》，充分知悉违法行为的法律后果，并承诺将严谨、诚信、依法依规参与政府采购活动”。</w:t>
      </w:r>
    </w:p>
    <w:tbl>
      <w:tblPr>
        <w:tblStyle w:val="17"/>
        <w:tblW w:w="0" w:type="auto"/>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5DA23601">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66206923">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jc w:val="left"/>
              <w:textAlignment w:val="auto"/>
              <w:rPr>
                <w:rFonts w:hint="eastAsia" w:ascii="宋体" w:hAnsi="宋体" w:eastAsia="宋体" w:cs="宋体"/>
                <w:spacing w:val="-4"/>
                <w:kern w:val="0"/>
                <w:sz w:val="21"/>
                <w:szCs w:val="21"/>
                <w:highlight w:val="green"/>
                <w:vertAlign w:val="baseline"/>
                <w:lang w:val="en-US" w:eastAsia="zh-CN" w:bidi="ar-SA"/>
              </w:rPr>
            </w:pPr>
          </w:p>
        </w:tc>
      </w:tr>
      <w:tr w14:paraId="40F81061">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17D6A301">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jc w:val="left"/>
              <w:textAlignment w:val="auto"/>
              <w:rPr>
                <w:rFonts w:hint="eastAsia" w:ascii="宋体" w:hAnsi="宋体" w:eastAsia="宋体" w:cs="宋体"/>
                <w:spacing w:val="-4"/>
                <w:kern w:val="0"/>
                <w:sz w:val="21"/>
                <w:szCs w:val="21"/>
                <w:highlight w:val="green"/>
                <w:vertAlign w:val="baseline"/>
                <w:lang w:val="en-US" w:eastAsia="zh-CN" w:bidi="ar-SA"/>
              </w:rPr>
            </w:pPr>
          </w:p>
        </w:tc>
      </w:tr>
      <w:tr w14:paraId="757D5FA1">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248D67E9">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jc w:val="left"/>
              <w:textAlignment w:val="auto"/>
              <w:rPr>
                <w:rFonts w:hint="eastAsia" w:ascii="宋体" w:hAnsi="宋体" w:eastAsia="宋体" w:cs="宋体"/>
                <w:spacing w:val="-4"/>
                <w:kern w:val="0"/>
                <w:sz w:val="21"/>
                <w:szCs w:val="21"/>
                <w:highlight w:val="green"/>
                <w:vertAlign w:val="baseline"/>
                <w:lang w:val="en-US" w:eastAsia="zh-CN" w:bidi="ar-SA"/>
              </w:rPr>
            </w:pPr>
          </w:p>
        </w:tc>
      </w:tr>
      <w:tr w14:paraId="346AB116">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4CF8E964">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jc w:val="left"/>
              <w:textAlignment w:val="auto"/>
              <w:rPr>
                <w:rFonts w:hint="eastAsia" w:ascii="宋体" w:hAnsi="宋体" w:eastAsia="宋体" w:cs="宋体"/>
                <w:spacing w:val="-4"/>
                <w:kern w:val="0"/>
                <w:sz w:val="21"/>
                <w:szCs w:val="21"/>
                <w:highlight w:val="green"/>
                <w:vertAlign w:val="baseline"/>
                <w:lang w:val="en-US" w:eastAsia="zh-CN" w:bidi="ar-SA"/>
              </w:rPr>
            </w:pPr>
          </w:p>
        </w:tc>
      </w:tr>
    </w:tbl>
    <w:p w14:paraId="38DB6E59">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6" w:firstLineChars="200"/>
        <w:jc w:val="left"/>
        <w:textAlignment w:val="auto"/>
        <w:rPr>
          <w:rFonts w:hint="eastAsia" w:ascii="宋体" w:hAnsi="宋体" w:eastAsia="宋体" w:cs="宋体"/>
          <w:b/>
          <w:bCs/>
          <w:color w:val="FF0000"/>
          <w:spacing w:val="-4"/>
          <w:kern w:val="0"/>
          <w:sz w:val="21"/>
          <w:szCs w:val="21"/>
          <w:highlight w:val="yellow"/>
          <w:lang w:val="en-US" w:eastAsia="zh-CN" w:bidi="ar-SA"/>
        </w:rPr>
      </w:pPr>
      <w:r>
        <w:rPr>
          <w:rFonts w:hint="eastAsia" w:ascii="宋体" w:hAnsi="宋体" w:eastAsia="宋体" w:cs="宋体"/>
          <w:b/>
          <w:bCs/>
          <w:color w:val="FF0000"/>
          <w:spacing w:val="-4"/>
          <w:kern w:val="0"/>
          <w:sz w:val="21"/>
          <w:szCs w:val="21"/>
          <w:highlight w:val="yellow"/>
          <w:lang w:val="en-US" w:eastAsia="zh-CN" w:bidi="ar-SA"/>
        </w:rPr>
        <w:t>注：1.政府采购违法行为风险知悉确认书不作为资格性审查及符合性审查条件。</w:t>
      </w:r>
    </w:p>
    <w:p w14:paraId="7D518BC9">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rightChars="0" w:firstLine="406" w:firstLineChars="200"/>
        <w:jc w:val="left"/>
        <w:textAlignment w:val="auto"/>
        <w:rPr>
          <w:rFonts w:hint="eastAsia" w:ascii="宋体" w:hAnsi="宋体" w:eastAsia="宋体" w:cs="宋体"/>
          <w:color w:val="FF0000"/>
          <w:spacing w:val="-4"/>
          <w:kern w:val="0"/>
          <w:sz w:val="21"/>
          <w:szCs w:val="21"/>
          <w:highlight w:val="yellow"/>
          <w:lang w:val="en-US" w:eastAsia="zh-CN" w:bidi="ar-SA"/>
        </w:rPr>
      </w:pPr>
      <w:r>
        <w:rPr>
          <w:rFonts w:hint="eastAsia" w:ascii="宋体" w:hAnsi="宋体" w:eastAsia="宋体" w:cs="宋体"/>
          <w:b/>
          <w:bCs/>
          <w:color w:val="FF0000"/>
          <w:spacing w:val="-4"/>
          <w:kern w:val="0"/>
          <w:sz w:val="21"/>
          <w:szCs w:val="21"/>
          <w:highlight w:val="yellow"/>
          <w:lang w:val="en-US" w:eastAsia="zh-CN" w:bidi="ar-SA"/>
        </w:rPr>
        <w:t>2.投标供应商负责人或投标授权代表签字并加盖单位公章后，扫描上传至投标文件一并提交。</w:t>
      </w:r>
    </w:p>
    <w:p w14:paraId="44E94F72">
      <w:pPr>
        <w:keepNext w:val="0"/>
        <w:keepLines w:val="0"/>
        <w:pageBreakBefore w:val="0"/>
        <w:widowControl w:val="0"/>
        <w:kinsoku/>
        <w:wordWrap w:val="0"/>
        <w:overflowPunct/>
        <w:topLinePunct w:val="0"/>
        <w:autoSpaceDE w:val="0"/>
        <w:autoSpaceDN w:val="0"/>
        <w:bidi w:val="0"/>
        <w:adjustRightInd/>
        <w:snapToGrid/>
        <w:spacing w:beforeAutospacing="0" w:afterAutospacing="0" w:line="240" w:lineRule="auto"/>
        <w:ind w:right="0" w:rightChars="0" w:firstLine="404" w:firstLineChars="200"/>
        <w:jc w:val="righ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 xml:space="preserve">负责人/投标授权代表签名：     </w:t>
      </w:r>
    </w:p>
    <w:p w14:paraId="00553FA0">
      <w:pPr>
        <w:keepNext w:val="0"/>
        <w:keepLines w:val="0"/>
        <w:pageBreakBefore w:val="0"/>
        <w:widowControl w:val="0"/>
        <w:kinsoku/>
        <w:wordWrap w:val="0"/>
        <w:overflowPunct/>
        <w:topLinePunct w:val="0"/>
        <w:autoSpaceDE w:val="0"/>
        <w:autoSpaceDN w:val="0"/>
        <w:bidi w:val="0"/>
        <w:adjustRightInd/>
        <w:snapToGrid/>
        <w:spacing w:beforeAutospacing="0" w:afterAutospacing="0" w:line="240" w:lineRule="auto"/>
        <w:ind w:right="0" w:rightChars="0" w:firstLine="404" w:firstLineChars="200"/>
        <w:jc w:val="right"/>
        <w:textAlignment w:val="auto"/>
        <w:rPr>
          <w:rFonts w:hint="eastAsia" w:ascii="宋体" w:hAnsi="宋体" w:eastAsia="宋体" w:cs="宋体"/>
          <w:spacing w:val="-4"/>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 xml:space="preserve">知悉人（公章）：     </w:t>
      </w:r>
    </w:p>
    <w:p w14:paraId="6796C803">
      <w:pPr>
        <w:keepNext w:val="0"/>
        <w:keepLines w:val="0"/>
        <w:pageBreakBefore w:val="0"/>
        <w:widowControl w:val="0"/>
        <w:kinsoku/>
        <w:wordWrap w:val="0"/>
        <w:overflowPunct/>
        <w:topLinePunct w:val="0"/>
        <w:autoSpaceDE w:val="0"/>
        <w:autoSpaceDN w:val="0"/>
        <w:bidi w:val="0"/>
        <w:adjustRightInd/>
        <w:snapToGrid/>
        <w:spacing w:beforeAutospacing="0" w:afterAutospacing="0" w:line="240" w:lineRule="auto"/>
        <w:ind w:right="0" w:rightChars="0" w:firstLine="404" w:firstLineChars="200"/>
        <w:jc w:val="right"/>
        <w:textAlignment w:val="auto"/>
        <w:rPr>
          <w:rFonts w:hint="eastAsia" w:ascii="宋体" w:hAnsi="宋体" w:eastAsia="宋体" w:cs="宋体"/>
          <w:kern w:val="0"/>
          <w:sz w:val="21"/>
          <w:szCs w:val="21"/>
          <w:highlight w:val="yellow"/>
          <w:lang w:val="en-US" w:eastAsia="zh-CN" w:bidi="ar-SA"/>
        </w:rPr>
      </w:pPr>
      <w:r>
        <w:rPr>
          <w:rFonts w:hint="eastAsia" w:ascii="宋体" w:hAnsi="宋体" w:eastAsia="宋体" w:cs="宋体"/>
          <w:spacing w:val="-4"/>
          <w:kern w:val="0"/>
          <w:sz w:val="21"/>
          <w:szCs w:val="21"/>
          <w:highlight w:val="yellow"/>
          <w:lang w:val="en-US" w:eastAsia="zh-CN" w:bidi="ar-SA"/>
        </w:rPr>
        <w:t xml:space="preserve">日期：     </w:t>
      </w:r>
    </w:p>
    <w:p w14:paraId="4F831367">
      <w:pPr>
        <w:widowControl w:val="0"/>
        <w:spacing w:line="360" w:lineRule="auto"/>
        <w:jc w:val="both"/>
        <w:rPr>
          <w:rFonts w:hint="eastAsia" w:ascii="Times New Roman" w:hAnsi="Times New Roman" w:eastAsia="宋体" w:cs="Times New Roman"/>
          <w:b/>
          <w:bCs/>
          <w:kern w:val="2"/>
          <w:sz w:val="24"/>
          <w:szCs w:val="24"/>
          <w:lang w:val="en-US" w:eastAsia="zh-CN" w:bidi="ar-SA"/>
        </w:rPr>
      </w:pPr>
    </w:p>
    <w:p w14:paraId="4DF5E07C">
      <w:pPr>
        <w:rPr>
          <w:rFonts w:hint="eastAsia" w:ascii="黑体" w:hAnsi="宋体" w:eastAsia="黑体" w:cs="Times New Roman"/>
          <w:sz w:val="24"/>
          <w:szCs w:val="20"/>
          <w:lang w:eastAsia="zh-CN"/>
        </w:rPr>
      </w:pPr>
    </w:p>
    <w:p w14:paraId="2483C40C">
      <w:pPr>
        <w:rPr>
          <w:rFonts w:hint="eastAsia" w:asciiTheme="majorEastAsia" w:hAnsiTheme="majorEastAsia" w:eastAsiaTheme="majorEastAsia" w:cstheme="majorEastAsia"/>
          <w:b/>
          <w:bCs/>
        </w:rPr>
      </w:pPr>
      <w:r>
        <w:rPr>
          <w:rFonts w:hint="eastAsia" w:asciiTheme="majorEastAsia" w:hAnsiTheme="majorEastAsia" w:eastAsiaTheme="majorEastAsia" w:cstheme="majorEastAsia"/>
          <w:b/>
          <w:bCs/>
          <w:sz w:val="24"/>
          <w:szCs w:val="20"/>
          <w:lang w:eastAsia="zh-CN"/>
        </w:rPr>
        <w:t>（</w:t>
      </w:r>
      <w:r>
        <w:rPr>
          <w:rFonts w:hint="eastAsia" w:asciiTheme="majorEastAsia" w:hAnsiTheme="majorEastAsia" w:eastAsiaTheme="majorEastAsia" w:cstheme="majorEastAsia"/>
          <w:b/>
          <w:bCs/>
          <w:sz w:val="24"/>
          <w:szCs w:val="20"/>
          <w:lang w:val="en-US" w:eastAsia="zh-CN"/>
        </w:rPr>
        <w:t>2</w:t>
      </w:r>
      <w:r>
        <w:rPr>
          <w:rFonts w:hint="eastAsia" w:asciiTheme="majorEastAsia" w:hAnsiTheme="majorEastAsia" w:eastAsiaTheme="majorEastAsia" w:cstheme="majorEastAsia"/>
          <w:b/>
          <w:bCs/>
          <w:sz w:val="24"/>
          <w:szCs w:val="20"/>
          <w:lang w:eastAsia="zh-CN"/>
        </w:rPr>
        <w:t>）</w:t>
      </w:r>
      <w:r>
        <w:rPr>
          <w:rFonts w:hint="eastAsia" w:asciiTheme="majorEastAsia" w:hAnsiTheme="majorEastAsia" w:eastAsiaTheme="majorEastAsia" w:cstheme="majorEastAsia"/>
          <w:b/>
          <w:bCs/>
          <w:sz w:val="24"/>
          <w:szCs w:val="20"/>
        </w:rPr>
        <w:t>投标人认为需要加以说明的其他内容</w:t>
      </w:r>
    </w:p>
    <w:p w14:paraId="703060C6">
      <w:pPr>
        <w:pStyle w:val="5"/>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r>
        <w:rPr>
          <w:rFonts w:hint="eastAsia"/>
          <w:color w:val="000000" w:themeColor="text1"/>
          <w14:textFill>
            <w14:solidFill>
              <w14:schemeClr w14:val="tx1"/>
            </w14:solidFill>
          </w14:textFill>
        </w:rPr>
        <w:t>第五章  合同条款及格式</w:t>
      </w:r>
    </w:p>
    <w:p w14:paraId="79D72DE4">
      <w:pPr>
        <w:spacing w:line="360" w:lineRule="auto"/>
        <w:jc w:val="center"/>
        <w:rPr>
          <w:rFonts w:ascii="宋体" w:hAnsi="宋体" w:eastAsia="黑体"/>
          <w:bCs/>
          <w:kern w:val="44"/>
          <w:sz w:val="28"/>
          <w:szCs w:val="44"/>
        </w:rPr>
      </w:pPr>
      <w:bookmarkStart w:id="45" w:name="_Hlk72574405"/>
      <w:r>
        <w:rPr>
          <w:rFonts w:hint="eastAsia" w:ascii="宋体" w:hAnsi="宋体" w:eastAsia="宋体" w:cs="宋体"/>
          <w:b/>
        </w:rPr>
        <w:t>（仅供参考，具体以项目需求及采购结果为准）</w:t>
      </w:r>
      <w:bookmarkEnd w:id="45"/>
    </w:p>
    <w:p w14:paraId="2EF12E45">
      <w:pPr>
        <w:snapToGrid w:val="0"/>
        <w:spacing w:line="300" w:lineRule="auto"/>
        <w:rPr>
          <w:rFonts w:ascii="宋体" w:hAnsi="宋体" w:eastAsia="宋体"/>
          <w:u w:val="single"/>
        </w:rPr>
      </w:pPr>
      <w:r>
        <w:rPr>
          <w:rFonts w:hint="eastAsia" w:ascii="宋体" w:hAnsi="宋体" w:eastAsia="宋体"/>
        </w:rPr>
        <w:t>甲方：</w:t>
      </w:r>
      <w:r>
        <w:rPr>
          <w:rFonts w:hint="eastAsia" w:ascii="宋体" w:hAnsi="宋体" w:eastAsia="宋体"/>
          <w:u w:val="single"/>
        </w:rPr>
        <w:t xml:space="preserve">                </w:t>
      </w:r>
      <w:r>
        <w:rPr>
          <w:rFonts w:hint="eastAsia" w:ascii="宋体" w:hAnsi="宋体" w:eastAsia="宋体"/>
          <w:u w:val="single"/>
        </w:rPr>
        <w:tab/>
      </w:r>
      <w:r>
        <w:rPr>
          <w:rFonts w:hint="eastAsia" w:ascii="宋体" w:hAnsi="宋体" w:eastAsia="宋体"/>
          <w:u w:val="single"/>
        </w:rPr>
        <w:tab/>
      </w:r>
      <w:r>
        <w:rPr>
          <w:rFonts w:hint="eastAsia" w:ascii="宋体" w:hAnsi="宋体" w:eastAsia="宋体"/>
          <w:u w:val="single"/>
        </w:rPr>
        <w:t xml:space="preserve"> </w:t>
      </w:r>
      <w:r>
        <w:rPr>
          <w:rFonts w:hint="eastAsia" w:ascii="宋体" w:hAnsi="宋体" w:eastAsia="宋体"/>
        </w:rPr>
        <w:t xml:space="preserve">   乙方: </w:t>
      </w:r>
      <w:r>
        <w:rPr>
          <w:rFonts w:hint="eastAsia" w:ascii="宋体" w:hAnsi="宋体" w:eastAsia="宋体"/>
          <w:u w:val="single"/>
        </w:rPr>
        <w:t xml:space="preserve">   </w:t>
      </w:r>
      <w:r>
        <w:rPr>
          <w:rFonts w:hint="eastAsia" w:ascii="宋体" w:hAnsi="宋体" w:eastAsia="宋体"/>
          <w:u w:val="single"/>
        </w:rPr>
        <w:tab/>
      </w:r>
      <w:r>
        <w:rPr>
          <w:rFonts w:hint="eastAsia" w:ascii="宋体" w:hAnsi="宋体" w:eastAsia="宋体"/>
          <w:u w:val="single"/>
        </w:rPr>
        <w:tab/>
      </w:r>
      <w:r>
        <w:rPr>
          <w:rFonts w:hint="eastAsia" w:ascii="宋体" w:hAnsi="宋体" w:eastAsia="宋体"/>
          <w:u w:val="single"/>
        </w:rPr>
        <w:t xml:space="preserve">   </w:t>
      </w:r>
      <w:r>
        <w:rPr>
          <w:rFonts w:hint="eastAsia" w:ascii="宋体" w:hAnsi="宋体" w:eastAsia="宋体"/>
          <w:u w:val="single"/>
        </w:rPr>
        <w:tab/>
      </w:r>
      <w:r>
        <w:rPr>
          <w:rFonts w:hint="eastAsia" w:ascii="宋体" w:hAnsi="宋体" w:eastAsia="宋体"/>
          <w:u w:val="single"/>
        </w:rPr>
        <w:t xml:space="preserve">   </w:t>
      </w:r>
      <w:r>
        <w:rPr>
          <w:rFonts w:hint="eastAsia" w:ascii="宋体" w:hAnsi="宋体" w:eastAsia="宋体"/>
          <w:u w:val="single"/>
        </w:rPr>
        <w:tab/>
      </w:r>
      <w:r>
        <w:rPr>
          <w:rFonts w:hint="eastAsia" w:ascii="宋体" w:hAnsi="宋体" w:eastAsia="宋体"/>
          <w:u w:val="single"/>
        </w:rPr>
        <w:t xml:space="preserve">  </w:t>
      </w:r>
    </w:p>
    <w:p w14:paraId="48DDB64F">
      <w:pPr>
        <w:snapToGrid w:val="0"/>
        <w:spacing w:line="300" w:lineRule="auto"/>
        <w:rPr>
          <w:rFonts w:ascii="宋体" w:hAnsi="宋体" w:eastAsia="宋体"/>
        </w:rPr>
      </w:pPr>
      <w:r>
        <w:rPr>
          <w:rFonts w:hint="eastAsia" w:ascii="宋体" w:hAnsi="宋体" w:eastAsia="宋体"/>
        </w:rPr>
        <w:t>住所地：</w:t>
      </w:r>
      <w:r>
        <w:rPr>
          <w:rFonts w:hint="eastAsia" w:ascii="宋体" w:hAnsi="宋体" w:eastAsia="宋体"/>
          <w:u w:val="single"/>
        </w:rPr>
        <w:t xml:space="preserve">                    </w:t>
      </w:r>
      <w:r>
        <w:rPr>
          <w:rFonts w:hint="eastAsia" w:ascii="宋体" w:hAnsi="宋体" w:eastAsia="宋体"/>
        </w:rPr>
        <w:t xml:space="preserve">   住所地：</w:t>
      </w:r>
      <w:r>
        <w:rPr>
          <w:rFonts w:hint="eastAsia" w:ascii="宋体" w:hAnsi="宋体" w:eastAsia="宋体"/>
          <w:u w:val="single"/>
        </w:rPr>
        <w:t xml:space="preserve">                    </w:t>
      </w:r>
    </w:p>
    <w:p w14:paraId="3E114535">
      <w:pPr>
        <w:snapToGrid w:val="0"/>
        <w:spacing w:line="300" w:lineRule="auto"/>
        <w:rPr>
          <w:rFonts w:ascii="宋体" w:hAnsi="宋体" w:eastAsia="宋体"/>
        </w:rPr>
      </w:pPr>
      <w:r>
        <w:rPr>
          <w:rFonts w:hint="eastAsia" w:ascii="宋体" w:hAnsi="宋体" w:eastAsia="宋体"/>
        </w:rPr>
        <w:t>法定代表人：</w:t>
      </w:r>
      <w:r>
        <w:rPr>
          <w:rFonts w:hint="eastAsia" w:ascii="宋体" w:hAnsi="宋体" w:eastAsia="宋体"/>
          <w:u w:val="single"/>
        </w:rPr>
        <w:t xml:space="preserve">                </w:t>
      </w:r>
      <w:r>
        <w:rPr>
          <w:rFonts w:hint="eastAsia" w:ascii="宋体" w:hAnsi="宋体" w:eastAsia="宋体"/>
        </w:rPr>
        <w:t xml:space="preserve">   法定代表人：</w:t>
      </w:r>
      <w:r>
        <w:rPr>
          <w:rFonts w:hint="eastAsia" w:ascii="宋体" w:hAnsi="宋体" w:eastAsia="宋体"/>
          <w:u w:val="single"/>
        </w:rPr>
        <w:t xml:space="preserve">                </w:t>
      </w:r>
    </w:p>
    <w:p w14:paraId="0B1ABB9B">
      <w:pPr>
        <w:snapToGrid w:val="0"/>
        <w:spacing w:line="300" w:lineRule="auto"/>
        <w:rPr>
          <w:rFonts w:ascii="宋体" w:hAnsi="宋体" w:eastAsia="宋体"/>
        </w:rPr>
      </w:pPr>
      <w:r>
        <w:rPr>
          <w:rFonts w:hint="eastAsia" w:ascii="宋体" w:hAnsi="宋体" w:eastAsia="宋体"/>
        </w:rPr>
        <w:t>联系人：</w:t>
      </w:r>
      <w:r>
        <w:rPr>
          <w:rFonts w:hint="eastAsia" w:ascii="宋体" w:hAnsi="宋体" w:eastAsia="宋体"/>
          <w:u w:val="single"/>
        </w:rPr>
        <w:tab/>
      </w:r>
      <w:r>
        <w:rPr>
          <w:rFonts w:hint="eastAsia" w:ascii="宋体" w:hAnsi="宋体" w:eastAsia="宋体"/>
          <w:u w:val="single"/>
        </w:rPr>
        <w:tab/>
      </w:r>
      <w:r>
        <w:rPr>
          <w:rFonts w:hint="eastAsia" w:ascii="宋体" w:hAnsi="宋体" w:eastAsia="宋体"/>
          <w:u w:val="single"/>
        </w:rPr>
        <w:t xml:space="preserve">                </w:t>
      </w:r>
      <w:r>
        <w:rPr>
          <w:rFonts w:hint="eastAsia" w:ascii="宋体" w:hAnsi="宋体" w:eastAsia="宋体"/>
        </w:rPr>
        <w:t xml:space="preserve">   联系人：</w:t>
      </w:r>
      <w:r>
        <w:rPr>
          <w:rFonts w:hint="eastAsia" w:ascii="宋体" w:hAnsi="宋体" w:eastAsia="宋体"/>
          <w:u w:val="single"/>
        </w:rPr>
        <w:t xml:space="preserve">                    </w:t>
      </w:r>
    </w:p>
    <w:p w14:paraId="4A3F3008">
      <w:pPr>
        <w:snapToGrid w:val="0"/>
        <w:spacing w:line="300" w:lineRule="auto"/>
        <w:rPr>
          <w:rFonts w:ascii="宋体" w:hAnsi="宋体" w:eastAsia="宋体"/>
        </w:rPr>
      </w:pPr>
      <w:r>
        <w:rPr>
          <w:rFonts w:hint="eastAsia" w:ascii="宋体" w:hAnsi="宋体" w:eastAsia="宋体"/>
        </w:rPr>
        <w:t>电话：</w:t>
      </w:r>
      <w:r>
        <w:rPr>
          <w:rFonts w:hint="eastAsia" w:ascii="宋体" w:hAnsi="宋体" w:eastAsia="宋体"/>
          <w:u w:val="single"/>
        </w:rPr>
        <w:tab/>
      </w:r>
      <w:r>
        <w:rPr>
          <w:rFonts w:hint="eastAsia" w:ascii="宋体" w:hAnsi="宋体" w:eastAsia="宋体"/>
          <w:u w:val="single"/>
        </w:rPr>
        <w:tab/>
      </w:r>
      <w:r>
        <w:rPr>
          <w:rFonts w:hint="eastAsia" w:ascii="宋体" w:hAnsi="宋体" w:eastAsia="宋体"/>
          <w:u w:val="single"/>
        </w:rPr>
        <w:t xml:space="preserve">                </w:t>
      </w:r>
      <w:r>
        <w:rPr>
          <w:rFonts w:hint="eastAsia" w:ascii="宋体" w:hAnsi="宋体" w:eastAsia="宋体"/>
        </w:rPr>
        <w:t xml:space="preserve">   电话：</w:t>
      </w:r>
      <w:r>
        <w:rPr>
          <w:rFonts w:hint="eastAsia" w:ascii="宋体" w:hAnsi="宋体" w:eastAsia="宋体"/>
          <w:u w:val="single"/>
        </w:rPr>
        <w:t xml:space="preserve">                      </w:t>
      </w:r>
    </w:p>
    <w:p w14:paraId="39311FB8">
      <w:pPr>
        <w:snapToGrid w:val="0"/>
        <w:spacing w:line="300" w:lineRule="auto"/>
        <w:rPr>
          <w:rFonts w:ascii="宋体" w:hAnsi="宋体" w:eastAsia="宋体"/>
        </w:rPr>
      </w:pPr>
      <w:r>
        <w:rPr>
          <w:rFonts w:hint="eastAsia" w:ascii="宋体" w:hAnsi="宋体" w:eastAsia="宋体"/>
        </w:rPr>
        <w:t>传真：</w:t>
      </w:r>
      <w:r>
        <w:rPr>
          <w:rFonts w:hint="eastAsia" w:ascii="宋体" w:hAnsi="宋体" w:eastAsia="宋体"/>
          <w:u w:val="single"/>
        </w:rPr>
        <w:t xml:space="preserve">                      </w:t>
      </w:r>
      <w:r>
        <w:rPr>
          <w:rFonts w:hint="eastAsia" w:ascii="宋体" w:hAnsi="宋体" w:eastAsia="宋体"/>
        </w:rPr>
        <w:t xml:space="preserve">   传真：</w:t>
      </w:r>
      <w:r>
        <w:rPr>
          <w:rFonts w:hint="eastAsia" w:ascii="宋体" w:hAnsi="宋体" w:eastAsia="宋体"/>
          <w:u w:val="single"/>
        </w:rPr>
        <w:t xml:space="preserve">                      </w:t>
      </w:r>
    </w:p>
    <w:p w14:paraId="5DC35D6A">
      <w:pPr>
        <w:snapToGrid w:val="0"/>
        <w:spacing w:line="360" w:lineRule="auto"/>
        <w:rPr>
          <w:rFonts w:ascii="宋体" w:hAnsi="宋体" w:eastAsia="宋体"/>
        </w:rPr>
      </w:pPr>
    </w:p>
    <w:p w14:paraId="16962441">
      <w:pPr>
        <w:tabs>
          <w:tab w:val="left" w:pos="0"/>
        </w:tabs>
        <w:snapToGrid w:val="0"/>
        <w:spacing w:line="360" w:lineRule="auto"/>
        <w:rPr>
          <w:rFonts w:ascii="宋体" w:hAnsi="宋体" w:eastAsia="宋体"/>
          <w:b/>
        </w:rPr>
      </w:pPr>
      <w:r>
        <w:rPr>
          <w:rFonts w:hint="eastAsia" w:ascii="宋体" w:hAnsi="宋体" w:eastAsia="宋体"/>
          <w:b/>
        </w:rPr>
        <w:t>第一条 项目基本情况</w:t>
      </w:r>
    </w:p>
    <w:p w14:paraId="2634FE62">
      <w:pPr>
        <w:tabs>
          <w:tab w:val="left" w:pos="0"/>
        </w:tabs>
        <w:snapToGrid w:val="0"/>
        <w:spacing w:line="300" w:lineRule="auto"/>
        <w:ind w:firstLine="555"/>
        <w:rPr>
          <w:rFonts w:ascii="宋体" w:hAnsi="宋体" w:eastAsia="宋体"/>
        </w:rPr>
      </w:pPr>
      <w:r>
        <w:rPr>
          <w:rFonts w:hint="eastAsia" w:ascii="宋体" w:hAnsi="宋体" w:eastAsia="宋体"/>
        </w:rPr>
        <w:t>根据友和保险经纪有限公司</w:t>
      </w:r>
      <w:r>
        <w:rPr>
          <w:rFonts w:hint="eastAsia" w:ascii="宋体" w:hAnsi="宋体" w:eastAsia="宋体"/>
          <w:u w:val="single"/>
        </w:rPr>
        <w:t xml:space="preserve">      </w:t>
      </w:r>
      <w:r>
        <w:rPr>
          <w:rFonts w:ascii="宋体" w:hAnsi="宋体" w:eastAsia="宋体"/>
          <w:u w:val="single"/>
        </w:rPr>
        <w:t xml:space="preserve">    </w:t>
      </w:r>
      <w:r>
        <w:rPr>
          <w:rFonts w:hint="eastAsia" w:ascii="宋体" w:hAnsi="宋体" w:eastAsia="宋体"/>
          <w:u w:val="single"/>
        </w:rPr>
        <w:t xml:space="preserve">  </w:t>
      </w:r>
      <w:r>
        <w:rPr>
          <w:rFonts w:hint="eastAsia" w:ascii="宋体" w:hAnsi="宋体" w:eastAsia="宋体"/>
        </w:rPr>
        <w:t>项目（招标编号：</w:t>
      </w:r>
      <w:r>
        <w:rPr>
          <w:rFonts w:ascii="宋体" w:hAnsi="宋体" w:eastAsia="宋体"/>
          <w:u w:val="single"/>
        </w:rPr>
        <w:t xml:space="preserve">   </w:t>
      </w:r>
      <w:r>
        <w:rPr>
          <w:rFonts w:hint="eastAsia" w:ascii="宋体" w:hAnsi="宋体" w:eastAsia="宋体"/>
          <w:u w:val="single"/>
        </w:rPr>
        <w:t xml:space="preserve">  </w:t>
      </w:r>
      <w:r>
        <w:rPr>
          <w:rFonts w:ascii="宋体" w:hAnsi="宋体" w:eastAsia="宋体"/>
          <w:u w:val="single"/>
        </w:rPr>
        <w:t xml:space="preserve"> </w:t>
      </w:r>
      <w:r>
        <w:rPr>
          <w:rFonts w:hint="eastAsia" w:ascii="宋体" w:hAnsi="宋体" w:eastAsia="宋体"/>
          <w:u w:val="single"/>
        </w:rPr>
        <w:t xml:space="preserve"> </w:t>
      </w:r>
      <w:r>
        <w:rPr>
          <w:rFonts w:hint="eastAsia" w:ascii="宋体" w:hAnsi="宋体" w:eastAsia="宋体"/>
        </w:rPr>
        <w:t>）结果，</w:t>
      </w:r>
      <w:r>
        <w:rPr>
          <w:rFonts w:hint="eastAsia" w:ascii="宋体" w:hAnsi="宋体" w:eastAsia="宋体"/>
          <w:u w:val="single"/>
        </w:rPr>
        <w:t xml:space="preserve">        </w:t>
      </w:r>
      <w:r>
        <w:rPr>
          <w:rFonts w:hint="eastAsia" w:ascii="宋体" w:hAnsi="宋体" w:eastAsia="宋体"/>
        </w:rPr>
        <w:t>为中标人。按照《中华人民共和国民法典》（第三编 合同）》和《深圳经济特区政府采购条例》，经</w:t>
      </w:r>
      <w:r>
        <w:rPr>
          <w:rFonts w:hint="eastAsia" w:ascii="宋体" w:hAnsi="宋体" w:eastAsia="宋体"/>
          <w:u w:val="single"/>
        </w:rPr>
        <w:t xml:space="preserve">        </w:t>
      </w:r>
      <w:r>
        <w:rPr>
          <w:rFonts w:hint="eastAsia" w:ascii="宋体" w:hAnsi="宋体" w:eastAsia="宋体"/>
        </w:rPr>
        <w:t>（以下简称甲方）和</w:t>
      </w:r>
      <w:r>
        <w:rPr>
          <w:rFonts w:hint="eastAsia" w:ascii="宋体" w:hAnsi="宋体" w:eastAsia="宋体"/>
          <w:u w:val="single"/>
        </w:rPr>
        <w:t xml:space="preserve">        </w:t>
      </w:r>
      <w:r>
        <w:rPr>
          <w:rFonts w:hint="eastAsia" w:ascii="宋体" w:hAnsi="宋体" w:eastAsia="宋体"/>
        </w:rPr>
        <w:t>（以下简称乙方）协商，达成本合同条款。</w:t>
      </w:r>
    </w:p>
    <w:p w14:paraId="645F3AF5">
      <w:pPr>
        <w:tabs>
          <w:tab w:val="left" w:pos="0"/>
        </w:tabs>
        <w:snapToGrid w:val="0"/>
        <w:spacing w:line="360" w:lineRule="auto"/>
        <w:rPr>
          <w:rFonts w:ascii="宋体" w:hAnsi="宋体" w:eastAsia="宋体"/>
        </w:rPr>
      </w:pPr>
      <w:r>
        <w:rPr>
          <w:rFonts w:hint="eastAsia" w:ascii="宋体" w:hAnsi="宋体" w:eastAsia="宋体"/>
          <w:b/>
        </w:rPr>
        <w:t>第二条 合同标的内容（标的数量或质量等）</w:t>
      </w:r>
    </w:p>
    <w:p w14:paraId="1D510341">
      <w:pPr>
        <w:tabs>
          <w:tab w:val="left" w:pos="0"/>
        </w:tabs>
        <w:snapToGrid w:val="0"/>
        <w:spacing w:line="360" w:lineRule="auto"/>
        <w:rPr>
          <w:rFonts w:ascii="宋体" w:hAnsi="宋体" w:eastAsia="宋体"/>
          <w:b/>
        </w:rPr>
      </w:pPr>
      <w:r>
        <w:rPr>
          <w:rFonts w:hint="eastAsia" w:ascii="宋体" w:hAnsi="宋体" w:eastAsia="宋体"/>
          <w:b/>
        </w:rPr>
        <w:t>第三条 合同价款（金额）</w:t>
      </w:r>
    </w:p>
    <w:p w14:paraId="65D55095">
      <w:pPr>
        <w:tabs>
          <w:tab w:val="left" w:pos="0"/>
        </w:tabs>
        <w:snapToGrid w:val="0"/>
        <w:spacing w:line="360" w:lineRule="auto"/>
        <w:rPr>
          <w:rFonts w:ascii="宋体" w:hAnsi="宋体" w:eastAsia="宋体"/>
          <w:b/>
        </w:rPr>
      </w:pPr>
      <w:r>
        <w:rPr>
          <w:rFonts w:hint="eastAsia" w:ascii="宋体" w:hAnsi="宋体" w:eastAsia="宋体"/>
          <w:b/>
        </w:rPr>
        <w:t>第四条 项目履约（交付、交货）地点</w:t>
      </w:r>
    </w:p>
    <w:p w14:paraId="3E22CCC0">
      <w:pPr>
        <w:tabs>
          <w:tab w:val="left" w:pos="0"/>
        </w:tabs>
        <w:snapToGrid w:val="0"/>
        <w:spacing w:line="360" w:lineRule="auto"/>
        <w:ind w:left="-1" w:firstLine="480" w:firstLineChars="200"/>
        <w:rPr>
          <w:rFonts w:ascii="宋体" w:hAnsi="宋体" w:eastAsia="宋体"/>
        </w:rPr>
      </w:pPr>
      <w:r>
        <w:rPr>
          <w:rFonts w:hint="eastAsia" w:ascii="宋体" w:hAnsi="宋体" w:eastAsia="宋体"/>
        </w:rPr>
        <w:t>深圳市</w:t>
      </w:r>
      <w:r>
        <w:rPr>
          <w:rFonts w:hint="eastAsia" w:ascii="宋体" w:hAnsi="宋体" w:eastAsia="宋体"/>
          <w:u w:val="single"/>
        </w:rPr>
        <w:t xml:space="preserve">      </w:t>
      </w:r>
      <w:r>
        <w:rPr>
          <w:rFonts w:hint="eastAsia" w:ascii="宋体" w:hAnsi="宋体" w:eastAsia="宋体"/>
        </w:rPr>
        <w:t>区。</w:t>
      </w:r>
    </w:p>
    <w:p w14:paraId="138838EE">
      <w:pPr>
        <w:tabs>
          <w:tab w:val="left" w:pos="0"/>
        </w:tabs>
        <w:snapToGrid w:val="0"/>
        <w:spacing w:line="360" w:lineRule="auto"/>
        <w:rPr>
          <w:rFonts w:ascii="宋体" w:hAnsi="宋体" w:eastAsia="宋体"/>
          <w:b/>
        </w:rPr>
      </w:pPr>
      <w:r>
        <w:rPr>
          <w:rFonts w:hint="eastAsia" w:ascii="宋体" w:hAnsi="宋体" w:eastAsia="宋体"/>
          <w:b/>
        </w:rPr>
        <w:t>第五条 项目服务期（完工期、履约时间、交货时间）</w:t>
      </w:r>
    </w:p>
    <w:p w14:paraId="297B19D7">
      <w:pPr>
        <w:tabs>
          <w:tab w:val="left" w:pos="0"/>
        </w:tabs>
        <w:snapToGrid w:val="0"/>
        <w:spacing w:line="360" w:lineRule="auto"/>
        <w:ind w:left="-1" w:firstLine="480" w:firstLineChars="200"/>
        <w:rPr>
          <w:rFonts w:ascii="宋体" w:hAnsi="宋体" w:eastAsia="宋体"/>
        </w:rPr>
      </w:pPr>
      <w:r>
        <w:rPr>
          <w:rFonts w:hint="eastAsia" w:ascii="宋体" w:hAnsi="宋体" w:eastAsia="宋体"/>
        </w:rPr>
        <w:t>（具体按本项目需求与投标人承诺内容拟定）</w:t>
      </w:r>
    </w:p>
    <w:p w14:paraId="7C8733F9">
      <w:pPr>
        <w:tabs>
          <w:tab w:val="left" w:pos="0"/>
        </w:tabs>
        <w:snapToGrid w:val="0"/>
        <w:spacing w:line="360" w:lineRule="auto"/>
        <w:rPr>
          <w:rFonts w:ascii="宋体" w:hAnsi="宋体" w:eastAsia="宋体"/>
          <w:b/>
        </w:rPr>
      </w:pPr>
      <w:r>
        <w:rPr>
          <w:rFonts w:hint="eastAsia" w:ascii="宋体" w:hAnsi="宋体" w:eastAsia="宋体"/>
          <w:b/>
        </w:rPr>
        <w:t>第六条 付款期限及方式</w:t>
      </w:r>
    </w:p>
    <w:p w14:paraId="02351C1E">
      <w:pPr>
        <w:tabs>
          <w:tab w:val="left" w:pos="0"/>
        </w:tabs>
        <w:snapToGrid w:val="0"/>
        <w:spacing w:line="360" w:lineRule="auto"/>
        <w:ind w:left="-1" w:firstLine="480" w:firstLineChars="200"/>
        <w:rPr>
          <w:rFonts w:ascii="宋体" w:hAnsi="宋体" w:eastAsia="宋体"/>
        </w:rPr>
      </w:pPr>
      <w:r>
        <w:rPr>
          <w:rFonts w:hint="eastAsia" w:ascii="宋体" w:hAnsi="宋体" w:eastAsia="宋体"/>
        </w:rPr>
        <w:t>（具体按本项目需求与投标人承诺内容拟定）</w:t>
      </w:r>
    </w:p>
    <w:p w14:paraId="53801EEF">
      <w:pPr>
        <w:tabs>
          <w:tab w:val="left" w:pos="0"/>
        </w:tabs>
        <w:snapToGrid w:val="0"/>
        <w:spacing w:line="360" w:lineRule="auto"/>
        <w:rPr>
          <w:rFonts w:ascii="宋体" w:hAnsi="宋体" w:eastAsia="宋体"/>
          <w:b/>
        </w:rPr>
      </w:pPr>
      <w:r>
        <w:rPr>
          <w:rFonts w:hint="eastAsia" w:ascii="宋体" w:hAnsi="宋体" w:eastAsia="宋体"/>
          <w:b/>
        </w:rPr>
        <w:t>第七条 项目验收标准及方式</w:t>
      </w:r>
    </w:p>
    <w:p w14:paraId="465AC8AC">
      <w:pPr>
        <w:tabs>
          <w:tab w:val="left" w:pos="0"/>
        </w:tabs>
        <w:snapToGrid w:val="0"/>
        <w:spacing w:line="360" w:lineRule="auto"/>
        <w:ind w:left="-1" w:firstLine="480" w:firstLineChars="200"/>
        <w:rPr>
          <w:rFonts w:ascii="宋体" w:hAnsi="宋体" w:eastAsia="宋体"/>
        </w:rPr>
      </w:pPr>
      <w:r>
        <w:rPr>
          <w:rFonts w:hint="eastAsia" w:ascii="宋体" w:hAnsi="宋体" w:eastAsia="宋体"/>
        </w:rPr>
        <w:t>（具体按本项目需求与投标人承诺内容拟定）</w:t>
      </w:r>
    </w:p>
    <w:p w14:paraId="1DFA3896">
      <w:pPr>
        <w:tabs>
          <w:tab w:val="left" w:pos="0"/>
        </w:tabs>
        <w:snapToGrid w:val="0"/>
        <w:spacing w:line="360" w:lineRule="auto"/>
        <w:rPr>
          <w:rFonts w:ascii="宋体" w:hAnsi="宋体" w:eastAsia="宋体"/>
          <w:b/>
        </w:rPr>
      </w:pPr>
      <w:r>
        <w:rPr>
          <w:rFonts w:hint="eastAsia" w:ascii="宋体" w:hAnsi="宋体" w:eastAsia="宋体"/>
          <w:b/>
        </w:rPr>
        <w:t>第八条 甲方的权利和义务</w:t>
      </w:r>
    </w:p>
    <w:p w14:paraId="27D4ED44">
      <w:pPr>
        <w:tabs>
          <w:tab w:val="left" w:pos="0"/>
        </w:tabs>
        <w:snapToGrid w:val="0"/>
        <w:spacing w:line="360" w:lineRule="auto"/>
        <w:rPr>
          <w:rFonts w:ascii="宋体" w:hAnsi="宋体" w:eastAsia="宋体"/>
          <w:b/>
        </w:rPr>
      </w:pPr>
      <w:r>
        <w:rPr>
          <w:rFonts w:hint="eastAsia" w:ascii="宋体" w:hAnsi="宋体" w:eastAsia="宋体"/>
          <w:b/>
        </w:rPr>
        <w:t>第九条 乙方的权利和义务</w:t>
      </w:r>
    </w:p>
    <w:p w14:paraId="2E66F4FE">
      <w:pPr>
        <w:tabs>
          <w:tab w:val="left" w:pos="0"/>
        </w:tabs>
        <w:snapToGrid w:val="0"/>
        <w:spacing w:line="360" w:lineRule="auto"/>
        <w:rPr>
          <w:rFonts w:ascii="宋体" w:hAnsi="宋体" w:eastAsia="宋体"/>
          <w:b/>
        </w:rPr>
      </w:pPr>
      <w:r>
        <w:rPr>
          <w:rFonts w:hint="eastAsia" w:ascii="宋体" w:hAnsi="宋体" w:eastAsia="宋体"/>
          <w:b/>
        </w:rPr>
        <w:t>第十条 违约责任与争议解决办法</w:t>
      </w:r>
    </w:p>
    <w:p w14:paraId="42A5708B">
      <w:pPr>
        <w:tabs>
          <w:tab w:val="left" w:pos="0"/>
        </w:tabs>
        <w:snapToGrid w:val="0"/>
        <w:spacing w:line="360" w:lineRule="auto"/>
        <w:ind w:firstLine="480" w:firstLineChars="200"/>
        <w:rPr>
          <w:rFonts w:ascii="宋体" w:hAnsi="宋体" w:eastAsia="宋体"/>
        </w:rPr>
      </w:pPr>
      <w:r>
        <w:rPr>
          <w:rFonts w:hint="eastAsia" w:ascii="宋体" w:hAnsi="宋体" w:eastAsia="宋体"/>
        </w:rPr>
        <w:t>1、合同双方之任何一方不能全面履行合同条款，均属违约。违约所造成的经济损失概由违约方承担赔偿。违约造成工期延误责任分担：甲方违约，工期相应顺延；乙方违约，工期不得顺延。</w:t>
      </w:r>
    </w:p>
    <w:p w14:paraId="3D3CEDBB">
      <w:pPr>
        <w:tabs>
          <w:tab w:val="left" w:pos="0"/>
        </w:tabs>
        <w:snapToGrid w:val="0"/>
        <w:spacing w:line="360" w:lineRule="auto"/>
        <w:ind w:firstLine="480" w:firstLineChars="200"/>
        <w:rPr>
          <w:rFonts w:ascii="宋体" w:hAnsi="宋体" w:eastAsia="宋体"/>
        </w:rPr>
      </w:pPr>
      <w:r>
        <w:rPr>
          <w:rFonts w:hint="eastAsia" w:ascii="宋体" w:hAnsi="宋体" w:eastAsia="宋体"/>
        </w:rPr>
        <w:t>2、协商或仲裁：如果发生与本合同的解释或执行中的有关争议，双方首先应通过友好协商解决，否则任何一方可将该争议提交仲裁。仲裁事项应提交深圳仲裁委员会进行裁决。</w:t>
      </w:r>
    </w:p>
    <w:p w14:paraId="0D8F3459">
      <w:pPr>
        <w:tabs>
          <w:tab w:val="left" w:pos="0"/>
        </w:tabs>
        <w:snapToGrid w:val="0"/>
        <w:spacing w:line="360" w:lineRule="auto"/>
        <w:rPr>
          <w:rFonts w:ascii="宋体" w:hAnsi="宋体" w:eastAsia="宋体"/>
        </w:rPr>
      </w:pPr>
      <w:r>
        <w:rPr>
          <w:rFonts w:hint="eastAsia" w:ascii="宋体" w:hAnsi="宋体" w:eastAsia="宋体"/>
        </w:rPr>
        <w:t>……。</w:t>
      </w:r>
    </w:p>
    <w:p w14:paraId="265D7FB7">
      <w:pPr>
        <w:tabs>
          <w:tab w:val="left" w:pos="0"/>
        </w:tabs>
        <w:snapToGrid w:val="0"/>
        <w:spacing w:line="360" w:lineRule="auto"/>
        <w:rPr>
          <w:rFonts w:ascii="宋体" w:hAnsi="宋体" w:eastAsia="宋体"/>
          <w:b/>
        </w:rPr>
      </w:pPr>
      <w:r>
        <w:rPr>
          <w:rFonts w:hint="eastAsia" w:ascii="宋体" w:hAnsi="宋体" w:eastAsia="宋体"/>
          <w:b/>
        </w:rPr>
        <w:t>第十一条 知识产权、保密或其他事项要求</w:t>
      </w:r>
    </w:p>
    <w:p w14:paraId="06C90097">
      <w:pPr>
        <w:tabs>
          <w:tab w:val="left" w:pos="0"/>
        </w:tabs>
        <w:snapToGrid w:val="0"/>
        <w:spacing w:line="360" w:lineRule="auto"/>
        <w:ind w:firstLine="480" w:firstLineChars="200"/>
        <w:rPr>
          <w:rFonts w:ascii="宋体" w:hAnsi="宋体" w:eastAsia="宋体"/>
        </w:rPr>
      </w:pPr>
      <w:r>
        <w:rPr>
          <w:rFonts w:hint="eastAsia" w:ascii="宋体" w:hAnsi="宋体" w:eastAsia="宋体"/>
        </w:rPr>
        <w:t>1、除政府采购合同继续履行将损害国家利益和社会公共利益外，双方不得擅自变更、中止或者终止合同。</w:t>
      </w:r>
    </w:p>
    <w:p w14:paraId="148B6969">
      <w:pPr>
        <w:tabs>
          <w:tab w:val="left" w:pos="0"/>
        </w:tabs>
        <w:snapToGrid w:val="0"/>
        <w:spacing w:line="360" w:lineRule="auto"/>
        <w:ind w:firstLine="480" w:firstLineChars="200"/>
        <w:rPr>
          <w:rFonts w:ascii="宋体" w:hAnsi="宋体" w:eastAsia="宋体"/>
        </w:rPr>
      </w:pPr>
      <w:r>
        <w:rPr>
          <w:rFonts w:hint="eastAsia" w:ascii="宋体" w:hAnsi="宋体" w:eastAsia="宋体"/>
        </w:rPr>
        <w:t>2、乙方所提供的货物或服务未侵犯知识产权，不会产生因第三方提出的包括但不限于侵犯其专利权、商标权、工业设计权等知识产权和侵犯其所有权、抵押权等物权及其他权利而引发的纠纷。如有纠纷，乙方应承担全部责任。</w:t>
      </w:r>
    </w:p>
    <w:p w14:paraId="372BD483">
      <w:pPr>
        <w:tabs>
          <w:tab w:val="left" w:pos="0"/>
        </w:tabs>
        <w:snapToGrid w:val="0"/>
        <w:spacing w:line="360" w:lineRule="auto"/>
        <w:rPr>
          <w:rFonts w:ascii="宋体" w:hAnsi="宋体" w:eastAsia="宋体"/>
        </w:rPr>
      </w:pPr>
      <w:r>
        <w:rPr>
          <w:rFonts w:hint="eastAsia" w:ascii="宋体" w:hAnsi="宋体" w:eastAsia="宋体"/>
        </w:rPr>
        <w:t>……。</w:t>
      </w:r>
    </w:p>
    <w:p w14:paraId="40C018AE">
      <w:pPr>
        <w:tabs>
          <w:tab w:val="left" w:pos="0"/>
        </w:tabs>
        <w:snapToGrid w:val="0"/>
        <w:spacing w:line="360" w:lineRule="auto"/>
        <w:rPr>
          <w:rFonts w:ascii="宋体" w:hAnsi="宋体" w:eastAsia="宋体"/>
          <w:b/>
        </w:rPr>
      </w:pPr>
      <w:r>
        <w:rPr>
          <w:rFonts w:hint="eastAsia" w:ascii="宋体" w:hAnsi="宋体" w:eastAsia="宋体"/>
          <w:b/>
        </w:rPr>
        <w:t>第十二条 附件（附录）</w:t>
      </w:r>
      <w:r>
        <w:rPr>
          <w:rFonts w:hint="eastAsia" w:ascii="宋体" w:hAnsi="宋体" w:eastAsia="宋体"/>
        </w:rPr>
        <w:t>（如有，可填写，并附相关内容）</w:t>
      </w:r>
    </w:p>
    <w:p w14:paraId="5FBACEBD">
      <w:pPr>
        <w:tabs>
          <w:tab w:val="left" w:pos="0"/>
        </w:tabs>
        <w:snapToGrid w:val="0"/>
        <w:spacing w:line="360" w:lineRule="auto"/>
        <w:rPr>
          <w:rFonts w:ascii="宋体" w:hAnsi="宋体" w:eastAsia="宋体"/>
        </w:rPr>
      </w:pPr>
      <w:r>
        <w:rPr>
          <w:rFonts w:hint="eastAsia" w:ascii="宋体" w:hAnsi="宋体" w:eastAsia="宋体"/>
        </w:rPr>
        <w:t>……。</w:t>
      </w:r>
    </w:p>
    <w:p w14:paraId="4B9D3A5B">
      <w:pPr>
        <w:snapToGrid w:val="0"/>
        <w:spacing w:line="360" w:lineRule="auto"/>
        <w:ind w:firstLine="200"/>
        <w:rPr>
          <w:rFonts w:ascii="宋体" w:hAnsi="宋体" w:eastAsia="宋体"/>
        </w:rPr>
      </w:pPr>
    </w:p>
    <w:p w14:paraId="31089866">
      <w:pPr>
        <w:snapToGrid w:val="0"/>
        <w:spacing w:line="360" w:lineRule="auto"/>
        <w:rPr>
          <w:rFonts w:ascii="宋体" w:hAnsi="宋体" w:eastAsia="宋体"/>
        </w:rPr>
      </w:pPr>
      <w:r>
        <w:rPr>
          <w:rFonts w:ascii="宋体" w:hAnsi="宋体" w:eastAsia="宋体"/>
        </w:rPr>
        <w:t>甲方（公章）</w:t>
      </w:r>
      <w:r>
        <w:rPr>
          <w:rFonts w:hint="eastAsia" w:ascii="宋体" w:hAnsi="宋体" w:eastAsia="宋体"/>
        </w:rPr>
        <w:t xml:space="preserve">： </w:t>
      </w:r>
      <w:r>
        <w:rPr>
          <w:rFonts w:ascii="宋体" w:hAnsi="宋体" w:eastAsia="宋体"/>
        </w:rPr>
        <w:t xml:space="preserve">                           乙方（公章）</w:t>
      </w:r>
      <w:r>
        <w:rPr>
          <w:rFonts w:hint="eastAsia" w:ascii="宋体" w:hAnsi="宋体" w:eastAsia="宋体"/>
        </w:rPr>
        <w:t>：</w:t>
      </w:r>
    </w:p>
    <w:p w14:paraId="416EA337">
      <w:pPr>
        <w:snapToGrid w:val="0"/>
        <w:spacing w:line="360" w:lineRule="auto"/>
        <w:rPr>
          <w:rFonts w:ascii="宋体" w:hAnsi="宋体" w:eastAsia="宋体"/>
        </w:rPr>
      </w:pPr>
      <w:r>
        <w:rPr>
          <w:rFonts w:ascii="宋体" w:hAnsi="宋体" w:eastAsia="宋体"/>
        </w:rPr>
        <w:t>法定代表人（签章）</w:t>
      </w:r>
      <w:r>
        <w:rPr>
          <w:rFonts w:ascii="宋体" w:hAnsi="宋体" w:eastAsia="宋体"/>
        </w:rPr>
        <w:tab/>
      </w:r>
      <w:r>
        <w:rPr>
          <w:rFonts w:ascii="宋体" w:hAnsi="宋体" w:eastAsia="宋体"/>
        </w:rPr>
        <w:tab/>
      </w:r>
      <w:r>
        <w:rPr>
          <w:rFonts w:ascii="宋体" w:hAnsi="宋体" w:eastAsia="宋体"/>
        </w:rPr>
        <w:tab/>
      </w:r>
      <w:r>
        <w:rPr>
          <w:rFonts w:ascii="宋体" w:hAnsi="宋体" w:eastAsia="宋体"/>
        </w:rPr>
        <w:tab/>
      </w:r>
      <w:r>
        <w:rPr>
          <w:rFonts w:ascii="宋体" w:hAnsi="宋体" w:eastAsia="宋体"/>
        </w:rPr>
        <w:t>法定代表人（签章）</w:t>
      </w:r>
    </w:p>
    <w:p w14:paraId="28B0AD4D">
      <w:pPr>
        <w:snapToGrid w:val="0"/>
        <w:spacing w:line="360" w:lineRule="auto"/>
        <w:rPr>
          <w:rFonts w:ascii="宋体" w:hAnsi="宋体" w:eastAsia="宋体"/>
        </w:rPr>
      </w:pPr>
      <w:r>
        <w:rPr>
          <w:rFonts w:ascii="宋体" w:hAnsi="宋体" w:eastAsia="宋体"/>
        </w:rPr>
        <w:t>或授权代表：</w:t>
      </w:r>
      <w:r>
        <w:rPr>
          <w:rFonts w:ascii="宋体" w:hAnsi="宋体" w:eastAsia="宋体"/>
        </w:rPr>
        <w:tab/>
      </w:r>
      <w:r>
        <w:rPr>
          <w:rFonts w:ascii="宋体" w:hAnsi="宋体" w:eastAsia="宋体"/>
        </w:rPr>
        <w:tab/>
      </w:r>
      <w:r>
        <w:rPr>
          <w:rFonts w:ascii="宋体" w:hAnsi="宋体" w:eastAsia="宋体"/>
        </w:rPr>
        <w:tab/>
      </w:r>
      <w:r>
        <w:rPr>
          <w:rFonts w:ascii="宋体" w:hAnsi="宋体" w:eastAsia="宋体"/>
        </w:rPr>
        <w:tab/>
      </w:r>
      <w:r>
        <w:rPr>
          <w:rFonts w:ascii="宋体" w:hAnsi="宋体" w:eastAsia="宋体"/>
        </w:rPr>
        <w:tab/>
      </w:r>
      <w:r>
        <w:rPr>
          <w:rFonts w:ascii="宋体" w:hAnsi="宋体" w:eastAsia="宋体"/>
        </w:rPr>
        <w:t>或授权代表：</w:t>
      </w:r>
    </w:p>
    <w:p w14:paraId="458DA2D4">
      <w:pPr>
        <w:snapToGrid w:val="0"/>
        <w:spacing w:line="360" w:lineRule="auto"/>
        <w:rPr>
          <w:rFonts w:ascii="宋体" w:hAnsi="宋体" w:eastAsia="宋体"/>
        </w:rPr>
      </w:pPr>
      <w:r>
        <w:rPr>
          <w:rFonts w:hint="eastAsia" w:ascii="宋体" w:hAnsi="宋体" w:eastAsia="宋体"/>
        </w:rPr>
        <w:t xml:space="preserve">日期： </w:t>
      </w:r>
      <w:r>
        <w:rPr>
          <w:rFonts w:ascii="宋体" w:hAnsi="宋体" w:eastAsia="宋体"/>
        </w:rPr>
        <w:t xml:space="preserve">   年   月   日     </w:t>
      </w:r>
      <w:r>
        <w:rPr>
          <w:rFonts w:ascii="宋体" w:hAnsi="宋体" w:eastAsia="宋体"/>
        </w:rPr>
        <w:tab/>
      </w:r>
      <w:r>
        <w:rPr>
          <w:rFonts w:ascii="宋体" w:hAnsi="宋体" w:eastAsia="宋体"/>
        </w:rPr>
        <w:tab/>
      </w:r>
      <w:r>
        <w:rPr>
          <w:rFonts w:ascii="宋体" w:hAnsi="宋体" w:eastAsia="宋体"/>
        </w:rPr>
        <w:tab/>
      </w:r>
      <w:r>
        <w:rPr>
          <w:rFonts w:hint="eastAsia" w:ascii="宋体" w:hAnsi="宋体" w:eastAsia="宋体"/>
        </w:rPr>
        <w:t xml:space="preserve">日期： </w:t>
      </w:r>
      <w:r>
        <w:rPr>
          <w:rFonts w:ascii="宋体" w:hAnsi="宋体" w:eastAsia="宋体"/>
        </w:rPr>
        <w:t xml:space="preserve">   年   月   日</w:t>
      </w:r>
    </w:p>
    <w:p w14:paraId="14D7EE75">
      <w:pPr>
        <w:rPr>
          <w:rFonts w:ascii="宋体" w:hAnsi="宋体"/>
          <w:color w:val="000000" w:themeColor="text1"/>
          <w:szCs w:val="21"/>
          <w14:textFill>
            <w14:solidFill>
              <w14:schemeClr w14:val="tx1"/>
            </w14:solidFill>
          </w14:textFill>
        </w:rPr>
      </w:pPr>
    </w:p>
    <w:p w14:paraId="0D105586">
      <w:pPr>
        <w:pStyle w:val="6"/>
      </w:pPr>
    </w:p>
    <w:p w14:paraId="40910CD0"/>
    <w:p w14:paraId="41260076">
      <w:pPr>
        <w:pStyle w:val="6"/>
      </w:pPr>
    </w:p>
    <w:p w14:paraId="422FCCEA"/>
    <w:p w14:paraId="430DDD17">
      <w:pPr>
        <w:pStyle w:val="6"/>
      </w:pPr>
    </w:p>
    <w:p w14:paraId="3491AFFD"/>
    <w:p w14:paraId="714AE347">
      <w:pPr>
        <w:pStyle w:val="6"/>
      </w:pPr>
    </w:p>
    <w:p w14:paraId="13004B25"/>
    <w:p w14:paraId="5660ECBF">
      <w:pPr>
        <w:pStyle w:val="6"/>
      </w:pPr>
    </w:p>
    <w:p w14:paraId="1C36474A"/>
    <w:p w14:paraId="12A9A526">
      <w:pPr>
        <w:pStyle w:val="6"/>
      </w:pPr>
    </w:p>
    <w:p w14:paraId="46A17C71"/>
    <w:p w14:paraId="428CA030">
      <w:pPr>
        <w:pStyle w:val="6"/>
      </w:pPr>
    </w:p>
    <w:p w14:paraId="73822150"/>
    <w:p w14:paraId="002E80E0"/>
    <w:p w14:paraId="4531799A">
      <w:pPr>
        <w:pStyle w:val="6"/>
      </w:pPr>
    </w:p>
    <w:p w14:paraId="4A6328AF">
      <w:pPr>
        <w:pStyle w:val="5"/>
        <w:spacing w:before="120" w:beforeLines="50" w:after="120" w:afterLines="50"/>
        <w:ind w:left="562"/>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第二册  通用条款（公开招标）</w:t>
      </w:r>
    </w:p>
    <w:p w14:paraId="4D4CDA98">
      <w:pPr>
        <w:pStyle w:val="5"/>
        <w:numPr>
          <w:ilvl w:val="0"/>
          <w:numId w:val="2"/>
        </w:numPr>
        <w:spacing w:before="120" w:beforeLines="50" w:after="120" w:afterLines="50"/>
        <w:ind w:left="562" w:hanging="562"/>
        <w:rPr>
          <w:color w:val="000000" w:themeColor="text1"/>
          <w:sz w:val="28"/>
          <w:szCs w:val="28"/>
          <w14:textFill>
            <w14:solidFill>
              <w14:schemeClr w14:val="tx1"/>
            </w14:solidFill>
          </w14:textFill>
        </w:rPr>
      </w:pPr>
      <w:bookmarkStart w:id="46" w:name="_Hlk72399513"/>
      <w:r>
        <w:rPr>
          <w:rFonts w:hint="eastAsia"/>
          <w:color w:val="000000" w:themeColor="text1"/>
          <w:sz w:val="28"/>
          <w:szCs w:val="28"/>
          <w14:textFill>
            <w14:solidFill>
              <w14:schemeClr w14:val="tx1"/>
            </w14:solidFill>
          </w14:textFill>
        </w:rPr>
        <w:t>总则</w:t>
      </w:r>
    </w:p>
    <w:bookmarkEnd w:id="46"/>
    <w:p w14:paraId="2B09A7E9">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1. 通用条款说明</w:t>
      </w:r>
    </w:p>
    <w:p w14:paraId="4536DBA3">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1.1</w:t>
      </w:r>
      <w:bookmarkStart w:id="47" w:name="_Hlk72399729"/>
      <w:r>
        <w:rPr>
          <w:rFonts w:hint="eastAsia" w:ascii="宋体" w:hAnsi="宋体"/>
          <w:color w:val="000000" w:themeColor="text1"/>
          <w:szCs w:val="21"/>
          <w14:textFill>
            <w14:solidFill>
              <w14:schemeClr w14:val="tx1"/>
            </w14:solidFill>
          </w14:textFill>
        </w:rPr>
        <w:t>采购机构可以对通用条款的内容进行补充。</w:t>
      </w:r>
      <w:bookmarkEnd w:id="47"/>
    </w:p>
    <w:p w14:paraId="6A9D57FD">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1.2招标文件分为第一册“专用条款”和第二册“通用条款”。</w:t>
      </w:r>
    </w:p>
    <w:p w14:paraId="22328730">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1.3“专用条款”是对本次采购项目的具体要求，包含招标公告、对通用条款的补充内容及其他关键信息、用户需求书、投标文件格式及附件、合同条款及格式等内容。</w:t>
      </w:r>
    </w:p>
    <w:p w14:paraId="71588F67">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1.4“通用条款”是适用于政府采购公开招标项目的基础性条款，具有普遍性和通用性。</w:t>
      </w:r>
    </w:p>
    <w:p w14:paraId="374B913C">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1.5 “专用条款”和“通用条款”表述不一致或有冲突时，以“专用条款”为准。</w:t>
      </w:r>
    </w:p>
    <w:p w14:paraId="7B21D6D7">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2</w:t>
      </w:r>
      <w:r>
        <w:rPr>
          <w:rFonts w:ascii="黑体" w:hAnsi="宋体" w:eastAsia="黑体"/>
          <w:color w:val="000000" w:themeColor="text1"/>
          <w14:textFill>
            <w14:solidFill>
              <w14:schemeClr w14:val="tx1"/>
            </w14:solidFill>
          </w14:textFill>
        </w:rPr>
        <w:t>．</w:t>
      </w:r>
      <w:r>
        <w:rPr>
          <w:rFonts w:hint="eastAsia" w:ascii="黑体" w:hAnsi="宋体" w:eastAsia="黑体"/>
          <w:color w:val="000000" w:themeColor="text1"/>
          <w14:textFill>
            <w14:solidFill>
              <w14:schemeClr w14:val="tx1"/>
            </w14:solidFill>
          </w14:textFill>
        </w:rPr>
        <w:t>招标说明</w:t>
      </w:r>
    </w:p>
    <w:p w14:paraId="69C869CF">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本项目按照《深圳经济特区政府采购条例》、《深圳经济特区政府采购条例实施细则》及政府采购其他法律法规，通过公开招标方式确定中标供应商。</w:t>
      </w:r>
    </w:p>
    <w:p w14:paraId="7FC8CB5D">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3．定义</w:t>
      </w:r>
    </w:p>
    <w:p w14:paraId="6C619155">
      <w:pPr>
        <w:ind w:firstLine="480" w:firstLineChars="20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招标文件中下列术语应解释为：</w:t>
      </w:r>
    </w:p>
    <w:p w14:paraId="46BE89AB">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w:t>
      </w: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“采购人”：指利用财政性资金依法进行政府采购的国家机关、事业单位、团体组织；</w:t>
      </w:r>
    </w:p>
    <w:p w14:paraId="152C32D8">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3.2 “</w:t>
      </w:r>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”系指根据采购人的委托，代理政府采购事宜的机构，在此特指拥有采购代理资格的</w:t>
      </w:r>
      <w:r>
        <w:rPr>
          <w:rFonts w:hint="eastAsia" w:ascii="宋体" w:hAnsi="宋体"/>
          <w:b/>
          <w:bCs/>
          <w:color w:val="000000" w:themeColor="text1"/>
          <w:szCs w:val="21"/>
          <w14:textFill>
            <w14:solidFill>
              <w14:schemeClr w14:val="tx1"/>
            </w14:solidFill>
          </w14:textFill>
        </w:rPr>
        <w:t>友和保险经纪有限公司</w:t>
      </w:r>
      <w:r>
        <w:rPr>
          <w:rFonts w:hint="eastAsia" w:ascii="宋体" w:hAnsi="宋体"/>
          <w:color w:val="000000" w:themeColor="text1"/>
          <w:szCs w:val="21"/>
          <w14:textFill>
            <w14:solidFill>
              <w14:schemeClr w14:val="tx1"/>
            </w14:solidFill>
          </w14:textFill>
        </w:rPr>
        <w:t>；</w:t>
      </w:r>
    </w:p>
    <w:p w14:paraId="1ABB64F3">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3.3“投标人”，即供应商，指参加投标竞争并愿意按照招标文件要求向采购人提供货物、工程或者服务的依法成立的法人、其他组织或者自然人；</w:t>
      </w:r>
    </w:p>
    <w:p w14:paraId="31496E2C">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3.4“评审委员会”是依据《深圳经济特区政府采购条例》、《深圳经济特区政府采购条例实施细则》等有关规定组建的专门负责本次招标其评审工作的临时性机构；</w:t>
      </w:r>
    </w:p>
    <w:p w14:paraId="1E9D1603">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3.5“日期”</w:t>
      </w:r>
      <w:r>
        <w:rPr>
          <w:rFonts w:ascii="宋体" w:hAnsi="宋体"/>
          <w:color w:val="000000" w:themeColor="text1"/>
          <w:szCs w:val="21"/>
          <w14:textFill>
            <w14:solidFill>
              <w14:schemeClr w14:val="tx1"/>
            </w14:solidFill>
          </w14:textFill>
        </w:rPr>
        <w:t>指</w:t>
      </w:r>
      <w:r>
        <w:rPr>
          <w:rFonts w:hint="eastAsia" w:ascii="宋体" w:hAnsi="宋体"/>
          <w:color w:val="000000" w:themeColor="text1"/>
          <w:szCs w:val="21"/>
          <w14:textFill>
            <w14:solidFill>
              <w14:schemeClr w14:val="tx1"/>
            </w14:solidFill>
          </w14:textFill>
        </w:rPr>
        <w:t>公历日；</w:t>
      </w:r>
    </w:p>
    <w:p w14:paraId="3838B490">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3.6“合同”指由本次招标所产生的合同或合约文件；</w:t>
      </w:r>
    </w:p>
    <w:p w14:paraId="75B5A6C2">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3.7“电子投标文件”指利用</w:t>
      </w:r>
      <w:r>
        <w:rPr>
          <w:rFonts w:hint="eastAsia" w:ascii="宋体" w:hAnsi="宋体"/>
          <w:b/>
          <w:bCs/>
          <w:color w:val="000000" w:themeColor="text1"/>
          <w:szCs w:val="21"/>
          <w14:textFill>
            <w14:solidFill>
              <w14:schemeClr w14:val="tx1"/>
            </w14:solidFill>
          </w14:textFill>
        </w:rPr>
        <w:t>深圳公共资源交易中心（深圳交易集团有限公司政府采购业务分公司）</w:t>
      </w:r>
      <w:r>
        <w:rPr>
          <w:rFonts w:hint="eastAsia" w:ascii="宋体" w:hAnsi="宋体"/>
          <w:color w:val="000000" w:themeColor="text1"/>
          <w:szCs w:val="21"/>
          <w14:textFill>
            <w14:solidFill>
              <w14:schemeClr w14:val="tx1"/>
            </w14:solidFill>
          </w14:textFill>
        </w:rPr>
        <w:t>网站提供的</w:t>
      </w:r>
      <w:r>
        <w:rPr>
          <w:rFonts w:hint="eastAsia" w:ascii="宋体" w:hAnsi="宋体"/>
          <w:color w:val="000000" w:themeColor="text1"/>
          <w14:textFill>
            <w14:solidFill>
              <w14:schemeClr w14:val="tx1"/>
            </w14:solidFill>
          </w14:textFill>
        </w:rPr>
        <w:t>深圳智慧采购平台投标文件制作专用软件（以下简称：投标文件制作软件）制作并</w:t>
      </w:r>
      <w:r>
        <w:rPr>
          <w:rFonts w:hint="eastAsia" w:ascii="宋体" w:hAnsi="宋体"/>
          <w:color w:val="000000" w:themeColor="text1"/>
          <w:szCs w:val="21"/>
          <w14:textFill>
            <w14:solidFill>
              <w14:schemeClr w14:val="tx1"/>
            </w14:solidFill>
          </w14:textFill>
        </w:rPr>
        <w:t>加密的投标文件,适用于网上投标；（投标文件制作软件可从</w:t>
      </w:r>
      <w:r>
        <w:rPr>
          <w:rFonts w:hint="eastAsia"/>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下载地址：</w:t>
      </w:r>
      <w:r>
        <w:rPr>
          <w:rFonts w:hint="eastAsia" w:ascii="宋体" w:hAnsi="宋体"/>
          <w:color w:val="000000" w:themeColor="text1"/>
          <w:highlight w:val="yellow"/>
          <w14:textFill>
            <w14:solidFill>
              <w14:schemeClr w14:val="tx1"/>
            </w14:solidFill>
          </w14:textFill>
        </w:rPr>
        <w:t>http://zfcg.szggzy.com:8081/cgxy/013002/20210923/173e0b2c-7a4c-4246-a0c7-e0ea75d84dd6.html</w:t>
      </w:r>
      <w:r>
        <w:rPr>
          <w:rFonts w:hint="eastAsia"/>
          <w:color w:val="000000" w:themeColor="text1"/>
          <w14:textFill>
            <w14:solidFill>
              <w14:schemeClr w14:val="tx1"/>
            </w14:solidFill>
          </w14:textFill>
        </w:rPr>
        <w:t>”</w:t>
      </w:r>
      <w:r>
        <w:rPr>
          <w:rFonts w:hint="eastAsia" w:ascii="宋体" w:hAnsi="宋体"/>
          <w:color w:val="000000" w:themeColor="text1"/>
          <w:szCs w:val="21"/>
          <w14:textFill>
            <w14:solidFill>
              <w14:schemeClr w14:val="tx1"/>
            </w14:solidFill>
          </w14:textFill>
        </w:rPr>
        <w:t>下载）；</w:t>
      </w:r>
    </w:p>
    <w:p w14:paraId="42B4BA03">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3.8“网上投标”指通过</w:t>
      </w:r>
      <w:r>
        <w:rPr>
          <w:rFonts w:hint="eastAsia" w:ascii="宋体" w:hAnsi="宋体"/>
          <w:b/>
          <w:bCs/>
          <w:color w:val="000000" w:themeColor="text1"/>
          <w:szCs w:val="21"/>
          <w14:textFill>
            <w14:solidFill>
              <w14:schemeClr w14:val="tx1"/>
            </w14:solidFill>
          </w14:textFill>
        </w:rPr>
        <w:t>深圳公共资源交易中心（深圳交易集团有限公司政府采购业务分公司）</w:t>
      </w:r>
      <w:r>
        <w:rPr>
          <w:rFonts w:hint="eastAsia" w:ascii="宋体" w:hAnsi="宋体"/>
          <w:color w:val="000000" w:themeColor="text1"/>
          <w:szCs w:val="21"/>
          <w14:textFill>
            <w14:solidFill>
              <w14:schemeClr w14:val="tx1"/>
            </w14:solidFill>
          </w14:textFill>
        </w:rPr>
        <w:t>网站上传电子投标文件；</w:t>
      </w:r>
    </w:p>
    <w:p w14:paraId="67C3198C">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3.9招标文件中的标题或题名仅起引导作用，而不应视为对招标文件内容的理解和解释。</w:t>
      </w:r>
    </w:p>
    <w:p w14:paraId="4DD2107F">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 xml:space="preserve">4. </w:t>
      </w:r>
      <w:bookmarkStart w:id="48" w:name="_Hlk72398643"/>
      <w:r>
        <w:rPr>
          <w:rFonts w:hint="eastAsia" w:ascii="黑体" w:hAnsi="宋体" w:eastAsia="黑体"/>
          <w:color w:val="000000" w:themeColor="text1"/>
          <w14:textFill>
            <w14:solidFill>
              <w14:schemeClr w14:val="tx1"/>
            </w14:solidFill>
          </w14:textFill>
        </w:rPr>
        <w:t>政府采购供应商责任</w:t>
      </w:r>
    </w:p>
    <w:p w14:paraId="24167C2D">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4.1欢迎诚信、有实力和有社会责任心的供应商参与政府采购事业。</w:t>
      </w:r>
    </w:p>
    <w:p w14:paraId="4022DA9E">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4.2投标人应当遵循公平竞争的原则，不得恶意串通，不得妨碍其他投标人的竞争行为，不得损害采购人或者其他投标人的合法权益。如违反上述要求，经核实后，供应商的投标无效。</w:t>
      </w:r>
    </w:p>
    <w:p w14:paraId="2525DCFE">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5．投标人参加政府采购的条件</w:t>
      </w:r>
    </w:p>
    <w:p w14:paraId="43E63B77">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5.1投标人应在投标前到</w:t>
      </w:r>
      <w:r>
        <w:rPr>
          <w:rFonts w:hint="eastAsia" w:ascii="宋体" w:hAnsi="宋体"/>
          <w:b/>
          <w:bCs/>
          <w:color w:val="000000" w:themeColor="text1"/>
          <w:szCs w:val="21"/>
          <w14:textFill>
            <w14:solidFill>
              <w14:schemeClr w14:val="tx1"/>
            </w14:solidFill>
          </w14:textFill>
        </w:rPr>
        <w:t>深圳公共资源交易中心（具体在深圳交易集团有限公司政府采购业务分公司进行办理）</w:t>
      </w:r>
      <w:r>
        <w:rPr>
          <w:rFonts w:hint="eastAsia" w:ascii="宋体" w:hAnsi="宋体"/>
          <w:color w:val="000000" w:themeColor="text1"/>
          <w:szCs w:val="21"/>
          <w14:textFill>
            <w14:solidFill>
              <w14:schemeClr w14:val="tx1"/>
            </w14:solidFill>
          </w14:textFill>
        </w:rPr>
        <w:t>进行注册并办理电子密钥。《</w:t>
      </w:r>
      <w:r>
        <w:fldChar w:fldCharType="begin"/>
      </w:r>
      <w:r>
        <w:instrText xml:space="preserve"> HYPERLINK "http://www.szzfcg.cn/viewer.do?id=2455258" \t "documentViewer2455258" </w:instrText>
      </w:r>
      <w:r>
        <w:fldChar w:fldCharType="separate"/>
      </w:r>
      <w:r>
        <w:rPr>
          <w:rFonts w:ascii="宋体" w:hAnsi="宋体"/>
          <w:color w:val="000000" w:themeColor="text1"/>
          <w:szCs w:val="21"/>
          <w14:textFill>
            <w14:solidFill>
              <w14:schemeClr w14:val="tx1"/>
            </w14:solidFill>
          </w14:textFill>
        </w:rPr>
        <w:t>供应商注册及电子密钥新申请指引</w:t>
      </w:r>
      <w:r>
        <w:rPr>
          <w:rFonts w:ascii="宋体" w:hAnsi="宋体"/>
          <w:color w:val="000000" w:themeColor="text1"/>
          <w:szCs w:val="21"/>
          <w14:textFill>
            <w14:solidFill>
              <w14:schemeClr w14:val="tx1"/>
            </w14:solidFill>
          </w14:textFill>
        </w:rPr>
        <w:fldChar w:fldCharType="end"/>
      </w:r>
      <w:r>
        <w:rPr>
          <w:rFonts w:hint="eastAsia" w:ascii="宋体" w:hAnsi="宋体"/>
          <w:color w:val="000000" w:themeColor="text1"/>
          <w:szCs w:val="21"/>
          <w14:textFill>
            <w14:solidFill>
              <w14:schemeClr w14:val="tx1"/>
            </w14:solidFill>
          </w14:textFill>
        </w:rPr>
        <w:t>》详见http://zfcg.szggzy.com:8081/。</w:t>
      </w:r>
    </w:p>
    <w:p w14:paraId="16D5576C">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5.2投标人资格要求</w:t>
      </w:r>
    </w:p>
    <w:p w14:paraId="1EFBC1A1">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参加本项目的投标人应具备的资格条件详见本项目招标公告中 “投标人资格要求”（即申请人的资格要求）的内容。</w:t>
      </w:r>
    </w:p>
    <w:p w14:paraId="7C97D74C">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5.3联合体投标</w:t>
      </w:r>
    </w:p>
    <w:p w14:paraId="23A52B69">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5.3.1以下有关联合体投标的条款仅适用于允许投标人组成联合体投标的项目。</w:t>
      </w:r>
    </w:p>
    <w:p w14:paraId="7222441B">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5.3.2由两个或两个以上的自然人、法人或者其他组织可以组成一个联合体，以一个供应商的身份共同投标时，应符合以下原则：</w:t>
      </w:r>
    </w:p>
    <w:p w14:paraId="0CBF70FA">
      <w:pPr>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（1）投标联合体各方参加政府采购活动应当具备下列条件：</w:t>
      </w:r>
    </w:p>
    <w:p w14:paraId="73AB9903">
      <w:pPr>
        <w:ind w:left="480" w:leftChars="200"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1、具有独立承担民事责任的能力；</w:t>
      </w:r>
    </w:p>
    <w:p w14:paraId="3073523F">
      <w:pPr>
        <w:ind w:left="480" w:leftChars="200"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2、有良好的商业信誉和健全的财务会计制度；</w:t>
      </w:r>
    </w:p>
    <w:p w14:paraId="5EDEE95A">
      <w:pPr>
        <w:ind w:left="480" w:leftChars="200"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3、具有履行合同所必需的设备和专业技术能力；</w:t>
      </w:r>
    </w:p>
    <w:p w14:paraId="69735C52">
      <w:pPr>
        <w:ind w:left="480" w:leftChars="200"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4、有依法缴纳税收和社会保障资金的良好记录；</w:t>
      </w:r>
    </w:p>
    <w:p w14:paraId="4D59619B">
      <w:pPr>
        <w:ind w:left="480" w:leftChars="200"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5、参加政府采购活动前三年内，在经营活动中没有重大违法记录；</w:t>
      </w:r>
    </w:p>
    <w:p w14:paraId="55B77778">
      <w:pPr>
        <w:ind w:left="480" w:leftChars="200"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6、法律、行政法规规定的其他条件。</w:t>
      </w:r>
    </w:p>
    <w:p w14:paraId="6F8D6058">
      <w:pPr>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（2）在投标截止前，投标联合体各方均应注册成</w:t>
      </w:r>
      <w:r>
        <w:rPr>
          <w:rFonts w:hint="eastAsia" w:ascii="宋体" w:hAnsi="宋体" w:eastAsia="宋体"/>
          <w:color w:val="000000" w:themeColor="text1"/>
          <w:lang w:eastAsia="zh-CN"/>
          <w14:textFill>
            <w14:solidFill>
              <w14:schemeClr w14:val="tx1"/>
            </w14:solidFill>
          </w14:textFill>
        </w:rPr>
        <w:t>政府采购</w:t>
      </w:r>
      <w:r>
        <w:rPr>
          <w:rFonts w:hint="eastAsia" w:ascii="宋体" w:hAnsi="宋体"/>
          <w:color w:val="000000" w:themeColor="text1"/>
          <w14:textFill>
            <w14:solidFill>
              <w14:schemeClr w14:val="tx1"/>
            </w14:solidFill>
          </w14:textFill>
        </w:rPr>
        <w:t>供应商；</w:t>
      </w:r>
    </w:p>
    <w:p w14:paraId="6FAA702A">
      <w:pPr>
        <w:ind w:firstLine="470" w:firstLineChars="196"/>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（3）联合体中有同类资质的供应商按照联合体分工承担相同工作的，应当按照资质等级较低的供应商确定资质等级；</w:t>
      </w:r>
    </w:p>
    <w:p w14:paraId="71EBBA01">
      <w:pPr>
        <w:ind w:firstLine="470" w:firstLineChars="196"/>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（4）是否允许联合体参加投标，应当由采购人和采购代理机构根据项目的实际情况和潜在供应商的数量自主决定，如果决定接受联合体投标则应当在招标公告中明示；</w:t>
      </w:r>
    </w:p>
    <w:p w14:paraId="061B2084">
      <w:pPr>
        <w:ind w:firstLine="470" w:firstLineChars="196"/>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（5）投标人的投标文件及中标后签署的合同协议对联合体各方均具法律约束力；</w:t>
      </w:r>
    </w:p>
    <w:p w14:paraId="27E11F88">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（6）联合体各方应当签订联合体投标协议，明确约定各方拟承担的工作和责任，并将该协议随投标文件一并递交给</w:t>
      </w:r>
      <w:r>
        <w:rPr>
          <w:rFonts w:hint="eastAsia" w:ascii="宋体" w:hAnsi="宋体" w:eastAsia="宋体"/>
          <w:color w:val="000000" w:themeColor="text1"/>
          <w14:textFill>
            <w14:solidFill>
              <w14:schemeClr w14:val="tx1"/>
            </w14:solidFill>
          </w14:textFill>
        </w:rPr>
        <w:t>招标机构</w:t>
      </w:r>
      <w:r>
        <w:rPr>
          <w:rFonts w:hint="eastAsia" w:ascii="宋体" w:hAnsi="宋体"/>
          <w:color w:val="000000" w:themeColor="text1"/>
          <w14:textFill>
            <w14:solidFill>
              <w14:schemeClr w14:val="tx1"/>
            </w14:solidFill>
          </w14:textFill>
        </w:rPr>
        <w:t>；</w:t>
      </w:r>
    </w:p>
    <w:p w14:paraId="46C8D6FF">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（7）联合体中标后，联合体各方应当共同与采购人签订合同，就中标项目向采购人承担连带责任；</w:t>
      </w:r>
    </w:p>
    <w:p w14:paraId="771459B4">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8）以联合体形式参加政府采购活动的，联合体各方不得再单独参加或者与其他供应商另外组成联合体参加同一合同项下的政府采购活动，出现上述情况者，其投标和与此有关联合体、总包单位的投标将被拒绝；</w:t>
      </w:r>
    </w:p>
    <w:p w14:paraId="447D5D3E">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14:textFill>
            <w14:solidFill>
              <w14:schemeClr w14:val="tx1"/>
            </w14:solidFill>
          </w14:textFill>
        </w:rPr>
        <w:t>（9）本通用条款中“投标人”一词亦指联合体各方，专用条款另有规定或说明的除外。</w:t>
      </w:r>
    </w:p>
    <w:p w14:paraId="7533C222">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6．政策导向</w:t>
      </w:r>
    </w:p>
    <w:p w14:paraId="3453D89A">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6.1政府采购扶持贫困地区、中小企业、监狱企业和残疾人福利性单位发展，支持节能减排、环境保护。</w:t>
      </w:r>
    </w:p>
    <w:p w14:paraId="169A54E1">
      <w:pPr>
        <w:ind w:firstLine="405"/>
        <w:rPr>
          <w:color w:val="000000" w:themeColor="text1"/>
          <w:shd w:val="clear" w:color="auto" w:fill="FFFFFF"/>
          <w14:textFill>
            <w14:solidFill>
              <w14:schemeClr w14:val="tx1"/>
            </w14:solidFill>
          </w14:textFill>
        </w:rPr>
      </w:pPr>
      <w:r>
        <w:rPr>
          <w:rFonts w:hint="eastAsia" w:ascii="宋体" w:hAnsi="宋体"/>
          <w:color w:val="000000" w:themeColor="text1"/>
          <w14:textFill>
            <w14:solidFill>
              <w14:schemeClr w14:val="tx1"/>
            </w14:solidFill>
          </w14:textFill>
        </w:rPr>
        <w:t>6.2本项目落实深圳市政府采购供应商诚信管理政策要求。</w:t>
      </w:r>
    </w:p>
    <w:p w14:paraId="502310C5">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7. 本项目若涉及采购货物，则合格的货物及相应服务应满足以下要求：</w:t>
      </w:r>
    </w:p>
    <w:p w14:paraId="73965029">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7</w:t>
      </w:r>
      <w:r>
        <w:rPr>
          <w:rFonts w:ascii="宋体" w:hAnsi="宋体"/>
          <w:color w:val="000000" w:themeColor="text1"/>
          <w14:textFill>
            <w14:solidFill>
              <w14:schemeClr w14:val="tx1"/>
            </w14:solidFill>
          </w14:textFill>
        </w:rPr>
        <w:t>.1</w:t>
      </w:r>
      <w:r>
        <w:rPr>
          <w:rFonts w:hint="eastAsia" w:ascii="宋体" w:hAnsi="宋体"/>
          <w:color w:val="000000" w:themeColor="text1"/>
          <w14:textFill>
            <w14:solidFill>
              <w14:schemeClr w14:val="tx1"/>
            </w14:solidFill>
          </w14:textFill>
        </w:rPr>
        <w:t>必须是全新、未使用过的原装合格正品（包括零部件），如安装或配置了软件的，须为正版软件。</w:t>
      </w:r>
    </w:p>
    <w:p w14:paraId="34E102D5">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7.2国产的货物及其有关服务必须符合中华人民共和国的设计、制造生产标准及行业标准。招标公告有其他要求的，亦应符合其要求。</w:t>
      </w:r>
    </w:p>
    <w:p w14:paraId="52E4895B">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7</w:t>
      </w:r>
      <w:r>
        <w:rPr>
          <w:rFonts w:ascii="宋体" w:hAnsi="宋体"/>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3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4D324050">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7</w:t>
      </w:r>
      <w:r>
        <w:rPr>
          <w:rFonts w:ascii="宋体" w:hAnsi="宋体"/>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4投标人</w:t>
      </w:r>
      <w:bookmarkStart w:id="49" w:name="_Hlk72152753"/>
      <w:r>
        <w:rPr>
          <w:rFonts w:hint="eastAsia" w:ascii="宋体" w:hAnsi="宋体"/>
          <w:color w:val="000000" w:themeColor="text1"/>
          <w14:textFill>
            <w14:solidFill>
              <w14:schemeClr w14:val="tx1"/>
            </w14:solidFill>
          </w14:textFill>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49"/>
    </w:p>
    <w:p w14:paraId="5EF20AAE">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7.5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67537601">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7.6工期要求：投标人在投标时对其所投项目应提交交货进度、交货计划等，在合同规定的时间内完成项目实施工作。</w:t>
      </w:r>
    </w:p>
    <w:p w14:paraId="0CE6B996">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7.7投标人必须承担的设备运输、安装调试、验收检测和提供设备操作说明书、图纸等其他相关及类似的义务。</w:t>
      </w:r>
    </w:p>
    <w:p w14:paraId="1C979BC9">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8．投标费用</w:t>
      </w:r>
    </w:p>
    <w:p w14:paraId="485BDCE0">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不论投标结果如何，投标人应承担其编制投标文件与递交投标文件所涉及的一切费用。</w:t>
      </w:r>
    </w:p>
    <w:p w14:paraId="51823A79">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9．踏勘现场</w:t>
      </w:r>
    </w:p>
    <w:p w14:paraId="2A87E432">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9.1如有需要（详见专用条款），采购人或</w:t>
      </w:r>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将组织投标人对项目现场及周围环境进行踏勘，以便投标人获取有关编制投标文件和签署合同所需的资料。踏勘现场所发生的费用由投标人自行承担。投标人应按招标文件所约定的时间、地点踏勘现场。</w:t>
      </w:r>
    </w:p>
    <w:p w14:paraId="02FD493E">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9.2投标人及其人员经过采购人的允许，可以进入采购人的项目现场踏勘。若招标文件要求投标人于统一时间地点踏勘现场的，投标人应当按时前往。</w:t>
      </w:r>
    </w:p>
    <w:p w14:paraId="2B915333">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9.3采购人应当通过</w:t>
      </w:r>
      <w:r>
        <w:rPr>
          <w:rFonts w:hint="eastAsia" w:ascii="宋体" w:hAnsi="宋体" w:eastAsia="宋体"/>
          <w:color w:val="000000" w:themeColor="text1"/>
          <w14:textFill>
            <w14:solidFill>
              <w14:schemeClr w14:val="tx1"/>
            </w14:solidFill>
          </w14:textFill>
        </w:rPr>
        <w:t>招标机构</w:t>
      </w:r>
      <w:r>
        <w:rPr>
          <w:rFonts w:hint="eastAsia" w:ascii="宋体" w:hAnsi="宋体"/>
          <w:color w:val="000000" w:themeColor="text1"/>
          <w14:textFill>
            <w14:solidFill>
              <w14:schemeClr w14:val="tx1"/>
            </w14:solidFill>
          </w14:textFill>
        </w:rPr>
        <w:t>向投标人提供有关现场的书面资料和数据。</w:t>
      </w:r>
    </w:p>
    <w:p w14:paraId="7DDFDAA8">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9.4任何人或任何组织在踏勘现场时向投标人提供的任何书面资料或口头承诺，未经</w:t>
      </w:r>
      <w:r>
        <w:rPr>
          <w:rFonts w:hint="eastAsia" w:ascii="宋体" w:hAnsi="宋体" w:eastAsia="宋体"/>
          <w:color w:val="000000" w:themeColor="text1"/>
          <w14:textFill>
            <w14:solidFill>
              <w14:schemeClr w14:val="tx1"/>
            </w14:solidFill>
          </w14:textFill>
        </w:rPr>
        <w:t>招标机构</w:t>
      </w:r>
      <w:r>
        <w:rPr>
          <w:rFonts w:hint="eastAsia" w:ascii="宋体" w:hAnsi="宋体"/>
          <w:color w:val="000000" w:themeColor="text1"/>
          <w14:textFill>
            <w14:solidFill>
              <w14:schemeClr w14:val="tx1"/>
            </w14:solidFill>
          </w14:textFill>
        </w:rPr>
        <w:t>在网上发布或书面通知，均作无效处理。</w:t>
      </w:r>
    </w:p>
    <w:p w14:paraId="2098E97B">
      <w:pPr>
        <w:ind w:firstLine="470" w:firstLineChars="196"/>
        <w:rPr>
          <w:rFonts w:ascii="宋体" w:hAnsi="宋体"/>
          <w:color w:val="000000" w:themeColor="text1"/>
          <w14:textFill>
            <w14:solidFill>
              <w14:schemeClr w14:val="tx1"/>
            </w14:solidFill>
          </w14:textFill>
        </w:rPr>
      </w:pPr>
      <w:r>
        <w:rPr>
          <w:rFonts w:ascii="宋体" w:hAnsi="宋体"/>
          <w:color w:val="000000" w:themeColor="text1"/>
          <w:szCs w:val="21"/>
          <w14:textFill>
            <w14:solidFill>
              <w14:schemeClr w14:val="tx1"/>
            </w14:solidFill>
          </w14:textFill>
        </w:rPr>
        <w:t>9</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5</w:t>
      </w:r>
      <w:r>
        <w:rPr>
          <w:rFonts w:hint="eastAsia" w:ascii="宋体" w:hAnsi="宋体"/>
          <w:color w:val="000000" w:themeColor="text1"/>
          <w:szCs w:val="21"/>
          <w14:textFill>
            <w14:solidFill>
              <w14:schemeClr w14:val="tx1"/>
            </w14:solidFill>
          </w14:textFill>
        </w:rPr>
        <w:t>未参与踏勘现场不作为否定投标人资格的理由。</w:t>
      </w:r>
    </w:p>
    <w:p w14:paraId="1242E34C">
      <w:pPr>
        <w:rPr>
          <w:rFonts w:ascii="宋体" w:hAnsi="宋体"/>
          <w:color w:val="000000" w:themeColor="text1"/>
          <w:szCs w:val="21"/>
          <w14:textFill>
            <w14:solidFill>
              <w14:schemeClr w14:val="tx1"/>
            </w14:solidFill>
          </w14:textFill>
        </w:rPr>
      </w:pPr>
      <w:r>
        <w:rPr>
          <w:rFonts w:hint="eastAsia" w:ascii="黑体" w:hAnsi="宋体" w:eastAsia="黑体"/>
          <w:color w:val="000000" w:themeColor="text1"/>
          <w14:textFill>
            <w14:solidFill>
              <w14:schemeClr w14:val="tx1"/>
            </w14:solidFill>
          </w14:textFill>
        </w:rPr>
        <w:t>1</w:t>
      </w:r>
      <w:r>
        <w:rPr>
          <w:rFonts w:ascii="黑体" w:hAnsi="宋体" w:eastAsia="黑体"/>
          <w:color w:val="000000" w:themeColor="text1"/>
          <w14:textFill>
            <w14:solidFill>
              <w14:schemeClr w14:val="tx1"/>
            </w14:solidFill>
          </w14:textFill>
        </w:rPr>
        <w:t>0</w:t>
      </w:r>
      <w:r>
        <w:rPr>
          <w:rFonts w:hint="eastAsia" w:ascii="黑体" w:hAnsi="宋体" w:eastAsia="黑体"/>
          <w:color w:val="000000" w:themeColor="text1"/>
          <w14:textFill>
            <w14:solidFill>
              <w14:schemeClr w14:val="tx1"/>
            </w14:solidFill>
          </w14:textFill>
        </w:rPr>
        <w:t>．标前会议</w:t>
      </w:r>
    </w:p>
    <w:p w14:paraId="682D8F98">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r>
        <w:rPr>
          <w:rFonts w:ascii="宋体" w:hAnsi="宋体"/>
          <w:color w:val="000000" w:themeColor="text1"/>
          <w:szCs w:val="21"/>
          <w14:textFill>
            <w14:solidFill>
              <w14:schemeClr w14:val="tx1"/>
            </w14:solidFill>
          </w14:textFill>
        </w:rPr>
        <w:t>0</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如采购人或</w:t>
      </w:r>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认为有必要组织标前会议，投标人应按照招标文件规定的时间或</w:t>
      </w:r>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另行书面通知（包括</w:t>
      </w:r>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网站发布方式，如更正公告等）的时间和地点，参与标前会议。</w:t>
      </w:r>
    </w:p>
    <w:p w14:paraId="024F5B30">
      <w:pPr>
        <w:ind w:firstLine="470" w:firstLineChars="196"/>
        <w:rPr>
          <w:rFonts w:ascii="宋体" w:hAnsi="宋体"/>
          <w:color w:val="000000" w:themeColor="text1"/>
          <w:szCs w:val="21"/>
          <w14:textFill>
            <w14:solidFill>
              <w14:schemeClr w14:val="tx1"/>
            </w14:solidFill>
          </w14:textFill>
        </w:rPr>
      </w:pPr>
      <w:r>
        <w:rPr>
          <w:rFonts w:ascii="宋体" w:hAnsi="宋体"/>
          <w:color w:val="000000" w:themeColor="text1"/>
          <w14:textFill>
            <w14:solidFill>
              <w14:schemeClr w14:val="tx1"/>
            </w14:solidFill>
          </w14:textFill>
        </w:rPr>
        <w:t>10</w:t>
      </w:r>
      <w:r>
        <w:rPr>
          <w:rFonts w:hint="eastAsia" w:ascii="宋体" w:hAnsi="宋体"/>
          <w:color w:val="000000" w:themeColor="text1"/>
          <w14:textFill>
            <w14:solidFill>
              <w14:schemeClr w14:val="tx1"/>
            </w14:solidFill>
          </w14:textFill>
        </w:rPr>
        <w:t>.</w:t>
      </w:r>
      <w:r>
        <w:rPr>
          <w:rFonts w:ascii="宋体" w:hAnsi="宋体"/>
          <w:color w:val="000000" w:themeColor="text1"/>
          <w14:textFill>
            <w14:solidFill>
              <w14:schemeClr w14:val="tx1"/>
            </w14:solidFill>
          </w14:textFill>
        </w:rPr>
        <w:t>2</w:t>
      </w:r>
      <w:r>
        <w:rPr>
          <w:rFonts w:hint="eastAsia" w:ascii="宋体" w:hAnsi="宋体"/>
          <w:color w:val="000000" w:themeColor="text1"/>
          <w14:textFill>
            <w14:solidFill>
              <w14:schemeClr w14:val="tx1"/>
            </w14:solidFill>
          </w14:textFill>
        </w:rPr>
        <w:t>任何人或任何组织在标前会议时向投标人提供的任何书面资料或口头承诺，未经</w:t>
      </w:r>
      <w:r>
        <w:rPr>
          <w:rFonts w:hint="eastAsia" w:ascii="宋体" w:hAnsi="宋体" w:eastAsia="宋体"/>
          <w:color w:val="000000" w:themeColor="text1"/>
          <w14:textFill>
            <w14:solidFill>
              <w14:schemeClr w14:val="tx1"/>
            </w14:solidFill>
          </w14:textFill>
        </w:rPr>
        <w:t>招标机构</w:t>
      </w:r>
      <w:r>
        <w:rPr>
          <w:rFonts w:hint="eastAsia" w:ascii="宋体" w:hAnsi="宋体"/>
          <w:color w:val="000000" w:themeColor="text1"/>
          <w14:textFill>
            <w14:solidFill>
              <w14:schemeClr w14:val="tx1"/>
            </w14:solidFill>
          </w14:textFill>
        </w:rPr>
        <w:t>在网上发布或书面通知，均作无效处理。</w:t>
      </w:r>
    </w:p>
    <w:p w14:paraId="7137C047">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r>
        <w:rPr>
          <w:rFonts w:ascii="宋体" w:hAnsi="宋体"/>
          <w:color w:val="000000" w:themeColor="text1"/>
          <w:szCs w:val="21"/>
          <w14:textFill>
            <w14:solidFill>
              <w14:schemeClr w14:val="tx1"/>
            </w14:solidFill>
          </w14:textFill>
        </w:rPr>
        <w:t>0</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3</w:t>
      </w:r>
      <w:r>
        <w:rPr>
          <w:rFonts w:hint="eastAsia" w:ascii="宋体" w:hAnsi="宋体"/>
          <w:color w:val="000000" w:themeColor="text1"/>
          <w:szCs w:val="21"/>
          <w14:textFill>
            <w14:solidFill>
              <w14:schemeClr w14:val="tx1"/>
            </w14:solidFill>
          </w14:textFill>
        </w:rPr>
        <w:t>未参与标前会议不作为否定投标人资格的理由。</w:t>
      </w:r>
    </w:p>
    <w:p w14:paraId="4832E26E">
      <w:pPr>
        <w:pStyle w:val="6"/>
      </w:pPr>
    </w:p>
    <w:p w14:paraId="7977B66E"/>
    <w:bookmarkEnd w:id="48"/>
    <w:p w14:paraId="73A617A0">
      <w:pPr>
        <w:pStyle w:val="5"/>
        <w:numPr>
          <w:ilvl w:val="0"/>
          <w:numId w:val="2"/>
        </w:numPr>
        <w:tabs>
          <w:tab w:val="left" w:pos="360"/>
          <w:tab w:val="clear" w:pos="720"/>
        </w:tabs>
        <w:spacing w:before="120" w:beforeLines="50" w:after="120" w:afterLines="50"/>
        <w:ind w:left="562" w:hanging="562"/>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招标文件</w:t>
      </w:r>
    </w:p>
    <w:p w14:paraId="3D12B78E">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1</w:t>
      </w:r>
      <w:r>
        <w:rPr>
          <w:rFonts w:ascii="黑体" w:hAnsi="宋体" w:eastAsia="黑体"/>
          <w:color w:val="000000" w:themeColor="text1"/>
          <w14:textFill>
            <w14:solidFill>
              <w14:schemeClr w14:val="tx1"/>
            </w14:solidFill>
          </w14:textFill>
        </w:rPr>
        <w:t>1</w:t>
      </w:r>
      <w:r>
        <w:rPr>
          <w:rFonts w:hint="eastAsia" w:ascii="黑体" w:hAnsi="宋体" w:eastAsia="黑体"/>
          <w:color w:val="000000" w:themeColor="text1"/>
          <w14:textFill>
            <w14:solidFill>
              <w14:schemeClr w14:val="tx1"/>
            </w14:solidFill>
          </w14:textFill>
        </w:rPr>
        <w:t>．</w:t>
      </w:r>
      <w:bookmarkStart w:id="50" w:name="_Hlk72399819"/>
      <w:r>
        <w:rPr>
          <w:rFonts w:hint="eastAsia" w:ascii="黑体" w:hAnsi="宋体" w:eastAsia="黑体"/>
          <w:color w:val="000000" w:themeColor="text1"/>
          <w14:textFill>
            <w14:solidFill>
              <w14:schemeClr w14:val="tx1"/>
            </w14:solidFill>
          </w14:textFill>
        </w:rPr>
        <w:t>招标文件的编制与组成</w:t>
      </w:r>
    </w:p>
    <w:p w14:paraId="26985C2B">
      <w:pPr>
        <w:snapToGrid w:val="0"/>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.1招标文件除以下内容外，</w:t>
      </w:r>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在招标期间发出的澄清或修改等相关公告或通知内容，均是招标文件的组成部分，对投标人起约束作用；</w:t>
      </w:r>
    </w:p>
    <w:p w14:paraId="30F5DF87">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招标文件包括下列内容：</w:t>
      </w:r>
    </w:p>
    <w:p w14:paraId="60E5E413">
      <w:pPr>
        <w:ind w:left="480" w:leftChars="200" w:firstLine="471" w:firstLineChars="196"/>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第一册  专用条款</w:t>
      </w:r>
    </w:p>
    <w:p w14:paraId="1DB36693">
      <w:pPr>
        <w:ind w:left="1234" w:leftChars="514"/>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关键信息</w:t>
      </w:r>
    </w:p>
    <w:p w14:paraId="22CBC060">
      <w:pPr>
        <w:ind w:left="720" w:leftChars="300"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第一章  招标公告</w:t>
      </w:r>
    </w:p>
    <w:p w14:paraId="26D5A195">
      <w:pPr>
        <w:ind w:left="720" w:leftChars="300"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第二章  对通用条款的补充内容及其他关键信息</w:t>
      </w:r>
    </w:p>
    <w:p w14:paraId="5355EB11">
      <w:pPr>
        <w:ind w:left="720" w:leftChars="300"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第三章  用户需求书</w:t>
      </w:r>
    </w:p>
    <w:p w14:paraId="418E16A6">
      <w:pPr>
        <w:ind w:left="720" w:leftChars="300" w:firstLine="470" w:firstLineChars="196"/>
        <w:rPr>
          <w:rFonts w:ascii="宋体" w:hAnsi="宋体"/>
          <w:color w:val="000000" w:themeColor="text1"/>
          <w:szCs w:val="21"/>
          <w14:textFill>
            <w14:solidFill>
              <w14:schemeClr w14:val="tx1"/>
            </w14:solidFill>
          </w14:textFill>
        </w:rPr>
      </w:pPr>
      <w:r>
        <w:rPr>
          <w:rFonts w:hint="eastAsia"/>
          <w:color w:val="000000" w:themeColor="text1"/>
          <w14:textFill>
            <w14:solidFill>
              <w14:schemeClr w14:val="tx1"/>
            </w14:solidFill>
          </w14:textFill>
        </w:rPr>
        <w:t>第四章 投标文件格式及附件</w:t>
      </w:r>
    </w:p>
    <w:p w14:paraId="078E343F">
      <w:pPr>
        <w:ind w:left="720" w:leftChars="300"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第五章  合同条款及格式</w:t>
      </w:r>
    </w:p>
    <w:p w14:paraId="6281679F">
      <w:pPr>
        <w:ind w:left="480" w:leftChars="200" w:firstLine="471" w:firstLineChars="196"/>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第二册  通用条款</w:t>
      </w:r>
    </w:p>
    <w:p w14:paraId="25FF78A3">
      <w:pPr>
        <w:ind w:left="720" w:leftChars="300"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第一章  总则</w:t>
      </w:r>
    </w:p>
    <w:p w14:paraId="5D2048DC">
      <w:pPr>
        <w:ind w:left="720" w:leftChars="300"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第二章  招标文件</w:t>
      </w:r>
    </w:p>
    <w:p w14:paraId="2EF71187">
      <w:pPr>
        <w:ind w:left="720" w:leftChars="300"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第三章  投标文件的编制</w:t>
      </w:r>
    </w:p>
    <w:p w14:paraId="7D57D3A7">
      <w:pPr>
        <w:ind w:left="720" w:leftChars="300"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第四章  投标文件的递交</w:t>
      </w:r>
    </w:p>
    <w:p w14:paraId="20966649">
      <w:pPr>
        <w:ind w:left="720" w:leftChars="300"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第五章  开标</w:t>
      </w:r>
    </w:p>
    <w:p w14:paraId="3AED6759">
      <w:pPr>
        <w:ind w:left="720" w:leftChars="300"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第六章  评审要求</w:t>
      </w:r>
    </w:p>
    <w:p w14:paraId="57544EA3">
      <w:pPr>
        <w:ind w:left="720" w:leftChars="300"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第七章  评审程序及评审方法</w:t>
      </w:r>
    </w:p>
    <w:p w14:paraId="4CC42DED">
      <w:pPr>
        <w:ind w:left="720" w:leftChars="300"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第八章  定标及公示</w:t>
      </w:r>
    </w:p>
    <w:p w14:paraId="5189480E">
      <w:pPr>
        <w:ind w:left="720" w:leftChars="300"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第九章  公开招标失败的后续处理</w:t>
      </w:r>
    </w:p>
    <w:p w14:paraId="2EE7EC67">
      <w:pPr>
        <w:ind w:left="720" w:leftChars="300"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第十章  合同的授予与备案</w:t>
      </w:r>
    </w:p>
    <w:p w14:paraId="6E726CE7">
      <w:pPr>
        <w:ind w:left="720" w:leftChars="300"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第十一章  质疑处理</w:t>
      </w:r>
    </w:p>
    <w:p w14:paraId="3305F003">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.2投标人下载招标文件后，应仔细检查招标文件的所有内容，如有疑问应在答疑截止时间之前向</w:t>
      </w:r>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7843136F">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.3</w:t>
      </w:r>
      <w:r>
        <w:rPr>
          <w:rFonts w:hint="eastAsia" w:ascii="宋体" w:hAnsi="宋体"/>
          <w:color w:val="000000" w:themeColor="text1"/>
          <w14:textFill>
            <w14:solidFill>
              <w14:schemeClr w14:val="tx1"/>
            </w14:solidFill>
          </w14:textFill>
        </w:rPr>
        <w:t>任何人或任何组织向投标人提交的任何书面或口头资料，未经</w:t>
      </w:r>
      <w:r>
        <w:rPr>
          <w:rFonts w:hint="eastAsia" w:ascii="宋体" w:hAnsi="宋体" w:eastAsia="宋体"/>
          <w:color w:val="000000" w:themeColor="text1"/>
          <w14:textFill>
            <w14:solidFill>
              <w14:schemeClr w14:val="tx1"/>
            </w14:solidFill>
          </w14:textFill>
        </w:rPr>
        <w:t>招标机构</w:t>
      </w:r>
      <w:r>
        <w:rPr>
          <w:rFonts w:hint="eastAsia" w:ascii="宋体" w:hAnsi="宋体"/>
          <w:color w:val="000000" w:themeColor="text1"/>
          <w14:textFill>
            <w14:solidFill>
              <w14:schemeClr w14:val="tx1"/>
            </w14:solidFill>
          </w14:textFill>
        </w:rPr>
        <w:t>在网上发布或书面通知，均作无效处理，不得作为招标文件的组成部分。</w:t>
      </w:r>
      <w:r>
        <w:rPr>
          <w:rFonts w:hint="eastAsia" w:ascii="宋体" w:hAnsi="宋体" w:eastAsia="宋体"/>
          <w:color w:val="000000" w:themeColor="text1"/>
          <w14:textFill>
            <w14:solidFill>
              <w14:schemeClr w14:val="tx1"/>
            </w14:solidFill>
          </w14:textFill>
        </w:rPr>
        <w:t>招标机构</w:t>
      </w:r>
      <w:r>
        <w:rPr>
          <w:rFonts w:hint="eastAsia" w:ascii="宋体" w:hAnsi="宋体"/>
          <w:color w:val="000000" w:themeColor="text1"/>
          <w14:textFill>
            <w14:solidFill>
              <w14:schemeClr w14:val="tx1"/>
            </w14:solidFill>
          </w14:textFill>
        </w:rPr>
        <w:t>对投标人由此而做出的推论、理解和结论概不负责。</w:t>
      </w:r>
    </w:p>
    <w:p w14:paraId="18C70883">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1</w:t>
      </w:r>
      <w:r>
        <w:rPr>
          <w:rFonts w:ascii="黑体" w:hAnsi="宋体" w:eastAsia="黑体"/>
          <w:color w:val="000000" w:themeColor="text1"/>
          <w14:textFill>
            <w14:solidFill>
              <w14:schemeClr w14:val="tx1"/>
            </w14:solidFill>
          </w14:textFill>
        </w:rPr>
        <w:t>2</w:t>
      </w:r>
      <w:r>
        <w:rPr>
          <w:rFonts w:hint="eastAsia" w:ascii="黑体" w:hAnsi="宋体" w:eastAsia="黑体"/>
          <w:color w:val="000000" w:themeColor="text1"/>
          <w14:textFill>
            <w14:solidFill>
              <w14:schemeClr w14:val="tx1"/>
            </w14:solidFill>
          </w14:textFill>
        </w:rPr>
        <w:t>．招标文件的澄清</w:t>
      </w:r>
    </w:p>
    <w:p w14:paraId="41616128">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r>
        <w:rPr>
          <w:rFonts w:ascii="宋体" w:hAnsi="宋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.1招标文件澄清的目的是澄清、解答投标人在查阅招标文件后或现场踏勘中可能提出的与投标有关的疑问或询问。</w:t>
      </w:r>
    </w:p>
    <w:p w14:paraId="4D24ECCC">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r>
        <w:rPr>
          <w:rFonts w:ascii="宋体" w:hAnsi="宋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.2投标人如对招标文件内容有疑问，应当在招标公告规定的澄清（提问）截止时间前以网上提问的形式通过网上政府采购系统提交</w:t>
      </w:r>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w:t>
      </w:r>
    </w:p>
    <w:p w14:paraId="707F5509">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r>
        <w:rPr>
          <w:rFonts w:ascii="宋体" w:hAnsi="宋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3不论是招标机构根据需要主动对招标文件进行必要的澄清或是根据投标人的要求对招标文件做出澄清，招标机构都将在投标截止日期前以书面形式（包括招标机构网站发布方式）答复或发送给所有投标人。答复内容是招标文件的组成部分，对投标人起约束作用，其有效性按照本通用条款第1</w:t>
      </w:r>
      <w:r>
        <w:rPr>
          <w:rFonts w:ascii="宋体" w:hAnsi="宋体"/>
          <w:color w:val="000000" w:themeColor="text1"/>
          <w:szCs w:val="21"/>
          <w14:textFill>
            <w14:solidFill>
              <w14:schemeClr w14:val="tx1"/>
            </w14:solidFill>
          </w14:textFill>
        </w:rPr>
        <w:t>3.3</w:t>
      </w:r>
      <w:r>
        <w:rPr>
          <w:rFonts w:hint="eastAsia" w:ascii="宋体" w:hAnsi="宋体"/>
          <w:color w:val="000000" w:themeColor="text1"/>
          <w:szCs w:val="21"/>
          <w14:textFill>
            <w14:solidFill>
              <w14:schemeClr w14:val="tx1"/>
            </w14:solidFill>
          </w14:textFill>
        </w:rPr>
        <w:t>、1</w:t>
      </w:r>
      <w:r>
        <w:rPr>
          <w:rFonts w:ascii="宋体" w:hAnsi="宋体"/>
          <w:color w:val="000000" w:themeColor="text1"/>
          <w:szCs w:val="21"/>
          <w14:textFill>
            <w14:solidFill>
              <w14:schemeClr w14:val="tx1"/>
            </w14:solidFill>
          </w14:textFill>
        </w:rPr>
        <w:t>3.4</w:t>
      </w:r>
      <w:r>
        <w:rPr>
          <w:rFonts w:hint="eastAsia" w:ascii="宋体" w:hAnsi="宋体"/>
          <w:color w:val="000000" w:themeColor="text1"/>
          <w:szCs w:val="21"/>
          <w14:textFill>
            <w14:solidFill>
              <w14:schemeClr w14:val="tx1"/>
            </w14:solidFill>
          </w14:textFill>
        </w:rPr>
        <w:t>款规定执行。</w:t>
      </w:r>
    </w:p>
    <w:p w14:paraId="0DFD1657">
      <w:pPr>
        <w:rPr>
          <w:rFonts w:ascii="黑体" w:hAnsi="宋体" w:eastAsia="黑体"/>
          <w:color w:val="000000" w:themeColor="text1"/>
          <w14:textFill>
            <w14:solidFill>
              <w14:schemeClr w14:val="tx1"/>
            </w14:solidFill>
          </w14:textFill>
        </w:rPr>
      </w:pPr>
      <w:r>
        <w:rPr>
          <w:rFonts w:ascii="黑体" w:hAnsi="宋体" w:eastAsia="黑体"/>
          <w:color w:val="000000" w:themeColor="text1"/>
          <w14:textFill>
            <w14:solidFill>
              <w14:schemeClr w14:val="tx1"/>
            </w14:solidFill>
          </w14:textFill>
        </w:rPr>
        <w:t>1</w:t>
      </w:r>
      <w:r>
        <w:rPr>
          <w:rFonts w:hint="eastAsia" w:ascii="黑体" w:hAnsi="宋体" w:eastAsia="黑体"/>
          <w:color w:val="000000" w:themeColor="text1"/>
          <w14:textFill>
            <w14:solidFill>
              <w14:schemeClr w14:val="tx1"/>
            </w14:solidFill>
          </w14:textFill>
        </w:rPr>
        <w:t>3．招标文件的修改</w:t>
      </w:r>
    </w:p>
    <w:p w14:paraId="1439F093">
      <w:pPr>
        <w:ind w:firstLine="470" w:firstLineChars="196"/>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3.1招标文件发出后，在投标截止日期前任何时候，确需要变更招标文件内容的，招标机构可主动或在解答投标人提出的澄清问题时对招标文件进行修改。</w:t>
      </w:r>
    </w:p>
    <w:p w14:paraId="121E5027">
      <w:pPr>
        <w:ind w:firstLine="470" w:firstLineChars="196"/>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3.2招标文件的修改以书面形式（包括招标机构网站发布方式，如更正公告等）发送给所有投标人，招标文件的修改内容作为招标文件的组成部分，并具有约束力。</w:t>
      </w:r>
    </w:p>
    <w:p w14:paraId="1EA9939E">
      <w:pPr>
        <w:ind w:firstLine="470" w:firstLineChars="196"/>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3.3招标文件、招标文件澄清答复内容、招标文件修改补充内容均以书面形式（包括招标机构网站公开发布方式，如更正公告等）明确的内容为准。当招标文件、修改补充通知、招标文件澄清答复内容相互矛盾时，以最后发出的内容为准。</w:t>
      </w:r>
    </w:p>
    <w:p w14:paraId="5978860B">
      <w:pPr>
        <w:ind w:firstLine="470" w:firstLineChars="196"/>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3.4招标机构保证招标文件澄清答复内容和招标文件修改补充内容在投标截止时间前以书面形式（包括招标机构网站发布方式，如更正公告等）发送给所有投标人。为使投标人在编制投标文件时有充分时间对招标文件的修改部分进行研究，招标机构可以酌情延长递交投标文件的截止日期。</w:t>
      </w:r>
      <w:bookmarkEnd w:id="50"/>
    </w:p>
    <w:p w14:paraId="126A7EED">
      <w:pPr>
        <w:pStyle w:val="6"/>
      </w:pPr>
    </w:p>
    <w:p w14:paraId="253190ED">
      <w:pPr>
        <w:pStyle w:val="5"/>
        <w:numPr>
          <w:ilvl w:val="0"/>
          <w:numId w:val="2"/>
        </w:numPr>
        <w:tabs>
          <w:tab w:val="left" w:pos="360"/>
          <w:tab w:val="clear" w:pos="720"/>
        </w:tabs>
        <w:spacing w:before="120" w:beforeLines="50" w:after="120" w:afterLines="50"/>
        <w:ind w:left="562" w:hanging="562"/>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投标文件的编制</w:t>
      </w:r>
    </w:p>
    <w:p w14:paraId="7ED9B304">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14．</w:t>
      </w:r>
      <w:bookmarkStart w:id="51" w:name="_Hlk72400236"/>
      <w:r>
        <w:rPr>
          <w:rFonts w:hint="eastAsia" w:ascii="黑体" w:hAnsi="宋体" w:eastAsia="黑体"/>
          <w:color w:val="000000" w:themeColor="text1"/>
          <w14:textFill>
            <w14:solidFill>
              <w14:schemeClr w14:val="tx1"/>
            </w14:solidFill>
          </w14:textFill>
        </w:rPr>
        <w:t>投标文件的语言及度量单位</w:t>
      </w:r>
    </w:p>
    <w:p w14:paraId="7C2F0B4E">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14.1投标人与招标机构之间与投标有关的所有往来通知、函件和投标文件均用中文表述。投标人随投标文件提供的证明文件和资料可以为其它语言，但必须附中文译文。翻译的中文资料与外文资料如果出现差异时，以中文为准，但翻译错误的除外。</w:t>
      </w:r>
    </w:p>
    <w:p w14:paraId="0C448A83">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14.2除技术规范另有规定外，投标文件使用的度量单位，均采用中华人民共和国法定计量单位。</w:t>
      </w:r>
    </w:p>
    <w:bookmarkEnd w:id="51"/>
    <w:p w14:paraId="7A0D4441">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15．</w:t>
      </w:r>
      <w:bookmarkStart w:id="52" w:name="_Hlk72401567"/>
      <w:r>
        <w:rPr>
          <w:rFonts w:hint="eastAsia" w:ascii="黑体" w:hAnsi="宋体" w:eastAsia="黑体"/>
          <w:color w:val="000000" w:themeColor="text1"/>
          <w14:textFill>
            <w14:solidFill>
              <w14:schemeClr w14:val="tx1"/>
            </w14:solidFill>
          </w14:textFill>
        </w:rPr>
        <w:t>投标文件的组成</w:t>
      </w:r>
    </w:p>
    <w:p w14:paraId="01F2456B">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具体内容在招标文件专用条款中进行规定。</w:t>
      </w:r>
    </w:p>
    <w:p w14:paraId="4BEC4FA9">
      <w:pPr>
        <w:rPr>
          <w:rFonts w:ascii="黑体" w:hAnsi="宋体" w:eastAsia="黑体"/>
          <w:color w:val="000000" w:themeColor="text1"/>
          <w14:textFill>
            <w14:solidFill>
              <w14:schemeClr w14:val="tx1"/>
            </w14:solidFill>
          </w14:textFill>
        </w:rPr>
      </w:pPr>
      <w:r>
        <w:rPr>
          <w:rFonts w:ascii="黑体" w:hAnsi="宋体" w:eastAsia="黑体"/>
          <w:color w:val="000000" w:themeColor="text1"/>
          <w14:textFill>
            <w14:solidFill>
              <w14:schemeClr w14:val="tx1"/>
            </w14:solidFill>
          </w14:textFill>
        </w:rPr>
        <w:t>16．投标文件格式</w:t>
      </w:r>
    </w:p>
    <w:p w14:paraId="7B7F4B1D">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投标文件包括本通用条款第</w:t>
      </w:r>
      <w:r>
        <w:rPr>
          <w:rFonts w:ascii="宋体" w:hAnsi="宋体"/>
          <w:color w:val="000000" w:themeColor="text1"/>
          <w:szCs w:val="21"/>
          <w14:textFill>
            <w14:solidFill>
              <w14:schemeClr w14:val="tx1"/>
            </w14:solidFill>
          </w14:textFill>
        </w:rPr>
        <w:t>15条中规定的内容。如招标文件提供了投标文件格式，则</w:t>
      </w:r>
      <w:r>
        <w:rPr>
          <w:rFonts w:hint="eastAsia" w:ascii="宋体" w:hAnsi="宋体"/>
          <w:b/>
          <w:bCs/>
          <w:color w:val="000000" w:themeColor="text1"/>
          <w:szCs w:val="21"/>
          <w14:textFill>
            <w14:solidFill>
              <w14:schemeClr w14:val="tx1"/>
            </w14:solidFill>
          </w14:textFill>
        </w:rPr>
        <w:t>投标人提交的投标文件应毫无例外地使用招标文件所提供的相应格式</w:t>
      </w:r>
      <w:r>
        <w:rPr>
          <w:rFonts w:hint="eastAsia" w:ascii="宋体" w:hAnsi="宋体"/>
          <w:color w:val="000000" w:themeColor="text1"/>
          <w:szCs w:val="21"/>
          <w14:textFill>
            <w14:solidFill>
              <w14:schemeClr w14:val="tx1"/>
            </w14:solidFill>
          </w14:textFill>
        </w:rPr>
        <w:t>（表格均可按同样格式扩展）。</w:t>
      </w:r>
    </w:p>
    <w:p w14:paraId="713C0CFC">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17．投标货币</w:t>
      </w:r>
    </w:p>
    <w:p w14:paraId="6921FBC7">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本项目的投标报价应以人民币计。</w:t>
      </w:r>
    </w:p>
    <w:bookmarkEnd w:id="52"/>
    <w:p w14:paraId="6A2D2031">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18．</w:t>
      </w:r>
      <w:bookmarkStart w:id="53" w:name="_Hlk72401735"/>
      <w:r>
        <w:rPr>
          <w:rFonts w:hint="eastAsia" w:ascii="黑体" w:hAnsi="宋体" w:eastAsia="黑体"/>
          <w:color w:val="000000" w:themeColor="text1"/>
          <w14:textFill>
            <w14:solidFill>
              <w14:schemeClr w14:val="tx1"/>
            </w14:solidFill>
          </w14:textFill>
        </w:rPr>
        <w:t>证明投标文件投标技术方案的合格性和符合招标文件规定的文件要求</w:t>
      </w:r>
    </w:p>
    <w:p w14:paraId="1704E3DF">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18</w:t>
      </w: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投标人应提交证明文件，证明其投标技术方案项下的货物和服务的合格性符合招标文件规定。该投标技术方案及其证明文件均作为投标文件组成部分。</w:t>
      </w:r>
    </w:p>
    <w:p w14:paraId="72989F51">
      <w:pPr>
        <w:ind w:firstLine="470" w:firstLineChars="196"/>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8</w:t>
      </w:r>
      <w:r>
        <w:rPr>
          <w:rFonts w:ascii="宋体" w:hAnsi="宋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33C212D0">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18.2.1主要技术指标和性能的详细说明。</w:t>
      </w:r>
    </w:p>
    <w:p w14:paraId="3CEFD12E">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18.2.</w:t>
      </w:r>
      <w:r>
        <w:rPr>
          <w:rFonts w:ascii="宋体" w:hAnsi="宋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投标产品从采购人开始使用至招标文件中规定的周期内正常、连续地使用所必须的备件和专用工具清单，包括备件和专用工具的货源及现行价格。</w:t>
      </w:r>
    </w:p>
    <w:p w14:paraId="083D5905">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18.2.</w:t>
      </w:r>
      <w:r>
        <w:rPr>
          <w:rFonts w:ascii="宋体" w:hAnsi="宋体"/>
          <w:color w:val="000000" w:themeColor="text1"/>
          <w:szCs w:val="21"/>
          <w14:textFill>
            <w14:solidFill>
              <w14:schemeClr w14:val="tx1"/>
            </w14:solidFill>
          </w14:textFill>
        </w:rPr>
        <w:t>3</w:t>
      </w:r>
      <w:r>
        <w:rPr>
          <w:rFonts w:hint="eastAsia" w:ascii="宋体" w:hAnsi="宋体"/>
          <w:color w:val="000000" w:themeColor="text1"/>
          <w:szCs w:val="21"/>
          <w14:textFill>
            <w14:solidFill>
              <w14:schemeClr w14:val="tx1"/>
            </w14:solidFill>
          </w14:textFill>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3FCFE64D">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color w:val="000000" w:themeColor="text1"/>
          <w14:textFill>
            <w14:solidFill>
              <w14:schemeClr w14:val="tx1"/>
            </w14:solidFill>
          </w14:textFill>
        </w:rPr>
        <w:t>清晰度要求能够使用电脑阅读、识别和判断</w:t>
      </w:r>
      <w:r>
        <w:rPr>
          <w:rFonts w:hint="eastAsia" w:ascii="宋体" w:hAnsi="宋体"/>
          <w:color w:val="000000" w:themeColor="text1"/>
          <w:szCs w:val="21"/>
          <w14:textFill>
            <w14:solidFill>
              <w14:schemeClr w14:val="tx1"/>
            </w14:solidFill>
          </w14:textFill>
        </w:rPr>
        <w:t>；</w:t>
      </w:r>
    </w:p>
    <w:p w14:paraId="59824A51">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18.2.5我国政府机构出具的产品检验和核准证件应为证件正面、背面和附件标注的全部具体内容；产品检验和核准证件的尺寸和清晰度应该能够在电脑上被阅读、识别和判断，提供原件扫描件。</w:t>
      </w:r>
    </w:p>
    <w:p w14:paraId="467A945E">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18.3相关资料不符合18.2款要求的，评审委员会有权认定为投标技术方案不合格响应，其相关分数予以扣减或作投标无效处理。</w:t>
      </w:r>
    </w:p>
    <w:p w14:paraId="36C7D599">
      <w:pPr>
        <w:ind w:firstLine="470" w:firstLineChars="196"/>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8</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color w:val="000000" w:themeColor="text1"/>
          <w14:textFill>
            <w14:solidFill>
              <w14:schemeClr w14:val="tx1"/>
            </w14:solidFill>
          </w14:textFill>
        </w:rPr>
        <w:t>满足要求</w:t>
      </w:r>
      <w:r>
        <w:rPr>
          <w:rFonts w:hint="eastAsia" w:ascii="宋体" w:hAnsi="宋体"/>
          <w:color w:val="000000" w:themeColor="text1"/>
          <w:szCs w:val="21"/>
          <w14:textFill>
            <w14:solidFill>
              <w14:schemeClr w14:val="tx1"/>
            </w14:solidFill>
          </w14:textFill>
        </w:rPr>
        <w:t>，由评审委员会来评判。</w:t>
      </w:r>
    </w:p>
    <w:p w14:paraId="3D9D5C64">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18.5除非另有规定或说明，投标人对同一项目投标时，不得同时提供两套或两套以上的投标方案。</w:t>
      </w:r>
    </w:p>
    <w:bookmarkEnd w:id="53"/>
    <w:p w14:paraId="4CFCCCD6">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19．</w:t>
      </w:r>
      <w:bookmarkStart w:id="54" w:name="_Hlk72402034"/>
      <w:r>
        <w:rPr>
          <w:rFonts w:hint="eastAsia" w:ascii="黑体" w:hAnsi="宋体" w:eastAsia="黑体"/>
          <w:color w:val="000000" w:themeColor="text1"/>
          <w14:textFill>
            <w14:solidFill>
              <w14:schemeClr w14:val="tx1"/>
            </w14:solidFill>
          </w14:textFill>
        </w:rPr>
        <w:t>投标文件其他证明文件的要求</w:t>
      </w:r>
    </w:p>
    <w:p w14:paraId="66864459">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55" w:name="_Hlk71407299"/>
    </w:p>
    <w:bookmarkEnd w:id="55"/>
    <w:p w14:paraId="06E75E60">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6F2A0900">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20．投标有效期</w:t>
      </w:r>
    </w:p>
    <w:bookmarkEnd w:id="54"/>
    <w:p w14:paraId="0D5B11EF">
      <w:pPr>
        <w:ind w:firstLine="470" w:firstLineChars="196"/>
        <w:rPr>
          <w:rFonts w:ascii="宋体" w:hAnsi="宋体"/>
          <w:color w:val="000000" w:themeColor="text1"/>
          <w:szCs w:val="21"/>
          <w14:textFill>
            <w14:solidFill>
              <w14:schemeClr w14:val="tx1"/>
            </w14:solidFill>
          </w14:textFill>
        </w:rPr>
      </w:pPr>
      <w:bookmarkStart w:id="56" w:name="_Hlk72402214"/>
      <w:r>
        <w:rPr>
          <w:rFonts w:hint="eastAsia" w:ascii="宋体" w:hAnsi="宋体"/>
          <w:color w:val="000000" w:themeColor="text1"/>
          <w:szCs w:val="21"/>
          <w14:textFill>
            <w14:solidFill>
              <w14:schemeClr w14:val="tx1"/>
            </w14:solidFill>
          </w14:textFill>
        </w:rPr>
        <w:t>20.1投标有效期为从投标截止之日算起的日历天数。在此期限内，所有投标文件均保持有效。</w:t>
      </w:r>
    </w:p>
    <w:p w14:paraId="46753D4E">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20.2 在特殊情况下，</w:t>
      </w:r>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在原定的投标有效期满之前，</w:t>
      </w:r>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可以根据需要以书面形式（包括</w:t>
      </w:r>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网站公开发布方式）向投标人提出延长投标有效期的要求，对此要求投标人须以书面形式予以答复，投标人可以拒绝</w:t>
      </w:r>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此项要求，其投标在原投标有效期满后不再有效。同意延长投标有效期的投标人不能要求也不允许修改其投标文件。</w:t>
      </w:r>
    </w:p>
    <w:p w14:paraId="171AC9F0">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w:t>
      </w:r>
      <w:r>
        <w:rPr>
          <w:rFonts w:ascii="宋体" w:hAnsi="宋体"/>
          <w:color w:val="000000" w:themeColor="text1"/>
          <w:szCs w:val="21"/>
          <w14:textFill>
            <w14:solidFill>
              <w14:schemeClr w14:val="tx1"/>
            </w14:solidFill>
          </w14:textFill>
        </w:rPr>
        <w:t>.3</w:t>
      </w:r>
      <w:r>
        <w:rPr>
          <w:rFonts w:hint="eastAsia" w:ascii="宋体" w:hAnsi="宋体"/>
          <w:color w:val="000000" w:themeColor="text1"/>
          <w:szCs w:val="21"/>
          <w14:textFill>
            <w14:solidFill>
              <w14:schemeClr w14:val="tx1"/>
            </w14:solidFill>
          </w14:textFill>
        </w:rPr>
        <w:t>中标供应商的投标文件有效期，截止于完成本招标文件规定的全部项目内容，并通过竣工验收及保修期结束。</w:t>
      </w:r>
    </w:p>
    <w:bookmarkEnd w:id="56"/>
    <w:p w14:paraId="558D83C6">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21．</w:t>
      </w:r>
      <w:bookmarkStart w:id="57" w:name="_Hlk72402325"/>
      <w:r>
        <w:rPr>
          <w:rFonts w:hint="eastAsia" w:ascii="黑体" w:hAnsi="宋体" w:eastAsia="黑体"/>
          <w:color w:val="000000" w:themeColor="text1"/>
          <w14:textFill>
            <w14:solidFill>
              <w14:schemeClr w14:val="tx1"/>
            </w14:solidFill>
          </w14:textFill>
        </w:rPr>
        <w:t xml:space="preserve">关于投标保证金 </w:t>
      </w:r>
    </w:p>
    <w:p w14:paraId="6A6A26A8">
      <w:pPr>
        <w:rPr>
          <w:rFonts w:ascii="宋体" w:hAnsi="宋体" w:eastAsia="宋体"/>
          <w:szCs w:val="21"/>
        </w:rPr>
      </w:pPr>
      <w:r>
        <w:rPr>
          <w:rFonts w:hint="eastAsia" w:ascii="宋体" w:hAnsi="宋体"/>
          <w:color w:val="000000" w:themeColor="text1"/>
          <w:szCs w:val="21"/>
          <w14:textFill>
            <w14:solidFill>
              <w14:schemeClr w14:val="tx1"/>
            </w14:solidFill>
          </w14:textFill>
        </w:rPr>
        <w:t xml:space="preserve">  </w:t>
      </w:r>
      <w:r>
        <w:rPr>
          <w:rFonts w:hint="eastAsia" w:ascii="宋体" w:hAnsi="宋体" w:eastAsia="宋体"/>
          <w:color w:val="000000" w:themeColor="text1"/>
          <w:szCs w:val="21"/>
          <w14:textFill>
            <w14:solidFill>
              <w14:schemeClr w14:val="tx1"/>
            </w14:solidFill>
          </w14:textFill>
        </w:rPr>
        <w:t xml:space="preserve"> </w:t>
      </w:r>
      <w:r>
        <w:rPr>
          <w:rFonts w:hint="eastAsia" w:ascii="宋体" w:hAnsi="宋体" w:eastAsia="宋体"/>
          <w:szCs w:val="21"/>
        </w:rPr>
        <w:t xml:space="preserve">21.1 </w:t>
      </w:r>
      <w:r>
        <w:rPr>
          <w:rFonts w:hint="eastAsia" w:ascii="宋体" w:hAnsi="宋体" w:eastAsia="宋体"/>
        </w:rPr>
        <w:t>根据《深圳市财政局关于明确政府采购保证金管理工作的通知》（深财购</w:t>
      </w:r>
      <w:r>
        <w:rPr>
          <w:rFonts w:ascii="宋体" w:hAnsi="宋体" w:eastAsia="宋体"/>
        </w:rPr>
        <w:t>[2019]42</w:t>
      </w:r>
      <w:r>
        <w:rPr>
          <w:rFonts w:hint="eastAsia" w:ascii="宋体" w:hAnsi="宋体" w:eastAsia="宋体"/>
        </w:rPr>
        <w:t>号）文的规定，本项目不收取投标保证金。</w:t>
      </w:r>
    </w:p>
    <w:p w14:paraId="56E14801">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22．投标人的替代方案</w:t>
      </w:r>
    </w:p>
    <w:p w14:paraId="158159A9">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05B390E9">
      <w:pPr>
        <w:ind w:firstLine="480" w:firstLineChars="200"/>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它详细资料。</w:t>
      </w:r>
    </w:p>
    <w:bookmarkEnd w:id="57"/>
    <w:p w14:paraId="14B04416">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23．</w:t>
      </w:r>
      <w:bookmarkStart w:id="58" w:name="_Hlk72402860"/>
      <w:r>
        <w:rPr>
          <w:rFonts w:ascii="黑体" w:hAnsi="宋体" w:eastAsia="黑体"/>
          <w:color w:val="000000" w:themeColor="text1"/>
          <w14:textFill>
            <w14:solidFill>
              <w14:schemeClr w14:val="tx1"/>
            </w14:solidFill>
          </w14:textFill>
        </w:rPr>
        <w:t>投标文件的</w:t>
      </w:r>
      <w:r>
        <w:rPr>
          <w:rFonts w:hint="eastAsia" w:ascii="黑体" w:hAnsi="宋体" w:eastAsia="黑体"/>
          <w:color w:val="000000" w:themeColor="text1"/>
          <w14:textFill>
            <w14:solidFill>
              <w14:schemeClr w14:val="tx1"/>
            </w14:solidFill>
          </w14:textFill>
        </w:rPr>
        <w:t>制作</w:t>
      </w:r>
      <w:r>
        <w:rPr>
          <w:rFonts w:ascii="黑体" w:hAnsi="宋体" w:eastAsia="黑体"/>
          <w:color w:val="000000" w:themeColor="text1"/>
          <w14:textFill>
            <w14:solidFill>
              <w14:schemeClr w14:val="tx1"/>
            </w14:solidFill>
          </w14:textFill>
        </w:rPr>
        <w:t>要求</w:t>
      </w:r>
    </w:p>
    <w:p w14:paraId="152CC9A0">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23.1投标人应准备所投项目的电子投标文件一份。此电子投标文件须由投标人根据</w:t>
      </w:r>
      <w:r>
        <w:rPr>
          <w:rFonts w:hint="eastAsia" w:ascii="宋体" w:hAnsi="宋体" w:eastAsia="宋体"/>
          <w:color w:val="000000" w:themeColor="text1"/>
          <w14:textFill>
            <w14:solidFill>
              <w14:schemeClr w14:val="tx1"/>
            </w14:solidFill>
          </w14:textFill>
        </w:rPr>
        <w:t>招标机构</w:t>
      </w:r>
      <w:r>
        <w:rPr>
          <w:rFonts w:hint="eastAsia" w:ascii="宋体" w:hAnsi="宋体"/>
          <w:color w:val="000000" w:themeColor="text1"/>
          <w14:textFill>
            <w14:solidFill>
              <w14:schemeClr w14:val="tx1"/>
            </w14:solidFill>
          </w14:textFill>
        </w:rPr>
        <w:t>提供的后缀名为.szczf的电子招标文件，下载并使用相应的深圳智慧采购平台投标文件制作专用软件打开招标文件（.szczf格式）【下载地址：</w:t>
      </w:r>
      <w:r>
        <w:rPr>
          <w:rFonts w:hint="eastAsia" w:ascii="宋体" w:hAnsi="宋体"/>
          <w:color w:val="000000" w:themeColor="text1"/>
          <w:highlight w:val="yellow"/>
          <w14:textFill>
            <w14:solidFill>
              <w14:schemeClr w14:val="tx1"/>
            </w14:solidFill>
          </w14:textFill>
        </w:rPr>
        <w:t>http://zfcg.szggzy.com:8081/cgxy/013002/20210923/173e0b2c-7a4c-4246-a0c7-e0ea75d84dd6.html</w:t>
      </w:r>
      <w:r>
        <w:rPr>
          <w:rFonts w:hint="eastAsia" w:ascii="宋体" w:hAnsi="宋体"/>
          <w:color w:val="000000" w:themeColor="text1"/>
          <w14:textFill>
            <w14:solidFill>
              <w14:schemeClr w14:val="tx1"/>
            </w14:solidFill>
          </w14:textFill>
        </w:rPr>
        <w:t>】。</w:t>
      </w:r>
    </w:p>
    <w:p w14:paraId="631BE4B0">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23.2投标人在使用《投标文件制作软件》编制投标书时须注意：</w:t>
      </w:r>
    </w:p>
    <w:p w14:paraId="6F6A1C40">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23.2.1导入《投标文件制作软件》的招标文件项目编号、包号应与以此制作的投标文件项目编号、包号一致。例如，不能将甲项目A包的招标书导入《投标文件制作软件》，制作乙项目B包的投标书。</w:t>
      </w:r>
    </w:p>
    <w:p w14:paraId="6FC00D93">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23.2.2不能用非本公司的电子密钥加密本公司的投标文件，或者用其它公司的登录用户上传本公司的投标文件。</w:t>
      </w:r>
    </w:p>
    <w:p w14:paraId="43F0DE53">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23.2.3要求用《投标文件制作软件》编制投标书的包，不能用其它方式编制投标书。编制投标文件时，电脑须连通互联网。</w:t>
      </w:r>
    </w:p>
    <w:p w14:paraId="6644E56D">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23.2.4投标文件不能带病毒。招标机构将用专业杀毒软件对投标文件进行病毒检测，如果这两种软件均报告发现病毒，则招标机构认为该投标文件带病毒。</w:t>
      </w:r>
    </w:p>
    <w:p w14:paraId="7CC4A5D6">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23.2.5完整填写“投标关键信息”，如下图所示：</w:t>
      </w:r>
    </w:p>
    <w:p w14:paraId="259D40E1">
      <w:pPr>
        <w:ind w:firstLine="470" w:firstLineChars="196"/>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drawing>
          <wp:inline distT="0" distB="0" distL="0" distR="0">
            <wp:extent cx="5278755" cy="2721610"/>
            <wp:effectExtent l="0" t="0" r="0" b="2540"/>
            <wp:docPr id="9" name="图片 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形用户界面, 应用程序&#10;&#10;描述已自动生成"/>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8755" cy="2721610"/>
                    </a:xfrm>
                    <a:prstGeom prst="rect">
                      <a:avLst/>
                    </a:prstGeom>
                    <a:noFill/>
                    <a:ln>
                      <a:noFill/>
                    </a:ln>
                  </pic:spPr>
                </pic:pic>
              </a:graphicData>
            </a:graphic>
          </wp:inline>
        </w:drawing>
      </w:r>
    </w:p>
    <w:p w14:paraId="4CABC3B5">
      <w:pPr>
        <w:ind w:firstLine="471" w:firstLineChars="196"/>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备注：上述“开标一览表”中的“投标总价”将作为价格分计算依据；其它信息仅是对投标文件相关内容的概括性表述，不作为评审依据。</w:t>
      </w:r>
    </w:p>
    <w:p w14:paraId="4BA0C591">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23.2.6投标人在编辑投标文件时，</w:t>
      </w:r>
      <w:r>
        <w:rPr>
          <w:rFonts w:hint="eastAsia" w:ascii="宋体" w:hAnsi="宋体"/>
          <w:b/>
          <w:color w:val="000000" w:themeColor="text1"/>
          <w14:textFill>
            <w14:solidFill>
              <w14:schemeClr w14:val="tx1"/>
            </w14:solidFill>
          </w14:textFill>
        </w:rPr>
        <w:t>在投标文件目录中属于本节点内容的必须在本节点中填写，填写到其他节点或附件，</w:t>
      </w:r>
      <w:r>
        <w:rPr>
          <w:rFonts w:hint="eastAsia" w:ascii="宋体" w:hAnsi="宋体"/>
          <w:color w:val="000000" w:themeColor="text1"/>
          <w14:textFill>
            <w14:solidFill>
              <w14:schemeClr w14:val="tx1"/>
            </w14:solidFill>
          </w14:textFill>
        </w:rPr>
        <w:t>一切后果由供应商自行承担。</w:t>
      </w:r>
    </w:p>
    <w:p w14:paraId="183E6720">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23.2.7投标文件编写完成后，</w:t>
      </w:r>
      <w:r>
        <w:rPr>
          <w:rFonts w:hint="eastAsia" w:ascii="宋体" w:hAnsi="宋体"/>
          <w:b/>
          <w:color w:val="000000" w:themeColor="text1"/>
          <w14:textFill>
            <w14:solidFill>
              <w14:schemeClr w14:val="tx1"/>
            </w14:solidFill>
          </w14:textFill>
        </w:rPr>
        <w:t>必须用属于投标人的电子密钥进行加密，否则视同未盖公章，将导致投标文件无效。</w:t>
      </w:r>
    </w:p>
    <w:p w14:paraId="1A341D14">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23.2.8招标机构不接受投标截止时间后递交的纸质、电子、传真等所有形式的投标文件。由于对网上政府采购系统操作不熟悉或自身电脑、网络等原因导致不能在投标截止时间之前上传投标文件，招标机构概不负责。建议于开标前一个工作日完成投标文件的制作与上传，如上传确有困难，请及时咨询。</w:t>
      </w:r>
    </w:p>
    <w:p w14:paraId="0440F834">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23.2.9如果开标时出现网络故障、技术故障，影响了政府采购活动，招标机构有权采取措施如延期、接受无法从网上上传的投标书等，以保障政府采购活动的公开、公平和公正。</w:t>
      </w:r>
    </w:p>
    <w:p w14:paraId="42E65361">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23.3电报、电话、传真形式的投标概不接受。</w:t>
      </w:r>
    </w:p>
    <w:p w14:paraId="6EC4700D">
      <w:pPr>
        <w:ind w:firstLine="471" w:firstLineChars="196"/>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23.4经投标人电子密钥加密的投标文件无须盖章或签字，</w:t>
      </w:r>
      <w:r>
        <w:rPr>
          <w:rFonts w:hint="eastAsia" w:ascii="宋体" w:hAnsi="宋体"/>
          <w:color w:val="000000" w:themeColor="text1"/>
          <w14:textFill>
            <w14:solidFill>
              <w14:schemeClr w14:val="tx1"/>
            </w14:solidFill>
          </w14:textFill>
        </w:rPr>
        <w:t>专用条款另有要求的除外。</w:t>
      </w:r>
    </w:p>
    <w:p w14:paraId="149DAFE2">
      <w:pPr>
        <w:ind w:firstLine="471" w:firstLineChars="196"/>
        <w:rPr>
          <w:rFonts w:ascii="宋体" w:hAnsi="宋体"/>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23.5</w:t>
      </w:r>
      <w:r>
        <w:rPr>
          <w:rFonts w:hint="eastAsia" w:ascii="宋体" w:hAnsi="宋体"/>
          <w:color w:val="000000" w:themeColor="text1"/>
          <w14:textFill>
            <w14:solidFill>
              <w14:schemeClr w14:val="tx1"/>
            </w14:solidFill>
          </w14:textFill>
        </w:rPr>
        <w:t xml:space="preserve"> 各类资格（资质）文件提供扫描件，专用条款另有要求的除外。</w:t>
      </w:r>
      <w:bookmarkEnd w:id="58"/>
    </w:p>
    <w:p w14:paraId="3FAC95E2">
      <w:pPr>
        <w:pStyle w:val="6"/>
      </w:pPr>
    </w:p>
    <w:p w14:paraId="53ABD048">
      <w:r>
        <w:br w:type="page"/>
      </w:r>
    </w:p>
    <w:p w14:paraId="40B7CEF6">
      <w:pPr>
        <w:pStyle w:val="5"/>
        <w:numPr>
          <w:ilvl w:val="0"/>
          <w:numId w:val="2"/>
        </w:numPr>
        <w:tabs>
          <w:tab w:val="left" w:pos="360"/>
          <w:tab w:val="clear" w:pos="720"/>
        </w:tabs>
        <w:spacing w:before="120" w:beforeLines="50" w:after="120" w:afterLines="50"/>
        <w:ind w:left="562" w:hanging="562"/>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投标文件的递交</w:t>
      </w:r>
      <w:bookmarkStart w:id="59" w:name="_Hlk72405459"/>
    </w:p>
    <w:p w14:paraId="44BC31FE">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24．投标书的保密</w:t>
      </w:r>
    </w:p>
    <w:p w14:paraId="2C8FE360">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24.1在投标文件制作完成后，在投标文件制作软件点击【生成标书】按钮进入【填写开标一览表界面】界面，在该界面填写完开标一览表信息后点击【确定】，进入投标文件生成环节。投标文件制作软件会在投标文件生成过程中，提示用户输入密码，输入密码后对标文件自动进行加密，此加密程序确保投标文件在到达开标时间后才能解密查看。在加密过程中，请按照软件提示进行操作。加密操作界面如下图所示：</w:t>
      </w:r>
    </w:p>
    <w:p w14:paraId="6ACE7B3B">
      <w:pPr>
        <w:ind w:firstLine="470" w:firstLineChars="196"/>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drawing>
          <wp:inline distT="0" distB="0" distL="0" distR="0">
            <wp:extent cx="5278755" cy="2721610"/>
            <wp:effectExtent l="0" t="0" r="0" b="2540"/>
            <wp:docPr id="7" name="图片 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应用程序&#10;&#10;描述已自动生成"/>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8755" cy="2721610"/>
                    </a:xfrm>
                    <a:prstGeom prst="rect">
                      <a:avLst/>
                    </a:prstGeom>
                    <a:noFill/>
                    <a:ln>
                      <a:noFill/>
                    </a:ln>
                  </pic:spPr>
                </pic:pic>
              </a:graphicData>
            </a:graphic>
          </wp:inline>
        </w:drawing>
      </w:r>
    </w:p>
    <w:p w14:paraId="4F5A8B6F">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在投标文件制作软件点击【生成标书】按钮进入【填写开标一览表界面】界面，在该界面填写完开标一览表信息后点击【确定】，进入投标文件生成环节。</w:t>
      </w:r>
      <w:r>
        <w:rPr>
          <w:rFonts w:ascii="宋体" w:hAnsi="宋体"/>
          <w:color w:val="000000" w:themeColor="text1"/>
          <w14:textFill>
            <w14:solidFill>
              <w14:schemeClr w14:val="tx1"/>
            </w14:solidFill>
          </w14:textFill>
        </w:rPr>
        <w:drawing>
          <wp:inline distT="0" distB="0" distL="0" distR="0">
            <wp:extent cx="5278755" cy="2732405"/>
            <wp:effectExtent l="0" t="0" r="0" b="0"/>
            <wp:docPr id="8" name="图片 8"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8755" cy="2732405"/>
                    </a:xfrm>
                    <a:prstGeom prst="rect">
                      <a:avLst/>
                    </a:prstGeom>
                    <a:noFill/>
                    <a:ln>
                      <a:noFill/>
                    </a:ln>
                  </pic:spPr>
                </pic:pic>
              </a:graphicData>
            </a:graphic>
          </wp:inline>
        </w:drawing>
      </w:r>
    </w:p>
    <w:p w14:paraId="3DCB0D5D">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投标文件制作软件会在投标文件生成过程中，提示用户输入密码，输入密码后对标文件自动进行加密。</w:t>
      </w:r>
    </w:p>
    <w:p w14:paraId="7818656A">
      <w:pPr>
        <w:ind w:firstLine="480" w:firstLineChars="200"/>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24.2若采购项目出现延期情况：</w:t>
      </w:r>
    </w:p>
    <w:p w14:paraId="6AD4CCAF">
      <w:pPr>
        <w:ind w:firstLine="480" w:firstLineChars="200"/>
        <w:rPr>
          <w:rFonts w:ascii="宋体" w:hAnsi="宋体" w:eastAsia="宋体" w:cs="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如果供下载的招标文件（后缀名为.</w:t>
      </w:r>
      <w:r>
        <w:rPr>
          <w:rFonts w:ascii="宋体" w:hAnsi="宋体"/>
          <w:b/>
          <w:color w:val="000000" w:themeColor="text1"/>
          <w14:textFill>
            <w14:solidFill>
              <w14:schemeClr w14:val="tx1"/>
            </w14:solidFill>
          </w14:textFill>
        </w:rPr>
        <w:t>szczf</w:t>
      </w:r>
      <w:r>
        <w:rPr>
          <w:rFonts w:hint="eastAsia" w:ascii="宋体" w:hAnsi="宋体"/>
          <w:b/>
          <w:color w:val="000000" w:themeColor="text1"/>
          <w14:textFill>
            <w14:solidFill>
              <w14:schemeClr w14:val="tx1"/>
            </w14:solidFill>
          </w14:textFill>
        </w:rPr>
        <w:t>）有更新，投标人必须重新下载招标文件、重新制作投标文件、重新加密投标文件、重新上传投标文件；如果供下载的招标文件（后缀名为.</w:t>
      </w:r>
      <w:r>
        <w:rPr>
          <w:rFonts w:ascii="宋体" w:hAnsi="宋体"/>
          <w:b/>
          <w:color w:val="000000" w:themeColor="text1"/>
          <w14:textFill>
            <w14:solidFill>
              <w14:schemeClr w14:val="tx1"/>
            </w14:solidFill>
          </w14:textFill>
        </w:rPr>
        <w:t>szczf</w:t>
      </w:r>
      <w:r>
        <w:rPr>
          <w:rFonts w:hint="eastAsia" w:ascii="宋体" w:hAnsi="宋体"/>
          <w:b/>
          <w:color w:val="000000" w:themeColor="text1"/>
          <w14:textFill>
            <w14:solidFill>
              <w14:schemeClr w14:val="tx1"/>
            </w14:solidFill>
          </w14:textFill>
        </w:rPr>
        <w:t>）没有更新，投标人必须重新加密投标文件、重新上传投标文件（是否重新制作投标文件根据项目实际情况定）。否则，投标人自行承担投标文件无法解密导致投标无效的后果。</w:t>
      </w:r>
    </w:p>
    <w:p w14:paraId="20B85D88">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25．上传投标文件及投标截止日期</w:t>
      </w:r>
    </w:p>
    <w:p w14:paraId="0A7FC063">
      <w:pPr>
        <w:ind w:firstLine="480" w:firstLineChars="200"/>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25.1实行网上投标，投标人必须在招标文件规定的投标截止时间前用电子密钥登录“深圳政府采购智慧平台用户网上办事子系统（</w:t>
      </w:r>
      <w:r>
        <w:rPr>
          <w:rFonts w:hint="eastAsia" w:ascii="宋体" w:hAnsi="宋体" w:eastAsia="宋体" w:cs="宋体"/>
          <w:bCs/>
          <w:color w:val="000000" w:themeColor="text1"/>
          <w:highlight w:val="yellow"/>
          <w14:textFill>
            <w14:solidFill>
              <w14:schemeClr w14:val="tx1"/>
            </w14:solidFill>
          </w14:textFill>
        </w:rPr>
        <w:t>http://zfcg.szggzy.com:8081/TPBidder/memberLogin</w:t>
      </w:r>
      <w:r>
        <w:rPr>
          <w:rFonts w:hint="eastAsia" w:ascii="宋体" w:hAnsi="宋体" w:eastAsia="宋体" w:cs="宋体"/>
          <w:bCs/>
          <w:color w:val="000000" w:themeColor="text1"/>
          <w14:textFill>
            <w14:solidFill>
              <w14:schemeClr w14:val="tx1"/>
            </w14:solidFill>
          </w14:textFill>
        </w:rPr>
        <w:t>）”，用“【我的项目】→【项目流程】→【递交投标(应答)文件】”功能点上传投标文件。如上传过程中遇到问题，可拨打技术支持电话，联系方式：</w:t>
      </w:r>
      <w:r>
        <w:rPr>
          <w:rFonts w:hint="eastAsia" w:ascii="宋体" w:hAnsi="宋体"/>
          <w:highlight w:val="yellow"/>
          <w:lang w:eastAsia="zh-CN"/>
        </w:rPr>
        <w:t>0755-88653300</w:t>
      </w:r>
      <w:r>
        <w:rPr>
          <w:rFonts w:hint="eastAsia" w:ascii="宋体" w:hAnsi="宋体"/>
          <w:highlight w:val="yellow"/>
          <w:lang w:val="en-US" w:eastAsia="zh-CN"/>
        </w:rPr>
        <w:t>-</w:t>
      </w:r>
      <w:r>
        <w:rPr>
          <w:rFonts w:hint="eastAsia" w:ascii="宋体" w:hAnsi="宋体"/>
          <w:highlight w:val="yellow"/>
          <w:lang w:eastAsia="zh-CN"/>
        </w:rPr>
        <w:t>6</w:t>
      </w:r>
      <w:r>
        <w:rPr>
          <w:rFonts w:hint="eastAsia" w:ascii="宋体" w:hAnsi="宋体" w:eastAsia="宋体" w:cs="宋体"/>
          <w:bCs/>
          <w:color w:val="000000" w:themeColor="text1"/>
          <w14:textFill>
            <w14:solidFill>
              <w14:schemeClr w14:val="tx1"/>
            </w14:solidFill>
          </w14:textFill>
        </w:rPr>
        <w:t>。</w:t>
      </w:r>
    </w:p>
    <w:p w14:paraId="3078CF8D">
      <w:pPr>
        <w:ind w:firstLine="480" w:firstLineChars="200"/>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25.2招标机构可以按本通用条款第13条规定，通过修改招标文件自行决定酌情延长投标截止期。在此情况下，招标机构、采购人和投标人受投标截止期制约的所有权利和义务均应延长至新的截止期。</w:t>
      </w:r>
    </w:p>
    <w:p w14:paraId="79DE5A6D">
      <w:pPr>
        <w:ind w:firstLine="480" w:firstLineChars="200"/>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25</w:t>
      </w:r>
      <w:r>
        <w:rPr>
          <w:rFonts w:ascii="宋体" w:hAnsi="宋体" w:eastAsia="宋体" w:cs="宋体"/>
          <w:bCs/>
          <w:color w:val="000000" w:themeColor="text1"/>
          <w14:textFill>
            <w14:solidFill>
              <w14:schemeClr w14:val="tx1"/>
            </w14:solidFill>
          </w14:textFill>
        </w:rPr>
        <w:t>.</w:t>
      </w:r>
      <w:r>
        <w:rPr>
          <w:rFonts w:hint="eastAsia" w:ascii="宋体" w:hAnsi="宋体" w:eastAsia="宋体" w:cs="宋体"/>
          <w:bCs/>
          <w:color w:val="000000" w:themeColor="text1"/>
          <w14:textFill>
            <w14:solidFill>
              <w14:schemeClr w14:val="tx1"/>
            </w14:solidFill>
          </w14:textFill>
        </w:rPr>
        <w:t>3投标截止时间以后不得上传投标文件。</w:t>
      </w:r>
    </w:p>
    <w:p w14:paraId="4D921CD0">
      <w:pPr>
        <w:ind w:firstLine="480" w:firstLineChars="200"/>
        <w:rPr>
          <w:rFonts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25.4.投标人须在开标当日的开标时间至解密截止时间内进行解密，逾期未解密的作无效处理。解密方法：登录“深圳政府采购智慧平台用户网上办事子系统（http://zfcg.szggzy.com:8081/TPBidder/memberLogin）”，使用本单位制作电子投标文件同一个电子密钥，在“【我的项目】→【项目流程】→【开标及解密】”进行在线解密、查询开标情况。</w:t>
      </w:r>
    </w:p>
    <w:bookmarkEnd w:id="59"/>
    <w:p w14:paraId="55A9694D">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26. 样品、现场演示、方案讲解</w:t>
      </w:r>
    </w:p>
    <w:p w14:paraId="47BB49C1">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26.1 样品、现场演示、方案讲解等事项在招标文件专用条款中进行规定。</w:t>
      </w:r>
    </w:p>
    <w:p w14:paraId="73DC4200">
      <w:pPr>
        <w:rPr>
          <w:rFonts w:ascii="黑体" w:hAnsi="宋体" w:eastAsia="黑体"/>
          <w:color w:val="000000" w:themeColor="text1"/>
          <w14:textFill>
            <w14:solidFill>
              <w14:schemeClr w14:val="tx1"/>
            </w14:solidFill>
          </w14:textFill>
        </w:rPr>
      </w:pPr>
      <w:bookmarkStart w:id="60" w:name="_Hlk72428346"/>
      <w:r>
        <w:rPr>
          <w:rFonts w:ascii="黑体" w:hAnsi="宋体" w:eastAsia="黑体"/>
          <w:color w:val="000000" w:themeColor="text1"/>
          <w14:textFill>
            <w14:solidFill>
              <w14:schemeClr w14:val="tx1"/>
            </w14:solidFill>
          </w14:textFill>
        </w:rPr>
        <w:t>2</w:t>
      </w:r>
      <w:r>
        <w:rPr>
          <w:rFonts w:hint="eastAsia" w:ascii="黑体" w:hAnsi="宋体" w:eastAsia="黑体"/>
          <w:color w:val="000000" w:themeColor="text1"/>
          <w14:textFill>
            <w14:solidFill>
              <w14:schemeClr w14:val="tx1"/>
            </w14:solidFill>
          </w14:textFill>
        </w:rPr>
        <w:t>7．</w:t>
      </w:r>
      <w:r>
        <w:rPr>
          <w:rFonts w:ascii="黑体" w:hAnsi="宋体" w:eastAsia="黑体"/>
          <w:color w:val="000000" w:themeColor="text1"/>
          <w14:textFill>
            <w14:solidFill>
              <w14:schemeClr w14:val="tx1"/>
            </w14:solidFill>
          </w14:textFill>
        </w:rPr>
        <w:t>投标文件的修改和撤销</w:t>
      </w:r>
    </w:p>
    <w:p w14:paraId="2A27CE20">
      <w:pPr>
        <w:ind w:firstLine="470" w:firstLineChars="196"/>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2</w:t>
      </w:r>
      <w:r>
        <w:rPr>
          <w:rFonts w:hint="eastAsia" w:ascii="宋体" w:hAnsi="宋体"/>
          <w:color w:val="000000" w:themeColor="text1"/>
          <w14:textFill>
            <w14:solidFill>
              <w14:schemeClr w14:val="tx1"/>
            </w14:solidFill>
          </w14:textFill>
        </w:rPr>
        <w:t>7</w:t>
      </w:r>
      <w:r>
        <w:rPr>
          <w:rFonts w:ascii="宋体" w:hAnsi="宋体"/>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投标方在提交投标文件后可对其投标文件进行修改</w:t>
      </w:r>
      <w:r>
        <w:rPr>
          <w:rFonts w:hint="eastAsia" w:ascii="宋体" w:hAnsi="宋体"/>
          <w:color w:val="000000" w:themeColor="text1"/>
          <w14:textFill>
            <w14:solidFill>
              <w14:schemeClr w14:val="tx1"/>
            </w14:solidFill>
          </w14:textFill>
        </w:rPr>
        <w:t>并重新上传投标文件</w:t>
      </w:r>
      <w:r>
        <w:rPr>
          <w:rFonts w:ascii="宋体" w:hAnsi="宋体"/>
          <w:color w:val="000000" w:themeColor="text1"/>
          <w14:textFill>
            <w14:solidFill>
              <w14:schemeClr w14:val="tx1"/>
            </w14:solidFill>
          </w14:textFill>
        </w:rPr>
        <w:t>或</w:t>
      </w:r>
      <w:r>
        <w:rPr>
          <w:rFonts w:hint="eastAsia" w:ascii="宋体" w:hAnsi="宋体"/>
          <w:color w:val="000000" w:themeColor="text1"/>
          <w14:textFill>
            <w14:solidFill>
              <w14:schemeClr w14:val="tx1"/>
            </w14:solidFill>
          </w14:textFill>
        </w:rPr>
        <w:t>在网上进行</w:t>
      </w:r>
      <w:r>
        <w:rPr>
          <w:rFonts w:ascii="宋体" w:hAnsi="宋体"/>
          <w:color w:val="000000" w:themeColor="text1"/>
          <w14:textFill>
            <w14:solidFill>
              <w14:schemeClr w14:val="tx1"/>
            </w14:solidFill>
          </w14:textFill>
        </w:rPr>
        <w:t>撤销</w:t>
      </w:r>
      <w:r>
        <w:rPr>
          <w:rFonts w:hint="eastAsia" w:ascii="宋体" w:hAnsi="宋体"/>
          <w:color w:val="000000" w:themeColor="text1"/>
          <w14:textFill>
            <w14:solidFill>
              <w14:schemeClr w14:val="tx1"/>
            </w14:solidFill>
          </w14:textFill>
        </w:rPr>
        <w:t>投标的操作</w:t>
      </w:r>
      <w:r>
        <w:rPr>
          <w:rFonts w:ascii="宋体" w:hAnsi="宋体"/>
          <w:color w:val="000000" w:themeColor="text1"/>
          <w14:textFill>
            <w14:solidFill>
              <w14:schemeClr w14:val="tx1"/>
            </w14:solidFill>
          </w14:textFill>
        </w:rPr>
        <w:t>。</w:t>
      </w:r>
    </w:p>
    <w:p w14:paraId="62F73030">
      <w:pPr>
        <w:ind w:firstLine="470" w:firstLineChars="196"/>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2</w:t>
      </w:r>
      <w:r>
        <w:rPr>
          <w:rFonts w:hint="eastAsia" w:ascii="宋体" w:hAnsi="宋体"/>
          <w:color w:val="000000" w:themeColor="text1"/>
          <w14:textFill>
            <w14:solidFill>
              <w14:schemeClr w14:val="tx1"/>
            </w14:solidFill>
          </w14:textFill>
        </w:rPr>
        <w:t>7</w:t>
      </w:r>
      <w:r>
        <w:rPr>
          <w:rFonts w:ascii="宋体" w:hAnsi="宋体"/>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2</w:t>
      </w:r>
      <w:r>
        <w:rPr>
          <w:rFonts w:ascii="宋体" w:hAnsi="宋体"/>
          <w:color w:val="000000" w:themeColor="text1"/>
          <w14:textFill>
            <w14:solidFill>
              <w14:schemeClr w14:val="tx1"/>
            </w14:solidFill>
          </w14:textFill>
        </w:rPr>
        <w:t>投标截止时间以后不得修改投标文件。</w:t>
      </w:r>
    </w:p>
    <w:p w14:paraId="0711B979">
      <w:pPr>
        <w:ind w:firstLine="470" w:firstLineChars="196"/>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2</w:t>
      </w:r>
      <w:r>
        <w:rPr>
          <w:rFonts w:hint="eastAsia" w:ascii="宋体" w:hAnsi="宋体"/>
          <w:color w:val="000000" w:themeColor="text1"/>
          <w14:textFill>
            <w14:solidFill>
              <w14:schemeClr w14:val="tx1"/>
            </w14:solidFill>
          </w14:textFill>
        </w:rPr>
        <w:t>7</w:t>
      </w:r>
      <w:r>
        <w:rPr>
          <w:rFonts w:ascii="宋体" w:hAnsi="宋体"/>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3从投标截止期至投标人在投标文件中确定的投标有效期之间的这段时间内，投标人不得撤回其投标。</w:t>
      </w:r>
    </w:p>
    <w:p w14:paraId="05DF1CAE">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27.4</w:t>
      </w:r>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不退还投标文件，专用条款另有规定的除外。</w:t>
      </w:r>
    </w:p>
    <w:bookmarkEnd w:id="60"/>
    <w:p w14:paraId="4D004006">
      <w:pPr>
        <w:pStyle w:val="5"/>
        <w:numPr>
          <w:ilvl w:val="0"/>
          <w:numId w:val="2"/>
        </w:numPr>
        <w:tabs>
          <w:tab w:val="left" w:pos="360"/>
          <w:tab w:val="clear" w:pos="720"/>
        </w:tabs>
        <w:spacing w:before="120" w:beforeLines="50" w:after="120" w:afterLines="50"/>
        <w:ind w:left="562" w:hanging="562"/>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开标</w:t>
      </w:r>
    </w:p>
    <w:p w14:paraId="1BDBDB79">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28．开标</w:t>
      </w:r>
    </w:p>
    <w:p w14:paraId="57304710">
      <w:pPr>
        <w:ind w:firstLine="480" w:firstLineChars="200"/>
        <w:rPr>
          <w:rFonts w:ascii="宋体" w:hAnsi="宋体"/>
          <w:color w:val="000000" w:themeColor="text1"/>
          <w14:textFill>
            <w14:solidFill>
              <w14:schemeClr w14:val="tx1"/>
            </w14:solidFill>
          </w14:textFill>
        </w:rPr>
      </w:pPr>
      <w:r>
        <w:rPr>
          <w:rFonts w:ascii="宋体" w:hAnsi="宋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8</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1</w:t>
      </w:r>
      <w:r>
        <w:rPr>
          <w:rFonts w:hint="eastAsia" w:ascii="宋体" w:hAnsi="宋体"/>
          <w:color w:val="000000" w:themeColor="text1"/>
          <w14:textFill>
            <w14:solidFill>
              <w14:schemeClr w14:val="tx1"/>
            </w14:solidFill>
          </w14:textFill>
        </w:rPr>
        <w:t>投标人须在开标当日的开标时间至解密截止时间内进行解密，逾期未解密的作无效处理。解密方法：登录“深圳政府采购智慧平台用户网上办事子系统（http://zfcg.szggzy.com:8081/TPBidder/memberLogin）”，使用本单位制作电子投标文件同一个电子密钥，在“【我的项目】→【项目流程】→【开标及解密】”进行在线解密、查询开标情况。</w:t>
      </w:r>
    </w:p>
    <w:p w14:paraId="788E6BD8">
      <w:pPr>
        <w:ind w:firstLine="410" w:firstLineChars="171"/>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w:t>
      </w:r>
      <w:r>
        <w:rPr>
          <w:rFonts w:ascii="宋体" w:hAnsi="宋体"/>
          <w:color w:val="000000" w:themeColor="text1"/>
          <w:szCs w:val="21"/>
          <w14:textFill>
            <w14:solidFill>
              <w14:schemeClr w14:val="tx1"/>
            </w14:solidFill>
          </w14:textFill>
        </w:rPr>
        <w:t xml:space="preserve">8.2 </w:t>
      </w:r>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将在满足开标条件（</w:t>
      </w:r>
      <w:r>
        <w:rPr>
          <w:rFonts w:hint="eastAsia" w:ascii="宋体" w:hAnsi="宋体" w:cs="宋体"/>
          <w:color w:val="000000" w:themeColor="text1"/>
          <w:sz w:val="20"/>
          <w:szCs w:val="20"/>
          <w:shd w:val="clear" w:color="auto" w:fill="FFFFFF"/>
          <w14:textFill>
            <w14:solidFill>
              <w14:schemeClr w14:val="tx1"/>
            </w14:solidFill>
          </w14:textFill>
        </w:rPr>
        <w:t>①</w:t>
      </w:r>
      <w:r>
        <w:rPr>
          <w:rFonts w:hint="eastAsia" w:ascii="宋体" w:hAnsi="宋体"/>
          <w:color w:val="000000" w:themeColor="text1"/>
          <w:szCs w:val="21"/>
          <w14:textFill>
            <w14:solidFill>
              <w14:schemeClr w14:val="tx1"/>
            </w14:solidFill>
          </w14:textFill>
        </w:rPr>
        <w:t>解密时间结束，解密后的投标供应商数量满足开标要求或</w:t>
      </w:r>
      <w:r>
        <w:rPr>
          <w:rFonts w:hint="eastAsia" w:ascii="宋体" w:hAnsi="宋体" w:cs="宋体"/>
          <w:color w:val="000000" w:themeColor="text1"/>
          <w:sz w:val="20"/>
          <w:szCs w:val="20"/>
          <w:shd w:val="clear" w:color="auto" w:fill="FFFFFF"/>
          <w14:textFill>
            <w14:solidFill>
              <w14:schemeClr w14:val="tx1"/>
            </w14:solidFill>
          </w14:textFill>
        </w:rPr>
        <w:t>②</w:t>
      </w:r>
      <w:r>
        <w:rPr>
          <w:rFonts w:hint="eastAsia" w:ascii="宋体" w:hAnsi="宋体"/>
          <w:color w:val="000000" w:themeColor="text1"/>
          <w:szCs w:val="21"/>
          <w14:textFill>
            <w14:solidFill>
              <w14:schemeClr w14:val="tx1"/>
            </w14:solidFill>
          </w14:textFill>
        </w:rPr>
        <w:t>解密时间结束前所有投标供应商均完成投标文件解密）后，对投标文件进行开标，并在网上公布开标结果。</w:t>
      </w:r>
    </w:p>
    <w:p w14:paraId="319D45D4">
      <w:pPr>
        <w:pStyle w:val="5"/>
        <w:numPr>
          <w:ilvl w:val="0"/>
          <w:numId w:val="2"/>
        </w:numPr>
        <w:tabs>
          <w:tab w:val="left" w:pos="360"/>
          <w:tab w:val="clear" w:pos="720"/>
        </w:tabs>
        <w:spacing w:before="120" w:beforeLines="50" w:after="120" w:afterLines="50"/>
        <w:ind w:left="562" w:hanging="562"/>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评审要求</w:t>
      </w:r>
    </w:p>
    <w:p w14:paraId="0912EC0A">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29．评审委员会组成</w:t>
      </w:r>
    </w:p>
    <w:p w14:paraId="2A014A90">
      <w:pPr>
        <w:ind w:firstLine="470" w:firstLineChars="196"/>
        <w:rPr>
          <w:rFonts w:ascii="宋体" w:hAnsi="宋体" w:eastAsia="宋体"/>
        </w:rPr>
      </w:pPr>
      <w:r>
        <w:rPr>
          <w:rFonts w:hint="eastAsia" w:ascii="宋体" w:hAnsi="宋体" w:eastAsia="宋体"/>
        </w:rPr>
        <w:t>29.1网上开标结束后召开评审会议，</w:t>
      </w:r>
      <w:r>
        <w:rPr>
          <w:rFonts w:hint="eastAsia" w:ascii="宋体" w:hAnsi="宋体" w:eastAsia="宋体"/>
          <w:szCs w:val="21"/>
        </w:rPr>
        <w:t>评审委员会</w:t>
      </w:r>
      <w:r>
        <w:rPr>
          <w:rFonts w:hint="eastAsia" w:ascii="宋体" w:hAnsi="宋体" w:eastAsia="宋体"/>
        </w:rPr>
        <w:t>由</w:t>
      </w:r>
      <w:r>
        <w:rPr>
          <w:rFonts w:hint="eastAsia" w:ascii="宋体" w:hAnsi="宋体" w:eastAsia="宋体"/>
          <w:lang w:eastAsia="zh-CN"/>
        </w:rPr>
        <w:t>政府采购代理机构</w:t>
      </w:r>
      <w:r>
        <w:rPr>
          <w:rFonts w:hint="eastAsia" w:ascii="宋体" w:hAnsi="宋体" w:eastAsia="宋体"/>
        </w:rPr>
        <w:t>依法组建，负责评审活动。</w:t>
      </w:r>
    </w:p>
    <w:p w14:paraId="72A1D27E">
      <w:pPr>
        <w:ind w:firstLine="470" w:firstLineChars="196"/>
        <w:rPr>
          <w:rFonts w:ascii="宋体" w:hAnsi="宋体" w:eastAsia="宋体"/>
        </w:rPr>
      </w:pPr>
      <w:bookmarkStart w:id="61" w:name="_Hlk72436580"/>
      <w:r>
        <w:rPr>
          <w:rFonts w:hint="eastAsia" w:ascii="宋体" w:hAnsi="宋体" w:eastAsia="宋体"/>
        </w:rPr>
        <w:t>评审委员会由采购人代表和评审专家组成，成员人数应当为5人以上单数（部分条件下为7人以上单数），其中评审专家不得少于成员总数的三分之二。</w:t>
      </w:r>
      <w:bookmarkEnd w:id="61"/>
      <w:r>
        <w:rPr>
          <w:rFonts w:hint="eastAsia" w:ascii="宋体" w:hAnsi="宋体" w:eastAsia="宋体"/>
        </w:rPr>
        <w:t>评定</w:t>
      </w:r>
      <w:r>
        <w:rPr>
          <w:rFonts w:hint="eastAsia" w:eastAsia="宋体"/>
        </w:rPr>
        <w:t>分离项目评审专家均由评审专家组成。</w:t>
      </w:r>
      <w:r>
        <w:rPr>
          <w:rFonts w:hint="eastAsia" w:ascii="宋体" w:hAnsi="宋体" w:eastAsia="宋体"/>
          <w:szCs w:val="21"/>
        </w:rPr>
        <w:t>评审专家一般是</w:t>
      </w:r>
      <w:r>
        <w:rPr>
          <w:rFonts w:hint="eastAsia" w:ascii="宋体" w:hAnsi="宋体" w:eastAsia="宋体"/>
        </w:rPr>
        <w:t>从深圳市政府采购评审专家库中随机抽取。采购人代表须持本单位签发的《评审授权书》参加评审。</w:t>
      </w:r>
    </w:p>
    <w:p w14:paraId="265D7EDB">
      <w:pPr>
        <w:ind w:firstLine="470" w:firstLineChars="196"/>
        <w:rPr>
          <w:rFonts w:ascii="宋体" w:hAnsi="宋体" w:eastAsia="宋体"/>
        </w:rPr>
      </w:pPr>
      <w:r>
        <w:rPr>
          <w:rFonts w:hint="eastAsia" w:ascii="宋体" w:hAnsi="宋体" w:eastAsia="宋体"/>
        </w:rPr>
        <w:t>29.2评审定标应当遵循公平、公正、科学、择优的原则。</w:t>
      </w:r>
    </w:p>
    <w:p w14:paraId="4D0C6102">
      <w:pPr>
        <w:ind w:firstLine="470" w:firstLineChars="196"/>
        <w:rPr>
          <w:rFonts w:ascii="宋体" w:hAnsi="宋体" w:eastAsia="宋体"/>
        </w:rPr>
      </w:pPr>
      <w:r>
        <w:rPr>
          <w:rFonts w:hint="eastAsia" w:ascii="宋体" w:hAnsi="宋体" w:eastAsia="宋体"/>
        </w:rPr>
        <w:t>29.3评审活动依法进行，任何单位和个人不得非法干预评标过程和结果。</w:t>
      </w:r>
    </w:p>
    <w:p w14:paraId="6C589102">
      <w:pPr>
        <w:ind w:firstLine="470" w:firstLineChars="196"/>
        <w:rPr>
          <w:rFonts w:ascii="宋体" w:hAnsi="宋体" w:eastAsia="宋体"/>
        </w:rPr>
      </w:pPr>
      <w:r>
        <w:rPr>
          <w:rFonts w:hint="eastAsia" w:ascii="宋体" w:hAnsi="宋体" w:eastAsia="宋体"/>
        </w:rPr>
        <w:t>29.4评审过程中不允许违背评标程序或采用招标文件未载明的评标方法或评标因素进行评标。</w:t>
      </w:r>
    </w:p>
    <w:p w14:paraId="071E1FC4">
      <w:pPr>
        <w:ind w:firstLine="470" w:firstLineChars="196"/>
        <w:rPr>
          <w:rFonts w:ascii="宋体" w:hAnsi="宋体" w:eastAsia="宋体"/>
          <w:bCs/>
        </w:rPr>
      </w:pPr>
      <w:r>
        <w:rPr>
          <w:rFonts w:hint="eastAsia" w:ascii="宋体" w:hAnsi="宋体" w:eastAsia="宋体"/>
          <w:bCs/>
        </w:rPr>
        <w:t>29.5 开标后，直到签订合同为止，凡属于对投标文件的审查、澄清、评价和比较的有关资料以及中标候选人的推荐情况、与评审有关的其他任何情况均严格保密（</w:t>
      </w:r>
      <w:r>
        <w:rPr>
          <w:rFonts w:hint="eastAsia" w:eastAsia="宋体"/>
        </w:rPr>
        <w:t>信息公开的内容除外</w:t>
      </w:r>
      <w:r>
        <w:rPr>
          <w:rFonts w:hint="eastAsia" w:ascii="宋体" w:hAnsi="宋体" w:eastAsia="宋体"/>
          <w:bCs/>
        </w:rPr>
        <w:t>）。</w:t>
      </w:r>
    </w:p>
    <w:p w14:paraId="17B2DE80">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30．向评审委员会提供的资料</w:t>
      </w:r>
    </w:p>
    <w:p w14:paraId="7A79F376">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30.1公开发布的招标文件，包括图纸、服务清单、答疑文件等；</w:t>
      </w:r>
    </w:p>
    <w:p w14:paraId="1009E4AA">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30.2其他评标必须的资料。</w:t>
      </w:r>
    </w:p>
    <w:p w14:paraId="254A1CD1">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30.3</w:t>
      </w:r>
      <w:r>
        <w:rPr>
          <w:rFonts w:hint="eastAsia" w:ascii="宋体" w:hAnsi="宋体"/>
          <w:color w:val="000000" w:themeColor="text1"/>
          <w:szCs w:val="21"/>
          <w14:textFill>
            <w14:solidFill>
              <w14:schemeClr w14:val="tx1"/>
            </w14:solidFill>
          </w14:textFill>
        </w:rPr>
        <w:t>评审委员会</w:t>
      </w:r>
      <w:r>
        <w:rPr>
          <w:rFonts w:hint="eastAsia" w:ascii="宋体" w:hAnsi="宋体"/>
          <w:color w:val="000000" w:themeColor="text1"/>
          <w14:textFill>
            <w14:solidFill>
              <w14:schemeClr w14:val="tx1"/>
            </w14:solidFill>
          </w14:textFill>
        </w:rPr>
        <w:t>应当认真研究招标文件，至少应了解熟悉以下内容：</w:t>
      </w:r>
    </w:p>
    <w:p w14:paraId="60A0FC87">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（1）招标的目的；</w:t>
      </w:r>
    </w:p>
    <w:p w14:paraId="4D88D53B">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（2）招标项目需求的范围和性质；</w:t>
      </w:r>
    </w:p>
    <w:p w14:paraId="51A1E839">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（3）招标文件规定的投标人的资格、财政预算限额、商务条款；</w:t>
      </w:r>
    </w:p>
    <w:p w14:paraId="7B37B74C">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（4）招标文件规定的评标程序、评标方法和评标因素；</w:t>
      </w:r>
    </w:p>
    <w:p w14:paraId="1D61BAC5">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（5）招标文件所列示的资格性审查表及符合性审查表。</w:t>
      </w:r>
    </w:p>
    <w:p w14:paraId="6B995EEB">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31．独立评审</w:t>
      </w:r>
    </w:p>
    <w:p w14:paraId="7EBF9C67">
      <w:pPr>
        <w:ind w:firstLine="470" w:firstLineChars="196"/>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3</w:t>
      </w:r>
      <w:r>
        <w:rPr>
          <w:rFonts w:ascii="宋体" w:hAnsi="宋体"/>
          <w:bCs/>
          <w:color w:val="000000" w:themeColor="text1"/>
          <w14:textFill>
            <w14:solidFill>
              <w14:schemeClr w14:val="tx1"/>
            </w14:solidFill>
          </w14:textFill>
        </w:rPr>
        <w:t>1</w:t>
      </w:r>
      <w:r>
        <w:rPr>
          <w:rFonts w:hint="eastAsia" w:ascii="宋体" w:hAnsi="宋体"/>
          <w:bCs/>
          <w:color w:val="000000" w:themeColor="text1"/>
          <w14:textFill>
            <w14:solidFill>
              <w14:schemeClr w14:val="tx1"/>
            </w14:solidFill>
          </w14:textFill>
        </w:rPr>
        <w:t>.1</w:t>
      </w:r>
      <w:r>
        <w:rPr>
          <w:rFonts w:hint="eastAsia" w:ascii="宋体" w:hAnsi="宋体"/>
          <w:color w:val="000000" w:themeColor="text1"/>
          <w:szCs w:val="21"/>
          <w14:textFill>
            <w14:solidFill>
              <w14:schemeClr w14:val="tx1"/>
            </w14:solidFill>
          </w14:textFill>
        </w:rPr>
        <w:t>评审委员会</w:t>
      </w:r>
      <w:r>
        <w:rPr>
          <w:rFonts w:hint="eastAsia" w:ascii="宋体" w:hAnsi="宋体"/>
          <w:bCs/>
          <w:color w:val="000000" w:themeColor="text1"/>
          <w14:textFill>
            <w14:solidFill>
              <w14:schemeClr w14:val="tx1"/>
            </w14:solidFill>
          </w14:textFill>
        </w:rPr>
        <w:t>成员的评标活动应当独立进行，并应遵循投标文件初审、澄清有关问题、比较与评价、确定中标供应商、编写评审报告的工作程序。</w:t>
      </w:r>
    </w:p>
    <w:p w14:paraId="743C7325">
      <w:pPr>
        <w:pStyle w:val="5"/>
        <w:numPr>
          <w:ilvl w:val="0"/>
          <w:numId w:val="2"/>
        </w:numPr>
        <w:tabs>
          <w:tab w:val="left" w:pos="360"/>
          <w:tab w:val="clear" w:pos="720"/>
        </w:tabs>
        <w:spacing w:before="120" w:beforeLines="50" w:after="120" w:afterLines="50"/>
        <w:ind w:left="562" w:hanging="562"/>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评审程序及评审方法</w:t>
      </w:r>
    </w:p>
    <w:p w14:paraId="761D2E39">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32．投标文件初审</w:t>
      </w:r>
    </w:p>
    <w:p w14:paraId="4F1EF041">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32.1投标文件初审包括资格性审查和符合性审查。</w:t>
      </w:r>
    </w:p>
    <w:p w14:paraId="214120EA">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资格性审查：依据法律法规和招标文件的规定，对投标文件中的资格证明等进行审查，以确定投标供应商是否具备投标资格。</w:t>
      </w:r>
    </w:p>
    <w:p w14:paraId="669EC1E8">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符合性审查：依据招标文件的规定，对投标文件的有效性、完整性和对招标文件的响应程度进行审查，以确定是否满足符合性审查的要求。</w:t>
      </w:r>
    </w:p>
    <w:p w14:paraId="4926A100">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32.2 投标文件初审内容请详见《资格性审查表》和《符合性审查表》部分。投标人若有一条审查不通过则按投标无效处理。</w:t>
      </w:r>
    </w:p>
    <w:p w14:paraId="5AA1A515">
      <w:pPr>
        <w:ind w:firstLine="470" w:firstLineChars="196"/>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32.3 投标文件初审中关于供应商家数的计算:</w:t>
      </w:r>
    </w:p>
    <w:p w14:paraId="3A87F0A6">
      <w:pPr>
        <w:ind w:firstLine="470" w:firstLineChars="196"/>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7DDF9866">
      <w:pPr>
        <w:ind w:firstLine="470" w:firstLineChars="196"/>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w:t>
      </w:r>
      <w:r>
        <w:rPr>
          <w:rFonts w:hint="eastAsia" w:ascii="宋体" w:hAnsi="宋体"/>
          <w:bCs/>
          <w:color w:val="000000" w:themeColor="text1"/>
          <w:szCs w:val="21"/>
          <w14:textFill>
            <w14:solidFill>
              <w14:schemeClr w14:val="tx1"/>
            </w14:solidFill>
          </w14:textFill>
        </w:rPr>
        <w:t>评审委员会</w:t>
      </w:r>
      <w:r>
        <w:rPr>
          <w:rFonts w:hint="eastAsia" w:ascii="宋体" w:hAnsi="宋体"/>
          <w:bCs/>
          <w:color w:val="000000" w:themeColor="text1"/>
          <w14:textFill>
            <w14:solidFill>
              <w14:schemeClr w14:val="tx1"/>
            </w14:solidFill>
          </w14:textFill>
        </w:rPr>
        <w:t>按照招标文件规定的方式确定一个投标人获得中标人推荐资格，招标文件未规定的采取随机抽取方式确定，其他同品牌投标人不作为中标候选人。</w:t>
      </w:r>
    </w:p>
    <w:p w14:paraId="1E41E62A">
      <w:pPr>
        <w:ind w:firstLine="470" w:firstLineChars="196"/>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32.3.3非单一产品采购项目，采购人应当根据采购项目技术构成、产品价格比重等合理确定核心产品，并在招标文件中载明。多家投标人提供的核心产品品牌相同的，按前两款规定处理。</w:t>
      </w:r>
    </w:p>
    <w:p w14:paraId="28369813">
      <w:pPr>
        <w:ind w:firstLine="470" w:firstLineChars="196"/>
        <w:rPr>
          <w:rFonts w:ascii="宋体" w:hAnsi="宋体" w:eastAsia="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w:t>
      </w:r>
      <w:r>
        <w:rPr>
          <w:rFonts w:hint="eastAsia" w:ascii="宋体" w:hAnsi="宋体" w:eastAsia="宋体"/>
          <w:color w:val="000000" w:themeColor="text1"/>
          <w14:textFill>
            <w14:solidFill>
              <w14:schemeClr w14:val="tx1"/>
            </w14:solidFill>
          </w14:textFill>
        </w:rPr>
        <w:t>2.4投标人投标文件作无效处理的情形，具体包括但不限于以下：</w:t>
      </w:r>
    </w:p>
    <w:p w14:paraId="4FA347E8">
      <w:pPr>
        <w:ind w:firstLine="470" w:firstLineChars="196"/>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32.4.1不同投标人的投标文件由同一单位或者同一个人编制，或者由同一个人分阶段参与编制；</w:t>
      </w:r>
    </w:p>
    <w:p w14:paraId="3633CED4">
      <w:pPr>
        <w:ind w:firstLine="470" w:firstLineChars="196"/>
        <w:rPr>
          <w:rFonts w:ascii="宋体" w:hAnsi="宋体" w:eastAsia="宋体"/>
          <w:color w:val="000000" w:themeColor="text1"/>
          <w14:textFill>
            <w14:solidFill>
              <w14:schemeClr w14:val="tx1"/>
            </w14:solidFill>
          </w14:textFill>
        </w:rPr>
      </w:pPr>
      <w:r>
        <w:rPr>
          <w:rFonts w:ascii="宋体" w:hAnsi="宋体" w:eastAsia="宋体"/>
          <w:color w:val="000000" w:themeColor="text1"/>
          <w14:textFill>
            <w14:solidFill>
              <w14:schemeClr w14:val="tx1"/>
            </w14:solidFill>
          </w14:textFill>
        </w:rPr>
        <w:t>32.4.</w:t>
      </w:r>
      <w:r>
        <w:rPr>
          <w:rFonts w:hint="eastAsia" w:ascii="宋体" w:hAnsi="宋体" w:eastAsia="宋体"/>
          <w:color w:val="000000" w:themeColor="text1"/>
          <w14:textFill>
            <w14:solidFill>
              <w14:schemeClr w14:val="tx1"/>
            </w14:solidFill>
          </w14:textFill>
        </w:rPr>
        <w:t>2不同投标人委托同一单位或者个人办理投标事宜；</w:t>
      </w:r>
    </w:p>
    <w:p w14:paraId="5AF7CBCC">
      <w:pPr>
        <w:ind w:firstLine="470" w:firstLineChars="196"/>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32.4.3不同投标人的投标文件载明的项目管理成员或者联系人员为同一人；</w:t>
      </w:r>
    </w:p>
    <w:p w14:paraId="74D4FD4B">
      <w:pPr>
        <w:ind w:firstLine="470" w:firstLineChars="196"/>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32.4.4不同投标人的投标文件异常一致或者投标报价呈规律性差异；</w:t>
      </w:r>
    </w:p>
    <w:p w14:paraId="3A246E3D">
      <w:pPr>
        <w:ind w:firstLine="470" w:firstLineChars="196"/>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32.4.5</w:t>
      </w:r>
      <w:r>
        <w:rPr>
          <w:rFonts w:ascii="宋体" w:hAnsi="宋体" w:eastAsia="宋体"/>
          <w:color w:val="000000" w:themeColor="text1"/>
          <w14:textFill>
            <w14:solidFill>
              <w14:schemeClr w14:val="tx1"/>
            </w14:solidFill>
          </w14:textFill>
        </w:rPr>
        <w:t>不同投标供应商的投标文件或部分投标文件相互混装</w:t>
      </w:r>
      <w:r>
        <w:rPr>
          <w:rFonts w:hint="eastAsia" w:ascii="宋体" w:hAnsi="宋体" w:eastAsia="宋体"/>
          <w:color w:val="000000" w:themeColor="text1"/>
          <w14:textFill>
            <w14:solidFill>
              <w14:schemeClr w14:val="tx1"/>
            </w14:solidFill>
          </w14:textFill>
        </w:rPr>
        <w:t>；</w:t>
      </w:r>
    </w:p>
    <w:p w14:paraId="3C525283">
      <w:pPr>
        <w:ind w:firstLine="470" w:firstLineChars="196"/>
        <w:rPr>
          <w:rFonts w:ascii="宋体" w:hAnsi="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32.4.6投标供应商之间相互约定给予未中标的供应商利</w:t>
      </w:r>
      <w:r>
        <w:rPr>
          <w:rFonts w:hint="eastAsia" w:ascii="宋体" w:hAnsi="宋体"/>
          <w:color w:val="000000" w:themeColor="text1"/>
          <w14:textFill>
            <w14:solidFill>
              <w14:schemeClr w14:val="tx1"/>
            </w14:solidFill>
          </w14:textFill>
        </w:rPr>
        <w:t>益补偿；</w:t>
      </w:r>
    </w:p>
    <w:p w14:paraId="453C4B10">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32.4.7不同投标供应商的法定代表人、主要经营负责人、项目投标授权代表人、项目负责人、主要技术人员为同一人、属同一单位或者同一单位缴纳社会保险；</w:t>
      </w:r>
    </w:p>
    <w:p w14:paraId="28DBBC13">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32.4.8不同投标供应商的投标文件内容存在非正常一致；</w:t>
      </w:r>
    </w:p>
    <w:p w14:paraId="5F926343">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32.4.9在同一单位工作人员为两家以上（含两家）供应商进行同一项投标活动；</w:t>
      </w:r>
    </w:p>
    <w:p w14:paraId="2790C5D1">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32.4.10主管部门依照法律、法规认定的其他情形。</w:t>
      </w:r>
    </w:p>
    <w:p w14:paraId="1A15208F">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32.5对不属于《资格性审查表》和《符合性审查表》所列的其他情形，除专用条款另有规定和32.4条款所列情形外，不得作为投标无效的理由。</w:t>
      </w:r>
    </w:p>
    <w:p w14:paraId="09781568">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33．澄清有关问题</w:t>
      </w:r>
    </w:p>
    <w:p w14:paraId="3C7CAE16">
      <w:pPr>
        <w:ind w:firstLine="470" w:firstLineChars="196"/>
        <w:rPr>
          <w:rFonts w:ascii="宋体" w:hAnsi="宋体"/>
          <w:color w:val="000000" w:themeColor="text1"/>
          <w14:textFill>
            <w14:solidFill>
              <w14:schemeClr w14:val="tx1"/>
            </w14:solidFill>
          </w14:textFill>
        </w:rPr>
      </w:pPr>
      <w:bookmarkStart w:id="62" w:name="_Hlk71407321"/>
      <w:r>
        <w:rPr>
          <w:rFonts w:hint="eastAsia" w:ascii="宋体" w:hAnsi="宋体"/>
          <w:color w:val="000000" w:themeColor="text1"/>
          <w14:textFill>
            <w14:solidFill>
              <w14:schemeClr w14:val="tx1"/>
            </w14:solidFill>
          </w14:textFill>
        </w:rPr>
        <w:t>3</w:t>
      </w:r>
      <w:r>
        <w:rPr>
          <w:rFonts w:ascii="宋体" w:hAnsi="宋体"/>
          <w:color w:val="000000" w:themeColor="text1"/>
          <w14:textFill>
            <w14:solidFill>
              <w14:schemeClr w14:val="tx1"/>
            </w14:solidFill>
          </w14:textFill>
        </w:rPr>
        <w:t>3.1</w:t>
      </w:r>
      <w:r>
        <w:rPr>
          <w:rFonts w:hint="eastAsia" w:ascii="宋体" w:hAnsi="宋体"/>
          <w:color w:val="000000" w:themeColor="text1"/>
          <w14:textFill>
            <w14:solidFill>
              <w14:schemeClr w14:val="tx1"/>
            </w14:solidFill>
          </w14:textFill>
        </w:rPr>
        <w:t>对招标文件中描述有歧义或前后不一致的地方（不含</w:t>
      </w:r>
      <w:r>
        <w:rPr>
          <w:color w:val="000000" w:themeColor="text1"/>
          <w:szCs w:val="21"/>
          <w14:textFill>
            <w14:solidFill>
              <w14:schemeClr w14:val="tx1"/>
            </w14:solidFill>
          </w14:textFill>
        </w:rPr>
        <w:t>招标文件存在歧义、重大缺陷导致评</w:t>
      </w:r>
      <w:r>
        <w:rPr>
          <w:rFonts w:hint="eastAsia"/>
          <w:color w:val="000000" w:themeColor="text1"/>
          <w:szCs w:val="21"/>
          <w14:textFill>
            <w14:solidFill>
              <w14:schemeClr w14:val="tx1"/>
            </w14:solidFill>
          </w14:textFill>
        </w:rPr>
        <w:t>审</w:t>
      </w:r>
      <w:r>
        <w:rPr>
          <w:color w:val="000000" w:themeColor="text1"/>
          <w:szCs w:val="21"/>
          <w14:textFill>
            <w14:solidFill>
              <w14:schemeClr w14:val="tx1"/>
            </w14:solidFill>
          </w14:textFill>
        </w:rPr>
        <w:t>工作无法进行</w:t>
      </w:r>
      <w:r>
        <w:rPr>
          <w:rFonts w:hint="eastAsia"/>
          <w:color w:val="000000" w:themeColor="text1"/>
          <w:szCs w:val="21"/>
          <w14:textFill>
            <w14:solidFill>
              <w14:schemeClr w14:val="tx1"/>
            </w14:solidFill>
          </w14:textFill>
        </w:rPr>
        <w:t>的情况）</w:t>
      </w:r>
      <w:r>
        <w:rPr>
          <w:rFonts w:hint="eastAsia" w:ascii="宋体" w:hAnsi="宋体"/>
          <w:color w:val="000000" w:themeColor="text1"/>
          <w14:textFill>
            <w14:solidFill>
              <w14:schemeClr w14:val="tx1"/>
            </w14:solidFill>
          </w14:textFill>
        </w:rPr>
        <w:t>，评审委员会有权进行评判，但对同一条款的评判应适用于每个投标人。</w:t>
      </w:r>
      <w:bookmarkEnd w:id="62"/>
    </w:p>
    <w:p w14:paraId="31562DFB">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w:t>
      </w:r>
      <w:r>
        <w:rPr>
          <w:rFonts w:ascii="宋体" w:hAnsi="宋体"/>
          <w:color w:val="000000" w:themeColor="text1"/>
          <w14:textFill>
            <w14:solidFill>
              <w14:schemeClr w14:val="tx1"/>
            </w14:solidFill>
          </w14:textFill>
        </w:rPr>
        <w:t>3.2</w:t>
      </w:r>
      <w:r>
        <w:rPr>
          <w:color w:val="000000" w:themeColor="text1"/>
          <w:szCs w:val="21"/>
          <w14:textFill>
            <w14:solidFill>
              <w14:schemeClr w14:val="tx1"/>
            </w14:solidFill>
          </w14:textFill>
        </w:rPr>
        <w:t>评</w:t>
      </w:r>
      <w:r>
        <w:rPr>
          <w:rFonts w:hint="eastAsia"/>
          <w:color w:val="000000" w:themeColor="text1"/>
          <w:szCs w:val="21"/>
          <w14:textFill>
            <w14:solidFill>
              <w14:schemeClr w14:val="tx1"/>
            </w14:solidFill>
          </w14:textFill>
        </w:rPr>
        <w:t>审</w:t>
      </w:r>
      <w:r>
        <w:rPr>
          <w:color w:val="000000" w:themeColor="text1"/>
          <w:szCs w:val="21"/>
          <w14:textFill>
            <w14:solidFill>
              <w14:schemeClr w14:val="tx1"/>
            </w14:solidFill>
          </w14:textFill>
        </w:rPr>
        <w:t>委员会发现招标文件存在歧义、重大缺陷导致评</w:t>
      </w:r>
      <w:r>
        <w:rPr>
          <w:rFonts w:hint="eastAsia"/>
          <w:color w:val="000000" w:themeColor="text1"/>
          <w:szCs w:val="21"/>
          <w14:textFill>
            <w14:solidFill>
              <w14:schemeClr w14:val="tx1"/>
            </w14:solidFill>
          </w14:textFill>
        </w:rPr>
        <w:t>审</w:t>
      </w:r>
      <w:r>
        <w:rPr>
          <w:color w:val="000000" w:themeColor="text1"/>
          <w:szCs w:val="21"/>
          <w14:textFill>
            <w14:solidFill>
              <w14:schemeClr w14:val="tx1"/>
            </w14:solidFill>
          </w14:textFill>
        </w:rPr>
        <w:t>工作无法进行，或者招标文件内容违反国家有关强制性规定的，应当停止评</w:t>
      </w:r>
      <w:r>
        <w:rPr>
          <w:rFonts w:hint="eastAsia"/>
          <w:color w:val="000000" w:themeColor="text1"/>
          <w:szCs w:val="21"/>
          <w14:textFill>
            <w14:solidFill>
              <w14:schemeClr w14:val="tx1"/>
            </w14:solidFill>
          </w14:textFill>
        </w:rPr>
        <w:t>审</w:t>
      </w:r>
      <w:r>
        <w:rPr>
          <w:color w:val="000000" w:themeColor="text1"/>
          <w:szCs w:val="21"/>
          <w14:textFill>
            <w14:solidFill>
              <w14:schemeClr w14:val="tx1"/>
            </w14:solidFill>
          </w14:textFill>
        </w:rPr>
        <w:t>工作，与</w:t>
      </w:r>
      <w:r>
        <w:rPr>
          <w:rFonts w:hint="eastAsia" w:eastAsia="宋体"/>
          <w:color w:val="000000" w:themeColor="text1"/>
          <w:szCs w:val="21"/>
          <w14:textFill>
            <w14:solidFill>
              <w14:schemeClr w14:val="tx1"/>
            </w14:solidFill>
          </w14:textFill>
        </w:rPr>
        <w:t>招标机构</w:t>
      </w:r>
      <w:r>
        <w:rPr>
          <w:color w:val="000000" w:themeColor="text1"/>
          <w:szCs w:val="21"/>
          <w14:textFill>
            <w14:solidFill>
              <w14:schemeClr w14:val="tx1"/>
            </w14:solidFill>
          </w14:textFill>
        </w:rPr>
        <w:t>沟通并作书面记录。</w:t>
      </w:r>
      <w:r>
        <w:rPr>
          <w:rFonts w:hint="eastAsia"/>
          <w:color w:val="000000" w:themeColor="text1"/>
          <w:szCs w:val="21"/>
          <w14:textFill>
            <w14:solidFill>
              <w14:schemeClr w14:val="tx1"/>
            </w14:solidFill>
          </w14:textFill>
        </w:rPr>
        <w:t>经</w:t>
      </w:r>
      <w:r>
        <w:rPr>
          <w:color w:val="000000" w:themeColor="text1"/>
          <w:szCs w:val="21"/>
          <w14:textFill>
            <w14:solidFill>
              <w14:schemeClr w14:val="tx1"/>
            </w14:solidFill>
          </w14:textFill>
        </w:rPr>
        <w:t>确认后，</w:t>
      </w:r>
      <w:r>
        <w:rPr>
          <w:rFonts w:hint="eastAsia"/>
          <w:color w:val="000000" w:themeColor="text1"/>
          <w:szCs w:val="21"/>
          <w14:textFill>
            <w14:solidFill>
              <w14:schemeClr w14:val="tx1"/>
            </w14:solidFill>
          </w14:textFill>
        </w:rPr>
        <w:t>项目</w:t>
      </w:r>
      <w:r>
        <w:rPr>
          <w:color w:val="000000" w:themeColor="text1"/>
          <w:szCs w:val="21"/>
          <w14:textFill>
            <w14:solidFill>
              <w14:schemeClr w14:val="tx1"/>
            </w14:solidFill>
          </w14:textFill>
        </w:rPr>
        <w:t>应当修改招标文件，重新组织采购活动。</w:t>
      </w:r>
    </w:p>
    <w:p w14:paraId="5E437C4F">
      <w:pPr>
        <w:ind w:firstLine="470" w:firstLineChars="196"/>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33.3</w:t>
      </w:r>
      <w:r>
        <w:rPr>
          <w:rFonts w:hint="eastAsia" w:ascii="宋体" w:hAnsi="宋体"/>
          <w:color w:val="000000" w:themeColor="text1"/>
          <w14:textFill>
            <w14:solidFill>
              <w14:schemeClr w14:val="tx1"/>
            </w14:solidFill>
          </w14:textFill>
        </w:rPr>
        <w:t>对于投标文件中含义不明确、同类问题表述不一致或者有明显文字和计算错误的内容，评审委员会应当以书面形式要求投标人作出必要的澄清、说明或者补正。</w:t>
      </w:r>
    </w:p>
    <w:p w14:paraId="23BD86EF">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5ADF20A6">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根据本通用条款第34条，凡属于评审委员会在评审中发现的算术错误进行核实的修改不在此列。</w:t>
      </w:r>
    </w:p>
    <w:p w14:paraId="6499F655">
      <w:pPr>
        <w:rPr>
          <w:rFonts w:ascii="黑体" w:hAnsi="宋体" w:eastAsia="黑体"/>
          <w:color w:val="000000" w:themeColor="text1"/>
          <w14:textFill>
            <w14:solidFill>
              <w14:schemeClr w14:val="tx1"/>
            </w14:solidFill>
          </w14:textFill>
        </w:rPr>
      </w:pPr>
      <w:bookmarkStart w:id="63" w:name="_Toc100052400"/>
      <w:bookmarkStart w:id="64" w:name="_Toc73521669"/>
      <w:bookmarkStart w:id="65" w:name="_Toc73521581"/>
      <w:bookmarkStart w:id="66" w:name="_Toc73518151"/>
      <w:bookmarkStart w:id="67" w:name="_Toc73517673"/>
      <w:r>
        <w:rPr>
          <w:rFonts w:hint="eastAsia" w:ascii="黑体" w:hAnsi="宋体" w:eastAsia="黑体"/>
          <w:color w:val="000000" w:themeColor="text1"/>
          <w14:textFill>
            <w14:solidFill>
              <w14:schemeClr w14:val="tx1"/>
            </w14:solidFill>
          </w14:textFill>
        </w:rPr>
        <w:t>34．错误的修正</w:t>
      </w:r>
      <w:bookmarkEnd w:id="63"/>
      <w:bookmarkEnd w:id="64"/>
      <w:bookmarkEnd w:id="65"/>
      <w:bookmarkEnd w:id="66"/>
      <w:bookmarkEnd w:id="67"/>
    </w:p>
    <w:p w14:paraId="6241167B">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投标文件报价出现前后不一致的，除专用条款另有规定外，按照下列规定修正：</w:t>
      </w:r>
    </w:p>
    <w:p w14:paraId="233C6876">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34.1投标文件中开标一览表投标报价内容与投标文件中投标报价相应内容不一致的，以开标一览表为准；</w:t>
      </w:r>
    </w:p>
    <w:p w14:paraId="4E04141C">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34.2大写金额和小写金额不一致的，以大写金额为准；</w:t>
      </w:r>
    </w:p>
    <w:p w14:paraId="1BDCB9E0">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34.3单价金额小数点或者百分比有明显错位，以开标一览表的总价为准，并修改单价；</w:t>
      </w:r>
    </w:p>
    <w:p w14:paraId="717089D1">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34.4总价金额与按单价汇总金额不一致的，以单价金额计算结果为准。</w:t>
      </w:r>
    </w:p>
    <w:p w14:paraId="5A96C969">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34.5同时出现两种以上不一致的，按照前款规定的顺序修正。修正后的报价按照本通用条款33条的规定，经投标人确认后产生约束力，投标人不确认的，其投标无效。</w:t>
      </w:r>
    </w:p>
    <w:p w14:paraId="382F9347">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35．投标文件的比较与评价</w:t>
      </w:r>
    </w:p>
    <w:p w14:paraId="19F6267F">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39D2B74A">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评审委员会成员对需要共同认定的事项存在争议的，应当按照少数服从多数的原则作出结论。持不同意见的评审委员会成员应当书面作出说明，否则视为无异议。</w:t>
      </w:r>
    </w:p>
    <w:p w14:paraId="3DC4B3A3">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36. 实地考察或资料查验</w:t>
      </w:r>
    </w:p>
    <w:p w14:paraId="58EC8DBF">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36.1在评审过程中，评审委员会有权决定是否对本项目投标人进行实地考察或资料查验（原件）。投标人应随时做好接受实地考察或资料查验的准备。</w:t>
      </w:r>
    </w:p>
    <w:p w14:paraId="12A86D29">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37．评审方法</w:t>
      </w:r>
    </w:p>
    <w:p w14:paraId="293BDFA7">
      <w:pPr>
        <w:ind w:firstLine="471" w:firstLineChars="196"/>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37.1.1最低价法</w:t>
      </w:r>
    </w:p>
    <w:p w14:paraId="75686492">
      <w:pPr>
        <w:ind w:firstLine="470" w:firstLineChars="196"/>
        <w:rPr>
          <w:rFonts w:hint="eastAsia" w:ascii="ˎ̥" w:hAnsi="ˎ̥"/>
          <w:color w:val="000000" w:themeColor="text1"/>
          <w14:textFill>
            <w14:solidFill>
              <w14:schemeClr w14:val="tx1"/>
            </w14:solidFill>
          </w14:textFill>
        </w:rPr>
      </w:pPr>
      <w:bookmarkStart w:id="68" w:name="_Hlk72438142"/>
      <w:r>
        <w:rPr>
          <w:rFonts w:ascii="ˎ̥" w:hAnsi="ˎ̥"/>
          <w:color w:val="000000" w:themeColor="text1"/>
          <w14:textFill>
            <w14:solidFill>
              <w14:schemeClr w14:val="tx1"/>
            </w14:solidFill>
          </w14:textFill>
        </w:rPr>
        <w:t>最低价法，是指</w:t>
      </w:r>
      <w:r>
        <w:rPr>
          <w:rFonts w:hint="eastAsia" w:ascii="ˎ̥" w:hAnsi="ˎ̥"/>
          <w:color w:val="000000" w:themeColor="text1"/>
          <w14:textFill>
            <w14:solidFill>
              <w14:schemeClr w14:val="tx1"/>
            </w14:solidFill>
          </w14:textFill>
        </w:rPr>
        <w:t>完全</w:t>
      </w:r>
      <w:r>
        <w:rPr>
          <w:rFonts w:ascii="ˎ̥" w:hAnsi="ˎ̥"/>
          <w:color w:val="000000" w:themeColor="text1"/>
          <w14:textFill>
            <w14:solidFill>
              <w14:schemeClr w14:val="tx1"/>
            </w14:solidFill>
          </w14:textFill>
        </w:rPr>
        <w:t>满足招标文件实质性要求，</w:t>
      </w:r>
      <w:r>
        <w:rPr>
          <w:rFonts w:hint="eastAsia" w:ascii="ˎ̥" w:hAnsi="ˎ̥"/>
          <w:color w:val="000000" w:themeColor="text1"/>
          <w14:textFill>
            <w14:solidFill>
              <w14:schemeClr w14:val="tx1"/>
            </w14:solidFill>
          </w14:textFill>
        </w:rPr>
        <w:t>按照报价由低到高的顺序，依据招标文件中规定的数量或者比例推荐候选中标供应商。</w:t>
      </w:r>
    </w:p>
    <w:p w14:paraId="1FB7554F">
      <w:pPr>
        <w:ind w:firstLine="471" w:firstLineChars="196"/>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37.1.2综合评分法</w:t>
      </w:r>
    </w:p>
    <w:p w14:paraId="74FA7E41">
      <w:pPr>
        <w:ind w:firstLine="470" w:firstLineChars="196"/>
        <w:rPr>
          <w:rFonts w:hint="eastAsia" w:ascii="ˎ̥" w:hAnsi="ˎ̥"/>
          <w:color w:val="000000" w:themeColor="text1"/>
          <w14:textFill>
            <w14:solidFill>
              <w14:schemeClr w14:val="tx1"/>
            </w14:solidFill>
          </w14:textFill>
        </w:rPr>
      </w:pPr>
      <w:r>
        <w:rPr>
          <w:rFonts w:ascii="ˎ̥" w:hAnsi="ˎ̥"/>
          <w:color w:val="000000" w:themeColor="text1"/>
          <w14:textFill>
            <w14:solidFill>
              <w14:schemeClr w14:val="tx1"/>
            </w14:solidFill>
          </w14:textFill>
        </w:rPr>
        <w:t>综合评分法，是指</w:t>
      </w:r>
      <w:r>
        <w:rPr>
          <w:rFonts w:hint="eastAsia" w:ascii="ˎ̥" w:hAnsi="ˎ̥"/>
          <w:color w:val="000000" w:themeColor="text1"/>
          <w14:textFill>
            <w14:solidFill>
              <w14:schemeClr w14:val="tx1"/>
            </w14:solidFill>
          </w14:textFill>
        </w:rPr>
        <w:t>在</w:t>
      </w:r>
      <w:r>
        <w:rPr>
          <w:rFonts w:ascii="ˎ̥" w:hAnsi="ˎ̥"/>
          <w:color w:val="000000" w:themeColor="text1"/>
          <w14:textFill>
            <w14:solidFill>
              <w14:schemeClr w14:val="tx1"/>
            </w14:solidFill>
          </w14:textFill>
        </w:rPr>
        <w:t>满足招标文件全部实质性要求</w:t>
      </w:r>
      <w:r>
        <w:rPr>
          <w:rFonts w:hint="eastAsia" w:ascii="ˎ̥" w:hAnsi="ˎ̥"/>
          <w:color w:val="000000" w:themeColor="text1"/>
          <w14:textFill>
            <w14:solidFill>
              <w14:schemeClr w14:val="tx1"/>
            </w14:solidFill>
          </w14:textFill>
        </w:rPr>
        <w:t>的前提下</w:t>
      </w:r>
      <w:r>
        <w:rPr>
          <w:rFonts w:ascii="ˎ̥" w:hAnsi="ˎ̥"/>
          <w:color w:val="000000" w:themeColor="text1"/>
          <w14:textFill>
            <w14:solidFill>
              <w14:schemeClr w14:val="tx1"/>
            </w14:solidFill>
          </w14:textFill>
        </w:rPr>
        <w:t>，</w:t>
      </w:r>
      <w:r>
        <w:rPr>
          <w:rFonts w:hint="eastAsia" w:ascii="ˎ̥" w:hAnsi="ˎ̥"/>
          <w:color w:val="000000" w:themeColor="text1"/>
          <w14:textFill>
            <w14:solidFill>
              <w14:schemeClr w14:val="tx1"/>
            </w14:solidFill>
          </w14:textFill>
        </w:rPr>
        <w:t>按照招标文件中规定的各项因素进行综合评审，评审总得分排名前列的投标人，作为推荐的候选中标供应商。</w:t>
      </w:r>
      <w:bookmarkEnd w:id="68"/>
    </w:p>
    <w:p w14:paraId="3D81EE71">
      <w:pPr>
        <w:ind w:firstLine="471" w:firstLineChars="196"/>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37.2 本项目采用的评审方法见本项目招标文件第一册“专用条款”的相关内容。</w:t>
      </w:r>
    </w:p>
    <w:p w14:paraId="215151E6">
      <w:pPr>
        <w:ind w:firstLine="471" w:firstLineChars="196"/>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37.3重新评审的情形</w:t>
      </w:r>
    </w:p>
    <w:p w14:paraId="0143D5BF">
      <w:pPr>
        <w:ind w:firstLine="470" w:firstLineChars="196"/>
        <w:rPr>
          <w:rFonts w:ascii="宋体" w:hAnsi="宋体"/>
          <w:b/>
          <w:bCs/>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评审结果汇总完成后，除下列情形外，任何人不得修改评审结果：</w:t>
      </w:r>
    </w:p>
    <w:p w14:paraId="5304B0B0">
      <w:pPr>
        <w:ind w:firstLine="470" w:firstLineChars="196"/>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37.3.1分值汇总计算错误的；</w:t>
      </w:r>
    </w:p>
    <w:p w14:paraId="268789E9">
      <w:pPr>
        <w:ind w:firstLine="470" w:firstLineChars="196"/>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37.3.2分项评分超出评分标准范围的；</w:t>
      </w:r>
    </w:p>
    <w:p w14:paraId="34FCAE4D">
      <w:pPr>
        <w:ind w:firstLine="470" w:firstLineChars="196"/>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37.3.3评审委员会成员对客观评审因素评分不一致的；</w:t>
      </w:r>
    </w:p>
    <w:p w14:paraId="1565E4BD">
      <w:pPr>
        <w:ind w:firstLine="470" w:firstLineChars="196"/>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37.3.4经评审委员会认定评分畸高、畸低的。</w:t>
      </w:r>
    </w:p>
    <w:p w14:paraId="1A2B9E94">
      <w:pPr>
        <w:ind w:firstLine="470" w:firstLineChars="196"/>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06A17252">
      <w:pPr>
        <w:ind w:firstLine="470" w:firstLineChars="196"/>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投标人对本条第一款情形提出质疑的，采购人或者采购代理机构可以组织原评审委员会进行重新评审，重新评审改变评审结果的，应当书面报告本级财政部门。</w:t>
      </w:r>
    </w:p>
    <w:p w14:paraId="2462FEBA">
      <w:pPr>
        <w:ind w:firstLine="471" w:firstLineChars="196"/>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 xml:space="preserve"> 37.4重新组建评审委员会的情形</w:t>
      </w:r>
    </w:p>
    <w:p w14:paraId="38100301">
      <w:pPr>
        <w:ind w:firstLine="470" w:firstLineChars="196"/>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评审委员会或者其成员存在下列情形导致评审结果无效的，重新组建评审委员会进行评标，并书面报告本级财政部门：</w:t>
      </w:r>
    </w:p>
    <w:p w14:paraId="2B24E883">
      <w:pPr>
        <w:ind w:firstLine="470" w:firstLineChars="196"/>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37.4.1评审委员会组成不符合《政府采购货物和服务招标投标管理办法》规定的；</w:t>
      </w:r>
    </w:p>
    <w:p w14:paraId="5B7F335A">
      <w:pPr>
        <w:ind w:firstLine="470" w:firstLineChars="196"/>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37.4.2有《政府采购货物和服务招标投标管理办法》第六十二条第一至五项情形的；</w:t>
      </w:r>
    </w:p>
    <w:p w14:paraId="11E1F47C">
      <w:pPr>
        <w:ind w:firstLine="470" w:firstLineChars="196"/>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37.4.3评审委员会及其成员独立评标受到非法干预的；</w:t>
      </w:r>
    </w:p>
    <w:p w14:paraId="507365C2">
      <w:pPr>
        <w:ind w:firstLine="470" w:firstLineChars="196"/>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37.4.4有政府采购法实施条例第七十五条规定的违法行为的。</w:t>
      </w:r>
    </w:p>
    <w:p w14:paraId="585430A6">
      <w:pPr>
        <w:ind w:firstLine="470" w:firstLineChars="196"/>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有违法违规行为的原评审委员会成员不得参加重新组建的评审委员会。</w:t>
      </w:r>
    </w:p>
    <w:p w14:paraId="6B600003">
      <w:pPr>
        <w:pStyle w:val="5"/>
        <w:numPr>
          <w:ilvl w:val="0"/>
          <w:numId w:val="2"/>
        </w:numPr>
        <w:tabs>
          <w:tab w:val="left" w:pos="360"/>
          <w:tab w:val="clear" w:pos="720"/>
        </w:tabs>
        <w:spacing w:before="120" w:beforeLines="50" w:after="120" w:afterLines="50"/>
        <w:ind w:left="562" w:hanging="562"/>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定标及公示</w:t>
      </w:r>
    </w:p>
    <w:p w14:paraId="1F31941D">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38．定标方法</w:t>
      </w:r>
    </w:p>
    <w:p w14:paraId="05755E74">
      <w:pPr>
        <w:ind w:firstLine="470" w:firstLineChars="196"/>
        <w:rPr>
          <w:rFonts w:ascii="宋体" w:hAnsi="宋体" w:eastAsia="宋体"/>
          <w:szCs w:val="21"/>
        </w:rPr>
      </w:pPr>
      <w:bookmarkStart w:id="69" w:name="_Hlk73782795"/>
      <w:r>
        <w:rPr>
          <w:rFonts w:hint="eastAsia" w:ascii="宋体" w:hAnsi="宋体" w:eastAsia="宋体"/>
          <w:szCs w:val="21"/>
        </w:rPr>
        <w:t>38.1非评定分离项目定标方法</w:t>
      </w:r>
    </w:p>
    <w:p w14:paraId="1A24E99E">
      <w:pPr>
        <w:ind w:firstLine="470" w:firstLineChars="196"/>
        <w:rPr>
          <w:rFonts w:ascii="宋体" w:hAnsi="宋体" w:eastAsia="宋体"/>
          <w:szCs w:val="21"/>
        </w:rPr>
      </w:pPr>
      <w:r>
        <w:rPr>
          <w:rFonts w:hint="eastAsia" w:ascii="宋体" w:hAnsi="宋体" w:eastAsia="宋体"/>
          <w:szCs w:val="21"/>
        </w:rPr>
        <w:t>38.1.1评审委员会依据本项目招标文件所约定的评审方法进行评审和比较，向</w:t>
      </w:r>
      <w:r>
        <w:rPr>
          <w:rFonts w:hint="eastAsia" w:ascii="宋体" w:hAnsi="宋体" w:eastAsia="宋体"/>
          <w:szCs w:val="21"/>
          <w:lang w:eastAsia="zh-CN"/>
        </w:rPr>
        <w:t>政府采购代理机构</w:t>
      </w:r>
      <w:r>
        <w:rPr>
          <w:rFonts w:hint="eastAsia" w:ascii="宋体" w:hAnsi="宋体" w:eastAsia="宋体"/>
          <w:szCs w:val="21"/>
        </w:rPr>
        <w:t>提交书面评审报告，并根据评审方法比较评价结果从优到劣进行排序，确定候选中标供应商。</w:t>
      </w:r>
    </w:p>
    <w:p w14:paraId="46F3A254">
      <w:pPr>
        <w:ind w:firstLine="470" w:firstLineChars="196"/>
        <w:rPr>
          <w:rFonts w:hint="eastAsia" w:ascii="ˎ̥" w:hAnsi="ˎ̥" w:eastAsia="宋体"/>
        </w:rPr>
      </w:pPr>
      <w:r>
        <w:rPr>
          <w:rFonts w:hint="eastAsia" w:ascii="宋体" w:hAnsi="宋体" w:eastAsia="宋体"/>
          <w:szCs w:val="21"/>
        </w:rPr>
        <w:t>38.1.2</w:t>
      </w:r>
      <w:r>
        <w:rPr>
          <w:rFonts w:hint="eastAsia" w:ascii="ˎ̥" w:hAnsi="ˎ̥" w:eastAsia="宋体"/>
        </w:rPr>
        <w:t>采用最低价法的，评审结果按投标报价由低到高顺序排列。投标报价相同的并列。投标文件满足招标文件全部实质性要求且投标报价最低的投标人为</w:t>
      </w:r>
      <w:bookmarkStart w:id="70" w:name="_Hlk73821177"/>
      <w:r>
        <w:rPr>
          <w:rFonts w:hint="eastAsia" w:ascii="ˎ̥" w:hAnsi="ˎ̥" w:eastAsia="宋体"/>
        </w:rPr>
        <w:t>中标供应商（排名第二的投标人为第一替补中标候选人、排名第三的投标人为第二替补中标候选人</w:t>
      </w:r>
      <w:bookmarkEnd w:id="70"/>
      <w:r>
        <w:rPr>
          <w:rFonts w:hint="eastAsia" w:ascii="ˎ̥" w:hAnsi="ˎ̥" w:eastAsia="宋体"/>
        </w:rPr>
        <w:t>）。</w:t>
      </w:r>
    </w:p>
    <w:p w14:paraId="687BCC77">
      <w:pPr>
        <w:ind w:firstLine="470" w:firstLineChars="196"/>
        <w:rPr>
          <w:rFonts w:hint="eastAsia" w:ascii="ˎ̥" w:hAnsi="ˎ̥" w:eastAsia="宋体"/>
        </w:rPr>
      </w:pPr>
      <w:r>
        <w:rPr>
          <w:rFonts w:hint="eastAsia" w:ascii="宋体" w:hAnsi="宋体" w:eastAsia="宋体"/>
          <w:szCs w:val="21"/>
        </w:rPr>
        <w:t>38.1.3采</w:t>
      </w:r>
      <w:r>
        <w:rPr>
          <w:rFonts w:hint="eastAsia" w:ascii="ˎ̥" w:hAnsi="ˎ̥" w:eastAsia="宋体"/>
        </w:rPr>
        <w:t>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中标供应商（排名第二的投标人为第一替补中标候选人、排名第三的投标人为第二替补中标候选人）。出现得分且投标报价相同的并列情况时，采取随机抽取的方式确定，具体操作办法及流程由评审委员会确定。</w:t>
      </w:r>
    </w:p>
    <w:p w14:paraId="6A79D23A">
      <w:pPr>
        <w:ind w:firstLine="470" w:firstLineChars="196"/>
        <w:rPr>
          <w:rFonts w:ascii="宋体" w:hAnsi="宋体" w:eastAsia="宋体"/>
          <w:szCs w:val="21"/>
        </w:rPr>
      </w:pPr>
      <w:r>
        <w:rPr>
          <w:rFonts w:hint="eastAsia" w:ascii="宋体" w:hAnsi="宋体" w:eastAsia="宋体"/>
          <w:szCs w:val="21"/>
        </w:rPr>
        <w:t>38.2评定分离项目定标方法</w:t>
      </w:r>
    </w:p>
    <w:p w14:paraId="1970803B">
      <w:pPr>
        <w:ind w:firstLine="470" w:firstLineChars="196"/>
        <w:rPr>
          <w:rFonts w:ascii="宋体" w:hAnsi="宋体" w:eastAsia="宋体"/>
          <w:szCs w:val="21"/>
        </w:rPr>
      </w:pPr>
      <w:r>
        <w:rPr>
          <w:rFonts w:hint="eastAsia" w:ascii="宋体" w:hAnsi="宋体" w:eastAsia="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13DEC15D">
      <w:pPr>
        <w:ind w:firstLine="470" w:firstLineChars="196"/>
        <w:rPr>
          <w:rFonts w:ascii="宋体" w:hAnsi="宋体" w:eastAsia="宋体"/>
          <w:szCs w:val="21"/>
        </w:rPr>
      </w:pPr>
      <w:r>
        <w:rPr>
          <w:rFonts w:hint="eastAsia" w:ascii="宋体" w:hAnsi="宋体" w:eastAsia="宋体"/>
          <w:szCs w:val="21"/>
        </w:rPr>
        <w:t xml:space="preserve">38.2.2 </w:t>
      </w:r>
      <w:bookmarkStart w:id="71" w:name="_Hlk71469733"/>
      <w:r>
        <w:rPr>
          <w:rFonts w:hint="eastAsia" w:eastAsia="宋体"/>
        </w:rPr>
        <w:t>适用评定分离的政府采购项目，采用综合评分法评审。</w:t>
      </w:r>
      <w:r>
        <w:rPr>
          <w:rFonts w:hint="eastAsia" w:ascii="宋体" w:hAnsi="宋体" w:eastAsia="宋体"/>
          <w:szCs w:val="21"/>
        </w:rPr>
        <w:t>评审委员会按照评审结果，推荐</w:t>
      </w:r>
      <w:r>
        <w:rPr>
          <w:rFonts w:hint="eastAsia" w:eastAsia="宋体"/>
        </w:rPr>
        <w:t>三个合格的候选中标供应商。</w:t>
      </w:r>
    </w:p>
    <w:p w14:paraId="7A72E188">
      <w:pPr>
        <w:ind w:firstLine="470" w:firstLineChars="196"/>
        <w:rPr>
          <w:rFonts w:ascii="宋体" w:hAnsi="宋体" w:eastAsia="宋体"/>
          <w:szCs w:val="21"/>
        </w:rPr>
      </w:pPr>
      <w:r>
        <w:rPr>
          <w:rFonts w:hint="eastAsia" w:ascii="宋体" w:hAnsi="宋体" w:eastAsia="宋体"/>
          <w:szCs w:val="21"/>
        </w:rPr>
        <w:t>38.2.3</w:t>
      </w:r>
      <w:bookmarkStart w:id="72" w:name="_Hlk71469688"/>
      <w:r>
        <w:rPr>
          <w:rFonts w:hint="eastAsia" w:eastAsia="宋体"/>
        </w:rPr>
        <w:t>适用评定分离的政府采购项目，</w:t>
      </w:r>
      <w:r>
        <w:rPr>
          <w:rFonts w:hint="eastAsia" w:ascii="宋体" w:hAnsi="宋体" w:eastAsia="宋体"/>
          <w:szCs w:val="21"/>
        </w:rPr>
        <w:t>按照自定法确定中标供应商：自定法是指采购人组织定标委员会，由定标委员会在三家候选中标供应商中确定中标供应商。</w:t>
      </w:r>
      <w:bookmarkEnd w:id="71"/>
      <w:bookmarkEnd w:id="72"/>
    </w:p>
    <w:p w14:paraId="00B4F757">
      <w:pPr>
        <w:ind w:firstLine="470" w:firstLineChars="196"/>
        <w:rPr>
          <w:rFonts w:ascii="宋体" w:hAnsi="宋体" w:eastAsia="宋体"/>
          <w:szCs w:val="21"/>
        </w:rPr>
      </w:pPr>
      <w:r>
        <w:rPr>
          <w:rFonts w:hint="eastAsia" w:ascii="宋体" w:hAnsi="宋体" w:eastAsia="宋体"/>
          <w:szCs w:val="21"/>
        </w:rPr>
        <w:t>38.2.4</w:t>
      </w:r>
      <w:r>
        <w:rPr>
          <w:rFonts w:hint="eastAsia" w:ascii="宋体" w:hAnsi="宋体" w:eastAsia="宋体"/>
          <w:szCs w:val="21"/>
          <w:lang w:eastAsia="zh-CN"/>
        </w:rPr>
        <w:t>政府采购代理机构</w:t>
      </w:r>
      <w:r>
        <w:rPr>
          <w:rFonts w:hint="eastAsia" w:eastAsia="宋体"/>
        </w:rPr>
        <w:t>应当自评审结束之日起两个工作日内将候选中标供应商名单及其投标文件、评审报告送交采购人</w:t>
      </w:r>
      <w:r>
        <w:rPr>
          <w:rFonts w:hint="eastAsia" w:ascii="宋体" w:hAnsi="宋体" w:eastAsia="宋体"/>
          <w:szCs w:val="21"/>
        </w:rPr>
        <w:t>。</w:t>
      </w:r>
      <w:r>
        <w:rPr>
          <w:rFonts w:hint="eastAsia" w:eastAsia="宋体"/>
        </w:rPr>
        <w:t>采购人应当安排专人对定标过程进行书面记录，形成定标报告，作为采购文件的组成部分存档，并及时将定标结果反馈</w:t>
      </w:r>
      <w:r>
        <w:rPr>
          <w:rFonts w:hint="eastAsia" w:eastAsia="宋体"/>
          <w:lang w:eastAsia="zh-CN"/>
        </w:rPr>
        <w:t>政府采购代理机构</w:t>
      </w:r>
      <w:r>
        <w:rPr>
          <w:rFonts w:hint="eastAsia" w:eastAsia="宋体"/>
        </w:rPr>
        <w:t>。具体定标程序及相关要求以按照《深圳市财政局关于印发</w:t>
      </w:r>
      <w:r>
        <w:rPr>
          <w:rFonts w:hint="eastAsia" w:ascii="宋体" w:hAnsi="宋体" w:eastAsia="宋体"/>
        </w:rPr>
        <w:t>〈</w:t>
      </w:r>
      <w:r>
        <w:rPr>
          <w:rFonts w:hint="eastAsia" w:eastAsia="宋体"/>
        </w:rPr>
        <w:t>深圳市政府采购评标定标分离管理办法</w:t>
      </w:r>
      <w:r>
        <w:rPr>
          <w:rFonts w:hint="eastAsia" w:ascii="宋体" w:hAnsi="宋体" w:eastAsia="宋体"/>
        </w:rPr>
        <w:t>〉</w:t>
      </w:r>
      <w:r>
        <w:rPr>
          <w:rFonts w:hint="eastAsia" w:eastAsia="宋体"/>
        </w:rPr>
        <w:t>的通知》（深财规【</w:t>
      </w:r>
      <w:r>
        <w:rPr>
          <w:rFonts w:eastAsia="宋体"/>
        </w:rPr>
        <w:t>2020</w:t>
      </w:r>
      <w:r>
        <w:rPr>
          <w:rFonts w:hint="eastAsia" w:eastAsia="宋体"/>
        </w:rPr>
        <w:t>】</w:t>
      </w:r>
      <w:r>
        <w:rPr>
          <w:rFonts w:eastAsia="宋体"/>
        </w:rPr>
        <w:t>1</w:t>
      </w:r>
      <w:r>
        <w:rPr>
          <w:rFonts w:hint="eastAsia" w:eastAsia="宋体"/>
        </w:rPr>
        <w:t>号）执行。</w:t>
      </w:r>
    </w:p>
    <w:p w14:paraId="5FEFEFAC">
      <w:pPr>
        <w:ind w:firstLine="470" w:firstLineChars="196"/>
        <w:rPr>
          <w:rFonts w:ascii="宋体" w:hAnsi="宋体" w:eastAsia="宋体"/>
          <w:szCs w:val="21"/>
        </w:rPr>
      </w:pPr>
      <w:r>
        <w:rPr>
          <w:rFonts w:hint="eastAsia" w:ascii="宋体" w:hAnsi="宋体" w:eastAsia="宋体"/>
          <w:szCs w:val="21"/>
        </w:rPr>
        <w:t>说明：采购人及投标供应商应按照上述方法提前做好相关准备。</w:t>
      </w:r>
    </w:p>
    <w:p w14:paraId="3AD6E344">
      <w:pPr>
        <w:ind w:firstLine="470" w:firstLineChars="196"/>
        <w:rPr>
          <w:rFonts w:ascii="宋体" w:hAnsi="宋体" w:eastAsia="宋体"/>
          <w:szCs w:val="21"/>
        </w:rPr>
      </w:pPr>
      <w:r>
        <w:rPr>
          <w:rFonts w:hint="eastAsia" w:ascii="宋体" w:hAnsi="宋体" w:eastAsia="宋体"/>
          <w:szCs w:val="21"/>
        </w:rPr>
        <w:t>38.3专用条款另有规定的，按专用条款相关要求定标。</w:t>
      </w:r>
      <w:bookmarkEnd w:id="69"/>
    </w:p>
    <w:p w14:paraId="7EE0588D">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39．编写评审报告</w:t>
      </w:r>
    </w:p>
    <w:p w14:paraId="04C8A006">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312EFA9F">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40．中标公告</w:t>
      </w:r>
    </w:p>
    <w:p w14:paraId="57CB8401">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40.1</w:t>
      </w:r>
      <w:bookmarkStart w:id="73" w:name="_Hlk72438709"/>
      <w:r>
        <w:rPr>
          <w:rFonts w:hint="eastAsia" w:ascii="宋体" w:hAnsi="宋体"/>
          <w:color w:val="000000" w:themeColor="text1"/>
          <w:szCs w:val="21"/>
          <w14:textFill>
            <w14:solidFill>
              <w14:schemeClr w14:val="tx1"/>
            </w14:solidFill>
          </w14:textFill>
        </w:rPr>
        <w:t>为体现“公开、公平、公正”的原则，评审结束后经采购人确认（确定）评审结果，招标机构将在“深圳政府采购智慧平台（http://zfcg.szggzy.com:8081/）”上发布中标结果公告。</w:t>
      </w:r>
      <w:bookmarkEnd w:id="73"/>
      <w:bookmarkStart w:id="74" w:name="_Hlk72438751"/>
      <w:r>
        <w:rPr>
          <w:rFonts w:hint="eastAsia" w:ascii="宋体" w:hAnsi="宋体"/>
          <w:color w:val="000000" w:themeColor="text1"/>
          <w:szCs w:val="21"/>
          <w14:textFill>
            <w14:solidFill>
              <w14:schemeClr w14:val="tx1"/>
            </w14:solidFill>
          </w14:textFill>
        </w:rPr>
        <w:t>供应商如对评审结果有异议，</w:t>
      </w:r>
      <w:r>
        <w:rPr>
          <w:rFonts w:ascii="宋体" w:hAnsi="宋体"/>
          <w:color w:val="000000" w:themeColor="text1"/>
          <w:szCs w:val="21"/>
          <w14:textFill>
            <w14:solidFill>
              <w14:schemeClr w14:val="tx1"/>
            </w14:solidFill>
          </w14:textFill>
        </w:rPr>
        <w:t>可在发布公示日期起</w:t>
      </w:r>
      <w:r>
        <w:rPr>
          <w:rFonts w:hint="eastAsia" w:ascii="宋体" w:hAnsi="宋体"/>
          <w:color w:val="000000" w:themeColor="text1"/>
          <w:szCs w:val="21"/>
          <w14:textFill>
            <w14:solidFill>
              <w14:schemeClr w14:val="tx1"/>
            </w14:solidFill>
          </w14:textFill>
        </w:rPr>
        <w:t>七</w:t>
      </w:r>
      <w:r>
        <w:rPr>
          <w:rFonts w:ascii="宋体" w:hAnsi="宋体"/>
          <w:color w:val="000000" w:themeColor="text1"/>
          <w:szCs w:val="21"/>
          <w14:textFill>
            <w14:solidFill>
              <w14:schemeClr w14:val="tx1"/>
            </w14:solidFill>
          </w14:textFill>
        </w:rPr>
        <w:t>个工作日内向</w:t>
      </w:r>
      <w:r>
        <w:rPr>
          <w:rFonts w:hint="eastAsia" w:ascii="宋体" w:hAnsi="宋体"/>
          <w:color w:val="000000" w:themeColor="text1"/>
          <w:szCs w:val="21"/>
          <w14:textFill>
            <w14:solidFill>
              <w14:schemeClr w14:val="tx1"/>
            </w14:solidFill>
          </w14:textFill>
        </w:rPr>
        <w:t>招标机构</w:t>
      </w:r>
      <w:r>
        <w:rPr>
          <w:rFonts w:ascii="宋体" w:hAnsi="宋体"/>
          <w:color w:val="000000" w:themeColor="text1"/>
          <w:szCs w:val="21"/>
          <w14:textFill>
            <w14:solidFill>
              <w14:schemeClr w14:val="tx1"/>
            </w14:solidFill>
          </w14:textFill>
        </w:rPr>
        <w:t>提出。电话：0755</w:t>
      </w:r>
      <w:r>
        <w:rPr>
          <w:rFonts w:hint="eastAsia" w:ascii="宋体" w:hAnsi="宋体"/>
          <w:color w:val="000000" w:themeColor="text1"/>
          <w:szCs w:val="21"/>
          <w:lang w:val="en-US" w:eastAsia="zh-CN"/>
          <w14:textFill>
            <w14:solidFill>
              <w14:schemeClr w14:val="tx1"/>
            </w14:solidFill>
          </w14:textFill>
        </w:rPr>
        <w:t>-</w:t>
      </w:r>
      <w:r>
        <w:rPr>
          <w:rFonts w:hint="eastAsia" w:ascii="宋体" w:hAnsi="宋体"/>
          <w:color w:val="000000" w:themeColor="text1"/>
          <w:szCs w:val="21"/>
          <w14:textFill>
            <w14:solidFill>
              <w14:schemeClr w14:val="tx1"/>
            </w14:solidFill>
          </w14:textFill>
        </w:rPr>
        <w:t>8388</w:t>
      </w:r>
      <w:r>
        <w:rPr>
          <w:rFonts w:ascii="宋体" w:hAnsi="宋体"/>
          <w:color w:val="000000" w:themeColor="text1"/>
          <w:szCs w:val="21"/>
          <w14:textFill>
            <w14:solidFill>
              <w14:schemeClr w14:val="tx1"/>
            </w14:solidFill>
          </w14:textFill>
        </w:rPr>
        <w:t>1111。</w:t>
      </w:r>
      <w:r>
        <w:rPr>
          <w:rFonts w:hint="eastAsia" w:ascii="宋体" w:hAnsi="宋体"/>
          <w:color w:val="000000" w:themeColor="text1"/>
          <w:szCs w:val="21"/>
          <w14:textFill>
            <w14:solidFill>
              <w14:schemeClr w14:val="tx1"/>
            </w14:solidFill>
          </w14:textFill>
        </w:rPr>
        <w:t>若在公示期内未提出质疑，则视为认同该评审结果。</w:t>
      </w:r>
    </w:p>
    <w:bookmarkEnd w:id="74"/>
    <w:p w14:paraId="185AB798">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40.2质疑、投诉供应商应保证质疑、投诉内容的真实性和可靠性，并承担相应的法律责任。</w:t>
      </w:r>
    </w:p>
    <w:p w14:paraId="567E30E9">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41．中标通知书、招标代理服务费</w:t>
      </w:r>
    </w:p>
    <w:p w14:paraId="03144F98">
      <w:pPr>
        <w:ind w:firstLine="470" w:firstLineChars="196"/>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41.1</w:t>
      </w:r>
      <w:bookmarkStart w:id="75" w:name="_Hlk72438863"/>
      <w:r>
        <w:rPr>
          <w:rFonts w:ascii="宋体" w:hAnsi="宋体"/>
          <w:color w:val="000000" w:themeColor="text1"/>
          <w:szCs w:val="21"/>
          <w14:textFill>
            <w14:solidFill>
              <w14:schemeClr w14:val="tx1"/>
            </w14:solidFill>
          </w14:textFill>
        </w:rPr>
        <w:t>中标公告公布以后无异常的情况下,中标供应商和采购人可自行在“深圳政府采购智慧平台（</w:t>
      </w:r>
      <w:r>
        <w:rPr>
          <w:rFonts w:hint="eastAsia" w:ascii="宋体" w:hAnsi="宋体"/>
          <w:color w:val="000000" w:themeColor="text1"/>
          <w:szCs w:val="21"/>
          <w14:textFill>
            <w14:solidFill>
              <w14:schemeClr w14:val="tx1"/>
            </w14:solidFill>
          </w14:textFill>
        </w:rPr>
        <w:t>http://zfcg.szggzy.com:8081/</w:t>
      </w:r>
      <w:r>
        <w:rPr>
          <w:rFonts w:ascii="宋体" w:hAnsi="宋体"/>
          <w:color w:val="000000" w:themeColor="text1"/>
          <w:szCs w:val="21"/>
          <w14:textFill>
            <w14:solidFill>
              <w14:schemeClr w14:val="tx1"/>
            </w14:solidFill>
          </w14:textFill>
        </w:rPr>
        <w:t>）”上打印</w:t>
      </w:r>
      <w:r>
        <w:rPr>
          <w:rFonts w:ascii="宋体" w:hAnsi="宋体"/>
          <w:b w:val="0"/>
          <w:bCs/>
          <w:color w:val="000000" w:themeColor="text1"/>
          <w:szCs w:val="21"/>
          <w14:textFill>
            <w14:solidFill>
              <w14:schemeClr w14:val="tx1"/>
            </w14:solidFill>
          </w14:textFill>
        </w:rPr>
        <w:t>《数字中标通知书》</w:t>
      </w:r>
      <w:r>
        <w:rPr>
          <w:rFonts w:ascii="宋体" w:hAnsi="宋体"/>
          <w:b/>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咨询电话：</w:t>
      </w:r>
      <w:r>
        <w:rPr>
          <w:rFonts w:ascii="宋体" w:hAnsi="宋体"/>
          <w:b/>
          <w:bCs/>
          <w:color w:val="000000" w:themeColor="text1"/>
          <w:szCs w:val="21"/>
          <w14:textFill>
            <w14:solidFill>
              <w14:schemeClr w14:val="tx1"/>
            </w14:solidFill>
          </w14:textFill>
        </w:rPr>
        <w:t>0755-83881111</w:t>
      </w:r>
      <w:r>
        <w:rPr>
          <w:rFonts w:hint="eastAsia" w:ascii="宋体" w:hAnsi="宋体" w:eastAsia="宋体" w:cs="宋体"/>
          <w:b/>
          <w:bCs/>
          <w:color w:val="000000" w:themeColor="text1"/>
          <w:szCs w:val="21"/>
          <w14:textFill>
            <w14:solidFill>
              <w14:schemeClr w14:val="tx1"/>
            </w14:solidFill>
          </w14:textFill>
        </w:rPr>
        <w:t>、8</w:t>
      </w:r>
      <w:r>
        <w:rPr>
          <w:rFonts w:ascii="宋体" w:hAnsi="宋体" w:eastAsia="宋体" w:cs="宋体"/>
          <w:b/>
          <w:bCs/>
          <w:color w:val="000000" w:themeColor="text1"/>
          <w:szCs w:val="21"/>
          <w14:textFill>
            <w14:solidFill>
              <w14:schemeClr w14:val="tx1"/>
            </w14:solidFill>
          </w14:textFill>
        </w:rPr>
        <w:t>3881</w:t>
      </w:r>
      <w:r>
        <w:rPr>
          <w:rFonts w:hint="eastAsia" w:ascii="宋体" w:hAnsi="宋体" w:eastAsia="宋体" w:cs="宋体"/>
          <w:b/>
          <w:bCs/>
          <w:color w:val="000000" w:themeColor="text1"/>
          <w:szCs w:val="21"/>
          <w:lang w:val="en-US" w:eastAsia="zh-CN"/>
          <w14:textFill>
            <w14:solidFill>
              <w14:schemeClr w14:val="tx1"/>
            </w14:solidFill>
          </w14:textFill>
        </w:rPr>
        <w:t>281</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lang w:val="en-US" w:eastAsia="zh-CN"/>
          <w14:textFill>
            <w14:solidFill>
              <w14:schemeClr w14:val="tx1"/>
            </w14:solidFill>
          </w14:textFill>
        </w:rPr>
        <w:t>或</w:t>
      </w:r>
      <w:r>
        <w:rPr>
          <w:rFonts w:hint="eastAsia" w:ascii="宋体" w:hAnsi="宋体"/>
          <w:szCs w:val="21"/>
        </w:rPr>
        <w:t>中标人凭单位证明和本人身份证到友和保险经纪有限公司领取《中标通知书》</w:t>
      </w:r>
      <w:r>
        <w:rPr>
          <w:rFonts w:ascii="宋体" w:hAnsi="宋体"/>
          <w:color w:val="000000" w:themeColor="text1"/>
          <w:szCs w:val="21"/>
          <w14:textFill>
            <w14:solidFill>
              <w14:schemeClr w14:val="tx1"/>
            </w14:solidFill>
          </w14:textFill>
        </w:rPr>
        <w:t>。</w:t>
      </w:r>
      <w:bookmarkEnd w:id="75"/>
    </w:p>
    <w:p w14:paraId="090DFC9D">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41</w:t>
      </w:r>
      <w:r>
        <w:rPr>
          <w:rFonts w:ascii="宋体" w:hAnsi="宋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中标通知书是合同的重要组成部分。</w:t>
      </w:r>
    </w:p>
    <w:p w14:paraId="0D25A640">
      <w:pPr>
        <w:ind w:firstLine="470" w:firstLineChars="196"/>
        <w:rPr>
          <w:rFonts w:hint="eastAsia" w:ascii="宋体" w:hAnsi="宋体"/>
          <w:color w:val="000000" w:themeColor="text1"/>
          <w:szCs w:val="21"/>
          <w14:textFill>
            <w14:solidFill>
              <w14:schemeClr w14:val="tx1"/>
            </w14:solidFill>
          </w14:textFill>
        </w:rPr>
      </w:pPr>
      <w:bookmarkStart w:id="76" w:name="_Hlk71407340"/>
      <w:r>
        <w:rPr>
          <w:rFonts w:hint="eastAsia" w:ascii="宋体" w:hAnsi="宋体"/>
          <w:color w:val="000000" w:themeColor="text1"/>
          <w:szCs w:val="21"/>
          <w14:textFill>
            <w14:solidFill>
              <w14:schemeClr w14:val="tx1"/>
            </w14:solidFill>
          </w14:textFill>
        </w:rPr>
        <w:t>41.3因质疑投诉或其它原因导致项目结果变更或采购终止的，</w:t>
      </w:r>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有权吊销中标通知书。</w:t>
      </w:r>
    </w:p>
    <w:p w14:paraId="3472A782">
      <w:pPr>
        <w:ind w:firstLine="470" w:firstLineChars="196"/>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41.4.1</w:t>
      </w:r>
      <w:r>
        <w:rPr>
          <w:rFonts w:hint="eastAsia" w:ascii="宋体" w:hAnsi="宋体"/>
          <w:color w:val="000000" w:themeColor="text1"/>
          <w:szCs w:val="21"/>
          <w14:textFill>
            <w14:solidFill>
              <w14:schemeClr w14:val="tx1"/>
            </w14:solidFill>
          </w14:textFill>
        </w:rPr>
        <w:t>代理费由中标人支付，代理费收费标准按《深圳市财政委员会关于规范深圳市社会采购代理机构管理有关事项的补充通知》（深财购〔2018〕27号）执行，收费标准如下表所列。招标代理服务费以中标金额为基数，按差额定率累进法计算。具体计取费率标准如下表所示：</w:t>
      </w:r>
    </w:p>
    <w:tbl>
      <w:tblPr>
        <w:tblStyle w:val="16"/>
        <w:tblW w:w="7811"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447"/>
        <w:gridCol w:w="1788"/>
        <w:gridCol w:w="1788"/>
        <w:gridCol w:w="1788"/>
      </w:tblGrid>
      <w:tr w14:paraId="59788B1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 w:hRule="atLeast"/>
          <w:jc w:val="center"/>
        </w:trPr>
        <w:tc>
          <w:tcPr>
            <w:tcW w:w="2447" w:type="dxa"/>
            <w:tcBorders>
              <w:tl2br w:val="single" w:color="auto" w:sz="8" w:space="0"/>
            </w:tcBorders>
            <w:vAlign w:val="center"/>
          </w:tcPr>
          <w:p w14:paraId="303617A3">
            <w:pPr>
              <w:snapToGrid w:val="0"/>
              <w:spacing w:line="360" w:lineRule="auto"/>
              <w:ind w:firstLine="1200" w:firstLineChars="500"/>
              <w:jc w:val="center"/>
              <w:rPr>
                <w:rFonts w:ascii="宋体" w:hAnsi="宋体"/>
                <w:szCs w:val="21"/>
              </w:rPr>
            </w:pPr>
            <w:r>
              <w:rPr>
                <w:rFonts w:hint="eastAsia" w:ascii="宋体" w:hAnsi="宋体"/>
                <w:szCs w:val="21"/>
              </w:rPr>
              <w:t>服务类型</w:t>
            </w:r>
          </w:p>
          <w:p w14:paraId="4057A051">
            <w:pPr>
              <w:pStyle w:val="6"/>
              <w:ind w:firstLine="0"/>
              <w:jc w:val="both"/>
              <w:rPr>
                <w:rFonts w:ascii="宋体" w:hAnsi="宋体"/>
                <w:szCs w:val="21"/>
              </w:rPr>
            </w:pPr>
            <w:r>
              <w:rPr>
                <w:rFonts w:hint="eastAsia" w:ascii="宋体" w:hAnsi="宋体"/>
                <w:szCs w:val="21"/>
              </w:rPr>
              <w:t>中标金额</w:t>
            </w:r>
            <w:r>
              <w:rPr>
                <w:rFonts w:ascii="宋体" w:hAnsi="宋体"/>
                <w:szCs w:val="21"/>
              </w:rPr>
              <w:t>(</w:t>
            </w:r>
            <w:r>
              <w:rPr>
                <w:rFonts w:hint="eastAsia" w:ascii="宋体" w:hAnsi="宋体"/>
                <w:szCs w:val="21"/>
              </w:rPr>
              <w:t>万元</w:t>
            </w:r>
            <w:r>
              <w:rPr>
                <w:rFonts w:ascii="宋体" w:hAnsi="宋体"/>
                <w:szCs w:val="21"/>
              </w:rPr>
              <w:t>)</w:t>
            </w:r>
          </w:p>
        </w:tc>
        <w:tc>
          <w:tcPr>
            <w:tcW w:w="1788" w:type="dxa"/>
            <w:vAlign w:val="center"/>
          </w:tcPr>
          <w:p w14:paraId="0DB03CCD">
            <w:pPr>
              <w:snapToGrid w:val="0"/>
              <w:spacing w:line="360" w:lineRule="auto"/>
              <w:jc w:val="center"/>
              <w:rPr>
                <w:rFonts w:ascii="宋体" w:hAnsi="宋体"/>
                <w:szCs w:val="21"/>
              </w:rPr>
            </w:pPr>
            <w:r>
              <w:rPr>
                <w:rFonts w:hint="eastAsia" w:ascii="宋体" w:hAnsi="宋体"/>
                <w:szCs w:val="21"/>
              </w:rPr>
              <w:t>货物招标</w:t>
            </w:r>
          </w:p>
        </w:tc>
        <w:tc>
          <w:tcPr>
            <w:tcW w:w="1788" w:type="dxa"/>
            <w:vAlign w:val="center"/>
          </w:tcPr>
          <w:p w14:paraId="7C1AD3B4">
            <w:pPr>
              <w:snapToGrid w:val="0"/>
              <w:spacing w:line="360" w:lineRule="auto"/>
              <w:jc w:val="center"/>
              <w:rPr>
                <w:rFonts w:ascii="宋体" w:hAnsi="宋体"/>
                <w:szCs w:val="21"/>
              </w:rPr>
            </w:pPr>
            <w:r>
              <w:rPr>
                <w:rFonts w:hint="eastAsia" w:ascii="宋体" w:hAnsi="宋体"/>
                <w:szCs w:val="21"/>
              </w:rPr>
              <w:t>服务招标</w:t>
            </w:r>
          </w:p>
        </w:tc>
        <w:tc>
          <w:tcPr>
            <w:tcW w:w="1788" w:type="dxa"/>
            <w:vAlign w:val="center"/>
          </w:tcPr>
          <w:p w14:paraId="15DEE1AC">
            <w:pPr>
              <w:snapToGrid w:val="0"/>
              <w:spacing w:line="360" w:lineRule="auto"/>
              <w:jc w:val="center"/>
              <w:rPr>
                <w:rFonts w:ascii="宋体" w:hAnsi="宋体"/>
                <w:szCs w:val="21"/>
              </w:rPr>
            </w:pPr>
            <w:r>
              <w:rPr>
                <w:rFonts w:hint="eastAsia" w:ascii="宋体" w:hAnsi="宋体"/>
                <w:szCs w:val="21"/>
              </w:rPr>
              <w:t>工程招标</w:t>
            </w:r>
          </w:p>
        </w:tc>
      </w:tr>
      <w:tr w14:paraId="575E171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2" w:hRule="atLeast"/>
          <w:jc w:val="center"/>
        </w:trPr>
        <w:tc>
          <w:tcPr>
            <w:tcW w:w="2447" w:type="dxa"/>
            <w:vAlign w:val="center"/>
          </w:tcPr>
          <w:p w14:paraId="322107E7">
            <w:pPr>
              <w:snapToGrid w:val="0"/>
              <w:spacing w:line="360" w:lineRule="auto"/>
              <w:jc w:val="center"/>
              <w:rPr>
                <w:rFonts w:ascii="宋体" w:hAnsi="宋体"/>
                <w:szCs w:val="21"/>
              </w:rPr>
            </w:pPr>
            <w:r>
              <w:rPr>
                <w:rFonts w:ascii="宋体" w:hAnsi="宋体"/>
                <w:szCs w:val="21"/>
              </w:rPr>
              <w:t>100</w:t>
            </w:r>
            <w:r>
              <w:rPr>
                <w:rFonts w:hint="eastAsia" w:ascii="宋体" w:hAnsi="宋体"/>
                <w:szCs w:val="21"/>
              </w:rPr>
              <w:t>以下</w:t>
            </w:r>
          </w:p>
        </w:tc>
        <w:tc>
          <w:tcPr>
            <w:tcW w:w="1788" w:type="dxa"/>
          </w:tcPr>
          <w:p w14:paraId="124A3EFE">
            <w:pPr>
              <w:spacing w:line="360" w:lineRule="auto"/>
              <w:jc w:val="center"/>
              <w:rPr>
                <w:rFonts w:ascii="宋体" w:hAnsi="宋体"/>
              </w:rPr>
            </w:pPr>
            <w:r>
              <w:rPr>
                <w:rFonts w:ascii="宋体" w:hAnsi="宋体"/>
              </w:rPr>
              <w:t>1.50%</w:t>
            </w:r>
          </w:p>
        </w:tc>
        <w:tc>
          <w:tcPr>
            <w:tcW w:w="1788" w:type="dxa"/>
          </w:tcPr>
          <w:p w14:paraId="2D46862F">
            <w:pPr>
              <w:spacing w:line="360" w:lineRule="auto"/>
              <w:jc w:val="center"/>
              <w:rPr>
                <w:rFonts w:ascii="宋体" w:hAnsi="宋体"/>
              </w:rPr>
            </w:pPr>
            <w:r>
              <w:rPr>
                <w:rFonts w:ascii="宋体" w:hAnsi="宋体"/>
              </w:rPr>
              <w:t>1.50%</w:t>
            </w:r>
          </w:p>
        </w:tc>
        <w:tc>
          <w:tcPr>
            <w:tcW w:w="1788" w:type="dxa"/>
          </w:tcPr>
          <w:p w14:paraId="7E59FE79">
            <w:pPr>
              <w:spacing w:line="360" w:lineRule="auto"/>
              <w:jc w:val="center"/>
              <w:rPr>
                <w:rFonts w:ascii="宋体" w:hAnsi="宋体"/>
              </w:rPr>
            </w:pPr>
            <w:r>
              <w:rPr>
                <w:rFonts w:ascii="宋体" w:hAnsi="宋体"/>
              </w:rPr>
              <w:t>1.00%</w:t>
            </w:r>
          </w:p>
        </w:tc>
      </w:tr>
      <w:tr w14:paraId="2BE1EAA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2" w:hRule="atLeast"/>
          <w:jc w:val="center"/>
        </w:trPr>
        <w:tc>
          <w:tcPr>
            <w:tcW w:w="2447" w:type="dxa"/>
            <w:vAlign w:val="center"/>
          </w:tcPr>
          <w:p w14:paraId="16344179">
            <w:pPr>
              <w:snapToGrid w:val="0"/>
              <w:spacing w:line="360" w:lineRule="auto"/>
              <w:jc w:val="center"/>
              <w:rPr>
                <w:rFonts w:ascii="宋体" w:hAnsi="宋体"/>
                <w:szCs w:val="21"/>
              </w:rPr>
            </w:pPr>
            <w:r>
              <w:rPr>
                <w:rFonts w:ascii="宋体" w:hAnsi="宋体"/>
                <w:szCs w:val="21"/>
              </w:rPr>
              <w:t>100-500</w:t>
            </w:r>
          </w:p>
        </w:tc>
        <w:tc>
          <w:tcPr>
            <w:tcW w:w="1788" w:type="dxa"/>
          </w:tcPr>
          <w:p w14:paraId="434B94B9">
            <w:pPr>
              <w:spacing w:line="360" w:lineRule="auto"/>
              <w:jc w:val="center"/>
              <w:rPr>
                <w:rFonts w:ascii="宋体" w:hAnsi="宋体"/>
              </w:rPr>
            </w:pPr>
            <w:r>
              <w:rPr>
                <w:rFonts w:ascii="宋体" w:hAnsi="宋体"/>
              </w:rPr>
              <w:t>1.10%</w:t>
            </w:r>
          </w:p>
        </w:tc>
        <w:tc>
          <w:tcPr>
            <w:tcW w:w="1788" w:type="dxa"/>
          </w:tcPr>
          <w:p w14:paraId="4663D314">
            <w:pPr>
              <w:spacing w:line="360" w:lineRule="auto"/>
              <w:jc w:val="center"/>
              <w:rPr>
                <w:rFonts w:ascii="宋体" w:hAnsi="宋体"/>
              </w:rPr>
            </w:pPr>
            <w:r>
              <w:rPr>
                <w:rFonts w:ascii="宋体" w:hAnsi="宋体"/>
              </w:rPr>
              <w:t>0.80%</w:t>
            </w:r>
          </w:p>
        </w:tc>
        <w:tc>
          <w:tcPr>
            <w:tcW w:w="1788" w:type="dxa"/>
          </w:tcPr>
          <w:p w14:paraId="7C044402">
            <w:pPr>
              <w:spacing w:line="360" w:lineRule="auto"/>
              <w:jc w:val="center"/>
              <w:rPr>
                <w:rFonts w:ascii="宋体" w:hAnsi="宋体"/>
              </w:rPr>
            </w:pPr>
            <w:r>
              <w:rPr>
                <w:rFonts w:ascii="宋体" w:hAnsi="宋体"/>
              </w:rPr>
              <w:t>0.70%</w:t>
            </w:r>
          </w:p>
        </w:tc>
      </w:tr>
      <w:tr w14:paraId="2EB8C99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2" w:hRule="atLeast"/>
          <w:jc w:val="center"/>
        </w:trPr>
        <w:tc>
          <w:tcPr>
            <w:tcW w:w="2447" w:type="dxa"/>
            <w:vAlign w:val="center"/>
          </w:tcPr>
          <w:p w14:paraId="7E5174C7">
            <w:pPr>
              <w:snapToGrid w:val="0"/>
              <w:spacing w:line="360" w:lineRule="auto"/>
              <w:jc w:val="center"/>
              <w:rPr>
                <w:rFonts w:ascii="宋体" w:hAnsi="宋体"/>
                <w:szCs w:val="21"/>
              </w:rPr>
            </w:pPr>
            <w:r>
              <w:rPr>
                <w:rFonts w:ascii="宋体" w:hAnsi="宋体"/>
                <w:szCs w:val="21"/>
              </w:rPr>
              <w:t>500-1000</w:t>
            </w:r>
          </w:p>
        </w:tc>
        <w:tc>
          <w:tcPr>
            <w:tcW w:w="1788" w:type="dxa"/>
          </w:tcPr>
          <w:p w14:paraId="22294437">
            <w:pPr>
              <w:spacing w:line="360" w:lineRule="auto"/>
              <w:jc w:val="center"/>
              <w:rPr>
                <w:rFonts w:ascii="宋体" w:hAnsi="宋体"/>
              </w:rPr>
            </w:pPr>
            <w:r>
              <w:rPr>
                <w:rFonts w:ascii="宋体" w:hAnsi="宋体"/>
              </w:rPr>
              <w:t>0.80%</w:t>
            </w:r>
          </w:p>
        </w:tc>
        <w:tc>
          <w:tcPr>
            <w:tcW w:w="1788" w:type="dxa"/>
          </w:tcPr>
          <w:p w14:paraId="212F69B4">
            <w:pPr>
              <w:spacing w:line="360" w:lineRule="auto"/>
              <w:jc w:val="center"/>
              <w:rPr>
                <w:rFonts w:ascii="宋体" w:hAnsi="宋体"/>
              </w:rPr>
            </w:pPr>
            <w:r>
              <w:rPr>
                <w:rFonts w:ascii="宋体" w:hAnsi="宋体"/>
              </w:rPr>
              <w:t>0.45%</w:t>
            </w:r>
          </w:p>
        </w:tc>
        <w:tc>
          <w:tcPr>
            <w:tcW w:w="1788" w:type="dxa"/>
          </w:tcPr>
          <w:p w14:paraId="014BCE1B">
            <w:pPr>
              <w:spacing w:line="360" w:lineRule="auto"/>
              <w:jc w:val="center"/>
              <w:rPr>
                <w:rFonts w:ascii="宋体" w:hAnsi="宋体"/>
              </w:rPr>
            </w:pPr>
            <w:r>
              <w:rPr>
                <w:rFonts w:ascii="宋体" w:hAnsi="宋体"/>
              </w:rPr>
              <w:t>0.55%</w:t>
            </w:r>
          </w:p>
        </w:tc>
      </w:tr>
      <w:tr w14:paraId="127B785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2" w:hRule="atLeast"/>
          <w:jc w:val="center"/>
        </w:trPr>
        <w:tc>
          <w:tcPr>
            <w:tcW w:w="2447" w:type="dxa"/>
            <w:vAlign w:val="center"/>
          </w:tcPr>
          <w:p w14:paraId="1EC2E54A">
            <w:pPr>
              <w:snapToGrid w:val="0"/>
              <w:spacing w:line="360" w:lineRule="auto"/>
              <w:jc w:val="center"/>
              <w:rPr>
                <w:rFonts w:ascii="宋体" w:hAnsi="宋体"/>
                <w:szCs w:val="21"/>
              </w:rPr>
            </w:pPr>
            <w:r>
              <w:rPr>
                <w:rFonts w:ascii="宋体" w:hAnsi="宋体"/>
                <w:szCs w:val="21"/>
              </w:rPr>
              <w:t>1000-5000</w:t>
            </w:r>
          </w:p>
        </w:tc>
        <w:tc>
          <w:tcPr>
            <w:tcW w:w="1788" w:type="dxa"/>
          </w:tcPr>
          <w:p w14:paraId="30DDECA1">
            <w:pPr>
              <w:spacing w:line="360" w:lineRule="auto"/>
              <w:jc w:val="center"/>
              <w:rPr>
                <w:rFonts w:ascii="宋体" w:hAnsi="宋体"/>
              </w:rPr>
            </w:pPr>
            <w:r>
              <w:rPr>
                <w:rFonts w:ascii="宋体" w:hAnsi="宋体"/>
              </w:rPr>
              <w:t>0.50%</w:t>
            </w:r>
          </w:p>
        </w:tc>
        <w:tc>
          <w:tcPr>
            <w:tcW w:w="1788" w:type="dxa"/>
          </w:tcPr>
          <w:p w14:paraId="55BC1650">
            <w:pPr>
              <w:spacing w:line="360" w:lineRule="auto"/>
              <w:jc w:val="center"/>
              <w:rPr>
                <w:rFonts w:ascii="宋体" w:hAnsi="宋体"/>
              </w:rPr>
            </w:pPr>
            <w:r>
              <w:rPr>
                <w:rFonts w:ascii="宋体" w:hAnsi="宋体"/>
              </w:rPr>
              <w:t>0.25%</w:t>
            </w:r>
          </w:p>
        </w:tc>
        <w:tc>
          <w:tcPr>
            <w:tcW w:w="1788" w:type="dxa"/>
          </w:tcPr>
          <w:p w14:paraId="4D454F79">
            <w:pPr>
              <w:spacing w:line="360" w:lineRule="auto"/>
              <w:jc w:val="center"/>
              <w:rPr>
                <w:rFonts w:ascii="宋体" w:hAnsi="宋体"/>
              </w:rPr>
            </w:pPr>
            <w:r>
              <w:rPr>
                <w:rFonts w:ascii="宋体" w:hAnsi="宋体"/>
              </w:rPr>
              <w:t>0.35%</w:t>
            </w:r>
          </w:p>
        </w:tc>
      </w:tr>
      <w:tr w14:paraId="6A5C95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2" w:hRule="atLeast"/>
          <w:jc w:val="center"/>
        </w:trPr>
        <w:tc>
          <w:tcPr>
            <w:tcW w:w="2447" w:type="dxa"/>
            <w:vAlign w:val="center"/>
          </w:tcPr>
          <w:p w14:paraId="5BBA8844">
            <w:pPr>
              <w:snapToGrid w:val="0"/>
              <w:spacing w:line="360" w:lineRule="auto"/>
              <w:jc w:val="center"/>
              <w:rPr>
                <w:rFonts w:ascii="宋体" w:hAnsi="宋体"/>
                <w:szCs w:val="21"/>
              </w:rPr>
            </w:pPr>
            <w:r>
              <w:rPr>
                <w:rFonts w:ascii="宋体" w:hAnsi="宋体"/>
                <w:szCs w:val="21"/>
              </w:rPr>
              <w:t>5000-10000</w:t>
            </w:r>
          </w:p>
        </w:tc>
        <w:tc>
          <w:tcPr>
            <w:tcW w:w="1788" w:type="dxa"/>
          </w:tcPr>
          <w:p w14:paraId="71FF9A9B">
            <w:pPr>
              <w:spacing w:line="360" w:lineRule="auto"/>
              <w:jc w:val="center"/>
              <w:rPr>
                <w:rFonts w:ascii="宋体" w:hAnsi="宋体"/>
              </w:rPr>
            </w:pPr>
            <w:r>
              <w:rPr>
                <w:rFonts w:ascii="宋体" w:hAnsi="宋体"/>
              </w:rPr>
              <w:t>0.25%</w:t>
            </w:r>
          </w:p>
        </w:tc>
        <w:tc>
          <w:tcPr>
            <w:tcW w:w="1788" w:type="dxa"/>
          </w:tcPr>
          <w:p w14:paraId="4CB74B4A">
            <w:pPr>
              <w:spacing w:line="360" w:lineRule="auto"/>
              <w:jc w:val="center"/>
              <w:rPr>
                <w:rFonts w:ascii="宋体" w:hAnsi="宋体"/>
              </w:rPr>
            </w:pPr>
            <w:r>
              <w:rPr>
                <w:rFonts w:ascii="宋体" w:hAnsi="宋体"/>
              </w:rPr>
              <w:t>0.10%</w:t>
            </w:r>
          </w:p>
        </w:tc>
        <w:tc>
          <w:tcPr>
            <w:tcW w:w="1788" w:type="dxa"/>
          </w:tcPr>
          <w:p w14:paraId="2B2D3F9D">
            <w:pPr>
              <w:spacing w:line="360" w:lineRule="auto"/>
              <w:jc w:val="center"/>
              <w:rPr>
                <w:rFonts w:ascii="宋体" w:hAnsi="宋体"/>
              </w:rPr>
            </w:pPr>
            <w:r>
              <w:rPr>
                <w:rFonts w:ascii="宋体" w:hAnsi="宋体"/>
              </w:rPr>
              <w:t>0.20%</w:t>
            </w:r>
          </w:p>
        </w:tc>
      </w:tr>
      <w:tr w14:paraId="6581E7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2" w:hRule="atLeast"/>
          <w:jc w:val="center"/>
        </w:trPr>
        <w:tc>
          <w:tcPr>
            <w:tcW w:w="2447" w:type="dxa"/>
            <w:vAlign w:val="center"/>
          </w:tcPr>
          <w:p w14:paraId="0CB8110D">
            <w:pPr>
              <w:snapToGrid w:val="0"/>
              <w:spacing w:line="360" w:lineRule="auto"/>
              <w:jc w:val="center"/>
              <w:rPr>
                <w:rFonts w:ascii="宋体" w:hAnsi="宋体"/>
                <w:szCs w:val="21"/>
              </w:rPr>
            </w:pPr>
            <w:r>
              <w:rPr>
                <w:rFonts w:ascii="宋体" w:hAnsi="宋体"/>
                <w:szCs w:val="21"/>
              </w:rPr>
              <w:t>10000-100000</w:t>
            </w:r>
          </w:p>
        </w:tc>
        <w:tc>
          <w:tcPr>
            <w:tcW w:w="1788" w:type="dxa"/>
          </w:tcPr>
          <w:p w14:paraId="7E6ECF24">
            <w:pPr>
              <w:spacing w:line="360" w:lineRule="auto"/>
              <w:jc w:val="center"/>
              <w:rPr>
                <w:rFonts w:ascii="宋体" w:hAnsi="宋体"/>
              </w:rPr>
            </w:pPr>
            <w:r>
              <w:rPr>
                <w:rFonts w:ascii="宋体" w:hAnsi="宋体"/>
              </w:rPr>
              <w:t>0.05%</w:t>
            </w:r>
          </w:p>
        </w:tc>
        <w:tc>
          <w:tcPr>
            <w:tcW w:w="1788" w:type="dxa"/>
          </w:tcPr>
          <w:p w14:paraId="45831DF2">
            <w:pPr>
              <w:spacing w:line="360" w:lineRule="auto"/>
              <w:jc w:val="center"/>
              <w:rPr>
                <w:rFonts w:ascii="宋体" w:hAnsi="宋体"/>
              </w:rPr>
            </w:pPr>
            <w:r>
              <w:rPr>
                <w:rFonts w:ascii="宋体" w:hAnsi="宋体"/>
              </w:rPr>
              <w:t>0.05%</w:t>
            </w:r>
          </w:p>
        </w:tc>
        <w:tc>
          <w:tcPr>
            <w:tcW w:w="1788" w:type="dxa"/>
          </w:tcPr>
          <w:p w14:paraId="28134834">
            <w:pPr>
              <w:spacing w:line="360" w:lineRule="auto"/>
              <w:jc w:val="center"/>
              <w:rPr>
                <w:rFonts w:ascii="宋体" w:hAnsi="宋体"/>
              </w:rPr>
            </w:pPr>
            <w:r>
              <w:rPr>
                <w:rFonts w:ascii="宋体" w:hAnsi="宋体"/>
              </w:rPr>
              <w:t>0.05%</w:t>
            </w:r>
          </w:p>
        </w:tc>
      </w:tr>
      <w:tr w14:paraId="4DCA256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2" w:hRule="atLeast"/>
          <w:jc w:val="center"/>
        </w:trPr>
        <w:tc>
          <w:tcPr>
            <w:tcW w:w="2447" w:type="dxa"/>
            <w:vAlign w:val="center"/>
          </w:tcPr>
          <w:p w14:paraId="0FA321E2">
            <w:pPr>
              <w:snapToGrid w:val="0"/>
              <w:spacing w:line="360" w:lineRule="auto"/>
              <w:jc w:val="center"/>
              <w:rPr>
                <w:rFonts w:ascii="宋体" w:hAnsi="宋体"/>
                <w:szCs w:val="21"/>
              </w:rPr>
            </w:pPr>
            <w:r>
              <w:rPr>
                <w:rFonts w:ascii="宋体" w:hAnsi="宋体"/>
                <w:szCs w:val="21"/>
              </w:rPr>
              <w:t>1000000</w:t>
            </w:r>
            <w:r>
              <w:rPr>
                <w:rFonts w:hint="eastAsia" w:ascii="宋体" w:hAnsi="宋体"/>
                <w:szCs w:val="21"/>
              </w:rPr>
              <w:t>以上</w:t>
            </w:r>
          </w:p>
        </w:tc>
        <w:tc>
          <w:tcPr>
            <w:tcW w:w="1788" w:type="dxa"/>
          </w:tcPr>
          <w:p w14:paraId="75B2B096">
            <w:pPr>
              <w:spacing w:line="360" w:lineRule="auto"/>
              <w:jc w:val="center"/>
              <w:rPr>
                <w:rFonts w:ascii="宋体" w:hAnsi="宋体"/>
              </w:rPr>
            </w:pPr>
            <w:r>
              <w:rPr>
                <w:rFonts w:ascii="宋体" w:hAnsi="宋体"/>
              </w:rPr>
              <w:t>0.01%</w:t>
            </w:r>
          </w:p>
        </w:tc>
        <w:tc>
          <w:tcPr>
            <w:tcW w:w="1788" w:type="dxa"/>
          </w:tcPr>
          <w:p w14:paraId="1C4F600C">
            <w:pPr>
              <w:spacing w:line="360" w:lineRule="auto"/>
              <w:jc w:val="center"/>
              <w:rPr>
                <w:rFonts w:ascii="宋体" w:hAnsi="宋体"/>
              </w:rPr>
            </w:pPr>
            <w:r>
              <w:rPr>
                <w:rFonts w:ascii="宋体" w:hAnsi="宋体"/>
              </w:rPr>
              <w:t>0.01%</w:t>
            </w:r>
          </w:p>
        </w:tc>
        <w:tc>
          <w:tcPr>
            <w:tcW w:w="1788" w:type="dxa"/>
          </w:tcPr>
          <w:p w14:paraId="1034284D">
            <w:pPr>
              <w:spacing w:line="360" w:lineRule="auto"/>
              <w:jc w:val="center"/>
              <w:rPr>
                <w:rFonts w:ascii="宋体" w:hAnsi="宋体"/>
              </w:rPr>
            </w:pPr>
            <w:r>
              <w:rPr>
                <w:rFonts w:ascii="宋体" w:hAnsi="宋体"/>
              </w:rPr>
              <w:t>0.01%</w:t>
            </w:r>
          </w:p>
        </w:tc>
      </w:tr>
    </w:tbl>
    <w:p w14:paraId="403418F5">
      <w:pPr>
        <w:ind w:firstLine="470" w:firstLineChars="196"/>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例如：某服务招标代理业务中标金额为600万元，计算招标代理服务收费额如下：</w:t>
      </w:r>
    </w:p>
    <w:p w14:paraId="6DC00169">
      <w:pPr>
        <w:ind w:firstLine="470" w:firstLineChars="196"/>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100万元×1.5%=1.5万元</w:t>
      </w:r>
    </w:p>
    <w:p w14:paraId="0550228C">
      <w:pPr>
        <w:ind w:firstLine="470" w:firstLineChars="196"/>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（500-100）万元×0.8%=3.2万元</w:t>
      </w:r>
    </w:p>
    <w:p w14:paraId="775AF7F0">
      <w:pPr>
        <w:ind w:firstLine="470" w:firstLineChars="196"/>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（600-500）万元×0.45%=0.45万元</w:t>
      </w:r>
    </w:p>
    <w:p w14:paraId="07E3CD68">
      <w:pPr>
        <w:ind w:firstLine="470" w:firstLineChars="196"/>
        <w:rPr>
          <w:rFonts w:hint="eastAsia" w:ascii="宋体" w:hAnsi="宋体" w:eastAsia="宋体"/>
          <w:color w:val="000000" w:themeColor="text1"/>
          <w:szCs w:val="21"/>
          <w:lang w:val="en-US"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合计收费=1.5+3.2+0.45=5.15万元：</w:t>
      </w:r>
    </w:p>
    <w:p w14:paraId="4021C334">
      <w:pPr>
        <w:ind w:firstLine="470" w:firstLineChars="196"/>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中标人须在中标公告公示期结束后，领取《中标通知书》前，向招标代理机构缴纳中标服务费。</w:t>
      </w:r>
    </w:p>
    <w:p w14:paraId="707C0B1D">
      <w:pPr>
        <w:ind w:firstLine="470" w:firstLineChars="196"/>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w:t>
      </w:r>
      <w:r>
        <w:rPr>
          <w:rFonts w:hint="eastAsia" w:ascii="宋体" w:hAnsi="宋体"/>
          <w:color w:val="000000" w:themeColor="text1"/>
          <w:szCs w:val="21"/>
          <w:lang w:val="en-US" w:eastAsia="zh-CN"/>
          <w14:textFill>
            <w14:solidFill>
              <w14:schemeClr w14:val="tx1"/>
            </w14:solidFill>
          </w14:textFill>
        </w:rPr>
        <w:t>1</w:t>
      </w:r>
      <w:r>
        <w:rPr>
          <w:rFonts w:hint="eastAsia" w:ascii="宋体" w:hAnsi="宋体"/>
          <w:color w:val="000000" w:themeColor="text1"/>
          <w:szCs w:val="21"/>
          <w14:textFill>
            <w14:solidFill>
              <w14:schemeClr w14:val="tx1"/>
            </w14:solidFill>
          </w14:textFill>
        </w:rPr>
        <w:t>.</w:t>
      </w:r>
      <w:r>
        <w:rPr>
          <w:rFonts w:hint="eastAsia" w:ascii="宋体" w:hAnsi="宋体"/>
          <w:color w:val="000000" w:themeColor="text1"/>
          <w:szCs w:val="21"/>
          <w:lang w:val="en-US" w:eastAsia="zh-CN"/>
          <w14:textFill>
            <w14:solidFill>
              <w14:schemeClr w14:val="tx1"/>
            </w14:solidFill>
          </w14:textFill>
        </w:rPr>
        <w:t>4.2</w:t>
      </w:r>
      <w:r>
        <w:rPr>
          <w:rFonts w:hint="eastAsia" w:ascii="宋体" w:hAnsi="宋体"/>
          <w:color w:val="000000" w:themeColor="text1"/>
          <w:szCs w:val="21"/>
          <w14:textFill>
            <w14:solidFill>
              <w14:schemeClr w14:val="tx1"/>
            </w14:solidFill>
          </w14:textFill>
        </w:rPr>
        <w:t xml:space="preserve"> 招标代理服务费以转账、现金形式交付。</w:t>
      </w:r>
    </w:p>
    <w:p w14:paraId="75750A3A"/>
    <w:bookmarkEnd w:id="76"/>
    <w:p w14:paraId="14A22CF8">
      <w:pPr>
        <w:pStyle w:val="5"/>
        <w:numPr>
          <w:ilvl w:val="0"/>
          <w:numId w:val="2"/>
        </w:numPr>
        <w:tabs>
          <w:tab w:val="left" w:pos="360"/>
          <w:tab w:val="clear" w:pos="720"/>
        </w:tabs>
        <w:spacing w:before="120" w:beforeLines="50" w:after="120" w:afterLines="50"/>
        <w:ind w:left="562" w:hanging="562"/>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公开招标失败的后续处理</w:t>
      </w:r>
    </w:p>
    <w:p w14:paraId="02278602">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42．公开招标失败的处理</w:t>
      </w:r>
    </w:p>
    <w:p w14:paraId="68E6F18F">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t>42.1本项目公开招标过程中若由于投标截止后</w:t>
      </w:r>
      <w:r>
        <w:rPr>
          <w:rFonts w:hint="eastAsia" w:ascii="宋体" w:hAnsi="宋体"/>
          <w:color w:val="000000" w:themeColor="text1"/>
          <w14:textFill>
            <w14:solidFill>
              <w14:schemeClr w14:val="tx1"/>
            </w14:solidFill>
          </w14:textFill>
        </w:rPr>
        <w:t>实际递交</w:t>
      </w:r>
      <w:r>
        <w:rPr>
          <w:rFonts w:ascii="宋体" w:hAnsi="宋体"/>
          <w:color w:val="000000" w:themeColor="text1"/>
          <w14:textFill>
            <w14:solidFill>
              <w14:schemeClr w14:val="tx1"/>
            </w14:solidFill>
          </w14:textFill>
        </w:rPr>
        <w:t>投标</w:t>
      </w:r>
      <w:r>
        <w:rPr>
          <w:rFonts w:hint="eastAsia" w:ascii="宋体" w:hAnsi="宋体"/>
          <w:color w:val="000000" w:themeColor="text1"/>
          <w14:textFill>
            <w14:solidFill>
              <w14:schemeClr w14:val="tx1"/>
            </w14:solidFill>
          </w14:textFill>
        </w:rPr>
        <w:t>文件的供应商数量不足、经</w:t>
      </w:r>
      <w:r>
        <w:rPr>
          <w:rFonts w:hint="eastAsia" w:ascii="宋体" w:hAnsi="宋体"/>
          <w:color w:val="000000" w:themeColor="text1"/>
          <w:szCs w:val="21"/>
          <w14:textFill>
            <w14:solidFill>
              <w14:schemeClr w14:val="tx1"/>
            </w14:solidFill>
          </w14:textFill>
        </w:rPr>
        <w:t>评审委员会</w:t>
      </w:r>
      <w:r>
        <w:rPr>
          <w:rFonts w:hint="eastAsia" w:ascii="宋体" w:hAnsi="宋体"/>
          <w:color w:val="000000" w:themeColor="text1"/>
          <w14:textFill>
            <w14:solidFill>
              <w14:schemeClr w14:val="tx1"/>
            </w14:solidFill>
          </w14:textFill>
        </w:rPr>
        <w:t>评审对招标文件作实质响应的供应商不足等原因造成公开招标失败，可由</w:t>
      </w:r>
      <w:r>
        <w:rPr>
          <w:rFonts w:hint="eastAsia" w:ascii="宋体" w:hAnsi="宋体" w:eastAsia="宋体" w:cs="宋体"/>
          <w:color w:val="000000" w:themeColor="text1"/>
          <w14:textFill>
            <w14:solidFill>
              <w14:schemeClr w14:val="tx1"/>
            </w14:solidFill>
          </w14:textFill>
        </w:rPr>
        <w:t>招标机构</w:t>
      </w:r>
      <w:r>
        <w:rPr>
          <w:rFonts w:hint="eastAsia" w:ascii="宋体" w:hAnsi="宋体"/>
          <w:color w:val="000000" w:themeColor="text1"/>
          <w14:textFill>
            <w14:solidFill>
              <w14:schemeClr w14:val="tx1"/>
            </w14:solidFill>
          </w14:textFill>
        </w:rPr>
        <w:t>重新组织采购。</w:t>
      </w:r>
    </w:p>
    <w:p w14:paraId="6B6FE253">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42.2对公开招标失败的项目，评审委员会在出具该项目招标失败结论的同时，可以提出重新采购组织形式的建议，以及进一步完善招标文件的资格、技术、商务要求的修改建议。</w:t>
      </w:r>
    </w:p>
    <w:p w14:paraId="03A20115">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42.3重新组织采购有以下两种组织形式：</w:t>
      </w:r>
    </w:p>
    <w:p w14:paraId="519B4638">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（1）由</w:t>
      </w:r>
      <w:r>
        <w:rPr>
          <w:rFonts w:hint="eastAsia" w:ascii="宋体" w:hAnsi="宋体" w:eastAsia="宋体"/>
          <w:color w:val="000000" w:themeColor="text1"/>
          <w14:textFill>
            <w14:solidFill>
              <w14:schemeClr w14:val="tx1"/>
            </w14:solidFill>
          </w14:textFill>
        </w:rPr>
        <w:t>招标机构</w:t>
      </w:r>
      <w:r>
        <w:rPr>
          <w:rFonts w:hint="eastAsia" w:ascii="宋体" w:hAnsi="宋体"/>
          <w:color w:val="000000" w:themeColor="text1"/>
          <w14:textFill>
            <w14:solidFill>
              <w14:schemeClr w14:val="tx1"/>
            </w14:solidFill>
          </w14:textFill>
        </w:rPr>
        <w:t>重新组织公开招标；</w:t>
      </w:r>
    </w:p>
    <w:p w14:paraId="679A3CB6">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（2）根据实际情况需要向同级财政部门提出非公开招标方式申请，经同级财政部门批准，公开招标失败采购项目可转为竞争性谈判或单一来源谈判方式采购。</w:t>
      </w:r>
    </w:p>
    <w:p w14:paraId="5EBFA9B6">
      <w:pPr>
        <w:ind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42.4公开招标失败的采购项目重新组织公开招标，由</w:t>
      </w:r>
      <w:r>
        <w:rPr>
          <w:rFonts w:hint="eastAsia" w:ascii="宋体" w:hAnsi="宋体" w:eastAsia="宋体"/>
          <w:color w:val="000000" w:themeColor="text1"/>
          <w14:textFill>
            <w14:solidFill>
              <w14:schemeClr w14:val="tx1"/>
            </w14:solidFill>
          </w14:textFill>
        </w:rPr>
        <w:t>招标机构</w:t>
      </w:r>
      <w:r>
        <w:rPr>
          <w:rFonts w:hint="eastAsia" w:ascii="宋体" w:hAnsi="宋体"/>
          <w:color w:val="000000" w:themeColor="text1"/>
          <w14:textFill>
            <w14:solidFill>
              <w14:schemeClr w14:val="tx1"/>
            </w14:solidFill>
          </w14:textFill>
        </w:rPr>
        <w:t>重新按公开招标流程组织采购活动。</w:t>
      </w:r>
    </w:p>
    <w:p w14:paraId="6039EB98">
      <w:pPr>
        <w:ind w:firstLine="470" w:firstLineChars="196"/>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42.5公开招标失败的采购项目经同级财政部门批准转为竞争性谈判或单一来源谈判方式采购的，按规定要求组织政府采购工作。</w:t>
      </w:r>
    </w:p>
    <w:p w14:paraId="471DC335">
      <w:pPr>
        <w:pStyle w:val="5"/>
        <w:numPr>
          <w:ilvl w:val="0"/>
          <w:numId w:val="2"/>
        </w:numPr>
        <w:tabs>
          <w:tab w:val="left" w:pos="360"/>
          <w:tab w:val="clear" w:pos="720"/>
        </w:tabs>
        <w:spacing w:before="120" w:beforeLines="50" w:after="120" w:afterLines="50"/>
        <w:ind w:left="562" w:hanging="562"/>
        <w:rPr>
          <w:color w:val="000000" w:themeColor="text1"/>
          <w:sz w:val="28"/>
          <w:szCs w:val="28"/>
          <w14:textFill>
            <w14:solidFill>
              <w14:schemeClr w14:val="tx1"/>
            </w14:solidFill>
          </w14:textFill>
        </w:rPr>
      </w:pPr>
      <w:bookmarkStart w:id="77" w:name="_Hlk72439043"/>
      <w:r>
        <w:rPr>
          <w:rFonts w:hint="eastAsia"/>
          <w:color w:val="000000" w:themeColor="text1"/>
          <w:sz w:val="28"/>
          <w:szCs w:val="28"/>
          <w14:textFill>
            <w14:solidFill>
              <w14:schemeClr w14:val="tx1"/>
            </w14:solidFill>
          </w14:textFill>
        </w:rPr>
        <w:t>合同的授予与备案</w:t>
      </w:r>
      <w:bookmarkEnd w:id="77"/>
    </w:p>
    <w:p w14:paraId="4214A115">
      <w:pPr>
        <w:rPr>
          <w:rFonts w:ascii="黑体" w:hAnsi="宋体" w:eastAsia="黑体"/>
          <w:color w:val="000000" w:themeColor="text1"/>
          <w14:textFill>
            <w14:solidFill>
              <w14:schemeClr w14:val="tx1"/>
            </w14:solidFill>
          </w14:textFill>
        </w:rPr>
      </w:pPr>
      <w:bookmarkStart w:id="78" w:name="_Toc73521674"/>
      <w:bookmarkStart w:id="79" w:name="_Toc100052408"/>
      <w:bookmarkStart w:id="80" w:name="_Toc73518157"/>
      <w:bookmarkStart w:id="81" w:name="_Toc73521586"/>
      <w:bookmarkStart w:id="82" w:name="_Toc73517679"/>
      <w:bookmarkStart w:id="83" w:name="_Hlk72439088"/>
      <w:r>
        <w:rPr>
          <w:rFonts w:hint="eastAsia" w:ascii="黑体" w:hAnsi="宋体" w:eastAsia="黑体"/>
          <w:color w:val="000000" w:themeColor="text1"/>
          <w14:textFill>
            <w14:solidFill>
              <w14:schemeClr w14:val="tx1"/>
            </w14:solidFill>
          </w14:textFill>
        </w:rPr>
        <w:t>43．合同授予标准</w:t>
      </w:r>
      <w:bookmarkEnd w:id="78"/>
      <w:bookmarkEnd w:id="79"/>
      <w:bookmarkEnd w:id="80"/>
      <w:bookmarkEnd w:id="81"/>
      <w:bookmarkEnd w:id="82"/>
    </w:p>
    <w:p w14:paraId="1CD6BD9F">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本项目的合同将授予经本招标文件规定评审确定的中标供应商。</w:t>
      </w:r>
    </w:p>
    <w:p w14:paraId="4F197FF0">
      <w:pPr>
        <w:rPr>
          <w:rFonts w:ascii="黑体" w:hAnsi="宋体" w:eastAsia="黑体"/>
          <w:color w:val="000000" w:themeColor="text1"/>
          <w14:textFill>
            <w14:solidFill>
              <w14:schemeClr w14:val="tx1"/>
            </w14:solidFill>
          </w14:textFill>
        </w:rPr>
      </w:pPr>
      <w:bookmarkStart w:id="84" w:name="_Toc100052409"/>
      <w:bookmarkStart w:id="85" w:name="_Toc73521675"/>
      <w:bookmarkStart w:id="86" w:name="_Toc73517680"/>
      <w:bookmarkStart w:id="87" w:name="_Toc73518158"/>
      <w:bookmarkStart w:id="88" w:name="_Toc73521587"/>
      <w:r>
        <w:rPr>
          <w:rFonts w:hint="eastAsia" w:ascii="黑体" w:hAnsi="宋体" w:eastAsia="黑体"/>
          <w:color w:val="000000" w:themeColor="text1"/>
          <w14:textFill>
            <w14:solidFill>
              <w14:schemeClr w14:val="tx1"/>
            </w14:solidFill>
          </w14:textFill>
        </w:rPr>
        <w:t>44．</w:t>
      </w:r>
      <w:bookmarkEnd w:id="84"/>
      <w:bookmarkEnd w:id="85"/>
      <w:bookmarkEnd w:id="86"/>
      <w:bookmarkEnd w:id="87"/>
      <w:bookmarkEnd w:id="88"/>
      <w:r>
        <w:rPr>
          <w:rFonts w:hint="eastAsia" w:ascii="黑体" w:hAnsi="宋体" w:eastAsia="黑体"/>
          <w:color w:val="000000" w:themeColor="text1"/>
          <w14:textFill>
            <w14:solidFill>
              <w14:schemeClr w14:val="tx1"/>
            </w14:solidFill>
          </w14:textFill>
        </w:rPr>
        <w:t>接受和拒绝任何或所有投标的权力</w:t>
      </w:r>
    </w:p>
    <w:p w14:paraId="3015EB98">
      <w:pPr>
        <w:ind w:firstLine="470" w:firstLineChars="196"/>
        <w:rPr>
          <w:rFonts w:ascii="宋体" w:hAnsi="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和采购人保留在投标之前任何时候接受或拒绝任何投标或所有投标，以及宣布招标无效的权力，对受影响的投标人不承担任何责任，也无义务向受影响的投标人解释采取这一行动的理由。</w:t>
      </w:r>
    </w:p>
    <w:p w14:paraId="67791159">
      <w:pPr>
        <w:rPr>
          <w:rFonts w:ascii="黑体" w:hAnsi="宋体" w:eastAsia="黑体"/>
          <w:color w:val="000000" w:themeColor="text1"/>
          <w14:textFill>
            <w14:solidFill>
              <w14:schemeClr w14:val="tx1"/>
            </w14:solidFill>
          </w14:textFill>
        </w:rPr>
      </w:pPr>
      <w:bookmarkStart w:id="89" w:name="_Toc73521589"/>
      <w:bookmarkStart w:id="90" w:name="_Toc100052410"/>
      <w:bookmarkStart w:id="91" w:name="_Toc73521677"/>
      <w:bookmarkStart w:id="92" w:name="_Toc73517682"/>
      <w:bookmarkStart w:id="93" w:name="_Toc73518160"/>
      <w:r>
        <w:rPr>
          <w:rFonts w:hint="eastAsia" w:ascii="黑体" w:hAnsi="宋体" w:eastAsia="黑体"/>
          <w:color w:val="000000" w:themeColor="text1"/>
          <w14:textFill>
            <w14:solidFill>
              <w14:schemeClr w14:val="tx1"/>
            </w14:solidFill>
          </w14:textFill>
        </w:rPr>
        <w:t>45．合同的签订</w:t>
      </w:r>
      <w:bookmarkEnd w:id="89"/>
      <w:bookmarkEnd w:id="90"/>
      <w:bookmarkEnd w:id="91"/>
      <w:bookmarkEnd w:id="92"/>
      <w:bookmarkEnd w:id="93"/>
    </w:p>
    <w:p w14:paraId="4F1E6FCF">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45.1中标人将于中标通知书发出之日起十个工作日内，按照采购文件（招标文件和投标文件等）内容与采购人签订政府采购合同；合同的实质性内容应当符合招标文件的规定；</w:t>
      </w:r>
    </w:p>
    <w:p w14:paraId="2FDCF4ED">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45.2中标人如不按本通用条款第45</w:t>
      </w: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款的规定与采购人签订合同，</w:t>
      </w:r>
      <w:r>
        <w:rPr>
          <w:rFonts w:ascii="宋体" w:hAnsi="宋体" w:cs="宋体"/>
          <w:color w:val="000000" w:themeColor="text1"/>
          <w:szCs w:val="21"/>
          <w14:textFill>
            <w14:solidFill>
              <w14:schemeClr w14:val="tx1"/>
            </w14:solidFill>
          </w14:textFill>
        </w:rPr>
        <w:t>情节严重的，由</w:t>
      </w:r>
      <w:r>
        <w:rPr>
          <w:rFonts w:hint="eastAsia" w:ascii="宋体" w:hAnsi="宋体" w:cs="宋体"/>
          <w:color w:val="000000" w:themeColor="text1"/>
          <w:szCs w:val="21"/>
          <w14:textFill>
            <w14:solidFill>
              <w14:schemeClr w14:val="tx1"/>
            </w14:solidFill>
          </w14:textFill>
        </w:rPr>
        <w:t>同级财政</w:t>
      </w:r>
      <w:r>
        <w:rPr>
          <w:rFonts w:ascii="宋体" w:hAnsi="宋体" w:cs="宋体"/>
          <w:color w:val="000000" w:themeColor="text1"/>
          <w:szCs w:val="21"/>
          <w14:textFill>
            <w14:solidFill>
              <w14:schemeClr w14:val="tx1"/>
            </w14:solidFill>
          </w14:textFill>
        </w:rPr>
        <w:t>部门记入供应商诚信档案，予以通报</w:t>
      </w:r>
      <w:r>
        <w:rPr>
          <w:rFonts w:hint="eastAsia" w:ascii="宋体" w:hAnsi="宋体"/>
          <w:color w:val="000000" w:themeColor="text1"/>
          <w:szCs w:val="21"/>
          <w14:textFill>
            <w14:solidFill>
              <w14:schemeClr w14:val="tx1"/>
            </w14:solidFill>
          </w14:textFill>
        </w:rPr>
        <w:t>；</w:t>
      </w:r>
    </w:p>
    <w:p w14:paraId="7663AAF9">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45.3中标人应当按照合同约定履行义务，完成中标项目，不得将中标项目转让（转包）给他人。</w:t>
      </w:r>
    </w:p>
    <w:p w14:paraId="4DF1B1DB">
      <w:pPr>
        <w:rPr>
          <w:rFonts w:ascii="黑体" w:hAnsi="宋体" w:eastAsia="黑体"/>
          <w:color w:val="000000" w:themeColor="text1"/>
          <w14:textFill>
            <w14:solidFill>
              <w14:schemeClr w14:val="tx1"/>
            </w14:solidFill>
          </w14:textFill>
        </w:rPr>
      </w:pPr>
      <w:bookmarkStart w:id="94" w:name="_Toc100052411"/>
      <w:bookmarkStart w:id="95" w:name="_Toc73521590"/>
      <w:bookmarkStart w:id="96" w:name="_Toc73517683"/>
      <w:bookmarkStart w:id="97" w:name="_Toc73518161"/>
      <w:bookmarkStart w:id="98" w:name="_Toc73521678"/>
      <w:r>
        <w:rPr>
          <w:rFonts w:hint="eastAsia" w:ascii="黑体" w:hAnsi="宋体" w:eastAsia="黑体"/>
          <w:color w:val="000000" w:themeColor="text1"/>
          <w14:textFill>
            <w14:solidFill>
              <w14:schemeClr w14:val="tx1"/>
            </w14:solidFill>
          </w14:textFill>
        </w:rPr>
        <w:t>46．履约担保</w:t>
      </w:r>
      <w:bookmarkEnd w:id="94"/>
      <w:bookmarkEnd w:id="95"/>
      <w:bookmarkEnd w:id="96"/>
      <w:bookmarkEnd w:id="97"/>
      <w:bookmarkEnd w:id="98"/>
    </w:p>
    <w:p w14:paraId="4526074B">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46.1在签订项目合同的同时，中标人应按“对通用条款的补充内容”中规定的金额向采购人提交履约担保；</w:t>
      </w:r>
    </w:p>
    <w:p w14:paraId="49194D85">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46.2允许供应商自主选择以支票、汇票、本票、保函等非现金方式提交履约担保；</w:t>
      </w:r>
      <w:r>
        <w:rPr>
          <w:color w:val="000000" w:themeColor="text1"/>
          <w14:textFill>
            <w14:solidFill>
              <w14:schemeClr w14:val="tx1"/>
            </w14:solidFill>
          </w14:textFill>
        </w:rPr>
        <w:t>中标</w:t>
      </w:r>
      <w:r>
        <w:rPr>
          <w:rFonts w:hint="eastAsia"/>
          <w:color w:val="000000" w:themeColor="text1"/>
          <w14:textFill>
            <w14:solidFill>
              <w14:schemeClr w14:val="tx1"/>
            </w14:solidFill>
          </w14:textFill>
        </w:rPr>
        <w:t>人</w:t>
      </w:r>
      <w:r>
        <w:rPr>
          <w:color w:val="000000" w:themeColor="text1"/>
          <w14:textFill>
            <w14:solidFill>
              <w14:schemeClr w14:val="tx1"/>
            </w14:solidFill>
          </w14:textFill>
        </w:rPr>
        <w:t>提交履约</w:t>
      </w:r>
      <w:r>
        <w:rPr>
          <w:rFonts w:hint="eastAsia"/>
          <w:color w:val="000000" w:themeColor="text1"/>
          <w14:textFill>
            <w14:solidFill>
              <w14:schemeClr w14:val="tx1"/>
            </w14:solidFill>
          </w14:textFill>
        </w:rPr>
        <w:t>担保不是</w:t>
      </w:r>
      <w:r>
        <w:rPr>
          <w:color w:val="000000" w:themeColor="text1"/>
          <w14:textFill>
            <w14:solidFill>
              <w14:schemeClr w14:val="tx1"/>
            </w14:solidFill>
          </w14:textFill>
        </w:rPr>
        <w:t>合同签订的</w:t>
      </w:r>
      <w:r>
        <w:rPr>
          <w:rFonts w:hint="eastAsia"/>
          <w:color w:val="000000" w:themeColor="text1"/>
          <w14:textFill>
            <w14:solidFill>
              <w14:schemeClr w14:val="tx1"/>
            </w14:solidFill>
          </w14:textFill>
        </w:rPr>
        <w:t>前提</w:t>
      </w:r>
      <w:r>
        <w:rPr>
          <w:color w:val="000000" w:themeColor="text1"/>
          <w14:textFill>
            <w14:solidFill>
              <w14:schemeClr w14:val="tx1"/>
            </w14:solidFill>
          </w14:textFill>
        </w:rPr>
        <w:t>条件，不要求中标</w:t>
      </w:r>
      <w:r>
        <w:rPr>
          <w:rFonts w:hint="eastAsia"/>
          <w:color w:val="000000" w:themeColor="text1"/>
          <w14:textFill>
            <w14:solidFill>
              <w14:schemeClr w14:val="tx1"/>
            </w14:solidFill>
          </w14:textFill>
        </w:rPr>
        <w:t>人</w:t>
      </w:r>
      <w:r>
        <w:rPr>
          <w:color w:val="000000" w:themeColor="text1"/>
          <w14:textFill>
            <w14:solidFill>
              <w14:schemeClr w14:val="tx1"/>
            </w14:solidFill>
          </w14:textFill>
        </w:rPr>
        <w:t>提供除法律、法规明确规定外的其他担保</w:t>
      </w:r>
      <w:r>
        <w:rPr>
          <w:rFonts w:hint="eastAsia"/>
          <w:color w:val="000000" w:themeColor="text1"/>
          <w14:textFill>
            <w14:solidFill>
              <w14:schemeClr w14:val="tx1"/>
            </w14:solidFill>
          </w14:textFill>
        </w:rPr>
        <w:t>。</w:t>
      </w:r>
    </w:p>
    <w:p w14:paraId="03B4D389">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47. 合同备案</w:t>
      </w:r>
    </w:p>
    <w:p w14:paraId="44AEAE56">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采购人与中标人应于合同签订之日起2个工作日内进行合同公告和备案。</w:t>
      </w:r>
    </w:p>
    <w:p w14:paraId="27C64B45">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48. 合同变更</w:t>
      </w:r>
    </w:p>
    <w:p w14:paraId="5CCDF1B1">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合同变更事宜按《深圳市财政局 深圳市政府采购中心关于进一步加强市本级政府采购合同备案管理工作的通知》（深财购〔2019〕43号）相关规定执行。</w:t>
      </w:r>
    </w:p>
    <w:p w14:paraId="7B46DACA">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49. 项目验收</w:t>
      </w:r>
    </w:p>
    <w:p w14:paraId="2724A617">
      <w:pPr>
        <w:ind w:right="176" w:firstLine="42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49.1采购人应当按照招标文件和合同规定的标准和方法，及时组织验收。</w:t>
      </w:r>
    </w:p>
    <w:p w14:paraId="3B07DCAE">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50. 宣传</w:t>
      </w:r>
    </w:p>
    <w:p w14:paraId="255AC31A">
      <w:pPr>
        <w:ind w:left="240" w:leftChars="100"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凡与政府采购活动有关的宣传或广告，若当中提及政府采购，</w:t>
      </w:r>
      <w:r>
        <w:rPr>
          <w:rFonts w:ascii="宋体" w:hAnsi="宋体"/>
          <w:color w:val="000000" w:themeColor="text1"/>
          <w14:textFill>
            <w14:solidFill>
              <w14:schemeClr w14:val="tx1"/>
            </w14:solidFill>
          </w14:textFill>
        </w:rPr>
        <w:t>必须事先将具体对外宣传方案报</w:t>
      </w:r>
      <w:r>
        <w:rPr>
          <w:rFonts w:hint="eastAsia" w:ascii="宋体" w:hAnsi="宋体"/>
          <w:color w:val="000000" w:themeColor="text1"/>
          <w14:textFill>
            <w14:solidFill>
              <w14:schemeClr w14:val="tx1"/>
            </w14:solidFill>
          </w14:textFill>
        </w:rPr>
        <w:t>同级财政部门</w:t>
      </w:r>
      <w:r>
        <w:rPr>
          <w:rFonts w:ascii="宋体" w:hAnsi="宋体"/>
          <w:color w:val="000000" w:themeColor="text1"/>
          <w14:textFill>
            <w14:solidFill>
              <w14:schemeClr w14:val="tx1"/>
            </w14:solidFill>
          </w14:textFill>
        </w:rPr>
        <w:t>和</w:t>
      </w:r>
      <w:r>
        <w:rPr>
          <w:rFonts w:hint="eastAsia" w:ascii="宋体" w:hAnsi="宋体" w:eastAsia="宋体"/>
          <w:color w:val="000000" w:themeColor="text1"/>
          <w14:textFill>
            <w14:solidFill>
              <w14:schemeClr w14:val="tx1"/>
            </w14:solidFill>
          </w14:textFill>
        </w:rPr>
        <w:t>招标机构</w:t>
      </w:r>
      <w:r>
        <w:rPr>
          <w:rFonts w:ascii="宋体" w:hAnsi="宋体"/>
          <w:color w:val="000000" w:themeColor="text1"/>
          <w14:textFill>
            <w14:solidFill>
              <w14:schemeClr w14:val="tx1"/>
            </w14:solidFill>
          </w14:textFill>
        </w:rPr>
        <w:t>，并征得其同意。对外市场宣传包括但不限于以下形式：</w:t>
      </w:r>
    </w:p>
    <w:p w14:paraId="43837AB6">
      <w:pPr>
        <w:ind w:left="240" w:leftChars="100" w:firstLine="470" w:firstLineChars="196"/>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a.名片、宣传册、广告标语等；</w:t>
      </w:r>
    </w:p>
    <w:p w14:paraId="7BA4FA69">
      <w:pPr>
        <w:ind w:left="240" w:leftChars="100" w:firstLine="470" w:firstLineChars="196"/>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b.案例介绍、推广等；</w:t>
      </w:r>
    </w:p>
    <w:p w14:paraId="4AC1BC98">
      <w:pPr>
        <w:ind w:left="240" w:leftChars="100" w:firstLine="470" w:firstLineChars="19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c.工作</w:t>
      </w:r>
      <w:r>
        <w:rPr>
          <w:rFonts w:ascii="宋体" w:hAnsi="宋体"/>
          <w:color w:val="000000" w:themeColor="text1"/>
          <w14:textFill>
            <w14:solidFill>
              <w14:schemeClr w14:val="tx1"/>
            </w14:solidFill>
          </w14:textFill>
        </w:rPr>
        <w:t>人员向其他消费群体宣传。</w:t>
      </w:r>
    </w:p>
    <w:p w14:paraId="08397875">
      <w:pPr>
        <w:rPr>
          <w:rFonts w:ascii="黑体" w:hAnsi="宋体" w:eastAsia="黑体"/>
          <w:color w:val="000000" w:themeColor="text1"/>
          <w14:textFill>
            <w14:solidFill>
              <w14:schemeClr w14:val="tx1"/>
            </w14:solidFill>
          </w14:textFill>
        </w:rPr>
      </w:pPr>
      <w:r>
        <w:rPr>
          <w:rFonts w:hint="eastAsia" w:ascii="黑体" w:hAnsi="宋体" w:eastAsia="黑体"/>
          <w:color w:val="000000" w:themeColor="text1"/>
          <w14:textFill>
            <w14:solidFill>
              <w14:schemeClr w14:val="tx1"/>
            </w14:solidFill>
          </w14:textFill>
        </w:rPr>
        <w:t>51. 供应商违法责任</w:t>
      </w:r>
    </w:p>
    <w:p w14:paraId="74ADE113">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r>
        <w:rPr>
          <w:rFonts w:ascii="宋体" w:hAnsi="宋体"/>
          <w:color w:val="000000" w:themeColor="text1"/>
          <w:szCs w:val="21"/>
          <w14:textFill>
            <w14:solidFill>
              <w14:schemeClr w14:val="tx1"/>
            </w14:solidFill>
          </w14:textFill>
        </w:rPr>
        <w:t>1.1</w:t>
      </w:r>
      <w:r>
        <w:rPr>
          <w:rFonts w:hint="eastAsia" w:ascii="宋体" w:hAnsi="宋体"/>
          <w:color w:val="000000" w:themeColor="text1"/>
          <w:szCs w:val="21"/>
          <w14:textFill>
            <w14:solidFill>
              <w14:schemeClr w14:val="tx1"/>
            </w14:solidFill>
          </w14:textFill>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77D20DC3">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（1）在采购活动中应当回避而未回避的；</w:t>
      </w:r>
    </w:p>
    <w:p w14:paraId="61FDFC77">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（2）未按本条例规定签订、履行采购合同，造成严重后果的；</w:t>
      </w:r>
    </w:p>
    <w:p w14:paraId="75221E31">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（3）隐瞒真实情况，提供虚假资料的；</w:t>
      </w:r>
    </w:p>
    <w:p w14:paraId="04B60C2C">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（4）以非法手段排斥其他供应商参与竞争的；</w:t>
      </w:r>
    </w:p>
    <w:p w14:paraId="63783951">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（5）与其他采购参加人串通投标的；</w:t>
      </w:r>
    </w:p>
    <w:p w14:paraId="2228C0FC">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（6）恶意投诉的；</w:t>
      </w:r>
    </w:p>
    <w:p w14:paraId="516F28CA">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（7）向采购项目相关人行贿或者提供其他不当利益的；</w:t>
      </w:r>
    </w:p>
    <w:p w14:paraId="21825CE6">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（8）阻碍、抗拒主管部门监督检查的；</w:t>
      </w:r>
    </w:p>
    <w:p w14:paraId="733C270C">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（9）其他违反本条例规定的行为。</w:t>
      </w:r>
    </w:p>
    <w:p w14:paraId="30433989">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r>
        <w:rPr>
          <w:rFonts w:ascii="宋体" w:hAnsi="宋体"/>
          <w:color w:val="000000" w:themeColor="text1"/>
          <w:szCs w:val="21"/>
          <w14:textFill>
            <w14:solidFill>
              <w14:schemeClr w14:val="tx1"/>
            </w14:solidFill>
          </w14:textFill>
        </w:rPr>
        <w:t xml:space="preserve">1.2 </w:t>
      </w:r>
      <w:r>
        <w:rPr>
          <w:rFonts w:hint="eastAsia" w:ascii="宋体" w:hAnsi="宋体"/>
          <w:color w:val="000000" w:themeColor="text1"/>
          <w:szCs w:val="21"/>
          <w14:textFill>
            <w14:solidFill>
              <w14:schemeClr w14:val="tx1"/>
            </w14:solidFill>
          </w14:textFill>
        </w:rPr>
        <w:t>根据《深圳市财政局关于明确政府采购保证金管理工作的通知》（深财购[2019]42号）的要求，供应商在政府采购活动中出现《深圳经济特区政府采购条例实施细则》第八十四条所列情形的，</w:t>
      </w:r>
      <w:bookmarkStart w:id="99" w:name="_Hlk72440769"/>
      <w:r>
        <w:rPr>
          <w:rFonts w:hint="eastAsia" w:ascii="宋体" w:hAnsi="宋体"/>
          <w:color w:val="000000" w:themeColor="text1"/>
          <w:szCs w:val="21"/>
          <w14:textFill>
            <w14:solidFill>
              <w14:schemeClr w14:val="tx1"/>
            </w14:solidFill>
          </w14:textFill>
        </w:rPr>
        <w:t>采购人或</w:t>
      </w:r>
      <w:bookmarkEnd w:id="99"/>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可将有关情况报同级财政部门，由财政部门根据实际情况记入供应商诚信档案，予以通报：</w:t>
      </w:r>
    </w:p>
    <w:p w14:paraId="084A3166">
      <w:pPr>
        <w:ind w:firstLine="470" w:firstLineChars="19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r>
        <w:rPr>
          <w:rFonts w:ascii="宋体" w:hAnsi="宋体"/>
          <w:color w:val="000000" w:themeColor="text1"/>
          <w:szCs w:val="21"/>
          <w14:textFill>
            <w14:solidFill>
              <w14:schemeClr w14:val="tx1"/>
            </w14:solidFill>
          </w14:textFill>
        </w:rPr>
        <w:t>）投标截止后，撤销投标的；</w:t>
      </w:r>
    </w:p>
    <w:p w14:paraId="7DF774BB">
      <w:pPr>
        <w:ind w:firstLine="470" w:firstLineChars="196"/>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2</w:t>
      </w:r>
      <w:r>
        <w:rPr>
          <w:rFonts w:ascii="宋体" w:hAnsi="宋体"/>
          <w:color w:val="000000" w:themeColor="text1"/>
          <w:szCs w:val="21"/>
          <w14:textFill>
            <w14:solidFill>
              <w14:schemeClr w14:val="tx1"/>
            </w14:solidFill>
          </w14:textFill>
        </w:rPr>
        <w:t>）中标后无正当理由未在规定期限内签订合同的；</w:t>
      </w:r>
    </w:p>
    <w:p w14:paraId="4F4C2B72">
      <w:pPr>
        <w:ind w:firstLine="470" w:firstLineChars="196"/>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3</w:t>
      </w:r>
      <w:r>
        <w:rPr>
          <w:rFonts w:ascii="宋体" w:hAnsi="宋体"/>
          <w:color w:val="000000" w:themeColor="text1"/>
          <w:szCs w:val="21"/>
          <w14:textFill>
            <w14:solidFill>
              <w14:schemeClr w14:val="tx1"/>
            </w14:solidFill>
          </w14:textFill>
        </w:rPr>
        <w:t>）将中标项目转让给他人、或者在投标文件中未说明且未经采购人、采购招标机构同意，将中标项目分包给他人的；</w:t>
      </w:r>
    </w:p>
    <w:p w14:paraId="0297F171">
      <w:pPr>
        <w:ind w:firstLine="470" w:firstLineChars="196"/>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4</w:t>
      </w:r>
      <w:r>
        <w:rPr>
          <w:rFonts w:ascii="宋体" w:hAnsi="宋体"/>
          <w:color w:val="000000" w:themeColor="text1"/>
          <w:szCs w:val="21"/>
          <w14:textFill>
            <w14:solidFill>
              <w14:schemeClr w14:val="tx1"/>
            </w14:solidFill>
          </w14:textFill>
        </w:rPr>
        <w:t>）拒绝履行合同义务的</w:t>
      </w:r>
      <w:r>
        <w:rPr>
          <w:rFonts w:hint="eastAsia" w:ascii="宋体" w:hAnsi="宋体"/>
          <w:color w:val="000000" w:themeColor="text1"/>
          <w:szCs w:val="21"/>
          <w14:textFill>
            <w14:solidFill>
              <w14:schemeClr w14:val="tx1"/>
            </w14:solidFill>
          </w14:textFill>
        </w:rPr>
        <w:t>。</w:t>
      </w:r>
    </w:p>
    <w:bookmarkEnd w:id="83"/>
    <w:p w14:paraId="2BD8F654">
      <w:pPr>
        <w:pStyle w:val="5"/>
        <w:numPr>
          <w:ilvl w:val="0"/>
          <w:numId w:val="2"/>
        </w:numPr>
        <w:tabs>
          <w:tab w:val="left" w:pos="360"/>
          <w:tab w:val="clear" w:pos="720"/>
        </w:tabs>
        <w:spacing w:before="120" w:beforeLines="50" w:after="120" w:afterLines="50"/>
        <w:ind w:left="562" w:hanging="562"/>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质疑处理</w:t>
      </w:r>
    </w:p>
    <w:p w14:paraId="73AC2A10">
      <w:pPr>
        <w:rPr>
          <w:rFonts w:ascii="黑体" w:hAnsi="宋体" w:eastAsia="黑体"/>
          <w:color w:val="000000" w:themeColor="text1"/>
          <w14:textFill>
            <w14:solidFill>
              <w14:schemeClr w14:val="tx1"/>
            </w14:solidFill>
          </w14:textFill>
        </w:rPr>
      </w:pPr>
      <w:bookmarkStart w:id="100" w:name="_Hlk72439706"/>
      <w:r>
        <w:rPr>
          <w:rFonts w:hint="eastAsia" w:ascii="黑体" w:hAnsi="宋体" w:eastAsia="黑体"/>
          <w:color w:val="000000" w:themeColor="text1"/>
          <w14:textFill>
            <w14:solidFill>
              <w14:schemeClr w14:val="tx1"/>
            </w14:solidFill>
          </w14:textFill>
        </w:rPr>
        <w:t>52.质疑提出与答复</w:t>
      </w:r>
    </w:p>
    <w:p w14:paraId="52EECBFD">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52.1提出质疑</w:t>
      </w:r>
    </w:p>
    <w:p w14:paraId="1A553162">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参与政府采购活动的供应商认为自己的权益在采购活动中受到损害的，应当自知道或者应当知道其权益受到损害之日起七个工作日内向采购人、</w:t>
      </w:r>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以书面形式提出质疑。</w:t>
      </w:r>
    </w:p>
    <w:p w14:paraId="2E319A57">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52.2</w:t>
      </w:r>
      <w:r>
        <w:rPr>
          <w:rFonts w:ascii="宋体" w:hAnsi="宋体"/>
          <w:color w:val="000000" w:themeColor="text1"/>
          <w:szCs w:val="21"/>
          <w14:textFill>
            <w14:solidFill>
              <w14:schemeClr w14:val="tx1"/>
            </w14:solidFill>
          </w14:textFill>
        </w:rPr>
        <w:t>法律依据</w:t>
      </w:r>
    </w:p>
    <w:p w14:paraId="7507E30D">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《中华人民共和国政府采购法》、《中华人民共和国政府采购法实施条例》、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深圳经济特区政府采购</w:t>
      </w:r>
      <w:r>
        <w:rPr>
          <w:rFonts w:ascii="宋体" w:hAnsi="宋体"/>
          <w:color w:val="000000" w:themeColor="text1"/>
          <w:szCs w:val="21"/>
          <w14:textFill>
            <w14:solidFill>
              <w14:schemeClr w14:val="tx1"/>
            </w14:solidFill>
          </w14:textFill>
        </w:rPr>
        <w:t>条例</w:t>
      </w:r>
      <w:r>
        <w:rPr>
          <w:rFonts w:hint="eastAsia" w:ascii="宋体" w:hAnsi="宋体"/>
          <w:color w:val="000000" w:themeColor="text1"/>
          <w:szCs w:val="21"/>
          <w14:textFill>
            <w14:solidFill>
              <w14:schemeClr w14:val="tx1"/>
            </w14:solidFill>
          </w14:textFill>
        </w:rPr>
        <w:t>》、《深圳经济特区政府采购条例实施细则》、《政府采购质疑和投诉办法》（财政部令第94号）和其他有关法律法规规定。</w:t>
      </w:r>
    </w:p>
    <w:p w14:paraId="66168084">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52.3质疑条件</w:t>
      </w:r>
    </w:p>
    <w:p w14:paraId="69BB35FB">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52.3.1提出质疑的供应商应当是参与所质疑项目采购活动的供应商；</w:t>
      </w:r>
      <w:bookmarkStart w:id="101" w:name="_Hlk75374941"/>
      <w:r>
        <w:rPr>
          <w:rFonts w:hint="eastAsia" w:ascii="宋体" w:hAnsi="宋体"/>
          <w:color w:val="000000" w:themeColor="text1"/>
          <w:szCs w:val="21"/>
          <w14:textFill>
            <w14:solidFill>
              <w14:schemeClr w14:val="tx1"/>
            </w14:solidFill>
          </w14:textFill>
        </w:rPr>
        <w:t>以联合体形式参与的，质疑应当由组成联合体的所有成员共同提出</w:t>
      </w:r>
      <w:bookmarkEnd w:id="101"/>
      <w:r>
        <w:rPr>
          <w:rFonts w:hint="eastAsia" w:ascii="宋体" w:hAnsi="宋体"/>
          <w:color w:val="000000" w:themeColor="text1"/>
          <w:szCs w:val="21"/>
          <w14:textFill>
            <w14:solidFill>
              <w14:schemeClr w14:val="tx1"/>
            </w14:solidFill>
          </w14:textFill>
        </w:rPr>
        <w:t>；</w:t>
      </w:r>
    </w:p>
    <w:p w14:paraId="37995C06">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4295959A">
      <w:pPr>
        <w:ind w:firstLine="42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52.3.3应提交书面质疑函，质疑函应当包括以下内容：</w:t>
      </w:r>
    </w:p>
    <w:p w14:paraId="4E700CFB">
      <w:pPr>
        <w:ind w:firstLine="42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（1）供应商的名称（或者姓名）、地址、邮编、邮箱、联系人及联系电话；</w:t>
      </w:r>
    </w:p>
    <w:p w14:paraId="73042959">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（2）质疑项目的名称、编号；</w:t>
      </w:r>
    </w:p>
    <w:p w14:paraId="7CB2FD98">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（3）具体、明确的质疑对象、质疑事项和质疑请求；</w:t>
      </w:r>
    </w:p>
    <w:p w14:paraId="0AAE36AC">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（4）因质疑事项而受损害的权益；</w:t>
      </w:r>
    </w:p>
    <w:p w14:paraId="5AB9D8D2">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（5）事实依据；</w:t>
      </w:r>
    </w:p>
    <w:p w14:paraId="60E3E7C4">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（6）必要的法律依据；</w:t>
      </w:r>
    </w:p>
    <w:p w14:paraId="0BB9E6AA">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（7）提出质疑的日期。</w:t>
      </w:r>
    </w:p>
    <w:p w14:paraId="5468602B">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供应商为自然人的，应当由本人签字；供应商为法人或者其他组织的，应当由法定代表人（负责人），或者其授权代理人签字或者盖章，并加盖公章。</w:t>
      </w:r>
    </w:p>
    <w:p w14:paraId="1A49D277">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52.4提交</w:t>
      </w:r>
      <w:r>
        <w:rPr>
          <w:rFonts w:ascii="宋体" w:hAnsi="宋体"/>
          <w:color w:val="000000" w:themeColor="text1"/>
          <w:szCs w:val="21"/>
          <w14:textFill>
            <w14:solidFill>
              <w14:schemeClr w14:val="tx1"/>
            </w14:solidFill>
          </w14:textFill>
        </w:rPr>
        <w:t>材料</w:t>
      </w:r>
    </w:p>
    <w:p w14:paraId="10855197">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供应商质疑实行实名制。供应商为自然人的，应当提交本人身份证复印件；供应商为法人或者其他组织的，应当根据自身性质提交营业执照复印件或者其他证明文件（如事业单位法人证书等）复印件。</w:t>
      </w:r>
    </w:p>
    <w:p w14:paraId="4AFE85FB">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供应商可以委托代理人进行质疑。</w:t>
      </w:r>
      <w:r>
        <w:rPr>
          <w:rFonts w:ascii="宋体" w:hAnsi="宋体"/>
          <w:color w:val="000000" w:themeColor="text1"/>
          <w:szCs w:val="21"/>
          <w14:textFill>
            <w14:solidFill>
              <w14:schemeClr w14:val="tx1"/>
            </w14:solidFill>
          </w14:textFill>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1FF82BC2">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52.5提交方式</w:t>
      </w:r>
    </w:p>
    <w:p w14:paraId="7F1B72D4">
      <w:pPr>
        <w:ind w:firstLine="42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52.5.1供应商登录“深圳政府采购智慧平台用户网上办事子系统（</w:t>
      </w:r>
      <w:r>
        <w:rPr>
          <w:rFonts w:hint="eastAsia" w:ascii="宋体" w:hAnsi="宋体"/>
          <w:color w:val="000000" w:themeColor="text1"/>
          <w:szCs w:val="21"/>
          <w14:textFill>
            <w14:solidFill>
              <w14:schemeClr w14:val="tx1"/>
            </w14:solidFill>
          </w14:textFill>
        </w:rPr>
        <w:t>http://zfcg.szggzy.com:8081/TPBidder/memberLogin</w:t>
      </w:r>
      <w:r>
        <w:rPr>
          <w:rFonts w:ascii="宋体" w:hAnsi="宋体"/>
          <w:color w:val="000000" w:themeColor="text1"/>
          <w:szCs w:val="21"/>
          <w14:textFill>
            <w14:solidFill>
              <w14:schemeClr w14:val="tx1"/>
            </w14:solidFill>
          </w14:textFill>
        </w:rPr>
        <w:t>）”，在“【我的项目】→【项目流程】→【质疑】”中提出质疑。</w:t>
      </w:r>
    </w:p>
    <w:p w14:paraId="117A4D1C">
      <w:pPr>
        <w:ind w:firstLine="480" w:firstLineChars="20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52.5.2请质疑供应商根据深圳政府采购智慧平台（</w:t>
      </w:r>
      <w:r>
        <w:rPr>
          <w:rFonts w:hint="eastAsia" w:ascii="宋体" w:hAnsi="宋体"/>
          <w:color w:val="000000" w:themeColor="text1"/>
          <w:szCs w:val="21"/>
          <w14:textFill>
            <w14:solidFill>
              <w14:schemeClr w14:val="tx1"/>
            </w14:solidFill>
          </w14:textFill>
        </w:rPr>
        <w:t>http://zfcg.szggzy.com:8081/</w:t>
      </w:r>
      <w:r>
        <w:rPr>
          <w:rFonts w:ascii="宋体" w:hAnsi="宋体"/>
          <w:color w:val="000000" w:themeColor="text1"/>
          <w:szCs w:val="21"/>
          <w14:textFill>
            <w14:solidFill>
              <w14:schemeClr w14:val="tx1"/>
            </w14:solidFill>
          </w14:textFill>
        </w:rPr>
        <w:t>）所发布的质疑指引、质疑函模板填写质疑函并提交质疑材料。</w:t>
      </w:r>
      <w:r>
        <w:rPr>
          <w:rFonts w:ascii="宋体" w:hAnsi="宋体"/>
          <w:b/>
          <w:bCs/>
          <w:color w:val="000000" w:themeColor="text1"/>
          <w:szCs w:val="21"/>
          <w14:textFill>
            <w14:solidFill>
              <w14:schemeClr w14:val="tx1"/>
            </w14:solidFill>
          </w14:textFill>
        </w:rPr>
        <w:t>地址：</w:t>
      </w:r>
      <w:r>
        <w:rPr>
          <w:rFonts w:hint="eastAsia" w:ascii="宋体" w:hAnsi="宋体"/>
          <w:b/>
          <w:bCs/>
          <w:color w:val="000000" w:themeColor="text1"/>
          <w:szCs w:val="21"/>
          <w14:textFill>
            <w14:solidFill>
              <w14:schemeClr w14:val="tx1"/>
            </w14:solidFill>
          </w14:textFill>
        </w:rPr>
        <w:t>深圳市福田区福田体育公园西北角友和招标代理服务中心（靠近北门）</w:t>
      </w:r>
      <w:r>
        <w:rPr>
          <w:rFonts w:ascii="宋体" w:hAnsi="宋体"/>
          <w:b/>
          <w:bCs/>
          <w:color w:val="000000" w:themeColor="text1"/>
          <w:szCs w:val="21"/>
          <w14:textFill>
            <w14:solidFill>
              <w14:schemeClr w14:val="tx1"/>
            </w14:solidFill>
          </w14:textFill>
        </w:rPr>
        <w:t>，质疑咨询电话：0755-8388</w:t>
      </w:r>
      <w:r>
        <w:rPr>
          <w:rFonts w:hint="eastAsia" w:ascii="宋体" w:hAnsi="宋体" w:eastAsia="宋体"/>
          <w:b/>
          <w:bCs/>
          <w:color w:val="000000" w:themeColor="text1"/>
          <w:szCs w:val="21"/>
          <w:lang w:val="en-US" w:eastAsia="zh-CN"/>
          <w14:textFill>
            <w14:solidFill>
              <w14:schemeClr w14:val="tx1"/>
            </w14:solidFill>
          </w14:textFill>
        </w:rPr>
        <w:t>1283</w:t>
      </w:r>
      <w:r>
        <w:rPr>
          <w:rFonts w:ascii="宋体" w:hAnsi="宋体"/>
          <w:b/>
          <w:bCs/>
          <w:color w:val="000000" w:themeColor="text1"/>
          <w:szCs w:val="21"/>
          <w14:textFill>
            <w14:solidFill>
              <w14:schemeClr w14:val="tx1"/>
            </w14:solidFill>
          </w14:textFill>
        </w:rPr>
        <w:t>。</w:t>
      </w:r>
    </w:p>
    <w:p w14:paraId="0450E60B">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52.6收文办理</w:t>
      </w:r>
      <w:r>
        <w:rPr>
          <w:rFonts w:ascii="宋体" w:hAnsi="宋体"/>
          <w:color w:val="000000" w:themeColor="text1"/>
          <w:szCs w:val="21"/>
          <w14:textFill>
            <w14:solidFill>
              <w14:schemeClr w14:val="tx1"/>
            </w14:solidFill>
          </w14:textFill>
        </w:rPr>
        <w:t>程序</w:t>
      </w:r>
    </w:p>
    <w:p w14:paraId="4045C477">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52.6.1供应商提交的质疑符合受理条件的，</w:t>
      </w:r>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自收到质疑材料之日起即为受理，应当向供应商出具质疑函收文回执并可以要求其递交质疑的法定代表人（负责人）或者授权代理人签署质疑文书送达地址确认书。</w:t>
      </w:r>
    </w:p>
    <w:p w14:paraId="660B997F">
      <w:pPr>
        <w:ind w:firstLine="480" w:firstLineChars="200"/>
        <w:rPr>
          <w:rFonts w:ascii="仿宋" w:hAnsi="仿宋" w:eastAsia="仿宋"/>
          <w:color w:val="000000" w:themeColor="text1"/>
          <w:sz w:val="28"/>
          <w:szCs w:val="28"/>
          <w14:textFill>
            <w14:solidFill>
              <w14:schemeClr w14:val="tx1"/>
            </w14:solidFill>
          </w14:textFill>
        </w:rPr>
      </w:pPr>
      <w:r>
        <w:rPr>
          <w:rFonts w:hint="eastAsia" w:ascii="宋体" w:hAnsi="宋体"/>
          <w:color w:val="000000" w:themeColor="text1"/>
          <w:szCs w:val="21"/>
          <w14:textFill>
            <w14:solidFill>
              <w14:schemeClr w14:val="tx1"/>
            </w14:solidFill>
          </w14:textFill>
        </w:rPr>
        <w:t>52.6.2供应商提交的质疑材料不符合质疑条件的，视情况处理：</w:t>
      </w:r>
    </w:p>
    <w:p w14:paraId="57DF7FB7">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供应商提交的质疑材料不全或者未按要求签字或者盖章的，</w:t>
      </w:r>
      <w:r>
        <w:rPr>
          <w:rFonts w:hint="eastAsia" w:ascii="宋体" w:hAnsi="宋体" w:eastAsia="宋体"/>
          <w:color w:val="000000" w:themeColor="text1"/>
          <w:szCs w:val="21"/>
          <w14:textFill>
            <w14:solidFill>
              <w14:schemeClr w14:val="tx1"/>
            </w14:solidFill>
          </w14:textFill>
        </w:rPr>
        <w:t>招标机构</w:t>
      </w:r>
      <w:r>
        <w:rPr>
          <w:rFonts w:hint="eastAsia" w:ascii="宋体" w:hAnsi="宋体"/>
          <w:color w:val="000000" w:themeColor="text1"/>
          <w:szCs w:val="21"/>
          <w14:textFill>
            <w14:solidFill>
              <w14:schemeClr w14:val="tx1"/>
            </w14:solidFill>
          </w14:textFill>
        </w:rPr>
        <w:t>应当一次性告知供应商需补正的内容和补正期限。</w:t>
      </w:r>
    </w:p>
    <w:p w14:paraId="28ECE096">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供应商提交的质疑存在下列情形之一的，不予受理：</w:t>
      </w:r>
    </w:p>
    <w:p w14:paraId="78568904">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（1）质疑主体不满足要求的；</w:t>
      </w:r>
    </w:p>
    <w:p w14:paraId="51B9ACA2">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（2）供应商自身权益未受到损害的；</w:t>
      </w:r>
    </w:p>
    <w:p w14:paraId="3802FC48">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（3）供应商未在法定质疑期限内提出质疑的；</w:t>
      </w:r>
    </w:p>
    <w:p w14:paraId="60FBA390">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（4）质疑材料不全或者未按要求签字或者盖章的情况下，要求补正后，逾期未补正或者补正后仍不符合规定的；</w:t>
      </w:r>
    </w:p>
    <w:p w14:paraId="488380AE">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（5）其他不符合受理条件情形的。</w:t>
      </w:r>
    </w:p>
    <w:p w14:paraId="2E9A61FD">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质疑事项不予受理的，招标机构应当向供应商出具不符合质疑条件告知书。</w:t>
      </w:r>
    </w:p>
    <w:p w14:paraId="6B42A56A">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52.7质疑答复时限</w:t>
      </w:r>
    </w:p>
    <w:p w14:paraId="416C46C1">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自收文之日起七个工作日内。</w:t>
      </w:r>
    </w:p>
    <w:p w14:paraId="6D517152">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52.8投诉</w:t>
      </w:r>
    </w:p>
    <w:p w14:paraId="26A03BE0">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对质疑答复不满意或者未在规定时间内答复的，提出质疑的供应商可以在答复期满后15个工作日内向同级财政部门投诉。</w:t>
      </w:r>
    </w:p>
    <w:p w14:paraId="36A007C4">
      <w:pPr>
        <w:ind w:firstLine="480" w:firstLineChars="200"/>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 xml:space="preserve">53. 质疑后续处理   </w:t>
      </w:r>
    </w:p>
    <w:p w14:paraId="6FF8E4B5">
      <w:pPr>
        <w:ind w:firstLine="48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53.1供应商质疑不成立，或者成立但未对中标、成交结果构成影响的，继续开展采购活动。</w:t>
      </w:r>
    </w:p>
    <w:p w14:paraId="423702C1">
      <w:pPr>
        <w:ind w:firstLine="480" w:firstLineChars="200"/>
        <w:rPr>
          <w:rFonts w:hint="eastAsia" w:ascii="宋体" w:hAnsi="宋体" w:eastAsia="宋体" w:cs="宋体"/>
        </w:rPr>
      </w:pPr>
      <w:r>
        <w:rPr>
          <w:rFonts w:hint="eastAsia" w:ascii="宋体" w:hAnsi="宋体"/>
          <w:color w:val="000000" w:themeColor="text1"/>
          <w:szCs w:val="21"/>
          <w14:textFill>
            <w14:solidFill>
              <w14:schemeClr w14:val="tx1"/>
            </w14:solidFill>
          </w14:textFill>
        </w:rPr>
        <w:t>53.2供</w:t>
      </w:r>
      <w:r>
        <w:rPr>
          <w:rFonts w:hint="eastAsia" w:ascii="宋体" w:hAnsi="宋体" w:eastAsia="宋体" w:cs="宋体"/>
        </w:rPr>
        <w:t>应商质疑成立且影响或者可能影响中标、成交结果的，按照下列情况处理：（</w:t>
      </w:r>
      <w:r>
        <w:rPr>
          <w:rFonts w:hint="eastAsia"/>
        </w:rPr>
        <w:t>1</w:t>
      </w:r>
      <w:r>
        <w:rPr>
          <w:rFonts w:hint="eastAsia" w:ascii="宋体" w:hAnsi="宋体" w:eastAsia="宋体" w:cs="宋体"/>
        </w:rPr>
        <w:t>）对采购文件提出的质疑，依法通过澄清或者修改可以继续开展采购活动的，澄清或者修改采购文件后继续开展采购活动；否则应当修改采购文件后重新开展采购活动。（</w:t>
      </w:r>
      <w:r>
        <w:rPr>
          <w:rFonts w:hint="eastAsia"/>
        </w:rPr>
        <w:t>2</w:t>
      </w:r>
      <w:r>
        <w:rPr>
          <w:rFonts w:hint="eastAsia" w:ascii="宋体" w:hAnsi="宋体" w:eastAsia="宋体" w:cs="宋体"/>
        </w:rPr>
        <w:t>）对采购过程、中标或者成交结果提出的质疑，如果合格供应商符合法定数量，依法从合格的中标或者成交候选人中另行确定中标、成交供应商；如果合格供应商不符合法定数量，应当重新开展采购活动。</w:t>
      </w:r>
    </w:p>
    <w:p w14:paraId="543E6710">
      <w:pPr>
        <w:ind w:firstLine="480" w:firstLineChars="200"/>
        <w:rPr>
          <w:rFonts w:hint="eastAsia" w:ascii="宋体" w:hAnsi="宋体" w:eastAsia="宋体"/>
          <w:color w:val="FF0000"/>
          <w:szCs w:val="21"/>
          <w:lang w:val="en-US" w:eastAsia="zh-CN"/>
        </w:rPr>
      </w:pPr>
      <w:r>
        <w:rPr>
          <w:rFonts w:hint="eastAsia" w:ascii="宋体" w:hAnsi="宋体" w:eastAsia="宋体"/>
          <w:color w:val="FF0000"/>
          <w:szCs w:val="21"/>
          <w:lang w:val="en-US" w:eastAsia="zh-CN"/>
        </w:rPr>
        <w:t>54违约责任</w:t>
      </w:r>
    </w:p>
    <w:p w14:paraId="75211318">
      <w:pPr>
        <w:ind w:firstLine="480" w:firstLineChars="200"/>
        <w:rPr>
          <w:rFonts w:hint="eastAsia" w:ascii="宋体" w:hAnsi="宋体" w:eastAsia="宋体"/>
          <w:color w:val="FF0000"/>
          <w:szCs w:val="21"/>
          <w:lang w:val="en-US" w:eastAsia="zh-CN"/>
        </w:rPr>
      </w:pPr>
      <w:r>
        <w:rPr>
          <w:rFonts w:hint="eastAsia" w:ascii="宋体" w:hAnsi="宋体" w:eastAsia="宋体"/>
          <w:color w:val="FF0000"/>
          <w:szCs w:val="21"/>
          <w:lang w:val="en-US" w:eastAsia="zh-CN"/>
        </w:rPr>
        <w:t>54.1供应商若在政府采购活动存在下列违法行为，给采购人、采购代理机造成损失的，应当承担赔偿责任。</w:t>
      </w:r>
    </w:p>
    <w:p w14:paraId="7CB7F9C6">
      <w:pPr>
        <w:pStyle w:val="6"/>
        <w:rPr>
          <w:rFonts w:hint="default"/>
          <w:color w:val="FF0000"/>
          <w:lang w:val="en-US" w:eastAsia="zh-CN"/>
        </w:rPr>
      </w:pPr>
      <w:r>
        <w:rPr>
          <w:rFonts w:hint="default"/>
          <w:color w:val="FF0000"/>
          <w:lang w:val="en-US" w:eastAsia="zh-CN"/>
        </w:rPr>
        <w:t>（</w:t>
      </w:r>
      <w:r>
        <w:rPr>
          <w:rFonts w:hint="eastAsia"/>
          <w:color w:val="FF0000"/>
          <w:lang w:val="en-US" w:eastAsia="zh-CN"/>
        </w:rPr>
        <w:t>1</w:t>
      </w:r>
      <w:r>
        <w:rPr>
          <w:rFonts w:hint="default"/>
          <w:color w:val="FF0000"/>
          <w:lang w:val="en-US" w:eastAsia="zh-CN"/>
        </w:rPr>
        <w:t>）</w:t>
      </w:r>
      <w:r>
        <w:rPr>
          <w:rFonts w:hint="eastAsia"/>
          <w:color w:val="FF0000"/>
          <w:lang w:val="en-US" w:eastAsia="zh-CN"/>
        </w:rPr>
        <w:t>未</w:t>
      </w:r>
      <w:r>
        <w:rPr>
          <w:rFonts w:hint="default"/>
          <w:color w:val="FF0000"/>
          <w:lang w:val="en-US" w:eastAsia="zh-CN"/>
        </w:rPr>
        <w:t>按照规定签订、履行采购合同</w:t>
      </w:r>
      <w:r>
        <w:rPr>
          <w:rFonts w:hint="eastAsia"/>
          <w:color w:val="FF0000"/>
          <w:lang w:val="en-US" w:eastAsia="zh-CN"/>
        </w:rPr>
        <w:t>；</w:t>
      </w:r>
    </w:p>
    <w:p w14:paraId="48EC9E6F">
      <w:pPr>
        <w:pStyle w:val="6"/>
        <w:rPr>
          <w:rFonts w:hint="default"/>
          <w:color w:val="FF0000"/>
          <w:lang w:val="en-US" w:eastAsia="zh-CN"/>
        </w:rPr>
      </w:pPr>
      <w:r>
        <w:rPr>
          <w:rFonts w:hint="eastAsia"/>
          <w:color w:val="FF0000"/>
          <w:lang w:val="en-US" w:eastAsia="zh-CN"/>
        </w:rPr>
        <w:t>（2）</w:t>
      </w:r>
      <w:r>
        <w:rPr>
          <w:rFonts w:hint="default"/>
          <w:color w:val="FF0000"/>
          <w:lang w:val="en-US" w:eastAsia="zh-CN"/>
        </w:rPr>
        <w:t>提供虚假材料谋取中标、成交的；</w:t>
      </w:r>
    </w:p>
    <w:p w14:paraId="13E58065">
      <w:pPr>
        <w:pStyle w:val="6"/>
        <w:rPr>
          <w:rFonts w:hint="default"/>
          <w:color w:val="FF0000"/>
          <w:lang w:val="en-US" w:eastAsia="zh-CN"/>
        </w:rPr>
      </w:pPr>
      <w:r>
        <w:rPr>
          <w:rFonts w:hint="default"/>
          <w:color w:val="FF0000"/>
          <w:lang w:val="en-US" w:eastAsia="zh-CN"/>
        </w:rPr>
        <w:t>（</w:t>
      </w:r>
      <w:r>
        <w:rPr>
          <w:rFonts w:hint="eastAsia"/>
          <w:color w:val="FF0000"/>
          <w:lang w:val="en-US" w:eastAsia="zh-CN"/>
        </w:rPr>
        <w:t>3</w:t>
      </w:r>
      <w:r>
        <w:rPr>
          <w:rFonts w:hint="default"/>
          <w:color w:val="FF0000"/>
          <w:lang w:val="en-US" w:eastAsia="zh-CN"/>
        </w:rPr>
        <w:t>）采取不正当手段诋毁、排挤其他供应商的；</w:t>
      </w:r>
    </w:p>
    <w:p w14:paraId="567809AE">
      <w:pPr>
        <w:pStyle w:val="6"/>
        <w:rPr>
          <w:rFonts w:hint="default"/>
          <w:color w:val="FF0000"/>
          <w:lang w:val="en-US" w:eastAsia="zh-CN"/>
        </w:rPr>
      </w:pPr>
      <w:r>
        <w:rPr>
          <w:rFonts w:hint="default"/>
          <w:color w:val="FF0000"/>
          <w:lang w:val="en-US" w:eastAsia="zh-CN"/>
        </w:rPr>
        <w:t>（</w:t>
      </w:r>
      <w:r>
        <w:rPr>
          <w:rFonts w:hint="eastAsia"/>
          <w:color w:val="FF0000"/>
          <w:lang w:val="en-US" w:eastAsia="zh-CN"/>
        </w:rPr>
        <w:t>4</w:t>
      </w:r>
      <w:r>
        <w:rPr>
          <w:rFonts w:hint="default"/>
          <w:color w:val="FF0000"/>
          <w:lang w:val="en-US" w:eastAsia="zh-CN"/>
        </w:rPr>
        <w:t>）与其他供应商恶意串通的；</w:t>
      </w:r>
    </w:p>
    <w:p w14:paraId="3D522506">
      <w:pPr>
        <w:pStyle w:val="6"/>
        <w:rPr>
          <w:rFonts w:hint="eastAsia"/>
          <w:color w:val="FF0000"/>
          <w:lang w:val="en-US" w:eastAsia="zh-CN"/>
        </w:rPr>
      </w:pPr>
      <w:r>
        <w:rPr>
          <w:rFonts w:hint="default"/>
          <w:color w:val="FF0000"/>
          <w:lang w:val="en-US" w:eastAsia="zh-CN"/>
        </w:rPr>
        <w:t>（</w:t>
      </w:r>
      <w:r>
        <w:rPr>
          <w:rFonts w:hint="eastAsia"/>
          <w:color w:val="FF0000"/>
          <w:lang w:val="en-US" w:eastAsia="zh-CN"/>
        </w:rPr>
        <w:t>5</w:t>
      </w:r>
      <w:r>
        <w:rPr>
          <w:rFonts w:hint="default"/>
          <w:color w:val="FF0000"/>
          <w:lang w:val="en-US" w:eastAsia="zh-CN"/>
        </w:rPr>
        <w:t>）拒绝有关部门监督检查或者提供虚假情况的</w:t>
      </w:r>
      <w:r>
        <w:rPr>
          <w:rFonts w:hint="eastAsia"/>
          <w:color w:val="FF0000"/>
          <w:lang w:val="en-US" w:eastAsia="zh-CN"/>
        </w:rPr>
        <w:t>；</w:t>
      </w:r>
    </w:p>
    <w:p w14:paraId="30705CDB">
      <w:pPr>
        <w:pStyle w:val="6"/>
        <w:rPr>
          <w:rFonts w:hint="default"/>
          <w:color w:val="FF0000"/>
          <w:lang w:val="en-US" w:eastAsia="zh-CN"/>
        </w:rPr>
      </w:pPr>
      <w:r>
        <w:rPr>
          <w:rFonts w:hint="eastAsia"/>
          <w:color w:val="FF0000"/>
          <w:lang w:val="en-US" w:eastAsia="zh-CN"/>
        </w:rPr>
        <w:t>（6）经主管部门认定的其他违法采购相关法律法规的行为。</w:t>
      </w:r>
    </w:p>
    <w:p w14:paraId="3E9E1A92">
      <w:pPr>
        <w:ind w:firstLine="480" w:firstLineChars="200"/>
        <w:rPr>
          <w:rFonts w:hint="eastAsia" w:ascii="宋体" w:hAnsi="宋体" w:eastAsia="宋体"/>
          <w:color w:val="FF0000"/>
          <w:szCs w:val="21"/>
          <w:lang w:val="en-US" w:eastAsia="zh-CN"/>
        </w:rPr>
      </w:pPr>
      <w:r>
        <w:rPr>
          <w:rFonts w:hint="eastAsia" w:ascii="宋体" w:hAnsi="宋体" w:eastAsia="宋体"/>
          <w:color w:val="FF0000"/>
          <w:szCs w:val="21"/>
          <w:lang w:val="en-US" w:eastAsia="zh-CN"/>
        </w:rPr>
        <w:t>54.2采购人、采购代理机构有权对违法供应商造成的损失进行追偿，可优先在已缴纳的代理服务费中进行抵扣，已缴纳的代理服务费不足以赔偿采购人、采购代理机构损失的，采购人、采购代理机构有权向人民法院提起诉讼。</w:t>
      </w:r>
    </w:p>
    <w:p w14:paraId="27AFCA59">
      <w:pPr>
        <w:pStyle w:val="6"/>
      </w:pPr>
    </w:p>
    <w:p w14:paraId="5CB4BE71">
      <w:pPr>
        <w:jc w:val="center"/>
      </w:pPr>
      <w:r>
        <w:rPr>
          <w:color w:val="000000" w:themeColor="text1"/>
          <w14:textFill>
            <w14:solidFill>
              <w14:schemeClr w14:val="tx1"/>
            </w14:solidFill>
          </w14:textFill>
        </w:rPr>
        <w:t>---- END ----</w:t>
      </w:r>
      <w:bookmarkEnd w:id="100"/>
    </w:p>
    <w:p w14:paraId="36ACBB82"/>
    <w:sectPr>
      <w:footerReference r:id="rId4" w:type="default"/>
      <w:type w:val="continuous"/>
      <w:pgSz w:w="11906" w:h="16838"/>
      <w:pgMar w:top="1440" w:right="1800" w:bottom="1440" w:left="1800" w:header="720" w:footer="720"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F7A0A3A-6601-4A58-B8E0-4A6AF50CEDD8}"/>
  </w:font>
  <w:font w:name="黑体">
    <w:panose1 w:val="02010609060101010101"/>
    <w:charset w:val="86"/>
    <w:family w:val="auto"/>
    <w:pitch w:val="default"/>
    <w:sig w:usb0="800002BF" w:usb1="38CF7CFA" w:usb2="00000016" w:usb3="00000000" w:csb0="00040001" w:csb1="00000000"/>
    <w:embedRegular r:id="rId2" w:fontKey="{520CFF43-057F-4E9B-8EA2-446CF59578D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楷体">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embedRegular r:id="rId3" w:fontKey="{7C3AF99E-CC34-4948-862E-FACF7A4277EF}"/>
  </w:font>
  <w:font w:name="仿宋">
    <w:panose1 w:val="02010609060101010101"/>
    <w:charset w:val="86"/>
    <w:family w:val="modern"/>
    <w:pitch w:val="default"/>
    <w:sig w:usb0="800002BF" w:usb1="38CF7CFA" w:usb2="00000016" w:usb3="00000000" w:csb0="00040001" w:csb1="00000000"/>
    <w:embedRegular r:id="rId4" w:fontKey="{4496AD1D-1C54-4F6B-B542-610022966668}"/>
  </w:font>
  <w:font w:name="Wingdings 2">
    <w:altName w:val="Wingdings"/>
    <w:panose1 w:val="05020102010507070707"/>
    <w:charset w:val="02"/>
    <w:family w:val="roman"/>
    <w:pitch w:val="default"/>
    <w:sig w:usb0="00000000" w:usb1="00000000" w:usb2="00000000" w:usb3="00000000" w:csb0="80000000" w:csb1="00000000"/>
    <w:embedRegular r:id="rId5" w:fontKey="{FF6B3DF4-DF04-4F92-AFA9-45EA71416155}"/>
  </w:font>
  <w:font w:name="ˎ̥">
    <w:altName w:val="Segoe Print"/>
    <w:panose1 w:val="00000000000000000000"/>
    <w:charset w:val="00"/>
    <w:family w:val="roman"/>
    <w:pitch w:val="default"/>
    <w:sig w:usb0="00000000" w:usb1="00000000" w:usb2="00000000" w:usb3="00000000" w:csb0="00000000" w:csb1="00000000"/>
    <w:embedRegular r:id="rId6" w:fontKey="{F2635974-8CE6-4F09-8C23-47DFE4298D76}"/>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4974C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3540A633">
          <w:pPr>
            <w:pStyle w:val="12"/>
            <w:widowControl w:val="0"/>
            <w:rPr>
              <w:rFonts w:hint="eastAsia"/>
              <w:sz w:val="28"/>
              <w:szCs w:val="28"/>
              <w:vertAlign w:val="baseline"/>
              <w:lang w:eastAsia="zh-CN"/>
            </w:rPr>
          </w:pPr>
          <w:r>
            <w:rPr>
              <w:rFonts w:hint="eastAsia"/>
              <w:sz w:val="28"/>
              <w:szCs w:val="28"/>
              <w:lang w:eastAsia="zh-CN"/>
            </w:rPr>
            <w:t>编制：</w:t>
          </w:r>
          <w:r>
            <w:rPr>
              <w:rFonts w:hint="eastAsia"/>
              <w:sz w:val="28"/>
              <w:szCs w:val="28"/>
              <w:lang w:val="en-US" w:eastAsia="zh-CN"/>
            </w:rPr>
            <w:t xml:space="preserve"> 李恒慧</w:t>
          </w:r>
        </w:p>
      </w:tc>
      <w:tc>
        <w:tcPr>
          <w:tcW w:w="2841" w:type="dxa"/>
        </w:tcPr>
        <w:p w14:paraId="6EE1FE80">
          <w:pPr>
            <w:pStyle w:val="12"/>
            <w:widowControl w:val="0"/>
            <w:rPr>
              <w:rFonts w:hint="eastAsia"/>
              <w:sz w:val="28"/>
              <w:szCs w:val="28"/>
              <w:vertAlign w:val="baseline"/>
              <w:lang w:eastAsia="zh-CN"/>
            </w:rPr>
          </w:pPr>
          <w:r>
            <w:rPr>
              <w:rFonts w:hint="eastAsia"/>
              <w:sz w:val="28"/>
              <w:szCs w:val="28"/>
              <w:lang w:val="en-US" w:eastAsia="zh-CN"/>
            </w:rPr>
            <w:t xml:space="preserve"> 复核： 张挺</w:t>
          </w:r>
        </w:p>
      </w:tc>
      <w:tc>
        <w:tcPr>
          <w:tcW w:w="2841" w:type="dxa"/>
        </w:tcPr>
        <w:p w14:paraId="6A2EBED3">
          <w:pPr>
            <w:pStyle w:val="12"/>
            <w:widowControl w:val="0"/>
            <w:rPr>
              <w:rFonts w:hint="eastAsia"/>
              <w:sz w:val="28"/>
              <w:szCs w:val="28"/>
              <w:vertAlign w:val="baseline"/>
              <w:lang w:eastAsia="zh-CN"/>
            </w:rPr>
          </w:pPr>
          <w:r>
            <w:rPr>
              <w:rFonts w:hint="eastAsia"/>
              <w:sz w:val="28"/>
              <w:szCs w:val="28"/>
              <w:lang w:val="en-US" w:eastAsia="zh-CN"/>
            </w:rPr>
            <w:t>审核：曾真标</w:t>
          </w:r>
        </w:p>
      </w:tc>
    </w:tr>
  </w:tbl>
  <w:p w14:paraId="09F39E1E">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1B3F4">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F50866">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DF50866">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F7EA11"/>
    <w:multiLevelType w:val="singleLevel"/>
    <w:tmpl w:val="BCF7EA11"/>
    <w:lvl w:ilvl="0" w:tentative="0">
      <w:start w:val="1"/>
      <w:numFmt w:val="chineseCounting"/>
      <w:suff w:val="nothing"/>
      <w:lvlText w:val="（%1）"/>
      <w:lvlJc w:val="left"/>
      <w:rPr>
        <w:rFonts w:hint="eastAsia"/>
      </w:rPr>
    </w:lvl>
  </w:abstractNum>
  <w:abstractNum w:abstractNumId="1">
    <w:nsid w:val="00000004"/>
    <w:multiLevelType w:val="multilevel"/>
    <w:tmpl w:val="00000004"/>
    <w:lvl w:ilvl="0" w:tentative="0">
      <w:start w:val="1"/>
      <w:numFmt w:val="japaneseCounting"/>
      <w:lvlText w:val="第%1章"/>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A0YzFmMDE1ZTIyYjFjZmVjNzA2YTBiYTRmNDVkYzEifQ=="/>
  </w:docVars>
  <w:rsids>
    <w:rsidRoot w:val="00000000"/>
    <w:rsid w:val="00633325"/>
    <w:rsid w:val="00B96C44"/>
    <w:rsid w:val="00F942E2"/>
    <w:rsid w:val="026673DD"/>
    <w:rsid w:val="037B2C82"/>
    <w:rsid w:val="04BA4D02"/>
    <w:rsid w:val="060327CF"/>
    <w:rsid w:val="061152F9"/>
    <w:rsid w:val="0AD56800"/>
    <w:rsid w:val="0B856A33"/>
    <w:rsid w:val="0C7F0980"/>
    <w:rsid w:val="0D9D1464"/>
    <w:rsid w:val="0DDD78CC"/>
    <w:rsid w:val="0DE11D81"/>
    <w:rsid w:val="0DF577ED"/>
    <w:rsid w:val="0F36499C"/>
    <w:rsid w:val="0FB07C1F"/>
    <w:rsid w:val="112C6522"/>
    <w:rsid w:val="11E46830"/>
    <w:rsid w:val="1343435B"/>
    <w:rsid w:val="13D70930"/>
    <w:rsid w:val="13EE4FAF"/>
    <w:rsid w:val="152C512F"/>
    <w:rsid w:val="1545782E"/>
    <w:rsid w:val="1682220C"/>
    <w:rsid w:val="16D84B75"/>
    <w:rsid w:val="177434A8"/>
    <w:rsid w:val="183A7700"/>
    <w:rsid w:val="1A361D35"/>
    <w:rsid w:val="1B3C46ED"/>
    <w:rsid w:val="1B43798F"/>
    <w:rsid w:val="1B50482E"/>
    <w:rsid w:val="1DE121E6"/>
    <w:rsid w:val="1EEB57A3"/>
    <w:rsid w:val="1F5C0633"/>
    <w:rsid w:val="1F6368EB"/>
    <w:rsid w:val="1F9217FE"/>
    <w:rsid w:val="20BF3E64"/>
    <w:rsid w:val="211C3B31"/>
    <w:rsid w:val="21771570"/>
    <w:rsid w:val="21B94DBB"/>
    <w:rsid w:val="22C70588"/>
    <w:rsid w:val="235F29CF"/>
    <w:rsid w:val="23FE6369"/>
    <w:rsid w:val="2597179C"/>
    <w:rsid w:val="25EB20F3"/>
    <w:rsid w:val="26511AD7"/>
    <w:rsid w:val="26D11145"/>
    <w:rsid w:val="278414D2"/>
    <w:rsid w:val="27FA13D0"/>
    <w:rsid w:val="2AA61238"/>
    <w:rsid w:val="2AD215C5"/>
    <w:rsid w:val="2ADF4FA0"/>
    <w:rsid w:val="2BF74188"/>
    <w:rsid w:val="2CF250E1"/>
    <w:rsid w:val="2D834DF9"/>
    <w:rsid w:val="2EC975CA"/>
    <w:rsid w:val="2F076A67"/>
    <w:rsid w:val="2FAA1F7E"/>
    <w:rsid w:val="2FB76FDC"/>
    <w:rsid w:val="2FE50CE4"/>
    <w:rsid w:val="30002840"/>
    <w:rsid w:val="30A57126"/>
    <w:rsid w:val="321E678F"/>
    <w:rsid w:val="32DC12ED"/>
    <w:rsid w:val="34AB115F"/>
    <w:rsid w:val="355462D6"/>
    <w:rsid w:val="35F504FD"/>
    <w:rsid w:val="362A0508"/>
    <w:rsid w:val="362B66CF"/>
    <w:rsid w:val="37282F06"/>
    <w:rsid w:val="38043F1B"/>
    <w:rsid w:val="385A330F"/>
    <w:rsid w:val="389F3402"/>
    <w:rsid w:val="38A55FF8"/>
    <w:rsid w:val="3A193B4A"/>
    <w:rsid w:val="3AEA64B7"/>
    <w:rsid w:val="3B4953BB"/>
    <w:rsid w:val="3B572A86"/>
    <w:rsid w:val="3BCC5093"/>
    <w:rsid w:val="3C11319F"/>
    <w:rsid w:val="3C5F0860"/>
    <w:rsid w:val="3CED2405"/>
    <w:rsid w:val="3D1E351A"/>
    <w:rsid w:val="3D5C6BB7"/>
    <w:rsid w:val="3E921340"/>
    <w:rsid w:val="41466BF8"/>
    <w:rsid w:val="41F93F5B"/>
    <w:rsid w:val="420460B1"/>
    <w:rsid w:val="420A0825"/>
    <w:rsid w:val="437E6286"/>
    <w:rsid w:val="442F13DF"/>
    <w:rsid w:val="44B946CE"/>
    <w:rsid w:val="457A205B"/>
    <w:rsid w:val="46470F67"/>
    <w:rsid w:val="46AB4245"/>
    <w:rsid w:val="46EC3316"/>
    <w:rsid w:val="46FF153C"/>
    <w:rsid w:val="48494E29"/>
    <w:rsid w:val="48886652"/>
    <w:rsid w:val="48B95124"/>
    <w:rsid w:val="48EC61D3"/>
    <w:rsid w:val="48ED127B"/>
    <w:rsid w:val="49287E75"/>
    <w:rsid w:val="493A767E"/>
    <w:rsid w:val="49DC7913"/>
    <w:rsid w:val="4CA06BB3"/>
    <w:rsid w:val="4CCC7284"/>
    <w:rsid w:val="4D470A71"/>
    <w:rsid w:val="4E936D6F"/>
    <w:rsid w:val="4E9B418C"/>
    <w:rsid w:val="4F914B29"/>
    <w:rsid w:val="50507FFF"/>
    <w:rsid w:val="50812BDB"/>
    <w:rsid w:val="511B6F73"/>
    <w:rsid w:val="52A83245"/>
    <w:rsid w:val="535C77D7"/>
    <w:rsid w:val="53C02A67"/>
    <w:rsid w:val="543C0C58"/>
    <w:rsid w:val="554F5D9E"/>
    <w:rsid w:val="55705126"/>
    <w:rsid w:val="557627DA"/>
    <w:rsid w:val="55EF2FA9"/>
    <w:rsid w:val="573B690D"/>
    <w:rsid w:val="5B1B5FAE"/>
    <w:rsid w:val="5BED62A9"/>
    <w:rsid w:val="5C413F10"/>
    <w:rsid w:val="5C61311E"/>
    <w:rsid w:val="5CB74F52"/>
    <w:rsid w:val="5CC97046"/>
    <w:rsid w:val="5D2F4993"/>
    <w:rsid w:val="5D6F0C9E"/>
    <w:rsid w:val="603832A2"/>
    <w:rsid w:val="60867BFE"/>
    <w:rsid w:val="60B6404A"/>
    <w:rsid w:val="60B945D3"/>
    <w:rsid w:val="60F6595A"/>
    <w:rsid w:val="61113278"/>
    <w:rsid w:val="621A6328"/>
    <w:rsid w:val="624A76B8"/>
    <w:rsid w:val="626C66A6"/>
    <w:rsid w:val="637644DD"/>
    <w:rsid w:val="644675FE"/>
    <w:rsid w:val="655820EC"/>
    <w:rsid w:val="6583539F"/>
    <w:rsid w:val="65BD7FF2"/>
    <w:rsid w:val="65D26585"/>
    <w:rsid w:val="662B2F3B"/>
    <w:rsid w:val="67C57F21"/>
    <w:rsid w:val="681748A7"/>
    <w:rsid w:val="68BE2865"/>
    <w:rsid w:val="69126A56"/>
    <w:rsid w:val="69E564CD"/>
    <w:rsid w:val="6A970731"/>
    <w:rsid w:val="6AF325B5"/>
    <w:rsid w:val="6C50049C"/>
    <w:rsid w:val="6C9D0FED"/>
    <w:rsid w:val="6CBF3A75"/>
    <w:rsid w:val="6D10521A"/>
    <w:rsid w:val="6D703A9E"/>
    <w:rsid w:val="6D774FB8"/>
    <w:rsid w:val="6D943EDD"/>
    <w:rsid w:val="6EA90247"/>
    <w:rsid w:val="6F291462"/>
    <w:rsid w:val="6FFD5156"/>
    <w:rsid w:val="70D73BE2"/>
    <w:rsid w:val="723864FB"/>
    <w:rsid w:val="724D0317"/>
    <w:rsid w:val="739911E9"/>
    <w:rsid w:val="740565DF"/>
    <w:rsid w:val="769C5088"/>
    <w:rsid w:val="785C7CED"/>
    <w:rsid w:val="786C6FE0"/>
    <w:rsid w:val="797B769E"/>
    <w:rsid w:val="79FB41D3"/>
    <w:rsid w:val="7AC64070"/>
    <w:rsid w:val="7B875677"/>
    <w:rsid w:val="7CFD7206"/>
    <w:rsid w:val="7D9D45CA"/>
    <w:rsid w:val="7DFD44B7"/>
    <w:rsid w:val="7EC601B8"/>
    <w:rsid w:val="7F261DDE"/>
    <w:rsid w:val="7F98457D"/>
    <w:rsid w:val="BFDD520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rPr>
  </w:style>
  <w:style w:type="paragraph" w:styleId="2">
    <w:name w:val="heading 1"/>
    <w:basedOn w:val="3"/>
    <w:next w:val="1"/>
    <w:link w:val="27"/>
    <w:qFormat/>
    <w:uiPriority w:val="0"/>
    <w:pPr>
      <w:spacing w:before="340" w:after="330" w:line="360" w:lineRule="auto"/>
      <w:jc w:val="center"/>
      <w:outlineLvl w:val="0"/>
    </w:pPr>
    <w:rPr>
      <w:rFonts w:eastAsia="黑体"/>
      <w:kern w:val="44"/>
      <w:szCs w:val="44"/>
    </w:rPr>
  </w:style>
  <w:style w:type="paragraph" w:styleId="5">
    <w:name w:val="heading 2"/>
    <w:basedOn w:val="3"/>
    <w:next w:val="4"/>
    <w:link w:val="28"/>
    <w:qFormat/>
    <w:uiPriority w:val="0"/>
    <w:pPr>
      <w:adjustRightInd w:val="0"/>
      <w:jc w:val="center"/>
      <w:textAlignment w:val="baseline"/>
      <w:outlineLvl w:val="1"/>
    </w:pPr>
    <w:rPr>
      <w:sz w:val="24"/>
      <w:szCs w:val="20"/>
    </w:rPr>
  </w:style>
  <w:style w:type="paragraph" w:styleId="3">
    <w:name w:val="heading 3"/>
    <w:basedOn w:val="4"/>
    <w:next w:val="1"/>
    <w:link w:val="26"/>
    <w:qFormat/>
    <w:uiPriority w:val="9"/>
    <w:pPr>
      <w:spacing w:before="260" w:after="260" w:line="240" w:lineRule="auto"/>
      <w:outlineLvl w:val="2"/>
    </w:pPr>
    <w:rPr>
      <w:rFonts w:ascii="宋体" w:hAnsi="宋体" w:eastAsia="宋体"/>
      <w:szCs w:val="32"/>
    </w:rPr>
  </w:style>
  <w:style w:type="paragraph" w:styleId="4">
    <w:name w:val="heading 4"/>
    <w:basedOn w:val="1"/>
    <w:next w:val="1"/>
    <w:link w:val="25"/>
    <w:qFormat/>
    <w:uiPriority w:val="9"/>
    <w:pPr>
      <w:keepNext/>
      <w:keepLines/>
      <w:spacing w:before="280" w:after="290" w:line="376" w:lineRule="auto"/>
      <w:outlineLvl w:val="3"/>
    </w:pPr>
    <w:rPr>
      <w:rFonts w:ascii="Arial" w:hAnsi="Arial" w:eastAsia="黑体"/>
      <w:b/>
      <w:bCs/>
      <w:sz w:val="28"/>
      <w:szCs w:val="28"/>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6">
    <w:name w:val="Normal Indent"/>
    <w:basedOn w:val="1"/>
    <w:next w:val="7"/>
    <w:link w:val="24"/>
    <w:qFormat/>
    <w:uiPriority w:val="0"/>
    <w:pPr>
      <w:ind w:firstLine="420"/>
    </w:pPr>
    <w:rPr>
      <w:szCs w:val="20"/>
    </w:rPr>
  </w:style>
  <w:style w:type="paragraph" w:styleId="7">
    <w:name w:val="Body Text"/>
    <w:basedOn w:val="1"/>
    <w:next w:val="8"/>
    <w:link w:val="30"/>
    <w:qFormat/>
    <w:uiPriority w:val="0"/>
    <w:pPr>
      <w:spacing w:line="360" w:lineRule="auto"/>
    </w:pPr>
    <w:rPr>
      <w:b/>
      <w:bCs/>
    </w:rPr>
  </w:style>
  <w:style w:type="paragraph" w:styleId="8">
    <w:name w:val="Body Text 2"/>
    <w:basedOn w:val="1"/>
    <w:qFormat/>
    <w:uiPriority w:val="0"/>
    <w:pPr>
      <w:spacing w:line="360" w:lineRule="auto"/>
    </w:pPr>
    <w:rPr>
      <w:sz w:val="24"/>
    </w:rPr>
  </w:style>
  <w:style w:type="paragraph" w:styleId="9">
    <w:name w:val="annotation text"/>
    <w:basedOn w:val="1"/>
    <w:link w:val="29"/>
    <w:unhideWhenUsed/>
    <w:qFormat/>
    <w:uiPriority w:val="0"/>
  </w:style>
  <w:style w:type="paragraph" w:styleId="10">
    <w:name w:val="Body Text Indent"/>
    <w:basedOn w:val="1"/>
    <w:qFormat/>
    <w:uiPriority w:val="99"/>
    <w:pPr>
      <w:spacing w:after="120"/>
      <w:ind w:left="420" w:leftChars="200"/>
    </w:pPr>
    <w:rPr>
      <w:rFonts w:ascii="Times New Roman" w:hAnsi="Times New Roman" w:eastAsia="宋体" w:cs="Times New Roman"/>
      <w:sz w:val="21"/>
    </w:rPr>
  </w:style>
  <w:style w:type="paragraph" w:styleId="11">
    <w:name w:val="Balloon Text"/>
    <w:basedOn w:val="1"/>
    <w:qFormat/>
    <w:uiPriority w:val="0"/>
    <w:rPr>
      <w:sz w:val="18"/>
      <w:szCs w:val="18"/>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Normal (Web)"/>
    <w:basedOn w:val="1"/>
    <w:link w:val="22"/>
    <w:qFormat/>
    <w:uiPriority w:val="99"/>
  </w:style>
  <w:style w:type="paragraph" w:styleId="15">
    <w:name w:val="Body Text First Indent 2"/>
    <w:basedOn w:val="10"/>
    <w:qFormat/>
    <w:uiPriority w:val="99"/>
    <w:pPr>
      <w:ind w:firstLine="420" w:firstLineChars="200"/>
    </w:p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basedOn w:val="18"/>
    <w:qFormat/>
    <w:uiPriority w:val="0"/>
    <w:rPr>
      <w:b/>
    </w:rPr>
  </w:style>
  <w:style w:type="character" w:styleId="20">
    <w:name w:val="Hyperlink"/>
    <w:qFormat/>
    <w:uiPriority w:val="99"/>
    <w:rPr>
      <w:color w:val="0000FF"/>
      <w:u w:val="single"/>
    </w:rPr>
  </w:style>
  <w:style w:type="paragraph" w:customStyle="1" w:styleId="2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22">
    <w:name w:val="普通(网站) Char"/>
    <w:link w:val="14"/>
    <w:qFormat/>
    <w:uiPriority w:val="0"/>
    <w:rPr>
      <w:kern w:val="2"/>
      <w:sz w:val="24"/>
      <w:szCs w:val="24"/>
    </w:rPr>
  </w:style>
  <w:style w:type="paragraph" w:customStyle="1" w:styleId="23">
    <w:name w:val="Table Paragraph"/>
    <w:basedOn w:val="1"/>
    <w:qFormat/>
    <w:uiPriority w:val="1"/>
    <w:rPr>
      <w:rFonts w:ascii="宋体" w:hAnsi="宋体" w:cs="宋体"/>
      <w:lang w:val="zh-CN" w:bidi="zh-CN"/>
    </w:rPr>
  </w:style>
  <w:style w:type="character" w:customStyle="1" w:styleId="24">
    <w:name w:val="正文缩进 Char"/>
    <w:link w:val="6"/>
    <w:qFormat/>
    <w:uiPriority w:val="0"/>
    <w:rPr>
      <w:rFonts w:eastAsia="宋体"/>
      <w:kern w:val="2"/>
      <w:sz w:val="21"/>
      <w:lang w:val="en-US" w:eastAsia="zh-CN" w:bidi="ar-SA"/>
    </w:rPr>
  </w:style>
  <w:style w:type="character" w:customStyle="1" w:styleId="25">
    <w:name w:val="标题 4 Char"/>
    <w:link w:val="4"/>
    <w:qFormat/>
    <w:uiPriority w:val="9"/>
    <w:rPr>
      <w:rFonts w:ascii="Arial" w:hAnsi="Arial" w:eastAsia="黑体"/>
      <w:b/>
      <w:bCs/>
      <w:kern w:val="2"/>
      <w:sz w:val="28"/>
      <w:szCs w:val="28"/>
      <w:lang w:val="en-US" w:eastAsia="zh-CN" w:bidi="ar-SA"/>
    </w:rPr>
  </w:style>
  <w:style w:type="character" w:customStyle="1" w:styleId="26">
    <w:name w:val="标题 3 Char1"/>
    <w:link w:val="3"/>
    <w:qFormat/>
    <w:uiPriority w:val="9"/>
    <w:rPr>
      <w:rFonts w:ascii="宋体" w:hAnsi="宋体" w:eastAsia="宋体"/>
      <w:b/>
      <w:bCs/>
      <w:kern w:val="2"/>
      <w:sz w:val="28"/>
      <w:szCs w:val="32"/>
      <w:lang w:val="en-US" w:eastAsia="zh-CN" w:bidi="ar-SA"/>
    </w:rPr>
  </w:style>
  <w:style w:type="character" w:customStyle="1" w:styleId="27">
    <w:name w:val="标题 1 Char"/>
    <w:link w:val="2"/>
    <w:qFormat/>
    <w:uiPriority w:val="0"/>
    <w:rPr>
      <w:rFonts w:ascii="宋体" w:hAnsi="宋体" w:eastAsia="黑体"/>
      <w:b/>
      <w:bCs/>
      <w:kern w:val="44"/>
      <w:sz w:val="28"/>
      <w:szCs w:val="44"/>
      <w:lang w:val="en-US" w:eastAsia="zh-CN" w:bidi="ar-SA"/>
    </w:rPr>
  </w:style>
  <w:style w:type="character" w:customStyle="1" w:styleId="28">
    <w:name w:val="标题 2 Char"/>
    <w:link w:val="5"/>
    <w:qFormat/>
    <w:uiPriority w:val="0"/>
    <w:rPr>
      <w:rFonts w:ascii="宋体" w:hAnsi="宋体" w:eastAsia="宋体"/>
      <w:b/>
      <w:bCs/>
      <w:sz w:val="24"/>
      <w:lang w:val="en-US" w:eastAsia="zh-CN" w:bidi="ar-SA"/>
    </w:rPr>
  </w:style>
  <w:style w:type="character" w:customStyle="1" w:styleId="29">
    <w:name w:val="批注文字 Char"/>
    <w:basedOn w:val="18"/>
    <w:link w:val="9"/>
    <w:qFormat/>
    <w:uiPriority w:val="0"/>
    <w:rPr>
      <w:sz w:val="24"/>
      <w:szCs w:val="24"/>
    </w:rPr>
  </w:style>
  <w:style w:type="character" w:customStyle="1" w:styleId="30">
    <w:name w:val="正文文本 Char"/>
    <w:link w:val="7"/>
    <w:qFormat/>
    <w:uiPriority w:val="0"/>
    <w:rPr>
      <w:rFonts w:eastAsia="宋体"/>
      <w:b/>
      <w:bCs/>
      <w:kern w:val="2"/>
      <w:sz w:val="24"/>
      <w:szCs w:val="24"/>
      <w:lang w:val="en-US" w:eastAsia="zh-CN" w:bidi="ar-SA"/>
    </w:rPr>
  </w:style>
  <w:style w:type="character" w:customStyle="1" w:styleId="31">
    <w:name w:val="标题 3 Char"/>
    <w:qFormat/>
    <w:uiPriority w:val="0"/>
    <w:rPr>
      <w:rFonts w:ascii="黑体" w:eastAsia="黑体"/>
      <w:bCs/>
      <w:sz w:val="30"/>
    </w:rPr>
  </w:style>
  <w:style w:type="paragraph" w:customStyle="1" w:styleId="32">
    <w:name w:val="正文1"/>
    <w:basedOn w:val="1"/>
    <w:qFormat/>
    <w:uiPriority w:val="0"/>
    <w:pPr>
      <w:tabs>
        <w:tab w:val="left" w:pos="4"/>
      </w:tabs>
    </w:pPr>
    <w:rPr>
      <w:rFonts w:ascii="宋体" w:hAnsi="宋体"/>
      <w:sz w:val="18"/>
    </w:rPr>
  </w:style>
  <w:style w:type="paragraph" w:customStyle="1" w:styleId="33">
    <w:name w:val="彩色列表 - 强调文字颜色 111"/>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Pages>82</Pages>
  <Words>7573</Words>
  <Characters>8310</Characters>
  <Lines>1</Lines>
  <Paragraphs>1</Paragraphs>
  <TotalTime>1</TotalTime>
  <ScaleCrop>false</ScaleCrop>
  <LinksUpToDate>false</LinksUpToDate>
  <CharactersWithSpaces>8334</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2022-05-20T16:55:00Z</dcterms:created>
  <dc:creator>lenovo01</dc:creator>
  <cp:lastModifiedBy>潘艺伟</cp:lastModifiedBy>
  <dcterms:modified xsi:type="dcterms:W3CDTF">2025-10-16T09:23:15Z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DFA07E53F6AF7DBC9E4EEF68A42D50B1</vt:lpwstr>
  </property>
  <property fmtid="{D5CDD505-2E9C-101B-9397-08002B2CF9AE}" pid="4" name="KSOTemplateDocerSaveRecord">
    <vt:lpwstr>eyJoZGlkIjoiYzYwZGIyMmQ2Mjc4MjNhM2VhY2ZkNDJkOThhMDJmYTQiLCJ1c2VySWQiOiIzMzQ5MzMwOTYifQ==</vt:lpwstr>
  </property>
</Properties>
</file>