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9765C">
      <w:pPr>
        <w:spacing w:before="100" w:beforeAutospacing="1" w:after="100" w:afterAutospacing="1"/>
        <w:rPr>
          <w:b/>
          <w:bCs/>
          <w:color w:val="000000" w:themeColor="text1"/>
          <w:sz w:val="40"/>
          <w:szCs w:val="40"/>
          <w14:textFill>
            <w14:solidFill>
              <w14:schemeClr w14:val="tx1"/>
            </w14:solidFill>
          </w14:textFill>
        </w:rPr>
      </w:pPr>
    </w:p>
    <w:p w14:paraId="21D7BBCD">
      <w:pPr>
        <w:jc w:val="right"/>
        <w:rPr>
          <w:rFonts w:ascii="宋体" w:hAnsi="宋体"/>
          <w:b/>
          <w:spacing w:val="20"/>
          <w:sz w:val="28"/>
        </w:rPr>
        <w:sectPr>
          <w:pgSz w:w="11906" w:h="16838"/>
          <w:pgMar w:top="1440" w:right="1800" w:bottom="1440" w:left="1800" w:header="720" w:footer="720" w:gutter="0"/>
          <w:cols w:space="720" w:num="1"/>
        </w:sectPr>
      </w:pPr>
    </w:p>
    <w:p w14:paraId="5561A4B6">
      <w:pPr>
        <w:jc w:val="right"/>
        <w:rPr>
          <w:rFonts w:ascii="黑体" w:hAnsi="Arial" w:eastAsia="黑体" w:cs="Arial"/>
          <w:sz w:val="52"/>
          <w:szCs w:val="52"/>
        </w:rPr>
      </w:pPr>
      <w:r>
        <w:rPr>
          <w:rFonts w:hint="eastAsia" w:ascii="宋体" w:hAnsi="宋体"/>
          <w:b/>
          <w:spacing w:val="20"/>
          <w:sz w:val="28"/>
        </w:rPr>
        <w:t>项目编号：</w:t>
      </w:r>
      <w:r>
        <w:rPr>
          <w:rFonts w:hint="eastAsia" w:ascii="宋体" w:hAnsi="宋体" w:eastAsia="宋体"/>
          <w:b/>
          <w:spacing w:val="20"/>
          <w:sz w:val="28"/>
          <w:lang w:eastAsia="zh-CN"/>
        </w:rPr>
        <w:t>SZDL2025001953</w:t>
      </w:r>
      <w:r>
        <w:rPr>
          <w:rFonts w:hint="eastAsia" w:ascii="宋体" w:hAnsi="宋体"/>
          <w:b/>
          <w:spacing w:val="20"/>
          <w:sz w:val="28"/>
        </w:rPr>
        <w:t xml:space="preserve"> </w:t>
      </w:r>
    </w:p>
    <w:p w14:paraId="1832E6C2">
      <w:pPr>
        <w:pStyle w:val="8"/>
      </w:pPr>
    </w:p>
    <w:p w14:paraId="783519DC">
      <w:pPr>
        <w:pStyle w:val="8"/>
      </w:pPr>
    </w:p>
    <w:p w14:paraId="1DC9E142">
      <w:pPr>
        <w:pStyle w:val="9"/>
      </w:pPr>
    </w:p>
    <w:p w14:paraId="12B9C014">
      <w:pPr>
        <w:pStyle w:val="9"/>
      </w:pPr>
      <w:bookmarkStart w:id="100" w:name="_GoBack"/>
      <w:bookmarkEnd w:id="100"/>
    </w:p>
    <w:p w14:paraId="68EE7AE0">
      <w:pPr>
        <w:jc w:val="center"/>
        <w:rPr>
          <w:rFonts w:ascii="黑体" w:hAnsi="Arial" w:eastAsia="黑体" w:cs="Arial"/>
          <w:sz w:val="52"/>
          <w:szCs w:val="52"/>
        </w:rPr>
      </w:pPr>
      <w:r>
        <w:rPr>
          <w:rFonts w:hint="eastAsia" w:ascii="黑体" w:hAnsi="Arial" w:eastAsia="黑体" w:cs="Arial"/>
          <w:sz w:val="52"/>
          <w:szCs w:val="52"/>
        </w:rPr>
        <w:t>【服务类】</w:t>
      </w:r>
    </w:p>
    <w:p w14:paraId="4B453646">
      <w:pPr>
        <w:jc w:val="center"/>
        <w:rPr>
          <w:rFonts w:ascii="黑体" w:eastAsia="黑体"/>
          <w:sz w:val="52"/>
          <w:szCs w:val="52"/>
        </w:rPr>
      </w:pPr>
      <w:r>
        <w:rPr>
          <w:rFonts w:hint="eastAsia" w:ascii="黑体" w:eastAsia="黑体"/>
          <w:sz w:val="52"/>
          <w:szCs w:val="52"/>
          <w:lang w:eastAsia="zh-CN"/>
        </w:rPr>
        <w:t>2026年深圳市公安局监所管理支队食材配送服务项目</w:t>
      </w:r>
    </w:p>
    <w:p w14:paraId="6FCCCD2F"/>
    <w:p w14:paraId="14EE8F31"/>
    <w:p w14:paraId="5443E336"/>
    <w:p w14:paraId="03FC6893"/>
    <w:p w14:paraId="5B43618D">
      <w:pPr>
        <w:widowControl w:val="0"/>
        <w:spacing w:after="96" w:afterLines="40"/>
        <w:jc w:val="center"/>
        <w:rPr>
          <w:rFonts w:ascii="黑体" w:eastAsia="黑体"/>
          <w:color w:val="000000" w:themeColor="text1"/>
          <w:sz w:val="72"/>
          <w:szCs w:val="52"/>
          <w14:textFill>
            <w14:solidFill>
              <w14:schemeClr w14:val="tx1"/>
            </w14:solidFill>
          </w14:textFill>
        </w:rPr>
      </w:pPr>
      <w:r>
        <w:rPr>
          <w:rFonts w:hint="eastAsia" w:ascii="黑体" w:eastAsia="黑体"/>
          <w:color w:val="000000" w:themeColor="text1"/>
          <w:sz w:val="72"/>
          <w:szCs w:val="52"/>
          <w14:textFill>
            <w14:solidFill>
              <w14:schemeClr w14:val="tx1"/>
            </w14:solidFill>
          </w14:textFill>
        </w:rPr>
        <w:t>招 标 文 件</w:t>
      </w:r>
    </w:p>
    <w:p w14:paraId="1E2C6EA6">
      <w:pPr>
        <w:pStyle w:val="9"/>
      </w:pPr>
    </w:p>
    <w:p w14:paraId="47767B3F">
      <w:pPr>
        <w:pStyle w:val="8"/>
      </w:pPr>
    </w:p>
    <w:p w14:paraId="086C29C8">
      <w:pPr>
        <w:pStyle w:val="9"/>
      </w:pPr>
    </w:p>
    <w:p w14:paraId="0A5A7EE2">
      <w:pPr>
        <w:pStyle w:val="9"/>
      </w:pPr>
    </w:p>
    <w:p w14:paraId="06AC8082">
      <w:pPr>
        <w:pStyle w:val="9"/>
      </w:pPr>
    </w:p>
    <w:p w14:paraId="66EC5BC1">
      <w:pPr>
        <w:pStyle w:val="9"/>
        <w:widowControl w:val="0"/>
        <w:jc w:val="center"/>
        <w:rPr>
          <w:rFonts w:eastAsia="宋体"/>
        </w:rPr>
      </w:pPr>
      <w:r>
        <w:rPr>
          <w:rFonts w:hint="eastAsia" w:ascii="Arial" w:hAnsi="Arial" w:eastAsia="仿宋_GB2312" w:cs="Arial"/>
          <w:sz w:val="44"/>
        </w:rPr>
        <w:drawing>
          <wp:inline distT="0" distB="0" distL="114300" distR="114300">
            <wp:extent cx="1210945" cy="1210945"/>
            <wp:effectExtent l="0" t="0" r="8255" b="8255"/>
            <wp:docPr id="3" name="图片 3" descr="b6bbc1c3021ac190a7f1ff08bab7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bbc1c3021ac190a7f1ff08bab79ef"/>
                    <pic:cNvPicPr>
                      <a:picLocks noChangeAspect="1"/>
                    </pic:cNvPicPr>
                  </pic:nvPicPr>
                  <pic:blipFill>
                    <a:blip r:embed="rId6"/>
                    <a:stretch>
                      <a:fillRect/>
                    </a:stretch>
                  </pic:blipFill>
                  <pic:spPr>
                    <a:xfrm>
                      <a:off x="0" y="0"/>
                      <a:ext cx="1210945" cy="1210945"/>
                    </a:xfrm>
                    <a:prstGeom prst="rect">
                      <a:avLst/>
                    </a:prstGeom>
                  </pic:spPr>
                </pic:pic>
              </a:graphicData>
            </a:graphic>
          </wp:inline>
        </w:drawing>
      </w:r>
    </w:p>
    <w:p w14:paraId="50555C92">
      <w:pPr>
        <w:pStyle w:val="9"/>
        <w:widowControl w:val="0"/>
        <w:rPr>
          <w:rFonts w:eastAsia="宋体"/>
        </w:rPr>
      </w:pPr>
    </w:p>
    <w:p w14:paraId="4230C3E1">
      <w:pPr>
        <w:pStyle w:val="9"/>
        <w:widowControl w:val="0"/>
        <w:rPr>
          <w:rFonts w:eastAsia="宋体"/>
        </w:rPr>
      </w:pPr>
    </w:p>
    <w:p w14:paraId="2DC031D7">
      <w:pPr>
        <w:snapToGrid w:val="0"/>
        <w:jc w:val="center"/>
        <w:rPr>
          <w:rFonts w:ascii="仿宋_GB2312" w:hAnsi="宋体" w:eastAsia="仿宋_GB2312" w:cs="Arial"/>
          <w:b/>
          <w:bCs/>
          <w:sz w:val="36"/>
          <w:szCs w:val="36"/>
        </w:rPr>
      </w:pPr>
      <w:r>
        <w:rPr>
          <w:rFonts w:hint="eastAsia" w:ascii="仿宋_GB2312" w:hAnsi="宋体" w:eastAsia="仿宋_GB2312" w:cs="Arial"/>
          <w:b/>
          <w:bCs/>
          <w:sz w:val="36"/>
          <w:szCs w:val="36"/>
        </w:rPr>
        <w:t>友和保险经纪有限公司</w:t>
      </w:r>
    </w:p>
    <w:p w14:paraId="4848168B">
      <w:pPr>
        <w:snapToGrid w:val="0"/>
        <w:jc w:val="center"/>
        <w:rPr>
          <w:rFonts w:ascii="仿宋_GB2312" w:hAnsi="宋体" w:eastAsia="仿宋_GB2312" w:cs="Arial"/>
          <w:b/>
          <w:bCs/>
          <w:sz w:val="21"/>
          <w:szCs w:val="21"/>
        </w:rPr>
      </w:pPr>
    </w:p>
    <w:p w14:paraId="2700C2F7">
      <w:pPr>
        <w:jc w:val="center"/>
      </w:pPr>
      <w:r>
        <w:rPr>
          <w:rFonts w:hint="eastAsia" w:ascii="仿宋_GB2312" w:hAnsi="Arial" w:eastAsia="仿宋_GB2312" w:cs="Arial"/>
          <w:b/>
          <w:bCs/>
          <w:sz w:val="36"/>
          <w:szCs w:val="36"/>
        </w:rPr>
        <w:t>二</w:t>
      </w:r>
      <w:r>
        <w:rPr>
          <w:rFonts w:hint="eastAsia" w:ascii="仿宋_GB2312" w:hAnsi="宋体" w:cs="宋体"/>
          <w:b/>
          <w:bCs/>
          <w:sz w:val="36"/>
          <w:szCs w:val="36"/>
        </w:rPr>
        <w:t>〇</w:t>
      </w:r>
      <w:r>
        <w:rPr>
          <w:rFonts w:hint="eastAsia" w:ascii="仿宋_GB2312" w:hAnsi="Arial" w:eastAsia="仿宋_GB2312" w:cs="Arial"/>
          <w:b/>
          <w:bCs/>
          <w:sz w:val="36"/>
          <w:szCs w:val="36"/>
        </w:rPr>
        <w:t>二</w:t>
      </w:r>
      <w:r>
        <w:rPr>
          <w:rFonts w:hint="eastAsia" w:ascii="仿宋_GB2312" w:hAnsi="Arial" w:eastAsia="仿宋_GB2312" w:cs="Arial"/>
          <w:b/>
          <w:bCs/>
          <w:sz w:val="36"/>
          <w:szCs w:val="36"/>
          <w:lang w:val="en-US" w:eastAsia="zh-CN"/>
        </w:rPr>
        <w:t>五</w:t>
      </w:r>
      <w:r>
        <w:rPr>
          <w:rFonts w:hint="eastAsia" w:ascii="仿宋_GB2312" w:hAnsi="Arial" w:eastAsia="仿宋_GB2312" w:cs="Arial"/>
          <w:b/>
          <w:bCs/>
          <w:sz w:val="36"/>
          <w:szCs w:val="36"/>
        </w:rPr>
        <w:t>年</w:t>
      </w:r>
      <w:r>
        <w:rPr>
          <w:rFonts w:hint="eastAsia" w:ascii="仿宋_GB2312" w:hAnsi="Arial" w:eastAsia="仿宋_GB2312" w:cs="Arial"/>
          <w:b/>
          <w:bCs/>
          <w:sz w:val="36"/>
          <w:szCs w:val="36"/>
          <w:lang w:val="en-US" w:eastAsia="zh-CN"/>
        </w:rPr>
        <w:t>十二</w:t>
      </w:r>
      <w:r>
        <w:rPr>
          <w:rFonts w:hint="eastAsia" w:ascii="仿宋_GB2312" w:hAnsi="Arial" w:eastAsia="仿宋_GB2312" w:cs="Arial"/>
          <w:b/>
          <w:bCs/>
          <w:sz w:val="36"/>
          <w:szCs w:val="36"/>
        </w:rPr>
        <w:t>月</w:t>
      </w:r>
    </w:p>
    <w:p w14:paraId="2F97C9F1">
      <w:pPr>
        <w:spacing w:beforeAutospacing="1" w:afterAutospacing="1"/>
        <w:jc w:val="center"/>
        <w:outlineLvl w:val="1"/>
        <w:rPr>
          <w:b/>
          <w:bCs/>
          <w:color w:val="000000" w:themeColor="text1"/>
          <w:sz w:val="40"/>
          <w:szCs w:val="40"/>
          <w14:textFill>
            <w14:solidFill>
              <w14:schemeClr w14:val="tx1"/>
            </w14:solidFill>
          </w14:textFill>
        </w:rPr>
      </w:pPr>
    </w:p>
    <w:p w14:paraId="435B254F">
      <w:pPr>
        <w:spacing w:beforeAutospacing="1" w:afterAutospacing="1"/>
        <w:jc w:val="center"/>
        <w:outlineLvl w:val="1"/>
        <w:rPr>
          <w:b/>
          <w:bCs/>
          <w:color w:val="000000" w:themeColor="text1"/>
          <w:sz w:val="40"/>
          <w:szCs w:val="40"/>
          <w14:textFill>
            <w14:solidFill>
              <w14:schemeClr w14:val="tx1"/>
            </w14:solidFill>
          </w14:textFill>
        </w:rPr>
        <w:sectPr>
          <w:footerReference r:id="rId3" w:type="default"/>
          <w:type w:val="continuous"/>
          <w:pgSz w:w="11906" w:h="16838"/>
          <w:pgMar w:top="1440" w:right="1800" w:bottom="1440" w:left="1800" w:header="720" w:footer="720" w:gutter="0"/>
          <w:cols w:space="720" w:num="1"/>
        </w:sectPr>
      </w:pPr>
    </w:p>
    <w:p w14:paraId="5794A4DD">
      <w:pPr>
        <w:spacing w:beforeAutospacing="1" w:afterAutospacing="1"/>
        <w:jc w:val="center"/>
        <w:outlineLvl w:val="1"/>
        <w:rPr>
          <w:rFonts w:ascii="黑体" w:hAnsi="宋体" w:eastAsia="黑体" w:cs="黑体"/>
          <w:color w:val="000000" w:themeColor="text1"/>
          <w:sz w:val="40"/>
          <w:szCs w:val="40"/>
          <w14:textFill>
            <w14:solidFill>
              <w14:schemeClr w14:val="tx1"/>
            </w14:solidFill>
          </w14:textFill>
        </w:rPr>
      </w:pPr>
      <w:r>
        <w:rPr>
          <w:rFonts w:hint="eastAsia"/>
          <w:b/>
          <w:bCs/>
          <w:color w:val="000000" w:themeColor="text1"/>
          <w:sz w:val="40"/>
          <w:szCs w:val="40"/>
          <w14:textFill>
            <w14:solidFill>
              <w14:schemeClr w14:val="tx1"/>
            </w14:solidFill>
          </w14:textFill>
        </w:rPr>
        <w:t>招</w:t>
      </w:r>
      <w:r>
        <w:rPr>
          <w:rFonts w:hint="eastAsia" w:ascii="黑体" w:hAnsi="宋体" w:eastAsia="黑体" w:cs="黑体"/>
          <w:color w:val="000000" w:themeColor="text1"/>
          <w:sz w:val="40"/>
          <w:szCs w:val="40"/>
          <w14:textFill>
            <w14:solidFill>
              <w14:schemeClr w14:val="tx1"/>
            </w14:solidFill>
          </w14:textFill>
        </w:rPr>
        <w:t>标文件信息</w:t>
      </w:r>
    </w:p>
    <w:tbl>
      <w:tblPr>
        <w:tblStyle w:val="16"/>
        <w:tblW w:w="7943" w:type="dxa"/>
        <w:jc w:val="center"/>
        <w:tblCellSpacing w:w="0" w:type="dxa"/>
        <w:tblLayout w:type="fixed"/>
        <w:tblCellMar>
          <w:top w:w="45" w:type="dxa"/>
          <w:left w:w="45" w:type="dxa"/>
          <w:bottom w:w="45" w:type="dxa"/>
          <w:right w:w="45" w:type="dxa"/>
        </w:tblCellMar>
      </w:tblPr>
      <w:tblGrid>
        <w:gridCol w:w="2723"/>
        <w:gridCol w:w="5220"/>
      </w:tblGrid>
      <w:tr w14:paraId="6BE53A4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F74ECA9">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项目编号：</w:t>
            </w:r>
          </w:p>
        </w:tc>
        <w:tc>
          <w:tcPr>
            <w:tcW w:w="5220" w:type="dxa"/>
            <w:shd w:val="clear" w:color="auto" w:fill="auto"/>
            <w:vAlign w:val="center"/>
          </w:tcPr>
          <w:p w14:paraId="6722D869">
            <w:pPr>
              <w:rPr>
                <w:rFonts w:hint="eastAsia" w:eastAsia="宋体"/>
                <w:color w:val="000000" w:themeColor="text1"/>
                <w:sz w:val="30"/>
                <w:szCs w:val="30"/>
                <w:lang w:eastAsia="zh-CN"/>
                <w14:textFill>
                  <w14:solidFill>
                    <w14:schemeClr w14:val="tx1"/>
                  </w14:solidFill>
                </w14:textFill>
              </w:rPr>
            </w:pPr>
            <w:r>
              <w:rPr>
                <w:rFonts w:hint="eastAsia" w:eastAsia="宋体"/>
                <w:color w:val="000000" w:themeColor="text1"/>
                <w:sz w:val="30"/>
                <w:szCs w:val="30"/>
                <w:lang w:eastAsia="zh-CN"/>
                <w14:textFill>
                  <w14:solidFill>
                    <w14:schemeClr w14:val="tx1"/>
                  </w14:solidFill>
                </w14:textFill>
              </w:rPr>
              <w:t>SZDL2025001953</w:t>
            </w:r>
          </w:p>
        </w:tc>
      </w:tr>
      <w:tr w14:paraId="53A164E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1653D8C">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项目名称：</w:t>
            </w:r>
          </w:p>
        </w:tc>
        <w:tc>
          <w:tcPr>
            <w:tcW w:w="5220" w:type="dxa"/>
            <w:shd w:val="clear" w:color="auto" w:fill="auto"/>
            <w:vAlign w:val="center"/>
          </w:tcPr>
          <w:p w14:paraId="600DF7ED">
            <w:pPr>
              <w:rPr>
                <w:rFonts w:hint="eastAsia" w:eastAsiaTheme="minorEastAsia"/>
                <w:color w:val="000000" w:themeColor="text1"/>
                <w:sz w:val="30"/>
                <w:szCs w:val="30"/>
                <w:lang w:eastAsia="zh-CN"/>
                <w14:textFill>
                  <w14:solidFill>
                    <w14:schemeClr w14:val="tx1"/>
                  </w14:solidFill>
                </w14:textFill>
              </w:rPr>
            </w:pPr>
            <w:r>
              <w:rPr>
                <w:rFonts w:hint="eastAsia" w:eastAsiaTheme="minorEastAsia"/>
                <w:color w:val="000000" w:themeColor="text1"/>
                <w:sz w:val="30"/>
                <w:szCs w:val="30"/>
                <w:lang w:eastAsia="zh-CN"/>
                <w14:textFill>
                  <w14:solidFill>
                    <w14:schemeClr w14:val="tx1"/>
                  </w14:solidFill>
                </w14:textFill>
              </w:rPr>
              <w:t>2026年深圳市公安局监所管理支队食材配送服务项目</w:t>
            </w:r>
          </w:p>
        </w:tc>
      </w:tr>
      <w:tr w14:paraId="738B0F2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0111736">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 xml:space="preserve">包 </w:t>
            </w:r>
            <w:r>
              <w:rPr>
                <w:rFonts w:hint="eastAsia" w:ascii="宋体" w:hAnsi="宋体" w:cs="宋体"/>
                <w:color w:val="000000" w:themeColor="text1"/>
                <w:sz w:val="30"/>
                <w:szCs w:val="30"/>
                <w14:textFill>
                  <w14:solidFill>
                    <w14:schemeClr w14:val="tx1"/>
                  </w14:solidFill>
                </w14:textFill>
              </w:rPr>
              <w:t xml:space="preserve">  </w:t>
            </w:r>
            <w:r>
              <w:rPr>
                <w:rFonts w:ascii="宋体" w:hAnsi="宋体" w:cs="宋体"/>
                <w:color w:val="000000" w:themeColor="text1"/>
                <w:sz w:val="30"/>
                <w:szCs w:val="30"/>
                <w14:textFill>
                  <w14:solidFill>
                    <w14:schemeClr w14:val="tx1"/>
                  </w14:solidFill>
                </w14:textFill>
              </w:rPr>
              <w:t>号：</w:t>
            </w:r>
          </w:p>
        </w:tc>
        <w:tc>
          <w:tcPr>
            <w:tcW w:w="5220" w:type="dxa"/>
            <w:shd w:val="clear" w:color="auto" w:fill="auto"/>
            <w:vAlign w:val="center"/>
          </w:tcPr>
          <w:p w14:paraId="5A5E9F62">
            <w:pPr>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A</w:t>
            </w:r>
          </w:p>
        </w:tc>
      </w:tr>
      <w:tr w14:paraId="7707748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F385A52">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项目类型：</w:t>
            </w:r>
          </w:p>
        </w:tc>
        <w:tc>
          <w:tcPr>
            <w:tcW w:w="5220" w:type="dxa"/>
            <w:shd w:val="clear" w:color="auto" w:fill="auto"/>
            <w:vAlign w:val="center"/>
          </w:tcPr>
          <w:p w14:paraId="1C9124F0">
            <w:pPr>
              <w:rPr>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服务</w:t>
            </w:r>
            <w:r>
              <w:rPr>
                <w:rFonts w:ascii="宋体" w:hAnsi="宋体" w:cs="宋体"/>
                <w:color w:val="000000" w:themeColor="text1"/>
                <w:sz w:val="30"/>
                <w:szCs w:val="30"/>
                <w14:textFill>
                  <w14:solidFill>
                    <w14:schemeClr w14:val="tx1"/>
                  </w14:solidFill>
                </w14:textFill>
              </w:rPr>
              <w:t>类</w:t>
            </w:r>
          </w:p>
        </w:tc>
      </w:tr>
      <w:tr w14:paraId="5FF3B35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3D8946">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采购方式：</w:t>
            </w:r>
          </w:p>
        </w:tc>
        <w:tc>
          <w:tcPr>
            <w:tcW w:w="5220" w:type="dxa"/>
            <w:shd w:val="clear" w:color="auto" w:fill="auto"/>
            <w:vAlign w:val="center"/>
          </w:tcPr>
          <w:p w14:paraId="6266745B">
            <w:pPr>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公开招标</w:t>
            </w:r>
          </w:p>
        </w:tc>
      </w:tr>
      <w:tr w14:paraId="33E63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988C6C2">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货币类型：</w:t>
            </w:r>
          </w:p>
        </w:tc>
        <w:tc>
          <w:tcPr>
            <w:tcW w:w="5220" w:type="dxa"/>
            <w:shd w:val="clear" w:color="auto" w:fill="auto"/>
            <w:vAlign w:val="center"/>
          </w:tcPr>
          <w:p w14:paraId="526B26A4">
            <w:pPr>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人民币</w:t>
            </w:r>
          </w:p>
        </w:tc>
      </w:tr>
      <w:tr w14:paraId="772CDC3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7FB8E9B">
            <w:pPr>
              <w:jc w:val="right"/>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评标方法：</w:t>
            </w:r>
          </w:p>
        </w:tc>
        <w:tc>
          <w:tcPr>
            <w:tcW w:w="5220" w:type="dxa"/>
            <w:shd w:val="clear" w:color="auto" w:fill="auto"/>
            <w:vAlign w:val="center"/>
          </w:tcPr>
          <w:p w14:paraId="23FD67AF">
            <w:pPr>
              <w:rPr>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综合评分法（新价格分算法）</w:t>
            </w:r>
          </w:p>
        </w:tc>
      </w:tr>
    </w:tbl>
    <w:p w14:paraId="24F5101F">
      <w:pPr>
        <w:pStyle w:val="14"/>
        <w:spacing w:before="240" w:beforeLines="100" w:after="240" w:afterLines="100"/>
        <w:jc w:val="center"/>
        <w:outlineLvl w:val="1"/>
        <w:rPr>
          <w:rFonts w:ascii="黑体" w:hAnsi="黑体" w:eastAsia="黑体"/>
          <w:color w:val="000000" w:themeColor="text1"/>
          <w:sz w:val="40"/>
          <w:szCs w:val="40"/>
          <w14:textFill>
            <w14:solidFill>
              <w14:schemeClr w14:val="tx1"/>
            </w14:solidFill>
          </w14:textFill>
        </w:rPr>
      </w:pPr>
      <w:r>
        <w:rPr>
          <w:rFonts w:hint="eastAsia" w:ascii="宋体" w:hAnsi="宋体" w:eastAsia="宋体" w:cs="黑体"/>
          <w:sz w:val="40"/>
          <w:szCs w:val="40"/>
        </w:rPr>
        <w:t>资格性审查表</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7E028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6443DF5">
            <w:pPr>
              <w:jc w:val="center"/>
              <w:rPr>
                <w:rFonts w:ascii="宋体" w:hAnsi="宋体" w:cs="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4864D9">
            <w:pPr>
              <w:jc w:val="center"/>
              <w:rPr>
                <w:rFonts w:ascii="宋体" w:hAnsi="宋体" w:cs="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内容</w:t>
            </w:r>
          </w:p>
        </w:tc>
      </w:tr>
      <w:tr w14:paraId="461AE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17BCB89">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8278" w:type="dxa"/>
            <w:tcBorders>
              <w:top w:val="single" w:color="000000" w:sz="8" w:space="0"/>
              <w:left w:val="single" w:color="000000" w:sz="8" w:space="0"/>
              <w:bottom w:val="single" w:color="000000" w:sz="8" w:space="0"/>
              <w:right w:val="single" w:color="000000" w:sz="8" w:space="0"/>
            </w:tcBorders>
          </w:tcPr>
          <w:p w14:paraId="02B38229">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投标人不</w:t>
            </w:r>
            <w:r>
              <w:rPr>
                <w:rFonts w:hint="eastAsia" w:ascii="宋体" w:hAnsi="宋体" w:cs="宋体"/>
                <w:color w:val="000000" w:themeColor="text1"/>
                <w:szCs w:val="21"/>
                <w14:textFill>
                  <w14:solidFill>
                    <w14:schemeClr w14:val="tx1"/>
                  </w14:solidFill>
                </w14:textFill>
              </w:rPr>
              <w:t>符合</w:t>
            </w:r>
            <w:r>
              <w:rPr>
                <w:rFonts w:ascii="宋体" w:hAnsi="宋体" w:cs="宋体"/>
                <w:color w:val="000000" w:themeColor="text1"/>
                <w:szCs w:val="21"/>
                <w14:textFill>
                  <w14:solidFill>
                    <w14:schemeClr w14:val="tx1"/>
                  </w14:solidFill>
                </w14:textFill>
              </w:rPr>
              <w:t>资格要求，或未提交相应的资格证明资料（详见招标公告</w:t>
            </w:r>
            <w:r>
              <w:rPr>
                <w:rFonts w:hint="eastAsia" w:ascii="宋体" w:hAnsi="宋体"/>
                <w:color w:val="000000" w:themeColor="text1"/>
                <w:szCs w:val="21"/>
                <w14:textFill>
                  <w14:solidFill>
                    <w14:schemeClr w14:val="tx1"/>
                  </w14:solidFill>
                </w14:textFill>
              </w:rPr>
              <w:t>投标人资格要求，即申请人的资格要求</w:t>
            </w:r>
            <w:r>
              <w:rPr>
                <w:rFonts w:ascii="宋体" w:hAnsi="宋体" w:cs="宋体"/>
                <w:color w:val="000000" w:themeColor="text1"/>
                <w:szCs w:val="21"/>
                <w14:textFill>
                  <w14:solidFill>
                    <w14:schemeClr w14:val="tx1"/>
                  </w14:solidFill>
                </w14:textFill>
              </w:rPr>
              <w:t>）</w:t>
            </w:r>
          </w:p>
        </w:tc>
      </w:tr>
    </w:tbl>
    <w:p w14:paraId="6E0B01CE">
      <w:pPr>
        <w:pStyle w:val="14"/>
        <w:spacing w:before="240" w:beforeLines="100" w:after="240" w:afterLines="100"/>
        <w:jc w:val="center"/>
        <w:outlineLvl w:val="1"/>
        <w:rPr>
          <w:rFonts w:ascii="宋体" w:hAnsi="宋体" w:eastAsia="宋体" w:cs="黑体"/>
          <w:sz w:val="40"/>
          <w:szCs w:val="40"/>
        </w:rPr>
      </w:pPr>
      <w:r>
        <w:rPr>
          <w:rFonts w:hint="eastAsia" w:ascii="宋体" w:hAnsi="宋体" w:eastAsia="宋体" w:cs="黑体"/>
          <w:sz w:val="40"/>
          <w:szCs w:val="40"/>
        </w:rPr>
        <w:t>符合性审查表</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CAF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ECFA601">
            <w:pPr>
              <w:jc w:val="center"/>
              <w:rPr>
                <w:rFonts w:ascii="宋体" w:hAnsi="宋体" w:cs="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A7C1F7">
            <w:pPr>
              <w:jc w:val="center"/>
              <w:rPr>
                <w:rFonts w:ascii="宋体" w:hAnsi="宋体" w:cs="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内容</w:t>
            </w:r>
          </w:p>
        </w:tc>
      </w:tr>
      <w:tr w14:paraId="74124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75432BB">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8278" w:type="dxa"/>
            <w:tcBorders>
              <w:top w:val="single" w:color="000000" w:sz="8" w:space="0"/>
              <w:left w:val="single" w:color="000000" w:sz="8" w:space="0"/>
              <w:bottom w:val="single" w:color="000000" w:sz="8" w:space="0"/>
              <w:right w:val="single" w:color="000000" w:sz="8" w:space="0"/>
            </w:tcBorders>
          </w:tcPr>
          <w:p w14:paraId="527C9A1A">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将一个包或一个标段的内容拆开投标；</w:t>
            </w:r>
          </w:p>
        </w:tc>
      </w:tr>
      <w:tr w14:paraId="1D855C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A62C4C2">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8278" w:type="dxa"/>
            <w:tcBorders>
              <w:top w:val="single" w:color="000000" w:sz="8" w:space="0"/>
              <w:left w:val="single" w:color="000000" w:sz="8" w:space="0"/>
              <w:bottom w:val="single" w:color="000000" w:sz="8" w:space="0"/>
              <w:right w:val="single" w:color="000000" w:sz="8" w:space="0"/>
            </w:tcBorders>
          </w:tcPr>
          <w:p w14:paraId="062753F8">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对同一项目投标时，提供两套以上的投标方案（招标文件另有规定的除外）；</w:t>
            </w:r>
          </w:p>
        </w:tc>
      </w:tr>
      <w:tr w14:paraId="62467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EE8C15">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8278" w:type="dxa"/>
            <w:tcBorders>
              <w:top w:val="single" w:color="000000" w:sz="8" w:space="0"/>
              <w:left w:val="single" w:color="000000" w:sz="8" w:space="0"/>
              <w:bottom w:val="single" w:color="000000" w:sz="8" w:space="0"/>
              <w:right w:val="single" w:color="000000" w:sz="8" w:space="0"/>
            </w:tcBorders>
          </w:tcPr>
          <w:p w14:paraId="35862843">
            <w:pPr>
              <w:rPr>
                <w:rFonts w:ascii="宋体" w:hAnsi="宋体" w:cs="宋体"/>
                <w:color w:val="000000" w:themeColor="text1"/>
                <w:szCs w:val="21"/>
                <w14:textFill>
                  <w14:solidFill>
                    <w14:schemeClr w14:val="tx1"/>
                  </w14:solidFill>
                </w14:textFill>
              </w:rPr>
            </w:pPr>
            <w:r>
              <w:rPr>
                <w:rFonts w:hint="eastAsia" w:eastAsia="宋体"/>
                <w:lang w:eastAsia="zh-CN"/>
              </w:rPr>
              <w:t>填报的“折扣率”不满足"0＜折扣率≤1"公式要求的；“折扣率”缺填、漏填或填报了两个或以上“折扣率”</w:t>
            </w:r>
            <w:r>
              <w:rPr>
                <w:rFonts w:hint="eastAsia"/>
              </w:rPr>
              <w:t>；</w:t>
            </w:r>
          </w:p>
        </w:tc>
      </w:tr>
      <w:tr w14:paraId="61298C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8"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687EF528">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8278" w:type="dxa"/>
            <w:tcBorders>
              <w:top w:val="single" w:color="000000" w:sz="8" w:space="0"/>
              <w:left w:val="single" w:color="000000" w:sz="8" w:space="0"/>
              <w:bottom w:val="single" w:color="000000" w:sz="8" w:space="0"/>
              <w:right w:val="single" w:color="000000" w:sz="8" w:space="0"/>
            </w:tcBorders>
          </w:tcPr>
          <w:p w14:paraId="03BAD124">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4A1A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4AA17F5">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8278" w:type="dxa"/>
            <w:tcBorders>
              <w:top w:val="single" w:color="000000" w:sz="8" w:space="0"/>
              <w:left w:val="single" w:color="000000" w:sz="8" w:space="0"/>
              <w:bottom w:val="single" w:color="000000" w:sz="8" w:space="0"/>
              <w:right w:val="single" w:color="000000" w:sz="8" w:space="0"/>
            </w:tcBorders>
          </w:tcPr>
          <w:p w14:paraId="6265465E">
            <w:pPr>
              <w:rPr>
                <w:rFonts w:ascii="宋体" w:hAnsi="宋体" w:cs="宋体"/>
                <w:color w:val="000000" w:themeColor="text1"/>
                <w:szCs w:val="21"/>
                <w14:textFill>
                  <w14:solidFill>
                    <w14:schemeClr w14:val="tx1"/>
                  </w14:solidFill>
                </w14:textFill>
              </w:rPr>
            </w:pPr>
            <w:r>
              <w:rPr>
                <w:rFonts w:hint="eastAsia"/>
              </w:rPr>
              <w:t>所投货物、服务在技术、商务等方面没有实质性满足招标文件要求的（是否实质性满足招标文件要求，由评审委员会根据《实质性条款响应情况表》做出评判）</w:t>
            </w:r>
            <w:r>
              <w:rPr>
                <w:rFonts w:hint="eastAsia" w:ascii="宋体" w:hAnsi="宋体" w:eastAsia="宋体"/>
              </w:rPr>
              <w:t>，投标文件的轻微瑕疵、非关键内容不得作为认定投标无效的依据）</w:t>
            </w:r>
            <w:r>
              <w:rPr>
                <w:rFonts w:hint="eastAsia"/>
              </w:rPr>
              <w:t>；</w:t>
            </w:r>
          </w:p>
        </w:tc>
      </w:tr>
      <w:tr w14:paraId="0C2DD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8"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3C535EBF">
            <w:pPr>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8278" w:type="dxa"/>
            <w:tcBorders>
              <w:top w:val="single" w:color="000000" w:sz="8" w:space="0"/>
              <w:left w:val="single" w:color="000000" w:sz="8" w:space="0"/>
              <w:bottom w:val="single" w:color="000000" w:sz="8" w:space="0"/>
              <w:right w:val="single" w:color="000000" w:sz="8" w:space="0"/>
            </w:tcBorders>
          </w:tcPr>
          <w:p w14:paraId="6A866D45">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未按招标文件所提供的样式填写《投标函》；</w:t>
            </w:r>
          </w:p>
        </w:tc>
      </w:tr>
      <w:tr w14:paraId="72C28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C57E45">
            <w:pPr>
              <w:jc w:val="center"/>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7</w:t>
            </w:r>
          </w:p>
        </w:tc>
        <w:tc>
          <w:tcPr>
            <w:tcW w:w="8278" w:type="dxa"/>
            <w:tcBorders>
              <w:top w:val="single" w:color="000000" w:sz="8" w:space="0"/>
              <w:left w:val="single" w:color="000000" w:sz="8" w:space="0"/>
              <w:bottom w:val="single" w:color="000000" w:sz="8" w:space="0"/>
              <w:right w:val="single" w:color="000000" w:sz="8" w:space="0"/>
            </w:tcBorders>
          </w:tcPr>
          <w:p w14:paraId="25047C3C">
            <w:pPr>
              <w:rPr>
                <w:color w:val="000000" w:themeColor="text1"/>
                <w14:textFill>
                  <w14:solidFill>
                    <w14:schemeClr w14:val="tx1"/>
                  </w14:solidFill>
                </w14:textFill>
              </w:rPr>
            </w:pPr>
            <w:r>
              <w:rPr>
                <w:rFonts w:hint="eastAsia"/>
                <w:color w:val="000000" w:themeColor="text1"/>
                <w14:textFill>
                  <w14:solidFill>
                    <w14:schemeClr w14:val="tx1"/>
                  </w14:solidFill>
                </w14:textFill>
              </w:rPr>
              <w:t>未按招标文件所提供的《政府采购投标及履约承诺函》进行承诺</w:t>
            </w:r>
            <w:r>
              <w:rPr>
                <w:rFonts w:hint="eastAsia"/>
              </w:rPr>
              <w:t>或不符合承诺的</w:t>
            </w:r>
            <w:r>
              <w:rPr>
                <w:rFonts w:hint="eastAsia"/>
                <w:color w:val="000000" w:themeColor="text1"/>
                <w14:textFill>
                  <w14:solidFill>
                    <w14:schemeClr w14:val="tx1"/>
                  </w14:solidFill>
                </w14:textFill>
              </w:rPr>
              <w:t>；</w:t>
            </w:r>
          </w:p>
        </w:tc>
      </w:tr>
      <w:tr w14:paraId="47554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BC0C8A">
            <w:pPr>
              <w:jc w:val="center"/>
              <w:rPr>
                <w:rFonts w:ascii="宋体" w:hAnsi="宋体" w:eastAsia="宋体" w:cs="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8</w:t>
            </w:r>
          </w:p>
        </w:tc>
        <w:tc>
          <w:tcPr>
            <w:tcW w:w="8278" w:type="dxa"/>
            <w:tcBorders>
              <w:top w:val="single" w:color="000000" w:sz="8" w:space="0"/>
              <w:left w:val="single" w:color="000000" w:sz="8" w:space="0"/>
              <w:bottom w:val="single" w:color="000000" w:sz="8" w:space="0"/>
              <w:right w:val="single" w:color="000000" w:sz="8" w:space="0"/>
            </w:tcBorders>
          </w:tcPr>
          <w:p w14:paraId="0887759B">
            <w:pPr>
              <w:rPr>
                <w:rFonts w:ascii="宋体" w:hAnsi="宋体" w:cs="宋体"/>
                <w:color w:val="000000" w:themeColor="text1"/>
                <w:szCs w:val="21"/>
                <w14:textFill>
                  <w14:solidFill>
                    <w14:schemeClr w14:val="tx1"/>
                  </w14:solidFill>
                </w14:textFill>
              </w:rPr>
            </w:pPr>
            <w:r>
              <w:rPr>
                <w:rFonts w:hint="eastAsia" w:ascii="宋体" w:hAnsi="宋体" w:eastAsia="宋体"/>
              </w:rPr>
              <w:t>投标文件对</w:t>
            </w:r>
            <w:r>
              <w:rPr>
                <w:rFonts w:hint="eastAsia" w:ascii="宋体" w:hAnsi="宋体" w:eastAsia="宋体"/>
                <w:lang w:bidi="ar"/>
              </w:rPr>
              <w:t>采购标的响应不全（响应不全情形包括：</w:t>
            </w:r>
            <w:r>
              <w:rPr>
                <w:rFonts w:hint="eastAsia" w:ascii="宋体" w:hAnsi="宋体" w:eastAsia="宋体"/>
              </w:rPr>
              <w:t>投标报价有缺漏项，对招标文件规定的项目需求内容或者需求数量进行修改</w:t>
            </w:r>
            <w:r>
              <w:rPr>
                <w:rFonts w:hint="eastAsia" w:ascii="宋体" w:hAnsi="宋体" w:eastAsia="宋体"/>
                <w:lang w:bidi="ar"/>
              </w:rPr>
              <w:t>），</w:t>
            </w:r>
            <w:r>
              <w:rPr>
                <w:rFonts w:hint="eastAsia" w:ascii="宋体" w:hAnsi="宋体" w:eastAsia="宋体"/>
              </w:rPr>
              <w:t>由评审委员会根据《项目详细报价》做出评判）</w:t>
            </w:r>
          </w:p>
        </w:tc>
      </w:tr>
      <w:tr w14:paraId="60CAF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2903288">
            <w:pPr>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2027CA7D">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投标文件存在列放位置错误，导致属于信息公开情形的没有被公开；</w:t>
            </w:r>
          </w:p>
        </w:tc>
      </w:tr>
      <w:tr w14:paraId="09776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7CA66A">
            <w:pPr>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D9AF390">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投标文件电子文档带病毒；</w:t>
            </w:r>
          </w:p>
        </w:tc>
      </w:tr>
      <w:tr w14:paraId="39ED6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6A908BE">
            <w:pPr>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11</w:t>
            </w:r>
          </w:p>
        </w:tc>
        <w:tc>
          <w:tcPr>
            <w:tcW w:w="8278" w:type="dxa"/>
            <w:tcBorders>
              <w:top w:val="single" w:color="000000" w:sz="8" w:space="0"/>
              <w:left w:val="single" w:color="000000" w:sz="8" w:space="0"/>
              <w:bottom w:val="single" w:color="000000" w:sz="8" w:space="0"/>
              <w:right w:val="single" w:color="000000" w:sz="8" w:space="0"/>
            </w:tcBorders>
          </w:tcPr>
          <w:p w14:paraId="62CCBDFE">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投标文件用不属于本公司的电子密钥进行加密的；</w:t>
            </w:r>
          </w:p>
        </w:tc>
      </w:tr>
      <w:tr w14:paraId="7FFF1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387769">
            <w:pPr>
              <w:jc w:val="center"/>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12</w:t>
            </w:r>
          </w:p>
        </w:tc>
        <w:tc>
          <w:tcPr>
            <w:tcW w:w="8278" w:type="dxa"/>
            <w:tcBorders>
              <w:top w:val="single" w:color="000000" w:sz="8" w:space="0"/>
              <w:left w:val="single" w:color="000000" w:sz="8" w:space="0"/>
              <w:bottom w:val="single" w:color="000000" w:sz="8" w:space="0"/>
              <w:right w:val="single" w:color="000000" w:sz="8" w:space="0"/>
            </w:tcBorders>
          </w:tcPr>
          <w:p w14:paraId="0C040AE3">
            <w:pPr>
              <w:rPr>
                <w:color w:val="000000" w:themeColor="text1"/>
                <w14:textFill>
                  <w14:solidFill>
                    <w14:schemeClr w14:val="tx1"/>
                  </w14:solidFill>
                </w14:textFill>
              </w:rPr>
            </w:pPr>
            <w:r>
              <w:t>不同投标供应商投标文件“文件制作机器码”</w:t>
            </w:r>
            <w:r>
              <w:rPr>
                <w:rFonts w:hint="eastAsia" w:eastAsia="宋体"/>
              </w:rPr>
              <w:t>或</w:t>
            </w:r>
            <w:r>
              <w:t>“文件创建标</w:t>
            </w:r>
            <w:r>
              <w:rPr>
                <w:rFonts w:hint="eastAsia"/>
              </w:rPr>
              <w:t>识码”一致的</w:t>
            </w:r>
            <w:r>
              <w:rPr>
                <w:rFonts w:hint="eastAsia"/>
                <w:color w:val="000000" w:themeColor="text1"/>
                <w14:textFill>
                  <w14:solidFill>
                    <w14:schemeClr w14:val="tx1"/>
                  </w14:solidFill>
                </w14:textFill>
              </w:rPr>
              <w:t>；</w:t>
            </w:r>
          </w:p>
        </w:tc>
      </w:tr>
      <w:tr w14:paraId="695BF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BAB1F0">
            <w:pPr>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13</w:t>
            </w:r>
          </w:p>
        </w:tc>
        <w:tc>
          <w:tcPr>
            <w:tcW w:w="8278" w:type="dxa"/>
            <w:tcBorders>
              <w:top w:val="single" w:color="000000" w:sz="8" w:space="0"/>
              <w:left w:val="single" w:color="000000" w:sz="8" w:space="0"/>
              <w:bottom w:val="single" w:color="000000" w:sz="8" w:space="0"/>
              <w:right w:val="single" w:color="000000" w:sz="8" w:space="0"/>
            </w:tcBorders>
          </w:tcPr>
          <w:p w14:paraId="67EB84FD">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法律、法规、规章、规范性文件规定的其他情形。</w:t>
            </w:r>
          </w:p>
        </w:tc>
      </w:tr>
    </w:tbl>
    <w:p w14:paraId="19AAC7CC">
      <w:pPr>
        <w:pStyle w:val="14"/>
        <w:spacing w:before="280" w:afterAutospacing="1"/>
        <w:jc w:val="center"/>
        <w:outlineLvl w:val="1"/>
        <w:rPr>
          <w:rFonts w:ascii="宋体" w:hAnsi="宋体" w:eastAsia="宋体" w:cs="黑体"/>
          <w:sz w:val="40"/>
          <w:szCs w:val="40"/>
        </w:rPr>
      </w:pPr>
      <w:r>
        <w:rPr>
          <w:rFonts w:hint="eastAsia" w:ascii="宋体" w:hAnsi="宋体" w:eastAsia="宋体" w:cs="黑体"/>
          <w:sz w:val="40"/>
          <w:szCs w:val="40"/>
        </w:rPr>
        <w:t>评标信息</w:t>
      </w:r>
    </w:p>
    <w:tbl>
      <w:tblPr>
        <w:tblStyle w:val="16"/>
        <w:tblW w:w="9072" w:type="dxa"/>
        <w:jc w:val="center"/>
        <w:tblCellSpacing w:w="0" w:type="dxa"/>
        <w:tblLayout w:type="fixed"/>
        <w:tblCellMar>
          <w:top w:w="45" w:type="dxa"/>
          <w:left w:w="45" w:type="dxa"/>
          <w:bottom w:w="45" w:type="dxa"/>
          <w:right w:w="45" w:type="dxa"/>
        </w:tblCellMar>
      </w:tblPr>
      <w:tblGrid>
        <w:gridCol w:w="8867"/>
        <w:gridCol w:w="205"/>
      </w:tblGrid>
      <w:tr w14:paraId="05BB3610">
        <w:tblPrEx>
          <w:tblCellMar>
            <w:top w:w="45" w:type="dxa"/>
            <w:left w:w="45" w:type="dxa"/>
            <w:bottom w:w="45" w:type="dxa"/>
            <w:right w:w="45" w:type="dxa"/>
          </w:tblCellMar>
        </w:tblPrEx>
        <w:trPr>
          <w:tblCellSpacing w:w="0" w:type="dxa"/>
          <w:jc w:val="center"/>
        </w:trPr>
        <w:tc>
          <w:tcPr>
            <w:tcW w:w="8867" w:type="dxa"/>
            <w:tcBorders>
              <w:top w:val="nil"/>
              <w:left w:val="nil"/>
              <w:bottom w:val="nil"/>
              <w:right w:val="nil"/>
            </w:tcBorders>
            <w:vAlign w:val="center"/>
          </w:tcPr>
          <w:p w14:paraId="00F1EFB6">
            <w:pPr>
              <w:rPr>
                <w:rFonts w:ascii="宋体" w:hAnsi="宋体" w:eastAsia="宋体" w:cs="宋体"/>
                <w:b/>
                <w:bCs/>
                <w:color w:val="000000" w:themeColor="text1"/>
                <w14:textFill>
                  <w14:solidFill>
                    <w14:schemeClr w14:val="tx1"/>
                  </w14:solidFill>
                </w14:textFill>
              </w:rPr>
            </w:pPr>
            <w:r>
              <w:rPr>
                <w:rFonts w:hint="eastAsia" w:ascii="宋体" w:hAnsi="宋体" w:eastAsia="宋体"/>
                <w:b/>
                <w:bCs/>
              </w:rPr>
              <w:t>评标方法：最低价法/综合评分法（新价格分算法）</w:t>
            </w:r>
          </w:p>
        </w:tc>
        <w:tc>
          <w:tcPr>
            <w:tcW w:w="205" w:type="dxa"/>
            <w:tcBorders>
              <w:top w:val="nil"/>
              <w:left w:val="nil"/>
              <w:bottom w:val="nil"/>
              <w:right w:val="nil"/>
            </w:tcBorders>
            <w:vAlign w:val="center"/>
          </w:tcPr>
          <w:p w14:paraId="06925872">
            <w:pPr>
              <w:jc w:val="right"/>
              <w:rPr>
                <w:rFonts w:ascii="宋体" w:hAnsi="宋体" w:eastAsia="宋体" w:cs="宋体"/>
                <w:b/>
                <w:bCs/>
                <w:color w:val="000000" w:themeColor="text1"/>
                <w14:textFill>
                  <w14:solidFill>
                    <w14:schemeClr w14:val="tx1"/>
                  </w14:solidFill>
                </w14:textFill>
              </w:rPr>
            </w:pPr>
          </w:p>
        </w:tc>
      </w:tr>
      <w:tr w14:paraId="1C68F4F0">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p w14:paraId="6FA0A469">
            <w:pPr>
              <w:spacing w:line="324" w:lineRule="auto"/>
              <w:ind w:firstLine="420"/>
              <w:rPr>
                <w:rFonts w:ascii="宋体" w:hAnsi="宋体" w:eastAsia="宋体"/>
                <w:szCs w:val="21"/>
              </w:rPr>
            </w:pPr>
            <w:r>
              <w:rPr>
                <w:rFonts w:hint="eastAsia" w:ascii="宋体" w:hAnsi="宋体" w:eastAsia="宋体"/>
                <w:szCs w:val="21"/>
              </w:rPr>
              <w:t xml:space="preserve">综合评分法，是指投标文件满足招标文件全部实质性要求，且按照评审因素的量化指标评审得分最高的投标人为中标候选人的评标方法。 </w:t>
            </w:r>
          </w:p>
          <w:p w14:paraId="5E4256CA">
            <w:pPr>
              <w:spacing w:line="324" w:lineRule="auto"/>
              <w:ind w:firstLine="420"/>
              <w:rPr>
                <w:rFonts w:ascii="宋体" w:hAnsi="宋体" w:eastAsia="宋体"/>
                <w:szCs w:val="21"/>
              </w:rPr>
            </w:pPr>
            <w:r>
              <w:rPr>
                <w:rFonts w:hint="eastAsia" w:ascii="宋体" w:hAnsi="宋体" w:eastAsia="宋体"/>
                <w:szCs w:val="21"/>
              </w:rPr>
              <w:t>价格分计算方法：</w:t>
            </w:r>
          </w:p>
          <w:p w14:paraId="6898D5B7">
            <w:pPr>
              <w:spacing w:line="324" w:lineRule="auto"/>
              <w:ind w:firstLine="420"/>
              <w:rPr>
                <w:rFonts w:ascii="宋体" w:hAnsi="宋体" w:eastAsia="宋体"/>
                <w:szCs w:val="21"/>
              </w:rPr>
            </w:pPr>
            <w:r>
              <w:rPr>
                <w:rFonts w:hint="eastAsia" w:ascii="宋体" w:hAnsi="宋体" w:eastAsia="宋体"/>
                <w:szCs w:val="21"/>
              </w:rPr>
              <w:t xml:space="preserve">采用低价优先法计算，即满足招标文件要求且投标价格最低的投标报价为评标基准价，其价格分为满分。其他投标人的价格分统一按照下列公式计算： </w:t>
            </w:r>
          </w:p>
          <w:p w14:paraId="0061C87F">
            <w:pPr>
              <w:spacing w:line="324" w:lineRule="auto"/>
              <w:ind w:firstLine="420"/>
              <w:rPr>
                <w:rFonts w:ascii="宋体" w:hAnsi="宋体" w:eastAsia="宋体"/>
                <w:szCs w:val="21"/>
              </w:rPr>
            </w:pPr>
            <w:r>
              <w:rPr>
                <w:rFonts w:hint="eastAsia" w:ascii="宋体" w:hAnsi="宋体" w:eastAsia="宋体"/>
                <w:szCs w:val="21"/>
              </w:rPr>
              <w:t xml:space="preserve">投标报价得分=(评标基准价／投标报价)×100 </w:t>
            </w:r>
          </w:p>
          <w:p w14:paraId="3E664444">
            <w:pPr>
              <w:spacing w:line="324" w:lineRule="auto"/>
              <w:ind w:firstLine="420"/>
              <w:rPr>
                <w:rFonts w:ascii="宋体" w:hAnsi="宋体" w:eastAsia="宋体"/>
                <w:szCs w:val="21"/>
              </w:rPr>
            </w:pPr>
            <w:r>
              <w:rPr>
                <w:rFonts w:hint="eastAsia" w:ascii="宋体" w:hAnsi="宋体" w:eastAsia="宋体"/>
                <w:szCs w:val="21"/>
              </w:rPr>
              <w:t xml:space="preserve">评标总得分＝F1×A1＋F2×A2＋……＋Fn×An </w:t>
            </w:r>
          </w:p>
          <w:p w14:paraId="231D96EE">
            <w:pPr>
              <w:spacing w:line="324" w:lineRule="auto"/>
              <w:ind w:firstLine="420"/>
              <w:rPr>
                <w:rFonts w:ascii="宋体" w:hAnsi="宋体" w:eastAsia="宋体"/>
                <w:szCs w:val="21"/>
              </w:rPr>
            </w:pPr>
            <w:r>
              <w:rPr>
                <w:rFonts w:hint="eastAsia" w:ascii="宋体" w:hAnsi="宋体" w:eastAsia="宋体"/>
                <w:szCs w:val="21"/>
              </w:rPr>
              <w:t xml:space="preserve">F1、F2……Fn分别为各项评审因素的得分； </w:t>
            </w:r>
          </w:p>
          <w:p w14:paraId="4E804C3C">
            <w:pPr>
              <w:spacing w:line="324" w:lineRule="auto"/>
              <w:ind w:firstLine="420"/>
              <w:rPr>
                <w:rFonts w:ascii="宋体" w:hAnsi="宋体" w:eastAsia="宋体"/>
                <w:szCs w:val="21"/>
              </w:rPr>
            </w:pPr>
            <w:r>
              <w:rPr>
                <w:rFonts w:hint="eastAsia" w:ascii="宋体" w:hAnsi="宋体" w:eastAsia="宋体"/>
                <w:szCs w:val="21"/>
              </w:rPr>
              <w:t xml:space="preserve">A1、A2、……An 分别为各项评审因素所占的权重(A1＋A2＋……＋An＝1)。 </w:t>
            </w:r>
          </w:p>
          <w:p w14:paraId="72424B3E">
            <w:pPr>
              <w:spacing w:line="324" w:lineRule="auto"/>
              <w:ind w:firstLine="420"/>
              <w:rPr>
                <w:rFonts w:ascii="宋体" w:hAnsi="宋体" w:eastAsia="宋体"/>
                <w:szCs w:val="21"/>
              </w:rPr>
            </w:pPr>
            <w:r>
              <w:rPr>
                <w:rFonts w:hint="eastAsia" w:ascii="宋体" w:hAnsi="宋体" w:eastAsia="宋体"/>
                <w:szCs w:val="21"/>
              </w:rPr>
              <w:t xml:space="preserve">评标过程中，不得去掉报价中的最高报价和最低报价。 </w:t>
            </w:r>
          </w:p>
          <w:p w14:paraId="2DCD3F9A">
            <w:pPr>
              <w:spacing w:line="324" w:lineRule="auto"/>
              <w:ind w:firstLine="420"/>
              <w:rPr>
                <w:rFonts w:ascii="宋体" w:hAnsi="宋体" w:eastAsia="宋体" w:cs="宋体"/>
                <w:color w:val="000000" w:themeColor="text1"/>
                <w14:textFill>
                  <w14:solidFill>
                    <w14:schemeClr w14:val="tx1"/>
                  </w14:solidFill>
                </w14:textFill>
              </w:rPr>
            </w:pPr>
            <w:r>
              <w:rPr>
                <w:rFonts w:hint="eastAsia" w:ascii="宋体" w:hAnsi="宋体" w:eastAsia="宋体"/>
                <w:szCs w:val="21"/>
              </w:rPr>
              <w:t xml:space="preserve">此方法适用于货物类、服务类、工程类项目。 </w:t>
            </w:r>
          </w:p>
        </w:tc>
      </w:tr>
      <w:tr w14:paraId="1A342C39">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6"/>
              <w:gridCol w:w="675"/>
              <w:gridCol w:w="1295"/>
              <w:gridCol w:w="1030"/>
              <w:gridCol w:w="5396"/>
            </w:tblGrid>
            <w:tr w14:paraId="09DD4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75CDA13">
                  <w:pPr>
                    <w:jc w:val="center"/>
                    <w:rPr>
                      <w:rFonts w:ascii="宋体" w:hAnsi="宋体" w:eastAsia="宋体" w:cs="宋体"/>
                      <w:b/>
                      <w:bCs/>
                    </w:rPr>
                  </w:pPr>
                  <w:r>
                    <w:rPr>
                      <w:rFonts w:hint="eastAsia" w:ascii="宋体" w:hAnsi="宋体" w:eastAsia="宋体" w:cs="宋体"/>
                      <w:b/>
                      <w:bCs/>
                    </w:rPr>
                    <w:t>序号</w:t>
                  </w:r>
                </w:p>
              </w:tc>
              <w:tc>
                <w:tcPr>
                  <w:tcW w:w="3000"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1573525">
                  <w:pPr>
                    <w:jc w:val="center"/>
                    <w:rPr>
                      <w:rFonts w:ascii="宋体" w:hAnsi="宋体" w:eastAsia="宋体" w:cs="宋体"/>
                      <w:b/>
                      <w:bCs/>
                    </w:rPr>
                  </w:pPr>
                  <w:r>
                    <w:rPr>
                      <w:rFonts w:hint="eastAsia" w:ascii="宋体" w:hAnsi="宋体" w:eastAsia="宋体" w:cs="宋体"/>
                      <w:b/>
                      <w:bCs/>
                    </w:rPr>
                    <w:t>评分项</w:t>
                  </w:r>
                </w:p>
              </w:tc>
              <w:tc>
                <w:tcPr>
                  <w:tcW w:w="53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E9C7D77">
                  <w:pPr>
                    <w:jc w:val="center"/>
                    <w:rPr>
                      <w:rFonts w:ascii="宋体" w:hAnsi="宋体" w:eastAsia="宋体" w:cs="宋体"/>
                      <w:b/>
                      <w:bCs/>
                    </w:rPr>
                  </w:pPr>
                  <w:r>
                    <w:rPr>
                      <w:rFonts w:hint="eastAsia" w:ascii="宋体" w:hAnsi="宋体" w:eastAsia="宋体" w:cs="宋体"/>
                      <w:b/>
                      <w:bCs/>
                    </w:rPr>
                    <w:t>权重(%)</w:t>
                  </w:r>
                </w:p>
              </w:tc>
            </w:tr>
            <w:tr w14:paraId="3E933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tcBorders>
                    <w:top w:val="single" w:color="000000" w:sz="8" w:space="0"/>
                    <w:left w:val="single" w:color="000000" w:sz="8" w:space="0"/>
                    <w:bottom w:val="single" w:color="000000" w:sz="8" w:space="0"/>
                    <w:right w:val="single" w:color="000000" w:sz="8" w:space="0"/>
                  </w:tcBorders>
                </w:tcPr>
                <w:p w14:paraId="51BB67ED">
                  <w:pPr>
                    <w:jc w:val="center"/>
                    <w:rPr>
                      <w:rFonts w:ascii="宋体" w:hAnsi="宋体" w:eastAsia="宋体" w:cs="宋体"/>
                      <w:b/>
                      <w:bCs/>
                    </w:rPr>
                  </w:pPr>
                  <w:r>
                    <w:rPr>
                      <w:rFonts w:hint="eastAsia" w:ascii="宋体" w:hAnsi="宋体" w:eastAsia="宋体" w:cs="宋体"/>
                      <w:b/>
                      <w:bCs/>
                    </w:rPr>
                    <w:t>1</w:t>
                  </w:r>
                </w:p>
              </w:tc>
              <w:tc>
                <w:tcPr>
                  <w:tcW w:w="3000" w:type="dxa"/>
                  <w:gridSpan w:val="3"/>
                  <w:tcBorders>
                    <w:top w:val="single" w:color="000000" w:sz="8" w:space="0"/>
                    <w:left w:val="single" w:color="000000" w:sz="8" w:space="0"/>
                    <w:bottom w:val="single" w:color="000000" w:sz="8" w:space="0"/>
                    <w:right w:val="single" w:color="000000" w:sz="8" w:space="0"/>
                  </w:tcBorders>
                </w:tcPr>
                <w:p w14:paraId="1034D72A">
                  <w:pPr>
                    <w:jc w:val="center"/>
                    <w:rPr>
                      <w:rFonts w:ascii="宋体" w:hAnsi="宋体" w:eastAsia="宋体" w:cs="宋体"/>
                      <w:b/>
                      <w:bCs/>
                    </w:rPr>
                  </w:pPr>
                  <w:r>
                    <w:rPr>
                      <w:rFonts w:hint="eastAsia" w:ascii="宋体" w:hAnsi="宋体" w:eastAsia="宋体" w:cs="宋体"/>
                      <w:b/>
                      <w:bCs/>
                    </w:rPr>
                    <w:t>价格</w:t>
                  </w:r>
                </w:p>
              </w:tc>
              <w:tc>
                <w:tcPr>
                  <w:tcW w:w="5396" w:type="dxa"/>
                  <w:tcBorders>
                    <w:top w:val="single" w:color="000000" w:sz="8" w:space="0"/>
                    <w:left w:val="single" w:color="000000" w:sz="8" w:space="0"/>
                    <w:bottom w:val="single" w:color="000000" w:sz="8" w:space="0"/>
                    <w:right w:val="single" w:color="000000" w:sz="8" w:space="0"/>
                  </w:tcBorders>
                </w:tcPr>
                <w:p w14:paraId="2D2912D9">
                  <w:pPr>
                    <w:jc w:val="center"/>
                    <w:rPr>
                      <w:rFonts w:ascii="宋体" w:hAnsi="宋体" w:eastAsia="宋体" w:cs="宋体"/>
                      <w:b/>
                      <w:bCs/>
                    </w:rPr>
                  </w:pPr>
                  <w:r>
                    <w:rPr>
                      <w:rFonts w:hint="eastAsia" w:ascii="宋体" w:hAnsi="宋体" w:cs="宋体"/>
                      <w:b/>
                      <w:bCs/>
                    </w:rPr>
                    <w:t>10</w:t>
                  </w:r>
                </w:p>
              </w:tc>
            </w:tr>
            <w:tr w14:paraId="0AAB3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restart"/>
                  <w:tcBorders>
                    <w:top w:val="single" w:color="000000" w:sz="8" w:space="0"/>
                    <w:left w:val="single" w:color="000000" w:sz="8" w:space="0"/>
                    <w:right w:val="single" w:color="000000" w:sz="8" w:space="0"/>
                  </w:tcBorders>
                  <w:vAlign w:val="center"/>
                </w:tcPr>
                <w:p w14:paraId="31E784A6">
                  <w:pPr>
                    <w:jc w:val="center"/>
                    <w:rPr>
                      <w:rFonts w:ascii="宋体" w:hAnsi="宋体" w:eastAsia="宋体" w:cs="宋体"/>
                      <w:b/>
                      <w:bCs/>
                    </w:rPr>
                  </w:pPr>
                  <w:r>
                    <w:rPr>
                      <w:rFonts w:hint="eastAsia" w:ascii="宋体" w:hAnsi="宋体" w:eastAsia="宋体" w:cs="宋体"/>
                      <w:b/>
                      <w:bCs/>
                    </w:rPr>
                    <w:t>2</w:t>
                  </w:r>
                </w:p>
              </w:tc>
              <w:tc>
                <w:tcPr>
                  <w:tcW w:w="3000" w:type="dxa"/>
                  <w:gridSpan w:val="3"/>
                  <w:tcBorders>
                    <w:top w:val="single" w:color="000000" w:sz="8" w:space="0"/>
                    <w:left w:val="single" w:color="000000" w:sz="8" w:space="0"/>
                    <w:bottom w:val="single" w:color="000000" w:sz="8" w:space="0"/>
                    <w:right w:val="single" w:color="000000" w:sz="8" w:space="0"/>
                  </w:tcBorders>
                </w:tcPr>
                <w:p w14:paraId="45FB8123">
                  <w:pPr>
                    <w:jc w:val="center"/>
                    <w:rPr>
                      <w:rFonts w:ascii="宋体" w:hAnsi="宋体" w:eastAsia="宋体" w:cs="宋体"/>
                      <w:b/>
                      <w:bCs/>
                    </w:rPr>
                  </w:pPr>
                  <w:r>
                    <w:rPr>
                      <w:rFonts w:hint="eastAsia" w:ascii="宋体" w:hAnsi="宋体" w:eastAsia="宋体" w:cs="宋体"/>
                      <w:b/>
                      <w:bCs/>
                    </w:rPr>
                    <w:t>技术部分</w:t>
                  </w:r>
                </w:p>
              </w:tc>
              <w:tc>
                <w:tcPr>
                  <w:tcW w:w="5396" w:type="dxa"/>
                  <w:tcBorders>
                    <w:top w:val="single" w:color="000000" w:sz="8" w:space="0"/>
                    <w:left w:val="single" w:color="000000" w:sz="8" w:space="0"/>
                    <w:bottom w:val="single" w:color="000000" w:sz="8" w:space="0"/>
                    <w:right w:val="single" w:color="000000" w:sz="8" w:space="0"/>
                  </w:tcBorders>
                </w:tcPr>
                <w:p w14:paraId="3D26F4EC">
                  <w:pPr>
                    <w:jc w:val="center"/>
                    <w:rPr>
                      <w:rFonts w:hint="default" w:ascii="宋体" w:hAnsi="宋体" w:eastAsia="宋体" w:cs="宋体"/>
                      <w:b/>
                      <w:bCs/>
                      <w:lang w:val="en-US" w:eastAsia="zh-CN"/>
                    </w:rPr>
                  </w:pPr>
                  <w:r>
                    <w:rPr>
                      <w:rFonts w:hint="eastAsia" w:ascii="宋体" w:hAnsi="宋体" w:eastAsia="宋体" w:cs="宋体"/>
                      <w:b/>
                      <w:bCs/>
                      <w:lang w:val="en-US" w:eastAsia="zh-CN"/>
                    </w:rPr>
                    <w:t>70</w:t>
                  </w:r>
                </w:p>
              </w:tc>
            </w:tr>
            <w:tr w14:paraId="737E94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shd w:val="clear" w:color="auto" w:fill="E6EFFA"/>
                  <w:vAlign w:val="center"/>
                </w:tcPr>
                <w:p w14:paraId="6126F7A0">
                  <w:pPr>
                    <w:rPr>
                      <w:rFonts w:ascii="宋体" w:hAnsi="宋体" w:eastAsia="宋体" w:cs="宋体"/>
                      <w:b/>
                      <w:bCs/>
                    </w:rPr>
                  </w:pPr>
                </w:p>
              </w:tc>
              <w:tc>
                <w:tcPr>
                  <w:tcW w:w="6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4F8F815">
                  <w:pPr>
                    <w:jc w:val="center"/>
                    <w:rPr>
                      <w:rFonts w:ascii="宋体" w:hAnsi="宋体" w:eastAsia="宋体" w:cs="宋体"/>
                    </w:rPr>
                  </w:pPr>
                  <w:r>
                    <w:rPr>
                      <w:rFonts w:hint="eastAsia" w:ascii="宋体" w:hAnsi="宋体" w:eastAsia="宋体" w:cs="宋体"/>
                    </w:rPr>
                    <w:t>序号</w:t>
                  </w:r>
                </w:p>
              </w:tc>
              <w:tc>
                <w:tcPr>
                  <w:tcW w:w="12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ADF3021">
                  <w:pPr>
                    <w:jc w:val="center"/>
                    <w:rPr>
                      <w:rFonts w:ascii="宋体" w:hAnsi="宋体" w:eastAsia="宋体" w:cs="宋体"/>
                    </w:rPr>
                  </w:pPr>
                  <w:r>
                    <w:rPr>
                      <w:rFonts w:hint="eastAsia" w:ascii="宋体" w:hAnsi="宋体" w:eastAsia="宋体" w:cs="宋体"/>
                    </w:rPr>
                    <w:t>评审因素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45AA9A1">
                  <w:pPr>
                    <w:jc w:val="center"/>
                    <w:rPr>
                      <w:rFonts w:ascii="宋体" w:hAnsi="宋体" w:eastAsia="宋体" w:cs="宋体"/>
                    </w:rPr>
                  </w:pPr>
                  <w:r>
                    <w:rPr>
                      <w:rFonts w:hint="eastAsia" w:ascii="宋体" w:hAnsi="宋体" w:eastAsia="宋体" w:cs="宋体"/>
                    </w:rPr>
                    <w:t>权重(%)</w:t>
                  </w:r>
                </w:p>
              </w:tc>
              <w:tc>
                <w:tcPr>
                  <w:tcW w:w="53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6C202AD">
                  <w:pPr>
                    <w:jc w:val="center"/>
                    <w:rPr>
                      <w:rFonts w:ascii="宋体" w:hAnsi="宋体" w:eastAsia="宋体" w:cs="宋体"/>
                    </w:rPr>
                  </w:pPr>
                  <w:r>
                    <w:rPr>
                      <w:rFonts w:hint="eastAsia" w:ascii="宋体" w:hAnsi="宋体" w:eastAsia="宋体" w:cs="宋体"/>
                    </w:rPr>
                    <w:t>评分准则</w:t>
                  </w:r>
                </w:p>
              </w:tc>
            </w:tr>
            <w:tr w14:paraId="42A51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5655ABEB">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394663E">
                  <w:pPr>
                    <w:jc w:val="center"/>
                    <w:rPr>
                      <w:rFonts w:ascii="宋体" w:hAnsi="宋体" w:eastAsia="宋体" w:cs="宋体"/>
                    </w:rPr>
                  </w:pPr>
                  <w:r>
                    <w:rPr>
                      <w:rFonts w:hint="eastAsia" w:ascii="宋体" w:hAnsi="宋体" w:eastAsia="宋体" w:cs="宋体"/>
                    </w:rPr>
                    <w:t>1</w:t>
                  </w:r>
                </w:p>
              </w:tc>
              <w:tc>
                <w:tcPr>
                  <w:tcW w:w="1295" w:type="dxa"/>
                  <w:tcBorders>
                    <w:top w:val="single" w:color="000000" w:sz="8" w:space="0"/>
                    <w:left w:val="single" w:color="000000" w:sz="8" w:space="0"/>
                    <w:bottom w:val="single" w:color="000000" w:sz="8" w:space="0"/>
                    <w:right w:val="single" w:color="000000" w:sz="8" w:space="0"/>
                  </w:tcBorders>
                  <w:vAlign w:val="center"/>
                </w:tcPr>
                <w:p w14:paraId="5DB80768">
                  <w:pPr>
                    <w:jc w:val="center"/>
                    <w:rPr>
                      <w:rFonts w:hint="eastAsia" w:ascii="宋体" w:hAnsi="宋体" w:eastAsia="宋体" w:cs="宋体"/>
                    </w:rPr>
                  </w:pPr>
                  <w:r>
                    <w:rPr>
                      <w:rFonts w:hint="eastAsia" w:ascii="宋体" w:hAnsi="宋体" w:eastAsia="宋体" w:cs="宋体"/>
                    </w:rPr>
                    <w:t>项目整体设想及规划方案</w:t>
                  </w:r>
                </w:p>
              </w:tc>
              <w:tc>
                <w:tcPr>
                  <w:tcW w:w="1030" w:type="dxa"/>
                  <w:tcBorders>
                    <w:top w:val="single" w:color="000000" w:sz="8" w:space="0"/>
                    <w:left w:val="single" w:color="000000" w:sz="8" w:space="0"/>
                    <w:bottom w:val="single" w:color="000000" w:sz="8" w:space="0"/>
                    <w:right w:val="single" w:color="000000" w:sz="8" w:space="0"/>
                  </w:tcBorders>
                  <w:vAlign w:val="center"/>
                </w:tcPr>
                <w:p w14:paraId="0A211A85">
                  <w:pPr>
                    <w:jc w:val="center"/>
                    <w:rPr>
                      <w:rFonts w:hint="eastAsia" w:ascii="宋体" w:hAnsi="宋体" w:eastAsia="宋体" w:cs="宋体"/>
                    </w:rPr>
                  </w:pPr>
                  <w:r>
                    <w:rPr>
                      <w:rFonts w:hint="eastAsia" w:ascii="宋体" w:hAnsi="宋体" w:eastAsia="宋体" w:cs="宋体"/>
                      <w:lang w:val="en-US" w:eastAsia="zh-CN"/>
                    </w:rPr>
                    <w:t>9</w:t>
                  </w:r>
                </w:p>
              </w:tc>
              <w:tc>
                <w:tcPr>
                  <w:tcW w:w="5396" w:type="dxa"/>
                  <w:tcBorders>
                    <w:top w:val="single" w:color="000000" w:sz="8" w:space="0"/>
                    <w:left w:val="single" w:color="000000" w:sz="8" w:space="0"/>
                    <w:bottom w:val="single" w:color="000000" w:sz="8" w:space="0"/>
                    <w:right w:val="single" w:color="000000" w:sz="8" w:space="0"/>
                  </w:tcBorders>
                  <w:vAlign w:val="top"/>
                </w:tcPr>
                <w:p w14:paraId="12463B36">
                  <w:pPr>
                    <w:jc w:val="both"/>
                    <w:rPr>
                      <w:rFonts w:hint="default" w:ascii="宋体" w:hAnsi="宋体" w:eastAsia="宋体" w:cs="宋体"/>
                      <w:lang w:val="zh-CN"/>
                    </w:rPr>
                  </w:pPr>
                  <w:r>
                    <w:rPr>
                      <w:rFonts w:hint="default" w:ascii="宋体" w:hAnsi="宋体" w:eastAsia="宋体" w:cs="宋体"/>
                      <w:lang w:val="zh-CN"/>
                    </w:rPr>
                    <w:t>（一）评分内容：</w:t>
                  </w:r>
                </w:p>
                <w:p w14:paraId="71AF3803">
                  <w:pPr>
                    <w:jc w:val="both"/>
                    <w:rPr>
                      <w:rFonts w:hint="default" w:ascii="宋体" w:hAnsi="宋体" w:eastAsia="宋体" w:cs="宋体"/>
                      <w:lang w:val="zh-CN"/>
                    </w:rPr>
                  </w:pPr>
                  <w:r>
                    <w:rPr>
                      <w:rFonts w:hint="default" w:ascii="宋体" w:hAnsi="宋体" w:eastAsia="宋体" w:cs="宋体"/>
                      <w:lang w:val="zh-CN"/>
                    </w:rPr>
                    <w:t>考察针对本项目的项目整体设想及规划方案，包括但不限于以下内容：</w:t>
                  </w:r>
                </w:p>
                <w:p w14:paraId="0A9480A4">
                  <w:pPr>
                    <w:jc w:val="both"/>
                    <w:rPr>
                      <w:rFonts w:hint="default" w:ascii="宋体" w:hAnsi="宋体" w:eastAsia="宋体" w:cs="宋体"/>
                      <w:lang w:val="zh-CN"/>
                    </w:rPr>
                  </w:pPr>
                  <w:r>
                    <w:rPr>
                      <w:rFonts w:hint="default" w:ascii="宋体" w:hAnsi="宋体" w:eastAsia="宋体" w:cs="宋体"/>
                      <w:lang w:val="zh-CN"/>
                    </w:rPr>
                    <w:t>1、货源、采购渠道；</w:t>
                  </w:r>
                </w:p>
                <w:p w14:paraId="76C700E0">
                  <w:pPr>
                    <w:jc w:val="both"/>
                    <w:rPr>
                      <w:rFonts w:hint="default" w:ascii="宋体" w:hAnsi="宋体" w:eastAsia="宋体" w:cs="宋体"/>
                      <w:lang w:val="zh-CN"/>
                    </w:rPr>
                  </w:pPr>
                  <w:r>
                    <w:rPr>
                      <w:rFonts w:hint="default" w:ascii="宋体" w:hAnsi="宋体" w:eastAsia="宋体" w:cs="宋体"/>
                      <w:lang w:val="zh-CN"/>
                    </w:rPr>
                    <w:t>2、供货保障及品质监控；</w:t>
                  </w:r>
                </w:p>
                <w:p w14:paraId="1E278BEF">
                  <w:pPr>
                    <w:jc w:val="both"/>
                    <w:rPr>
                      <w:rFonts w:hint="default" w:ascii="宋体" w:hAnsi="宋体" w:eastAsia="宋体" w:cs="宋体"/>
                      <w:lang w:val="zh-CN"/>
                    </w:rPr>
                  </w:pPr>
                  <w:r>
                    <w:rPr>
                      <w:rFonts w:hint="default" w:ascii="宋体" w:hAnsi="宋体" w:eastAsia="宋体" w:cs="宋体"/>
                      <w:lang w:val="zh-CN"/>
                    </w:rPr>
                    <w:t>3、日常管理组织；</w:t>
                  </w:r>
                </w:p>
                <w:p w14:paraId="414B586E">
                  <w:pPr>
                    <w:jc w:val="both"/>
                    <w:rPr>
                      <w:rFonts w:hint="default" w:ascii="宋体" w:hAnsi="宋体" w:eastAsia="宋体" w:cs="宋体"/>
                      <w:lang w:val="zh-CN"/>
                    </w:rPr>
                  </w:pPr>
                  <w:r>
                    <w:rPr>
                      <w:rFonts w:hint="default" w:ascii="宋体" w:hAnsi="宋体" w:eastAsia="宋体" w:cs="宋体"/>
                      <w:lang w:val="zh-CN"/>
                    </w:rPr>
                    <w:t>4、物流配送方案。</w:t>
                  </w:r>
                </w:p>
                <w:p w14:paraId="74047BD6">
                  <w:pPr>
                    <w:jc w:val="both"/>
                    <w:rPr>
                      <w:rFonts w:hint="default" w:ascii="宋体" w:hAnsi="宋体" w:eastAsia="宋体" w:cs="宋体"/>
                      <w:lang w:val="zh-CN"/>
                    </w:rPr>
                  </w:pPr>
                  <w:r>
                    <w:rPr>
                      <w:rFonts w:hint="default" w:ascii="宋体" w:hAnsi="宋体" w:eastAsia="宋体" w:cs="宋体"/>
                      <w:lang w:val="zh-CN"/>
                    </w:rPr>
                    <w:t>（二）评分依据：</w:t>
                  </w:r>
                </w:p>
                <w:p w14:paraId="3F9076C4">
                  <w:pPr>
                    <w:jc w:val="both"/>
                    <w:rPr>
                      <w:rFonts w:hint="default" w:ascii="宋体" w:hAnsi="宋体" w:eastAsia="宋体" w:cs="宋体"/>
                      <w:lang w:val="zh-CN"/>
                    </w:rPr>
                  </w:pPr>
                  <w:r>
                    <w:rPr>
                      <w:rFonts w:hint="default" w:ascii="宋体" w:hAnsi="宋体" w:eastAsia="宋体" w:cs="宋体"/>
                      <w:lang w:val="zh-CN"/>
                    </w:rPr>
                    <w:t>1.投标人提供的项目整体设想及规划方案每包含以上1点得20分，本小项最高得80分。</w:t>
                  </w:r>
                </w:p>
                <w:p w14:paraId="184AB810">
                  <w:pPr>
                    <w:jc w:val="both"/>
                    <w:rPr>
                      <w:rFonts w:hint="default" w:ascii="宋体" w:hAnsi="宋体" w:eastAsia="宋体" w:cs="宋体"/>
                      <w:lang w:val="zh-CN"/>
                    </w:rPr>
                  </w:pPr>
                  <w:r>
                    <w:rPr>
                      <w:rFonts w:hint="default" w:ascii="宋体" w:hAnsi="宋体" w:eastAsia="宋体" w:cs="宋体"/>
                      <w:lang w:val="zh-CN"/>
                    </w:rPr>
                    <w:t>2.在此基础上，根据投标人项目整体设想及规划方案具体响应内容进一步评审：</w:t>
                  </w:r>
                </w:p>
                <w:p w14:paraId="3806DACC">
                  <w:pPr>
                    <w:jc w:val="both"/>
                    <w:rPr>
                      <w:rFonts w:hint="default" w:ascii="宋体" w:hAnsi="宋体" w:eastAsia="宋体" w:cs="宋体"/>
                      <w:lang w:val="zh-CN"/>
                    </w:rPr>
                  </w:pPr>
                  <w:r>
                    <w:rPr>
                      <w:rFonts w:hint="default" w:ascii="宋体" w:hAnsi="宋体" w:eastAsia="宋体" w:cs="宋体"/>
                      <w:lang w:val="zh-CN"/>
                    </w:rPr>
                    <w:t>①评审为优：项目整体设想及规划方案的内容全面具体、针对性强、可操作性强，加20分；</w:t>
                  </w:r>
                </w:p>
                <w:p w14:paraId="4FD9E47F">
                  <w:pPr>
                    <w:jc w:val="both"/>
                    <w:rPr>
                      <w:rFonts w:hint="default" w:ascii="宋体" w:hAnsi="宋体" w:eastAsia="宋体" w:cs="宋体"/>
                      <w:lang w:val="zh-CN"/>
                    </w:rPr>
                  </w:pPr>
                  <w:r>
                    <w:rPr>
                      <w:rFonts w:hint="default" w:ascii="宋体" w:hAnsi="宋体" w:eastAsia="宋体" w:cs="宋体"/>
                      <w:lang w:val="zh-CN"/>
                    </w:rPr>
                    <w:t>②评审为良：项目整体设想及规划方案的内容较全面、针对性较强、可操作性较强，加10分；</w:t>
                  </w:r>
                </w:p>
                <w:p w14:paraId="07E6B54B">
                  <w:pPr>
                    <w:jc w:val="both"/>
                    <w:rPr>
                      <w:rFonts w:hint="default" w:ascii="宋体" w:hAnsi="宋体" w:eastAsia="宋体" w:cs="宋体"/>
                      <w:lang w:val="zh-CN"/>
                    </w:rPr>
                  </w:pPr>
                  <w:r>
                    <w:rPr>
                      <w:rFonts w:hint="default" w:ascii="宋体" w:hAnsi="宋体" w:eastAsia="宋体" w:cs="宋体"/>
                      <w:lang w:val="zh-CN"/>
                    </w:rPr>
                    <w:t>③评审为中：项目整体设想及规划方案的内容完整性、针对性、可操作性均一般，加5分；</w:t>
                  </w:r>
                </w:p>
                <w:p w14:paraId="54850423">
                  <w:pPr>
                    <w:jc w:val="both"/>
                    <w:rPr>
                      <w:rFonts w:hint="default" w:ascii="宋体" w:hAnsi="宋体" w:eastAsia="宋体" w:cs="宋体"/>
                      <w:lang w:val="zh-CN"/>
                    </w:rPr>
                  </w:pPr>
                  <w:r>
                    <w:rPr>
                      <w:rFonts w:hint="default" w:ascii="宋体" w:hAnsi="宋体" w:eastAsia="宋体" w:cs="宋体"/>
                      <w:lang w:val="zh-CN"/>
                    </w:rPr>
                    <w:t>④评审为差：项目整体设想及规划方案内容不科学、不完整、针对性较弱，加0分；如果评审为差，请书面说明理由，并记录存档。</w:t>
                  </w:r>
                </w:p>
                <w:p w14:paraId="6F6BEF70">
                  <w:pPr>
                    <w:jc w:val="both"/>
                    <w:rPr>
                      <w:rFonts w:hint="default" w:ascii="宋体" w:hAnsi="宋体" w:eastAsia="宋体" w:cs="宋体"/>
                      <w:lang w:val="zh-CN"/>
                    </w:rPr>
                  </w:pPr>
                  <w:r>
                    <w:rPr>
                      <w:rFonts w:hint="default" w:ascii="宋体" w:hAnsi="宋体" w:eastAsia="宋体" w:cs="宋体"/>
                      <w:lang w:val="zh-CN"/>
                    </w:rPr>
                    <w:t>以上2项合计最高得100分。</w:t>
                  </w:r>
                </w:p>
                <w:p w14:paraId="61C801E8">
                  <w:pPr>
                    <w:jc w:val="both"/>
                    <w:rPr>
                      <w:rFonts w:hint="eastAsia" w:ascii="宋体" w:hAnsi="宋体" w:eastAsia="宋体" w:cs="宋体"/>
                    </w:rPr>
                  </w:pPr>
                  <w:r>
                    <w:rPr>
                      <w:rFonts w:hint="default" w:ascii="宋体" w:hAnsi="宋体" w:eastAsia="宋体" w:cs="宋体"/>
                      <w:lang w:val="zh-CN"/>
                    </w:rPr>
                    <w:t>备注：投标人未提供相应方案的，得0分。</w:t>
                  </w:r>
                </w:p>
              </w:tc>
            </w:tr>
            <w:tr w14:paraId="040E6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12FE16FB">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0D95ABC">
                  <w:pPr>
                    <w:jc w:val="center"/>
                    <w:rPr>
                      <w:rFonts w:ascii="宋体" w:hAnsi="宋体" w:eastAsia="宋体" w:cs="宋体"/>
                    </w:rPr>
                  </w:pPr>
                  <w:r>
                    <w:rPr>
                      <w:rFonts w:hint="eastAsia" w:ascii="宋体" w:hAnsi="宋体" w:eastAsia="宋体" w:cs="宋体"/>
                    </w:rPr>
                    <w:t>2</w:t>
                  </w:r>
                </w:p>
              </w:tc>
              <w:tc>
                <w:tcPr>
                  <w:tcW w:w="1295" w:type="dxa"/>
                  <w:tcBorders>
                    <w:top w:val="single" w:color="000000" w:sz="8" w:space="0"/>
                    <w:left w:val="single" w:color="000000" w:sz="8" w:space="0"/>
                    <w:bottom w:val="single" w:color="000000" w:sz="8" w:space="0"/>
                    <w:right w:val="single" w:color="000000" w:sz="8" w:space="0"/>
                  </w:tcBorders>
                  <w:vAlign w:val="center"/>
                </w:tcPr>
                <w:p w14:paraId="770E07C3">
                  <w:pPr>
                    <w:jc w:val="center"/>
                    <w:rPr>
                      <w:rFonts w:hint="eastAsia" w:ascii="宋体" w:hAnsi="宋体" w:eastAsia="宋体" w:cs="宋体"/>
                    </w:rPr>
                  </w:pPr>
                  <w:r>
                    <w:rPr>
                      <w:rFonts w:hint="eastAsia" w:ascii="宋体" w:hAnsi="宋体" w:eastAsia="宋体" w:cs="宋体"/>
                      <w:lang w:val="zh-CN"/>
                    </w:rPr>
                    <w:t>规章管理制度、工作流程</w:t>
                  </w:r>
                </w:p>
              </w:tc>
              <w:tc>
                <w:tcPr>
                  <w:tcW w:w="1030" w:type="dxa"/>
                  <w:tcBorders>
                    <w:top w:val="single" w:color="000000" w:sz="8" w:space="0"/>
                    <w:left w:val="single" w:color="000000" w:sz="8" w:space="0"/>
                    <w:bottom w:val="single" w:color="000000" w:sz="8" w:space="0"/>
                    <w:right w:val="single" w:color="000000" w:sz="8" w:space="0"/>
                  </w:tcBorders>
                  <w:vAlign w:val="center"/>
                </w:tcPr>
                <w:p w14:paraId="62726344">
                  <w:pPr>
                    <w:jc w:val="center"/>
                    <w:rPr>
                      <w:rFonts w:hint="eastAsia" w:ascii="宋体" w:hAnsi="宋体" w:eastAsia="宋体" w:cs="宋体"/>
                    </w:rPr>
                  </w:pPr>
                  <w:r>
                    <w:rPr>
                      <w:rFonts w:hint="eastAsia" w:ascii="宋体" w:hAnsi="宋体" w:eastAsia="宋体" w:cs="宋体"/>
                      <w:lang w:val="en-US" w:eastAsia="zh-CN"/>
                    </w:rPr>
                    <w:t>8</w:t>
                  </w:r>
                </w:p>
              </w:tc>
              <w:tc>
                <w:tcPr>
                  <w:tcW w:w="5396" w:type="dxa"/>
                  <w:tcBorders>
                    <w:top w:val="single" w:color="000000" w:sz="8" w:space="0"/>
                    <w:left w:val="single" w:color="000000" w:sz="8" w:space="0"/>
                    <w:bottom w:val="single" w:color="000000" w:sz="8" w:space="0"/>
                    <w:right w:val="single" w:color="000000" w:sz="8" w:space="0"/>
                  </w:tcBorders>
                  <w:vAlign w:val="top"/>
                </w:tcPr>
                <w:p w14:paraId="3D176089">
                  <w:pPr>
                    <w:jc w:val="both"/>
                    <w:rPr>
                      <w:rFonts w:hint="default" w:ascii="宋体" w:hAnsi="宋体" w:eastAsia="宋体" w:cs="宋体"/>
                      <w:lang w:val="zh-CN"/>
                    </w:rPr>
                  </w:pPr>
                  <w:r>
                    <w:rPr>
                      <w:rFonts w:hint="default" w:ascii="宋体" w:hAnsi="宋体" w:eastAsia="宋体" w:cs="宋体"/>
                      <w:lang w:val="zh-CN"/>
                    </w:rPr>
                    <w:t>（一）评分内容：</w:t>
                  </w:r>
                </w:p>
                <w:p w14:paraId="238F1CFA">
                  <w:pPr>
                    <w:jc w:val="both"/>
                    <w:rPr>
                      <w:rFonts w:hint="default" w:ascii="宋体" w:hAnsi="宋体" w:eastAsia="宋体" w:cs="宋体"/>
                      <w:lang w:val="zh-CN"/>
                    </w:rPr>
                  </w:pPr>
                  <w:r>
                    <w:rPr>
                      <w:rFonts w:hint="default" w:ascii="宋体" w:hAnsi="宋体" w:eastAsia="宋体" w:cs="宋体"/>
                      <w:lang w:val="zh-CN"/>
                    </w:rPr>
                    <w:t>考察针对本项目的规章管理制度、工作流程等，包括但不限于以下内容：</w:t>
                  </w:r>
                </w:p>
                <w:p w14:paraId="5068B964">
                  <w:pPr>
                    <w:jc w:val="both"/>
                    <w:rPr>
                      <w:rFonts w:hint="default" w:ascii="宋体" w:hAnsi="宋体" w:eastAsia="宋体" w:cs="宋体"/>
                      <w:lang w:val="zh-CN"/>
                    </w:rPr>
                  </w:pPr>
                  <w:r>
                    <w:rPr>
                      <w:rFonts w:hint="default" w:ascii="宋体" w:hAnsi="宋体" w:eastAsia="宋体" w:cs="宋体"/>
                      <w:lang w:val="zh-CN"/>
                    </w:rPr>
                    <w:t>1、食品安全保障制度；</w:t>
                  </w:r>
                </w:p>
                <w:p w14:paraId="5CA55BE1">
                  <w:pPr>
                    <w:jc w:val="both"/>
                    <w:rPr>
                      <w:rFonts w:hint="default" w:ascii="宋体" w:hAnsi="宋体" w:eastAsia="宋体" w:cs="宋体"/>
                      <w:lang w:val="zh-CN"/>
                    </w:rPr>
                  </w:pPr>
                  <w:r>
                    <w:rPr>
                      <w:rFonts w:hint="default" w:ascii="宋体" w:hAnsi="宋体" w:eastAsia="宋体" w:cs="宋体"/>
                      <w:lang w:val="zh-CN"/>
                    </w:rPr>
                    <w:t>2、人员岗位职责及操作规程；</w:t>
                  </w:r>
                </w:p>
                <w:p w14:paraId="0F8AB804">
                  <w:pPr>
                    <w:jc w:val="both"/>
                    <w:rPr>
                      <w:rFonts w:hint="default" w:ascii="宋体" w:hAnsi="宋体" w:eastAsia="宋体" w:cs="宋体"/>
                      <w:lang w:val="zh-CN"/>
                    </w:rPr>
                  </w:pPr>
                  <w:r>
                    <w:rPr>
                      <w:rFonts w:hint="default" w:ascii="宋体" w:hAnsi="宋体" w:eastAsia="宋体" w:cs="宋体"/>
                      <w:lang w:val="zh-CN"/>
                    </w:rPr>
                    <w:t>3、劳动纪律和奖惩办法；</w:t>
                  </w:r>
                </w:p>
                <w:p w14:paraId="20C0E572">
                  <w:pPr>
                    <w:jc w:val="both"/>
                    <w:rPr>
                      <w:rFonts w:hint="default" w:ascii="宋体" w:hAnsi="宋体" w:eastAsia="宋体" w:cs="宋体"/>
                      <w:lang w:val="zh-CN"/>
                    </w:rPr>
                  </w:pPr>
                  <w:r>
                    <w:rPr>
                      <w:rFonts w:hint="default" w:ascii="宋体" w:hAnsi="宋体" w:eastAsia="宋体" w:cs="宋体"/>
                      <w:lang w:val="zh-CN"/>
                    </w:rPr>
                    <w:t>4、客户投诉反馈管理制度。</w:t>
                  </w:r>
                </w:p>
                <w:p w14:paraId="29707A87">
                  <w:pPr>
                    <w:jc w:val="both"/>
                    <w:rPr>
                      <w:rFonts w:hint="default" w:ascii="宋体" w:hAnsi="宋体" w:eastAsia="宋体" w:cs="宋体"/>
                      <w:lang w:val="zh-CN"/>
                    </w:rPr>
                  </w:pPr>
                  <w:r>
                    <w:rPr>
                      <w:rFonts w:hint="default" w:ascii="宋体" w:hAnsi="宋体" w:eastAsia="宋体" w:cs="宋体"/>
                      <w:lang w:val="zh-CN"/>
                    </w:rPr>
                    <w:t>（二）评分依据：</w:t>
                  </w:r>
                </w:p>
                <w:p w14:paraId="220DD959">
                  <w:pPr>
                    <w:jc w:val="both"/>
                    <w:rPr>
                      <w:rFonts w:hint="default" w:ascii="宋体" w:hAnsi="宋体" w:eastAsia="宋体" w:cs="宋体"/>
                      <w:lang w:val="zh-CN"/>
                    </w:rPr>
                  </w:pPr>
                  <w:r>
                    <w:rPr>
                      <w:rFonts w:hint="default" w:ascii="宋体" w:hAnsi="宋体" w:eastAsia="宋体" w:cs="宋体"/>
                      <w:lang w:val="zh-CN"/>
                    </w:rPr>
                    <w:t>1.投标人提供的规章管理制度、工作流程每包含以上1点得20分，本小项最高得80分。</w:t>
                  </w:r>
                </w:p>
                <w:p w14:paraId="5EEAC6DC">
                  <w:pPr>
                    <w:jc w:val="both"/>
                    <w:rPr>
                      <w:rFonts w:hint="default" w:ascii="宋体" w:hAnsi="宋体" w:eastAsia="宋体" w:cs="宋体"/>
                      <w:lang w:val="zh-CN"/>
                    </w:rPr>
                  </w:pPr>
                  <w:r>
                    <w:rPr>
                      <w:rFonts w:hint="default" w:ascii="宋体" w:hAnsi="宋体" w:eastAsia="宋体" w:cs="宋体"/>
                      <w:lang w:val="zh-CN"/>
                    </w:rPr>
                    <w:t>2.在此基础上，根据投标人规章管理制度、工作流程具体响应内容进一步评审：</w:t>
                  </w:r>
                </w:p>
                <w:p w14:paraId="34F33793">
                  <w:pPr>
                    <w:jc w:val="both"/>
                    <w:rPr>
                      <w:rFonts w:hint="default" w:ascii="宋体" w:hAnsi="宋体" w:eastAsia="宋体" w:cs="宋体"/>
                      <w:lang w:val="zh-CN"/>
                    </w:rPr>
                  </w:pPr>
                  <w:r>
                    <w:rPr>
                      <w:rFonts w:hint="default" w:ascii="宋体" w:hAnsi="宋体" w:eastAsia="宋体" w:cs="宋体"/>
                      <w:lang w:val="zh-CN"/>
                    </w:rPr>
                    <w:t>①评审为优：规章管理制度、工作流程内容非常全面、详细、具体，加20分；</w:t>
                  </w:r>
                </w:p>
                <w:p w14:paraId="55F6B552">
                  <w:pPr>
                    <w:jc w:val="both"/>
                    <w:rPr>
                      <w:rFonts w:hint="default" w:ascii="宋体" w:hAnsi="宋体" w:eastAsia="宋体" w:cs="宋体"/>
                      <w:lang w:val="zh-CN"/>
                    </w:rPr>
                  </w:pPr>
                  <w:r>
                    <w:rPr>
                      <w:rFonts w:hint="default" w:ascii="宋体" w:hAnsi="宋体" w:eastAsia="宋体" w:cs="宋体"/>
                      <w:lang w:val="zh-CN"/>
                    </w:rPr>
                    <w:t>②评审为良：规章管理制度、工作流程内容较为全面、详细、具体，加10分；</w:t>
                  </w:r>
                </w:p>
                <w:p w14:paraId="052AC442">
                  <w:pPr>
                    <w:jc w:val="both"/>
                    <w:rPr>
                      <w:rFonts w:hint="default" w:ascii="宋体" w:hAnsi="宋体" w:eastAsia="宋体" w:cs="宋体"/>
                      <w:lang w:val="zh-CN"/>
                    </w:rPr>
                  </w:pPr>
                  <w:r>
                    <w:rPr>
                      <w:rFonts w:hint="default" w:ascii="宋体" w:hAnsi="宋体" w:eastAsia="宋体" w:cs="宋体"/>
                      <w:lang w:val="zh-CN"/>
                    </w:rPr>
                    <w:t>③评审为中：规章管理制度、工作流程内容一般，加5分；</w:t>
                  </w:r>
                </w:p>
                <w:p w14:paraId="12178157">
                  <w:pPr>
                    <w:jc w:val="both"/>
                    <w:rPr>
                      <w:rFonts w:hint="default" w:ascii="宋体" w:hAnsi="宋体" w:eastAsia="宋体" w:cs="宋体"/>
                      <w:lang w:val="zh-CN"/>
                    </w:rPr>
                  </w:pPr>
                  <w:r>
                    <w:rPr>
                      <w:rFonts w:hint="default" w:ascii="宋体" w:hAnsi="宋体" w:eastAsia="宋体" w:cs="宋体"/>
                      <w:lang w:val="zh-CN"/>
                    </w:rPr>
                    <w:t>④评审为差：规章管理制度、工作流程内容差，加0分；如果评审为差，请书面说明理由，并记录存档；</w:t>
                  </w:r>
                </w:p>
                <w:p w14:paraId="4547C51A">
                  <w:pPr>
                    <w:jc w:val="both"/>
                    <w:rPr>
                      <w:rFonts w:hint="default" w:ascii="宋体" w:hAnsi="宋体" w:eastAsia="宋体" w:cs="宋体"/>
                      <w:lang w:val="zh-CN"/>
                    </w:rPr>
                  </w:pPr>
                  <w:r>
                    <w:rPr>
                      <w:rFonts w:hint="default" w:ascii="宋体" w:hAnsi="宋体" w:eastAsia="宋体" w:cs="宋体"/>
                      <w:lang w:val="zh-CN"/>
                    </w:rPr>
                    <w:t>以上2项合计最高得100分。</w:t>
                  </w:r>
                </w:p>
                <w:p w14:paraId="0B184FF0">
                  <w:pPr>
                    <w:jc w:val="both"/>
                    <w:rPr>
                      <w:rFonts w:hint="eastAsia" w:ascii="宋体" w:hAnsi="宋体" w:eastAsia="宋体" w:cs="宋体"/>
                    </w:rPr>
                  </w:pPr>
                  <w:r>
                    <w:rPr>
                      <w:rFonts w:hint="default" w:ascii="宋体" w:hAnsi="宋体" w:eastAsia="宋体" w:cs="宋体"/>
                      <w:lang w:val="zh-CN"/>
                    </w:rPr>
                    <w:t>备注：投标人未提供相应方案的，得0分。</w:t>
                  </w:r>
                </w:p>
              </w:tc>
            </w:tr>
            <w:tr w14:paraId="45058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1EB99C36">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80A82F4">
                  <w:pPr>
                    <w:jc w:val="center"/>
                    <w:rPr>
                      <w:rFonts w:ascii="宋体" w:hAnsi="宋体" w:eastAsia="宋体" w:cs="宋体"/>
                    </w:rPr>
                  </w:pPr>
                  <w:r>
                    <w:rPr>
                      <w:rFonts w:hint="eastAsia" w:ascii="宋体" w:hAnsi="宋体" w:eastAsia="宋体" w:cs="宋体"/>
                    </w:rPr>
                    <w:t>3</w:t>
                  </w:r>
                </w:p>
              </w:tc>
              <w:tc>
                <w:tcPr>
                  <w:tcW w:w="1295" w:type="dxa"/>
                  <w:tcBorders>
                    <w:top w:val="single" w:color="000000" w:sz="8" w:space="0"/>
                    <w:left w:val="single" w:color="000000" w:sz="8" w:space="0"/>
                    <w:bottom w:val="single" w:color="000000" w:sz="8" w:space="0"/>
                    <w:right w:val="single" w:color="000000" w:sz="8" w:space="0"/>
                  </w:tcBorders>
                  <w:vAlign w:val="center"/>
                </w:tcPr>
                <w:p w14:paraId="2D33DEA4">
                  <w:pPr>
                    <w:jc w:val="center"/>
                    <w:rPr>
                      <w:rFonts w:hint="eastAsia" w:ascii="宋体" w:hAnsi="宋体" w:eastAsia="宋体" w:cs="宋体"/>
                    </w:rPr>
                  </w:pPr>
                  <w:r>
                    <w:rPr>
                      <w:rFonts w:hint="eastAsia" w:ascii="宋体" w:hAnsi="宋体" w:eastAsia="宋体" w:cs="宋体"/>
                      <w:lang w:val="en-US" w:eastAsia="zh-CN"/>
                    </w:rPr>
                    <w:t>应急预案</w:t>
                  </w:r>
                </w:p>
              </w:tc>
              <w:tc>
                <w:tcPr>
                  <w:tcW w:w="1030" w:type="dxa"/>
                  <w:tcBorders>
                    <w:top w:val="single" w:color="000000" w:sz="8" w:space="0"/>
                    <w:left w:val="single" w:color="000000" w:sz="8" w:space="0"/>
                    <w:bottom w:val="single" w:color="000000" w:sz="8" w:space="0"/>
                    <w:right w:val="single" w:color="000000" w:sz="8" w:space="0"/>
                  </w:tcBorders>
                  <w:vAlign w:val="center"/>
                </w:tcPr>
                <w:p w14:paraId="17BC4E7B">
                  <w:pPr>
                    <w:jc w:val="center"/>
                    <w:rPr>
                      <w:rFonts w:hint="eastAsia" w:ascii="宋体" w:hAnsi="宋体" w:eastAsia="宋体" w:cs="宋体"/>
                    </w:rPr>
                  </w:pPr>
                  <w:r>
                    <w:rPr>
                      <w:rFonts w:hint="eastAsia" w:ascii="宋体" w:hAnsi="宋体" w:eastAsia="宋体" w:cs="宋体"/>
                      <w:lang w:val="en-US" w:eastAsia="zh-CN"/>
                    </w:rPr>
                    <w:t>8</w:t>
                  </w:r>
                </w:p>
              </w:tc>
              <w:tc>
                <w:tcPr>
                  <w:tcW w:w="5396" w:type="dxa"/>
                  <w:tcBorders>
                    <w:top w:val="single" w:color="000000" w:sz="8" w:space="0"/>
                    <w:left w:val="single" w:color="000000" w:sz="8" w:space="0"/>
                    <w:bottom w:val="single" w:color="000000" w:sz="8" w:space="0"/>
                    <w:right w:val="single" w:color="000000" w:sz="8" w:space="0"/>
                  </w:tcBorders>
                  <w:vAlign w:val="top"/>
                </w:tcPr>
                <w:p w14:paraId="5650F124">
                  <w:pPr>
                    <w:jc w:val="both"/>
                    <w:rPr>
                      <w:rFonts w:hint="eastAsia" w:ascii="宋体" w:hAnsi="宋体" w:eastAsia="宋体" w:cs="宋体"/>
                      <w:lang w:val="zh-CN"/>
                    </w:rPr>
                  </w:pPr>
                  <w:r>
                    <w:rPr>
                      <w:rFonts w:hint="eastAsia" w:ascii="宋体" w:hAnsi="宋体" w:eastAsia="宋体" w:cs="宋体"/>
                      <w:lang w:val="zh-CN"/>
                    </w:rPr>
                    <w:t>（一）评分内容：</w:t>
                  </w:r>
                </w:p>
                <w:p w14:paraId="2438AC46">
                  <w:pPr>
                    <w:jc w:val="both"/>
                    <w:rPr>
                      <w:rFonts w:hint="eastAsia" w:ascii="宋体" w:hAnsi="宋体" w:eastAsia="宋体" w:cs="宋体"/>
                      <w:lang w:val="zh-CN"/>
                    </w:rPr>
                  </w:pPr>
                  <w:r>
                    <w:rPr>
                      <w:rFonts w:hint="eastAsia" w:ascii="宋体" w:hAnsi="宋体" w:eastAsia="宋体" w:cs="宋体"/>
                      <w:lang w:val="zh-CN"/>
                    </w:rPr>
                    <w:t>考察针对本项目的应急预案，包括但不限于以下内容：</w:t>
                  </w:r>
                </w:p>
                <w:p w14:paraId="7422CBC2">
                  <w:pPr>
                    <w:jc w:val="both"/>
                    <w:rPr>
                      <w:rFonts w:hint="eastAsia" w:ascii="宋体" w:hAnsi="宋体" w:eastAsia="宋体" w:cs="宋体"/>
                      <w:lang w:val="zh-CN"/>
                    </w:rPr>
                  </w:pPr>
                  <w:r>
                    <w:rPr>
                      <w:rFonts w:hint="eastAsia" w:ascii="宋体" w:hAnsi="宋体" w:eastAsia="宋体" w:cs="宋体"/>
                      <w:lang w:val="zh-CN"/>
                    </w:rPr>
                    <w:t>1、物流配送应急预案；</w:t>
                  </w:r>
                </w:p>
                <w:p w14:paraId="1390A0C9">
                  <w:pPr>
                    <w:jc w:val="both"/>
                    <w:rPr>
                      <w:rFonts w:hint="eastAsia" w:ascii="宋体" w:hAnsi="宋体" w:eastAsia="宋体" w:cs="宋体"/>
                      <w:lang w:val="zh-CN"/>
                    </w:rPr>
                  </w:pPr>
                  <w:r>
                    <w:rPr>
                      <w:rFonts w:hint="eastAsia" w:ascii="宋体" w:hAnsi="宋体" w:eastAsia="宋体" w:cs="宋体"/>
                      <w:lang w:val="zh-CN"/>
                    </w:rPr>
                    <w:t>2、食品安全应急预案；</w:t>
                  </w:r>
                </w:p>
                <w:p w14:paraId="29729A5F">
                  <w:pPr>
                    <w:jc w:val="both"/>
                    <w:rPr>
                      <w:rFonts w:hint="eastAsia" w:ascii="宋体" w:hAnsi="宋体" w:eastAsia="宋体" w:cs="宋体"/>
                      <w:lang w:val="zh-CN"/>
                    </w:rPr>
                  </w:pPr>
                  <w:r>
                    <w:rPr>
                      <w:rFonts w:hint="eastAsia" w:ascii="宋体" w:hAnsi="宋体" w:eastAsia="宋体" w:cs="宋体"/>
                      <w:lang w:val="zh-CN"/>
                    </w:rPr>
                    <w:t>3、季节性商品及自然灾害的应急预案；</w:t>
                  </w:r>
                </w:p>
                <w:p w14:paraId="4B7ED6EE">
                  <w:pPr>
                    <w:jc w:val="both"/>
                    <w:rPr>
                      <w:rFonts w:hint="eastAsia" w:ascii="宋体" w:hAnsi="宋体" w:eastAsia="宋体" w:cs="宋体"/>
                      <w:lang w:val="zh-CN"/>
                    </w:rPr>
                  </w:pPr>
                  <w:r>
                    <w:rPr>
                      <w:rFonts w:hint="eastAsia" w:ascii="宋体" w:hAnsi="宋体" w:eastAsia="宋体" w:cs="宋体"/>
                      <w:lang w:val="zh-CN"/>
                    </w:rPr>
                    <w:t>4、退货加急应急预案。</w:t>
                  </w:r>
                </w:p>
                <w:p w14:paraId="1D06EB03">
                  <w:pPr>
                    <w:jc w:val="both"/>
                    <w:rPr>
                      <w:rFonts w:hint="eastAsia" w:ascii="宋体" w:hAnsi="宋体" w:eastAsia="宋体" w:cs="宋体"/>
                      <w:lang w:val="zh-CN"/>
                    </w:rPr>
                  </w:pPr>
                  <w:r>
                    <w:rPr>
                      <w:rFonts w:hint="eastAsia" w:ascii="宋体" w:hAnsi="宋体" w:eastAsia="宋体" w:cs="宋体"/>
                      <w:lang w:val="zh-CN"/>
                    </w:rPr>
                    <w:t>（二）评分依据：</w:t>
                  </w:r>
                </w:p>
                <w:p w14:paraId="267DAD79">
                  <w:pPr>
                    <w:jc w:val="both"/>
                    <w:rPr>
                      <w:rFonts w:hint="eastAsia" w:ascii="宋体" w:hAnsi="宋体" w:eastAsia="宋体" w:cs="宋体"/>
                      <w:lang w:val="zh-CN"/>
                    </w:rPr>
                  </w:pPr>
                  <w:r>
                    <w:rPr>
                      <w:rFonts w:hint="eastAsia" w:ascii="宋体" w:hAnsi="宋体" w:eastAsia="宋体" w:cs="宋体"/>
                      <w:lang w:val="zh-CN"/>
                    </w:rPr>
                    <w:t>1.投标人提供的应急预案每包含以上1点得20分，本小项最高得80分。</w:t>
                  </w:r>
                </w:p>
                <w:p w14:paraId="4E3B2A7D">
                  <w:pPr>
                    <w:jc w:val="both"/>
                    <w:rPr>
                      <w:rFonts w:hint="eastAsia" w:ascii="宋体" w:hAnsi="宋体" w:eastAsia="宋体" w:cs="宋体"/>
                      <w:lang w:val="zh-CN"/>
                    </w:rPr>
                  </w:pPr>
                  <w:r>
                    <w:rPr>
                      <w:rFonts w:hint="eastAsia" w:ascii="宋体" w:hAnsi="宋体" w:eastAsia="宋体" w:cs="宋体"/>
                      <w:lang w:val="zh-CN"/>
                    </w:rPr>
                    <w:t>2.在此基础上，根据投标人应急预案具体响应内容进一步评审：</w:t>
                  </w:r>
                </w:p>
                <w:p w14:paraId="2AB5BE79">
                  <w:pPr>
                    <w:jc w:val="both"/>
                    <w:rPr>
                      <w:rFonts w:hint="eastAsia" w:ascii="宋体" w:hAnsi="宋体" w:eastAsia="宋体" w:cs="宋体"/>
                      <w:lang w:val="zh-CN"/>
                    </w:rPr>
                  </w:pPr>
                  <w:r>
                    <w:rPr>
                      <w:rFonts w:hint="eastAsia" w:ascii="宋体" w:hAnsi="宋体" w:eastAsia="宋体" w:cs="宋体"/>
                      <w:lang w:val="zh-CN"/>
                    </w:rPr>
                    <w:t>①评审为优：应急预案全面、详细、具体，考虑周到，可行性高，加20分；</w:t>
                  </w:r>
                </w:p>
                <w:p w14:paraId="33CD3B9A">
                  <w:pPr>
                    <w:jc w:val="both"/>
                    <w:rPr>
                      <w:rFonts w:hint="eastAsia" w:ascii="宋体" w:hAnsi="宋体" w:eastAsia="宋体" w:cs="宋体"/>
                      <w:lang w:val="zh-CN"/>
                    </w:rPr>
                  </w:pPr>
                  <w:r>
                    <w:rPr>
                      <w:rFonts w:hint="eastAsia" w:ascii="宋体" w:hAnsi="宋体" w:eastAsia="宋体" w:cs="宋体"/>
                      <w:lang w:val="zh-CN"/>
                    </w:rPr>
                    <w:t>②评审为良：</w:t>
                  </w:r>
                  <w:r>
                    <w:rPr>
                      <w:rFonts w:hint="eastAsia" w:ascii="宋体" w:hAnsi="宋体" w:eastAsia="宋体" w:cs="宋体"/>
                      <w:lang w:val="en-US" w:eastAsia="zh-CN"/>
                    </w:rPr>
                    <w:t>应</w:t>
                  </w:r>
                  <w:r>
                    <w:rPr>
                      <w:rFonts w:hint="eastAsia" w:ascii="宋体" w:hAnsi="宋体" w:eastAsia="宋体" w:cs="宋体"/>
                      <w:lang w:val="zh-CN"/>
                    </w:rPr>
                    <w:t>急预案较为全面、详细、具体，考虑较周到，可行性较高，加10分；</w:t>
                  </w:r>
                </w:p>
                <w:p w14:paraId="5087C53B">
                  <w:pPr>
                    <w:jc w:val="both"/>
                    <w:rPr>
                      <w:rFonts w:hint="eastAsia" w:ascii="宋体" w:hAnsi="宋体" w:eastAsia="宋体" w:cs="宋体"/>
                      <w:lang w:val="zh-CN"/>
                    </w:rPr>
                  </w:pPr>
                  <w:r>
                    <w:rPr>
                      <w:rFonts w:hint="eastAsia" w:ascii="宋体" w:hAnsi="宋体" w:eastAsia="宋体" w:cs="宋体"/>
                      <w:lang w:val="zh-CN"/>
                    </w:rPr>
                    <w:t>③评审为中：应急预案内容一般、可行性一般，加5分；</w:t>
                  </w:r>
                </w:p>
                <w:p w14:paraId="7CE039AD">
                  <w:pPr>
                    <w:jc w:val="both"/>
                    <w:rPr>
                      <w:rFonts w:hint="eastAsia" w:ascii="宋体" w:hAnsi="宋体" w:eastAsia="宋体" w:cs="宋体"/>
                      <w:lang w:val="zh-CN"/>
                    </w:rPr>
                  </w:pPr>
                  <w:r>
                    <w:rPr>
                      <w:rFonts w:hint="eastAsia" w:ascii="宋体" w:hAnsi="宋体" w:eastAsia="宋体" w:cs="宋体"/>
                      <w:lang w:val="zh-CN"/>
                    </w:rPr>
                    <w:t>④评审为差：应急预案内容差、可行性差，加0分；如果评审为差，请书面说明理由，并记录存档；</w:t>
                  </w:r>
                </w:p>
                <w:p w14:paraId="0B0604DB">
                  <w:pPr>
                    <w:jc w:val="both"/>
                    <w:rPr>
                      <w:rFonts w:hint="eastAsia" w:ascii="宋体" w:hAnsi="宋体" w:eastAsia="宋体" w:cs="宋体"/>
                      <w:lang w:val="zh-CN"/>
                    </w:rPr>
                  </w:pPr>
                  <w:r>
                    <w:rPr>
                      <w:rFonts w:hint="eastAsia" w:ascii="宋体" w:hAnsi="宋体" w:eastAsia="宋体" w:cs="宋体"/>
                      <w:lang w:val="zh-CN"/>
                    </w:rPr>
                    <w:t>以上2项合计最高得100分。</w:t>
                  </w:r>
                </w:p>
                <w:p w14:paraId="74ADCEC7">
                  <w:pPr>
                    <w:jc w:val="both"/>
                    <w:rPr>
                      <w:rFonts w:hint="eastAsia" w:ascii="宋体" w:hAnsi="宋体" w:eastAsia="宋体" w:cs="宋体"/>
                    </w:rPr>
                  </w:pPr>
                  <w:r>
                    <w:rPr>
                      <w:rFonts w:hint="eastAsia" w:ascii="宋体" w:hAnsi="宋体" w:eastAsia="宋体" w:cs="宋体"/>
                      <w:lang w:val="zh-CN"/>
                    </w:rPr>
                    <w:t>备注：投标人未提供相应方案的，得0分。</w:t>
                  </w:r>
                </w:p>
              </w:tc>
            </w:tr>
            <w:tr w14:paraId="58ABE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363DC1C1">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0F25EC5">
                  <w:pPr>
                    <w:jc w:val="center"/>
                    <w:rPr>
                      <w:rFonts w:ascii="宋体" w:hAnsi="宋体" w:eastAsia="宋体" w:cs="宋体"/>
                    </w:rPr>
                  </w:pPr>
                  <w:r>
                    <w:rPr>
                      <w:rFonts w:hint="eastAsia" w:ascii="宋体" w:hAnsi="宋体" w:eastAsia="宋体" w:cs="宋体"/>
                    </w:rPr>
                    <w:t>4</w:t>
                  </w:r>
                </w:p>
              </w:tc>
              <w:tc>
                <w:tcPr>
                  <w:tcW w:w="1295" w:type="dxa"/>
                  <w:tcBorders>
                    <w:top w:val="single" w:color="000000" w:sz="8" w:space="0"/>
                    <w:left w:val="single" w:color="000000" w:sz="8" w:space="0"/>
                    <w:bottom w:val="single" w:color="000000" w:sz="8" w:space="0"/>
                    <w:right w:val="single" w:color="000000" w:sz="8" w:space="0"/>
                  </w:tcBorders>
                  <w:vAlign w:val="center"/>
                </w:tcPr>
                <w:p w14:paraId="6F64F1E8">
                  <w:pPr>
                    <w:jc w:val="center"/>
                    <w:rPr>
                      <w:rFonts w:hint="eastAsia" w:ascii="宋体" w:hAnsi="宋体" w:eastAsia="宋体" w:cs="宋体"/>
                    </w:rPr>
                  </w:pPr>
                  <w:r>
                    <w:rPr>
                      <w:rFonts w:hint="eastAsia" w:ascii="宋体" w:hAnsi="宋体" w:eastAsia="宋体" w:cs="宋体"/>
                      <w:lang w:val="en-US" w:eastAsia="zh-CN"/>
                    </w:rPr>
                    <w:t>售后服务方案</w:t>
                  </w:r>
                </w:p>
              </w:tc>
              <w:tc>
                <w:tcPr>
                  <w:tcW w:w="1030" w:type="dxa"/>
                  <w:tcBorders>
                    <w:top w:val="single" w:color="000000" w:sz="8" w:space="0"/>
                    <w:left w:val="single" w:color="000000" w:sz="8" w:space="0"/>
                    <w:bottom w:val="single" w:color="000000" w:sz="8" w:space="0"/>
                    <w:right w:val="single" w:color="000000" w:sz="8" w:space="0"/>
                  </w:tcBorders>
                  <w:vAlign w:val="center"/>
                </w:tcPr>
                <w:p w14:paraId="1C08C63A">
                  <w:pPr>
                    <w:jc w:val="center"/>
                    <w:rPr>
                      <w:rFonts w:hint="eastAsia" w:ascii="宋体" w:hAnsi="宋体" w:eastAsia="宋体" w:cs="宋体"/>
                    </w:rPr>
                  </w:pPr>
                  <w:r>
                    <w:rPr>
                      <w:rFonts w:hint="eastAsia" w:ascii="宋体" w:hAnsi="宋体" w:eastAsia="宋体" w:cs="宋体"/>
                      <w:lang w:val="en-US" w:eastAsia="zh-CN"/>
                    </w:rPr>
                    <w:t>8</w:t>
                  </w:r>
                </w:p>
              </w:tc>
              <w:tc>
                <w:tcPr>
                  <w:tcW w:w="5396" w:type="dxa"/>
                  <w:tcBorders>
                    <w:top w:val="single" w:color="000000" w:sz="8" w:space="0"/>
                    <w:left w:val="single" w:color="000000" w:sz="8" w:space="0"/>
                    <w:bottom w:val="single" w:color="000000" w:sz="8" w:space="0"/>
                    <w:right w:val="single" w:color="000000" w:sz="8" w:space="0"/>
                  </w:tcBorders>
                  <w:vAlign w:val="top"/>
                </w:tcPr>
                <w:p w14:paraId="620C3043">
                  <w:pPr>
                    <w:jc w:val="both"/>
                    <w:rPr>
                      <w:rFonts w:hint="eastAsia" w:ascii="宋体" w:hAnsi="宋体" w:eastAsia="宋体" w:cs="宋体"/>
                    </w:rPr>
                  </w:pPr>
                  <w:r>
                    <w:rPr>
                      <w:rFonts w:hint="eastAsia" w:ascii="宋体" w:hAnsi="宋体" w:eastAsia="宋体" w:cs="宋体"/>
                    </w:rPr>
                    <w:t>（一）评分内容：</w:t>
                  </w:r>
                </w:p>
                <w:p w14:paraId="2F94AD33">
                  <w:pPr>
                    <w:jc w:val="both"/>
                    <w:rPr>
                      <w:rFonts w:hint="eastAsia" w:ascii="宋体" w:hAnsi="宋体" w:eastAsia="宋体" w:cs="宋体"/>
                    </w:rPr>
                  </w:pPr>
                  <w:r>
                    <w:rPr>
                      <w:rFonts w:hint="eastAsia" w:ascii="宋体" w:hAnsi="宋体" w:eastAsia="宋体" w:cs="宋体"/>
                    </w:rPr>
                    <w:t>考察针对本项目的售后服务方案，包括以下内容:</w:t>
                  </w:r>
                </w:p>
                <w:p w14:paraId="3A23FD25">
                  <w:pPr>
                    <w:jc w:val="both"/>
                    <w:rPr>
                      <w:rFonts w:hint="eastAsia" w:ascii="宋体" w:hAnsi="宋体" w:eastAsia="宋体" w:cs="宋体"/>
                    </w:rPr>
                  </w:pPr>
                  <w:r>
                    <w:rPr>
                      <w:rFonts w:hint="eastAsia" w:ascii="宋体" w:hAnsi="宋体" w:eastAsia="宋体" w:cs="宋体"/>
                    </w:rPr>
                    <w:t>1、投标人售后服务能力介绍；</w:t>
                  </w:r>
                </w:p>
                <w:p w14:paraId="4D0ED836">
                  <w:pPr>
                    <w:jc w:val="both"/>
                    <w:rPr>
                      <w:rFonts w:hint="eastAsia" w:ascii="宋体" w:hAnsi="宋体" w:eastAsia="宋体" w:cs="宋体"/>
                    </w:rPr>
                  </w:pPr>
                  <w:r>
                    <w:rPr>
                      <w:rFonts w:hint="eastAsia" w:ascii="宋体" w:hAnsi="宋体" w:eastAsia="宋体" w:cs="宋体"/>
                    </w:rPr>
                    <w:t>2、用户满意度调查方案；</w:t>
                  </w:r>
                </w:p>
                <w:p w14:paraId="6A5D3DDF">
                  <w:pPr>
                    <w:jc w:val="both"/>
                    <w:rPr>
                      <w:rFonts w:hint="eastAsia" w:ascii="宋体" w:hAnsi="宋体" w:eastAsia="宋体" w:cs="宋体"/>
                    </w:rPr>
                  </w:pPr>
                  <w:r>
                    <w:rPr>
                      <w:rFonts w:hint="eastAsia" w:ascii="宋体" w:hAnsi="宋体" w:eastAsia="宋体" w:cs="宋体"/>
                    </w:rPr>
                    <w:t>3、用户反馈处理应对措施；</w:t>
                  </w:r>
                </w:p>
                <w:p w14:paraId="6AFC96D8">
                  <w:pPr>
                    <w:jc w:val="both"/>
                    <w:rPr>
                      <w:rFonts w:hint="eastAsia" w:ascii="宋体" w:hAnsi="宋体" w:eastAsia="宋体" w:cs="宋体"/>
                    </w:rPr>
                  </w:pPr>
                  <w:r>
                    <w:rPr>
                      <w:rFonts w:hint="eastAsia" w:ascii="宋体" w:hAnsi="宋体" w:eastAsia="宋体" w:cs="宋体"/>
                    </w:rPr>
                    <w:t>4、售后跟踪回访措施及售后服务能力培训方案。</w:t>
                  </w:r>
                </w:p>
                <w:p w14:paraId="779806FA">
                  <w:pPr>
                    <w:jc w:val="both"/>
                    <w:rPr>
                      <w:rFonts w:hint="eastAsia" w:ascii="宋体" w:hAnsi="宋体" w:eastAsia="宋体" w:cs="宋体"/>
                    </w:rPr>
                  </w:pPr>
                  <w:r>
                    <w:rPr>
                      <w:rFonts w:hint="eastAsia" w:ascii="宋体" w:hAnsi="宋体" w:eastAsia="宋体" w:cs="宋体"/>
                    </w:rPr>
                    <w:t>（二）评分依据：</w:t>
                  </w:r>
                </w:p>
                <w:p w14:paraId="12385FC7">
                  <w:pPr>
                    <w:jc w:val="both"/>
                    <w:rPr>
                      <w:rFonts w:hint="eastAsia" w:ascii="宋体" w:hAnsi="宋体" w:eastAsia="宋体" w:cs="宋体"/>
                    </w:rPr>
                  </w:pPr>
                  <w:r>
                    <w:rPr>
                      <w:rFonts w:hint="eastAsia" w:ascii="宋体" w:hAnsi="宋体" w:eastAsia="宋体" w:cs="宋体"/>
                    </w:rPr>
                    <w:t>1.投标人提供的售后服务方案每包含以上1点得20分，本小项最高得80分。</w:t>
                  </w:r>
                </w:p>
                <w:p w14:paraId="62F38A29">
                  <w:pPr>
                    <w:jc w:val="both"/>
                    <w:rPr>
                      <w:rFonts w:hint="eastAsia" w:ascii="宋体" w:hAnsi="宋体" w:eastAsia="宋体" w:cs="宋体"/>
                    </w:rPr>
                  </w:pPr>
                  <w:r>
                    <w:rPr>
                      <w:rFonts w:hint="eastAsia" w:ascii="宋体" w:hAnsi="宋体" w:eastAsia="宋体" w:cs="宋体"/>
                    </w:rPr>
                    <w:t>2.在此基础上，根据投标人售后服务方案具体响应内容进一步评审：</w:t>
                  </w:r>
                </w:p>
                <w:p w14:paraId="5E98EEE7">
                  <w:pPr>
                    <w:jc w:val="both"/>
                    <w:rPr>
                      <w:rFonts w:hint="eastAsia" w:ascii="宋体" w:hAnsi="宋体" w:eastAsia="宋体" w:cs="宋体"/>
                    </w:rPr>
                  </w:pPr>
                  <w:r>
                    <w:rPr>
                      <w:rFonts w:hint="eastAsia" w:ascii="宋体" w:hAnsi="宋体" w:eastAsia="宋体" w:cs="宋体"/>
                    </w:rPr>
                    <w:t>①评审为优：售后服务方案内容非常全面、详细、具体，加20分；</w:t>
                  </w:r>
                </w:p>
                <w:p w14:paraId="237BD506">
                  <w:pPr>
                    <w:jc w:val="both"/>
                    <w:rPr>
                      <w:rFonts w:hint="eastAsia" w:ascii="宋体" w:hAnsi="宋体" w:eastAsia="宋体" w:cs="宋体"/>
                    </w:rPr>
                  </w:pPr>
                  <w:r>
                    <w:rPr>
                      <w:rFonts w:hint="eastAsia" w:ascii="宋体" w:hAnsi="宋体" w:eastAsia="宋体" w:cs="宋体"/>
                    </w:rPr>
                    <w:t>②评审为良：售后服务方案内容较为全面、详细、具体，加10分；</w:t>
                  </w:r>
                </w:p>
                <w:p w14:paraId="7D071B33">
                  <w:pPr>
                    <w:jc w:val="both"/>
                    <w:rPr>
                      <w:rFonts w:hint="eastAsia" w:ascii="宋体" w:hAnsi="宋体" w:eastAsia="宋体" w:cs="宋体"/>
                    </w:rPr>
                  </w:pPr>
                  <w:r>
                    <w:rPr>
                      <w:rFonts w:hint="eastAsia" w:ascii="宋体" w:hAnsi="宋体" w:eastAsia="宋体" w:cs="宋体"/>
                    </w:rPr>
                    <w:t>③评审为中：售后服务方案内容一般，加5分；</w:t>
                  </w:r>
                </w:p>
                <w:p w14:paraId="53504AE6">
                  <w:pPr>
                    <w:jc w:val="both"/>
                    <w:rPr>
                      <w:rFonts w:hint="eastAsia" w:ascii="宋体" w:hAnsi="宋体" w:eastAsia="宋体" w:cs="宋体"/>
                    </w:rPr>
                  </w:pPr>
                  <w:r>
                    <w:rPr>
                      <w:rFonts w:hint="eastAsia" w:ascii="宋体" w:hAnsi="宋体" w:eastAsia="宋体" w:cs="宋体"/>
                    </w:rPr>
                    <w:t>④评审为差：售后服务方案内容差，加0分；如果评审为差，请书面说明理由，并记录存档；</w:t>
                  </w:r>
                </w:p>
                <w:p w14:paraId="520965BC">
                  <w:pPr>
                    <w:jc w:val="both"/>
                    <w:rPr>
                      <w:rFonts w:hint="eastAsia" w:ascii="宋体" w:hAnsi="宋体" w:eastAsia="宋体" w:cs="宋体"/>
                    </w:rPr>
                  </w:pPr>
                  <w:r>
                    <w:rPr>
                      <w:rFonts w:hint="eastAsia" w:ascii="宋体" w:hAnsi="宋体" w:eastAsia="宋体" w:cs="宋体"/>
                    </w:rPr>
                    <w:t>以上2项合计最高得100分。</w:t>
                  </w:r>
                </w:p>
                <w:p w14:paraId="406C3DFB">
                  <w:pPr>
                    <w:jc w:val="both"/>
                    <w:rPr>
                      <w:rFonts w:hint="eastAsia" w:ascii="宋体" w:hAnsi="宋体" w:eastAsia="宋体" w:cs="宋体"/>
                    </w:rPr>
                  </w:pPr>
                  <w:r>
                    <w:rPr>
                      <w:rFonts w:hint="eastAsia" w:ascii="宋体" w:hAnsi="宋体" w:eastAsia="宋体" w:cs="宋体"/>
                    </w:rPr>
                    <w:t>备注：投标人未提供相应方案的，得0分。</w:t>
                  </w:r>
                </w:p>
              </w:tc>
            </w:tr>
            <w:tr w14:paraId="51F1E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3E08A1E5">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40C9896">
                  <w:pPr>
                    <w:jc w:val="center"/>
                    <w:rPr>
                      <w:rFonts w:ascii="宋体" w:hAnsi="宋体" w:eastAsia="宋体" w:cs="宋体"/>
                    </w:rPr>
                  </w:pPr>
                  <w:r>
                    <w:rPr>
                      <w:rFonts w:hint="eastAsia" w:ascii="宋体" w:hAnsi="宋体" w:eastAsia="宋体" w:cs="宋体"/>
                    </w:rPr>
                    <w:t>5</w:t>
                  </w:r>
                </w:p>
              </w:tc>
              <w:tc>
                <w:tcPr>
                  <w:tcW w:w="1295" w:type="dxa"/>
                  <w:tcBorders>
                    <w:top w:val="single" w:color="000000" w:sz="8" w:space="0"/>
                    <w:left w:val="single" w:color="000000" w:sz="8" w:space="0"/>
                    <w:bottom w:val="single" w:color="000000" w:sz="8" w:space="0"/>
                    <w:right w:val="single" w:color="000000" w:sz="8" w:space="0"/>
                  </w:tcBorders>
                  <w:vAlign w:val="center"/>
                </w:tcPr>
                <w:p w14:paraId="0E6271FC">
                  <w:pPr>
                    <w:jc w:val="center"/>
                    <w:rPr>
                      <w:rFonts w:hint="eastAsia" w:ascii="宋体" w:hAnsi="宋体" w:eastAsia="宋体" w:cs="宋体"/>
                    </w:rPr>
                  </w:pPr>
                  <w:r>
                    <w:rPr>
                      <w:rFonts w:hint="eastAsia" w:ascii="宋体" w:hAnsi="宋体" w:eastAsia="宋体" w:cs="宋体"/>
                      <w:lang w:val="en-US" w:eastAsia="zh-CN"/>
                    </w:rPr>
                    <w:t>项目完成（服务期满）后的服务承诺</w:t>
                  </w:r>
                </w:p>
              </w:tc>
              <w:tc>
                <w:tcPr>
                  <w:tcW w:w="1030" w:type="dxa"/>
                  <w:tcBorders>
                    <w:top w:val="single" w:color="000000" w:sz="8" w:space="0"/>
                    <w:left w:val="single" w:color="000000" w:sz="8" w:space="0"/>
                    <w:bottom w:val="single" w:color="000000" w:sz="8" w:space="0"/>
                    <w:right w:val="single" w:color="000000" w:sz="8" w:space="0"/>
                  </w:tcBorders>
                  <w:vAlign w:val="center"/>
                </w:tcPr>
                <w:p w14:paraId="6F031722">
                  <w:pPr>
                    <w:jc w:val="center"/>
                    <w:rPr>
                      <w:rFonts w:hint="eastAsia" w:ascii="宋体" w:hAnsi="宋体" w:eastAsia="宋体" w:cs="宋体"/>
                    </w:rPr>
                  </w:pPr>
                  <w:r>
                    <w:rPr>
                      <w:rFonts w:hint="eastAsia" w:ascii="宋体" w:hAnsi="宋体" w:eastAsia="宋体" w:cs="宋体"/>
                      <w:lang w:val="en-US" w:eastAsia="zh-CN"/>
                    </w:rPr>
                    <w:t>2</w:t>
                  </w:r>
                </w:p>
              </w:tc>
              <w:tc>
                <w:tcPr>
                  <w:tcW w:w="5396" w:type="dxa"/>
                  <w:tcBorders>
                    <w:top w:val="single" w:color="000000" w:sz="8" w:space="0"/>
                    <w:left w:val="single" w:color="000000" w:sz="8" w:space="0"/>
                    <w:bottom w:val="single" w:color="000000" w:sz="8" w:space="0"/>
                    <w:right w:val="single" w:color="000000" w:sz="8" w:space="0"/>
                  </w:tcBorders>
                  <w:vAlign w:val="top"/>
                </w:tcPr>
                <w:p w14:paraId="1824C526">
                  <w:pPr>
                    <w:jc w:val="both"/>
                    <w:rPr>
                      <w:rFonts w:hint="eastAsia" w:ascii="宋体" w:hAnsi="宋体" w:eastAsia="宋体" w:cs="宋体"/>
                    </w:rPr>
                  </w:pPr>
                  <w:r>
                    <w:rPr>
                      <w:rFonts w:hint="eastAsia" w:ascii="宋体" w:hAnsi="宋体" w:eastAsia="宋体" w:cs="宋体"/>
                    </w:rPr>
                    <w:t>（一）评审内容：</w:t>
                  </w:r>
                </w:p>
                <w:p w14:paraId="47C707FC">
                  <w:pPr>
                    <w:jc w:val="both"/>
                    <w:rPr>
                      <w:rFonts w:hint="eastAsia" w:ascii="宋体" w:hAnsi="宋体" w:eastAsia="宋体" w:cs="宋体"/>
                    </w:rPr>
                  </w:pPr>
                  <w:r>
                    <w:rPr>
                      <w:rFonts w:hint="eastAsia" w:ascii="宋体" w:hAnsi="宋体" w:eastAsia="宋体" w:cs="宋体"/>
                    </w:rPr>
                    <w:t>投标人承诺以下全部内容的得100分，否则不得分。</w:t>
                  </w:r>
                </w:p>
                <w:p w14:paraId="3C7238F6">
                  <w:pPr>
                    <w:jc w:val="both"/>
                    <w:rPr>
                      <w:rFonts w:hint="eastAsia" w:ascii="宋体" w:hAnsi="宋体" w:eastAsia="宋体" w:cs="宋体"/>
                    </w:rPr>
                  </w:pPr>
                  <w:r>
                    <w:rPr>
                      <w:rFonts w:hint="eastAsia" w:ascii="宋体" w:hAnsi="宋体" w:eastAsia="宋体" w:cs="宋体"/>
                    </w:rPr>
                    <w:t xml:space="preserve">1.服务期满，后续供应商未到位前仍按原合同服务承诺提供配送服务； </w:t>
                  </w:r>
                </w:p>
                <w:p w14:paraId="1E24C21C">
                  <w:pPr>
                    <w:jc w:val="both"/>
                    <w:rPr>
                      <w:rFonts w:hint="eastAsia" w:ascii="宋体" w:hAnsi="宋体" w:eastAsia="宋体" w:cs="宋体"/>
                    </w:rPr>
                  </w:pPr>
                  <w:r>
                    <w:rPr>
                      <w:rFonts w:hint="eastAsia" w:ascii="宋体" w:hAnsi="宋体" w:eastAsia="宋体" w:cs="宋体"/>
                    </w:rPr>
                    <w:t>2.其他原因需短期配送服务，仍按原合同提供综合类配送服务。</w:t>
                  </w:r>
                </w:p>
                <w:p w14:paraId="1C6D596A">
                  <w:pPr>
                    <w:jc w:val="both"/>
                    <w:rPr>
                      <w:rFonts w:hint="eastAsia" w:ascii="宋体" w:hAnsi="宋体" w:eastAsia="宋体" w:cs="宋体"/>
                    </w:rPr>
                  </w:pPr>
                  <w:r>
                    <w:rPr>
                      <w:rFonts w:hint="eastAsia" w:ascii="宋体" w:hAnsi="宋体" w:eastAsia="宋体" w:cs="宋体"/>
                    </w:rPr>
                    <w:t>（二）评分依据:</w:t>
                  </w:r>
                </w:p>
                <w:p w14:paraId="7547C3D3">
                  <w:pPr>
                    <w:jc w:val="both"/>
                    <w:rPr>
                      <w:rFonts w:hint="eastAsia" w:ascii="宋体" w:hAnsi="宋体" w:eastAsia="宋体" w:cs="宋体"/>
                    </w:rPr>
                  </w:pPr>
                  <w:r>
                    <w:rPr>
                      <w:rFonts w:hint="eastAsia" w:ascii="宋体" w:hAnsi="宋体" w:eastAsia="宋体" w:cs="宋体"/>
                    </w:rPr>
                    <w:t>要求提供承诺（格式自定）作为得分依据，未提供承诺或承诺内容不满足要求，不得分。</w:t>
                  </w:r>
                </w:p>
              </w:tc>
            </w:tr>
            <w:tr w14:paraId="3B9C2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6E538EB3">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22F6852">
                  <w:pPr>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1295" w:type="dxa"/>
                  <w:tcBorders>
                    <w:top w:val="single" w:color="000000" w:sz="8" w:space="0"/>
                    <w:left w:val="single" w:color="000000" w:sz="8" w:space="0"/>
                    <w:bottom w:val="single" w:color="000000" w:sz="8" w:space="0"/>
                    <w:right w:val="single" w:color="000000" w:sz="8" w:space="0"/>
                  </w:tcBorders>
                  <w:vAlign w:val="center"/>
                </w:tcPr>
                <w:p w14:paraId="56F2E54F">
                  <w:pPr>
                    <w:jc w:val="center"/>
                    <w:rPr>
                      <w:rFonts w:hint="eastAsia" w:ascii="宋体" w:hAnsi="宋体" w:eastAsia="宋体" w:cs="宋体"/>
                    </w:rPr>
                  </w:pPr>
                  <w:r>
                    <w:rPr>
                      <w:rFonts w:hint="eastAsia" w:ascii="宋体" w:hAnsi="宋体" w:eastAsia="宋体" w:cs="宋体"/>
                      <w:lang w:val="en-US" w:eastAsia="zh-CN"/>
                    </w:rPr>
                    <w:t>违约承诺</w:t>
                  </w:r>
                </w:p>
              </w:tc>
              <w:tc>
                <w:tcPr>
                  <w:tcW w:w="1030" w:type="dxa"/>
                  <w:tcBorders>
                    <w:top w:val="single" w:color="000000" w:sz="8" w:space="0"/>
                    <w:left w:val="single" w:color="000000" w:sz="8" w:space="0"/>
                    <w:bottom w:val="single" w:color="000000" w:sz="8" w:space="0"/>
                    <w:right w:val="single" w:color="000000" w:sz="8" w:space="0"/>
                  </w:tcBorders>
                  <w:vAlign w:val="center"/>
                </w:tcPr>
                <w:p w14:paraId="329BAB77">
                  <w:pPr>
                    <w:jc w:val="center"/>
                    <w:rPr>
                      <w:rFonts w:hint="eastAsia" w:ascii="宋体" w:hAnsi="宋体" w:eastAsia="宋体" w:cs="宋体"/>
                    </w:rPr>
                  </w:pPr>
                  <w:r>
                    <w:rPr>
                      <w:rFonts w:hint="eastAsia" w:ascii="宋体" w:hAnsi="宋体" w:eastAsia="宋体" w:cs="宋体"/>
                      <w:lang w:val="en-US" w:eastAsia="zh-CN"/>
                    </w:rPr>
                    <w:t>4</w:t>
                  </w:r>
                </w:p>
              </w:tc>
              <w:tc>
                <w:tcPr>
                  <w:tcW w:w="5396" w:type="dxa"/>
                  <w:tcBorders>
                    <w:top w:val="single" w:color="000000" w:sz="8" w:space="0"/>
                    <w:left w:val="single" w:color="000000" w:sz="8" w:space="0"/>
                    <w:bottom w:val="single" w:color="000000" w:sz="8" w:space="0"/>
                    <w:right w:val="single" w:color="000000" w:sz="8" w:space="0"/>
                  </w:tcBorders>
                  <w:vAlign w:val="top"/>
                </w:tcPr>
                <w:p w14:paraId="0727B721">
                  <w:pPr>
                    <w:jc w:val="both"/>
                    <w:rPr>
                      <w:rFonts w:hint="eastAsia" w:ascii="宋体" w:hAnsi="宋体" w:eastAsia="宋体" w:cs="宋体"/>
                    </w:rPr>
                  </w:pPr>
                  <w:r>
                    <w:rPr>
                      <w:rFonts w:hint="eastAsia" w:ascii="宋体" w:hAnsi="宋体" w:eastAsia="宋体" w:cs="宋体"/>
                    </w:rPr>
                    <w:t>（一）评审内容：</w:t>
                  </w:r>
                </w:p>
                <w:p w14:paraId="2BD709B2">
                  <w:pPr>
                    <w:jc w:val="both"/>
                    <w:rPr>
                      <w:rFonts w:hint="eastAsia" w:ascii="宋体" w:hAnsi="宋体" w:eastAsia="宋体" w:cs="宋体"/>
                    </w:rPr>
                  </w:pPr>
                  <w:r>
                    <w:rPr>
                      <w:rFonts w:hint="eastAsia" w:ascii="宋体" w:hAnsi="宋体" w:eastAsia="宋体" w:cs="宋体"/>
                    </w:rPr>
                    <w:t>投标人承诺以下全部内容的得100分，否则不得分。</w:t>
                  </w:r>
                </w:p>
                <w:p w14:paraId="0AC98DCF">
                  <w:pPr>
                    <w:jc w:val="both"/>
                    <w:rPr>
                      <w:rFonts w:hint="eastAsia" w:ascii="宋体" w:hAnsi="宋体" w:eastAsia="宋体" w:cs="宋体"/>
                    </w:rPr>
                  </w:pPr>
                  <w:r>
                    <w:rPr>
                      <w:rFonts w:hint="eastAsia" w:ascii="宋体" w:hAnsi="宋体" w:eastAsia="宋体" w:cs="宋体"/>
                    </w:rPr>
                    <w:t xml:space="preserve">（1）人员、车辆、配送场地、冷库、检测工具设备等严格按照招标文件及投标承诺配置； </w:t>
                  </w:r>
                </w:p>
                <w:p w14:paraId="272E7C1A">
                  <w:pPr>
                    <w:jc w:val="both"/>
                    <w:rPr>
                      <w:rFonts w:hint="eastAsia" w:ascii="宋体" w:hAnsi="宋体" w:eastAsia="宋体" w:cs="宋体"/>
                    </w:rPr>
                  </w:pPr>
                  <w:r>
                    <w:rPr>
                      <w:rFonts w:hint="eastAsia" w:ascii="宋体" w:hAnsi="宋体" w:eastAsia="宋体" w:cs="宋体"/>
                    </w:rPr>
                    <w:t>（2）服务质量达到招标文件要求；</w:t>
                  </w:r>
                </w:p>
                <w:p w14:paraId="498F3FBA">
                  <w:pPr>
                    <w:jc w:val="both"/>
                    <w:rPr>
                      <w:rFonts w:hint="eastAsia" w:ascii="宋体" w:hAnsi="宋体" w:eastAsia="宋体" w:cs="宋体"/>
                    </w:rPr>
                  </w:pPr>
                  <w:r>
                    <w:rPr>
                      <w:rFonts w:hint="eastAsia" w:ascii="宋体" w:hAnsi="宋体" w:eastAsia="宋体" w:cs="宋体"/>
                    </w:rPr>
                    <w:t>（3）对未能达到管理要求承担相应管理责任；</w:t>
                  </w:r>
                </w:p>
                <w:p w14:paraId="3F62E5E5">
                  <w:pPr>
                    <w:jc w:val="both"/>
                    <w:rPr>
                      <w:rFonts w:hint="eastAsia" w:ascii="宋体" w:hAnsi="宋体" w:eastAsia="宋体" w:cs="宋体"/>
                    </w:rPr>
                  </w:pPr>
                  <w:r>
                    <w:rPr>
                      <w:rFonts w:hint="eastAsia" w:ascii="宋体" w:hAnsi="宋体" w:eastAsia="宋体" w:cs="宋体"/>
                    </w:rPr>
                    <w:t>（4）严格按照定价标准进行履约服务；</w:t>
                  </w:r>
                </w:p>
                <w:p w14:paraId="2D2BCBA5">
                  <w:pPr>
                    <w:jc w:val="both"/>
                    <w:rPr>
                      <w:rFonts w:hint="eastAsia" w:ascii="宋体" w:hAnsi="宋体" w:eastAsia="宋体" w:cs="宋体"/>
                    </w:rPr>
                  </w:pPr>
                  <w:r>
                    <w:rPr>
                      <w:rFonts w:hint="eastAsia" w:ascii="宋体" w:hAnsi="宋体" w:eastAsia="宋体" w:cs="宋体"/>
                    </w:rPr>
                    <w:t>（5）具有食材追踪溯源能力，且采购食材可回溯供应链，如出现问题，投标人须承担相应法律及经济责任。</w:t>
                  </w:r>
                </w:p>
                <w:p w14:paraId="4573F930">
                  <w:pPr>
                    <w:jc w:val="both"/>
                    <w:rPr>
                      <w:rFonts w:hint="eastAsia" w:ascii="宋体" w:hAnsi="宋体" w:eastAsia="宋体" w:cs="宋体"/>
                    </w:rPr>
                  </w:pPr>
                  <w:r>
                    <w:rPr>
                      <w:rFonts w:hint="eastAsia" w:ascii="宋体" w:hAnsi="宋体" w:eastAsia="宋体" w:cs="宋体"/>
                    </w:rPr>
                    <w:t>（二）评分依据:</w:t>
                  </w:r>
                </w:p>
                <w:p w14:paraId="6E5D8750">
                  <w:pPr>
                    <w:jc w:val="both"/>
                    <w:rPr>
                      <w:rFonts w:hint="eastAsia" w:ascii="宋体" w:hAnsi="宋体" w:eastAsia="宋体" w:cs="宋体"/>
                    </w:rPr>
                  </w:pPr>
                  <w:r>
                    <w:rPr>
                      <w:rFonts w:hint="eastAsia" w:ascii="宋体" w:hAnsi="宋体" w:eastAsia="宋体" w:cs="宋体"/>
                    </w:rPr>
                    <w:t>要求提供承诺（格式自定）作为得分依据，未提供承诺或承诺内容不满足要求，不得分。</w:t>
                  </w:r>
                </w:p>
              </w:tc>
            </w:tr>
            <w:tr w14:paraId="75582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7A182063">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5845A42">
                  <w:pPr>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1295" w:type="dxa"/>
                  <w:tcBorders>
                    <w:top w:val="single" w:color="000000" w:sz="8" w:space="0"/>
                    <w:left w:val="single" w:color="000000" w:sz="8" w:space="0"/>
                    <w:bottom w:val="single" w:color="000000" w:sz="8" w:space="0"/>
                    <w:right w:val="single" w:color="000000" w:sz="8" w:space="0"/>
                  </w:tcBorders>
                  <w:vAlign w:val="center"/>
                </w:tcPr>
                <w:p w14:paraId="20B35758">
                  <w:pPr>
                    <w:jc w:val="center"/>
                    <w:rPr>
                      <w:rFonts w:hint="eastAsia" w:ascii="宋体" w:hAnsi="宋体" w:eastAsia="宋体" w:cs="宋体"/>
                      <w:lang w:val="en-US" w:eastAsia="zh-CN"/>
                    </w:rPr>
                  </w:pPr>
                  <w:r>
                    <w:rPr>
                      <w:rFonts w:hint="eastAsia" w:ascii="宋体" w:hAnsi="宋体" w:eastAsia="宋体" w:cs="宋体"/>
                    </w:rPr>
                    <w:t>拟安排的项目负责人情况（仅限一人）</w:t>
                  </w:r>
                </w:p>
              </w:tc>
              <w:tc>
                <w:tcPr>
                  <w:tcW w:w="1030" w:type="dxa"/>
                  <w:tcBorders>
                    <w:top w:val="single" w:color="000000" w:sz="8" w:space="0"/>
                    <w:left w:val="single" w:color="000000" w:sz="8" w:space="0"/>
                    <w:bottom w:val="single" w:color="000000" w:sz="8" w:space="0"/>
                    <w:right w:val="single" w:color="000000" w:sz="8" w:space="0"/>
                  </w:tcBorders>
                  <w:vAlign w:val="center"/>
                </w:tcPr>
                <w:p w14:paraId="37D6C616">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5396" w:type="dxa"/>
                  <w:tcBorders>
                    <w:top w:val="single" w:color="000000" w:sz="8" w:space="0"/>
                    <w:left w:val="single" w:color="000000" w:sz="8" w:space="0"/>
                    <w:bottom w:val="single" w:color="000000" w:sz="8" w:space="0"/>
                    <w:right w:val="single" w:color="000000" w:sz="8" w:space="0"/>
                  </w:tcBorders>
                  <w:vAlign w:val="top"/>
                </w:tcPr>
                <w:p w14:paraId="18653D89">
                  <w:pPr>
                    <w:jc w:val="both"/>
                    <w:rPr>
                      <w:rFonts w:hint="eastAsia" w:ascii="宋体" w:hAnsi="宋体" w:eastAsia="宋体" w:cs="宋体"/>
                      <w:lang w:val="zh-CN"/>
                    </w:rPr>
                  </w:pPr>
                  <w:r>
                    <w:rPr>
                      <w:rFonts w:hint="eastAsia" w:ascii="宋体" w:hAnsi="宋体" w:eastAsia="宋体" w:cs="宋体"/>
                      <w:lang w:val="zh-CN"/>
                    </w:rPr>
                    <w:t>（一）评分内容：</w:t>
                  </w:r>
                </w:p>
                <w:p w14:paraId="16DB5B3C">
                  <w:pPr>
                    <w:jc w:val="both"/>
                    <w:rPr>
                      <w:rFonts w:hint="eastAsia" w:ascii="宋体" w:hAnsi="宋体" w:eastAsia="宋体" w:cs="宋体"/>
                      <w:lang w:val="zh-CN"/>
                    </w:rPr>
                  </w:pPr>
                  <w:r>
                    <w:rPr>
                      <w:rFonts w:hint="eastAsia" w:ascii="宋体" w:hAnsi="宋体" w:eastAsia="宋体" w:cs="宋体"/>
                      <w:lang w:val="zh-CN"/>
                    </w:rPr>
                    <w:t>拟安排项目负责人（仅限一人）为投标单位员工，否则本项不得分。在此基础上，按以下标准评分：</w:t>
                  </w:r>
                </w:p>
                <w:p w14:paraId="52ABA92F">
                  <w:pPr>
                    <w:jc w:val="both"/>
                    <w:rPr>
                      <w:rFonts w:hint="eastAsia" w:ascii="宋体" w:hAnsi="宋体" w:eastAsia="宋体" w:cs="宋体"/>
                      <w:lang w:val="zh-CN"/>
                    </w:rPr>
                  </w:pPr>
                  <w:r>
                    <w:rPr>
                      <w:rFonts w:hint="eastAsia" w:ascii="宋体" w:hAnsi="宋体" w:eastAsia="宋体" w:cs="宋体"/>
                      <w:lang w:val="zh-CN"/>
                    </w:rPr>
                    <w:t>1.负责人具有农学（业）相关或食品相关专业大专或以上学历，得40分；</w:t>
                  </w:r>
                </w:p>
                <w:p w14:paraId="0BEF3D2D">
                  <w:pPr>
                    <w:jc w:val="both"/>
                    <w:rPr>
                      <w:rFonts w:hint="eastAsia" w:ascii="宋体" w:hAnsi="宋体" w:eastAsia="宋体" w:cs="宋体"/>
                      <w:lang w:val="zh-CN"/>
                    </w:rPr>
                  </w:pPr>
                  <w:r>
                    <w:rPr>
                      <w:rFonts w:hint="eastAsia" w:ascii="宋体" w:hAnsi="宋体" w:eastAsia="宋体" w:cs="宋体"/>
                      <w:lang w:val="zh-CN"/>
                    </w:rPr>
                    <w:t>2.具有食品药品监督管理部门或市场监督管理部门颁发的高级食品安全管理（人）员证书（或高级食品安全管理（人）员考试合格证明），得40分；具有食品药品监督管理部门或市场监督管理部门颁发的</w:t>
                  </w:r>
                  <w:r>
                    <w:rPr>
                      <w:rFonts w:hint="eastAsia" w:ascii="宋体" w:hAnsi="宋体" w:eastAsia="宋体" w:cs="宋体"/>
                      <w:lang w:val="en-US" w:eastAsia="zh-CN"/>
                    </w:rPr>
                    <w:t>中级</w:t>
                  </w:r>
                  <w:r>
                    <w:rPr>
                      <w:rFonts w:hint="eastAsia" w:ascii="宋体" w:hAnsi="宋体" w:eastAsia="宋体" w:cs="宋体"/>
                      <w:lang w:val="zh-CN"/>
                    </w:rPr>
                    <w:t>食品安全管理（人）员证书（或</w:t>
                  </w:r>
                  <w:r>
                    <w:rPr>
                      <w:rFonts w:hint="eastAsia" w:ascii="宋体" w:hAnsi="宋体" w:eastAsia="宋体" w:cs="宋体"/>
                      <w:lang w:val="en-US" w:eastAsia="zh-CN"/>
                    </w:rPr>
                    <w:t>中级</w:t>
                  </w:r>
                  <w:r>
                    <w:rPr>
                      <w:rFonts w:hint="eastAsia" w:ascii="宋体" w:hAnsi="宋体" w:eastAsia="宋体" w:cs="宋体"/>
                      <w:lang w:val="zh-CN"/>
                    </w:rPr>
                    <w:t>食品安全管理（人）员考试合格证明），得</w:t>
                  </w:r>
                  <w:r>
                    <w:rPr>
                      <w:rFonts w:hint="eastAsia" w:ascii="宋体" w:hAnsi="宋体" w:eastAsia="宋体" w:cs="宋体"/>
                      <w:lang w:val="en-US" w:eastAsia="zh-CN"/>
                    </w:rPr>
                    <w:t>30</w:t>
                  </w:r>
                  <w:r>
                    <w:rPr>
                      <w:rFonts w:hint="eastAsia" w:ascii="宋体" w:hAnsi="宋体" w:eastAsia="宋体" w:cs="宋体"/>
                      <w:lang w:val="zh-CN"/>
                    </w:rPr>
                    <w:t>分；具有食品药品监督管理部门或市场监督管理部门颁发的</w:t>
                  </w:r>
                  <w:r>
                    <w:rPr>
                      <w:rFonts w:hint="eastAsia" w:ascii="宋体" w:hAnsi="宋体" w:eastAsia="宋体" w:cs="宋体"/>
                      <w:lang w:val="en-US" w:eastAsia="zh-CN"/>
                    </w:rPr>
                    <w:t>初</w:t>
                  </w:r>
                  <w:r>
                    <w:rPr>
                      <w:rFonts w:hint="eastAsia" w:ascii="宋体" w:hAnsi="宋体" w:eastAsia="宋体" w:cs="宋体"/>
                      <w:lang w:val="zh-CN"/>
                    </w:rPr>
                    <w:t>级食品安全管理（人）员证书（或</w:t>
                  </w:r>
                  <w:r>
                    <w:rPr>
                      <w:rFonts w:hint="eastAsia" w:ascii="宋体" w:hAnsi="宋体" w:eastAsia="宋体" w:cs="宋体"/>
                      <w:lang w:val="en-US" w:eastAsia="zh-CN"/>
                    </w:rPr>
                    <w:t>初级</w:t>
                  </w:r>
                  <w:r>
                    <w:rPr>
                      <w:rFonts w:hint="eastAsia" w:ascii="宋体" w:hAnsi="宋体" w:eastAsia="宋体" w:cs="宋体"/>
                      <w:lang w:val="zh-CN"/>
                    </w:rPr>
                    <w:t>食品安全管理（人）员考试合格证明），得</w:t>
                  </w:r>
                  <w:r>
                    <w:rPr>
                      <w:rFonts w:hint="eastAsia" w:ascii="宋体" w:hAnsi="宋体" w:eastAsia="宋体" w:cs="宋体"/>
                      <w:lang w:val="en-US" w:eastAsia="zh-CN"/>
                    </w:rPr>
                    <w:t>15</w:t>
                  </w:r>
                  <w:r>
                    <w:rPr>
                      <w:rFonts w:hint="eastAsia" w:ascii="宋体" w:hAnsi="宋体" w:eastAsia="宋体" w:cs="宋体"/>
                      <w:lang w:val="zh-CN"/>
                    </w:rPr>
                    <w:t>分；</w:t>
                  </w:r>
                </w:p>
                <w:p w14:paraId="4A73258C">
                  <w:pPr>
                    <w:jc w:val="both"/>
                    <w:rPr>
                      <w:rFonts w:hint="eastAsia" w:ascii="宋体" w:hAnsi="宋体" w:eastAsia="宋体" w:cs="宋体"/>
                      <w:lang w:val="zh-CN"/>
                    </w:rPr>
                  </w:pPr>
                  <w:r>
                    <w:rPr>
                      <w:rFonts w:hint="eastAsia" w:ascii="宋体" w:hAnsi="宋体" w:eastAsia="宋体" w:cs="宋体"/>
                      <w:lang w:val="zh-CN"/>
                    </w:rPr>
                    <w:t>3.具备食材配送服务管理</w:t>
                  </w:r>
                  <w:r>
                    <w:rPr>
                      <w:rFonts w:hint="eastAsia" w:ascii="宋体" w:hAnsi="宋体" w:eastAsia="宋体" w:cs="宋体"/>
                      <w:lang w:val="en-US" w:eastAsia="zh-CN"/>
                    </w:rPr>
                    <w:t>项目负责人或项目经理</w:t>
                  </w:r>
                  <w:r>
                    <w:rPr>
                      <w:rFonts w:hint="eastAsia" w:ascii="宋体" w:hAnsi="宋体" w:eastAsia="宋体" w:cs="宋体"/>
                      <w:lang w:val="zh-CN"/>
                    </w:rPr>
                    <w:t>经验的，得20分。</w:t>
                  </w:r>
                </w:p>
                <w:p w14:paraId="14FBFAFC">
                  <w:pPr>
                    <w:jc w:val="both"/>
                    <w:rPr>
                      <w:rFonts w:hint="eastAsia" w:ascii="宋体" w:hAnsi="宋体" w:eastAsia="宋体" w:cs="宋体"/>
                      <w:lang w:val="zh-CN"/>
                    </w:rPr>
                  </w:pPr>
                  <w:r>
                    <w:rPr>
                      <w:rFonts w:hint="eastAsia" w:ascii="宋体" w:hAnsi="宋体" w:eastAsia="宋体" w:cs="宋体"/>
                      <w:lang w:val="zh-CN"/>
                    </w:rPr>
                    <w:t>以上三项累计得分，最高得100分。</w:t>
                  </w:r>
                </w:p>
                <w:p w14:paraId="168A4EF2">
                  <w:pPr>
                    <w:jc w:val="both"/>
                    <w:rPr>
                      <w:rFonts w:hint="eastAsia" w:ascii="宋体" w:hAnsi="宋体" w:eastAsia="宋体" w:cs="宋体"/>
                      <w:lang w:val="zh-CN"/>
                    </w:rPr>
                  </w:pPr>
                  <w:r>
                    <w:rPr>
                      <w:rFonts w:hint="eastAsia" w:ascii="宋体" w:hAnsi="宋体" w:eastAsia="宋体" w:cs="宋体"/>
                      <w:lang w:val="zh-CN"/>
                    </w:rPr>
                    <w:t>（二）评分依据：</w:t>
                  </w:r>
                </w:p>
                <w:p w14:paraId="7ADBFD66">
                  <w:pPr>
                    <w:jc w:val="both"/>
                    <w:rPr>
                      <w:rFonts w:hint="eastAsia" w:ascii="宋体" w:hAnsi="宋体" w:eastAsia="宋体" w:cs="宋体"/>
                      <w:lang w:val="zh-CN"/>
                    </w:rPr>
                  </w:pPr>
                  <w:r>
                    <w:rPr>
                      <w:rFonts w:hint="eastAsia" w:ascii="宋体" w:hAnsi="宋体" w:eastAsia="宋体" w:cs="宋体"/>
                      <w:lang w:val="zh-CN"/>
                    </w:rPr>
                    <w:t>1.提供以上人员通过投标单位缴纳的载有社保部门公章的近一个月的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如为退休返聘人员则提供劳动合同或返聘协议；</w:t>
                  </w:r>
                </w:p>
                <w:p w14:paraId="4F89E3CB">
                  <w:pPr>
                    <w:wordWrap w:val="0"/>
                    <w:jc w:val="both"/>
                    <w:rPr>
                      <w:rFonts w:hint="eastAsia" w:ascii="宋体" w:hAnsi="宋体" w:eastAsia="宋体" w:cs="宋体"/>
                      <w:lang w:val="zh-CN"/>
                    </w:rPr>
                  </w:pPr>
                  <w:r>
                    <w:rPr>
                      <w:rFonts w:hint="eastAsia" w:ascii="宋体" w:hAnsi="宋体" w:eastAsia="宋体" w:cs="宋体"/>
                      <w:lang w:val="zh-CN"/>
                    </w:rPr>
                    <w:t>2.提供</w:t>
                  </w:r>
                  <w:r>
                    <w:rPr>
                      <w:rFonts w:hint="eastAsia" w:ascii="宋体" w:hAnsi="宋体" w:eastAsia="宋体" w:cs="宋体"/>
                      <w:lang w:val="en-US" w:eastAsia="zh-CN"/>
                    </w:rPr>
                    <w:t>毕业证书扫描件</w:t>
                  </w:r>
                  <w:r>
                    <w:rPr>
                      <w:rFonts w:hint="eastAsia" w:ascii="宋体" w:hAnsi="宋体" w:eastAsia="宋体" w:cs="宋体"/>
                      <w:lang w:val="zh-CN"/>
                    </w:rPr>
                    <w:t>及学信网查询记录（https://www.chsi.com.cn/xlcx/index.jsp）截图；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18F9A0F7">
                  <w:pPr>
                    <w:jc w:val="both"/>
                    <w:rPr>
                      <w:rFonts w:hint="eastAsia" w:ascii="宋体" w:hAnsi="宋体" w:eastAsia="宋体" w:cs="宋体"/>
                      <w:lang w:val="zh-CN"/>
                    </w:rPr>
                  </w:pPr>
                  <w:r>
                    <w:rPr>
                      <w:rFonts w:hint="eastAsia" w:ascii="宋体" w:hAnsi="宋体" w:eastAsia="宋体" w:cs="宋体"/>
                      <w:lang w:val="zh-CN"/>
                    </w:rPr>
                    <w:t>3.要求提供人员的相关证书材料扫描件及该证书在官方网站查询截图或手机APP或粤省事查询截图（“粤省事”-“办事”-“食品安全”-“食安员查证及考核”-“我的食安员证”），证书在公开渠道无法查询的，需提供颁发机构的证明材料，证明证书真实有效；</w:t>
                  </w:r>
                </w:p>
                <w:p w14:paraId="07E6ECBA">
                  <w:pPr>
                    <w:jc w:val="both"/>
                    <w:rPr>
                      <w:rFonts w:hint="eastAsia" w:ascii="宋体" w:hAnsi="宋体" w:eastAsia="宋体" w:cs="宋体"/>
                      <w:lang w:val="zh-CN"/>
                    </w:rPr>
                  </w:pPr>
                  <w:r>
                    <w:rPr>
                      <w:rFonts w:hint="eastAsia" w:ascii="宋体" w:hAnsi="宋体" w:eastAsia="宋体" w:cs="宋体"/>
                      <w:lang w:val="zh-CN"/>
                    </w:rPr>
                    <w:t>4.如涉及考察人员工作经验，要求提供合同关键信息（包括但不限于：合同名称页、合同主要内容页、合同起止时间或合同服务期限页、合同签订日期页、合同双方签字盖章页）作为得分依据，通过合同关键信息无法判断项目负责人、</w:t>
                  </w:r>
                  <w:r>
                    <w:rPr>
                      <w:rFonts w:hint="eastAsia" w:ascii="宋体" w:hAnsi="宋体" w:eastAsia="宋体" w:cs="宋体"/>
                      <w:lang w:val="en-US" w:eastAsia="zh-CN"/>
                    </w:rPr>
                    <w:t>经理</w:t>
                  </w:r>
                  <w:r>
                    <w:rPr>
                      <w:rFonts w:hint="eastAsia" w:ascii="宋体" w:hAnsi="宋体" w:eastAsia="宋体" w:cs="宋体"/>
                      <w:lang w:val="zh-CN"/>
                    </w:rPr>
                    <w:t>信息或是否得分的，还须同时提供投标人承诺。；</w:t>
                  </w:r>
                </w:p>
                <w:p w14:paraId="13356311">
                  <w:pPr>
                    <w:jc w:val="both"/>
                    <w:rPr>
                      <w:rFonts w:hint="eastAsia" w:ascii="宋体" w:hAnsi="宋体" w:eastAsia="宋体" w:cs="宋体"/>
                    </w:rPr>
                  </w:pPr>
                  <w:r>
                    <w:rPr>
                      <w:rFonts w:hint="eastAsia" w:ascii="宋体" w:hAnsi="宋体" w:eastAsia="宋体" w:cs="宋体"/>
                      <w:lang w:val="zh-CN"/>
                    </w:rPr>
                    <w:t>5.以上资料均要求提供扫描件，原件备查。评分中出现无证明资料或专家无法凭所提供资料判断是否得分的情况，一律作不得分处理。</w:t>
                  </w:r>
                </w:p>
              </w:tc>
            </w:tr>
            <w:tr w14:paraId="167AD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44D4FF17">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71DEBCFA">
                  <w:pPr>
                    <w:jc w:val="center"/>
                    <w:rPr>
                      <w:rFonts w:hint="default" w:ascii="宋体" w:hAnsi="宋体" w:eastAsia="宋体" w:cs="宋体"/>
                      <w:lang w:val="en-US" w:eastAsia="zh-CN"/>
                    </w:rPr>
                  </w:pPr>
                  <w:r>
                    <w:rPr>
                      <w:rFonts w:hint="eastAsia" w:ascii="宋体" w:hAnsi="宋体" w:eastAsia="宋体" w:cs="宋体"/>
                      <w:lang w:val="en-US" w:eastAsia="zh-CN"/>
                    </w:rPr>
                    <w:t>8</w:t>
                  </w:r>
                </w:p>
              </w:tc>
              <w:tc>
                <w:tcPr>
                  <w:tcW w:w="1295" w:type="dxa"/>
                  <w:tcBorders>
                    <w:top w:val="single" w:color="000000" w:sz="8" w:space="0"/>
                    <w:left w:val="single" w:color="000000" w:sz="8" w:space="0"/>
                    <w:bottom w:val="single" w:color="000000" w:sz="8" w:space="0"/>
                    <w:right w:val="single" w:color="000000" w:sz="8" w:space="0"/>
                  </w:tcBorders>
                  <w:vAlign w:val="center"/>
                </w:tcPr>
                <w:p w14:paraId="6CDBE8FA">
                  <w:pPr>
                    <w:jc w:val="center"/>
                    <w:rPr>
                      <w:rFonts w:hint="eastAsia" w:ascii="宋体" w:hAnsi="宋体" w:eastAsia="宋体" w:cs="宋体"/>
                    </w:rPr>
                  </w:pPr>
                  <w:r>
                    <w:rPr>
                      <w:rFonts w:hint="eastAsia" w:ascii="宋体" w:hAnsi="宋体" w:eastAsia="宋体" w:cs="宋体"/>
                    </w:rPr>
                    <w:t>食品检测保障能力</w:t>
                  </w:r>
                </w:p>
              </w:tc>
              <w:tc>
                <w:tcPr>
                  <w:tcW w:w="1030" w:type="dxa"/>
                  <w:tcBorders>
                    <w:top w:val="single" w:color="000000" w:sz="8" w:space="0"/>
                    <w:left w:val="single" w:color="000000" w:sz="8" w:space="0"/>
                    <w:bottom w:val="single" w:color="000000" w:sz="8" w:space="0"/>
                    <w:right w:val="single" w:color="000000" w:sz="8" w:space="0"/>
                  </w:tcBorders>
                  <w:vAlign w:val="center"/>
                </w:tcPr>
                <w:p w14:paraId="2C4CC7CE">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5396" w:type="dxa"/>
                  <w:tcBorders>
                    <w:top w:val="single" w:color="000000" w:sz="8" w:space="0"/>
                    <w:left w:val="single" w:color="000000" w:sz="8" w:space="0"/>
                    <w:bottom w:val="single" w:color="000000" w:sz="8" w:space="0"/>
                    <w:right w:val="single" w:color="000000" w:sz="8" w:space="0"/>
                  </w:tcBorders>
                  <w:vAlign w:val="top"/>
                </w:tcPr>
                <w:p w14:paraId="49F54EEF">
                  <w:pPr>
                    <w:jc w:val="both"/>
                    <w:rPr>
                      <w:rFonts w:hint="eastAsia" w:ascii="宋体" w:hAnsi="宋体" w:eastAsia="宋体" w:cs="宋体"/>
                    </w:rPr>
                  </w:pPr>
                  <w:r>
                    <w:rPr>
                      <w:rFonts w:hint="eastAsia" w:ascii="宋体" w:hAnsi="宋体" w:eastAsia="宋体" w:cs="宋体"/>
                    </w:rPr>
                    <w:t>（一）评分内容：</w:t>
                  </w:r>
                </w:p>
                <w:p w14:paraId="6D834517">
                  <w:pPr>
                    <w:jc w:val="both"/>
                    <w:rPr>
                      <w:rFonts w:hint="eastAsia" w:ascii="宋体" w:hAnsi="宋体" w:eastAsia="宋体" w:cs="宋体"/>
                    </w:rPr>
                  </w:pPr>
                  <w:r>
                    <w:rPr>
                      <w:rFonts w:hint="eastAsia" w:ascii="宋体" w:hAnsi="宋体" w:eastAsia="宋体" w:cs="宋体"/>
                    </w:rPr>
                    <w:t>投标人提供2024年1月1日至本项目投标截止之日【以检测报告送检（或收样或取样或送样或到样或接收或委托）时间或出具时间为准】由具备“CMA”或“CMA和CNAS”资质的第三方检测机构出具的检测报告：</w:t>
                  </w:r>
                </w:p>
                <w:p w14:paraId="4479934D">
                  <w:pPr>
                    <w:jc w:val="both"/>
                    <w:rPr>
                      <w:rFonts w:hint="eastAsia" w:ascii="宋体" w:hAnsi="宋体" w:eastAsia="宋体" w:cs="宋体"/>
                    </w:rPr>
                  </w:pPr>
                  <w:r>
                    <w:rPr>
                      <w:rFonts w:hint="eastAsia" w:ascii="宋体" w:hAnsi="宋体" w:eastAsia="宋体" w:cs="宋体"/>
                    </w:rPr>
                    <w:t>①</w:t>
                  </w:r>
                  <w:r>
                    <w:rPr>
                      <w:rFonts w:hint="eastAsia" w:ascii="宋体" w:hAnsi="宋体" w:eastAsia="宋体" w:cs="宋体"/>
                      <w:lang w:val="en-US" w:eastAsia="zh-CN"/>
                    </w:rPr>
                    <w:t>肉</w:t>
                  </w:r>
                  <w:r>
                    <w:rPr>
                      <w:rFonts w:hint="eastAsia" w:ascii="宋体" w:hAnsi="宋体" w:eastAsia="宋体" w:cs="宋体"/>
                    </w:rPr>
                    <w:t>类；</w:t>
                  </w:r>
                </w:p>
                <w:p w14:paraId="57A5DAC6">
                  <w:pPr>
                    <w:jc w:val="both"/>
                    <w:rPr>
                      <w:rFonts w:hint="eastAsia" w:ascii="宋体" w:hAnsi="宋体" w:eastAsia="宋体" w:cs="宋体"/>
                    </w:rPr>
                  </w:pPr>
                  <w:r>
                    <w:rPr>
                      <w:rFonts w:hint="eastAsia" w:ascii="宋体" w:hAnsi="宋体" w:eastAsia="宋体" w:cs="宋体"/>
                    </w:rPr>
                    <w:t>②</w:t>
                  </w:r>
                  <w:r>
                    <w:rPr>
                      <w:rFonts w:hint="eastAsia" w:ascii="宋体" w:hAnsi="宋体" w:eastAsia="宋体" w:cs="宋体"/>
                      <w:lang w:val="en-US" w:eastAsia="zh-CN"/>
                    </w:rPr>
                    <w:t>蔬菜</w:t>
                  </w:r>
                  <w:r>
                    <w:rPr>
                      <w:rFonts w:hint="eastAsia" w:ascii="宋体" w:hAnsi="宋体" w:eastAsia="宋体" w:cs="宋体"/>
                    </w:rPr>
                    <w:t>类；</w:t>
                  </w:r>
                </w:p>
                <w:p w14:paraId="224A573D">
                  <w:pPr>
                    <w:jc w:val="both"/>
                    <w:rPr>
                      <w:rFonts w:hint="eastAsia" w:ascii="宋体" w:hAnsi="宋体" w:eastAsia="宋体" w:cs="宋体"/>
                    </w:rPr>
                  </w:pPr>
                  <w:r>
                    <w:rPr>
                      <w:rFonts w:hint="eastAsia" w:ascii="宋体" w:hAnsi="宋体" w:eastAsia="宋体" w:cs="宋体"/>
                    </w:rPr>
                    <w:t>③</w:t>
                  </w:r>
                  <w:r>
                    <w:rPr>
                      <w:rFonts w:hint="eastAsia" w:ascii="宋体" w:hAnsi="宋体" w:eastAsia="宋体" w:cs="宋体"/>
                      <w:lang w:val="en-US" w:eastAsia="zh-CN"/>
                    </w:rPr>
                    <w:t>干货</w:t>
                  </w:r>
                  <w:r>
                    <w:rPr>
                      <w:rFonts w:hint="eastAsia" w:ascii="宋体" w:hAnsi="宋体" w:eastAsia="宋体" w:cs="宋体"/>
                    </w:rPr>
                    <w:t>类；</w:t>
                  </w:r>
                </w:p>
                <w:p w14:paraId="35B45EA4">
                  <w:pPr>
                    <w:jc w:val="both"/>
                    <w:rPr>
                      <w:rFonts w:hint="eastAsia" w:ascii="宋体" w:hAnsi="宋体" w:eastAsia="宋体" w:cs="宋体"/>
                      <w:lang w:eastAsia="zh-CN"/>
                    </w:rPr>
                  </w:pPr>
                  <w:r>
                    <w:rPr>
                      <w:rFonts w:hint="eastAsia" w:ascii="宋体" w:hAnsi="宋体" w:eastAsia="宋体" w:cs="宋体"/>
                    </w:rPr>
                    <w:t>④蛋类</w:t>
                  </w:r>
                  <w:r>
                    <w:rPr>
                      <w:rFonts w:hint="eastAsia" w:ascii="宋体" w:hAnsi="宋体" w:eastAsia="宋体" w:cs="宋体"/>
                      <w:lang w:eastAsia="zh-CN"/>
                    </w:rPr>
                    <w:t>。</w:t>
                  </w:r>
                </w:p>
                <w:p w14:paraId="0F5F028A">
                  <w:pPr>
                    <w:jc w:val="both"/>
                    <w:rPr>
                      <w:rFonts w:hint="eastAsia" w:ascii="宋体" w:hAnsi="宋体" w:eastAsia="宋体" w:cs="宋体"/>
                    </w:rPr>
                  </w:pPr>
                  <w:r>
                    <w:rPr>
                      <w:rFonts w:hint="eastAsia" w:ascii="宋体" w:hAnsi="宋体" w:eastAsia="宋体" w:cs="宋体"/>
                    </w:rPr>
                    <w:t>1、每一个品类分别提供任意</w:t>
                  </w:r>
                  <w:r>
                    <w:rPr>
                      <w:rFonts w:hint="eastAsia" w:ascii="宋体" w:hAnsi="宋体" w:eastAsia="宋体" w:cs="宋体"/>
                      <w:lang w:val="en-US" w:eastAsia="zh-CN"/>
                    </w:rPr>
                    <w:t>一</w:t>
                  </w:r>
                  <w:r>
                    <w:rPr>
                      <w:rFonts w:hint="eastAsia" w:ascii="宋体" w:hAnsi="宋体" w:eastAsia="宋体" w:cs="宋体"/>
                    </w:rPr>
                    <w:t>个月（每个月需提供 1 份）结论为合格或符合（或同等表述）的检测报告，且每份检测报告的检测项目≥10 项，证明文件齐全得</w:t>
                  </w:r>
                  <w:r>
                    <w:rPr>
                      <w:rFonts w:hint="eastAsia" w:ascii="宋体" w:hAnsi="宋体" w:eastAsia="宋体" w:cs="宋体"/>
                      <w:lang w:val="en-US" w:eastAsia="zh-CN"/>
                    </w:rPr>
                    <w:t>25</w:t>
                  </w:r>
                  <w:r>
                    <w:rPr>
                      <w:rFonts w:hint="eastAsia" w:ascii="宋体" w:hAnsi="宋体" w:eastAsia="宋体" w:cs="宋体"/>
                    </w:rPr>
                    <w:t xml:space="preserve">分； </w:t>
                  </w:r>
                </w:p>
                <w:p w14:paraId="6217D13C">
                  <w:pPr>
                    <w:jc w:val="both"/>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、截至本项目投标截止日，若投标人成立不足一个月的，提供自成立以来的检测报告，每提供一个品类的得</w:t>
                  </w:r>
                  <w:r>
                    <w:rPr>
                      <w:rFonts w:hint="eastAsia" w:ascii="宋体" w:hAnsi="宋体" w:eastAsia="宋体" w:cs="宋体"/>
                      <w:lang w:val="en-US" w:eastAsia="zh-CN"/>
                    </w:rPr>
                    <w:t>25</w:t>
                  </w:r>
                  <w:r>
                    <w:rPr>
                      <w:rFonts w:hint="eastAsia" w:ascii="宋体" w:hAnsi="宋体" w:eastAsia="宋体" w:cs="宋体"/>
                    </w:rPr>
                    <w:t>分；</w:t>
                  </w:r>
                </w:p>
                <w:p w14:paraId="48E275D9">
                  <w:pPr>
                    <w:jc w:val="both"/>
                    <w:rPr>
                      <w:rFonts w:hint="eastAsia" w:ascii="宋体" w:hAnsi="宋体" w:eastAsia="宋体" w:cs="宋体"/>
                    </w:rPr>
                  </w:pPr>
                  <w:r>
                    <w:rPr>
                      <w:rFonts w:hint="eastAsia" w:ascii="宋体" w:hAnsi="宋体" w:eastAsia="宋体" w:cs="宋体"/>
                    </w:rPr>
                    <w:t>以上累计最高得100分，同一品类不重复计分。</w:t>
                  </w:r>
                </w:p>
                <w:p w14:paraId="5BF94BEE">
                  <w:pPr>
                    <w:jc w:val="both"/>
                    <w:rPr>
                      <w:rFonts w:hint="eastAsia" w:ascii="宋体" w:hAnsi="宋体" w:eastAsia="宋体" w:cs="宋体"/>
                    </w:rPr>
                  </w:pPr>
                  <w:r>
                    <w:rPr>
                      <w:rFonts w:hint="eastAsia" w:ascii="宋体" w:hAnsi="宋体" w:eastAsia="宋体" w:cs="宋体"/>
                    </w:rPr>
                    <w:t>（二）评分依据：</w:t>
                  </w:r>
                </w:p>
                <w:p w14:paraId="75C81CD5">
                  <w:pPr>
                    <w:jc w:val="both"/>
                    <w:rPr>
                      <w:rFonts w:hint="eastAsia" w:ascii="宋体" w:hAnsi="宋体" w:eastAsia="宋体" w:cs="宋体"/>
                    </w:rPr>
                  </w:pPr>
                  <w:r>
                    <w:rPr>
                      <w:rFonts w:hint="eastAsia" w:ascii="宋体" w:hAnsi="宋体" w:eastAsia="宋体" w:cs="宋体"/>
                    </w:rPr>
                    <w:t>1、提供检测报告（检测报告需有“CMA”或“CMA和CNAS”标识，委托方或送检人需为投标人）扫描件；</w:t>
                  </w:r>
                </w:p>
                <w:p w14:paraId="492D0629">
                  <w:pPr>
                    <w:jc w:val="both"/>
                    <w:rPr>
                      <w:rFonts w:hint="eastAsia" w:ascii="宋体" w:hAnsi="宋体" w:eastAsia="宋体" w:cs="宋体"/>
                    </w:rPr>
                  </w:pPr>
                  <w:r>
                    <w:rPr>
                      <w:rFonts w:hint="eastAsia" w:ascii="宋体" w:hAnsi="宋体" w:eastAsia="宋体" w:cs="宋体"/>
                    </w:rPr>
                    <w:t>2提供该检测报告在</w:t>
                  </w:r>
                  <w:r>
                    <w:rPr>
                      <w:rFonts w:hint="eastAsia" w:ascii="宋体" w:hAnsi="宋体" w:eastAsia="宋体" w:cs="宋体"/>
                      <w:lang w:val="en-US" w:eastAsia="zh-CN"/>
                    </w:rPr>
                    <w:t>检测机构官网或</w:t>
                  </w:r>
                  <w:r>
                    <w:rPr>
                      <w:rFonts w:hint="eastAsia" w:ascii="宋体" w:hAnsi="宋体" w:eastAsia="宋体" w:cs="宋体"/>
                    </w:rPr>
                    <w:t>全国认证认可信息公共服务平台（认e云）（http://cx.cnca.cn/）的查询记录截图；</w:t>
                  </w:r>
                </w:p>
                <w:p w14:paraId="40968B11">
                  <w:pPr>
                    <w:jc w:val="both"/>
                    <w:rPr>
                      <w:rFonts w:hint="eastAsia" w:ascii="宋体" w:hAnsi="宋体" w:eastAsia="宋体" w:cs="宋体"/>
                    </w:rPr>
                  </w:pPr>
                  <w:r>
                    <w:rPr>
                      <w:rFonts w:hint="eastAsia" w:ascii="宋体" w:hAnsi="宋体" w:eastAsia="宋体" w:cs="宋体"/>
                    </w:rPr>
                    <w:t>3、检验（检测）报告要求具有“CMA”或“CMA和CNAS”等标识的，若有材料证明相关检测事项不在实施该项检测的机构许可（认可）“CMA”或“CMA和CNAS”等资质范围或检测范围内的，该检验（检测）报告视为不符合要求，作不得分处理；</w:t>
                  </w:r>
                </w:p>
                <w:p w14:paraId="3B24AAF5">
                  <w:pPr>
                    <w:jc w:val="both"/>
                    <w:rPr>
                      <w:rFonts w:hint="eastAsia" w:ascii="宋体" w:hAnsi="宋体" w:eastAsia="宋体" w:cs="宋体"/>
                    </w:rPr>
                  </w:pPr>
                  <w:r>
                    <w:rPr>
                      <w:rFonts w:hint="eastAsia" w:ascii="宋体" w:hAnsi="宋体" w:eastAsia="宋体" w:cs="宋体"/>
                    </w:rPr>
                    <w:t>4、提供检测机构的“CMA”或“CMA和CNAS”认证资质证书扫描件；</w:t>
                  </w:r>
                </w:p>
                <w:p w14:paraId="0C77E855">
                  <w:pPr>
                    <w:jc w:val="both"/>
                    <w:rPr>
                      <w:rFonts w:hint="eastAsia" w:ascii="宋体" w:hAnsi="宋体" w:eastAsia="宋体" w:cs="宋体"/>
                    </w:rPr>
                  </w:pPr>
                  <w:r>
                    <w:rPr>
                      <w:rFonts w:hint="eastAsia" w:ascii="宋体" w:hAnsi="宋体" w:eastAsia="宋体" w:cs="宋体"/>
                    </w:rPr>
                    <w:t>5、投标人成立时间以营业执照的成立日期为准；</w:t>
                  </w:r>
                </w:p>
                <w:p w14:paraId="76CD4756">
                  <w:pPr>
                    <w:jc w:val="both"/>
                    <w:rPr>
                      <w:rFonts w:hint="eastAsia" w:ascii="宋体" w:hAnsi="宋体" w:eastAsia="宋体" w:cs="宋体"/>
                      <w:lang w:val="zh-CN"/>
                    </w:rPr>
                  </w:pPr>
                  <w:r>
                    <w:rPr>
                      <w:rFonts w:hint="eastAsia" w:ascii="宋体" w:hAnsi="宋体" w:eastAsia="宋体" w:cs="宋体"/>
                    </w:rPr>
                    <w:t>6、如未按要求提供证明材料，或专家无法凭所提供资料判断是否得分的，视为该证明材料无效。</w:t>
                  </w:r>
                </w:p>
              </w:tc>
            </w:tr>
            <w:tr w14:paraId="5202A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1017CBD2">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C702FD6">
                  <w:pPr>
                    <w:jc w:val="center"/>
                    <w:rPr>
                      <w:rFonts w:hint="default" w:ascii="宋体" w:hAnsi="宋体" w:eastAsia="宋体" w:cs="宋体"/>
                      <w:lang w:val="en-US" w:eastAsia="zh-CN"/>
                    </w:rPr>
                  </w:pPr>
                  <w:r>
                    <w:rPr>
                      <w:rFonts w:hint="eastAsia" w:ascii="宋体" w:hAnsi="宋体" w:eastAsia="宋体" w:cs="宋体"/>
                      <w:lang w:val="en-US" w:eastAsia="zh-CN"/>
                    </w:rPr>
                    <w:t>9</w:t>
                  </w:r>
                </w:p>
              </w:tc>
              <w:tc>
                <w:tcPr>
                  <w:tcW w:w="1295" w:type="dxa"/>
                  <w:tcBorders>
                    <w:top w:val="single" w:color="000000" w:sz="8" w:space="0"/>
                    <w:left w:val="single" w:color="000000" w:sz="8" w:space="0"/>
                    <w:bottom w:val="single" w:color="000000" w:sz="8" w:space="0"/>
                    <w:right w:val="single" w:color="000000" w:sz="8" w:space="0"/>
                  </w:tcBorders>
                  <w:vAlign w:val="center"/>
                </w:tcPr>
                <w:p w14:paraId="1E1CE239">
                  <w:pPr>
                    <w:jc w:val="center"/>
                    <w:rPr>
                      <w:rFonts w:hint="eastAsia" w:ascii="宋体" w:hAnsi="宋体" w:eastAsia="宋体" w:cs="宋体"/>
                    </w:rPr>
                  </w:pPr>
                  <w:r>
                    <w:rPr>
                      <w:rFonts w:hint="eastAsia" w:ascii="宋体" w:hAnsi="宋体" w:eastAsia="宋体" w:cs="宋体"/>
                    </w:rPr>
                    <w:t>拟投入本项目冷库（含冷冻库及冷藏库）情况</w:t>
                  </w:r>
                </w:p>
              </w:tc>
              <w:tc>
                <w:tcPr>
                  <w:tcW w:w="1030" w:type="dxa"/>
                  <w:tcBorders>
                    <w:top w:val="single" w:color="000000" w:sz="8" w:space="0"/>
                    <w:left w:val="single" w:color="000000" w:sz="8" w:space="0"/>
                    <w:bottom w:val="single" w:color="000000" w:sz="8" w:space="0"/>
                    <w:right w:val="single" w:color="000000" w:sz="8" w:space="0"/>
                  </w:tcBorders>
                  <w:vAlign w:val="center"/>
                </w:tcPr>
                <w:p w14:paraId="000532AB">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5396" w:type="dxa"/>
                  <w:tcBorders>
                    <w:top w:val="single" w:color="000000" w:sz="8" w:space="0"/>
                    <w:left w:val="single" w:color="000000" w:sz="8" w:space="0"/>
                    <w:bottom w:val="single" w:color="000000" w:sz="8" w:space="0"/>
                    <w:right w:val="single" w:color="000000" w:sz="8" w:space="0"/>
                  </w:tcBorders>
                  <w:vAlign w:val="top"/>
                </w:tcPr>
                <w:p w14:paraId="0156D4CB">
                  <w:pPr>
                    <w:jc w:val="both"/>
                    <w:rPr>
                      <w:rFonts w:hint="eastAsia" w:ascii="宋体" w:hAnsi="宋体" w:eastAsia="宋体" w:cs="宋体"/>
                      <w:lang w:val="zh-CN"/>
                    </w:rPr>
                  </w:pPr>
                  <w:r>
                    <w:rPr>
                      <w:rFonts w:hint="eastAsia" w:ascii="宋体" w:hAnsi="宋体" w:eastAsia="宋体" w:cs="宋体"/>
                      <w:lang w:val="zh-CN"/>
                    </w:rPr>
                    <w:t>（一）评分内容：</w:t>
                  </w:r>
                </w:p>
                <w:p w14:paraId="214BCE33">
                  <w:pPr>
                    <w:jc w:val="both"/>
                    <w:rPr>
                      <w:rFonts w:hint="eastAsia" w:ascii="宋体" w:hAnsi="宋体" w:eastAsia="宋体" w:cs="宋体"/>
                      <w:lang w:val="zh-CN"/>
                    </w:rPr>
                  </w:pPr>
                  <w:r>
                    <w:rPr>
                      <w:rFonts w:hint="eastAsia" w:ascii="宋体" w:hAnsi="宋体" w:eastAsia="宋体" w:cs="宋体"/>
                      <w:lang w:val="zh-CN"/>
                    </w:rPr>
                    <w:t xml:space="preserve">投标人拟投入本项目的冷库（自有或租赁均可）具有温度校准报告，否则不得分，根据冷库（含冷冻库及冷藏库）容积进行评分： </w:t>
                  </w:r>
                </w:p>
                <w:p w14:paraId="45EE0B86">
                  <w:pPr>
                    <w:jc w:val="both"/>
                    <w:rPr>
                      <w:rFonts w:hint="eastAsia" w:ascii="宋体" w:hAnsi="宋体" w:eastAsia="宋体" w:cs="宋体"/>
                      <w:lang w:val="zh-CN"/>
                    </w:rPr>
                  </w:pPr>
                  <w:r>
                    <w:rPr>
                      <w:rFonts w:hint="eastAsia" w:ascii="宋体" w:hAnsi="宋体" w:eastAsia="宋体" w:cs="宋体"/>
                      <w:lang w:val="zh-CN"/>
                    </w:rPr>
                    <w:t>1、冷库容积≥</w:t>
                  </w:r>
                  <w:r>
                    <w:rPr>
                      <w:rFonts w:hint="eastAsia" w:ascii="宋体" w:hAnsi="宋体" w:eastAsia="宋体" w:cs="宋体"/>
                      <w:lang w:val="en-US" w:eastAsia="zh-CN"/>
                    </w:rPr>
                    <w:t>10</w:t>
                  </w:r>
                  <w:r>
                    <w:rPr>
                      <w:rFonts w:hint="eastAsia" w:ascii="宋体" w:hAnsi="宋体" w:eastAsia="宋体" w:cs="宋体"/>
                      <w:lang w:val="zh-CN"/>
                    </w:rPr>
                    <w:t>00立方米，得100分；</w:t>
                  </w:r>
                </w:p>
                <w:p w14:paraId="0B91235D">
                  <w:pPr>
                    <w:jc w:val="both"/>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lang w:val="en-US" w:eastAsia="zh-CN"/>
                    </w:rPr>
                    <w:t>5</w:t>
                  </w:r>
                  <w:r>
                    <w:rPr>
                      <w:rFonts w:hint="eastAsia" w:ascii="宋体" w:hAnsi="宋体" w:eastAsia="宋体" w:cs="宋体"/>
                      <w:lang w:val="zh-CN"/>
                    </w:rPr>
                    <w:t>00立方米≤冷库容积＜</w:t>
                  </w:r>
                  <w:r>
                    <w:rPr>
                      <w:rFonts w:hint="eastAsia" w:ascii="宋体" w:hAnsi="宋体" w:eastAsia="宋体" w:cs="宋体"/>
                      <w:lang w:val="en-US" w:eastAsia="zh-CN"/>
                    </w:rPr>
                    <w:t>10</w:t>
                  </w:r>
                  <w:r>
                    <w:rPr>
                      <w:rFonts w:hint="eastAsia" w:ascii="宋体" w:hAnsi="宋体" w:eastAsia="宋体" w:cs="宋体"/>
                      <w:lang w:val="zh-CN"/>
                    </w:rPr>
                    <w:t>00立方米，得60分；</w:t>
                  </w:r>
                </w:p>
                <w:p w14:paraId="0FC40A22">
                  <w:pPr>
                    <w:jc w:val="both"/>
                    <w:rPr>
                      <w:rFonts w:hint="eastAsia" w:ascii="宋体" w:hAnsi="宋体" w:eastAsia="宋体" w:cs="宋体"/>
                      <w:lang w:val="zh-CN"/>
                    </w:rPr>
                  </w:pPr>
                  <w:r>
                    <w:rPr>
                      <w:rFonts w:hint="eastAsia" w:ascii="宋体" w:hAnsi="宋体" w:eastAsia="宋体" w:cs="宋体"/>
                      <w:lang w:val="zh-CN"/>
                    </w:rPr>
                    <w:t>3、</w:t>
                  </w:r>
                  <w:r>
                    <w:rPr>
                      <w:rFonts w:hint="eastAsia" w:ascii="宋体" w:hAnsi="宋体" w:eastAsia="宋体" w:cs="宋体"/>
                      <w:lang w:val="en-US" w:eastAsia="zh-CN"/>
                    </w:rPr>
                    <w:t>2</w:t>
                  </w:r>
                  <w:r>
                    <w:rPr>
                      <w:rFonts w:hint="eastAsia" w:ascii="宋体" w:hAnsi="宋体" w:eastAsia="宋体" w:cs="宋体"/>
                      <w:lang w:val="zh-CN"/>
                    </w:rPr>
                    <w:t>00立方米≤冷库容积＜</w:t>
                  </w:r>
                  <w:r>
                    <w:rPr>
                      <w:rFonts w:hint="eastAsia" w:ascii="宋体" w:hAnsi="宋体" w:eastAsia="宋体" w:cs="宋体"/>
                      <w:lang w:val="en-US" w:eastAsia="zh-CN"/>
                    </w:rPr>
                    <w:t>5</w:t>
                  </w:r>
                  <w:r>
                    <w:rPr>
                      <w:rFonts w:hint="eastAsia" w:ascii="宋体" w:hAnsi="宋体" w:eastAsia="宋体" w:cs="宋体"/>
                      <w:lang w:val="zh-CN"/>
                    </w:rPr>
                    <w:t>00立方米，得30分；</w:t>
                  </w:r>
                </w:p>
                <w:p w14:paraId="75DC9D13">
                  <w:pPr>
                    <w:jc w:val="both"/>
                    <w:rPr>
                      <w:rFonts w:hint="eastAsia" w:ascii="宋体" w:hAnsi="宋体" w:eastAsia="宋体" w:cs="宋体"/>
                      <w:lang w:val="zh-CN"/>
                    </w:rPr>
                  </w:pPr>
                  <w:r>
                    <w:rPr>
                      <w:rFonts w:hint="eastAsia" w:ascii="宋体" w:hAnsi="宋体" w:eastAsia="宋体" w:cs="宋体"/>
                      <w:lang w:val="zh-CN"/>
                    </w:rPr>
                    <w:t>4、其他情况不得分。</w:t>
                  </w:r>
                </w:p>
                <w:p w14:paraId="10C05FA6">
                  <w:pPr>
                    <w:jc w:val="both"/>
                    <w:rPr>
                      <w:rFonts w:hint="eastAsia" w:ascii="宋体" w:hAnsi="宋体" w:eastAsia="宋体" w:cs="宋体"/>
                      <w:lang w:val="zh-CN"/>
                    </w:rPr>
                  </w:pPr>
                  <w:r>
                    <w:rPr>
                      <w:rFonts w:hint="eastAsia" w:ascii="宋体" w:hAnsi="宋体" w:eastAsia="宋体" w:cs="宋体"/>
                      <w:lang w:val="zh-CN"/>
                    </w:rPr>
                    <w:t>提供多个冷库容积可累计。以上4项不累计得分，最高得100分。</w:t>
                  </w:r>
                </w:p>
                <w:p w14:paraId="7BE1C9FF">
                  <w:pPr>
                    <w:jc w:val="both"/>
                    <w:rPr>
                      <w:rFonts w:hint="eastAsia" w:ascii="宋体" w:hAnsi="宋体" w:eastAsia="宋体" w:cs="宋体"/>
                      <w:lang w:val="zh-CN"/>
                    </w:rPr>
                  </w:pPr>
                  <w:r>
                    <w:rPr>
                      <w:rFonts w:hint="eastAsia" w:ascii="宋体" w:hAnsi="宋体" w:eastAsia="宋体" w:cs="宋体"/>
                      <w:lang w:val="zh-CN"/>
                    </w:rPr>
                    <w:t>（二）评分依据：</w:t>
                  </w:r>
                </w:p>
                <w:p w14:paraId="2A7DAFBB">
                  <w:pPr>
                    <w:jc w:val="both"/>
                    <w:rPr>
                      <w:rFonts w:hint="eastAsia" w:ascii="宋体" w:hAnsi="宋体" w:eastAsia="宋体" w:cs="宋体"/>
                      <w:lang w:val="zh-CN"/>
                    </w:rPr>
                  </w:pPr>
                  <w:r>
                    <w:rPr>
                      <w:rFonts w:hint="eastAsia" w:ascii="宋体" w:hAnsi="宋体" w:eastAsia="宋体" w:cs="宋体"/>
                      <w:lang w:val="zh-CN"/>
                    </w:rPr>
                    <w:t>1.提供自2024年1月1日至本项目投标截止之日（以报告出具日期为准），由第三方检测机构出具的具有“CMA”或“CMA和CNAS”标识的冷库温度校准报告扫描件。</w:t>
                  </w:r>
                </w:p>
                <w:p w14:paraId="1481EA0A">
                  <w:pPr>
                    <w:jc w:val="both"/>
                    <w:rPr>
                      <w:rFonts w:hint="eastAsia" w:ascii="宋体" w:hAnsi="宋体" w:eastAsia="宋体" w:cs="宋体"/>
                      <w:lang w:val="zh-CN"/>
                    </w:rPr>
                  </w:pPr>
                  <w:r>
                    <w:rPr>
                      <w:rFonts w:hint="eastAsia" w:ascii="宋体" w:hAnsi="宋体" w:eastAsia="宋体" w:cs="宋体"/>
                      <w:lang w:val="zh-CN"/>
                    </w:rPr>
                    <w:t>2.若是自有冷库，需同时提供以下证明材料扫描件：</w:t>
                  </w:r>
                </w:p>
                <w:p w14:paraId="4C9656CF">
                  <w:pPr>
                    <w:jc w:val="both"/>
                    <w:rPr>
                      <w:rFonts w:hint="eastAsia" w:ascii="宋体" w:hAnsi="宋体" w:eastAsia="宋体" w:cs="宋体"/>
                      <w:lang w:val="zh-CN"/>
                    </w:rPr>
                  </w:pPr>
                  <w:r>
                    <w:rPr>
                      <w:rFonts w:hint="eastAsia" w:ascii="宋体" w:hAnsi="宋体" w:eastAsia="宋体" w:cs="宋体"/>
                      <w:lang w:val="zh-CN"/>
                    </w:rPr>
                    <w:t>①冷库正门照片（至少1张）；</w:t>
                  </w:r>
                </w:p>
                <w:p w14:paraId="43091DBB">
                  <w:pPr>
                    <w:jc w:val="both"/>
                    <w:rPr>
                      <w:rFonts w:hint="eastAsia" w:ascii="宋体" w:hAnsi="宋体" w:eastAsia="宋体" w:cs="宋体"/>
                      <w:lang w:val="zh-CN"/>
                    </w:rPr>
                  </w:pPr>
                  <w:r>
                    <w:rPr>
                      <w:rFonts w:hint="eastAsia" w:ascii="宋体" w:hAnsi="宋体" w:eastAsia="宋体" w:cs="宋体"/>
                      <w:lang w:val="zh-CN"/>
                    </w:rPr>
                    <w:t>②冷库内景照片（至少1张）；</w:t>
                  </w:r>
                </w:p>
                <w:p w14:paraId="5700BABE">
                  <w:pPr>
                    <w:jc w:val="both"/>
                    <w:rPr>
                      <w:rFonts w:hint="eastAsia" w:ascii="宋体" w:hAnsi="宋体" w:eastAsia="宋体" w:cs="宋体"/>
                      <w:lang w:val="zh-CN"/>
                    </w:rPr>
                  </w:pPr>
                  <w:r>
                    <w:rPr>
                      <w:rFonts w:hint="eastAsia" w:ascii="宋体" w:hAnsi="宋体" w:eastAsia="宋体" w:cs="宋体"/>
                      <w:lang w:val="zh-CN"/>
                    </w:rPr>
                    <w:t>③冷库工程竣工验收报告或冷库安装合同或冷库转让合同证明文件（证明文件需体现冷库容积且委托方为投标人，若单位为平方米或其他单位的，投标人需同时提供换算为立方米的证明材料。若合同无体现容积信息，可增加其他能体现冷库容积信息的材料，根据提供材料情况得分）；</w:t>
                  </w:r>
                </w:p>
                <w:p w14:paraId="77C3EAA9">
                  <w:pPr>
                    <w:jc w:val="both"/>
                    <w:rPr>
                      <w:rFonts w:hint="eastAsia" w:ascii="宋体" w:hAnsi="宋体" w:eastAsia="宋体" w:cs="宋体"/>
                      <w:lang w:val="zh-CN"/>
                    </w:rPr>
                  </w:pPr>
                  <w:r>
                    <w:rPr>
                      <w:rFonts w:hint="eastAsia" w:ascii="宋体" w:hAnsi="宋体" w:eastAsia="宋体" w:cs="宋体"/>
                      <w:lang w:val="zh-CN"/>
                    </w:rPr>
                    <w:t>3.若是租赁冷库，需同时提供以下证明材料扫描件：</w:t>
                  </w:r>
                </w:p>
                <w:p w14:paraId="17495D7D">
                  <w:pPr>
                    <w:jc w:val="both"/>
                    <w:rPr>
                      <w:rFonts w:hint="eastAsia" w:ascii="宋体" w:hAnsi="宋体" w:eastAsia="宋体" w:cs="宋体"/>
                      <w:lang w:val="zh-CN"/>
                    </w:rPr>
                  </w:pPr>
                  <w:r>
                    <w:rPr>
                      <w:rFonts w:hint="eastAsia" w:ascii="宋体" w:hAnsi="宋体" w:eastAsia="宋体" w:cs="宋体"/>
                      <w:lang w:val="zh-CN"/>
                    </w:rPr>
                    <w:t>①冷库正门照片（至少1张）；</w:t>
                  </w:r>
                </w:p>
                <w:p w14:paraId="664935D8">
                  <w:pPr>
                    <w:jc w:val="both"/>
                    <w:rPr>
                      <w:rFonts w:hint="eastAsia" w:ascii="宋体" w:hAnsi="宋体" w:eastAsia="宋体" w:cs="宋体"/>
                      <w:lang w:val="zh-CN"/>
                    </w:rPr>
                  </w:pPr>
                  <w:r>
                    <w:rPr>
                      <w:rFonts w:hint="eastAsia" w:ascii="宋体" w:hAnsi="宋体" w:eastAsia="宋体" w:cs="宋体"/>
                      <w:lang w:val="zh-CN"/>
                    </w:rPr>
                    <w:t>②冷库内景照片（至少1张）；</w:t>
                  </w:r>
                </w:p>
                <w:p w14:paraId="6FE94592">
                  <w:pPr>
                    <w:jc w:val="both"/>
                    <w:rPr>
                      <w:rFonts w:hint="eastAsia" w:ascii="宋体" w:hAnsi="宋体" w:eastAsia="宋体" w:cs="宋体"/>
                      <w:lang w:val="zh-CN"/>
                    </w:rPr>
                  </w:pPr>
                  <w:r>
                    <w:rPr>
                      <w:rFonts w:hint="eastAsia" w:ascii="宋体" w:hAnsi="宋体" w:eastAsia="宋体" w:cs="宋体"/>
                      <w:lang w:val="zh-CN"/>
                    </w:rPr>
                    <w:t>③冷库租赁合同证明文件（证明文件需体现冷库容积，若单位为平方米或其他单位的，投标人需同时提供换算为立方米的证明材料。若合同无体现容积信息，可增加其他能体现冷库容积信息的材料，根据提供材料情况得分，租赁期限如未涵盖本项目服务期限，需提供承诺函，承诺续期至本项目服务期限结束，或承诺重新签订涵盖本项目服务期限的租赁合同）；</w:t>
                  </w:r>
                </w:p>
                <w:p w14:paraId="3B100E42">
                  <w:pPr>
                    <w:jc w:val="both"/>
                    <w:rPr>
                      <w:rFonts w:hint="eastAsia" w:ascii="宋体" w:hAnsi="宋体" w:eastAsia="宋体" w:cs="宋体"/>
                      <w:lang w:val="zh-CN"/>
                    </w:rPr>
                  </w:pPr>
                  <w:r>
                    <w:rPr>
                      <w:rFonts w:hint="eastAsia" w:ascii="宋体" w:hAnsi="宋体" w:eastAsia="宋体" w:cs="宋体"/>
                      <w:lang w:val="zh-CN"/>
                    </w:rPr>
                    <w:t>④提供近三个月内（2025年</w:t>
                  </w:r>
                  <w:r>
                    <w:rPr>
                      <w:rFonts w:hint="eastAsia" w:ascii="宋体" w:hAnsi="宋体" w:eastAsia="宋体" w:cs="宋体"/>
                      <w:lang w:val="en-US" w:eastAsia="zh-CN"/>
                    </w:rPr>
                    <w:t>9</w:t>
                  </w:r>
                  <w:r>
                    <w:rPr>
                      <w:rFonts w:hint="eastAsia" w:ascii="宋体" w:hAnsi="宋体" w:eastAsia="宋体" w:cs="宋体"/>
                      <w:lang w:val="zh-CN"/>
                    </w:rPr>
                    <w:t>-</w:t>
                  </w:r>
                  <w:r>
                    <w:rPr>
                      <w:rFonts w:hint="eastAsia" w:ascii="宋体" w:hAnsi="宋体" w:eastAsia="宋体" w:cs="宋体"/>
                      <w:lang w:val="en-US" w:eastAsia="zh-CN"/>
                    </w:rPr>
                    <w:t>11</w:t>
                  </w:r>
                  <w:r>
                    <w:rPr>
                      <w:rFonts w:hint="eastAsia" w:ascii="宋体" w:hAnsi="宋体" w:eastAsia="宋体" w:cs="宋体"/>
                      <w:lang w:val="zh-CN"/>
                    </w:rPr>
                    <w:t>月）任意一个月租金已缴纳的凭证【租金发票及银行转账（或收款、或付款）凭证】，发票需以投标人名称为抬头；</w:t>
                  </w:r>
                </w:p>
                <w:p w14:paraId="792AFD3A">
                  <w:pPr>
                    <w:jc w:val="both"/>
                    <w:rPr>
                      <w:rFonts w:hint="eastAsia" w:ascii="宋体" w:hAnsi="宋体" w:eastAsia="宋体" w:cs="宋体"/>
                      <w:lang w:val="zh-CN"/>
                    </w:rPr>
                  </w:pPr>
                  <w:r>
                    <w:rPr>
                      <w:rFonts w:hint="eastAsia" w:ascii="宋体" w:hAnsi="宋体" w:eastAsia="宋体" w:cs="宋体"/>
                      <w:lang w:val="zh-CN"/>
                    </w:rPr>
                    <w:t>4.</w:t>
                  </w:r>
                  <w:r>
                    <w:rPr>
                      <w:rFonts w:hint="eastAsia" w:ascii="宋体" w:hAnsi="宋体" w:eastAsia="宋体" w:cs="宋体"/>
                      <w:lang w:val="en-US" w:eastAsia="zh-CN"/>
                    </w:rPr>
                    <w:t>校准</w:t>
                  </w:r>
                  <w:r>
                    <w:rPr>
                      <w:rFonts w:hint="eastAsia" w:ascii="宋体" w:hAnsi="宋体" w:eastAsia="宋体" w:cs="宋体"/>
                      <w:lang w:val="zh-CN"/>
                    </w:rPr>
                    <w:t>报告要求具有“CMA”或“CMA和CNAS”等标识的，若有材料证明相关检测事项不在实施该项检测的机构许可（认可）“CMA”或“CMA和CNAS”等资质范围或检测范围内的，该检验（检测）报告视为不符合要求，作不得分处理；</w:t>
                  </w:r>
                </w:p>
                <w:p w14:paraId="3BDB5515">
                  <w:pPr>
                    <w:jc w:val="both"/>
                    <w:rPr>
                      <w:rFonts w:hint="eastAsia" w:ascii="宋体" w:hAnsi="宋体" w:eastAsia="宋体" w:cs="宋体"/>
                      <w:lang w:val="zh-CN"/>
                    </w:rPr>
                  </w:pPr>
                  <w:r>
                    <w:rPr>
                      <w:rFonts w:hint="eastAsia" w:ascii="宋体" w:hAnsi="宋体" w:eastAsia="宋体" w:cs="宋体"/>
                      <w:lang w:val="zh-CN"/>
                    </w:rPr>
                    <w:t>5.如未按要求提供证明材料，或专家无法凭所提供资料判断是否得分的，视为该证明材料无效。</w:t>
                  </w:r>
                </w:p>
              </w:tc>
            </w:tr>
            <w:tr w14:paraId="5AABB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246ADF79">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CF3A316">
                  <w:pPr>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295" w:type="dxa"/>
                  <w:tcBorders>
                    <w:top w:val="single" w:color="000000" w:sz="8" w:space="0"/>
                    <w:left w:val="single" w:color="000000" w:sz="8" w:space="0"/>
                    <w:bottom w:val="single" w:color="000000" w:sz="8" w:space="0"/>
                    <w:right w:val="single" w:color="000000" w:sz="8" w:space="0"/>
                  </w:tcBorders>
                  <w:vAlign w:val="center"/>
                </w:tcPr>
                <w:p w14:paraId="5E4C3FF4">
                  <w:pPr>
                    <w:jc w:val="center"/>
                    <w:rPr>
                      <w:rFonts w:hint="eastAsia" w:ascii="宋体" w:hAnsi="宋体" w:eastAsia="宋体" w:cs="宋体"/>
                    </w:rPr>
                  </w:pPr>
                  <w:r>
                    <w:rPr>
                      <w:rFonts w:hint="eastAsia" w:ascii="宋体" w:hAnsi="宋体" w:eastAsia="宋体" w:cs="宋体"/>
                      <w:lang w:val="zh-CN"/>
                    </w:rPr>
                    <w:t>拟投入本项目的配送场所</w:t>
                  </w:r>
                </w:p>
              </w:tc>
              <w:tc>
                <w:tcPr>
                  <w:tcW w:w="1030" w:type="dxa"/>
                  <w:tcBorders>
                    <w:top w:val="single" w:color="000000" w:sz="8" w:space="0"/>
                    <w:left w:val="single" w:color="000000" w:sz="8" w:space="0"/>
                    <w:bottom w:val="single" w:color="000000" w:sz="8" w:space="0"/>
                    <w:right w:val="single" w:color="000000" w:sz="8" w:space="0"/>
                  </w:tcBorders>
                  <w:vAlign w:val="center"/>
                </w:tcPr>
                <w:p w14:paraId="33C6EC96">
                  <w:pP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5396" w:type="dxa"/>
                  <w:tcBorders>
                    <w:top w:val="single" w:color="000000" w:sz="8" w:space="0"/>
                    <w:left w:val="single" w:color="000000" w:sz="8" w:space="0"/>
                    <w:bottom w:val="single" w:color="000000" w:sz="8" w:space="0"/>
                    <w:right w:val="single" w:color="000000" w:sz="8" w:space="0"/>
                  </w:tcBorders>
                  <w:vAlign w:val="top"/>
                </w:tcPr>
                <w:p w14:paraId="45E738A5">
                  <w:pPr>
                    <w:jc w:val="both"/>
                    <w:rPr>
                      <w:rFonts w:hint="eastAsia" w:ascii="宋体" w:hAnsi="宋体" w:eastAsia="宋体" w:cs="宋体"/>
                      <w:lang w:val="zh-CN"/>
                    </w:rPr>
                  </w:pPr>
                  <w:r>
                    <w:rPr>
                      <w:rFonts w:hint="eastAsia" w:ascii="宋体" w:hAnsi="宋体" w:eastAsia="宋体" w:cs="宋体"/>
                      <w:lang w:val="zh-CN"/>
                    </w:rPr>
                    <w:t>（一）评分内容：</w:t>
                  </w:r>
                </w:p>
                <w:p w14:paraId="35795B87">
                  <w:pPr>
                    <w:jc w:val="both"/>
                    <w:rPr>
                      <w:rFonts w:hint="eastAsia" w:ascii="宋体" w:hAnsi="宋体" w:eastAsia="宋体" w:cs="宋体"/>
                      <w:lang w:val="zh-CN"/>
                    </w:rPr>
                  </w:pPr>
                  <w:r>
                    <w:rPr>
                      <w:rFonts w:hint="eastAsia" w:ascii="宋体" w:hAnsi="宋体" w:eastAsia="宋体" w:cs="宋体"/>
                      <w:lang w:val="zh-CN"/>
                    </w:rPr>
                    <w:t>投标人自有或租赁的配送场所面积：</w:t>
                  </w:r>
                </w:p>
                <w:p w14:paraId="7A5EDC96">
                  <w:pPr>
                    <w:jc w:val="both"/>
                    <w:rPr>
                      <w:rFonts w:hint="eastAsia" w:ascii="宋体" w:hAnsi="宋体" w:eastAsia="宋体" w:cs="宋体"/>
                      <w:lang w:val="zh-CN"/>
                    </w:rPr>
                  </w:pPr>
                  <w:r>
                    <w:rPr>
                      <w:rFonts w:hint="eastAsia" w:ascii="宋体" w:hAnsi="宋体" w:eastAsia="宋体" w:cs="宋体"/>
                      <w:lang w:val="zh-CN"/>
                    </w:rPr>
                    <w:t>1、配送场所面积≥</w:t>
                  </w:r>
                  <w:r>
                    <w:rPr>
                      <w:rFonts w:hint="eastAsia" w:ascii="宋体" w:hAnsi="宋体" w:eastAsia="宋体" w:cs="宋体"/>
                      <w:lang w:val="en-US" w:eastAsia="zh-CN"/>
                    </w:rPr>
                    <w:t>2000</w:t>
                  </w:r>
                  <w:r>
                    <w:rPr>
                      <w:rFonts w:hint="eastAsia" w:ascii="宋体" w:hAnsi="宋体" w:eastAsia="宋体" w:cs="宋体"/>
                      <w:lang w:val="zh-CN"/>
                    </w:rPr>
                    <w:t>平方米的，得100分；</w:t>
                  </w:r>
                </w:p>
                <w:p w14:paraId="1FB1AAB3">
                  <w:pPr>
                    <w:jc w:val="both"/>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lang w:val="en-US" w:eastAsia="zh-CN"/>
                    </w:rPr>
                    <w:t>1500</w:t>
                  </w:r>
                  <w:r>
                    <w:rPr>
                      <w:rFonts w:hint="eastAsia" w:ascii="宋体" w:hAnsi="宋体" w:eastAsia="宋体" w:cs="宋体"/>
                      <w:lang w:val="zh-CN"/>
                    </w:rPr>
                    <w:t>平方米≤配送场所面积＜</w:t>
                  </w:r>
                  <w:r>
                    <w:rPr>
                      <w:rFonts w:hint="eastAsia" w:ascii="宋体" w:hAnsi="宋体" w:eastAsia="宋体" w:cs="宋体"/>
                      <w:lang w:val="en-US" w:eastAsia="zh-CN"/>
                    </w:rPr>
                    <w:t>2000</w:t>
                  </w:r>
                  <w:r>
                    <w:rPr>
                      <w:rFonts w:hint="eastAsia" w:ascii="宋体" w:hAnsi="宋体" w:eastAsia="宋体" w:cs="宋体"/>
                      <w:lang w:val="zh-CN"/>
                    </w:rPr>
                    <w:t>平方米的，得70分；</w:t>
                  </w:r>
                </w:p>
                <w:p w14:paraId="49EC76EF">
                  <w:pPr>
                    <w:jc w:val="both"/>
                    <w:rPr>
                      <w:rFonts w:hint="eastAsia" w:ascii="宋体" w:hAnsi="宋体" w:eastAsia="宋体" w:cs="宋体"/>
                      <w:lang w:val="zh-CN"/>
                    </w:rPr>
                  </w:pPr>
                  <w:r>
                    <w:rPr>
                      <w:rFonts w:hint="eastAsia" w:ascii="宋体" w:hAnsi="宋体" w:eastAsia="宋体" w:cs="宋体"/>
                      <w:lang w:val="zh-CN"/>
                    </w:rPr>
                    <w:t>3、</w:t>
                  </w:r>
                  <w:r>
                    <w:rPr>
                      <w:rFonts w:hint="eastAsia" w:ascii="宋体" w:hAnsi="宋体" w:eastAsia="宋体" w:cs="宋体"/>
                      <w:lang w:val="en-US" w:eastAsia="zh-CN"/>
                    </w:rPr>
                    <w:t>1000</w:t>
                  </w:r>
                  <w:r>
                    <w:rPr>
                      <w:rFonts w:hint="eastAsia" w:ascii="宋体" w:hAnsi="宋体" w:eastAsia="宋体" w:cs="宋体"/>
                      <w:lang w:val="zh-CN"/>
                    </w:rPr>
                    <w:t>平方米≤配送场所面积＜</w:t>
                  </w:r>
                  <w:r>
                    <w:rPr>
                      <w:rFonts w:hint="eastAsia" w:ascii="宋体" w:hAnsi="宋体" w:eastAsia="宋体" w:cs="宋体"/>
                      <w:lang w:val="en-US" w:eastAsia="zh-CN"/>
                    </w:rPr>
                    <w:t>1500</w:t>
                  </w:r>
                  <w:r>
                    <w:rPr>
                      <w:rFonts w:hint="eastAsia" w:ascii="宋体" w:hAnsi="宋体" w:eastAsia="宋体" w:cs="宋体"/>
                      <w:lang w:val="zh-CN"/>
                    </w:rPr>
                    <w:t>平方米的，得50分；</w:t>
                  </w:r>
                </w:p>
                <w:p w14:paraId="534D38AE">
                  <w:pPr>
                    <w:jc w:val="both"/>
                    <w:rPr>
                      <w:rFonts w:hint="eastAsia" w:ascii="宋体" w:hAnsi="宋体" w:eastAsia="宋体" w:cs="宋体"/>
                      <w:lang w:val="zh-CN"/>
                    </w:rPr>
                  </w:pPr>
                  <w:r>
                    <w:rPr>
                      <w:rFonts w:hint="eastAsia" w:ascii="宋体" w:hAnsi="宋体" w:eastAsia="宋体" w:cs="宋体"/>
                      <w:lang w:val="zh-CN"/>
                    </w:rPr>
                    <w:t>4、</w:t>
                  </w:r>
                  <w:r>
                    <w:rPr>
                      <w:rFonts w:hint="eastAsia" w:ascii="宋体" w:hAnsi="宋体" w:eastAsia="宋体" w:cs="宋体"/>
                      <w:lang w:val="en-US" w:eastAsia="zh-CN"/>
                    </w:rPr>
                    <w:t>500</w:t>
                  </w:r>
                  <w:r>
                    <w:rPr>
                      <w:rFonts w:hint="eastAsia" w:ascii="宋体" w:hAnsi="宋体" w:eastAsia="宋体" w:cs="宋体"/>
                      <w:lang w:val="zh-CN"/>
                    </w:rPr>
                    <w:t>平方米≤配送场所面积＜</w:t>
                  </w:r>
                  <w:r>
                    <w:rPr>
                      <w:rFonts w:hint="eastAsia" w:ascii="宋体" w:hAnsi="宋体" w:eastAsia="宋体" w:cs="宋体"/>
                      <w:lang w:val="en-US" w:eastAsia="zh-CN"/>
                    </w:rPr>
                    <w:t>1000</w:t>
                  </w:r>
                  <w:r>
                    <w:rPr>
                      <w:rFonts w:hint="eastAsia" w:ascii="宋体" w:hAnsi="宋体" w:eastAsia="宋体" w:cs="宋体"/>
                      <w:lang w:val="zh-CN"/>
                    </w:rPr>
                    <w:t>平方米的，得30分；</w:t>
                  </w:r>
                </w:p>
                <w:p w14:paraId="77A989C7">
                  <w:pPr>
                    <w:jc w:val="both"/>
                    <w:rPr>
                      <w:rFonts w:hint="eastAsia" w:ascii="宋体" w:hAnsi="宋体" w:eastAsia="宋体" w:cs="宋体"/>
                      <w:lang w:val="zh-CN"/>
                    </w:rPr>
                  </w:pPr>
                  <w:r>
                    <w:rPr>
                      <w:rFonts w:hint="eastAsia" w:ascii="宋体" w:hAnsi="宋体" w:eastAsia="宋体" w:cs="宋体"/>
                      <w:lang w:val="zh-CN"/>
                    </w:rPr>
                    <w:t>5、</w:t>
                  </w:r>
                  <w:r>
                    <w:rPr>
                      <w:rFonts w:hint="eastAsia" w:ascii="宋体" w:hAnsi="宋体" w:eastAsia="宋体" w:cs="宋体"/>
                      <w:lang w:val="en-US" w:eastAsia="zh-CN"/>
                    </w:rPr>
                    <w:t>200</w:t>
                  </w:r>
                  <w:r>
                    <w:rPr>
                      <w:rFonts w:hint="eastAsia" w:ascii="宋体" w:hAnsi="宋体" w:eastAsia="宋体" w:cs="宋体"/>
                      <w:lang w:val="zh-CN"/>
                    </w:rPr>
                    <w:t>平方米≤配送场所面积＜</w:t>
                  </w:r>
                  <w:r>
                    <w:rPr>
                      <w:rFonts w:hint="eastAsia" w:ascii="宋体" w:hAnsi="宋体" w:eastAsia="宋体" w:cs="宋体"/>
                      <w:lang w:val="en-US" w:eastAsia="zh-CN"/>
                    </w:rPr>
                    <w:t>500</w:t>
                  </w:r>
                  <w:r>
                    <w:rPr>
                      <w:rFonts w:hint="eastAsia" w:ascii="宋体" w:hAnsi="宋体" w:eastAsia="宋体" w:cs="宋体"/>
                      <w:lang w:val="zh-CN"/>
                    </w:rPr>
                    <w:t>平方米的，得10分。</w:t>
                  </w:r>
                </w:p>
                <w:p w14:paraId="21F0BBA3">
                  <w:pPr>
                    <w:jc w:val="both"/>
                    <w:rPr>
                      <w:rFonts w:hint="eastAsia" w:ascii="宋体" w:hAnsi="宋体" w:eastAsia="宋体" w:cs="宋体"/>
                      <w:lang w:val="zh-CN"/>
                    </w:rPr>
                  </w:pPr>
                  <w:r>
                    <w:rPr>
                      <w:rFonts w:hint="eastAsia" w:ascii="宋体" w:hAnsi="宋体" w:eastAsia="宋体" w:cs="宋体"/>
                      <w:lang w:val="zh-CN"/>
                    </w:rPr>
                    <w:t>6、其他情况不得分。</w:t>
                  </w:r>
                </w:p>
                <w:p w14:paraId="048F3BF3">
                  <w:pPr>
                    <w:jc w:val="both"/>
                    <w:rPr>
                      <w:rFonts w:hint="eastAsia" w:ascii="宋体" w:hAnsi="宋体" w:eastAsia="宋体" w:cs="宋体"/>
                      <w:lang w:val="zh-CN"/>
                    </w:rPr>
                  </w:pPr>
                  <w:r>
                    <w:rPr>
                      <w:rFonts w:hint="eastAsia" w:ascii="宋体" w:hAnsi="宋体" w:eastAsia="宋体" w:cs="宋体"/>
                      <w:lang w:val="zh-CN"/>
                    </w:rPr>
                    <w:t>提供多处配送场所面积可以累加，以累加后的面积计分，最高得100分。</w:t>
                  </w:r>
                </w:p>
                <w:p w14:paraId="4458E0C1">
                  <w:pPr>
                    <w:jc w:val="both"/>
                    <w:rPr>
                      <w:rFonts w:hint="eastAsia" w:ascii="宋体" w:hAnsi="宋体" w:eastAsia="宋体" w:cs="宋体"/>
                      <w:lang w:val="zh-CN"/>
                    </w:rPr>
                  </w:pPr>
                  <w:r>
                    <w:rPr>
                      <w:rFonts w:hint="eastAsia" w:ascii="宋体" w:hAnsi="宋体" w:eastAsia="宋体" w:cs="宋体"/>
                      <w:lang w:val="zh-CN"/>
                    </w:rPr>
                    <w:t>（二）评分依据：</w:t>
                  </w:r>
                </w:p>
                <w:p w14:paraId="22791E9D">
                  <w:pPr>
                    <w:jc w:val="both"/>
                    <w:rPr>
                      <w:rFonts w:hint="eastAsia" w:ascii="宋体" w:hAnsi="宋体" w:eastAsia="宋体" w:cs="宋体"/>
                      <w:lang w:val="zh-CN"/>
                    </w:rPr>
                  </w:pPr>
                  <w:r>
                    <w:rPr>
                      <w:rFonts w:hint="eastAsia" w:ascii="宋体" w:hAnsi="宋体" w:eastAsia="宋体" w:cs="宋体"/>
                      <w:lang w:val="zh-CN"/>
                    </w:rPr>
                    <w:t>1.若是自有配送场所，需同时提供：</w:t>
                  </w:r>
                </w:p>
                <w:p w14:paraId="04303327">
                  <w:pPr>
                    <w:jc w:val="both"/>
                    <w:rPr>
                      <w:rFonts w:hint="eastAsia" w:ascii="宋体" w:hAnsi="宋体" w:eastAsia="宋体" w:cs="宋体"/>
                      <w:lang w:val="zh-CN"/>
                    </w:rPr>
                  </w:pPr>
                  <w:r>
                    <w:rPr>
                      <w:rFonts w:hint="eastAsia" w:ascii="宋体" w:hAnsi="宋体" w:eastAsia="宋体" w:cs="宋体"/>
                      <w:lang w:val="zh-CN"/>
                    </w:rPr>
                    <w:t>①配送场所照片（至少1张）；</w:t>
                  </w:r>
                </w:p>
                <w:p w14:paraId="41C3C7FA">
                  <w:pPr>
                    <w:jc w:val="both"/>
                    <w:rPr>
                      <w:rFonts w:hint="eastAsia" w:ascii="宋体" w:hAnsi="宋体" w:eastAsia="宋体" w:cs="宋体"/>
                      <w:lang w:val="zh-CN"/>
                    </w:rPr>
                  </w:pPr>
                  <w:r>
                    <w:rPr>
                      <w:rFonts w:hint="eastAsia" w:ascii="宋体" w:hAnsi="宋体" w:eastAsia="宋体" w:cs="宋体"/>
                      <w:lang w:val="zh-CN"/>
                    </w:rPr>
                    <w:t>②自有产权证明或场地使用证明文件，须能体现所有权人为投标人及体现占地面积信息，如无法体现场地面积，还需提供由第三方测绘机构出具的面积测绘报告（须体现场所面积，测绘报告中的检测地址需与投标人提供的加工配送场地地址一致）；</w:t>
                  </w:r>
                </w:p>
                <w:p w14:paraId="1CC1B7FD">
                  <w:pPr>
                    <w:jc w:val="both"/>
                    <w:rPr>
                      <w:rFonts w:hint="eastAsia" w:ascii="宋体" w:hAnsi="宋体" w:eastAsia="宋体" w:cs="宋体"/>
                      <w:lang w:val="zh-CN"/>
                    </w:rPr>
                  </w:pPr>
                  <w:r>
                    <w:rPr>
                      <w:rFonts w:hint="eastAsia" w:ascii="宋体" w:hAnsi="宋体" w:eastAsia="宋体" w:cs="宋体"/>
                      <w:lang w:val="zh-CN"/>
                    </w:rPr>
                    <w:t>2.若是租赁配送场所，须同时提供：</w:t>
                  </w:r>
                </w:p>
                <w:p w14:paraId="471CD96F">
                  <w:pPr>
                    <w:jc w:val="both"/>
                    <w:rPr>
                      <w:rFonts w:hint="eastAsia" w:ascii="宋体" w:hAnsi="宋体" w:eastAsia="宋体" w:cs="宋体"/>
                      <w:lang w:val="zh-CN"/>
                    </w:rPr>
                  </w:pPr>
                  <w:r>
                    <w:rPr>
                      <w:rFonts w:hint="eastAsia" w:ascii="宋体" w:hAnsi="宋体" w:eastAsia="宋体" w:cs="宋体"/>
                      <w:lang w:val="zh-CN"/>
                    </w:rPr>
                    <w:t>①配送场所照片（至少1张）；</w:t>
                  </w:r>
                </w:p>
                <w:p w14:paraId="40AC565F">
                  <w:pPr>
                    <w:jc w:val="both"/>
                    <w:rPr>
                      <w:rFonts w:hint="eastAsia" w:ascii="宋体" w:hAnsi="宋体" w:eastAsia="宋体" w:cs="宋体"/>
                      <w:lang w:val="zh-CN"/>
                    </w:rPr>
                  </w:pPr>
                  <w:r>
                    <w:rPr>
                      <w:rFonts w:hint="eastAsia" w:ascii="宋体" w:hAnsi="宋体" w:eastAsia="宋体" w:cs="宋体"/>
                      <w:lang w:val="zh-CN"/>
                    </w:rPr>
                    <w:t>②租赁合同关键页（包括但不限于：合同名称页、合同主要内容页、合同签订日期页、合同双方签字盖章页；租期需涵盖本项目投标截止日），租赁合同需能体现租赁人或承租人为投标人，租赁合同若无面积信息，需增加其他能体现配送场所信息的材料；</w:t>
                  </w:r>
                </w:p>
                <w:p w14:paraId="36E0B966">
                  <w:pPr>
                    <w:jc w:val="both"/>
                    <w:rPr>
                      <w:rFonts w:hint="eastAsia" w:ascii="宋体" w:hAnsi="宋体" w:eastAsia="宋体" w:cs="宋体"/>
                      <w:lang w:val="zh-CN"/>
                    </w:rPr>
                  </w:pPr>
                  <w:r>
                    <w:rPr>
                      <w:rFonts w:hint="eastAsia" w:ascii="宋体" w:hAnsi="宋体" w:eastAsia="宋体" w:cs="宋体"/>
                      <w:lang w:val="zh-CN"/>
                    </w:rPr>
                    <w:t>③提供近三个月内（2025年</w:t>
                  </w:r>
                  <w:r>
                    <w:rPr>
                      <w:rFonts w:hint="eastAsia" w:ascii="宋体" w:hAnsi="宋体" w:eastAsia="宋体" w:cs="宋体"/>
                      <w:lang w:val="en-US" w:eastAsia="zh-CN"/>
                    </w:rPr>
                    <w:t>9</w:t>
                  </w:r>
                  <w:r>
                    <w:rPr>
                      <w:rFonts w:hint="eastAsia" w:ascii="宋体" w:hAnsi="宋体" w:eastAsia="宋体" w:cs="宋体"/>
                      <w:lang w:val="zh-CN"/>
                    </w:rPr>
                    <w:t>-</w:t>
                  </w:r>
                  <w:r>
                    <w:rPr>
                      <w:rFonts w:hint="eastAsia" w:ascii="宋体" w:hAnsi="宋体" w:eastAsia="宋体" w:cs="宋体"/>
                      <w:lang w:val="en-US" w:eastAsia="zh-CN"/>
                    </w:rPr>
                    <w:t>11</w:t>
                  </w:r>
                  <w:r>
                    <w:rPr>
                      <w:rFonts w:hint="eastAsia" w:ascii="宋体" w:hAnsi="宋体" w:eastAsia="宋体" w:cs="宋体"/>
                      <w:lang w:val="zh-CN"/>
                    </w:rPr>
                    <w:t>月）任意一个月租金已缴纳的凭证【租金发票及银行转账（或收款、或付款）凭证】，发票需以投标人名称为抬头；</w:t>
                  </w:r>
                </w:p>
                <w:p w14:paraId="4CCD970A">
                  <w:pPr>
                    <w:jc w:val="both"/>
                    <w:rPr>
                      <w:rFonts w:hint="eastAsia" w:ascii="宋体" w:hAnsi="宋体" w:eastAsia="宋体" w:cs="宋体"/>
                      <w:lang w:val="zh-CN"/>
                    </w:rPr>
                  </w:pPr>
                  <w:r>
                    <w:rPr>
                      <w:rFonts w:hint="eastAsia" w:ascii="宋体" w:hAnsi="宋体" w:eastAsia="宋体" w:cs="宋体"/>
                      <w:lang w:val="zh-CN"/>
                    </w:rPr>
                    <w:t>④租赁期限如未涵盖本项目服务期限，需提供承诺函，承诺续期至本项目服务期限结束，或承诺重新签订涵盖本项目服务期限的租赁合同；</w:t>
                  </w:r>
                </w:p>
                <w:p w14:paraId="0850B507">
                  <w:pPr>
                    <w:jc w:val="both"/>
                    <w:rPr>
                      <w:rFonts w:hint="eastAsia" w:ascii="宋体" w:hAnsi="宋体" w:eastAsia="宋体" w:cs="宋体"/>
                      <w:lang w:val="zh-CN"/>
                    </w:rPr>
                  </w:pPr>
                  <w:r>
                    <w:rPr>
                      <w:rFonts w:hint="eastAsia" w:ascii="宋体" w:hAnsi="宋体" w:eastAsia="宋体" w:cs="宋体"/>
                      <w:lang w:val="zh-CN"/>
                    </w:rPr>
                    <w:t>3.如未按要求提供证明材料，或专家无法凭所提供资料判断是否得分的，视为该证明材料无效。</w:t>
                  </w:r>
                </w:p>
              </w:tc>
            </w:tr>
            <w:tr w14:paraId="48964B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3675EEAA">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E5FCA66">
                  <w:pPr>
                    <w:jc w:val="center"/>
                    <w:rPr>
                      <w:rFonts w:hint="default" w:ascii="宋体" w:hAnsi="宋体" w:eastAsia="宋体" w:cs="宋体"/>
                      <w:lang w:val="en-US" w:eastAsia="zh-CN"/>
                    </w:rPr>
                  </w:pPr>
                  <w:r>
                    <w:rPr>
                      <w:rFonts w:hint="eastAsia" w:ascii="宋体" w:hAnsi="宋体" w:eastAsia="宋体" w:cs="宋体"/>
                      <w:lang w:val="en-US" w:eastAsia="zh-CN"/>
                    </w:rPr>
                    <w:t>11</w:t>
                  </w:r>
                </w:p>
              </w:tc>
              <w:tc>
                <w:tcPr>
                  <w:tcW w:w="1295" w:type="dxa"/>
                  <w:tcBorders>
                    <w:top w:val="single" w:color="000000" w:sz="8" w:space="0"/>
                    <w:left w:val="single" w:color="000000" w:sz="8" w:space="0"/>
                    <w:bottom w:val="single" w:color="000000" w:sz="8" w:space="0"/>
                    <w:right w:val="single" w:color="000000" w:sz="8" w:space="0"/>
                  </w:tcBorders>
                  <w:vAlign w:val="center"/>
                </w:tcPr>
                <w:p w14:paraId="49C58700">
                  <w:pPr>
                    <w:jc w:val="center"/>
                    <w:rPr>
                      <w:rFonts w:hint="eastAsia" w:ascii="宋体" w:hAnsi="宋体" w:eastAsia="宋体" w:cs="宋体"/>
                    </w:rPr>
                  </w:pPr>
                  <w:r>
                    <w:rPr>
                      <w:rFonts w:hint="eastAsia" w:ascii="宋体" w:hAnsi="宋体" w:eastAsia="宋体" w:cs="宋体"/>
                    </w:rPr>
                    <w:t>拟投入本项目的车辆</w:t>
                  </w:r>
                </w:p>
              </w:tc>
              <w:tc>
                <w:tcPr>
                  <w:tcW w:w="1030" w:type="dxa"/>
                  <w:tcBorders>
                    <w:top w:val="single" w:color="000000" w:sz="8" w:space="0"/>
                    <w:left w:val="single" w:color="000000" w:sz="8" w:space="0"/>
                    <w:bottom w:val="single" w:color="000000" w:sz="8" w:space="0"/>
                    <w:right w:val="single" w:color="000000" w:sz="8" w:space="0"/>
                  </w:tcBorders>
                  <w:vAlign w:val="center"/>
                </w:tcPr>
                <w:p w14:paraId="63A48B1E">
                  <w:pP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5396" w:type="dxa"/>
                  <w:tcBorders>
                    <w:top w:val="single" w:color="000000" w:sz="8" w:space="0"/>
                    <w:left w:val="single" w:color="000000" w:sz="8" w:space="0"/>
                    <w:bottom w:val="single" w:color="000000" w:sz="8" w:space="0"/>
                    <w:right w:val="single" w:color="000000" w:sz="8" w:space="0"/>
                  </w:tcBorders>
                  <w:vAlign w:val="center"/>
                </w:tcPr>
                <w:p w14:paraId="61871AAD">
                  <w:pPr>
                    <w:jc w:val="both"/>
                    <w:rPr>
                      <w:rFonts w:hint="eastAsia" w:ascii="宋体" w:hAnsi="宋体" w:eastAsia="宋体" w:cs="宋体"/>
                    </w:rPr>
                  </w:pPr>
                  <w:r>
                    <w:rPr>
                      <w:rFonts w:hint="eastAsia" w:ascii="宋体" w:hAnsi="宋体" w:eastAsia="宋体" w:cs="宋体"/>
                    </w:rPr>
                    <w:t>（一）评分内容：</w:t>
                  </w:r>
                </w:p>
                <w:p w14:paraId="14FDB719">
                  <w:pPr>
                    <w:jc w:val="both"/>
                    <w:rPr>
                      <w:rFonts w:hint="eastAsia" w:ascii="宋体" w:hAnsi="宋体" w:eastAsia="宋体" w:cs="宋体"/>
                    </w:rPr>
                  </w:pPr>
                  <w:r>
                    <w:rPr>
                      <w:rFonts w:hint="eastAsia" w:ascii="宋体" w:hAnsi="宋体" w:eastAsia="宋体" w:cs="宋体"/>
                    </w:rPr>
                    <w:t>投标人</w:t>
                  </w:r>
                  <w:r>
                    <w:rPr>
                      <w:rFonts w:hint="eastAsia" w:ascii="宋体" w:hAnsi="宋体" w:eastAsia="宋体" w:cs="宋体"/>
                      <w:lang w:val="en-US" w:eastAsia="zh-CN"/>
                    </w:rPr>
                    <w:t>承诺</w:t>
                  </w:r>
                  <w:r>
                    <w:rPr>
                      <w:rFonts w:hint="eastAsia" w:ascii="宋体" w:hAnsi="宋体" w:eastAsia="宋体" w:cs="宋体"/>
                    </w:rPr>
                    <w:t>拟投入本项目自有或租赁车辆（带冷藏或冷冻功能），每</w:t>
                  </w:r>
                  <w:r>
                    <w:rPr>
                      <w:rFonts w:hint="eastAsia" w:ascii="宋体" w:hAnsi="宋体" w:eastAsia="宋体" w:cs="宋体"/>
                      <w:lang w:val="en-US" w:eastAsia="zh-CN"/>
                    </w:rPr>
                    <w:t>承诺</w:t>
                  </w:r>
                  <w:r>
                    <w:rPr>
                      <w:rFonts w:hint="eastAsia" w:ascii="宋体" w:hAnsi="宋体" w:eastAsia="宋体" w:cs="宋体"/>
                    </w:rPr>
                    <w:t>提供一辆得15分，最高得100分。</w:t>
                  </w:r>
                </w:p>
                <w:p w14:paraId="1EA89412">
                  <w:pPr>
                    <w:jc w:val="both"/>
                    <w:rPr>
                      <w:rFonts w:hint="eastAsia" w:ascii="宋体" w:hAnsi="宋体" w:eastAsia="宋体" w:cs="宋体"/>
                    </w:rPr>
                  </w:pPr>
                  <w:r>
                    <w:rPr>
                      <w:rFonts w:hint="eastAsia" w:ascii="宋体" w:hAnsi="宋体" w:eastAsia="宋体" w:cs="宋体"/>
                    </w:rPr>
                    <w:t>（二）评分依据：</w:t>
                  </w:r>
                </w:p>
                <w:p w14:paraId="28922711">
                  <w:pPr>
                    <w:jc w:val="both"/>
                    <w:rPr>
                      <w:rFonts w:hint="eastAsia" w:ascii="宋体" w:hAnsi="宋体" w:eastAsia="宋体" w:cs="宋体"/>
                      <w:lang w:val="zh-CN"/>
                    </w:rPr>
                  </w:pPr>
                  <w:r>
                    <w:rPr>
                      <w:rFonts w:hint="eastAsia" w:ascii="宋体" w:hAnsi="宋体" w:eastAsia="宋体" w:cs="宋体"/>
                    </w:rPr>
                    <w:t>要求投标人提供承诺函（格式自拟）作为得分依据，未提供承诺或承诺内容不满足要求的不得分。</w:t>
                  </w:r>
                </w:p>
              </w:tc>
            </w:tr>
            <w:tr w14:paraId="277E6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right w:val="single" w:color="000000" w:sz="8" w:space="0"/>
                  </w:tcBorders>
                  <w:vAlign w:val="center"/>
                </w:tcPr>
                <w:p w14:paraId="3809BAB6">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E12E23A">
                  <w:pPr>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1295" w:type="dxa"/>
                  <w:tcBorders>
                    <w:top w:val="single" w:color="000000" w:sz="8" w:space="0"/>
                    <w:left w:val="single" w:color="000000" w:sz="8" w:space="0"/>
                    <w:bottom w:val="single" w:color="000000" w:sz="8" w:space="0"/>
                    <w:right w:val="single" w:color="000000" w:sz="8" w:space="0"/>
                  </w:tcBorders>
                  <w:vAlign w:val="center"/>
                </w:tcPr>
                <w:p w14:paraId="6ADB0083">
                  <w:pPr>
                    <w:jc w:val="center"/>
                    <w:rPr>
                      <w:rFonts w:hint="eastAsia" w:ascii="宋体" w:hAnsi="宋体" w:eastAsia="宋体" w:cs="宋体"/>
                    </w:rPr>
                  </w:pPr>
                  <w:r>
                    <w:rPr>
                      <w:rFonts w:hint="eastAsia" w:ascii="宋体" w:hAnsi="宋体" w:eastAsia="宋体" w:cs="宋体"/>
                    </w:rPr>
                    <w:t>拟投入本项目食品安全检测设备</w:t>
                  </w:r>
                </w:p>
              </w:tc>
              <w:tc>
                <w:tcPr>
                  <w:tcW w:w="1030" w:type="dxa"/>
                  <w:tcBorders>
                    <w:top w:val="single" w:color="000000" w:sz="8" w:space="0"/>
                    <w:left w:val="single" w:color="000000" w:sz="8" w:space="0"/>
                    <w:bottom w:val="single" w:color="000000" w:sz="8" w:space="0"/>
                    <w:right w:val="single" w:color="000000" w:sz="8" w:space="0"/>
                  </w:tcBorders>
                  <w:vAlign w:val="center"/>
                </w:tcPr>
                <w:p w14:paraId="37EDCBB7">
                  <w:pP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5396" w:type="dxa"/>
                  <w:tcBorders>
                    <w:top w:val="single" w:color="000000" w:sz="8" w:space="0"/>
                    <w:left w:val="single" w:color="000000" w:sz="8" w:space="0"/>
                    <w:bottom w:val="single" w:color="000000" w:sz="8" w:space="0"/>
                    <w:right w:val="single" w:color="000000" w:sz="8" w:space="0"/>
                  </w:tcBorders>
                  <w:vAlign w:val="center"/>
                </w:tcPr>
                <w:p w14:paraId="4DAF5693">
                  <w:pPr>
                    <w:jc w:val="both"/>
                    <w:rPr>
                      <w:rFonts w:hint="eastAsia" w:ascii="宋体" w:hAnsi="宋体" w:eastAsia="宋体" w:cs="宋体"/>
                    </w:rPr>
                  </w:pPr>
                  <w:r>
                    <w:rPr>
                      <w:rFonts w:hint="eastAsia" w:ascii="宋体" w:hAnsi="宋体" w:eastAsia="宋体" w:cs="宋体"/>
                    </w:rPr>
                    <w:t>（一）评分内容：</w:t>
                  </w:r>
                </w:p>
                <w:p w14:paraId="76A58F2C">
                  <w:pPr>
                    <w:jc w:val="both"/>
                    <w:rPr>
                      <w:rFonts w:hint="eastAsia" w:ascii="宋体" w:hAnsi="宋体" w:eastAsia="宋体" w:cs="宋体"/>
                    </w:rPr>
                  </w:pPr>
                  <w:r>
                    <w:rPr>
                      <w:rFonts w:hint="eastAsia" w:ascii="宋体" w:hAnsi="宋体" w:eastAsia="宋体" w:cs="宋体"/>
                    </w:rPr>
                    <w:t>投标人自有或租赁检测设备：</w:t>
                  </w:r>
                </w:p>
                <w:p w14:paraId="75484CB7">
                  <w:pPr>
                    <w:jc w:val="both"/>
                    <w:rPr>
                      <w:rFonts w:hint="eastAsia" w:ascii="宋体" w:hAnsi="宋体" w:eastAsia="宋体" w:cs="宋体"/>
                    </w:rPr>
                  </w:pPr>
                  <w:r>
                    <w:rPr>
                      <w:rFonts w:hint="eastAsia" w:ascii="宋体" w:hAnsi="宋体" w:eastAsia="宋体" w:cs="宋体"/>
                    </w:rPr>
                    <w:t>1.农药残留类检测仪；</w:t>
                  </w:r>
                </w:p>
                <w:p w14:paraId="22055D6C">
                  <w:pPr>
                    <w:jc w:val="both"/>
                    <w:rPr>
                      <w:rFonts w:hint="eastAsia" w:ascii="宋体" w:hAnsi="宋体" w:eastAsia="宋体" w:cs="宋体"/>
                    </w:rPr>
                  </w:pPr>
                  <w:r>
                    <w:rPr>
                      <w:rFonts w:hint="eastAsia" w:ascii="宋体" w:hAnsi="宋体" w:eastAsia="宋体" w:cs="宋体"/>
                    </w:rPr>
                    <w:t>2.重金属类检测仪；</w:t>
                  </w:r>
                </w:p>
                <w:p w14:paraId="0857D535">
                  <w:pPr>
                    <w:jc w:val="both"/>
                    <w:rPr>
                      <w:rFonts w:hint="eastAsia" w:ascii="宋体" w:hAnsi="宋体" w:eastAsia="宋体" w:cs="宋体"/>
                    </w:rPr>
                  </w:pPr>
                  <w:r>
                    <w:rPr>
                      <w:rFonts w:hint="eastAsia" w:ascii="宋体" w:hAnsi="宋体" w:eastAsia="宋体" w:cs="宋体"/>
                    </w:rPr>
                    <w:t>3.微生物类检测仪；</w:t>
                  </w:r>
                </w:p>
                <w:p w14:paraId="25693509">
                  <w:pPr>
                    <w:jc w:val="both"/>
                    <w:rPr>
                      <w:rFonts w:hint="eastAsia" w:ascii="宋体" w:hAnsi="宋体" w:eastAsia="宋体" w:cs="宋体"/>
                    </w:rPr>
                  </w:pPr>
                  <w:r>
                    <w:rPr>
                      <w:rFonts w:hint="eastAsia" w:ascii="宋体" w:hAnsi="宋体" w:eastAsia="宋体" w:cs="宋体"/>
                    </w:rPr>
                    <w:t>4.食品添加剂类检测仪。</w:t>
                  </w:r>
                </w:p>
                <w:p w14:paraId="02F5BBFB">
                  <w:pPr>
                    <w:jc w:val="both"/>
                    <w:rPr>
                      <w:rFonts w:hint="eastAsia" w:ascii="宋体" w:hAnsi="宋体" w:eastAsia="宋体" w:cs="宋体"/>
                    </w:rPr>
                  </w:pPr>
                  <w:r>
                    <w:rPr>
                      <w:rFonts w:hint="eastAsia" w:ascii="宋体" w:hAnsi="宋体" w:eastAsia="宋体" w:cs="宋体"/>
                    </w:rPr>
                    <w:t>每提供一台设备得25分，最高得100分，其他不得分；如一个设备同时具备（满足）以上第1至4项检测仪器中多个检测仪器的检测功能，提供仪器功能说明书或其他可证明其功能性的相关文件，可同时获得对应仪器的得分。</w:t>
                  </w:r>
                </w:p>
                <w:p w14:paraId="557DAA55">
                  <w:pPr>
                    <w:jc w:val="both"/>
                    <w:rPr>
                      <w:rFonts w:hint="eastAsia" w:ascii="宋体" w:hAnsi="宋体" w:eastAsia="宋体" w:cs="宋体"/>
                    </w:rPr>
                  </w:pPr>
                  <w:r>
                    <w:rPr>
                      <w:rFonts w:hint="eastAsia" w:ascii="宋体" w:hAnsi="宋体" w:eastAsia="宋体" w:cs="宋体"/>
                    </w:rPr>
                    <w:t>（二）评分依据：</w:t>
                  </w:r>
                </w:p>
                <w:p w14:paraId="721A920C">
                  <w:pPr>
                    <w:jc w:val="both"/>
                    <w:rPr>
                      <w:rFonts w:hint="eastAsia" w:ascii="宋体" w:hAnsi="宋体" w:eastAsia="宋体" w:cs="宋体"/>
                    </w:rPr>
                  </w:pPr>
                  <w:r>
                    <w:rPr>
                      <w:rFonts w:hint="eastAsia" w:ascii="宋体" w:hAnsi="宋体" w:eastAsia="宋体" w:cs="宋体"/>
                    </w:rPr>
                    <w:t>1.若是自购，需同时提供：</w:t>
                  </w:r>
                </w:p>
                <w:p w14:paraId="122E60FB">
                  <w:pPr>
                    <w:jc w:val="both"/>
                    <w:rPr>
                      <w:rFonts w:hint="eastAsia" w:ascii="宋体" w:hAnsi="宋体" w:eastAsia="宋体" w:cs="宋体"/>
                    </w:rPr>
                  </w:pPr>
                  <w:r>
                    <w:rPr>
                      <w:rFonts w:hint="eastAsia" w:ascii="宋体" w:hAnsi="宋体" w:eastAsia="宋体" w:cs="宋体"/>
                    </w:rPr>
                    <w:t>①仪器照片（每种仪器至少1张）；</w:t>
                  </w:r>
                </w:p>
                <w:p w14:paraId="35D7A134">
                  <w:pPr>
                    <w:jc w:val="both"/>
                    <w:rPr>
                      <w:rFonts w:hint="eastAsia" w:ascii="宋体" w:hAnsi="宋体" w:eastAsia="宋体" w:cs="宋体"/>
                    </w:rPr>
                  </w:pPr>
                  <w:r>
                    <w:rPr>
                      <w:rFonts w:hint="eastAsia" w:ascii="宋体" w:hAnsi="宋体" w:eastAsia="宋体" w:cs="宋体"/>
                    </w:rPr>
                    <w:t>②发票（购买方须为投标人）；</w:t>
                  </w:r>
                </w:p>
                <w:p w14:paraId="067CCDAD">
                  <w:pPr>
                    <w:jc w:val="both"/>
                    <w:rPr>
                      <w:rFonts w:hint="eastAsia" w:ascii="宋体" w:hAnsi="宋体" w:eastAsia="宋体" w:cs="宋体"/>
                    </w:rPr>
                  </w:pPr>
                  <w:r>
                    <w:rPr>
                      <w:rFonts w:hint="eastAsia" w:ascii="宋体" w:hAnsi="宋体" w:eastAsia="宋体" w:cs="宋体"/>
                    </w:rPr>
                    <w:t>2.若是租赁，需同时提供：</w:t>
                  </w:r>
                </w:p>
                <w:p w14:paraId="2EA7B4A6">
                  <w:pPr>
                    <w:jc w:val="both"/>
                    <w:rPr>
                      <w:rFonts w:hint="eastAsia" w:ascii="宋体" w:hAnsi="宋体" w:eastAsia="宋体" w:cs="宋体"/>
                    </w:rPr>
                  </w:pPr>
                  <w:r>
                    <w:rPr>
                      <w:rFonts w:hint="eastAsia" w:ascii="宋体" w:hAnsi="宋体" w:eastAsia="宋体" w:cs="宋体"/>
                    </w:rPr>
                    <w:t>①仪器照片（每种仪器至少1张）；</w:t>
                  </w:r>
                </w:p>
                <w:p w14:paraId="0264DF93">
                  <w:pPr>
                    <w:jc w:val="both"/>
                    <w:rPr>
                      <w:rFonts w:hint="eastAsia" w:ascii="宋体" w:hAnsi="宋体" w:eastAsia="宋体" w:cs="宋体"/>
                    </w:rPr>
                  </w:pPr>
                  <w:r>
                    <w:rPr>
                      <w:rFonts w:hint="eastAsia" w:ascii="宋体" w:hAnsi="宋体" w:eastAsia="宋体" w:cs="宋体"/>
                    </w:rPr>
                    <w:t>②租赁合同（承租方需为投标人，租赁期限如未涵盖本项目服务期限，需提供承诺函，承诺续期至本项目服务期限结束，或承诺重新签订涵盖本项目服务期限的租赁合同）；</w:t>
                  </w:r>
                </w:p>
                <w:p w14:paraId="170277DC">
                  <w:pPr>
                    <w:jc w:val="both"/>
                    <w:rPr>
                      <w:rFonts w:hint="eastAsia" w:ascii="宋体" w:hAnsi="宋体" w:eastAsia="宋体" w:cs="宋体"/>
                    </w:rPr>
                  </w:pPr>
                  <w:r>
                    <w:rPr>
                      <w:rFonts w:hint="eastAsia" w:ascii="宋体" w:hAnsi="宋体" w:eastAsia="宋体" w:cs="宋体"/>
                    </w:rPr>
                    <w:t>④提供近三个月内（2025年</w:t>
                  </w:r>
                  <w:r>
                    <w:rPr>
                      <w:rFonts w:hint="eastAsia" w:ascii="宋体" w:hAnsi="宋体" w:eastAsia="宋体" w:cs="宋体"/>
                      <w:lang w:val="en-US" w:eastAsia="zh-CN"/>
                    </w:rPr>
                    <w:t>9</w:t>
                  </w:r>
                  <w:r>
                    <w:rPr>
                      <w:rFonts w:hint="eastAsia" w:ascii="宋体" w:hAnsi="宋体" w:eastAsia="宋体" w:cs="宋体"/>
                      <w:lang w:val="zh-CN"/>
                    </w:rPr>
                    <w:t>-</w:t>
                  </w:r>
                  <w:r>
                    <w:rPr>
                      <w:rFonts w:hint="eastAsia" w:ascii="宋体" w:hAnsi="宋体" w:eastAsia="宋体" w:cs="宋体"/>
                      <w:lang w:val="en-US" w:eastAsia="zh-CN"/>
                    </w:rPr>
                    <w:t>11</w:t>
                  </w:r>
                  <w:r>
                    <w:rPr>
                      <w:rFonts w:hint="eastAsia" w:ascii="宋体" w:hAnsi="宋体" w:eastAsia="宋体" w:cs="宋体"/>
                    </w:rPr>
                    <w:t>月）任意一个月租金已缴纳的凭证【租金发票及银行转账（或收款、或付款）凭证】，发票需以投标人名称为抬头；</w:t>
                  </w:r>
                </w:p>
                <w:p w14:paraId="0C252470">
                  <w:pPr>
                    <w:jc w:val="both"/>
                    <w:rPr>
                      <w:rFonts w:hint="eastAsia" w:ascii="宋体" w:hAnsi="宋体" w:eastAsia="宋体" w:cs="宋体"/>
                      <w:lang w:val="zh-CN"/>
                    </w:rPr>
                  </w:pPr>
                  <w:r>
                    <w:rPr>
                      <w:rFonts w:hint="eastAsia" w:ascii="宋体" w:hAnsi="宋体" w:eastAsia="宋体" w:cs="宋体"/>
                    </w:rPr>
                    <w:t>3.以上证明材料均提供扫描件，原件备查。如未按要求提供证明材料，或所提供的证明材料未能体现上述评分内容的，视为该证明材料无效。</w:t>
                  </w:r>
                </w:p>
              </w:tc>
            </w:tr>
            <w:tr w14:paraId="60D94A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left w:val="single" w:color="000000" w:sz="8" w:space="0"/>
                    <w:bottom w:val="single" w:color="000000" w:sz="8" w:space="0"/>
                    <w:right w:val="single" w:color="000000" w:sz="8" w:space="0"/>
                  </w:tcBorders>
                  <w:vAlign w:val="center"/>
                </w:tcPr>
                <w:p w14:paraId="07977486">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B289BA2">
                  <w:pPr>
                    <w:jc w:val="center"/>
                    <w:rPr>
                      <w:rFonts w:hint="default" w:ascii="宋体" w:hAnsi="宋体" w:eastAsia="宋体" w:cs="宋体"/>
                      <w:lang w:val="en-US" w:eastAsia="zh-CN"/>
                    </w:rPr>
                  </w:pPr>
                  <w:r>
                    <w:rPr>
                      <w:rFonts w:hint="eastAsia" w:ascii="宋体" w:hAnsi="宋体" w:eastAsia="宋体" w:cs="宋体"/>
                      <w:lang w:val="en-US" w:eastAsia="zh-CN"/>
                    </w:rPr>
                    <w:t>13</w:t>
                  </w:r>
                </w:p>
              </w:tc>
              <w:tc>
                <w:tcPr>
                  <w:tcW w:w="1295" w:type="dxa"/>
                  <w:tcBorders>
                    <w:top w:val="single" w:color="000000" w:sz="8" w:space="0"/>
                    <w:left w:val="single" w:color="000000" w:sz="8" w:space="0"/>
                    <w:bottom w:val="single" w:color="000000" w:sz="8" w:space="0"/>
                    <w:right w:val="single" w:color="000000" w:sz="8" w:space="0"/>
                  </w:tcBorders>
                  <w:vAlign w:val="center"/>
                </w:tcPr>
                <w:p w14:paraId="35572D91">
                  <w:pPr>
                    <w:jc w:val="center"/>
                    <w:rPr>
                      <w:rFonts w:hint="eastAsia" w:ascii="宋体" w:hAnsi="宋体" w:eastAsia="宋体" w:cs="宋体"/>
                      <w:lang w:val="en-US" w:eastAsia="zh-CN"/>
                    </w:rPr>
                  </w:pPr>
                  <w:r>
                    <w:rPr>
                      <w:rFonts w:hint="eastAsia" w:ascii="宋体" w:hAnsi="宋体" w:eastAsia="宋体" w:cs="宋体"/>
                      <w:lang w:val="en-US" w:eastAsia="zh-CN"/>
                    </w:rPr>
                    <w:t>拟投入本项目的</w:t>
                  </w:r>
                </w:p>
                <w:p w14:paraId="7982EC75">
                  <w:pPr>
                    <w:jc w:val="center"/>
                    <w:rPr>
                      <w:rFonts w:hint="eastAsia" w:ascii="宋体" w:hAnsi="宋体" w:eastAsia="宋体" w:cs="宋体"/>
                    </w:rPr>
                  </w:pPr>
                  <w:r>
                    <w:rPr>
                      <w:rFonts w:hint="eastAsia" w:ascii="宋体" w:hAnsi="宋体" w:eastAsia="宋体" w:cs="宋体"/>
                    </w:rPr>
                    <w:t>食品安全保险</w:t>
                  </w:r>
                </w:p>
              </w:tc>
              <w:tc>
                <w:tcPr>
                  <w:tcW w:w="1030" w:type="dxa"/>
                  <w:tcBorders>
                    <w:top w:val="single" w:color="000000" w:sz="8" w:space="0"/>
                    <w:left w:val="single" w:color="000000" w:sz="8" w:space="0"/>
                    <w:bottom w:val="single" w:color="000000" w:sz="8" w:space="0"/>
                    <w:right w:val="single" w:color="000000" w:sz="8" w:space="0"/>
                  </w:tcBorders>
                  <w:vAlign w:val="center"/>
                </w:tcPr>
                <w:p w14:paraId="56B5C2D0">
                  <w:pPr>
                    <w:jc w:val="center"/>
                    <w:rPr>
                      <w:rFonts w:hint="eastAsia" w:ascii="宋体" w:hAnsi="宋体" w:eastAsia="宋体" w:cs="宋体"/>
                    </w:rPr>
                  </w:pPr>
                  <w:r>
                    <w:rPr>
                      <w:rFonts w:hint="eastAsia" w:ascii="宋体" w:hAnsi="宋体" w:eastAsia="宋体" w:cs="宋体"/>
                      <w:lang w:val="en-US" w:eastAsia="zh-CN"/>
                    </w:rPr>
                    <w:t>4</w:t>
                  </w:r>
                </w:p>
              </w:tc>
              <w:tc>
                <w:tcPr>
                  <w:tcW w:w="5396" w:type="dxa"/>
                  <w:tcBorders>
                    <w:top w:val="single" w:color="000000" w:sz="8" w:space="0"/>
                    <w:left w:val="single" w:color="000000" w:sz="8" w:space="0"/>
                    <w:bottom w:val="single" w:color="000000" w:sz="8" w:space="0"/>
                    <w:right w:val="single" w:color="000000" w:sz="8" w:space="0"/>
                  </w:tcBorders>
                  <w:vAlign w:val="top"/>
                </w:tcPr>
                <w:p w14:paraId="7ADB229E">
                  <w:pPr>
                    <w:jc w:val="both"/>
                    <w:rPr>
                      <w:rFonts w:hint="eastAsia" w:ascii="宋体" w:hAnsi="宋体" w:eastAsia="宋体" w:cs="宋体"/>
                    </w:rPr>
                  </w:pPr>
                  <w:r>
                    <w:rPr>
                      <w:rFonts w:hint="eastAsia" w:ascii="宋体" w:hAnsi="宋体" w:eastAsia="宋体" w:cs="宋体"/>
                    </w:rPr>
                    <w:t>（一）评分内容：</w:t>
                  </w:r>
                </w:p>
                <w:p w14:paraId="4A46F9BB">
                  <w:pPr>
                    <w:jc w:val="both"/>
                    <w:rPr>
                      <w:rFonts w:hint="eastAsia" w:ascii="宋体" w:hAnsi="宋体" w:eastAsia="宋体" w:cs="宋体"/>
                    </w:rPr>
                  </w:pPr>
                  <w:r>
                    <w:rPr>
                      <w:rFonts w:hint="eastAsia" w:ascii="宋体" w:hAnsi="宋体" w:eastAsia="宋体" w:cs="宋体"/>
                    </w:rPr>
                    <w:t>1、投标人购买的食品安全责任保险：</w:t>
                  </w:r>
                </w:p>
                <w:p w14:paraId="02EE11D6">
                  <w:pPr>
                    <w:jc w:val="both"/>
                    <w:rPr>
                      <w:rFonts w:hint="eastAsia" w:ascii="宋体" w:hAnsi="宋体" w:eastAsia="宋体" w:cs="宋体"/>
                    </w:rPr>
                  </w:pPr>
                  <w:r>
                    <w:rPr>
                      <w:rFonts w:hint="eastAsia" w:ascii="宋体" w:hAnsi="宋体" w:eastAsia="宋体" w:cs="宋体"/>
                    </w:rPr>
                    <w:t>（1）总保额：</w:t>
                  </w:r>
                </w:p>
                <w:p w14:paraId="64E70E13">
                  <w:pPr>
                    <w:jc w:val="both"/>
                    <w:rPr>
                      <w:rFonts w:hint="eastAsia" w:ascii="宋体" w:hAnsi="宋体" w:eastAsia="宋体" w:cs="宋体"/>
                    </w:rPr>
                  </w:pPr>
                  <w:r>
                    <w:rPr>
                      <w:rFonts w:hint="eastAsia" w:ascii="宋体" w:hAnsi="宋体" w:eastAsia="宋体" w:cs="宋体"/>
                    </w:rPr>
                    <w:t>①总保额≥</w:t>
                  </w:r>
                  <w:r>
                    <w:rPr>
                      <w:rFonts w:hint="eastAsia" w:ascii="宋体" w:hAnsi="宋体" w:eastAsia="宋体" w:cs="宋体"/>
                      <w:lang w:val="en-US" w:eastAsia="zh-CN"/>
                    </w:rPr>
                    <w:t>1</w:t>
                  </w:r>
                  <w:r>
                    <w:rPr>
                      <w:rFonts w:hint="eastAsia" w:ascii="宋体" w:hAnsi="宋体" w:eastAsia="宋体" w:cs="宋体"/>
                    </w:rPr>
                    <w:t>0000万元，得50分；</w:t>
                  </w:r>
                </w:p>
                <w:p w14:paraId="729D24D0">
                  <w:pPr>
                    <w:jc w:val="both"/>
                    <w:rPr>
                      <w:rFonts w:hint="eastAsia" w:ascii="宋体" w:hAnsi="宋体" w:eastAsia="宋体" w:cs="宋体"/>
                    </w:rPr>
                  </w:pPr>
                  <w:r>
                    <w:rPr>
                      <w:rFonts w:hint="eastAsia" w:ascii="宋体" w:hAnsi="宋体" w:eastAsia="宋体" w:cs="宋体"/>
                    </w:rPr>
                    <w:t>②</w:t>
                  </w:r>
                  <w:r>
                    <w:rPr>
                      <w:rFonts w:hint="eastAsia" w:ascii="宋体" w:hAnsi="宋体" w:eastAsia="宋体" w:cs="宋体"/>
                      <w:lang w:val="en-US" w:eastAsia="zh-CN"/>
                    </w:rPr>
                    <w:t>5</w:t>
                  </w:r>
                  <w:r>
                    <w:rPr>
                      <w:rFonts w:hint="eastAsia" w:ascii="宋体" w:hAnsi="宋体" w:eastAsia="宋体" w:cs="宋体"/>
                    </w:rPr>
                    <w:t>000万元≤总保额＜</w:t>
                  </w:r>
                  <w:r>
                    <w:rPr>
                      <w:rFonts w:hint="eastAsia" w:ascii="宋体" w:hAnsi="宋体" w:eastAsia="宋体" w:cs="宋体"/>
                      <w:lang w:val="en-US" w:eastAsia="zh-CN"/>
                    </w:rPr>
                    <w:t>1</w:t>
                  </w:r>
                  <w:r>
                    <w:rPr>
                      <w:rFonts w:hint="eastAsia" w:ascii="宋体" w:hAnsi="宋体" w:eastAsia="宋体" w:cs="宋体"/>
                    </w:rPr>
                    <w:t>0000万元，得25分；</w:t>
                  </w:r>
                </w:p>
                <w:p w14:paraId="2092D1C7">
                  <w:pPr>
                    <w:jc w:val="both"/>
                    <w:rPr>
                      <w:rFonts w:hint="eastAsia" w:ascii="宋体" w:hAnsi="宋体" w:eastAsia="宋体" w:cs="宋体"/>
                    </w:rPr>
                  </w:pPr>
                  <w:r>
                    <w:rPr>
                      <w:rFonts w:hint="eastAsia" w:ascii="宋体" w:hAnsi="宋体" w:eastAsia="宋体" w:cs="宋体"/>
                    </w:rPr>
                    <w:t>③</w:t>
                  </w:r>
                  <w:r>
                    <w:rPr>
                      <w:rFonts w:hint="eastAsia" w:ascii="宋体" w:hAnsi="宋体" w:eastAsia="宋体" w:cs="宋体"/>
                      <w:lang w:val="en-US" w:eastAsia="zh-CN"/>
                    </w:rPr>
                    <w:t>10</w:t>
                  </w:r>
                  <w:r>
                    <w:rPr>
                      <w:rFonts w:hint="eastAsia" w:ascii="宋体" w:hAnsi="宋体" w:eastAsia="宋体" w:cs="宋体"/>
                    </w:rPr>
                    <w:t>00万元＜总保额＜</w:t>
                  </w:r>
                  <w:r>
                    <w:rPr>
                      <w:rFonts w:hint="eastAsia" w:ascii="宋体" w:hAnsi="宋体" w:eastAsia="宋体" w:cs="宋体"/>
                      <w:lang w:val="en-US" w:eastAsia="zh-CN"/>
                    </w:rPr>
                    <w:t>5</w:t>
                  </w:r>
                  <w:r>
                    <w:rPr>
                      <w:rFonts w:hint="eastAsia" w:ascii="宋体" w:hAnsi="宋体" w:eastAsia="宋体" w:cs="宋体"/>
                    </w:rPr>
                    <w:t>000万元，得10分；</w:t>
                  </w:r>
                </w:p>
                <w:p w14:paraId="21577BD7">
                  <w:pPr>
                    <w:jc w:val="both"/>
                    <w:rPr>
                      <w:rFonts w:hint="eastAsia" w:ascii="宋体" w:hAnsi="宋体" w:eastAsia="宋体" w:cs="宋体"/>
                    </w:rPr>
                  </w:pPr>
                  <w:r>
                    <w:rPr>
                      <w:rFonts w:hint="eastAsia" w:ascii="宋体" w:hAnsi="宋体" w:eastAsia="宋体" w:cs="宋体"/>
                    </w:rPr>
                    <w:t>④总保额≤</w:t>
                  </w:r>
                  <w:r>
                    <w:rPr>
                      <w:rFonts w:hint="eastAsia" w:ascii="宋体" w:hAnsi="宋体" w:eastAsia="宋体" w:cs="宋体"/>
                      <w:lang w:val="en-US" w:eastAsia="zh-CN"/>
                    </w:rPr>
                    <w:t>1</w:t>
                  </w:r>
                  <w:r>
                    <w:rPr>
                      <w:rFonts w:hint="eastAsia" w:ascii="宋体" w:hAnsi="宋体" w:eastAsia="宋体" w:cs="宋体"/>
                    </w:rPr>
                    <w:t>000万元，不得分。</w:t>
                  </w:r>
                </w:p>
                <w:p w14:paraId="7294B2B3">
                  <w:pPr>
                    <w:jc w:val="both"/>
                    <w:rPr>
                      <w:rFonts w:hint="eastAsia" w:ascii="宋体" w:hAnsi="宋体" w:eastAsia="宋体" w:cs="宋体"/>
                    </w:rPr>
                  </w:pPr>
                  <w:r>
                    <w:rPr>
                      <w:rFonts w:hint="eastAsia" w:ascii="宋体" w:hAnsi="宋体" w:eastAsia="宋体" w:cs="宋体"/>
                    </w:rPr>
                    <w:t>【多份保单可以累计金额计算，本小项最高可得50分】</w:t>
                  </w:r>
                </w:p>
                <w:p w14:paraId="71AF41AD">
                  <w:pPr>
                    <w:jc w:val="both"/>
                    <w:rPr>
                      <w:rFonts w:hint="eastAsia" w:ascii="宋体" w:hAnsi="宋体" w:eastAsia="宋体" w:cs="宋体"/>
                    </w:rPr>
                  </w:pPr>
                  <w:r>
                    <w:rPr>
                      <w:rFonts w:hint="eastAsia" w:ascii="宋体" w:hAnsi="宋体" w:eastAsia="宋体" w:cs="宋体"/>
                    </w:rPr>
                    <w:t>2、投标人购买的公众责任保险：</w:t>
                  </w:r>
                </w:p>
                <w:p w14:paraId="3004FEB7">
                  <w:pPr>
                    <w:jc w:val="both"/>
                    <w:rPr>
                      <w:rFonts w:hint="eastAsia" w:ascii="宋体" w:hAnsi="宋体" w:eastAsia="宋体" w:cs="宋体"/>
                    </w:rPr>
                  </w:pPr>
                  <w:r>
                    <w:rPr>
                      <w:rFonts w:hint="eastAsia" w:ascii="宋体" w:hAnsi="宋体" w:eastAsia="宋体" w:cs="宋体"/>
                    </w:rPr>
                    <w:t>（1）总保额：</w:t>
                  </w:r>
                </w:p>
                <w:p w14:paraId="7BEBD4B0">
                  <w:pPr>
                    <w:jc w:val="both"/>
                    <w:rPr>
                      <w:rFonts w:hint="eastAsia" w:ascii="宋体" w:hAnsi="宋体" w:eastAsia="宋体" w:cs="宋体"/>
                    </w:rPr>
                  </w:pPr>
                  <w:r>
                    <w:rPr>
                      <w:rFonts w:hint="eastAsia" w:ascii="宋体" w:hAnsi="宋体" w:eastAsia="宋体" w:cs="宋体"/>
                    </w:rPr>
                    <w:t>①总保额≥</w:t>
                  </w:r>
                  <w:r>
                    <w:rPr>
                      <w:rFonts w:hint="eastAsia" w:ascii="宋体" w:hAnsi="宋体" w:eastAsia="宋体" w:cs="宋体"/>
                      <w:lang w:val="en-US" w:eastAsia="zh-CN"/>
                    </w:rPr>
                    <w:t>1</w:t>
                  </w:r>
                  <w:r>
                    <w:rPr>
                      <w:rFonts w:hint="eastAsia" w:ascii="宋体" w:hAnsi="宋体" w:eastAsia="宋体" w:cs="宋体"/>
                    </w:rPr>
                    <w:t>0000万元，得50分；</w:t>
                  </w:r>
                </w:p>
                <w:p w14:paraId="59803727">
                  <w:pPr>
                    <w:jc w:val="both"/>
                    <w:rPr>
                      <w:rFonts w:hint="eastAsia" w:ascii="宋体" w:hAnsi="宋体" w:eastAsia="宋体" w:cs="宋体"/>
                    </w:rPr>
                  </w:pPr>
                  <w:r>
                    <w:rPr>
                      <w:rFonts w:hint="eastAsia" w:ascii="宋体" w:hAnsi="宋体" w:eastAsia="宋体" w:cs="宋体"/>
                    </w:rPr>
                    <w:t>②</w:t>
                  </w:r>
                  <w:r>
                    <w:rPr>
                      <w:rFonts w:hint="eastAsia" w:ascii="宋体" w:hAnsi="宋体" w:eastAsia="宋体" w:cs="宋体"/>
                      <w:lang w:val="en-US" w:eastAsia="zh-CN"/>
                    </w:rPr>
                    <w:t>5</w:t>
                  </w:r>
                  <w:r>
                    <w:rPr>
                      <w:rFonts w:hint="eastAsia" w:ascii="宋体" w:hAnsi="宋体" w:eastAsia="宋体" w:cs="宋体"/>
                    </w:rPr>
                    <w:t>000万元≤总保额＜</w:t>
                  </w:r>
                  <w:r>
                    <w:rPr>
                      <w:rFonts w:hint="eastAsia" w:ascii="宋体" w:hAnsi="宋体" w:eastAsia="宋体" w:cs="宋体"/>
                      <w:lang w:val="en-US" w:eastAsia="zh-CN"/>
                    </w:rPr>
                    <w:t>1</w:t>
                  </w:r>
                  <w:r>
                    <w:rPr>
                      <w:rFonts w:hint="eastAsia" w:ascii="宋体" w:hAnsi="宋体" w:eastAsia="宋体" w:cs="宋体"/>
                    </w:rPr>
                    <w:t>0000万元，得25分；</w:t>
                  </w:r>
                </w:p>
                <w:p w14:paraId="56B7D4EA">
                  <w:pPr>
                    <w:jc w:val="both"/>
                    <w:rPr>
                      <w:rFonts w:hint="eastAsia" w:ascii="宋体" w:hAnsi="宋体" w:eastAsia="宋体" w:cs="宋体"/>
                    </w:rPr>
                  </w:pPr>
                  <w:r>
                    <w:rPr>
                      <w:rFonts w:hint="eastAsia" w:ascii="宋体" w:hAnsi="宋体" w:eastAsia="宋体" w:cs="宋体"/>
                    </w:rPr>
                    <w:t>③</w:t>
                  </w:r>
                  <w:r>
                    <w:rPr>
                      <w:rFonts w:hint="eastAsia" w:ascii="宋体" w:hAnsi="宋体" w:eastAsia="宋体" w:cs="宋体"/>
                      <w:lang w:val="en-US" w:eastAsia="zh-CN"/>
                    </w:rPr>
                    <w:t>1</w:t>
                  </w:r>
                  <w:r>
                    <w:rPr>
                      <w:rFonts w:hint="eastAsia" w:ascii="宋体" w:hAnsi="宋体" w:eastAsia="宋体" w:cs="宋体"/>
                    </w:rPr>
                    <w:t>000万元＜总保额＜</w:t>
                  </w:r>
                  <w:r>
                    <w:rPr>
                      <w:rFonts w:hint="eastAsia" w:ascii="宋体" w:hAnsi="宋体" w:eastAsia="宋体" w:cs="宋体"/>
                      <w:lang w:val="en-US" w:eastAsia="zh-CN"/>
                    </w:rPr>
                    <w:t>50</w:t>
                  </w:r>
                  <w:r>
                    <w:rPr>
                      <w:rFonts w:hint="eastAsia" w:ascii="宋体" w:hAnsi="宋体" w:eastAsia="宋体" w:cs="宋体"/>
                    </w:rPr>
                    <w:t>00万元，得10分；</w:t>
                  </w:r>
                </w:p>
                <w:p w14:paraId="44521D79">
                  <w:pPr>
                    <w:jc w:val="both"/>
                    <w:rPr>
                      <w:rFonts w:hint="eastAsia" w:ascii="宋体" w:hAnsi="宋体" w:eastAsia="宋体" w:cs="宋体"/>
                    </w:rPr>
                  </w:pPr>
                  <w:r>
                    <w:rPr>
                      <w:rFonts w:hint="eastAsia" w:ascii="宋体" w:hAnsi="宋体" w:eastAsia="宋体" w:cs="宋体"/>
                    </w:rPr>
                    <w:t>④总保额≤</w:t>
                  </w:r>
                  <w:r>
                    <w:rPr>
                      <w:rFonts w:hint="eastAsia" w:ascii="宋体" w:hAnsi="宋体" w:eastAsia="宋体" w:cs="宋体"/>
                      <w:lang w:val="en-US" w:eastAsia="zh-CN"/>
                    </w:rPr>
                    <w:t>1</w:t>
                  </w:r>
                  <w:r>
                    <w:rPr>
                      <w:rFonts w:hint="eastAsia" w:ascii="宋体" w:hAnsi="宋体" w:eastAsia="宋体" w:cs="宋体"/>
                    </w:rPr>
                    <w:t>000万元，不得分。</w:t>
                  </w:r>
                </w:p>
                <w:p w14:paraId="3847E579">
                  <w:pPr>
                    <w:jc w:val="both"/>
                    <w:rPr>
                      <w:rFonts w:hint="eastAsia" w:ascii="宋体" w:hAnsi="宋体" w:eastAsia="宋体" w:cs="宋体"/>
                    </w:rPr>
                  </w:pPr>
                  <w:r>
                    <w:rPr>
                      <w:rFonts w:hint="eastAsia" w:ascii="宋体" w:hAnsi="宋体" w:eastAsia="宋体" w:cs="宋体"/>
                    </w:rPr>
                    <w:t>【多份保单可以累计金额计算，本小项最高可得50分】</w:t>
                  </w:r>
                </w:p>
                <w:p w14:paraId="376FADC0">
                  <w:pPr>
                    <w:jc w:val="both"/>
                    <w:rPr>
                      <w:rFonts w:hint="eastAsia" w:ascii="宋体" w:hAnsi="宋体" w:eastAsia="宋体" w:cs="宋体"/>
                    </w:rPr>
                  </w:pPr>
                  <w:r>
                    <w:rPr>
                      <w:rFonts w:hint="eastAsia" w:ascii="宋体" w:hAnsi="宋体" w:eastAsia="宋体" w:cs="宋体"/>
                    </w:rPr>
                    <w:t>以上1-2项累计得分，最高得100分。</w:t>
                  </w:r>
                </w:p>
                <w:p w14:paraId="336218A5">
                  <w:pPr>
                    <w:jc w:val="both"/>
                    <w:rPr>
                      <w:rFonts w:hint="eastAsia" w:ascii="宋体" w:hAnsi="宋体" w:eastAsia="宋体" w:cs="宋体"/>
                    </w:rPr>
                  </w:pPr>
                  <w:r>
                    <w:rPr>
                      <w:rFonts w:hint="eastAsia" w:ascii="宋体" w:hAnsi="宋体" w:eastAsia="宋体" w:cs="宋体"/>
                    </w:rPr>
                    <w:t>（二）评分依据：</w:t>
                  </w:r>
                </w:p>
                <w:p w14:paraId="5D2294C0">
                  <w:pPr>
                    <w:jc w:val="both"/>
                    <w:rPr>
                      <w:rFonts w:hint="default" w:ascii="宋体" w:hAnsi="宋体" w:eastAsia="宋体" w:cs="宋体"/>
                      <w:lang w:val="en-US" w:eastAsia="zh-CN"/>
                    </w:rPr>
                  </w:pPr>
                  <w:r>
                    <w:rPr>
                      <w:rFonts w:hint="eastAsia" w:ascii="宋体" w:hAnsi="宋体" w:eastAsia="宋体" w:cs="宋体"/>
                    </w:rPr>
                    <w:t>1.同时提供有效的保险合同（或保险单）扫描件、保险发票扫描件作为得分依据；</w:t>
                  </w:r>
                  <w:r>
                    <w:rPr>
                      <w:rFonts w:hint="eastAsia" w:ascii="宋体" w:hAnsi="宋体" w:eastAsia="宋体" w:cs="宋体"/>
                    </w:rPr>
                    <w:br w:type="textWrapping"/>
                  </w:r>
                  <w:r>
                    <w:rPr>
                      <w:rFonts w:hint="eastAsia" w:ascii="宋体" w:hAnsi="宋体" w:eastAsia="宋体" w:cs="宋体"/>
                      <w:lang w:val="en-US" w:eastAsia="zh-CN"/>
                    </w:rPr>
                    <w:t>2.所提供的保险合同(或保险单)应涵盖本项目服务期限；若保单未涵盖本项目服务期限的，投标人应同时提供承诺函：承诺在中标后在原有保单保额的基础上，对所报的保品安全责任保险和公众责任保险进行延保，保证该保险能涵盖本项目的服务期限。</w:t>
                  </w:r>
                </w:p>
                <w:p w14:paraId="073E8CC2">
                  <w:pPr>
                    <w:jc w:val="both"/>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.如未按要求提供证明材料，或专家无法凭所提供资料判断是否得分的，视为该证明材料无效。</w:t>
                  </w:r>
                </w:p>
              </w:tc>
            </w:tr>
            <w:tr w14:paraId="634C6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restart"/>
                  <w:tcBorders>
                    <w:top w:val="single" w:color="000000" w:sz="8" w:space="0"/>
                    <w:left w:val="single" w:color="000000" w:sz="8" w:space="0"/>
                    <w:bottom w:val="single" w:color="000000" w:sz="8" w:space="0"/>
                    <w:right w:val="single" w:color="000000" w:sz="8" w:space="0"/>
                  </w:tcBorders>
                </w:tcPr>
                <w:p w14:paraId="3D8C4381">
                  <w:pPr>
                    <w:jc w:val="center"/>
                    <w:rPr>
                      <w:rFonts w:ascii="宋体" w:hAnsi="宋体" w:eastAsia="宋体" w:cs="宋体"/>
                      <w:b/>
                      <w:bCs/>
                    </w:rPr>
                  </w:pPr>
                  <w:r>
                    <w:rPr>
                      <w:rFonts w:hint="eastAsia" w:ascii="宋体" w:hAnsi="宋体" w:eastAsia="宋体" w:cs="宋体"/>
                      <w:b/>
                      <w:bCs/>
                    </w:rPr>
                    <w:t>3</w:t>
                  </w:r>
                </w:p>
              </w:tc>
              <w:tc>
                <w:tcPr>
                  <w:tcW w:w="3000" w:type="dxa"/>
                  <w:gridSpan w:val="3"/>
                  <w:tcBorders>
                    <w:top w:val="single" w:color="000000" w:sz="8" w:space="0"/>
                    <w:left w:val="single" w:color="000000" w:sz="8" w:space="0"/>
                    <w:bottom w:val="single" w:color="000000" w:sz="8" w:space="0"/>
                    <w:right w:val="single" w:color="000000" w:sz="8" w:space="0"/>
                  </w:tcBorders>
                </w:tcPr>
                <w:p w14:paraId="5BED440E">
                  <w:pPr>
                    <w:jc w:val="center"/>
                    <w:rPr>
                      <w:rFonts w:hint="eastAsia" w:ascii="宋体" w:hAnsi="宋体" w:eastAsia="宋体" w:cs="宋体"/>
                    </w:rPr>
                  </w:pPr>
                  <w:r>
                    <w:rPr>
                      <w:rFonts w:hint="eastAsia" w:ascii="宋体" w:hAnsi="宋体" w:eastAsia="宋体" w:cs="宋体"/>
                    </w:rPr>
                    <w:t>商务需求</w:t>
                  </w:r>
                </w:p>
              </w:tc>
              <w:tc>
                <w:tcPr>
                  <w:tcW w:w="5396" w:type="dxa"/>
                  <w:tcBorders>
                    <w:top w:val="single" w:color="000000" w:sz="8" w:space="0"/>
                    <w:left w:val="single" w:color="000000" w:sz="8" w:space="0"/>
                    <w:bottom w:val="single" w:color="000000" w:sz="8" w:space="0"/>
                    <w:right w:val="single" w:color="000000" w:sz="8" w:space="0"/>
                  </w:tcBorders>
                </w:tcPr>
                <w:p w14:paraId="3D95D5A5">
                  <w:pPr>
                    <w:jc w:val="center"/>
                    <w:rPr>
                      <w:rFonts w:hint="default" w:ascii="宋体" w:hAnsi="宋体" w:eastAsia="宋体" w:cs="宋体"/>
                      <w:b/>
                      <w:bCs/>
                      <w:lang w:val="en-US" w:eastAsia="zh-CN"/>
                    </w:rPr>
                  </w:pPr>
                  <w:r>
                    <w:rPr>
                      <w:rFonts w:hint="eastAsia" w:ascii="宋体" w:hAnsi="宋体" w:eastAsia="宋体" w:cs="宋体"/>
                      <w:lang w:val="en-US" w:eastAsia="zh-CN"/>
                    </w:rPr>
                    <w:t>15</w:t>
                  </w:r>
                </w:p>
              </w:tc>
            </w:tr>
            <w:tr w14:paraId="44DC1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7D2DC611">
                  <w:pPr>
                    <w:rPr>
                      <w:rFonts w:ascii="宋体" w:hAnsi="宋体" w:eastAsia="宋体" w:cs="宋体"/>
                      <w:b/>
                      <w:bCs/>
                    </w:rPr>
                  </w:pPr>
                </w:p>
              </w:tc>
              <w:tc>
                <w:tcPr>
                  <w:tcW w:w="8396" w:type="dxa"/>
                  <w:gridSpan w:val="4"/>
                  <w:tcBorders>
                    <w:top w:val="single" w:color="000000" w:sz="8" w:space="0"/>
                    <w:left w:val="single" w:color="000000" w:sz="8" w:space="0"/>
                    <w:bottom w:val="single" w:color="000000" w:sz="8" w:space="0"/>
                    <w:right w:val="single" w:color="000000" w:sz="8" w:space="0"/>
                  </w:tcBorders>
                </w:tcPr>
                <w:p w14:paraId="3E0AA6BB">
                  <w:pPr>
                    <w:jc w:val="center"/>
                    <w:rPr>
                      <w:rFonts w:hint="eastAsia" w:ascii="宋体" w:hAnsi="宋体" w:eastAsia="宋体" w:cs="宋体"/>
                    </w:rPr>
                  </w:pPr>
                </w:p>
              </w:tc>
            </w:tr>
            <w:tr w14:paraId="3F80C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31D91D9">
                  <w:pPr>
                    <w:rPr>
                      <w:rFonts w:ascii="宋体" w:hAnsi="宋体" w:eastAsia="宋体" w:cs="宋体"/>
                      <w:b/>
                      <w:bCs/>
                    </w:rPr>
                  </w:pPr>
                </w:p>
              </w:tc>
              <w:tc>
                <w:tcPr>
                  <w:tcW w:w="6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D3356C">
                  <w:pPr>
                    <w:jc w:val="center"/>
                    <w:rPr>
                      <w:rFonts w:ascii="宋体" w:hAnsi="宋体" w:eastAsia="宋体" w:cs="宋体"/>
                    </w:rPr>
                  </w:pPr>
                  <w:r>
                    <w:rPr>
                      <w:rFonts w:hint="eastAsia" w:ascii="宋体" w:hAnsi="宋体" w:eastAsia="宋体" w:cs="宋体"/>
                    </w:rPr>
                    <w:t>序号</w:t>
                  </w:r>
                </w:p>
              </w:tc>
              <w:tc>
                <w:tcPr>
                  <w:tcW w:w="12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25E09A">
                  <w:pPr>
                    <w:jc w:val="center"/>
                    <w:rPr>
                      <w:rFonts w:hint="eastAsia" w:ascii="宋体" w:hAnsi="宋体" w:eastAsia="宋体" w:cs="宋体"/>
                    </w:rPr>
                  </w:pPr>
                  <w:r>
                    <w:rPr>
                      <w:rFonts w:hint="eastAsia" w:ascii="宋体" w:hAnsi="宋体" w:eastAsia="宋体" w:cs="宋体"/>
                    </w:rPr>
                    <w:t>评审因素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B299E5D">
                  <w:pPr>
                    <w:jc w:val="center"/>
                    <w:rPr>
                      <w:rFonts w:hint="eastAsia" w:ascii="宋体" w:hAnsi="宋体" w:eastAsia="宋体" w:cs="宋体"/>
                    </w:rPr>
                  </w:pPr>
                  <w:r>
                    <w:rPr>
                      <w:rFonts w:hint="eastAsia" w:ascii="宋体" w:hAnsi="宋体" w:eastAsia="宋体" w:cs="宋体"/>
                    </w:rPr>
                    <w:t>权重(%)</w:t>
                  </w:r>
                </w:p>
              </w:tc>
              <w:tc>
                <w:tcPr>
                  <w:tcW w:w="53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9ED9983">
                  <w:pPr>
                    <w:jc w:val="center"/>
                    <w:rPr>
                      <w:rFonts w:ascii="宋体" w:hAnsi="宋体" w:eastAsia="宋体" w:cs="宋体"/>
                    </w:rPr>
                  </w:pPr>
                  <w:r>
                    <w:rPr>
                      <w:rFonts w:hint="eastAsia" w:ascii="宋体" w:hAnsi="宋体" w:eastAsia="宋体" w:cs="宋体"/>
                    </w:rPr>
                    <w:t>评分准则</w:t>
                  </w:r>
                </w:p>
              </w:tc>
            </w:tr>
            <w:tr w14:paraId="21800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339CF6A0">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FB1DFE0">
                  <w:pPr>
                    <w:jc w:val="center"/>
                    <w:rPr>
                      <w:rFonts w:ascii="宋体" w:hAnsi="宋体" w:eastAsia="宋体" w:cs="宋体"/>
                    </w:rPr>
                  </w:pPr>
                  <w:r>
                    <w:rPr>
                      <w:rFonts w:hint="eastAsia" w:ascii="宋体" w:hAnsi="宋体" w:eastAsia="宋体" w:cs="宋体"/>
                    </w:rPr>
                    <w:t>1</w:t>
                  </w:r>
                </w:p>
              </w:tc>
              <w:tc>
                <w:tcPr>
                  <w:tcW w:w="1295" w:type="dxa"/>
                  <w:tcBorders>
                    <w:top w:val="single" w:color="000000" w:sz="8" w:space="0"/>
                    <w:left w:val="single" w:color="000000" w:sz="8" w:space="0"/>
                    <w:bottom w:val="single" w:color="000000" w:sz="8" w:space="0"/>
                    <w:right w:val="single" w:color="000000" w:sz="8" w:space="0"/>
                  </w:tcBorders>
                  <w:vAlign w:val="center"/>
                </w:tcPr>
                <w:p w14:paraId="0C3C9A17">
                  <w:pPr>
                    <w:jc w:val="center"/>
                    <w:rPr>
                      <w:rFonts w:hint="eastAsia" w:ascii="宋体" w:hAnsi="宋体" w:eastAsia="宋体" w:cs="宋体"/>
                    </w:rPr>
                  </w:pPr>
                  <w:r>
                    <w:rPr>
                      <w:rFonts w:hint="eastAsia" w:ascii="宋体" w:hAnsi="宋体" w:eastAsia="宋体" w:cs="宋体"/>
                      <w:lang w:val="zh-CN"/>
                    </w:rPr>
                    <w:t>投标人认证情况</w:t>
                  </w:r>
                </w:p>
              </w:tc>
              <w:tc>
                <w:tcPr>
                  <w:tcW w:w="1030" w:type="dxa"/>
                  <w:tcBorders>
                    <w:top w:val="single" w:color="000000" w:sz="8" w:space="0"/>
                    <w:left w:val="single" w:color="000000" w:sz="8" w:space="0"/>
                    <w:bottom w:val="single" w:color="000000" w:sz="8" w:space="0"/>
                    <w:right w:val="single" w:color="000000" w:sz="8" w:space="0"/>
                  </w:tcBorders>
                  <w:vAlign w:val="center"/>
                </w:tcPr>
                <w:p w14:paraId="240CEF44">
                  <w:pPr>
                    <w:jc w:val="center"/>
                    <w:rPr>
                      <w:rFonts w:hint="eastAsia" w:ascii="宋体" w:hAnsi="宋体" w:eastAsia="宋体" w:cs="宋体"/>
                    </w:rPr>
                  </w:pPr>
                  <w:r>
                    <w:rPr>
                      <w:rFonts w:hint="eastAsia" w:ascii="宋体" w:hAnsi="宋体" w:eastAsia="宋体" w:cs="宋体"/>
                      <w:lang w:val="en-US" w:eastAsia="zh-CN"/>
                    </w:rPr>
                    <w:t>6</w:t>
                  </w:r>
                </w:p>
              </w:tc>
              <w:tc>
                <w:tcPr>
                  <w:tcW w:w="5396" w:type="dxa"/>
                  <w:tcBorders>
                    <w:top w:val="single" w:color="000000" w:sz="8" w:space="0"/>
                    <w:left w:val="single" w:color="000000" w:sz="8" w:space="0"/>
                    <w:bottom w:val="single" w:color="000000" w:sz="8" w:space="0"/>
                    <w:right w:val="single" w:color="000000" w:sz="8" w:space="0"/>
                  </w:tcBorders>
                  <w:vAlign w:val="top"/>
                </w:tcPr>
                <w:p w14:paraId="44B6AEA7">
                  <w:pPr>
                    <w:jc w:val="both"/>
                    <w:rPr>
                      <w:rFonts w:hint="eastAsia" w:ascii="宋体" w:hAnsi="宋体" w:eastAsia="宋体" w:cs="宋体"/>
                      <w:lang w:val="zh-CN"/>
                    </w:rPr>
                  </w:pPr>
                  <w:r>
                    <w:rPr>
                      <w:rFonts w:hint="eastAsia" w:ascii="宋体" w:hAnsi="宋体" w:eastAsia="宋体" w:cs="宋体"/>
                      <w:lang w:val="zh-CN"/>
                    </w:rPr>
                    <w:t>（一）评分内容：</w:t>
                  </w:r>
                </w:p>
                <w:p w14:paraId="4A9A2B82">
                  <w:pPr>
                    <w:jc w:val="both"/>
                    <w:rPr>
                      <w:rFonts w:hint="eastAsia" w:ascii="宋体" w:hAnsi="宋体" w:eastAsia="宋体" w:cs="宋体"/>
                      <w:lang w:val="zh-CN"/>
                    </w:rPr>
                  </w:pPr>
                  <w:r>
                    <w:rPr>
                      <w:rFonts w:hint="eastAsia" w:ascii="宋体" w:hAnsi="宋体" w:eastAsia="宋体" w:cs="宋体"/>
                      <w:lang w:val="zh-CN"/>
                    </w:rPr>
                    <w:t>投标人具有认证情况：</w:t>
                  </w:r>
                </w:p>
                <w:p w14:paraId="3D15AF03">
                  <w:pPr>
                    <w:jc w:val="both"/>
                    <w:rPr>
                      <w:rFonts w:hint="eastAsia" w:ascii="宋体" w:hAnsi="宋体" w:eastAsia="宋体" w:cs="宋体"/>
                      <w:lang w:val="zh-CN"/>
                    </w:rPr>
                  </w:pPr>
                  <w:r>
                    <w:rPr>
                      <w:rFonts w:hint="eastAsia" w:ascii="宋体" w:hAnsi="宋体" w:eastAsia="宋体" w:cs="宋体"/>
                      <w:lang w:val="zh-CN"/>
                    </w:rPr>
                    <w:t>1、具备质量管理体系认证证书的，得25分；</w:t>
                  </w:r>
                </w:p>
                <w:p w14:paraId="1CCD23A5">
                  <w:pPr>
                    <w:jc w:val="both"/>
                    <w:rPr>
                      <w:rFonts w:hint="eastAsia" w:ascii="宋体" w:hAnsi="宋体" w:eastAsia="宋体" w:cs="宋体"/>
                      <w:lang w:val="zh-CN"/>
                    </w:rPr>
                  </w:pPr>
                  <w:r>
                    <w:rPr>
                      <w:rFonts w:hint="eastAsia" w:ascii="宋体" w:hAnsi="宋体" w:eastAsia="宋体" w:cs="宋体"/>
                      <w:lang w:val="zh-CN"/>
                    </w:rPr>
                    <w:t>2、具备环境管理体系认证证书的，得25分；</w:t>
                  </w:r>
                </w:p>
                <w:p w14:paraId="7824E07C">
                  <w:pPr>
                    <w:jc w:val="both"/>
                    <w:rPr>
                      <w:rFonts w:hint="eastAsia" w:ascii="宋体" w:hAnsi="宋体" w:eastAsia="宋体" w:cs="宋体"/>
                      <w:lang w:val="zh-CN"/>
                    </w:rPr>
                  </w:pPr>
                  <w:r>
                    <w:rPr>
                      <w:rFonts w:hint="eastAsia" w:ascii="宋体" w:hAnsi="宋体" w:eastAsia="宋体" w:cs="宋体"/>
                      <w:lang w:val="zh-CN"/>
                    </w:rPr>
                    <w:t>3、具备职业健康安全管理体系认证证书的，得25分；</w:t>
                  </w:r>
                </w:p>
                <w:p w14:paraId="337670C8">
                  <w:pPr>
                    <w:jc w:val="both"/>
                    <w:rPr>
                      <w:rFonts w:hint="eastAsia" w:ascii="宋体" w:hAnsi="宋体" w:eastAsia="宋体" w:cs="宋体"/>
                      <w:lang w:val="zh-CN"/>
                    </w:rPr>
                  </w:pPr>
                  <w:r>
                    <w:rPr>
                      <w:rFonts w:hint="eastAsia" w:ascii="宋体" w:hAnsi="宋体" w:eastAsia="宋体" w:cs="宋体"/>
                      <w:lang w:val="zh-CN"/>
                    </w:rPr>
                    <w:t>4、具备食品安全管理体系认证证书的，得25分；</w:t>
                  </w:r>
                </w:p>
                <w:p w14:paraId="7166D479">
                  <w:pPr>
                    <w:jc w:val="both"/>
                    <w:rPr>
                      <w:rFonts w:hint="eastAsia" w:ascii="宋体" w:hAnsi="宋体" w:eastAsia="宋体" w:cs="宋体"/>
                      <w:lang w:val="zh-CN"/>
                    </w:rPr>
                  </w:pPr>
                  <w:r>
                    <w:rPr>
                      <w:rFonts w:hint="eastAsia" w:ascii="宋体" w:hAnsi="宋体" w:eastAsia="宋体" w:cs="宋体"/>
                      <w:lang w:val="zh-CN"/>
                    </w:rPr>
                    <w:t>以上4项累加计分，最高得100分。</w:t>
                  </w:r>
                </w:p>
                <w:p w14:paraId="41A14A9E">
                  <w:pPr>
                    <w:jc w:val="both"/>
                    <w:rPr>
                      <w:rFonts w:hint="eastAsia" w:ascii="宋体" w:hAnsi="宋体" w:eastAsia="宋体" w:cs="宋体"/>
                      <w:lang w:val="zh-CN"/>
                    </w:rPr>
                  </w:pPr>
                  <w:r>
                    <w:rPr>
                      <w:rFonts w:hint="eastAsia" w:ascii="宋体" w:hAnsi="宋体" w:eastAsia="宋体" w:cs="宋体"/>
                      <w:lang w:val="zh-CN"/>
                    </w:rPr>
                    <w:t>（二）评分依据：</w:t>
                  </w:r>
                </w:p>
                <w:p w14:paraId="7EA1A5B5">
                  <w:pPr>
                    <w:jc w:val="both"/>
                    <w:rPr>
                      <w:rFonts w:hint="eastAsia" w:ascii="宋体" w:hAnsi="宋体" w:eastAsia="宋体" w:cs="宋体"/>
                      <w:lang w:val="zh-CN"/>
                    </w:rPr>
                  </w:pPr>
                  <w:r>
                    <w:rPr>
                      <w:rFonts w:hint="eastAsia" w:ascii="宋体" w:hAnsi="宋体" w:eastAsia="宋体" w:cs="宋体"/>
                      <w:lang w:val="zh-CN"/>
                    </w:rPr>
                    <w:t>1、要求提供有效的认证证书及以上证书在全国认证认可信息公共服务平台（认e云）（http://cx.cnca.cn/）查询的认证信息截图，（注：须体现网站信息、证书状态为“有效”，认证证书注明年审要求的，须按规定年审，证书须在有效期内），作为得分依据；</w:t>
                  </w:r>
                </w:p>
                <w:p w14:paraId="10513661">
                  <w:pPr>
                    <w:jc w:val="both"/>
                    <w:rPr>
                      <w:rFonts w:hint="eastAsia" w:ascii="宋体" w:hAnsi="宋体" w:eastAsia="宋体" w:cs="宋体"/>
                      <w:lang w:val="zh-CN"/>
                    </w:rPr>
                  </w:pPr>
                  <w:r>
                    <w:rPr>
                      <w:rFonts w:hint="eastAsia" w:ascii="宋体" w:hAnsi="宋体" w:eastAsia="宋体" w:cs="宋体"/>
                      <w:lang w:val="zh-CN"/>
                    </w:rPr>
                    <w:t>2、以上资料均要求提供扫描件，原件备查。评分中出现无证明资料或专家无法凭所提供资料判断是否得分的情况，一律作不得分处理；</w:t>
                  </w:r>
                </w:p>
                <w:p w14:paraId="79066882">
                  <w:pPr>
                    <w:jc w:val="both"/>
                    <w:rPr>
                      <w:rFonts w:hint="eastAsia" w:ascii="宋体" w:hAnsi="宋体" w:eastAsia="宋体" w:cs="宋体"/>
                      <w:lang w:val="zh-CN"/>
                    </w:rPr>
                  </w:pPr>
                  <w:r>
                    <w:rPr>
                      <w:rFonts w:hint="eastAsia" w:ascii="宋体" w:hAnsi="宋体" w:eastAsia="宋体" w:cs="宋体"/>
                      <w:lang w:val="zh-CN"/>
                    </w:rPr>
                    <w:t>3、投标人成立不足3个月无法申请认证的，需提供成立情况说明函（格式自拟），无需提供证书和认证信息查询截图，亦可得分；</w:t>
                  </w:r>
                </w:p>
                <w:p w14:paraId="0BC17756">
                  <w:pPr>
                    <w:jc w:val="both"/>
                    <w:rPr>
                      <w:rFonts w:hint="eastAsia" w:ascii="宋体" w:hAnsi="宋体" w:eastAsia="宋体" w:cs="宋体"/>
                    </w:rPr>
                  </w:pPr>
                  <w:r>
                    <w:rPr>
                      <w:rFonts w:hint="eastAsia" w:ascii="宋体" w:hAnsi="宋体" w:eastAsia="宋体" w:cs="宋体"/>
                      <w:lang w:val="zh-CN"/>
                    </w:rPr>
                    <w:t>4、由社会组织颁发的证书，还需同时提供该组织在“中国社会组织政务服务平台（全国社会组织信用信息公示平台）https://chinanpo.mca.gov.cn/”的查询截图（截图需体现网址且状态为正常），否则该证书不得分。</w:t>
                  </w:r>
                </w:p>
              </w:tc>
            </w:tr>
            <w:tr w14:paraId="1DA8C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2F0BC9C4">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47E6C7D">
                  <w:pPr>
                    <w:jc w:val="center"/>
                    <w:rPr>
                      <w:rFonts w:ascii="宋体" w:hAnsi="宋体" w:eastAsia="宋体" w:cs="宋体"/>
                    </w:rPr>
                  </w:pPr>
                  <w:r>
                    <w:rPr>
                      <w:rFonts w:hint="eastAsia" w:ascii="宋体" w:hAnsi="宋体" w:eastAsia="宋体" w:cs="宋体"/>
                    </w:rPr>
                    <w:t>2</w:t>
                  </w:r>
                </w:p>
              </w:tc>
              <w:tc>
                <w:tcPr>
                  <w:tcW w:w="1295" w:type="dxa"/>
                  <w:tcBorders>
                    <w:top w:val="single" w:color="000000" w:sz="8" w:space="0"/>
                    <w:left w:val="single" w:color="000000" w:sz="8" w:space="0"/>
                    <w:bottom w:val="single" w:color="000000" w:sz="8" w:space="0"/>
                    <w:right w:val="single" w:color="000000" w:sz="8" w:space="0"/>
                  </w:tcBorders>
                  <w:vAlign w:val="center"/>
                </w:tcPr>
                <w:p w14:paraId="55B333C3">
                  <w:pPr>
                    <w:jc w:val="center"/>
                    <w:rPr>
                      <w:rFonts w:hint="eastAsia" w:ascii="宋体" w:hAnsi="宋体" w:eastAsia="宋体" w:cs="宋体"/>
                    </w:rPr>
                  </w:pPr>
                  <w:r>
                    <w:rPr>
                      <w:rFonts w:hint="eastAsia" w:ascii="宋体" w:hAnsi="宋体" w:eastAsia="宋体" w:cs="宋体"/>
                    </w:rPr>
                    <w:t>同类业绩情况</w:t>
                  </w:r>
                </w:p>
              </w:tc>
              <w:tc>
                <w:tcPr>
                  <w:tcW w:w="1030" w:type="dxa"/>
                  <w:tcBorders>
                    <w:top w:val="single" w:color="000000" w:sz="8" w:space="0"/>
                    <w:left w:val="single" w:color="000000" w:sz="8" w:space="0"/>
                    <w:bottom w:val="single" w:color="000000" w:sz="8" w:space="0"/>
                    <w:right w:val="single" w:color="000000" w:sz="8" w:space="0"/>
                  </w:tcBorders>
                  <w:vAlign w:val="center"/>
                </w:tcPr>
                <w:p w14:paraId="04DCBB14">
                  <w:pPr>
                    <w:jc w:val="center"/>
                    <w:rPr>
                      <w:rFonts w:hint="eastAsia" w:ascii="宋体" w:hAnsi="宋体" w:eastAsia="宋体" w:cs="宋体"/>
                    </w:rPr>
                  </w:pPr>
                  <w:r>
                    <w:rPr>
                      <w:rFonts w:hint="eastAsia" w:ascii="宋体" w:hAnsi="宋体" w:eastAsia="宋体" w:cs="宋体"/>
                      <w:lang w:val="en-US" w:eastAsia="zh-CN"/>
                    </w:rPr>
                    <w:t>6</w:t>
                  </w:r>
                </w:p>
              </w:tc>
              <w:tc>
                <w:tcPr>
                  <w:tcW w:w="5396" w:type="dxa"/>
                  <w:tcBorders>
                    <w:top w:val="single" w:color="000000" w:sz="8" w:space="0"/>
                    <w:left w:val="single" w:color="000000" w:sz="8" w:space="0"/>
                    <w:bottom w:val="single" w:color="000000" w:sz="8" w:space="0"/>
                    <w:right w:val="single" w:color="000000" w:sz="8" w:space="0"/>
                  </w:tcBorders>
                  <w:vAlign w:val="top"/>
                </w:tcPr>
                <w:p w14:paraId="2AF08FF7">
                  <w:pPr>
                    <w:jc w:val="both"/>
                    <w:rPr>
                      <w:rFonts w:hint="eastAsia" w:ascii="宋体" w:hAnsi="宋体" w:eastAsia="宋体" w:cs="宋体"/>
                    </w:rPr>
                  </w:pPr>
                  <w:r>
                    <w:rPr>
                      <w:rFonts w:hint="eastAsia" w:ascii="宋体" w:hAnsi="宋体" w:eastAsia="宋体" w:cs="宋体"/>
                    </w:rPr>
                    <w:t>（一）评分内容：</w:t>
                  </w:r>
                </w:p>
                <w:p w14:paraId="591312FD">
                  <w:pPr>
                    <w:jc w:val="both"/>
                    <w:rPr>
                      <w:rFonts w:hint="eastAsia" w:ascii="宋体" w:hAnsi="宋体" w:eastAsia="宋体" w:cs="宋体"/>
                    </w:rPr>
                  </w:pPr>
                  <w:r>
                    <w:rPr>
                      <w:rFonts w:hint="eastAsia" w:ascii="宋体" w:hAnsi="宋体" w:eastAsia="宋体" w:cs="宋体"/>
                    </w:rPr>
                    <w:t>2022年12月1日至本项目投标截止之日（以合同签订日期为准），投标人具有同类食材配送项目业绩的，每提供1个项目且履约评价合格（或者验收合格）的履约（或验收）报告（证明）文件的得34分，同一项目续签不重复得分，同一个项目编号只计一次分，最高得100分。</w:t>
                  </w:r>
                </w:p>
                <w:p w14:paraId="6C0C8C1F">
                  <w:pPr>
                    <w:jc w:val="both"/>
                    <w:rPr>
                      <w:rFonts w:hint="eastAsia" w:ascii="宋体" w:hAnsi="宋体" w:eastAsia="宋体" w:cs="宋体"/>
                    </w:rPr>
                  </w:pPr>
                  <w:r>
                    <w:rPr>
                      <w:rFonts w:hint="eastAsia" w:ascii="宋体" w:hAnsi="宋体" w:eastAsia="宋体" w:cs="宋体"/>
                    </w:rPr>
                    <w:t>（二）评分依据：</w:t>
                  </w:r>
                </w:p>
                <w:p w14:paraId="14727381">
                  <w:pPr>
                    <w:jc w:val="both"/>
                    <w:rPr>
                      <w:rFonts w:hint="eastAsia" w:ascii="宋体" w:hAnsi="宋体" w:eastAsia="宋体" w:cs="宋体"/>
                    </w:rPr>
                  </w:pPr>
                  <w:r>
                    <w:rPr>
                      <w:rFonts w:hint="eastAsia" w:ascii="宋体" w:hAnsi="宋体" w:eastAsia="宋体" w:cs="宋体"/>
                    </w:rPr>
                    <w:t>1、同时提供：</w:t>
                  </w:r>
                </w:p>
                <w:p w14:paraId="3961F7A1">
                  <w:pPr>
                    <w:jc w:val="both"/>
                    <w:rPr>
                      <w:rFonts w:hint="eastAsia" w:ascii="宋体" w:hAnsi="宋体" w:eastAsia="宋体" w:cs="宋体"/>
                    </w:rPr>
                  </w:pPr>
                  <w:r>
                    <w:rPr>
                      <w:rFonts w:hint="eastAsia" w:ascii="宋体" w:hAnsi="宋体" w:eastAsia="宋体" w:cs="宋体"/>
                    </w:rPr>
                    <w:t>①合同关键页（包括但不限于：合同名称页、合同主要内容页、合同签订日期页、合同双方签字盖章页）；</w:t>
                  </w:r>
                </w:p>
                <w:p w14:paraId="729DC1E7">
                  <w:pPr>
                    <w:jc w:val="both"/>
                    <w:rPr>
                      <w:rFonts w:hint="eastAsia" w:ascii="宋体" w:hAnsi="宋体" w:eastAsia="宋体" w:cs="宋体"/>
                    </w:rPr>
                  </w:pPr>
                  <w:r>
                    <w:rPr>
                      <w:rFonts w:hint="eastAsia" w:ascii="宋体" w:hAnsi="宋体" w:eastAsia="宋体" w:cs="宋体"/>
                    </w:rPr>
                    <w:t>②加盖甲方公章（或甲方业务章）的履约评价合格（或者验收合格）的履约（或验收）报告（证明）文件；</w:t>
                  </w:r>
                </w:p>
                <w:p w14:paraId="14B63D4C">
                  <w:pPr>
                    <w:jc w:val="both"/>
                    <w:rPr>
                      <w:rFonts w:hint="eastAsia" w:ascii="宋体" w:hAnsi="宋体" w:eastAsia="宋体" w:cs="宋体"/>
                    </w:rPr>
                  </w:pPr>
                  <w:r>
                    <w:rPr>
                      <w:rFonts w:hint="eastAsia" w:ascii="宋体" w:hAnsi="宋体" w:eastAsia="宋体" w:cs="宋体"/>
                    </w:rPr>
                    <w:t>2、以上证明材料均提供扫描件，原件备查。如未按要求提供证明材料，或专家无法凭所提供资料判断是否得分，视为该证明材料无效。</w:t>
                  </w:r>
                </w:p>
              </w:tc>
            </w:tr>
            <w:tr w14:paraId="2046E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6D9188E7">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8F237DC">
                  <w:pPr>
                    <w:jc w:val="center"/>
                    <w:rPr>
                      <w:rFonts w:ascii="宋体" w:hAnsi="宋体" w:eastAsia="宋体" w:cs="宋体"/>
                    </w:rPr>
                  </w:pPr>
                  <w:r>
                    <w:rPr>
                      <w:rFonts w:hint="eastAsia" w:ascii="宋体" w:hAnsi="宋体" w:eastAsia="宋体" w:cs="宋体"/>
                    </w:rPr>
                    <w:t>3</w:t>
                  </w:r>
                </w:p>
              </w:tc>
              <w:tc>
                <w:tcPr>
                  <w:tcW w:w="1295" w:type="dxa"/>
                  <w:tcBorders>
                    <w:top w:val="single" w:color="000000" w:sz="8" w:space="0"/>
                    <w:left w:val="single" w:color="000000" w:sz="8" w:space="0"/>
                    <w:bottom w:val="single" w:color="000000" w:sz="8" w:space="0"/>
                    <w:right w:val="single" w:color="000000" w:sz="8" w:space="0"/>
                  </w:tcBorders>
                  <w:vAlign w:val="center"/>
                </w:tcPr>
                <w:p w14:paraId="2726BE42">
                  <w:pPr>
                    <w:jc w:val="center"/>
                    <w:rPr>
                      <w:rFonts w:hint="eastAsia" w:ascii="宋体" w:hAnsi="宋体" w:eastAsia="宋体" w:cs="宋体"/>
                    </w:rPr>
                  </w:pPr>
                  <w:r>
                    <w:rPr>
                      <w:rFonts w:hint="eastAsia" w:ascii="宋体" w:hAnsi="宋体" w:eastAsia="宋体" w:cs="宋体"/>
                    </w:rPr>
                    <w:t>服务网点</w:t>
                  </w:r>
                </w:p>
              </w:tc>
              <w:tc>
                <w:tcPr>
                  <w:tcW w:w="1030" w:type="dxa"/>
                  <w:tcBorders>
                    <w:top w:val="single" w:color="000000" w:sz="8" w:space="0"/>
                    <w:left w:val="single" w:color="000000" w:sz="8" w:space="0"/>
                    <w:bottom w:val="single" w:color="000000" w:sz="8" w:space="0"/>
                    <w:right w:val="single" w:color="000000" w:sz="8" w:space="0"/>
                  </w:tcBorders>
                  <w:vAlign w:val="center"/>
                </w:tcPr>
                <w:p w14:paraId="3E739991">
                  <w:pPr>
                    <w:jc w:val="center"/>
                    <w:rPr>
                      <w:rFonts w:hint="eastAsia" w:ascii="宋体" w:hAnsi="宋体" w:eastAsia="宋体" w:cs="宋体"/>
                    </w:rPr>
                  </w:pPr>
                  <w:r>
                    <w:rPr>
                      <w:rFonts w:hint="eastAsia" w:ascii="宋体" w:hAnsi="宋体" w:eastAsia="宋体" w:cs="宋体"/>
                    </w:rPr>
                    <w:t>3</w:t>
                  </w:r>
                </w:p>
              </w:tc>
              <w:tc>
                <w:tcPr>
                  <w:tcW w:w="5396" w:type="dxa"/>
                  <w:tcBorders>
                    <w:top w:val="single" w:color="000000" w:sz="8" w:space="0"/>
                    <w:left w:val="single" w:color="000000" w:sz="8" w:space="0"/>
                    <w:bottom w:val="single" w:color="000000" w:sz="8" w:space="0"/>
                    <w:right w:val="single" w:color="000000" w:sz="8" w:space="0"/>
                  </w:tcBorders>
                  <w:vAlign w:val="top"/>
                </w:tcPr>
                <w:p w14:paraId="6BA3FEF8">
                  <w:pPr>
                    <w:jc w:val="both"/>
                    <w:rPr>
                      <w:rFonts w:hint="eastAsia" w:ascii="宋体" w:hAnsi="宋体" w:eastAsia="宋体" w:cs="宋体"/>
                    </w:rPr>
                  </w:pPr>
                  <w:r>
                    <w:rPr>
                      <w:rFonts w:hint="eastAsia" w:ascii="宋体" w:hAnsi="宋体" w:eastAsia="宋体" w:cs="宋体"/>
                    </w:rPr>
                    <w:t>（一）评分内容：</w:t>
                  </w:r>
                </w:p>
                <w:p w14:paraId="21B933B4">
                  <w:pPr>
                    <w:jc w:val="both"/>
                    <w:rPr>
                      <w:rFonts w:hint="eastAsia" w:ascii="宋体" w:hAnsi="宋体" w:eastAsia="宋体" w:cs="宋体"/>
                    </w:rPr>
                  </w:pPr>
                  <w:r>
                    <w:rPr>
                      <w:rFonts w:hint="eastAsia" w:ascii="宋体" w:hAnsi="宋体" w:eastAsia="宋体" w:cs="宋体"/>
                    </w:rPr>
                    <w:t>供应商承诺中标后提供本地经营（服务）网点的，得100分。</w:t>
                  </w:r>
                </w:p>
                <w:p w14:paraId="65ECC2DE">
                  <w:pPr>
                    <w:jc w:val="both"/>
                    <w:rPr>
                      <w:rFonts w:hint="eastAsia" w:ascii="宋体" w:hAnsi="宋体" w:eastAsia="宋体" w:cs="宋体"/>
                    </w:rPr>
                  </w:pPr>
                  <w:r>
                    <w:rPr>
                      <w:rFonts w:hint="eastAsia" w:ascii="宋体" w:hAnsi="宋体" w:eastAsia="宋体" w:cs="宋体"/>
                    </w:rPr>
                    <w:t>（二）评分依据：</w:t>
                  </w:r>
                </w:p>
                <w:p w14:paraId="5D2F8A02">
                  <w:pPr>
                    <w:jc w:val="both"/>
                    <w:rPr>
                      <w:rFonts w:hint="eastAsia" w:ascii="宋体" w:hAnsi="宋体" w:eastAsia="宋体" w:cs="宋体"/>
                    </w:rPr>
                  </w:pPr>
                  <w:r>
                    <w:rPr>
                      <w:rFonts w:hint="eastAsia" w:ascii="宋体" w:hAnsi="宋体" w:eastAsia="宋体" w:cs="宋体"/>
                    </w:rPr>
                    <w:t>要求提供承诺函（格式自拟）作为得分依据，未提供承诺函或未按采购文件要求提供承诺函的不得分。</w:t>
                  </w:r>
                </w:p>
              </w:tc>
            </w:tr>
            <w:tr w14:paraId="52AD2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tcBorders>
                    <w:top w:val="single" w:color="000000" w:sz="8" w:space="0"/>
                    <w:left w:val="single" w:color="000000" w:sz="8" w:space="0"/>
                    <w:bottom w:val="single" w:color="auto" w:sz="4" w:space="0"/>
                    <w:right w:val="single" w:color="000000" w:sz="8" w:space="0"/>
                  </w:tcBorders>
                </w:tcPr>
                <w:p w14:paraId="08A5769E">
                  <w:pPr>
                    <w:jc w:val="center"/>
                    <w:rPr>
                      <w:rFonts w:ascii="宋体" w:hAnsi="宋体" w:eastAsia="宋体" w:cs="宋体"/>
                      <w:b/>
                      <w:bCs/>
                    </w:rPr>
                  </w:pPr>
                  <w:r>
                    <w:rPr>
                      <w:rFonts w:hint="eastAsia" w:ascii="宋体" w:hAnsi="宋体" w:eastAsia="宋体" w:cs="宋体"/>
                      <w:b/>
                      <w:bCs/>
                    </w:rPr>
                    <w:t>4</w:t>
                  </w:r>
                </w:p>
              </w:tc>
              <w:tc>
                <w:tcPr>
                  <w:tcW w:w="3000" w:type="dxa"/>
                  <w:gridSpan w:val="3"/>
                  <w:tcBorders>
                    <w:top w:val="single" w:color="000000" w:sz="8" w:space="0"/>
                    <w:left w:val="single" w:color="000000" w:sz="8" w:space="0"/>
                    <w:bottom w:val="single" w:color="auto" w:sz="4" w:space="0"/>
                    <w:right w:val="single" w:color="000000" w:sz="8" w:space="0"/>
                  </w:tcBorders>
                </w:tcPr>
                <w:p w14:paraId="2AE95709">
                  <w:pPr>
                    <w:jc w:val="center"/>
                    <w:rPr>
                      <w:rFonts w:hint="eastAsia" w:ascii="宋体" w:hAnsi="宋体" w:eastAsia="宋体" w:cs="宋体"/>
                    </w:rPr>
                  </w:pPr>
                  <w:r>
                    <w:rPr>
                      <w:rFonts w:hint="eastAsia" w:ascii="宋体" w:hAnsi="宋体" w:eastAsia="宋体" w:cs="宋体"/>
                    </w:rPr>
                    <w:t>诚信情况</w:t>
                  </w:r>
                </w:p>
              </w:tc>
              <w:tc>
                <w:tcPr>
                  <w:tcW w:w="5396" w:type="dxa"/>
                  <w:tcBorders>
                    <w:top w:val="single" w:color="000000" w:sz="8" w:space="0"/>
                    <w:left w:val="single" w:color="000000" w:sz="8" w:space="0"/>
                    <w:bottom w:val="single" w:color="auto" w:sz="4" w:space="0"/>
                    <w:right w:val="single" w:color="000000" w:sz="8" w:space="0"/>
                  </w:tcBorders>
                </w:tcPr>
                <w:p w14:paraId="0C3782D1">
                  <w:pPr>
                    <w:jc w:val="center"/>
                    <w:rPr>
                      <w:rFonts w:ascii="宋体" w:hAnsi="宋体" w:eastAsia="宋体" w:cs="宋体"/>
                      <w:b/>
                      <w:bCs/>
                    </w:rPr>
                  </w:pPr>
                  <w:r>
                    <w:rPr>
                      <w:rFonts w:hint="eastAsia" w:ascii="宋体" w:hAnsi="宋体" w:eastAsia="宋体" w:cs="宋体"/>
                      <w:b/>
                      <w:bCs/>
                    </w:rPr>
                    <w:t>5</w:t>
                  </w:r>
                </w:p>
              </w:tc>
            </w:tr>
            <w:tr w14:paraId="14094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restart"/>
                  <w:tcBorders>
                    <w:top w:val="single" w:color="000000" w:sz="8" w:space="0"/>
                    <w:left w:val="single" w:color="000000" w:sz="8" w:space="0"/>
                    <w:bottom w:val="single" w:color="000000" w:sz="8" w:space="0"/>
                    <w:right w:val="single" w:color="000000" w:sz="8" w:space="0"/>
                  </w:tcBorders>
                  <w:shd w:val="clear" w:color="auto" w:fill="E6EFFA"/>
                  <w:vAlign w:val="center"/>
                </w:tcPr>
                <w:p w14:paraId="55D0B870">
                  <w:pPr>
                    <w:rPr>
                      <w:rFonts w:ascii="宋体" w:hAnsi="宋体" w:eastAsia="宋体" w:cs="宋体"/>
                      <w:b/>
                      <w:bCs/>
                    </w:rPr>
                  </w:pPr>
                </w:p>
              </w:tc>
              <w:tc>
                <w:tcPr>
                  <w:tcW w:w="6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BC90DC4">
                  <w:pPr>
                    <w:jc w:val="center"/>
                    <w:rPr>
                      <w:rFonts w:ascii="宋体" w:hAnsi="宋体" w:eastAsia="宋体" w:cs="宋体"/>
                    </w:rPr>
                  </w:pPr>
                  <w:r>
                    <w:rPr>
                      <w:rFonts w:hint="eastAsia" w:ascii="宋体" w:hAnsi="宋体" w:eastAsia="宋体" w:cs="宋体"/>
                    </w:rPr>
                    <w:t>序号</w:t>
                  </w:r>
                </w:p>
              </w:tc>
              <w:tc>
                <w:tcPr>
                  <w:tcW w:w="12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987E3F7">
                  <w:pPr>
                    <w:jc w:val="center"/>
                    <w:rPr>
                      <w:rFonts w:hint="eastAsia" w:ascii="宋体" w:hAnsi="宋体" w:eastAsia="宋体" w:cs="宋体"/>
                    </w:rPr>
                  </w:pPr>
                  <w:r>
                    <w:rPr>
                      <w:rFonts w:hint="eastAsia" w:ascii="宋体" w:hAnsi="宋体" w:eastAsia="宋体" w:cs="宋体"/>
                    </w:rPr>
                    <w:t>评审因素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C0E1D8">
                  <w:pPr>
                    <w:jc w:val="center"/>
                    <w:rPr>
                      <w:rFonts w:hint="eastAsia" w:ascii="宋体" w:hAnsi="宋体" w:eastAsia="宋体" w:cs="宋体"/>
                    </w:rPr>
                  </w:pPr>
                  <w:r>
                    <w:rPr>
                      <w:rFonts w:hint="eastAsia" w:ascii="宋体" w:hAnsi="宋体" w:eastAsia="宋体" w:cs="宋体"/>
                    </w:rPr>
                    <w:t>权重(%)</w:t>
                  </w:r>
                </w:p>
              </w:tc>
              <w:tc>
                <w:tcPr>
                  <w:tcW w:w="53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69EBAF">
                  <w:pPr>
                    <w:jc w:val="center"/>
                    <w:rPr>
                      <w:rFonts w:ascii="宋体" w:hAnsi="宋体" w:eastAsia="宋体" w:cs="宋体"/>
                    </w:rPr>
                  </w:pPr>
                  <w:r>
                    <w:rPr>
                      <w:rFonts w:hint="eastAsia" w:ascii="宋体" w:hAnsi="宋体" w:eastAsia="宋体" w:cs="宋体"/>
                    </w:rPr>
                    <w:t>评分准则</w:t>
                  </w:r>
                </w:p>
              </w:tc>
            </w:tr>
            <w:tr w14:paraId="499A8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657F35CE">
                  <w:pPr>
                    <w:rPr>
                      <w:rFonts w:ascii="宋体" w:hAnsi="宋体" w:eastAsia="宋体" w:cs="宋体"/>
                      <w:b/>
                      <w:bCs/>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6FE5DBB">
                  <w:pPr>
                    <w:jc w:val="center"/>
                    <w:rPr>
                      <w:rFonts w:ascii="宋体" w:hAnsi="宋体" w:eastAsia="宋体" w:cs="宋体"/>
                    </w:rPr>
                  </w:pPr>
                  <w:r>
                    <w:rPr>
                      <w:rFonts w:hint="eastAsia" w:ascii="宋体" w:hAnsi="宋体" w:eastAsia="宋体" w:cs="宋体"/>
                    </w:rPr>
                    <w:t>1</w:t>
                  </w:r>
                </w:p>
              </w:tc>
              <w:tc>
                <w:tcPr>
                  <w:tcW w:w="1295" w:type="dxa"/>
                  <w:tcBorders>
                    <w:top w:val="single" w:color="000000" w:sz="8" w:space="0"/>
                    <w:left w:val="single" w:color="000000" w:sz="8" w:space="0"/>
                    <w:bottom w:val="single" w:color="000000" w:sz="8" w:space="0"/>
                    <w:right w:val="single" w:color="000000" w:sz="8" w:space="0"/>
                  </w:tcBorders>
                  <w:vAlign w:val="center"/>
                </w:tcPr>
                <w:p w14:paraId="01A5F41D">
                  <w:pPr>
                    <w:jc w:val="center"/>
                    <w:rPr>
                      <w:rFonts w:hint="eastAsia" w:ascii="宋体" w:hAnsi="宋体" w:eastAsia="宋体" w:cs="宋体"/>
                    </w:rPr>
                  </w:pPr>
                  <w:r>
                    <w:rPr>
                      <w:rFonts w:hint="eastAsia" w:ascii="宋体" w:hAnsi="宋体" w:eastAsia="宋体" w:cs="宋体"/>
                    </w:rPr>
                    <w:t>诚信情况</w:t>
                  </w:r>
                </w:p>
              </w:tc>
              <w:tc>
                <w:tcPr>
                  <w:tcW w:w="1030" w:type="dxa"/>
                  <w:tcBorders>
                    <w:top w:val="single" w:color="000000" w:sz="8" w:space="0"/>
                    <w:left w:val="single" w:color="000000" w:sz="8" w:space="0"/>
                    <w:bottom w:val="single" w:color="000000" w:sz="8" w:space="0"/>
                    <w:right w:val="single" w:color="000000" w:sz="8" w:space="0"/>
                  </w:tcBorders>
                  <w:vAlign w:val="center"/>
                </w:tcPr>
                <w:p w14:paraId="43154746">
                  <w:pPr>
                    <w:jc w:val="center"/>
                    <w:rPr>
                      <w:rFonts w:hint="eastAsia" w:ascii="宋体" w:hAnsi="宋体" w:eastAsia="宋体" w:cs="宋体"/>
                    </w:rPr>
                  </w:pPr>
                  <w:r>
                    <w:rPr>
                      <w:rFonts w:hint="eastAsia" w:ascii="宋体" w:hAnsi="宋体" w:eastAsia="宋体" w:cs="宋体"/>
                    </w:rPr>
                    <w:t>5</w:t>
                  </w:r>
                </w:p>
              </w:tc>
              <w:tc>
                <w:tcPr>
                  <w:tcW w:w="5396" w:type="dxa"/>
                  <w:tcBorders>
                    <w:top w:val="single" w:color="000000" w:sz="8" w:space="0"/>
                    <w:left w:val="single" w:color="000000" w:sz="8" w:space="0"/>
                    <w:bottom w:val="single" w:color="000000" w:sz="8" w:space="0"/>
                    <w:right w:val="single" w:color="000000" w:sz="8" w:space="0"/>
                  </w:tcBorders>
                </w:tcPr>
                <w:p w14:paraId="4D80D6AF">
                  <w:pPr>
                    <w:jc w:val="both"/>
                    <w:rPr>
                      <w:rFonts w:ascii="宋体" w:hAnsi="宋体" w:eastAsia="宋体" w:cs="宋体"/>
                    </w:rPr>
                  </w:pPr>
                  <w:r>
                    <w:rPr>
                      <w:rFonts w:hint="eastAsia" w:ascii="宋体" w:hAnsi="宋体" w:eastAsia="宋体" w:cs="宋体"/>
                    </w:rPr>
                    <w:t>（一）评分内容：</w:t>
                  </w:r>
                </w:p>
                <w:p w14:paraId="3BB3E396">
                  <w:pPr>
                    <w:jc w:val="both"/>
                    <w:rPr>
                      <w:rFonts w:ascii="宋体" w:hAnsi="宋体" w:eastAsia="宋体" w:cs="宋体"/>
                    </w:rPr>
                  </w:pPr>
                  <w:r>
                    <w:rPr>
                      <w:rFonts w:hint="eastAsia" w:ascii="宋体" w:hAnsi="宋体" w:eastAsia="宋体" w:cs="宋体"/>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5D21F007">
                  <w:pPr>
                    <w:jc w:val="both"/>
                    <w:rPr>
                      <w:rFonts w:ascii="宋体" w:hAnsi="宋体" w:eastAsia="宋体" w:cs="宋体"/>
                    </w:rPr>
                  </w:pPr>
                  <w:r>
                    <w:rPr>
                      <w:rFonts w:hint="eastAsia" w:ascii="宋体" w:hAnsi="宋体" w:eastAsia="宋体" w:cs="宋体"/>
                    </w:rPr>
                    <w:t>（二）评分依据:</w:t>
                  </w:r>
                </w:p>
                <w:p w14:paraId="21DC65F0">
                  <w:pPr>
                    <w:jc w:val="both"/>
                    <w:rPr>
                      <w:rFonts w:ascii="宋体" w:hAnsi="宋体" w:eastAsia="宋体" w:cs="宋体"/>
                    </w:rPr>
                  </w:pPr>
                  <w:r>
                    <w:rPr>
                      <w:rFonts w:hint="eastAsia" w:ascii="宋体" w:hAnsi="宋体" w:eastAsia="宋体" w:cs="宋体"/>
                    </w:rPr>
                    <w:t>采购代理机构通过“信用中国”、“中国政府采购网”、“深圳市政府采购监管网”以及市、区财政部门认定的其他渠道查询供应商信用信息，投标人无需提供证明材料。</w:t>
                  </w:r>
                </w:p>
              </w:tc>
            </w:tr>
          </w:tbl>
          <w:p w14:paraId="6D1E31EB">
            <w:pPr>
              <w:pStyle w:val="14"/>
              <w:ind w:left="420"/>
              <w:rPr>
                <w:rFonts w:ascii="宋体" w:hAnsi="宋体" w:eastAsia="宋体" w:cs="宋体"/>
                <w:color w:val="000000" w:themeColor="text1"/>
                <w14:textFill>
                  <w14:solidFill>
                    <w14:schemeClr w14:val="tx1"/>
                  </w14:solidFill>
                </w14:textFill>
              </w:rPr>
            </w:pPr>
          </w:p>
        </w:tc>
      </w:tr>
    </w:tbl>
    <w:p w14:paraId="7D8D20FA">
      <w:pPr>
        <w:rPr>
          <w:vanish/>
          <w:color w:val="000000" w:themeColor="text1"/>
          <w14:textFill>
            <w14:solidFill>
              <w14:schemeClr w14:val="tx1"/>
            </w14:solidFill>
          </w14:textFill>
        </w:rPr>
      </w:pPr>
    </w:p>
    <w:p w14:paraId="3D4ED416">
      <w:pPr>
        <w:rPr>
          <w:rFonts w:eastAsia="黑体"/>
        </w:rPr>
      </w:pPr>
    </w:p>
    <w:p w14:paraId="3D66BB01">
      <w:pPr>
        <w:rPr>
          <w:rFonts w:eastAsia="黑体"/>
        </w:rPr>
      </w:pPr>
    </w:p>
    <w:p w14:paraId="05339FD0">
      <w:pPr>
        <w:rPr>
          <w:rFonts w:eastAsia="黑体"/>
        </w:rPr>
      </w:pPr>
      <w:r>
        <w:rPr>
          <w:rFonts w:eastAsia="黑体"/>
        </w:rPr>
        <w:br w:type="page"/>
      </w:r>
    </w:p>
    <w:p w14:paraId="00967C78">
      <w:pPr>
        <w:pStyle w:val="14"/>
        <w:spacing w:line="360" w:lineRule="auto"/>
        <w:jc w:val="center"/>
        <w:outlineLvl w:val="1"/>
        <w:rPr>
          <w:rFonts w:ascii="黑体" w:hAnsi="黑体" w:eastAsia="黑体"/>
          <w:color w:val="000000" w:themeColor="text1"/>
          <w:sz w:val="40"/>
          <w:szCs w:val="40"/>
          <w14:textFill>
            <w14:solidFill>
              <w14:schemeClr w14:val="tx1"/>
            </w14:solidFill>
          </w14:textFill>
        </w:rPr>
      </w:pPr>
      <w:r>
        <w:rPr>
          <w:rFonts w:hint="eastAsia" w:ascii="黑体" w:hAnsi="黑体" w:eastAsia="黑体"/>
          <w:color w:val="000000" w:themeColor="text1"/>
          <w:sz w:val="40"/>
          <w:szCs w:val="40"/>
          <w14:textFill>
            <w14:solidFill>
              <w14:schemeClr w14:val="tx1"/>
            </w14:solidFill>
          </w14:textFill>
        </w:rPr>
        <w:t>投标书目录</w:t>
      </w:r>
    </w:p>
    <w:tbl>
      <w:tblPr>
        <w:tblStyle w:val="16"/>
        <w:tblW w:w="9072" w:type="dxa"/>
        <w:jc w:val="center"/>
        <w:tblCellSpacing w:w="0" w:type="dxa"/>
        <w:tblLayout w:type="fixed"/>
        <w:tblCellMar>
          <w:top w:w="45" w:type="dxa"/>
          <w:left w:w="45" w:type="dxa"/>
          <w:bottom w:w="45" w:type="dxa"/>
          <w:right w:w="45" w:type="dxa"/>
        </w:tblCellMar>
      </w:tblPr>
      <w:tblGrid>
        <w:gridCol w:w="9072"/>
      </w:tblGrid>
      <w:tr w14:paraId="57FB3B38">
        <w:tblPrEx>
          <w:tblCellMar>
            <w:top w:w="45" w:type="dxa"/>
            <w:left w:w="45" w:type="dxa"/>
            <w:bottom w:w="45" w:type="dxa"/>
            <w:right w:w="45" w:type="dxa"/>
          </w:tblCellMar>
        </w:tblPrEx>
        <w:trPr>
          <w:trHeight w:val="11432" w:hRule="atLeast"/>
          <w:tblCellSpacing w:w="0" w:type="dxa"/>
          <w:jc w:val="center"/>
        </w:trPr>
        <w:tc>
          <w:tcPr>
            <w:tcW w:w="9072" w:type="dxa"/>
            <w:vAlign w:val="center"/>
          </w:tcPr>
          <w:p w14:paraId="0AC952F4">
            <w:pPr>
              <w:outlineLvl w:val="1"/>
              <w:rPr>
                <w:rFonts w:ascii="宋体" w:hAnsi="宋体"/>
                <w:b/>
                <w:bCs/>
                <w:color w:val="FF0000"/>
                <w:sz w:val="24"/>
                <w:szCs w:val="24"/>
              </w:rPr>
            </w:pPr>
            <w:r>
              <w:rPr>
                <w:rFonts w:hint="eastAsia" w:ascii="宋体" w:hAnsi="宋体"/>
                <w:b/>
                <w:bCs/>
                <w:color w:val="FF0000"/>
                <w:sz w:val="24"/>
                <w:szCs w:val="24"/>
              </w:rPr>
              <w:t>1.投标文件正文（信息公开部分）：</w:t>
            </w:r>
          </w:p>
          <w:p w14:paraId="2F0769ED">
            <w:pPr>
              <w:outlineLvl w:val="1"/>
              <w:rPr>
                <w:rFonts w:ascii="宋体" w:hAnsi="宋体"/>
                <w:sz w:val="24"/>
                <w:szCs w:val="24"/>
              </w:rPr>
            </w:pPr>
            <w:r>
              <w:rPr>
                <w:rFonts w:hint="eastAsia" w:ascii="宋体" w:hAnsi="宋体"/>
                <w:sz w:val="24"/>
                <w:szCs w:val="24"/>
              </w:rPr>
              <w:t>（1）投标函</w:t>
            </w:r>
          </w:p>
          <w:p w14:paraId="076170EA">
            <w:pPr>
              <w:outlineLvl w:val="1"/>
              <w:rPr>
                <w:rFonts w:hint="eastAsia" w:ascii="宋体" w:hAnsi="宋体" w:eastAsia="Times New Roman" w:cs="Times New Roman"/>
                <w:sz w:val="24"/>
                <w:szCs w:val="24"/>
              </w:rPr>
            </w:pPr>
            <w:r>
              <w:rPr>
                <w:rFonts w:hint="eastAsia" w:ascii="宋体" w:hAnsi="宋体"/>
                <w:sz w:val="24"/>
                <w:szCs w:val="24"/>
              </w:rPr>
              <w:t>（2</w:t>
            </w:r>
            <w:r>
              <w:rPr>
                <w:rFonts w:hint="eastAsia" w:ascii="宋体" w:hAnsi="宋体" w:eastAsia="Times New Roman" w:cs="Times New Roman"/>
                <w:sz w:val="24"/>
                <w:szCs w:val="24"/>
              </w:rPr>
              <w:t>）政府采购投标及履约承诺函</w:t>
            </w:r>
          </w:p>
          <w:p w14:paraId="4722D1E1">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（3）投标人情况及资格证明文件</w:t>
            </w:r>
          </w:p>
          <w:p w14:paraId="00A87761">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（4）项目详细报价</w:t>
            </w:r>
          </w:p>
          <w:p w14:paraId="4D0F6815">
            <w:pPr>
              <w:outlineLvl w:val="1"/>
              <w:rPr>
                <w:rFonts w:hint="eastAsia" w:ascii="宋体" w:hAnsi="宋体" w:eastAsia="Times New Roman" w:cs="Times New Roman"/>
                <w:sz w:val="24"/>
                <w:szCs w:val="24"/>
                <w:lang w:eastAsia="zh-CN"/>
              </w:rPr>
            </w:pPr>
            <w:r>
              <w:rPr>
                <w:rFonts w:hint="eastAsia" w:ascii="宋体" w:hAnsi="宋体" w:eastAsia="Times New Roman" w:cs="Times New Roman"/>
                <w:sz w:val="24"/>
                <w:szCs w:val="24"/>
              </w:rPr>
              <w:t>（5）</w:t>
            </w:r>
            <w:r>
              <w:rPr>
                <w:rFonts w:hint="eastAsia" w:ascii="宋体" w:hAnsi="宋体" w:eastAsia="Times New Roman" w:cs="Times New Roman"/>
                <w:sz w:val="24"/>
                <w:szCs w:val="24"/>
                <w:lang w:val="zh-CN"/>
              </w:rPr>
              <w:t>投标人认证情况</w:t>
            </w:r>
          </w:p>
          <w:p w14:paraId="705F8BA9">
            <w:pPr>
              <w:outlineLvl w:val="1"/>
              <w:rPr>
                <w:rFonts w:hint="eastAsia" w:ascii="宋体" w:hAnsi="宋体" w:eastAsia="Times New Roman" w:cs="Times New Roman"/>
                <w:sz w:val="24"/>
                <w:szCs w:val="24"/>
                <w:lang w:eastAsia="zh-CN"/>
              </w:rPr>
            </w:pPr>
            <w:r>
              <w:rPr>
                <w:rFonts w:hint="eastAsia" w:ascii="宋体" w:hAnsi="宋体" w:eastAsia="Times New Roman" w:cs="Times New Roman"/>
                <w:sz w:val="24"/>
                <w:szCs w:val="24"/>
              </w:rPr>
              <w:t>（6）服务网点</w:t>
            </w:r>
          </w:p>
          <w:p w14:paraId="4F2A4A16">
            <w:pPr>
              <w:outlineLvl w:val="1"/>
              <w:rPr>
                <w:rFonts w:hint="eastAsia" w:ascii="宋体" w:hAnsi="宋体" w:eastAsia="Times New Roman" w:cs="Times New Roman"/>
                <w:sz w:val="24"/>
                <w:szCs w:val="24"/>
                <w:lang w:eastAsia="zh-CN"/>
              </w:rPr>
            </w:pPr>
            <w:r>
              <w:rPr>
                <w:rFonts w:hint="eastAsia" w:ascii="宋体" w:hAnsi="宋体" w:eastAsia="Times New Roman" w:cs="Times New Roman"/>
                <w:sz w:val="24"/>
                <w:szCs w:val="24"/>
              </w:rPr>
              <w:t>（7）</w:t>
            </w:r>
            <w:r>
              <w:rPr>
                <w:rFonts w:hint="eastAsia" w:ascii="宋体" w:hAnsi="宋体" w:eastAsia="Times New Roman" w:cs="Times New Roman"/>
                <w:sz w:val="24"/>
                <w:szCs w:val="24"/>
                <w:lang w:eastAsia="zh-CN"/>
              </w:rPr>
              <w:t>投标人认为需要加以说明的其他内容（格式自定）</w:t>
            </w:r>
          </w:p>
          <w:p w14:paraId="5FC105CE">
            <w:pPr>
              <w:outlineLvl w:val="1"/>
              <w:rPr>
                <w:rFonts w:ascii="宋体" w:hAnsi="宋体"/>
                <w:b/>
                <w:bCs/>
                <w:color w:val="FF0000"/>
                <w:sz w:val="24"/>
                <w:szCs w:val="24"/>
              </w:rPr>
            </w:pPr>
            <w:r>
              <w:rPr>
                <w:rFonts w:hint="eastAsia" w:ascii="宋体" w:hAnsi="宋体"/>
                <w:b/>
                <w:bCs/>
                <w:color w:val="FF0000"/>
                <w:sz w:val="24"/>
                <w:szCs w:val="24"/>
              </w:rPr>
              <w:t>2.投标文件附件（信息不公开部分）：</w:t>
            </w:r>
          </w:p>
          <w:p w14:paraId="1F3619F9">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（1）法定代表人（负责人或执行事务合伙人）资格证明书</w:t>
            </w:r>
          </w:p>
          <w:p w14:paraId="33FD982E">
            <w:pPr>
              <w:outlineLvl w:val="1"/>
              <w:rPr>
                <w:rFonts w:hint="eastAsia" w:ascii="宋体" w:hAnsi="宋体"/>
                <w:sz w:val="24"/>
                <w:szCs w:val="24"/>
              </w:rPr>
            </w:pPr>
            <w:r>
              <w:rPr>
                <w:rFonts w:hint="eastAsia" w:ascii="宋体" w:hAnsi="宋体"/>
                <w:sz w:val="24"/>
                <w:szCs w:val="24"/>
              </w:rPr>
              <w:t>（2）投标文件签署授权委托书</w:t>
            </w:r>
          </w:p>
          <w:p w14:paraId="5A052DEF">
            <w:pPr>
              <w:outlineLvl w:val="1"/>
              <w:rPr>
                <w:rFonts w:hint="eastAsia" w:ascii="宋体" w:hAnsi="宋体" w:eastAsia="Times New Roman" w:cs="Times New Roman"/>
                <w:sz w:val="24"/>
                <w:szCs w:val="24"/>
              </w:rPr>
            </w:pPr>
            <w:r>
              <w:rPr>
                <w:rFonts w:hint="eastAsia" w:ascii="宋体" w:hAnsi="宋体"/>
                <w:sz w:val="24"/>
                <w:szCs w:val="24"/>
              </w:rPr>
              <w:t>（3）供应商</w:t>
            </w:r>
            <w:r>
              <w:rPr>
                <w:rFonts w:hint="eastAsia" w:ascii="宋体" w:hAnsi="宋体" w:eastAsia="Times New Roman" w:cs="Times New Roman"/>
                <w:sz w:val="24"/>
                <w:szCs w:val="24"/>
              </w:rPr>
              <w:t>基本情况表</w:t>
            </w:r>
          </w:p>
          <w:p w14:paraId="14336437">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（4）供应商基本情况表及附件</w:t>
            </w:r>
          </w:p>
          <w:p w14:paraId="36B034D1">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5</w:t>
            </w:r>
            <w:r>
              <w:rPr>
                <w:rFonts w:hint="eastAsia" w:ascii="宋体" w:hAnsi="宋体" w:eastAsia="Times New Roman" w:cs="Times New Roman"/>
                <w:sz w:val="24"/>
                <w:szCs w:val="24"/>
              </w:rPr>
              <w:t>）实质性条款响应情况表</w:t>
            </w:r>
          </w:p>
          <w:p w14:paraId="2E0D1194">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6</w:t>
            </w:r>
            <w:r>
              <w:rPr>
                <w:rFonts w:hint="eastAsia" w:ascii="宋体" w:hAnsi="宋体" w:eastAsia="Times New Roman" w:cs="Times New Roman"/>
                <w:sz w:val="24"/>
                <w:szCs w:val="24"/>
              </w:rPr>
              <w:t>）商务、技术条款偏离表</w:t>
            </w:r>
          </w:p>
          <w:p w14:paraId="110AB4DC">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7</w:t>
            </w:r>
            <w:r>
              <w:rPr>
                <w:rFonts w:hint="eastAsia" w:ascii="宋体" w:hAnsi="宋体" w:eastAsia="Times New Roman" w:cs="Times New Roman"/>
                <w:sz w:val="24"/>
                <w:szCs w:val="24"/>
              </w:rPr>
              <w:t>）拟安排的项目负责人情况（仅限一人）</w:t>
            </w:r>
          </w:p>
          <w:p w14:paraId="6F9DA900">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8</w:t>
            </w:r>
            <w:r>
              <w:rPr>
                <w:rFonts w:hint="eastAsia" w:ascii="宋体" w:hAnsi="宋体" w:eastAsia="Times New Roman" w:cs="Times New Roman"/>
                <w:sz w:val="24"/>
                <w:szCs w:val="24"/>
              </w:rPr>
              <w:t>）同类业绩情况</w:t>
            </w:r>
          </w:p>
          <w:p w14:paraId="61AC4F71">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9</w:t>
            </w:r>
            <w:r>
              <w:rPr>
                <w:rFonts w:hint="eastAsia" w:ascii="宋体" w:hAnsi="宋体" w:eastAsia="Times New Roman" w:cs="Times New Roman"/>
                <w:sz w:val="24"/>
                <w:szCs w:val="24"/>
              </w:rPr>
              <w:t>）项目整体设想及规划方案（格式自定）</w:t>
            </w:r>
          </w:p>
          <w:p w14:paraId="4D7BAB30">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10</w:t>
            </w:r>
            <w:r>
              <w:rPr>
                <w:rFonts w:hint="eastAsia" w:ascii="宋体" w:hAnsi="宋体" w:eastAsia="Times New Roman" w:cs="Times New Roman"/>
                <w:sz w:val="24"/>
                <w:szCs w:val="24"/>
              </w:rPr>
              <w:t>）</w:t>
            </w:r>
            <w:r>
              <w:rPr>
                <w:rFonts w:hint="eastAsia" w:ascii="宋体" w:hAnsi="宋体" w:eastAsia="Times New Roman" w:cs="Times New Roman"/>
                <w:sz w:val="24"/>
                <w:szCs w:val="24"/>
                <w:lang w:val="zh-CN"/>
              </w:rPr>
              <w:t>规章管理制度、工作流程</w:t>
            </w:r>
            <w:r>
              <w:rPr>
                <w:rFonts w:hint="eastAsia" w:ascii="宋体" w:hAnsi="宋体" w:eastAsia="Times New Roman" w:cs="Times New Roman"/>
                <w:sz w:val="24"/>
                <w:szCs w:val="24"/>
              </w:rPr>
              <w:t>（格式自定）</w:t>
            </w:r>
          </w:p>
          <w:p w14:paraId="01A27B26">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11</w:t>
            </w: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应急预案</w:t>
            </w:r>
            <w:r>
              <w:rPr>
                <w:rFonts w:hint="eastAsia" w:ascii="宋体" w:hAnsi="宋体" w:eastAsia="Times New Roman" w:cs="Times New Roman"/>
                <w:sz w:val="24"/>
                <w:szCs w:val="24"/>
              </w:rPr>
              <w:t>（格式自定）</w:t>
            </w:r>
          </w:p>
          <w:p w14:paraId="078246E5">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12</w:t>
            </w: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售后服务方案</w:t>
            </w:r>
            <w:r>
              <w:rPr>
                <w:rFonts w:hint="eastAsia" w:ascii="宋体" w:hAnsi="宋体" w:eastAsia="Times New Roman" w:cs="Times New Roman"/>
                <w:sz w:val="24"/>
                <w:szCs w:val="24"/>
              </w:rPr>
              <w:t>（格式自定）</w:t>
            </w:r>
          </w:p>
          <w:p w14:paraId="3DB9DDCC">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13</w:t>
            </w:r>
            <w:r>
              <w:rPr>
                <w:rFonts w:hint="eastAsia" w:ascii="宋体" w:hAnsi="宋体" w:eastAsia="Times New Roman" w:cs="Times New Roman"/>
                <w:sz w:val="24"/>
                <w:szCs w:val="24"/>
              </w:rPr>
              <w:t>）项目完成（服务期满）后的服务承诺（格式自定）</w:t>
            </w:r>
          </w:p>
          <w:p w14:paraId="3834629D">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14</w:t>
            </w:r>
            <w:r>
              <w:rPr>
                <w:rFonts w:hint="eastAsia" w:ascii="宋体" w:hAnsi="宋体" w:eastAsia="Times New Roman" w:cs="Times New Roman"/>
                <w:sz w:val="24"/>
                <w:szCs w:val="24"/>
              </w:rPr>
              <w:t>）违约承诺（格式自定）</w:t>
            </w:r>
          </w:p>
          <w:p w14:paraId="0FFADF70">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15</w:t>
            </w:r>
            <w:r>
              <w:rPr>
                <w:rFonts w:hint="eastAsia" w:ascii="宋体" w:hAnsi="宋体" w:eastAsia="Times New Roman" w:cs="Times New Roman"/>
                <w:sz w:val="24"/>
                <w:szCs w:val="24"/>
              </w:rPr>
              <w:t>）食品检测保障能力（格式自定）</w:t>
            </w:r>
          </w:p>
          <w:p w14:paraId="7E7CE191">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16</w:t>
            </w:r>
            <w:r>
              <w:rPr>
                <w:rFonts w:hint="eastAsia" w:ascii="宋体" w:hAnsi="宋体" w:eastAsia="Times New Roman" w:cs="Times New Roman"/>
                <w:sz w:val="24"/>
                <w:szCs w:val="24"/>
              </w:rPr>
              <w:t>）拟投入本项目冷库（含冷冻库及冷藏库）情况（格式自定）</w:t>
            </w:r>
          </w:p>
          <w:p w14:paraId="05C0878A">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17</w:t>
            </w:r>
            <w:r>
              <w:rPr>
                <w:rFonts w:hint="eastAsia" w:ascii="宋体" w:hAnsi="宋体" w:eastAsia="Times New Roman" w:cs="Times New Roman"/>
                <w:sz w:val="24"/>
                <w:szCs w:val="24"/>
              </w:rPr>
              <w:t>）拟投入本项目的配送场所（格式自定）</w:t>
            </w:r>
          </w:p>
          <w:p w14:paraId="2445C4E4">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18</w:t>
            </w:r>
            <w:r>
              <w:rPr>
                <w:rFonts w:hint="eastAsia" w:ascii="宋体" w:hAnsi="宋体" w:eastAsia="Times New Roman" w:cs="Times New Roman"/>
                <w:sz w:val="24"/>
                <w:szCs w:val="24"/>
              </w:rPr>
              <w:t>）拟投入本项目的车辆（格式自定）</w:t>
            </w:r>
          </w:p>
          <w:p w14:paraId="11173985">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19</w:t>
            </w:r>
            <w:r>
              <w:rPr>
                <w:rFonts w:hint="eastAsia" w:ascii="宋体" w:hAnsi="宋体" w:eastAsia="Times New Roman" w:cs="Times New Roman"/>
                <w:sz w:val="24"/>
                <w:szCs w:val="24"/>
              </w:rPr>
              <w:t>）拟投入本项目食品安全检测设备（格式自定）</w:t>
            </w:r>
          </w:p>
          <w:p w14:paraId="47AB11A3">
            <w:pPr>
              <w:outlineLvl w:val="1"/>
              <w:rPr>
                <w:rFonts w:hint="eastAsia" w:ascii="宋体" w:hAnsi="宋体" w:eastAsia="Times New Roman" w:cs="Times New Roman"/>
                <w:sz w:val="24"/>
                <w:szCs w:val="24"/>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20</w:t>
            </w:r>
            <w:r>
              <w:rPr>
                <w:rFonts w:hint="eastAsia" w:ascii="宋体" w:hAnsi="宋体" w:eastAsia="Times New Roman" w:cs="Times New Roman"/>
                <w:sz w:val="24"/>
                <w:szCs w:val="24"/>
              </w:rPr>
              <w:t>）拟投入本项目的食品安全保险（格式自定）</w:t>
            </w:r>
          </w:p>
          <w:p w14:paraId="2962A3B1">
            <w:pPr>
              <w:outlineLvl w:val="1"/>
              <w:rPr>
                <w:rFonts w:ascii="宋体" w:hAnsi="宋体" w:cs="宋体"/>
              </w:rPr>
            </w:pPr>
            <w:r>
              <w:rPr>
                <w:rFonts w:hint="eastAsia" w:ascii="宋体" w:hAnsi="宋体" w:eastAsia="Times New Roman" w:cs="Times New Roman"/>
                <w:sz w:val="24"/>
                <w:szCs w:val="24"/>
              </w:rPr>
              <w:t>（</w:t>
            </w:r>
            <w:r>
              <w:rPr>
                <w:rFonts w:hint="eastAsia" w:ascii="宋体" w:hAnsi="宋体" w:eastAsia="Times New Roman" w:cs="Times New Roman"/>
                <w:sz w:val="24"/>
                <w:szCs w:val="24"/>
                <w:lang w:val="en-US" w:eastAsia="zh-CN"/>
              </w:rPr>
              <w:t>21</w:t>
            </w:r>
            <w:r>
              <w:rPr>
                <w:rFonts w:hint="eastAsia" w:ascii="宋体" w:hAnsi="宋体" w:eastAsia="Times New Roman" w:cs="Times New Roman"/>
                <w:sz w:val="24"/>
                <w:szCs w:val="24"/>
              </w:rPr>
              <w:t>）投标人认为需要加以说明的其他内容（格式自</w:t>
            </w:r>
            <w:r>
              <w:rPr>
                <w:rFonts w:hint="eastAsia" w:ascii="宋体" w:hAnsi="宋体"/>
                <w:sz w:val="24"/>
                <w:szCs w:val="24"/>
              </w:rPr>
              <w:t>定）</w:t>
            </w:r>
          </w:p>
        </w:tc>
      </w:tr>
    </w:tbl>
    <w:p w14:paraId="00EFBD3A"/>
    <w:p w14:paraId="4C048061"/>
    <w:p w14:paraId="0AB92388">
      <w:pPr>
        <w:jc w:val="center"/>
        <w:rPr>
          <w:b/>
          <w:color w:val="000000" w:themeColor="text1"/>
          <w:sz w:val="120"/>
          <w:szCs w:val="120"/>
          <w14:textFill>
            <w14:solidFill>
              <w14:schemeClr w14:val="tx1"/>
            </w14:solidFill>
          </w14:textFill>
        </w:rPr>
      </w:pPr>
      <w:r>
        <w:rPr>
          <w:rFonts w:hint="eastAsia"/>
          <w:b/>
          <w:color w:val="000000" w:themeColor="text1"/>
          <w:sz w:val="120"/>
          <w:szCs w:val="120"/>
          <w14:textFill>
            <w14:solidFill>
              <w14:schemeClr w14:val="tx1"/>
            </w14:solidFill>
          </w14:textFill>
        </w:rPr>
        <w:t>政府采购</w:t>
      </w:r>
    </w:p>
    <w:p w14:paraId="725FFBF4">
      <w:pPr>
        <w:jc w:val="center"/>
        <w:rPr>
          <w:b/>
          <w:color w:val="000000" w:themeColor="text1"/>
          <w:sz w:val="120"/>
          <w:szCs w:val="120"/>
          <w14:textFill>
            <w14:solidFill>
              <w14:schemeClr w14:val="tx1"/>
            </w14:solidFill>
          </w14:textFill>
        </w:rPr>
      </w:pPr>
      <w:r>
        <w:rPr>
          <w:rFonts w:hint="eastAsia"/>
          <w:b/>
          <w:color w:val="000000" w:themeColor="text1"/>
          <w:sz w:val="120"/>
          <w:szCs w:val="120"/>
          <w14:textFill>
            <w14:solidFill>
              <w14:schemeClr w14:val="tx1"/>
            </w14:solidFill>
          </w14:textFill>
        </w:rPr>
        <w:t>招标文件</w:t>
      </w:r>
    </w:p>
    <w:p w14:paraId="5670836B">
      <w:pPr>
        <w:jc w:val="center"/>
        <w:rPr>
          <w:b/>
          <w:color w:val="000000" w:themeColor="text1"/>
          <w:sz w:val="52"/>
          <w:szCs w:val="52"/>
          <w14:textFill>
            <w14:solidFill>
              <w14:schemeClr w14:val="tx1"/>
            </w14:solidFill>
          </w14:textFill>
        </w:rPr>
      </w:pPr>
    </w:p>
    <w:p w14:paraId="2F88301B">
      <w:pPr>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（服务类）</w:t>
      </w:r>
    </w:p>
    <w:p w14:paraId="65A5B1A0">
      <w:pPr>
        <w:rPr>
          <w:color w:val="000000" w:themeColor="text1"/>
          <w14:textFill>
            <w14:solidFill>
              <w14:schemeClr w14:val="tx1"/>
            </w14:solidFill>
          </w14:textFill>
        </w:rPr>
      </w:pPr>
    </w:p>
    <w:p w14:paraId="79022FEE">
      <w:pPr>
        <w:rPr>
          <w:color w:val="000000" w:themeColor="text1"/>
          <w14:textFill>
            <w14:solidFill>
              <w14:schemeClr w14:val="tx1"/>
            </w14:solidFill>
          </w14:textFill>
        </w:rPr>
      </w:pPr>
    </w:p>
    <w:p w14:paraId="63653A53">
      <w:pPr>
        <w:rPr>
          <w:color w:val="000000" w:themeColor="text1"/>
          <w14:textFill>
            <w14:solidFill>
              <w14:schemeClr w14:val="tx1"/>
            </w14:solidFill>
          </w14:textFill>
        </w:rPr>
      </w:pPr>
    </w:p>
    <w:p w14:paraId="6FAF3F68">
      <w:pPr>
        <w:jc w:val="center"/>
        <w:rPr>
          <w:b/>
          <w:color w:val="000000" w:themeColor="text1"/>
          <w:sz w:val="44"/>
          <w:szCs w:val="44"/>
          <w14:textFill>
            <w14:solidFill>
              <w14:schemeClr w14:val="tx1"/>
            </w14:solidFill>
          </w14:textFill>
        </w:rPr>
      </w:pPr>
    </w:p>
    <w:p w14:paraId="1C36252B">
      <w:pPr>
        <w:jc w:val="center"/>
        <w:rPr>
          <w:b/>
          <w:color w:val="000000" w:themeColor="text1"/>
          <w:sz w:val="44"/>
          <w:szCs w:val="44"/>
          <w14:textFill>
            <w14:solidFill>
              <w14:schemeClr w14:val="tx1"/>
            </w14:solidFill>
          </w14:textFill>
        </w:rPr>
      </w:pPr>
    </w:p>
    <w:p w14:paraId="09B37773">
      <w:pPr>
        <w:jc w:val="center"/>
        <w:rPr>
          <w:b/>
          <w:color w:val="000000" w:themeColor="text1"/>
          <w:sz w:val="44"/>
          <w:szCs w:val="44"/>
          <w14:textFill>
            <w14:solidFill>
              <w14:schemeClr w14:val="tx1"/>
            </w14:solidFill>
          </w14:textFill>
        </w:rPr>
      </w:pPr>
    </w:p>
    <w:p w14:paraId="3272FF94">
      <w:pPr>
        <w:jc w:val="center"/>
        <w:rPr>
          <w:rFonts w:eastAsia="宋体"/>
          <w:b/>
          <w:color w:val="000000" w:themeColor="text1"/>
          <w:sz w:val="44"/>
          <w:szCs w:val="44"/>
          <w14:textFill>
            <w14:solidFill>
              <w14:schemeClr w14:val="tx1"/>
            </w14:solidFill>
          </w14:textFill>
        </w:rPr>
      </w:pPr>
      <w:bookmarkStart w:id="0" w:name="_Hlk71465316"/>
      <w:r>
        <w:rPr>
          <w:rFonts w:hint="eastAsia" w:eastAsia="宋体"/>
          <w:b/>
          <w:color w:val="000000" w:themeColor="text1"/>
          <w:sz w:val="44"/>
          <w:szCs w:val="44"/>
          <w14:textFill>
            <w14:solidFill>
              <w14:schemeClr w14:val="tx1"/>
            </w14:solidFill>
          </w14:textFill>
        </w:rPr>
        <w:t>友和保险经纪有限公司</w:t>
      </w:r>
    </w:p>
    <w:bookmarkEnd w:id="0"/>
    <w:p w14:paraId="243E88B7">
      <w:pPr>
        <w:spacing w:line="360" w:lineRule="auto"/>
        <w:ind w:firstLine="3480" w:firstLineChars="1500"/>
        <w:outlineLvl w:val="1"/>
        <w:rPr>
          <w:rFonts w:ascii="宋体" w:hAnsi="宋体"/>
          <w:color w:val="FF0000"/>
          <w:sz w:val="30"/>
          <w:szCs w:val="30"/>
        </w:rPr>
      </w:pPr>
      <w:r>
        <w:rPr>
          <w:rFonts w:hint="eastAsia"/>
          <w:color w:val="000000" w:themeColor="text1"/>
          <w14:textFill>
            <w14:solidFill>
              <w14:schemeClr w14:val="tx1"/>
            </w14:solidFill>
          </w14:textFill>
        </w:rPr>
        <w:br w:type="page"/>
      </w:r>
      <w:r>
        <w:rPr>
          <w:rFonts w:hint="eastAsia" w:ascii="宋体" w:hAnsi="宋体" w:eastAsia="黑体"/>
          <w:b/>
          <w:bCs/>
          <w:color w:val="FF0000"/>
          <w:kern w:val="44"/>
          <w:sz w:val="30"/>
          <w:szCs w:val="30"/>
        </w:rPr>
        <w:t>警示条款</w:t>
      </w:r>
    </w:p>
    <w:p w14:paraId="333FB307">
      <w:pPr>
        <w:ind w:firstLine="464" w:firstLineChars="200"/>
        <w:rPr>
          <w:rFonts w:ascii="宋体" w:hAnsi="宋体"/>
          <w:color w:val="FF0000"/>
        </w:rPr>
      </w:pPr>
      <w:r>
        <w:rPr>
          <w:rFonts w:hint="eastAsia" w:ascii="宋体" w:hAnsi="宋体"/>
          <w:color w:val="FF0000"/>
        </w:rPr>
        <w:t>一、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871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0576D2F">
            <w:pPr>
              <w:widowControl w:val="0"/>
              <w:jc w:val="center"/>
              <w:rPr>
                <w:rFonts w:ascii="宋体" w:hAnsi="宋体"/>
                <w:color w:val="FF0000"/>
              </w:rPr>
            </w:pPr>
            <w:r>
              <w:rPr>
                <w:rFonts w:hint="eastAsia" w:ascii="宋体" w:hAnsi="宋体"/>
                <w:color w:val="FF0000"/>
              </w:rPr>
              <w:t>序号</w:t>
            </w:r>
          </w:p>
        </w:tc>
        <w:tc>
          <w:tcPr>
            <w:tcW w:w="7711" w:type="dxa"/>
            <w:vAlign w:val="center"/>
          </w:tcPr>
          <w:p w14:paraId="5793C2C2">
            <w:pPr>
              <w:widowControl w:val="0"/>
              <w:jc w:val="center"/>
              <w:rPr>
                <w:rFonts w:ascii="宋体" w:hAnsi="宋体"/>
                <w:color w:val="FF0000"/>
              </w:rPr>
            </w:pPr>
            <w:r>
              <w:rPr>
                <w:rFonts w:hint="eastAsia" w:ascii="宋体" w:hAnsi="宋体"/>
                <w:color w:val="FF0000"/>
              </w:rPr>
              <w:t>供应商参与投标禁止情形</w:t>
            </w:r>
          </w:p>
        </w:tc>
      </w:tr>
      <w:tr w14:paraId="5916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0B536FF">
            <w:pPr>
              <w:widowControl w:val="0"/>
              <w:jc w:val="center"/>
              <w:rPr>
                <w:rFonts w:ascii="宋体" w:hAnsi="宋体"/>
                <w:color w:val="FF0000"/>
              </w:rPr>
            </w:pPr>
            <w:r>
              <w:rPr>
                <w:rFonts w:hint="eastAsia" w:ascii="宋体" w:hAnsi="宋体"/>
                <w:color w:val="FF0000"/>
              </w:rPr>
              <w:t>1</w:t>
            </w:r>
          </w:p>
        </w:tc>
        <w:tc>
          <w:tcPr>
            <w:tcW w:w="7711" w:type="dxa"/>
            <w:vAlign w:val="center"/>
          </w:tcPr>
          <w:p w14:paraId="124DF49D">
            <w:pPr>
              <w:widowControl w:val="0"/>
              <w:jc w:val="both"/>
              <w:rPr>
                <w:rFonts w:ascii="宋体" w:hAnsi="宋体"/>
                <w:color w:val="FF0000"/>
              </w:rPr>
            </w:pPr>
            <w:r>
              <w:rPr>
                <w:rFonts w:hint="eastAsia" w:ascii="宋体" w:hAnsi="宋体"/>
                <w:color w:val="FF0000"/>
              </w:rPr>
              <w:t>与其他投标供应商的法定代表人、主要经营负责人、投标授权代表人、项目负责人、主要技术人员为</w:t>
            </w:r>
            <w:r>
              <w:rPr>
                <w:rFonts w:hint="eastAsia" w:ascii="宋体" w:hAnsi="宋体"/>
                <w:b/>
                <w:bCs/>
                <w:color w:val="FF0000"/>
              </w:rPr>
              <w:t>同一人、属同一单位或者在同一单位缴纳社会保险。</w:t>
            </w:r>
          </w:p>
        </w:tc>
      </w:tr>
      <w:tr w14:paraId="53FF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2BB6966">
            <w:pPr>
              <w:widowControl w:val="0"/>
              <w:jc w:val="center"/>
              <w:rPr>
                <w:rFonts w:ascii="宋体" w:hAnsi="宋体"/>
                <w:color w:val="FF0000"/>
              </w:rPr>
            </w:pPr>
            <w:r>
              <w:rPr>
                <w:rFonts w:hint="eastAsia" w:ascii="宋体" w:hAnsi="宋体"/>
                <w:color w:val="FF0000"/>
              </w:rPr>
              <w:t>2</w:t>
            </w:r>
          </w:p>
        </w:tc>
        <w:tc>
          <w:tcPr>
            <w:tcW w:w="7711" w:type="dxa"/>
            <w:vAlign w:val="center"/>
          </w:tcPr>
          <w:p w14:paraId="79936BA3">
            <w:pPr>
              <w:widowControl w:val="0"/>
              <w:jc w:val="both"/>
              <w:rPr>
                <w:rFonts w:ascii="宋体" w:hAnsi="宋体"/>
                <w:color w:val="FF0000"/>
              </w:rPr>
            </w:pPr>
            <w:r>
              <w:rPr>
                <w:rFonts w:hint="eastAsia" w:ascii="宋体" w:hAnsi="宋体"/>
                <w:color w:val="FF0000"/>
              </w:rPr>
              <w:t>参与本项目政府采购活动时，与其他投标供应商存在单位负责人为</w:t>
            </w:r>
            <w:r>
              <w:rPr>
                <w:rFonts w:hint="eastAsia" w:ascii="宋体" w:hAnsi="宋体"/>
                <w:b/>
                <w:bCs/>
                <w:color w:val="FF0000"/>
              </w:rPr>
              <w:t>同一人或直接控股、管理关系</w:t>
            </w:r>
            <w:r>
              <w:rPr>
                <w:rFonts w:hint="eastAsia" w:ascii="宋体" w:hAnsi="宋体"/>
                <w:color w:val="FF0000"/>
              </w:rPr>
              <w:t>。</w:t>
            </w:r>
          </w:p>
        </w:tc>
      </w:tr>
      <w:tr w14:paraId="7DCE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vAlign w:val="center"/>
          </w:tcPr>
          <w:p w14:paraId="018F5D06">
            <w:pPr>
              <w:widowControl w:val="0"/>
              <w:jc w:val="center"/>
              <w:rPr>
                <w:rFonts w:ascii="宋体" w:hAnsi="宋体"/>
                <w:color w:val="FF0000"/>
              </w:rPr>
            </w:pPr>
            <w:r>
              <w:rPr>
                <w:rFonts w:hint="eastAsia" w:ascii="宋体" w:hAnsi="宋体"/>
                <w:color w:val="FF0000"/>
              </w:rPr>
              <w:t>3</w:t>
            </w:r>
          </w:p>
        </w:tc>
        <w:tc>
          <w:tcPr>
            <w:tcW w:w="7711" w:type="dxa"/>
            <w:vAlign w:val="center"/>
          </w:tcPr>
          <w:p w14:paraId="6D93659C">
            <w:pPr>
              <w:widowControl w:val="0"/>
              <w:jc w:val="both"/>
              <w:rPr>
                <w:rFonts w:ascii="宋体" w:hAnsi="宋体"/>
                <w:color w:val="FF0000"/>
              </w:rPr>
            </w:pPr>
            <w:r>
              <w:rPr>
                <w:rFonts w:hint="eastAsia" w:ascii="宋体" w:hAnsi="宋体"/>
                <w:color w:val="FF0000"/>
              </w:rPr>
              <w:t>与其他投标供应商的投标文件或部分投标文件</w:t>
            </w:r>
            <w:r>
              <w:rPr>
                <w:rFonts w:hint="eastAsia" w:ascii="宋体" w:hAnsi="宋体"/>
                <w:b/>
                <w:bCs/>
                <w:color w:val="FF0000"/>
              </w:rPr>
              <w:t>相互混装或存在非正常一致</w:t>
            </w:r>
            <w:r>
              <w:rPr>
                <w:rFonts w:hint="eastAsia" w:ascii="宋体" w:hAnsi="宋体"/>
                <w:color w:val="FF0000"/>
              </w:rPr>
              <w:t>。</w:t>
            </w:r>
          </w:p>
        </w:tc>
      </w:tr>
      <w:tr w14:paraId="5285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F926371">
            <w:pPr>
              <w:widowControl w:val="0"/>
              <w:jc w:val="center"/>
              <w:rPr>
                <w:rFonts w:ascii="宋体" w:hAnsi="宋体"/>
                <w:color w:val="FF0000"/>
              </w:rPr>
            </w:pPr>
            <w:r>
              <w:rPr>
                <w:rFonts w:hint="eastAsia" w:ascii="宋体" w:hAnsi="宋体"/>
                <w:color w:val="FF0000"/>
              </w:rPr>
              <w:t>4</w:t>
            </w:r>
          </w:p>
        </w:tc>
        <w:tc>
          <w:tcPr>
            <w:tcW w:w="7711" w:type="dxa"/>
            <w:vAlign w:val="center"/>
          </w:tcPr>
          <w:p w14:paraId="055B0CFF">
            <w:pPr>
              <w:widowControl w:val="0"/>
              <w:jc w:val="both"/>
              <w:rPr>
                <w:rFonts w:ascii="宋体" w:hAnsi="宋体"/>
                <w:color w:val="FF0000"/>
              </w:rPr>
            </w:pPr>
            <w:r>
              <w:rPr>
                <w:rFonts w:hint="eastAsia" w:ascii="宋体" w:hAnsi="宋体"/>
                <w:color w:val="FF0000"/>
              </w:rPr>
              <w:t>与其他投标供应商的投标文件由</w:t>
            </w:r>
            <w:r>
              <w:rPr>
                <w:rFonts w:hint="eastAsia" w:ascii="宋体" w:hAnsi="宋体"/>
                <w:b/>
                <w:bCs/>
                <w:color w:val="FF0000"/>
              </w:rPr>
              <w:t>同一单位或者同一人编制</w:t>
            </w:r>
            <w:r>
              <w:rPr>
                <w:rFonts w:hint="eastAsia" w:ascii="宋体" w:hAnsi="宋体"/>
                <w:color w:val="FF0000"/>
              </w:rPr>
              <w:t>，或者使用</w:t>
            </w:r>
            <w:r>
              <w:rPr>
                <w:rFonts w:hint="eastAsia" w:ascii="宋体" w:hAnsi="宋体"/>
                <w:b/>
                <w:bCs/>
                <w:color w:val="FF0000"/>
              </w:rPr>
              <w:t>同一设备编制</w:t>
            </w:r>
            <w:r>
              <w:rPr>
                <w:rFonts w:hint="eastAsia" w:ascii="宋体" w:hAnsi="宋体"/>
                <w:color w:val="FF0000"/>
              </w:rPr>
              <w:t>（“文件制作机器码”“文件创建标识码”一致）。</w:t>
            </w:r>
          </w:p>
        </w:tc>
      </w:tr>
      <w:tr w14:paraId="3887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D103AC5">
            <w:pPr>
              <w:widowControl w:val="0"/>
              <w:jc w:val="center"/>
              <w:rPr>
                <w:rFonts w:ascii="宋体" w:hAnsi="宋体"/>
                <w:color w:val="FF0000"/>
              </w:rPr>
            </w:pPr>
            <w:r>
              <w:rPr>
                <w:rFonts w:hint="eastAsia" w:ascii="宋体" w:hAnsi="宋体"/>
                <w:color w:val="FF0000"/>
              </w:rPr>
              <w:t>5</w:t>
            </w:r>
          </w:p>
        </w:tc>
        <w:tc>
          <w:tcPr>
            <w:tcW w:w="7711" w:type="dxa"/>
            <w:vAlign w:val="center"/>
          </w:tcPr>
          <w:p w14:paraId="31E2B4A9">
            <w:pPr>
              <w:widowControl w:val="0"/>
              <w:jc w:val="both"/>
              <w:rPr>
                <w:rFonts w:ascii="宋体" w:hAnsi="宋体"/>
                <w:color w:val="FF0000"/>
              </w:rPr>
            </w:pPr>
            <w:r>
              <w:rPr>
                <w:rFonts w:hint="eastAsia" w:ascii="宋体" w:hAnsi="宋体"/>
                <w:color w:val="FF0000"/>
              </w:rPr>
              <w:t>提供</w:t>
            </w:r>
            <w:r>
              <w:rPr>
                <w:rFonts w:hint="eastAsia" w:ascii="宋体" w:hAnsi="宋体"/>
                <w:b/>
                <w:bCs/>
                <w:color w:val="FF0000"/>
              </w:rPr>
              <w:t>未经出具机构核实</w:t>
            </w:r>
            <w:r>
              <w:rPr>
                <w:rFonts w:hint="eastAsia" w:ascii="宋体" w:hAnsi="宋体"/>
                <w:color w:val="FF0000"/>
              </w:rPr>
              <w:t>的虚假的检验检测报告、业绩材料、社保缴纳证明、学历学位证书、职称认证证书等材料。</w:t>
            </w:r>
          </w:p>
        </w:tc>
      </w:tr>
      <w:tr w14:paraId="6380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F977B70">
            <w:pPr>
              <w:widowControl w:val="0"/>
              <w:jc w:val="center"/>
              <w:rPr>
                <w:rFonts w:ascii="宋体" w:hAnsi="宋体"/>
                <w:color w:val="FF0000"/>
              </w:rPr>
            </w:pPr>
            <w:r>
              <w:rPr>
                <w:rFonts w:hint="eastAsia" w:ascii="宋体" w:hAnsi="宋体"/>
                <w:color w:val="FF0000"/>
              </w:rPr>
              <w:t>6</w:t>
            </w:r>
          </w:p>
        </w:tc>
        <w:tc>
          <w:tcPr>
            <w:tcW w:w="7711" w:type="dxa"/>
            <w:vAlign w:val="center"/>
          </w:tcPr>
          <w:p w14:paraId="5FFCB82A">
            <w:pPr>
              <w:widowControl w:val="0"/>
              <w:jc w:val="both"/>
              <w:rPr>
                <w:rFonts w:ascii="宋体" w:hAnsi="宋体"/>
                <w:color w:val="FF0000"/>
              </w:rPr>
            </w:pPr>
            <w:r>
              <w:rPr>
                <w:rFonts w:hint="eastAsia" w:ascii="宋体" w:hAnsi="宋体"/>
                <w:color w:val="FF0000"/>
              </w:rPr>
              <w:t>擅自将投标密钥或电子营业执照出借他人使用或未妥善保管。</w:t>
            </w:r>
          </w:p>
        </w:tc>
      </w:tr>
    </w:tbl>
    <w:p w14:paraId="0F0CE048">
      <w:pPr>
        <w:ind w:firstLine="464" w:firstLineChars="200"/>
        <w:rPr>
          <w:rFonts w:ascii="宋体" w:hAnsi="宋体"/>
          <w:color w:val="FF0000"/>
        </w:rPr>
      </w:pPr>
      <w:r>
        <w:rPr>
          <w:rFonts w:hint="eastAsia" w:ascii="宋体" w:hAnsi="宋体" w:eastAsia="宋体"/>
          <w:color w:val="FF0000"/>
        </w:rPr>
        <w:t>二</w:t>
      </w:r>
      <w:r>
        <w:rPr>
          <w:rFonts w:hint="eastAsia" w:ascii="宋体" w:hAnsi="宋体"/>
          <w:color w:val="FF0000"/>
        </w:rPr>
        <w:t>、</w:t>
      </w:r>
      <w:r>
        <w:rPr>
          <w:rFonts w:hint="eastAsia" w:ascii="宋体" w:hAnsi="宋体"/>
          <w:b/>
          <w:bCs/>
          <w:color w:val="FF0000"/>
        </w:rPr>
        <w:t>《深圳经济特区政府采购条例》第五十七条</w:t>
      </w:r>
      <w:r>
        <w:rPr>
          <w:rFonts w:hint="eastAsia" w:ascii="宋体" w:hAnsi="宋体"/>
          <w:color w:val="FF000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8E5E69E">
      <w:pPr>
        <w:ind w:firstLine="464" w:firstLineChars="200"/>
        <w:rPr>
          <w:rFonts w:ascii="宋体" w:hAnsi="宋体"/>
          <w:color w:val="FF0000"/>
        </w:rPr>
      </w:pPr>
      <w:r>
        <w:rPr>
          <w:rFonts w:hint="eastAsia" w:ascii="宋体" w:hAnsi="宋体"/>
          <w:color w:val="FF0000"/>
        </w:rPr>
        <w:t>（一）在采购活动中应当回避而未回避的；</w:t>
      </w:r>
    </w:p>
    <w:p w14:paraId="37DFAE13">
      <w:pPr>
        <w:ind w:firstLine="464" w:firstLineChars="200"/>
        <w:rPr>
          <w:rFonts w:ascii="宋体" w:hAnsi="宋体"/>
          <w:color w:val="FF0000"/>
        </w:rPr>
      </w:pPr>
      <w:r>
        <w:rPr>
          <w:rFonts w:hint="eastAsia" w:ascii="宋体" w:hAnsi="宋体"/>
          <w:color w:val="FF0000"/>
        </w:rPr>
        <w:t>（二）未按本条例规定签订、履行采购合同，造成严重后果的；</w:t>
      </w:r>
    </w:p>
    <w:p w14:paraId="49C73040">
      <w:pPr>
        <w:ind w:firstLine="464" w:firstLineChars="200"/>
        <w:rPr>
          <w:rFonts w:ascii="宋体" w:hAnsi="宋体"/>
          <w:color w:val="FF0000"/>
        </w:rPr>
      </w:pPr>
      <w:r>
        <w:rPr>
          <w:rFonts w:hint="eastAsia" w:ascii="宋体" w:hAnsi="宋体"/>
          <w:color w:val="FF0000"/>
        </w:rPr>
        <w:t>（三）隐瞒真实情况，提供虚假资料的；</w:t>
      </w:r>
    </w:p>
    <w:p w14:paraId="6D1908AA">
      <w:pPr>
        <w:ind w:firstLine="464" w:firstLineChars="200"/>
        <w:rPr>
          <w:rFonts w:ascii="宋体" w:hAnsi="宋体"/>
          <w:color w:val="FF0000"/>
        </w:rPr>
      </w:pPr>
      <w:r>
        <w:rPr>
          <w:rFonts w:hint="eastAsia" w:ascii="宋体" w:hAnsi="宋体"/>
          <w:color w:val="FF0000"/>
        </w:rPr>
        <w:t>（四）以非法手段排斥其他供应商参与竞争的；</w:t>
      </w:r>
    </w:p>
    <w:p w14:paraId="6D496079">
      <w:pPr>
        <w:ind w:firstLine="464" w:firstLineChars="200"/>
        <w:rPr>
          <w:rFonts w:ascii="宋体" w:hAnsi="宋体"/>
          <w:color w:val="FF0000"/>
        </w:rPr>
      </w:pPr>
      <w:r>
        <w:rPr>
          <w:rFonts w:hint="eastAsia" w:ascii="宋体" w:hAnsi="宋体"/>
          <w:color w:val="FF0000"/>
        </w:rPr>
        <w:t>（五）与其他采购参加人串通投标的；</w:t>
      </w:r>
    </w:p>
    <w:p w14:paraId="05ED7D35">
      <w:pPr>
        <w:ind w:firstLine="464" w:firstLineChars="200"/>
        <w:rPr>
          <w:rFonts w:ascii="宋体" w:hAnsi="宋体"/>
          <w:color w:val="FF0000"/>
        </w:rPr>
      </w:pPr>
      <w:r>
        <w:rPr>
          <w:rFonts w:hint="eastAsia" w:ascii="宋体" w:hAnsi="宋体"/>
          <w:color w:val="FF0000"/>
        </w:rPr>
        <w:t>（六）恶意投诉的；</w:t>
      </w:r>
    </w:p>
    <w:p w14:paraId="0DAFED66">
      <w:pPr>
        <w:ind w:firstLine="464" w:firstLineChars="200"/>
        <w:rPr>
          <w:rFonts w:ascii="宋体" w:hAnsi="宋体"/>
          <w:color w:val="FF0000"/>
        </w:rPr>
      </w:pPr>
      <w:r>
        <w:rPr>
          <w:rFonts w:hint="eastAsia" w:ascii="宋体" w:hAnsi="宋体"/>
          <w:color w:val="FF0000"/>
        </w:rPr>
        <w:t>（七）向采购项目相关人行贿或者提供其他不当利益的；</w:t>
      </w:r>
    </w:p>
    <w:p w14:paraId="1F31C022">
      <w:pPr>
        <w:ind w:firstLine="464" w:firstLineChars="200"/>
        <w:rPr>
          <w:rFonts w:ascii="宋体" w:hAnsi="宋体"/>
          <w:color w:val="FF0000"/>
        </w:rPr>
      </w:pPr>
      <w:r>
        <w:rPr>
          <w:rFonts w:hint="eastAsia" w:ascii="宋体" w:hAnsi="宋体"/>
          <w:color w:val="FF0000"/>
        </w:rPr>
        <w:t>（八）阻碍、抗拒主管部门监督检查的；</w:t>
      </w:r>
    </w:p>
    <w:p w14:paraId="3833AB8A">
      <w:pPr>
        <w:ind w:firstLine="464" w:firstLineChars="200"/>
        <w:rPr>
          <w:rFonts w:ascii="宋体" w:hAnsi="宋体"/>
          <w:color w:val="FF0000"/>
        </w:rPr>
      </w:pPr>
      <w:r>
        <w:rPr>
          <w:rFonts w:hint="eastAsia" w:ascii="宋体" w:hAnsi="宋体"/>
          <w:color w:val="FF0000"/>
        </w:rPr>
        <w:t>（九）其他违反本条例规定的行为。</w:t>
      </w:r>
    </w:p>
    <w:p w14:paraId="76A0A6E4">
      <w:pPr>
        <w:ind w:firstLine="464" w:firstLineChars="200"/>
        <w:rPr>
          <w:rFonts w:ascii="宋体" w:hAnsi="宋体"/>
          <w:color w:val="FF0000"/>
        </w:rPr>
      </w:pPr>
      <w:r>
        <w:rPr>
          <w:rFonts w:hint="eastAsia" w:ascii="宋体" w:hAnsi="宋体" w:eastAsia="宋体"/>
          <w:b/>
          <w:bCs/>
          <w:color w:val="FF0000"/>
        </w:rPr>
        <w:t>三</w:t>
      </w:r>
      <w:r>
        <w:rPr>
          <w:rFonts w:hint="eastAsia" w:ascii="宋体" w:hAnsi="宋体"/>
          <w:b/>
          <w:bCs/>
          <w:color w:val="FF0000"/>
        </w:rPr>
        <w:t>、《深圳经济特区政府采购条例实施细则》第七十五条 </w:t>
      </w:r>
      <w:r>
        <w:rPr>
          <w:rFonts w:hint="eastAsia" w:ascii="宋体" w:hAnsi="宋体"/>
          <w:color w:val="FF000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F84A9A7">
      <w:pPr>
        <w:ind w:firstLine="464" w:firstLineChars="200"/>
        <w:rPr>
          <w:rFonts w:ascii="宋体" w:hAnsi="宋体"/>
          <w:color w:val="FF0000"/>
        </w:rPr>
      </w:pPr>
      <w:r>
        <w:rPr>
          <w:rFonts w:hint="eastAsia" w:ascii="宋体" w:hAnsi="宋体" w:eastAsia="宋体"/>
          <w:b/>
          <w:bCs/>
          <w:color w:val="FF0000"/>
        </w:rPr>
        <w:t>四</w:t>
      </w:r>
      <w:r>
        <w:rPr>
          <w:rFonts w:hint="eastAsia" w:ascii="宋体" w:hAnsi="宋体"/>
          <w:b/>
          <w:bCs/>
          <w:color w:val="FF0000"/>
        </w:rPr>
        <w:t>、《深圳经济特区政府采购条例实施细则》第七十七条 </w:t>
      </w:r>
      <w:r>
        <w:rPr>
          <w:rFonts w:hint="eastAsia" w:ascii="宋体" w:hAnsi="宋体"/>
          <w:color w:val="FF000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B4CABA4">
      <w:pPr>
        <w:ind w:firstLine="464" w:firstLineChars="200"/>
        <w:rPr>
          <w:rFonts w:ascii="宋体" w:hAnsi="宋体"/>
          <w:color w:val="FF0000"/>
        </w:rPr>
      </w:pPr>
      <w:r>
        <w:rPr>
          <w:rFonts w:hint="eastAsia" w:ascii="宋体" w:hAnsi="宋体"/>
          <w:color w:val="FF0000"/>
        </w:rPr>
        <w:t>投标供应商不能提供项目负责人或者主要技术人员的劳动合同、社会保险等劳动关系证明材料的，视为存在前款第（三）项规定的情形。</w:t>
      </w:r>
    </w:p>
    <w:p w14:paraId="7E88ED77">
      <w:pPr>
        <w:ind w:firstLine="464" w:firstLineChars="200"/>
        <w:rPr>
          <w:rFonts w:ascii="宋体" w:hAnsi="宋体" w:eastAsia="宋体"/>
          <w:b/>
          <w:bCs/>
          <w:color w:val="FF0000"/>
        </w:rPr>
      </w:pPr>
      <w:r>
        <w:rPr>
          <w:rFonts w:hint="eastAsia" w:ascii="宋体" w:hAnsi="宋体" w:eastAsia="宋体"/>
          <w:b/>
          <w:bCs/>
          <w:color w:val="FF0000"/>
        </w:rPr>
        <w:t>五、《中华人民共和国政府采购法实施条例》 第十八条单位负责人为同一人或者存在直接控股、管理关系的不同供应商，不得参加同一合同项下的政府采购活动。</w:t>
      </w:r>
    </w:p>
    <w:p w14:paraId="599DC689">
      <w:pPr>
        <w:ind w:firstLine="464" w:firstLineChars="200"/>
        <w:rPr>
          <w:rFonts w:ascii="宋体" w:hAnsi="宋体" w:eastAsia="宋体"/>
          <w:b/>
          <w:bCs/>
          <w:color w:val="FF0000"/>
        </w:rPr>
      </w:pPr>
      <w:r>
        <w:rPr>
          <w:rFonts w:hint="eastAsia" w:ascii="宋体" w:hAnsi="宋体" w:eastAsia="宋体"/>
          <w:b/>
          <w:bCs/>
          <w:color w:val="FF0000"/>
        </w:rPr>
        <w:t>除单一来源采购项目外，为采购项目提供整体设计、规范编制或者项目管理、监理、检测等服务的供应商，不得再参加该采购项目的其他采购活动。</w:t>
      </w:r>
    </w:p>
    <w:p w14:paraId="3C1EB6E1">
      <w:pPr>
        <w:ind w:firstLine="464" w:firstLineChars="200"/>
        <w:rPr>
          <w:rFonts w:hint="eastAsia" w:ascii="宋体" w:hAnsi="宋体" w:eastAsia="宋体"/>
          <w:b/>
          <w:bCs/>
          <w:color w:val="FF0000"/>
          <w:lang w:val="en-US" w:eastAsia="zh-CN"/>
        </w:rPr>
      </w:pPr>
      <w:r>
        <w:rPr>
          <w:rFonts w:hint="eastAsia" w:ascii="宋体" w:hAnsi="宋体" w:eastAsia="宋体"/>
          <w:b/>
          <w:bCs/>
          <w:color w:val="FF0000"/>
        </w:rPr>
        <w:t>本项目设计供应商：</w:t>
      </w:r>
      <w:r>
        <w:rPr>
          <w:rFonts w:hint="eastAsia" w:ascii="宋体" w:hAnsi="宋体" w:eastAsia="宋体"/>
          <w:b/>
          <w:bCs/>
          <w:color w:val="FF0000"/>
          <w:lang w:val="en-US" w:eastAsia="zh-CN"/>
        </w:rPr>
        <w:t>无</w:t>
      </w:r>
    </w:p>
    <w:p w14:paraId="277A0FCD">
      <w:pPr>
        <w:ind w:firstLine="464" w:firstLineChars="200"/>
        <w:rPr>
          <w:rFonts w:hint="eastAsia" w:ascii="宋体" w:hAnsi="宋体" w:eastAsia="宋体"/>
          <w:b/>
          <w:bCs/>
          <w:color w:val="FF0000"/>
          <w:lang w:val="en-US" w:eastAsia="zh-CN"/>
        </w:rPr>
      </w:pPr>
      <w:r>
        <w:rPr>
          <w:rFonts w:hint="eastAsia" w:ascii="宋体" w:hAnsi="宋体" w:eastAsia="宋体"/>
          <w:b/>
          <w:bCs/>
          <w:color w:val="FF0000"/>
        </w:rPr>
        <w:t>本项目造价咨询供应商：</w:t>
      </w:r>
      <w:r>
        <w:rPr>
          <w:rFonts w:hint="eastAsia" w:ascii="宋体" w:hAnsi="宋体" w:eastAsia="宋体"/>
          <w:b/>
          <w:bCs/>
          <w:color w:val="FF0000"/>
          <w:lang w:val="en-US" w:eastAsia="zh-CN"/>
        </w:rPr>
        <w:t>无</w:t>
      </w:r>
    </w:p>
    <w:p w14:paraId="0CF1BA43">
      <w:pPr>
        <w:ind w:firstLine="464" w:firstLineChars="200"/>
        <w:rPr>
          <w:rFonts w:hint="eastAsia" w:ascii="宋体" w:hAnsi="宋体" w:eastAsia="宋体"/>
          <w:b/>
          <w:bCs/>
          <w:color w:val="FF0000"/>
          <w:lang w:val="en-US" w:eastAsia="zh-CN"/>
        </w:rPr>
      </w:pPr>
      <w:r>
        <w:rPr>
          <w:rFonts w:hint="eastAsia" w:ascii="宋体" w:hAnsi="宋体" w:eastAsia="宋体"/>
          <w:b/>
          <w:bCs/>
          <w:color w:val="FF0000"/>
        </w:rPr>
        <w:t>本项目监理供应商：</w:t>
      </w:r>
      <w:r>
        <w:rPr>
          <w:rFonts w:hint="eastAsia" w:ascii="宋体" w:hAnsi="宋体" w:eastAsia="宋体"/>
          <w:b/>
          <w:bCs/>
          <w:color w:val="FF0000"/>
          <w:lang w:val="en-US" w:eastAsia="zh-CN"/>
        </w:rPr>
        <w:t>无</w:t>
      </w:r>
    </w:p>
    <w:p w14:paraId="75828EB2">
      <w:pPr>
        <w:ind w:firstLine="464" w:firstLineChars="200"/>
        <w:rPr>
          <w:rFonts w:ascii="宋体" w:hAnsi="宋体" w:eastAsia="宋体"/>
          <w:b/>
          <w:bCs/>
          <w:color w:val="FF0000"/>
        </w:rPr>
      </w:pPr>
      <w:r>
        <w:rPr>
          <w:rFonts w:hint="eastAsia" w:ascii="宋体" w:hAnsi="宋体" w:eastAsia="宋体"/>
          <w:b/>
          <w:bCs/>
          <w:color w:val="FF0000"/>
        </w:rPr>
        <w:t>本项目检测供应商：</w:t>
      </w:r>
      <w:r>
        <w:rPr>
          <w:rFonts w:hint="eastAsia" w:ascii="宋体" w:hAnsi="宋体" w:eastAsia="宋体"/>
          <w:b/>
          <w:bCs/>
          <w:color w:val="FF0000"/>
          <w:lang w:val="en-US" w:eastAsia="zh-CN"/>
        </w:rPr>
        <w:t>无</w:t>
      </w:r>
    </w:p>
    <w:p w14:paraId="58160ED1">
      <w:pPr>
        <w:ind w:firstLine="464" w:firstLineChars="200"/>
        <w:rPr>
          <w:rFonts w:ascii="宋体" w:hAnsi="宋体" w:eastAsia="宋体"/>
          <w:color w:val="FF0000"/>
        </w:rPr>
      </w:pPr>
      <w:r>
        <w:rPr>
          <w:rFonts w:hint="eastAsia" w:ascii="宋体" w:hAnsi="宋体" w:eastAsia="宋体"/>
          <w:color w:val="FF0000"/>
        </w:rPr>
        <w:t>六</w:t>
      </w:r>
      <w:r>
        <w:rPr>
          <w:rFonts w:hint="eastAsia" w:ascii="宋体" w:hAnsi="宋体"/>
          <w:color w:val="FF0000"/>
        </w:rPr>
        <w:t>、请投标供应商阅读《政府采购违法行为风险知悉确认书》（内容详见“投标文件附件（信息不公开部分）”中“投标人认为需要加以说明的其他内容（格式自定）”</w:t>
      </w:r>
      <w:r>
        <w:rPr>
          <w:rFonts w:hint="eastAsia" w:ascii="宋体" w:hAnsi="宋体" w:eastAsia="宋体"/>
          <w:color w:val="FF0000"/>
        </w:rPr>
        <w:t>）</w:t>
      </w:r>
      <w:r>
        <w:rPr>
          <w:rFonts w:hint="eastAsia" w:ascii="宋体" w:hAnsi="宋体"/>
          <w:color w:val="FF0000"/>
        </w:rPr>
        <w:t>，并经各投标供应商负责人或投标授权代表签字并加盖单位公章后，扫描上传至投标文件一并提交。</w:t>
      </w:r>
    </w:p>
    <w:p w14:paraId="22AD2361">
      <w:pPr>
        <w:ind w:firstLine="464" w:firstLineChars="200"/>
        <w:rPr>
          <w:rFonts w:ascii="宋体" w:hAnsi="宋体"/>
          <w:color w:val="FF0000"/>
        </w:rPr>
      </w:pPr>
      <w:r>
        <w:rPr>
          <w:rFonts w:hint="eastAsia" w:ascii="宋体" w:hAnsi="宋体"/>
          <w:color w:val="FF0000"/>
        </w:rPr>
        <w:t>注：该风险知悉确认书用于对供应商违法行为的警示，不作为供应商资格性审查及符合性审查条件。</w:t>
      </w:r>
    </w:p>
    <w:p w14:paraId="73C6EC3B">
      <w:pPr>
        <w:ind w:firstLine="464" w:firstLineChars="200"/>
        <w:rPr>
          <w:rFonts w:ascii="宋体" w:hAnsi="宋体"/>
          <w:color w:val="FF0000"/>
        </w:rPr>
      </w:pPr>
      <w:r>
        <w:rPr>
          <w:rFonts w:hint="eastAsia" w:ascii="宋体" w:hAnsi="宋体"/>
          <w:color w:val="FF0000"/>
        </w:rPr>
        <w:t>七、供应商在使用深圳政府采购智慧平台的投标文件制作工具创建投标文件时，该工具将自动在投标文件中记录文件创建标识码，同时提取投标文件制作电脑的网卡MAC地址、硬盘序列号、CPU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14:paraId="383F7E82">
      <w:pPr>
        <w:ind w:firstLine="464" w:firstLineChars="200"/>
        <w:rPr>
          <w:rFonts w:ascii="宋体" w:hAnsi="宋体"/>
          <w:color w:val="FF0000"/>
        </w:rPr>
      </w:pPr>
      <w:r>
        <w:rPr>
          <w:rFonts w:hint="eastAsia" w:ascii="宋体" w:hAnsi="宋体" w:eastAsia="宋体"/>
          <w:color w:val="FF0000"/>
        </w:rPr>
        <w:t>八</w:t>
      </w:r>
      <w:r>
        <w:rPr>
          <w:rFonts w:hint="eastAsia" w:ascii="宋体" w:hAnsi="宋体"/>
          <w:color w:val="FF0000"/>
        </w:rPr>
        <w:t>、为避免出现不同供应商投标文件的文件制作机器码、文件创建标识码、IP地址一致的异常情况，建议各供应商编制、上传投标文件时不要使用公共电脑设备或公共网络。</w:t>
      </w:r>
    </w:p>
    <w:p w14:paraId="2771F9C7">
      <w:pPr>
        <w:ind w:firstLine="464" w:firstLineChars="200"/>
        <w:rPr>
          <w:rFonts w:ascii="宋体" w:hAnsi="宋体"/>
          <w:color w:val="FF0000"/>
        </w:rPr>
      </w:pPr>
      <w:r>
        <w:rPr>
          <w:rFonts w:hint="eastAsia" w:ascii="宋体" w:hAnsi="宋体" w:eastAsia="宋体"/>
          <w:color w:val="FF0000"/>
        </w:rPr>
        <w:t>九</w:t>
      </w:r>
      <w:r>
        <w:rPr>
          <w:rFonts w:hint="eastAsia" w:ascii="宋体" w:hAnsi="宋体"/>
          <w:color w:val="FF000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4CBA653B">
      <w:pPr>
        <w:ind w:firstLine="464" w:firstLineChars="200"/>
        <w:rPr>
          <w:rFonts w:ascii="宋体" w:hAnsi="宋体"/>
          <w:color w:val="FF0000"/>
        </w:rPr>
      </w:pPr>
    </w:p>
    <w:p w14:paraId="22D47A6A">
      <w:pPr>
        <w:rPr>
          <w:color w:val="000000" w:themeColor="text1"/>
          <w14:textFill>
            <w14:solidFill>
              <w14:schemeClr w14:val="tx1"/>
            </w14:solidFill>
          </w14:textFill>
        </w:rPr>
      </w:pPr>
    </w:p>
    <w:p w14:paraId="41CC21CC">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目   录</w:t>
      </w:r>
    </w:p>
    <w:p w14:paraId="707293BC">
      <w:pPr>
        <w:spacing w:line="360" w:lineRule="auto"/>
        <w:outlineLvl w:val="1"/>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第一册  专用条款</w:t>
      </w:r>
    </w:p>
    <w:p w14:paraId="7FAB97BA">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第一章  招标公告</w:t>
      </w:r>
    </w:p>
    <w:p w14:paraId="441DF1C0">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第二章  </w:t>
      </w:r>
      <w:bookmarkStart w:id="1" w:name="_Hlk71994379"/>
      <w:r>
        <w:rPr>
          <w:rFonts w:hint="eastAsia" w:ascii="宋体" w:hAnsi="宋体" w:eastAsia="宋体"/>
          <w:color w:val="000000" w:themeColor="text1"/>
          <w:szCs w:val="21"/>
          <w14:textFill>
            <w14:solidFill>
              <w14:schemeClr w14:val="tx1"/>
            </w14:solidFill>
          </w14:textFill>
        </w:rPr>
        <w:t>对通用条款的补充内容及其他关键信息</w:t>
      </w:r>
      <w:bookmarkEnd w:id="1"/>
    </w:p>
    <w:p w14:paraId="30D8A8E9">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第三章  用户需求书</w:t>
      </w:r>
    </w:p>
    <w:p w14:paraId="3ED9C268">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第四章  投标文件组成要求及格式</w:t>
      </w:r>
    </w:p>
    <w:p w14:paraId="6BE0A460">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第五章  合同条款及格式</w:t>
      </w:r>
    </w:p>
    <w:p w14:paraId="4482CD1B">
      <w:pPr>
        <w:rPr>
          <w:rFonts w:eastAsia="宋体"/>
        </w:rPr>
      </w:pPr>
    </w:p>
    <w:p w14:paraId="6972356C">
      <w:pPr>
        <w:spacing w:line="360" w:lineRule="auto"/>
        <w:outlineLvl w:val="1"/>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第二册  通用条款</w:t>
      </w:r>
    </w:p>
    <w:p w14:paraId="6171F6C6">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第一章  总则</w:t>
      </w:r>
    </w:p>
    <w:p w14:paraId="5B271EC7">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第二章  招标文件</w:t>
      </w:r>
    </w:p>
    <w:p w14:paraId="3708AB37">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第三章  投标文件的编制</w:t>
      </w:r>
    </w:p>
    <w:p w14:paraId="33599E8C">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第四章  投标文件的递交</w:t>
      </w:r>
    </w:p>
    <w:p w14:paraId="10FC2EE8">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第五章  开标</w:t>
      </w:r>
    </w:p>
    <w:p w14:paraId="521F32EA">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第六章  评审要求</w:t>
      </w:r>
    </w:p>
    <w:p w14:paraId="5E1E71D2">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第七章  评审程序及评审方法</w:t>
      </w:r>
    </w:p>
    <w:p w14:paraId="251159F4">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第八章  定标及公示</w:t>
      </w:r>
    </w:p>
    <w:p w14:paraId="0CD1DD3D">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第九章  公开招标失败的后续处理</w:t>
      </w:r>
    </w:p>
    <w:p w14:paraId="0ED5C593">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第十章  合同的授予与备案</w:t>
      </w:r>
    </w:p>
    <w:p w14:paraId="28D3A766">
      <w:pPr>
        <w:spacing w:line="360" w:lineRule="auto"/>
        <w:ind w:left="696" w:leftChars="300" w:firstLine="455" w:firstLineChars="196"/>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第十一章  质疑处理</w:t>
      </w:r>
    </w:p>
    <w:p w14:paraId="31CAAB04">
      <w:pPr>
        <w:spacing w:line="360" w:lineRule="auto"/>
        <w:ind w:firstLine="464" w:firstLineChars="200"/>
        <w:rPr>
          <w:rFonts w:ascii="宋体" w:hAnsi="宋体" w:eastAsia="宋体"/>
          <w:color w:val="000000" w:themeColor="text1"/>
          <w:szCs w:val="21"/>
          <w14:textFill>
            <w14:solidFill>
              <w14:schemeClr w14:val="tx1"/>
            </w14:solidFill>
          </w14:textFill>
        </w:rPr>
      </w:pPr>
    </w:p>
    <w:p w14:paraId="790BCD6B">
      <w:pPr>
        <w:pStyle w:val="4"/>
        <w:rPr>
          <w:color w:val="000000" w:themeColor="text1"/>
          <w:sz w:val="24"/>
          <w14:textFill>
            <w14:solidFill>
              <w14:schemeClr w14:val="tx1"/>
            </w14:solidFill>
          </w14:textFill>
        </w:rPr>
      </w:pPr>
      <w:r>
        <w:rPr>
          <w:rFonts w:eastAsia="宋体"/>
          <w:color w:val="000000" w:themeColor="text1"/>
          <w14:textFill>
            <w14:solidFill>
              <w14:schemeClr w14:val="tx1"/>
            </w14:solidFill>
          </w14:textFill>
        </w:rPr>
        <w:br w:type="page"/>
      </w:r>
      <w:bookmarkStart w:id="2" w:name="bt合同格式"/>
      <w:bookmarkEnd w:id="2"/>
      <w:bookmarkStart w:id="3" w:name="bt合同条款"/>
      <w:bookmarkEnd w:id="3"/>
      <w:bookmarkStart w:id="4" w:name="bt投标函"/>
      <w:bookmarkEnd w:id="4"/>
      <w:bookmarkStart w:id="5" w:name="合同格式"/>
      <w:bookmarkEnd w:id="5"/>
      <w:bookmarkStart w:id="6" w:name="bt本工程承诺书"/>
      <w:bookmarkEnd w:id="6"/>
      <w:bookmarkStart w:id="7" w:name="bt合同条款及格式"/>
      <w:bookmarkEnd w:id="7"/>
      <w:bookmarkStart w:id="8" w:name="bt投标文件签署授权委托书"/>
      <w:bookmarkEnd w:id="8"/>
      <w:bookmarkStart w:id="9" w:name="bt技术标投标文件格式"/>
      <w:bookmarkEnd w:id="9"/>
      <w:bookmarkStart w:id="10" w:name="bt投标报价汇总表"/>
      <w:bookmarkEnd w:id="10"/>
      <w:bookmarkStart w:id="11" w:name="bt投标人情况介绍"/>
      <w:bookmarkEnd w:id="11"/>
      <w:bookmarkStart w:id="12" w:name="bt其他资料2"/>
      <w:bookmarkEnd w:id="12"/>
      <w:bookmarkStart w:id="13" w:name="bt商务标投标文件格式"/>
      <w:bookmarkEnd w:id="13"/>
      <w:bookmarkStart w:id="14" w:name="bt开标一览表"/>
      <w:bookmarkEnd w:id="14"/>
      <w:bookmarkStart w:id="15" w:name="bt项目管理班子配备情况"/>
      <w:bookmarkEnd w:id="15"/>
      <w:bookmarkStart w:id="16" w:name="bt其他资料由投标人自定"/>
      <w:bookmarkEnd w:id="16"/>
      <w:bookmarkStart w:id="17" w:name="bt说明"/>
      <w:bookmarkEnd w:id="17"/>
      <w:bookmarkStart w:id="18" w:name="bt投标人须知"/>
      <w:bookmarkEnd w:id="18"/>
      <w:r>
        <w:rPr>
          <w:rFonts w:hint="eastAsia"/>
          <w:color w:val="000000" w:themeColor="text1"/>
          <w14:textFill>
            <w14:solidFill>
              <w14:schemeClr w14:val="tx1"/>
            </w14:solidFill>
          </w14:textFill>
        </w:rPr>
        <w:t>第一册专用条款</w:t>
      </w:r>
    </w:p>
    <w:p w14:paraId="1D9721F4">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第一章  </w:t>
      </w:r>
      <w:r>
        <w:rPr>
          <w:rFonts w:hint="eastAsia" w:cs="宋体"/>
          <w:color w:val="000000" w:themeColor="text1"/>
          <w:szCs w:val="21"/>
          <w14:textFill>
            <w14:solidFill>
              <w14:schemeClr w14:val="tx1"/>
            </w14:solidFill>
          </w14:textFill>
        </w:rPr>
        <w:t>招标公告</w:t>
      </w:r>
      <w:r>
        <w:rPr>
          <w:rFonts w:hint="eastAsia"/>
          <w:color w:val="000000" w:themeColor="text1"/>
          <w14:textFill>
            <w14:solidFill>
              <w14:schemeClr w14:val="tx1"/>
            </w14:solidFill>
          </w14:textFill>
        </w:rPr>
        <w:t xml:space="preserve">  </w:t>
      </w:r>
    </w:p>
    <w:p w14:paraId="23DA8535">
      <w:pPr>
        <w:spacing w:line="400" w:lineRule="exact"/>
        <w:jc w:val="center"/>
        <w:rPr>
          <w:rFonts w:ascii="仿宋" w:hAnsi="仿宋" w:eastAsia="仿宋" w:cs="仿宋"/>
          <w:b/>
          <w:bCs/>
          <w:color w:val="FF0000"/>
          <w:sz w:val="28"/>
          <w:szCs w:val="28"/>
        </w:rPr>
      </w:pPr>
      <w:r>
        <w:rPr>
          <w:rFonts w:hint="eastAsia" w:ascii="仿宋" w:hAnsi="仿宋" w:eastAsia="仿宋" w:cs="仿宋"/>
          <w:b/>
          <w:bCs/>
          <w:color w:val="FF0000"/>
          <w:sz w:val="28"/>
          <w:szCs w:val="28"/>
        </w:rPr>
        <w:t>本公告内涉及时间的相关内容均已对外发布的招标公告内容为准</w:t>
      </w:r>
    </w:p>
    <w:p w14:paraId="06707BF9">
      <w:pPr>
        <w:spacing w:line="400" w:lineRule="exact"/>
        <w:ind w:firstLine="464" w:firstLineChars="200"/>
        <w:rPr>
          <w:rFonts w:ascii="宋体" w:hAnsi="宋体" w:eastAsia="宋体" w:cs="宋体"/>
        </w:rPr>
      </w:pPr>
    </w:p>
    <w:p w14:paraId="6A1F5F65">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一、项目概况：</w:t>
      </w:r>
    </w:p>
    <w:p w14:paraId="6CCB7CE5">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FF0000"/>
          <w:highlight w:val="yellow"/>
          <w:u w:val="single"/>
          <w:lang w:eastAsia="zh-CN"/>
        </w:rPr>
        <w:t>2026年深圳市公安局监所管理支队食材配送服务项目</w:t>
      </w:r>
      <w:r>
        <w:rPr>
          <w:rFonts w:hint="eastAsia" w:asciiTheme="majorEastAsia" w:hAnsiTheme="majorEastAsia" w:eastAsiaTheme="majorEastAsia" w:cstheme="majorEastAsia"/>
        </w:rPr>
        <w:t>的潜在投标人应在（本公告附件中）获取招标文件，于</w:t>
      </w:r>
      <w:r>
        <w:rPr>
          <w:rFonts w:hint="eastAsia" w:asciiTheme="majorEastAsia" w:hAnsiTheme="majorEastAsia" w:eastAsiaTheme="majorEastAsia" w:cstheme="majorEastAsia"/>
          <w:color w:val="FF0000"/>
          <w:highlight w:val="yellow"/>
        </w:rPr>
        <w:t>2025年X月X日XX时XX分XX秒</w:t>
      </w:r>
      <w:r>
        <w:rPr>
          <w:rFonts w:hint="eastAsia" w:asciiTheme="majorEastAsia" w:hAnsiTheme="majorEastAsia" w:eastAsiaTheme="majorEastAsia" w:cstheme="majorEastAsia"/>
        </w:rPr>
        <w:t>（北京时间）前递交投标文件。</w:t>
      </w:r>
    </w:p>
    <w:p w14:paraId="7981242F">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一、项目基本情况</w:t>
      </w:r>
    </w:p>
    <w:p w14:paraId="3E6CBFC6">
      <w:pPr>
        <w:spacing w:line="400" w:lineRule="exact"/>
        <w:ind w:firstLine="464" w:firstLineChars="2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1.项目编号：</w:t>
      </w:r>
      <w:r>
        <w:rPr>
          <w:rFonts w:hint="eastAsia" w:asciiTheme="majorEastAsia" w:hAnsiTheme="majorEastAsia" w:eastAsiaTheme="majorEastAsia" w:cstheme="majorEastAsia"/>
          <w:color w:val="FF0000"/>
          <w:highlight w:val="yellow"/>
          <w:u w:val="single"/>
          <w:lang w:eastAsia="zh-CN"/>
        </w:rPr>
        <w:t>SZDL2025001953</w:t>
      </w:r>
    </w:p>
    <w:p w14:paraId="402FE768">
      <w:pPr>
        <w:spacing w:line="400" w:lineRule="exact"/>
        <w:ind w:firstLine="464" w:firstLineChars="200"/>
        <w:rPr>
          <w:rFonts w:hint="eastAsia" w:asciiTheme="majorEastAsia" w:hAnsiTheme="majorEastAsia" w:eastAsiaTheme="majorEastAsia" w:cstheme="majorEastAsia"/>
          <w:color w:val="auto"/>
          <w:highlight w:val="none"/>
          <w:u w:val="single"/>
          <w:lang w:eastAsia="zh-CN"/>
        </w:rPr>
      </w:pPr>
      <w:r>
        <w:rPr>
          <w:rFonts w:hint="eastAsia" w:asciiTheme="majorEastAsia" w:hAnsiTheme="majorEastAsia" w:eastAsiaTheme="majorEastAsia" w:cstheme="majorEastAsia"/>
          <w:color w:val="auto"/>
          <w:highlight w:val="none"/>
        </w:rPr>
        <w:t>2.项目名称：</w:t>
      </w:r>
      <w:r>
        <w:rPr>
          <w:rFonts w:hint="eastAsia" w:asciiTheme="majorEastAsia" w:hAnsiTheme="majorEastAsia" w:eastAsiaTheme="majorEastAsia" w:cstheme="majorEastAsia"/>
          <w:color w:val="auto"/>
          <w:highlight w:val="none"/>
          <w:u w:val="single"/>
          <w:lang w:eastAsia="zh-CN"/>
        </w:rPr>
        <w:t>2026年深圳市公安局监所管理支队食材配送服务项目</w:t>
      </w:r>
    </w:p>
    <w:p w14:paraId="5E070207">
      <w:pPr>
        <w:spacing w:line="400" w:lineRule="exact"/>
        <w:ind w:firstLine="46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3.服务属性： B110501，食材配送服务</w:t>
      </w:r>
    </w:p>
    <w:p w14:paraId="2E59BAFA">
      <w:pPr>
        <w:spacing w:line="400" w:lineRule="exact"/>
        <w:ind w:firstLine="46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4</w:t>
      </w:r>
      <w:r>
        <w:rPr>
          <w:rFonts w:hint="eastAsia" w:asciiTheme="majorEastAsia" w:hAnsiTheme="majorEastAsia" w:eastAsiaTheme="majorEastAsia" w:cstheme="majorEastAsia"/>
          <w:color w:val="auto"/>
          <w:highlight w:val="none"/>
        </w:rPr>
        <w:t>.预算金额：12,984,240</w:t>
      </w:r>
      <w:r>
        <w:rPr>
          <w:rFonts w:hint="eastAsia" w:asciiTheme="majorEastAsia" w:hAnsiTheme="majorEastAsia" w:eastAsiaTheme="majorEastAsia" w:cstheme="majorEastAsia"/>
          <w:color w:val="auto"/>
          <w:highlight w:val="none"/>
          <w:lang w:val="en-US" w:eastAsia="zh-CN"/>
        </w:rPr>
        <w:t>.00</w:t>
      </w:r>
      <w:r>
        <w:rPr>
          <w:rFonts w:hint="eastAsia" w:asciiTheme="majorEastAsia" w:hAnsiTheme="majorEastAsia" w:eastAsiaTheme="majorEastAsia" w:cstheme="majorEastAsia"/>
          <w:color w:val="auto"/>
          <w:highlight w:val="none"/>
        </w:rPr>
        <w:t>元</w:t>
      </w:r>
    </w:p>
    <w:p w14:paraId="505BD8F2">
      <w:pPr>
        <w:spacing w:line="400" w:lineRule="exact"/>
        <w:ind w:firstLine="46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.最高限价：12,984,240</w:t>
      </w:r>
      <w:r>
        <w:rPr>
          <w:rFonts w:hint="eastAsia" w:asciiTheme="majorEastAsia" w:hAnsiTheme="majorEastAsia" w:eastAsiaTheme="majorEastAsia" w:cstheme="majorEastAsia"/>
          <w:color w:val="auto"/>
          <w:highlight w:val="none"/>
          <w:lang w:val="en-US" w:eastAsia="zh-CN"/>
        </w:rPr>
        <w:t>.00</w:t>
      </w:r>
      <w:r>
        <w:rPr>
          <w:rFonts w:hint="eastAsia" w:asciiTheme="majorEastAsia" w:hAnsiTheme="majorEastAsia" w:eastAsiaTheme="majorEastAsia" w:cstheme="majorEastAsia"/>
          <w:color w:val="auto"/>
          <w:highlight w:val="none"/>
        </w:rPr>
        <w:t>元</w:t>
      </w:r>
    </w:p>
    <w:p w14:paraId="2B1F10B3">
      <w:pPr>
        <w:spacing w:line="400" w:lineRule="exact"/>
        <w:ind w:firstLine="46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.采购需求：</w:t>
      </w:r>
    </w:p>
    <w:tbl>
      <w:tblPr>
        <w:tblStyle w:val="16"/>
        <w:tblW w:w="7941"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2228"/>
        <w:gridCol w:w="714"/>
        <w:gridCol w:w="714"/>
        <w:gridCol w:w="3571"/>
        <w:gridCol w:w="714"/>
      </w:tblGrid>
      <w:tr w14:paraId="62C23B8A">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228"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D214236">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标的名称</w:t>
            </w:r>
          </w:p>
        </w:tc>
        <w:tc>
          <w:tcPr>
            <w:tcW w:w="714"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1489AA21">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数量</w:t>
            </w:r>
          </w:p>
        </w:tc>
        <w:tc>
          <w:tcPr>
            <w:tcW w:w="714"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1E7C4E20">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单位</w:t>
            </w:r>
          </w:p>
        </w:tc>
        <w:tc>
          <w:tcPr>
            <w:tcW w:w="357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2E0E9AFB">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简要技术需求（服务需求）</w:t>
            </w:r>
          </w:p>
        </w:tc>
        <w:tc>
          <w:tcPr>
            <w:tcW w:w="714"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2FEF3C8">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14:paraId="52F73E21">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228" w:type="dxa"/>
            <w:tcBorders>
              <w:top w:val="outset" w:color="AAAAAA" w:sz="6" w:space="0"/>
              <w:left w:val="outset" w:color="AAAAAA" w:sz="6" w:space="0"/>
              <w:bottom w:val="outset" w:color="AAAAAA" w:sz="6" w:space="0"/>
              <w:right w:val="outset" w:color="AAAAAA" w:sz="6" w:space="0"/>
            </w:tcBorders>
            <w:vAlign w:val="center"/>
          </w:tcPr>
          <w:p w14:paraId="7572F5C8">
            <w:pPr>
              <w:spacing w:before="100" w:beforeAutospacing="1" w:after="100" w:afterAutospacing="1"/>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highlight w:val="none"/>
                <w:u w:val="single"/>
                <w:lang w:eastAsia="zh-CN"/>
              </w:rPr>
              <w:t>2026年深圳市公安局监所管理支队食材配送服务项目</w:t>
            </w:r>
          </w:p>
        </w:tc>
        <w:tc>
          <w:tcPr>
            <w:tcW w:w="714" w:type="dxa"/>
            <w:tcBorders>
              <w:top w:val="outset" w:color="AAAAAA" w:sz="6" w:space="0"/>
              <w:left w:val="outset" w:color="AAAAAA" w:sz="6" w:space="0"/>
              <w:bottom w:val="outset" w:color="AAAAAA" w:sz="6" w:space="0"/>
              <w:right w:val="outset" w:color="AAAAAA" w:sz="6" w:space="0"/>
            </w:tcBorders>
            <w:vAlign w:val="center"/>
          </w:tcPr>
          <w:p w14:paraId="6A9E5511">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w:t>
            </w:r>
          </w:p>
        </w:tc>
        <w:tc>
          <w:tcPr>
            <w:tcW w:w="714" w:type="dxa"/>
            <w:tcBorders>
              <w:top w:val="outset" w:color="AAAAAA" w:sz="6" w:space="0"/>
              <w:left w:val="outset" w:color="AAAAAA" w:sz="6" w:space="0"/>
              <w:bottom w:val="outset" w:color="AAAAAA" w:sz="6" w:space="0"/>
              <w:right w:val="outset" w:color="AAAAAA" w:sz="6" w:space="0"/>
            </w:tcBorders>
            <w:vAlign w:val="center"/>
          </w:tcPr>
          <w:p w14:paraId="5BE5EA77">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w:t>
            </w:r>
          </w:p>
        </w:tc>
        <w:tc>
          <w:tcPr>
            <w:tcW w:w="3571" w:type="dxa"/>
            <w:tcBorders>
              <w:top w:val="outset" w:color="AAAAAA" w:sz="6" w:space="0"/>
              <w:left w:val="outset" w:color="AAAAAA" w:sz="6" w:space="0"/>
              <w:bottom w:val="outset" w:color="AAAAAA" w:sz="6" w:space="0"/>
              <w:right w:val="outset" w:color="AAAAAA" w:sz="6" w:space="0"/>
            </w:tcBorders>
            <w:vAlign w:val="center"/>
          </w:tcPr>
          <w:p w14:paraId="3D431BE9">
            <w:pPr>
              <w:spacing w:before="100" w:beforeAutospacing="1" w:after="100" w:afterAutospacing="1"/>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详见采购文件</w:t>
            </w:r>
          </w:p>
        </w:tc>
        <w:tc>
          <w:tcPr>
            <w:tcW w:w="714" w:type="dxa"/>
            <w:tcBorders>
              <w:top w:val="outset" w:color="AAAAAA" w:sz="6" w:space="0"/>
              <w:left w:val="outset" w:color="AAAAAA" w:sz="6" w:space="0"/>
              <w:bottom w:val="outset" w:color="AAAAAA" w:sz="6" w:space="0"/>
              <w:right w:val="outset" w:color="AAAAAA" w:sz="6" w:space="0"/>
            </w:tcBorders>
            <w:vAlign w:val="center"/>
          </w:tcPr>
          <w:p w14:paraId="0288E8D2">
            <w:pPr>
              <w:jc w:val="center"/>
              <w:rPr>
                <w:rFonts w:hint="eastAsia" w:asciiTheme="majorEastAsia" w:hAnsiTheme="majorEastAsia" w:eastAsiaTheme="majorEastAsia" w:cstheme="majorEastAsia"/>
                <w:color w:val="auto"/>
                <w:szCs w:val="21"/>
                <w:highlight w:val="none"/>
              </w:rPr>
            </w:pPr>
          </w:p>
        </w:tc>
      </w:tr>
    </w:tbl>
    <w:p w14:paraId="3249EF0A">
      <w:pPr>
        <w:spacing w:line="400" w:lineRule="exact"/>
        <w:ind w:firstLine="46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7</w:t>
      </w:r>
      <w:r>
        <w:rPr>
          <w:rFonts w:hint="eastAsia" w:asciiTheme="majorEastAsia" w:hAnsiTheme="majorEastAsia" w:eastAsiaTheme="majorEastAsia" w:cstheme="majorEastAsia"/>
          <w:color w:val="auto"/>
          <w:highlight w:val="none"/>
        </w:rPr>
        <w:t>.合同履行期限：详见招标文件。</w:t>
      </w:r>
    </w:p>
    <w:p w14:paraId="1CFE9F93">
      <w:pPr>
        <w:spacing w:line="400" w:lineRule="exact"/>
        <w:ind w:firstLine="464"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8</w:t>
      </w:r>
      <w:r>
        <w:rPr>
          <w:rFonts w:hint="eastAsia" w:asciiTheme="majorEastAsia" w:hAnsiTheme="majorEastAsia" w:eastAsiaTheme="majorEastAsia" w:cstheme="majorEastAsia"/>
          <w:color w:val="auto"/>
          <w:highlight w:val="none"/>
        </w:rPr>
        <w:t>.本项目不接受联合体投标。</w:t>
      </w:r>
    </w:p>
    <w:p w14:paraId="3B0B8603">
      <w:pPr>
        <w:rPr>
          <w:rFonts w:hint="eastAsia" w:asciiTheme="majorEastAsia" w:hAnsiTheme="majorEastAsia" w:eastAsiaTheme="majorEastAsia" w:cstheme="majorEastAsia"/>
          <w:b/>
          <w:color w:val="000000" w:themeColor="text1"/>
          <w:szCs w:val="21"/>
          <w14:textFill>
            <w14:solidFill>
              <w14:schemeClr w14:val="tx1"/>
            </w14:solidFill>
          </w14:textFill>
        </w:rPr>
      </w:pPr>
    </w:p>
    <w:p w14:paraId="6CE09883">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二、投标人的资格要求：</w:t>
      </w:r>
    </w:p>
    <w:p w14:paraId="63DDEF5B">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1.具有独立法人资格或是具有独立承担民事责任能力的其它组织（提供营业执照或事业单位法人证书或其他证明材料扫描件，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75F9ED1C">
      <w:pPr>
        <w:ind w:firstLine="464" w:firstLineChars="20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2.投标人须具有食品药品监督管理部门（或市场监督管理部门）颁发的有效《食品经营许可证》或仅销售预包装食品单位备案证明（提供相关证明材料扫描件，原件备查）；</w:t>
      </w:r>
    </w:p>
    <w:p w14:paraId="061285EE">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.本项目不接受联合体投标，不接受进口产品参与投标（由供应商在《政府采购投标及履约承诺函》中作出声明）；</w:t>
      </w:r>
    </w:p>
    <w:p w14:paraId="1104F40E">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.参与本项目政府采购活动时不存在被有关部门禁止参与政府采购活动且在有效期内的情况（由供应商在《政府采购投标及履约承诺函》中作出声明）；</w:t>
      </w:r>
    </w:p>
    <w:p w14:paraId="137A137C">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.具备《中华人民共和国政府采购法》第二十二条第一款的条件（由供应商在《政府采购投标及履约承诺函》中作出声明）；</w:t>
      </w:r>
    </w:p>
    <w:p w14:paraId="3D76F4B5">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.未被列入失信被执行人、重大税收违法失信主体、政府采购严重违法失信行为记录名单（由供应商在《政府采购投标及履约承诺函》中作出声明）。</w:t>
      </w:r>
    </w:p>
    <w:p w14:paraId="0DF03831">
      <w:pPr>
        <w:ind w:firstLine="464" w:firstLineChars="200"/>
        <w:jc w:val="both"/>
        <w:rPr>
          <w:rFonts w:hint="eastAsia" w:asciiTheme="majorEastAsia" w:hAnsiTheme="majorEastAsia" w:eastAsiaTheme="majorEastAsia" w:cstheme="majorEastAsia"/>
          <w:color w:val="4F81BD" w:themeColor="accent1"/>
          <w14:textFill>
            <w14:solidFill>
              <w14:schemeClr w14:val="accent1"/>
            </w14:solidFill>
          </w14:textFill>
        </w:rPr>
      </w:pPr>
      <w:r>
        <w:rPr>
          <w:rFonts w:hint="eastAsia" w:asciiTheme="majorEastAsia" w:hAnsiTheme="majorEastAsia" w:eastAsiaTheme="majorEastAsia" w:cstheme="majorEastAsia"/>
          <w:color w:val="4F81BD" w:themeColor="accent1"/>
          <w:lang w:val="en-US" w:eastAsia="zh-CN"/>
          <w14:textFill>
            <w14:solidFill>
              <w14:schemeClr w14:val="accent1"/>
            </w14:solidFill>
          </w14:textFill>
        </w:rPr>
        <w:t>7</w:t>
      </w:r>
      <w:r>
        <w:rPr>
          <w:rFonts w:hint="eastAsia" w:asciiTheme="majorEastAsia" w:hAnsiTheme="majorEastAsia" w:eastAsiaTheme="majorEastAsia" w:cstheme="majorEastAsia"/>
          <w:color w:val="4F81BD" w:themeColor="accent1"/>
          <w14:textFill>
            <w14:solidFill>
              <w14:schemeClr w14:val="accent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34A067E6">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.不存在《深圳市财政局政府采购供应商信用信息管理办法》（深财规〔2023〕3 号）列明的严重违法失信行为（由供应商在《政府采购投标及履约承诺函》中作出声明）；</w:t>
      </w:r>
    </w:p>
    <w:p w14:paraId="0B082E4F">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9</w:t>
      </w:r>
      <w:r>
        <w:rPr>
          <w:rFonts w:hint="eastAsia" w:asciiTheme="majorEastAsia" w:hAnsiTheme="majorEastAsia" w:eastAsiaTheme="majorEastAsia" w:cstheme="majorEastAsia"/>
        </w:rPr>
        <w:t>.为本项目提供整体设计、规范编制或者项目管理、监理、检测等服务的供应商，不得参加本项目投标。（由供应商在《政府采购投标及履约承诺函》中作出声明）；</w:t>
      </w:r>
    </w:p>
    <w:p w14:paraId="7B5BADE2">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10</w:t>
      </w:r>
      <w:r>
        <w:rPr>
          <w:rFonts w:hint="eastAsia" w:asciiTheme="majorEastAsia" w:hAnsiTheme="majorEastAsia" w:eastAsiaTheme="majorEastAsia" w:cstheme="majorEastAsia"/>
        </w:rPr>
        <w:t>.本项目是否专门面向中小微企业采购：部分预留。允许供应商通过分包方式预留中小企业份额40%，其中预留小微企业份额100%（由供应商在《中小企业声明函（服务）》或《残疾人福利性单位声明函》或《监狱企业声明函》中作出声明）；</w:t>
      </w:r>
    </w:p>
    <w:p w14:paraId="7CB47F7C">
      <w:pPr>
        <w:ind w:firstLine="464" w:firstLineChars="20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本项目预留预算总额的40%专门面向小微企业采购，获得采购合同的供应商将采购项目中的40%分包给一家或者多家小微企业。</w:t>
      </w:r>
    </w:p>
    <w:p w14:paraId="1728B99B">
      <w:pPr>
        <w:ind w:firstLine="464" w:firstLineChars="20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若投标人不分包，须自身为小微企业，提供《中小企业声明函》；若投标人分包的，分包承担主体不多于3家，且分包承担主体不得再次分包，须提供《分包意向协议》（格式自拟，需加盖投标人与各分包承担主体的公章，并在协议中明确各方的合同金额比例，要求由中小微企业承担的合同金额比例符合预留份额的比例要求），且须提供《中小企业声明函》。</w:t>
      </w:r>
      <w:r>
        <w:rPr>
          <w:rFonts w:hint="eastAsia" w:asciiTheme="majorEastAsia" w:hAnsiTheme="majorEastAsia" w:eastAsiaTheme="majorEastAsia" w:cstheme="majorEastAsia"/>
          <w:b/>
          <w:bCs/>
          <w:color w:val="FF0000"/>
          <w:lang w:val="en-US" w:eastAsia="zh-CN"/>
        </w:rPr>
        <w:t>（接受分包合同的中小企业与分包企业之间不得存在直接控股、管理关系）</w:t>
      </w:r>
    </w:p>
    <w:p w14:paraId="34207E63">
      <w:pPr>
        <w:ind w:firstLine="464" w:firstLineChars="20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注：残疾人福利性单位或监狱企业视同小型、微型企业，提供《残疾人福利性单位声明函》或由省级以上监狱管理局、戒毒管理局(含新疆生产建设兵团)出具的监狱企业证明文件。</w:t>
      </w:r>
    </w:p>
    <w:p w14:paraId="71E1EAA9">
      <w:pPr>
        <w:pStyle w:val="8"/>
        <w:spacing w:line="240" w:lineRule="auto"/>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本项目所属行业类型为：</w:t>
      </w:r>
      <w:r>
        <w:rPr>
          <w:rFonts w:hint="eastAsia" w:asciiTheme="majorEastAsia" w:hAnsiTheme="majorEastAsia" w:eastAsiaTheme="majorEastAsia" w:cstheme="majorEastAsia"/>
          <w:u w:val="single"/>
        </w:rPr>
        <w:t xml:space="preserve">批发业  </w:t>
      </w:r>
      <w:r>
        <w:rPr>
          <w:rFonts w:hint="eastAsia" w:asciiTheme="majorEastAsia" w:hAnsiTheme="majorEastAsia" w:eastAsiaTheme="majorEastAsia" w:cstheme="majorEastAsia"/>
        </w:rPr>
        <w:t>。</w:t>
      </w:r>
    </w:p>
    <w:p w14:paraId="1339037F">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注：（1）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004CB0A6">
      <w:pPr>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color w:val="FF0000"/>
        </w:rPr>
        <w:t>采购代理机构将通过国家企业信用信息公示系统(https://www.gsxt.gov.cn/index.html）或机关赋码和事业单位登记管理网（http://gjsy.gov.cn/sydwfrxxcx/)或全国社会组织信用信息公示平台（https://xxgs.chinanpo.mca.gov.cn/gsxt/newList 等网站查询供应商信息，相关信息以截标当日的查询结果为准</w:t>
      </w:r>
      <w:r>
        <w:rPr>
          <w:rFonts w:hint="eastAsia" w:asciiTheme="majorEastAsia" w:hAnsiTheme="majorEastAsia" w:eastAsiaTheme="majorEastAsia" w:cstheme="majorEastAsia"/>
        </w:rPr>
        <w:t>；</w:t>
      </w:r>
    </w:p>
    <w:p w14:paraId="1F2593EA">
      <w:pPr>
        <w:ind w:firstLine="464" w:firstLineChars="200"/>
        <w:jc w:val="both"/>
        <w:rPr>
          <w:rFonts w:hint="eastAsia" w:asciiTheme="majorEastAsia" w:hAnsiTheme="majorEastAsia" w:eastAsiaTheme="majorEastAsia" w:cstheme="majorEastAsia"/>
          <w:color w:val="4F81BD" w:themeColor="accent1"/>
          <w14:textFill>
            <w14:solidFill>
              <w14:schemeClr w14:val="accent1"/>
            </w14:solidFill>
          </w14:textFill>
        </w:rPr>
      </w:pPr>
      <w:r>
        <w:rPr>
          <w:rFonts w:hint="eastAsia" w:asciiTheme="majorEastAsia" w:hAnsiTheme="majorEastAsia" w:eastAsiaTheme="majorEastAsia" w:cstheme="majorEastAsia"/>
          <w:color w:val="4F81BD" w:themeColor="accent1"/>
          <w14:textFill>
            <w14:solidFill>
              <w14:schemeClr w14:val="accent1"/>
            </w14:solidFill>
          </w14:textFill>
        </w:rPr>
        <w:t>（3）供应商投标（上传投标文件）请先行办理注册手续，具体请按照本公告“六、其他补充事宜”相关内容指引办理。</w:t>
      </w:r>
    </w:p>
    <w:p w14:paraId="02DB4BE9">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p>
    <w:p w14:paraId="717BDCF9">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三、获取招标文件</w:t>
      </w:r>
    </w:p>
    <w:p w14:paraId="1C1CC66A">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时间：发布招标公告当日至</w:t>
      </w:r>
      <w:r>
        <w:rPr>
          <w:rFonts w:hint="eastAsia" w:asciiTheme="majorEastAsia" w:hAnsiTheme="majorEastAsia" w:eastAsiaTheme="majorEastAsia" w:cstheme="majorEastAsia"/>
          <w:color w:val="FF0000"/>
          <w:highlight w:val="yellow"/>
        </w:rPr>
        <w:t>2025年X月X日XX时XX分XX秒</w:t>
      </w:r>
      <w:r>
        <w:rPr>
          <w:rFonts w:hint="eastAsia" w:asciiTheme="majorEastAsia" w:hAnsiTheme="majorEastAsia" w:eastAsiaTheme="majorEastAsia" w:cstheme="majorEastAsia"/>
        </w:rPr>
        <w:t xml:space="preserve">（北京时间） </w:t>
      </w:r>
    </w:p>
    <w:p w14:paraId="48FEBB52">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地点：登录深圳政府采购智慧平台（http://zfcg.szggzy.com:8081）下载本项目的招标文件。</w:t>
      </w:r>
    </w:p>
    <w:p w14:paraId="37A31CC5">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方式：在线下载。 </w:t>
      </w:r>
    </w:p>
    <w:p w14:paraId="6847914E">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售价：免费。</w:t>
      </w:r>
    </w:p>
    <w:p w14:paraId="5F71A82F">
      <w:pPr>
        <w:spacing w:line="400" w:lineRule="exact"/>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凡已注册的深圳市网上政府采购供应商，按照授予的操作权限，可于发布招标公告当日至</w:t>
      </w:r>
      <w:r>
        <w:rPr>
          <w:rFonts w:hint="eastAsia" w:asciiTheme="majorEastAsia" w:hAnsiTheme="majorEastAsia" w:eastAsiaTheme="majorEastAsia" w:cstheme="majorEastAsia"/>
          <w:color w:val="FF0000"/>
          <w:highlight w:val="yellow"/>
        </w:rPr>
        <w:t>2025年X月X日XX时XX分XX秒</w:t>
      </w:r>
      <w:r>
        <w:rPr>
          <w:rFonts w:hint="eastAsia" w:asciiTheme="majorEastAsia" w:hAnsiTheme="majorEastAsia" w:eastAsiaTheme="majorEastAsia" w:cstheme="majorEastAsia"/>
        </w:rPr>
        <w:t>（北京时间）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请点击），并前往深圳公共资源交易中心（深圳交易集团有限公司政府采购业务分公司）绑定深圳政府采购智慧平台用户（地址：深圳市南山区沙河西路3185号南山智谷A座（深圳交易集团总部大楼）3楼前台，咨询电话：0755-83948165、0755-83938966、4008301330），再进行投标报名。在网上报名后，点击“【我的项目】→【项目流程】→【采购文件下载】”进行招标文件的下载。</w:t>
      </w:r>
    </w:p>
    <w:p w14:paraId="646B553F">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p>
    <w:p w14:paraId="18D95947">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四、提交投标文件截止时间、开标时间和地点</w:t>
      </w:r>
    </w:p>
    <w:p w14:paraId="316D6A80">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1.投标截止时间：所有投标文件应于</w:t>
      </w:r>
      <w:r>
        <w:rPr>
          <w:rFonts w:hint="eastAsia" w:asciiTheme="majorEastAsia" w:hAnsiTheme="majorEastAsia" w:eastAsiaTheme="majorEastAsia" w:cstheme="majorEastAsia"/>
          <w:color w:val="FF0000"/>
          <w:highlight w:val="yellow"/>
        </w:rPr>
        <w:t>2025年X月X日XX时XX分XX秒（北京时间）</w:t>
      </w:r>
      <w:r>
        <w:rPr>
          <w:rFonts w:hint="eastAsia" w:asciiTheme="majorEastAsia" w:hAnsiTheme="majorEastAsia" w:eastAsiaTheme="majorEastAsia" w:cstheme="majorEastAsia"/>
        </w:rPr>
        <w:t>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    </w:t>
      </w:r>
    </w:p>
    <w:p w14:paraId="5607511D">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2.开标时间和地点：定于</w:t>
      </w:r>
      <w:r>
        <w:rPr>
          <w:rFonts w:hint="eastAsia" w:asciiTheme="majorEastAsia" w:hAnsiTheme="majorEastAsia" w:eastAsiaTheme="majorEastAsia" w:cstheme="majorEastAsia"/>
          <w:color w:val="FF0000"/>
          <w:highlight w:val="yellow"/>
        </w:rPr>
        <w:t>2025年X月X日XX时XX分XX秒（北京时间）</w:t>
      </w:r>
      <w:r>
        <w:rPr>
          <w:rFonts w:hint="eastAsia" w:asciiTheme="majorEastAsia" w:hAnsiTheme="majorEastAsia" w:eastAsiaTheme="majorEastAsia" w:cstheme="majorEastAsia"/>
        </w:rPr>
        <w:t>，在</w:t>
      </w:r>
      <w:r>
        <w:rPr>
          <w:rFonts w:hint="eastAsia" w:asciiTheme="majorEastAsia" w:hAnsiTheme="majorEastAsia" w:eastAsiaTheme="majorEastAsia" w:cstheme="majorEastAsia"/>
          <w:highlight w:val="yellow"/>
        </w:rPr>
        <w:t>友和保险经纪有限公司</w:t>
      </w:r>
      <w:r>
        <w:rPr>
          <w:rFonts w:hint="eastAsia" w:asciiTheme="majorEastAsia" w:hAnsiTheme="majorEastAsia" w:eastAsiaTheme="majorEastAsia" w:cstheme="majorEastAsia"/>
        </w:rPr>
        <w:t>公开开标。供应商可以登录“深圳政府采购智慧平台用户网上办事子系统（http://zfcg.szggzy.com:8081/TPBidder/memberLogin）”，在“【我的项目】→【项目流程】→【开标及解密】”进行在线解密、查询开标情况。</w:t>
      </w:r>
    </w:p>
    <w:p w14:paraId="6D20DA14">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3.在线解密：投标人须在</w:t>
      </w:r>
      <w:r>
        <w:rPr>
          <w:rFonts w:hint="eastAsia" w:asciiTheme="majorEastAsia" w:hAnsiTheme="majorEastAsia" w:eastAsiaTheme="majorEastAsia" w:cstheme="majorEastAsia"/>
          <w:color w:val="FF0000"/>
          <w:highlight w:val="yellow"/>
        </w:rPr>
        <w:t>开标当日XX:XX:XX-XX:XX:XX期间</w:t>
      </w:r>
      <w:r>
        <w:rPr>
          <w:rFonts w:hint="eastAsia" w:asciiTheme="majorEastAsia" w:hAnsiTheme="majorEastAsia" w:eastAsiaTheme="majorEastAsia" w:cstheme="majorEastAsia"/>
        </w:rPr>
        <w:t>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14:paraId="39D79FAE">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p>
    <w:p w14:paraId="1D21AAE8">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五、公告期限</w:t>
      </w:r>
    </w:p>
    <w:p w14:paraId="0BECD427">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自本公告发布之日起5个工作日。</w:t>
      </w:r>
    </w:p>
    <w:p w14:paraId="2E667F78">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p>
    <w:p w14:paraId="3B928E9F">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六、其他补充事宜</w:t>
      </w:r>
    </w:p>
    <w:p w14:paraId="050D7ECA">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1.本项目实行网上投标，采用电子投标文件。</w:t>
      </w:r>
    </w:p>
    <w:p w14:paraId="3ABB46A6">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2.报名操作：投标人如确定参加投标，首先要在深圳政府采购网上报名投标，方法为登录深圳公共资源交易中心（深圳交易集团有限公司政府采购业务分公司）网后点击“招标公告”选中要报名标段点击“我要报名”或“代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83938966；电子密钥咨询：83948165、4008301330 ），再进行投标报名。在网上报名后，点击“我的项目→项目流程”中进行招标文件的下载。</w:t>
      </w:r>
    </w:p>
    <w:p w14:paraId="2C2941FC">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3.开标操作：投标人可以登录“深圳公共资源交易中心（深圳交易集团有限公司政府采购业务分公司）网站”，在系统登录首页面即可查看开标情况。</w:t>
      </w:r>
    </w:p>
    <w:p w14:paraId="5F2D8A86">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14:paraId="02BA7929">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5.采购文件澄清/修改事项：</w:t>
      </w:r>
      <w:r>
        <w:rPr>
          <w:rFonts w:hint="eastAsia" w:asciiTheme="majorEastAsia" w:hAnsiTheme="majorEastAsia" w:eastAsiaTheme="majorEastAsia" w:cstheme="majorEastAsia"/>
          <w:color w:val="FF0000"/>
          <w:highlight w:val="yellow"/>
        </w:rPr>
        <w:t>2025年X月X日XX:XX:XX（北京时间）前</w:t>
      </w:r>
      <w:r>
        <w:rPr>
          <w:rFonts w:hint="eastAsia" w:asciiTheme="majorEastAsia" w:hAnsiTheme="majorEastAsia" w:eastAsiaTheme="majorEastAsia" w:cstheme="majorEastAsia"/>
        </w:rPr>
        <w:t>，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hint="eastAsia" w:asciiTheme="majorEastAsia" w:hAnsiTheme="majorEastAsia" w:eastAsiaTheme="majorEastAsia" w:cstheme="majorEastAsia"/>
          <w:color w:val="FF0000"/>
          <w:highlight w:val="yellow"/>
        </w:rPr>
        <w:t>2025年X月X日XX:XX:XX（北京时间）</w:t>
      </w:r>
      <w:r>
        <w:rPr>
          <w:rFonts w:hint="eastAsia" w:asciiTheme="majorEastAsia" w:hAnsiTheme="majorEastAsia" w:eastAsiaTheme="majorEastAsia" w:cstheme="majorEastAsia"/>
        </w:rPr>
        <w:t>前将采购文件澄清/修改情况在“【我的项目】→【项目流程】→【答疑澄清文件下载】”中公布，望投标人予以关注。</w:t>
      </w:r>
    </w:p>
    <w:p w14:paraId="1CD206A1">
      <w:pPr>
        <w:spacing w:line="400" w:lineRule="exact"/>
        <w:ind w:firstLine="464"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深圳市福田区福田体育公园西北角友和招标代理服务中心（靠近北门）。</w:t>
      </w:r>
      <w:r>
        <w:rPr>
          <w:rFonts w:hint="eastAsia" w:asciiTheme="majorEastAsia" w:hAnsiTheme="majorEastAsia" w:eastAsiaTheme="majorEastAsia" w:cstheme="majorEastAsia"/>
          <w:color w:val="FF0000"/>
          <w:highlight w:val="yellow"/>
        </w:rPr>
        <w:t>质疑咨询电话：0755-8388</w:t>
      </w:r>
      <w:r>
        <w:rPr>
          <w:rFonts w:hint="eastAsia" w:asciiTheme="majorEastAsia" w:hAnsiTheme="majorEastAsia" w:eastAsiaTheme="majorEastAsia" w:cstheme="majorEastAsia"/>
          <w:color w:val="FF0000"/>
          <w:highlight w:val="yellow"/>
          <w:lang w:val="en-US" w:eastAsia="zh-CN"/>
        </w:rPr>
        <w:t>1282</w:t>
      </w:r>
      <w:r>
        <w:rPr>
          <w:rFonts w:hint="eastAsia" w:asciiTheme="majorEastAsia" w:hAnsiTheme="majorEastAsia" w:eastAsiaTheme="majorEastAsia" w:cstheme="majorEastAsia"/>
        </w:rPr>
        <w:t xml:space="preserve">。根据《深圳经济特区政府采购条例》第四十二条“供应商投诉的事项应当是经过质疑的事项”的规定，未经正式质疑的，将影响供应商行使向财政部门提起投诉的权利。） </w:t>
      </w:r>
    </w:p>
    <w:p w14:paraId="2644C21E">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r>
        <w:rPr>
          <w:rFonts w:hint="eastAsia" w:asciiTheme="majorEastAsia" w:hAnsiTheme="majorEastAsia" w:eastAsiaTheme="majorEastAsia" w:cstheme="majorEastAsia"/>
          <w:highlight w:val="yellow"/>
        </w:rPr>
        <w:t>友和保险经纪有限公司</w:t>
      </w:r>
      <w:r>
        <w:rPr>
          <w:rFonts w:hint="eastAsia" w:asciiTheme="majorEastAsia" w:hAnsiTheme="majorEastAsia" w:eastAsiaTheme="majorEastAsia" w:cstheme="majorEastAsia"/>
        </w:rPr>
        <w:t xml:space="preserve">有权对投标人就本项目要求提供的相关证明资料（原件）进行审查。供应商提供虚假资料被查实的，则可能面临被取消本项目中标资格、列入不良行为记录名单和三年内禁止参与深圳市政府采购活动的风险。 </w:t>
      </w:r>
    </w:p>
    <w:p w14:paraId="6D5CCD92">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7.本招标公告及本项目招标文件所涉及的时间一律为北京时间。投标人有义务在招标活动期间浏览深圳公共资源交易中心（深圳交易集团有限公司政府采购业务分公司）网（http://zfcg.szggzy.com:8081），在深圳公共资源交易中心（深圳交易集团有限公司政府采购业务分公司）网上公布的与本次招标项目有关的信息视为已送达各投标人。</w:t>
      </w:r>
    </w:p>
    <w:p w14:paraId="5B1DD633">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8.本项目不需要投标保证金。</w:t>
      </w:r>
    </w:p>
    <w:p w14:paraId="34FE682B">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p>
    <w:p w14:paraId="3CF74633">
      <w:pPr>
        <w:ind w:firstLine="464" w:firstLineChars="200"/>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七、对本次采购提出询问，请按以下方式联系</w:t>
      </w:r>
    </w:p>
    <w:p w14:paraId="34AF090E">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1.采购人信息</w:t>
      </w:r>
    </w:p>
    <w:p w14:paraId="06A22532">
      <w:pPr>
        <w:spacing w:line="400" w:lineRule="exact"/>
        <w:ind w:firstLine="464" w:firstLineChars="2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名　称：</w:t>
      </w:r>
      <w:r>
        <w:rPr>
          <w:rFonts w:hint="eastAsia" w:asciiTheme="majorEastAsia" w:hAnsiTheme="majorEastAsia" w:eastAsiaTheme="majorEastAsia" w:cstheme="majorEastAsia"/>
          <w:lang w:eastAsia="zh-CN"/>
        </w:rPr>
        <w:t>深圳市公安局监所管理支队</w:t>
      </w:r>
    </w:p>
    <w:p w14:paraId="1BF3AEA8">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地　址：深圳市福田区梅林街道公安街6号    </w:t>
      </w:r>
    </w:p>
    <w:p w14:paraId="07358C17">
      <w:pPr>
        <w:spacing w:line="400" w:lineRule="exact"/>
        <w:ind w:firstLine="464" w:firstLineChars="20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rPr>
        <w:t>联系</w:t>
      </w:r>
      <w:r>
        <w:rPr>
          <w:rFonts w:hint="eastAsia" w:asciiTheme="majorEastAsia" w:hAnsiTheme="majorEastAsia" w:eastAsiaTheme="majorEastAsia" w:cstheme="majorEastAsia"/>
          <w:lang w:eastAsia="zh-CN"/>
        </w:rPr>
        <w:t>人</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张警官</w:t>
      </w:r>
      <w:r>
        <w:rPr>
          <w:rFonts w:hint="eastAsia" w:asciiTheme="majorEastAsia" w:hAnsiTheme="majorEastAsia" w:eastAsiaTheme="majorEastAsia" w:cstheme="majorEastAsia"/>
          <w:lang w:val="en-US" w:eastAsia="zh-CN"/>
        </w:rPr>
        <w:t xml:space="preserve"> 0755-84462441</w:t>
      </w:r>
    </w:p>
    <w:p w14:paraId="5EAE92FD">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2.招标机构</w:t>
      </w:r>
    </w:p>
    <w:p w14:paraId="1CCFA4D9">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名　称：友和保险经纪有限公司</w:t>
      </w:r>
    </w:p>
    <w:p w14:paraId="1151383A">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地　址：深圳市福田区福田体育公园西北角友和招标代理服务中心（靠近北门）</w:t>
      </w:r>
    </w:p>
    <w:p w14:paraId="24DD59A7">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监督举报：0755-83889803、83889016</w:t>
      </w:r>
    </w:p>
    <w:p w14:paraId="3D311032">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3.项目联系方式</w:t>
      </w:r>
    </w:p>
    <w:p w14:paraId="60AA54FC">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项目联系人：秦佳涛、周盼、黎秋君</w:t>
      </w:r>
    </w:p>
    <w:p w14:paraId="2A990B05">
      <w:pPr>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项目咨询：0755-83881282、0755-83889036</w:t>
      </w:r>
    </w:p>
    <w:p w14:paraId="3432D12E">
      <w:pPr>
        <w:adjustRightInd w:val="0"/>
        <w:snapToGrid w:val="0"/>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投标报名：0755-83881111（总机）</w:t>
      </w:r>
    </w:p>
    <w:p w14:paraId="74F67029">
      <w:pPr>
        <w:pStyle w:val="34"/>
        <w:widowControl w:val="0"/>
        <w:adjustRightInd w:val="0"/>
        <w:snapToGrid w:val="0"/>
        <w:spacing w:line="400" w:lineRule="exact"/>
        <w:ind w:left="464" w:leftChars="20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rPr>
        <w:t>4.相关项目信息查询网址</w:t>
      </w:r>
    </w:p>
    <w:p w14:paraId="758C31AF">
      <w:pPr>
        <w:widowControl w:val="0"/>
        <w:adjustRightInd w:val="0"/>
        <w:snapToGrid w:val="0"/>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深圳政府采购智慧平台 http://zfcg.szggzy.com:8081/</w:t>
      </w:r>
    </w:p>
    <w:p w14:paraId="4DDB2B95">
      <w:pPr>
        <w:widowControl w:val="0"/>
        <w:adjustRightInd w:val="0"/>
        <w:snapToGrid w:val="0"/>
        <w:spacing w:line="400" w:lineRule="exact"/>
        <w:ind w:firstLine="464"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友和招标代理服务网 http://yhzb.uho.cn/</w:t>
      </w:r>
    </w:p>
    <w:p w14:paraId="4A4F9CAC">
      <w:pPr>
        <w:spacing w:line="400" w:lineRule="exact"/>
        <w:ind w:firstLine="464" w:firstLineChars="200"/>
        <w:rPr>
          <w:rFonts w:eastAsia="宋体"/>
        </w:rPr>
      </w:pPr>
    </w:p>
    <w:p w14:paraId="4FCCAD2D">
      <w:pPr>
        <w:spacing w:line="400" w:lineRule="exact"/>
        <w:ind w:firstLine="464" w:firstLineChars="200"/>
        <w:rPr>
          <w:rFonts w:ascii="宋体" w:hAnsi="宋体" w:eastAsia="宋体" w:cs="宋体"/>
        </w:rPr>
      </w:pPr>
    </w:p>
    <w:p w14:paraId="0628B690">
      <w:pPr>
        <w:spacing w:line="400" w:lineRule="exact"/>
        <w:ind w:firstLine="464" w:firstLineChars="200"/>
        <w:jc w:val="right"/>
        <w:rPr>
          <w:rFonts w:ascii="宋体" w:hAnsi="宋体" w:eastAsia="宋体" w:cs="宋体"/>
          <w:highlight w:val="yellow"/>
        </w:rPr>
      </w:pPr>
      <w:r>
        <w:rPr>
          <w:rFonts w:hint="eastAsia" w:ascii="宋体" w:hAnsi="宋体" w:eastAsia="宋体" w:cs="宋体"/>
          <w:highlight w:val="yellow"/>
        </w:rPr>
        <w:t>友和保险经纪有限公司</w:t>
      </w:r>
    </w:p>
    <w:p w14:paraId="7B1FEDA1">
      <w:pPr>
        <w:spacing w:line="400" w:lineRule="exact"/>
        <w:ind w:firstLine="464" w:firstLineChars="200"/>
        <w:jc w:val="right"/>
        <w:rPr>
          <w:rFonts w:ascii="宋体" w:hAnsi="宋体" w:eastAsia="宋体" w:cs="宋体"/>
        </w:rPr>
      </w:pPr>
      <w:r>
        <w:rPr>
          <w:rFonts w:hint="eastAsia" w:ascii="宋体" w:hAnsi="宋体" w:eastAsia="宋体" w:cs="宋体"/>
        </w:rPr>
        <w:t>2025年X月X日</w:t>
      </w:r>
    </w:p>
    <w:p w14:paraId="7E85E00E">
      <w:pPr>
        <w:pStyle w:val="6"/>
        <w:ind w:firstLine="0"/>
        <w:rPr>
          <w:rFonts w:ascii="宋体" w:hAnsi="宋体" w:eastAsia="宋体"/>
          <w:b/>
          <w:sz w:val="28"/>
          <w:szCs w:val="28"/>
          <w:highlight w:val="yellow"/>
        </w:rPr>
      </w:pPr>
      <w:r>
        <w:rPr>
          <w:rFonts w:hint="eastAsia"/>
        </w:rPr>
        <w:t>完整公告内容详见：</w:t>
      </w:r>
      <w:r>
        <w:rPr>
          <w:rFonts w:hint="eastAsia"/>
          <w:highlight w:val="yellow"/>
        </w:rPr>
        <w:t>http://zfcg.szggzy.com:8081/</w:t>
      </w:r>
    </w:p>
    <w:p w14:paraId="69507581">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br w:type="page"/>
      </w:r>
    </w:p>
    <w:p w14:paraId="057D46FD">
      <w:pPr>
        <w:pStyle w:val="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第二章 对通用条款的补充内容及其他关键信息</w:t>
      </w:r>
    </w:p>
    <w:p w14:paraId="1BDB02AC">
      <w:pPr>
        <w:jc w:val="center"/>
        <w:outlineLvl w:val="2"/>
        <w:rPr>
          <w:b/>
          <w:bCs/>
          <w:sz w:val="28"/>
          <w:szCs w:val="28"/>
        </w:rPr>
      </w:pPr>
      <w:bookmarkStart w:id="19" w:name="_Toc60560625"/>
      <w:bookmarkStart w:id="20" w:name="_Toc73521635"/>
      <w:bookmarkStart w:id="21" w:name="_Toc101074876"/>
      <w:bookmarkStart w:id="22" w:name="_Toc73521547"/>
      <w:bookmarkStart w:id="23" w:name="_Toc73517639"/>
      <w:bookmarkStart w:id="24" w:name="_Toc73518117"/>
      <w:bookmarkStart w:id="25" w:name="_Toc60631620"/>
      <w:bookmarkStart w:id="26" w:name="_Toc100052364"/>
      <w:r>
        <w:rPr>
          <w:rFonts w:hint="eastAsia" w:ascii="宋体" w:hAnsi="宋体" w:eastAsia="宋体" w:cs="宋体"/>
          <w:b/>
          <w:bCs/>
          <w:sz w:val="28"/>
          <w:szCs w:val="28"/>
        </w:rPr>
        <w:t>一、对通用条款的补充内容</w:t>
      </w:r>
    </w:p>
    <w:bookmarkEnd w:id="19"/>
    <w:bookmarkEnd w:id="20"/>
    <w:bookmarkEnd w:id="21"/>
    <w:bookmarkEnd w:id="22"/>
    <w:bookmarkEnd w:id="23"/>
    <w:bookmarkEnd w:id="24"/>
    <w:bookmarkEnd w:id="25"/>
    <w:bookmarkEnd w:id="26"/>
    <w:tbl>
      <w:tblPr>
        <w:tblStyle w:val="16"/>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1888"/>
        <w:gridCol w:w="5501"/>
      </w:tblGrid>
      <w:tr w14:paraId="08C908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28A76180">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通用条款序号</w:t>
            </w:r>
          </w:p>
        </w:tc>
        <w:tc>
          <w:tcPr>
            <w:tcW w:w="1888" w:type="dxa"/>
            <w:vAlign w:val="center"/>
          </w:tcPr>
          <w:p w14:paraId="67471F11">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涉及事项</w:t>
            </w:r>
          </w:p>
        </w:tc>
        <w:tc>
          <w:tcPr>
            <w:tcW w:w="5501" w:type="dxa"/>
            <w:vAlign w:val="center"/>
          </w:tcPr>
          <w:p w14:paraId="22A43B01">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具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体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补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充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内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容</w:t>
            </w:r>
          </w:p>
        </w:tc>
      </w:tr>
      <w:tr w14:paraId="2C193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1D45348">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.1</w:t>
            </w:r>
          </w:p>
        </w:tc>
        <w:tc>
          <w:tcPr>
            <w:tcW w:w="1888" w:type="dxa"/>
            <w:vAlign w:val="center"/>
          </w:tcPr>
          <w:p w14:paraId="5F2A792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采购人</w:t>
            </w:r>
          </w:p>
        </w:tc>
        <w:tc>
          <w:tcPr>
            <w:tcW w:w="5501" w:type="dxa"/>
            <w:vAlign w:val="center"/>
          </w:tcPr>
          <w:p w14:paraId="09B1F938">
            <w:pPr>
              <w:jc w:val="center"/>
              <w:rPr>
                <w:rFonts w:hint="eastAsia" w:ascii="宋体" w:hAnsi="宋体" w:eastAsia="Times New Roman" w:cs="Times New Roman"/>
                <w:color w:val="000000" w:themeColor="text1"/>
                <w:lang w:eastAsia="zh-CN"/>
                <w14:textFill>
                  <w14:solidFill>
                    <w14:schemeClr w14:val="tx1"/>
                  </w14:solidFill>
                </w14:textFill>
              </w:rPr>
            </w:pPr>
            <w:r>
              <w:rPr>
                <w:rFonts w:hint="eastAsia" w:ascii="宋体" w:hAnsi="宋体" w:eastAsia="Times New Roman" w:cs="Times New Roman"/>
                <w:color w:val="000000" w:themeColor="text1"/>
                <w:lang w:eastAsia="zh-CN"/>
                <w14:textFill>
                  <w14:solidFill>
                    <w14:schemeClr w14:val="tx1"/>
                  </w14:solidFill>
                </w14:textFill>
              </w:rPr>
              <w:t>深圳市公安局监所管理支队</w:t>
            </w:r>
          </w:p>
        </w:tc>
      </w:tr>
      <w:tr w14:paraId="2DC75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338087">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.2</w:t>
            </w:r>
          </w:p>
        </w:tc>
        <w:tc>
          <w:tcPr>
            <w:tcW w:w="1888" w:type="dxa"/>
            <w:vAlign w:val="center"/>
          </w:tcPr>
          <w:p w14:paraId="2EAA82F3">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采购机构</w:t>
            </w:r>
          </w:p>
        </w:tc>
        <w:tc>
          <w:tcPr>
            <w:tcW w:w="5501" w:type="dxa"/>
            <w:vAlign w:val="center"/>
          </w:tcPr>
          <w:p w14:paraId="10483BC5">
            <w:pPr>
              <w:jc w:val="center"/>
              <w:rPr>
                <w:rFonts w:hint="eastAsia" w:ascii="宋体" w:hAnsi="宋体" w:eastAsia="Times New Roman" w:cs="Times New Roman"/>
                <w:color w:val="000000" w:themeColor="text1"/>
                <w14:textFill>
                  <w14:solidFill>
                    <w14:schemeClr w14:val="tx1"/>
                  </w14:solidFill>
                </w14:textFill>
              </w:rPr>
            </w:pPr>
            <w:r>
              <w:rPr>
                <w:rFonts w:hint="eastAsia" w:ascii="宋体" w:hAnsi="宋体" w:eastAsia="Times New Roman" w:cs="Times New Roman"/>
                <w:color w:val="000000" w:themeColor="text1"/>
                <w14:textFill>
                  <w14:solidFill>
                    <w14:schemeClr w14:val="tx1"/>
                  </w14:solidFill>
                </w14:textFill>
              </w:rPr>
              <w:t>友和保险经纪有限公司</w:t>
            </w:r>
          </w:p>
        </w:tc>
      </w:tr>
      <w:tr w14:paraId="0F9C2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3369120">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.3</w:t>
            </w:r>
          </w:p>
        </w:tc>
        <w:tc>
          <w:tcPr>
            <w:tcW w:w="1888" w:type="dxa"/>
            <w:vAlign w:val="center"/>
          </w:tcPr>
          <w:p w14:paraId="0763F7D8">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联合体投标</w:t>
            </w:r>
          </w:p>
        </w:tc>
        <w:tc>
          <w:tcPr>
            <w:tcW w:w="5501" w:type="dxa"/>
            <w:vAlign w:val="center"/>
          </w:tcPr>
          <w:p w14:paraId="38727C11">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不接受</w:t>
            </w:r>
          </w:p>
        </w:tc>
      </w:tr>
      <w:tr w14:paraId="2768A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1D7D89">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1888" w:type="dxa"/>
            <w:vAlign w:val="center"/>
          </w:tcPr>
          <w:p w14:paraId="3BAFCB85">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踏勘现场</w:t>
            </w:r>
          </w:p>
        </w:tc>
        <w:tc>
          <w:tcPr>
            <w:tcW w:w="5501" w:type="dxa"/>
            <w:vAlign w:val="center"/>
          </w:tcPr>
          <w:p w14:paraId="26AD83EA">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不组织</w:t>
            </w:r>
          </w:p>
        </w:tc>
      </w:tr>
      <w:tr w14:paraId="29D50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4B3A27">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w:t>
            </w:r>
          </w:p>
        </w:tc>
        <w:tc>
          <w:tcPr>
            <w:tcW w:w="1888" w:type="dxa"/>
            <w:vAlign w:val="center"/>
          </w:tcPr>
          <w:p w14:paraId="6F49F39B">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标前会议</w:t>
            </w:r>
          </w:p>
        </w:tc>
        <w:tc>
          <w:tcPr>
            <w:tcW w:w="5501" w:type="dxa"/>
            <w:vAlign w:val="center"/>
          </w:tcPr>
          <w:p w14:paraId="24DD69CF">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不组织</w:t>
            </w:r>
          </w:p>
        </w:tc>
      </w:tr>
      <w:tr w14:paraId="0D1A3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62E2FB">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3</w:t>
            </w:r>
          </w:p>
        </w:tc>
        <w:tc>
          <w:tcPr>
            <w:tcW w:w="1888" w:type="dxa"/>
            <w:vAlign w:val="center"/>
          </w:tcPr>
          <w:p w14:paraId="6091FDC7">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招标文件的澄清和修改</w:t>
            </w:r>
          </w:p>
        </w:tc>
        <w:tc>
          <w:tcPr>
            <w:tcW w:w="5501" w:type="dxa"/>
            <w:vAlign w:val="center"/>
          </w:tcPr>
          <w:p w14:paraId="058F492B">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不晚于投标截止日三日前（详见招标公告），投标人有义务在招标期间在</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网站浏览与本项目有关的澄清和修改信息</w:t>
            </w:r>
          </w:p>
        </w:tc>
      </w:tr>
      <w:tr w14:paraId="6D8DF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E9D0B95">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0</w:t>
            </w:r>
          </w:p>
        </w:tc>
        <w:tc>
          <w:tcPr>
            <w:tcW w:w="1888" w:type="dxa"/>
            <w:vAlign w:val="center"/>
          </w:tcPr>
          <w:p w14:paraId="04548E91">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w:t>
            </w:r>
          </w:p>
        </w:tc>
        <w:tc>
          <w:tcPr>
            <w:tcW w:w="5501" w:type="dxa"/>
            <w:vAlign w:val="center"/>
          </w:tcPr>
          <w:p w14:paraId="4661E4AB">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120个日历日</w:t>
            </w:r>
          </w:p>
        </w:tc>
      </w:tr>
      <w:tr w14:paraId="77718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9BC1ED">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2</w:t>
            </w:r>
          </w:p>
        </w:tc>
        <w:tc>
          <w:tcPr>
            <w:tcW w:w="1888" w:type="dxa"/>
            <w:vAlign w:val="center"/>
          </w:tcPr>
          <w:p w14:paraId="72AC2C27">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投标人的替代方案</w:t>
            </w:r>
          </w:p>
        </w:tc>
        <w:tc>
          <w:tcPr>
            <w:tcW w:w="5501" w:type="dxa"/>
            <w:vAlign w:val="center"/>
          </w:tcPr>
          <w:p w14:paraId="2805692D">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不接受</w:t>
            </w:r>
          </w:p>
        </w:tc>
      </w:tr>
      <w:tr w14:paraId="531E7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ADCC17">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5</w:t>
            </w:r>
          </w:p>
        </w:tc>
        <w:tc>
          <w:tcPr>
            <w:tcW w:w="1888" w:type="dxa"/>
            <w:vAlign w:val="center"/>
          </w:tcPr>
          <w:p w14:paraId="19845BE3">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投标文件的大小</w:t>
            </w:r>
          </w:p>
        </w:tc>
        <w:tc>
          <w:tcPr>
            <w:tcW w:w="5501" w:type="dxa"/>
            <w:vAlign w:val="center"/>
          </w:tcPr>
          <w:p w14:paraId="0B71A851">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投标文件大小不得超过</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00MB</w:t>
            </w:r>
          </w:p>
        </w:tc>
      </w:tr>
      <w:tr w14:paraId="7F3A1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024B97">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6</w:t>
            </w:r>
          </w:p>
        </w:tc>
        <w:tc>
          <w:tcPr>
            <w:tcW w:w="1888" w:type="dxa"/>
            <w:vAlign w:val="center"/>
          </w:tcPr>
          <w:p w14:paraId="3886979D">
            <w:pPr>
              <w:jc w:val="center"/>
              <w:rPr>
                <w:rFonts w:ascii="宋体" w:hAnsi="宋体"/>
                <w:color w:val="000000" w:themeColor="text1"/>
                <w14:textFill>
                  <w14:solidFill>
                    <w14:schemeClr w14:val="tx1"/>
                  </w14:solidFill>
                </w14:textFill>
              </w:rPr>
            </w:pPr>
            <w:bookmarkStart w:id="27" w:name="_Hlk71664860"/>
            <w:r>
              <w:rPr>
                <w:rFonts w:hint="eastAsia" w:ascii="宋体" w:hAnsi="宋体"/>
                <w:color w:val="000000" w:themeColor="text1"/>
                <w14:textFill>
                  <w14:solidFill>
                    <w14:schemeClr w14:val="tx1"/>
                  </w14:solidFill>
                </w14:textFill>
              </w:rPr>
              <w:t>样品、现场演示、方案讲解</w:t>
            </w:r>
            <w:bookmarkEnd w:id="27"/>
          </w:p>
        </w:tc>
        <w:tc>
          <w:tcPr>
            <w:tcW w:w="5501" w:type="dxa"/>
            <w:vAlign w:val="center"/>
          </w:tcPr>
          <w:p w14:paraId="29F249A8">
            <w:pPr>
              <w:jc w:val="center"/>
              <w:rPr>
                <w:rFonts w:ascii="宋体" w:hAnsi="宋体"/>
                <w:color w:val="000000" w:themeColor="text1"/>
                <w14:textFill>
                  <w14:solidFill>
                    <w14:schemeClr w14:val="tx1"/>
                  </w14:solidFill>
                </w14:textFill>
              </w:rPr>
            </w:pPr>
            <w:r>
              <w:rPr>
                <w:rFonts w:ascii="Wingdings 2" w:hAnsi="Wingdings 2"/>
                <w:b/>
                <w:color w:val="000000" w:themeColor="text1"/>
                <w14:textFill>
                  <w14:solidFill>
                    <w14:schemeClr w14:val="tx1"/>
                  </w14:solidFill>
                </w14:textFill>
              </w:rPr>
              <w:sym w:font="Wingdings 2" w:char="F052"/>
            </w:r>
            <w:r>
              <w:rPr>
                <w:rFonts w:hint="eastAsia" w:ascii="宋体" w:hAnsi="宋体"/>
                <w:color w:val="000000" w:themeColor="text1"/>
                <w14:textFill>
                  <w14:solidFill>
                    <w14:schemeClr w14:val="tx1"/>
                  </w14:solidFill>
                </w14:textFill>
              </w:rPr>
              <w:t xml:space="preserve"> 无</w:t>
            </w:r>
          </w:p>
        </w:tc>
      </w:tr>
      <w:tr w14:paraId="4F875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948033C">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7</w:t>
            </w:r>
          </w:p>
        </w:tc>
        <w:tc>
          <w:tcPr>
            <w:tcW w:w="1888" w:type="dxa"/>
            <w:vAlign w:val="center"/>
          </w:tcPr>
          <w:p w14:paraId="78F60B16">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评审方法</w:t>
            </w:r>
          </w:p>
        </w:tc>
        <w:tc>
          <w:tcPr>
            <w:tcW w:w="5501" w:type="dxa"/>
            <w:vAlign w:val="center"/>
          </w:tcPr>
          <w:p w14:paraId="23C9395D">
            <w:pPr>
              <w:jc w:val="center"/>
              <w:rPr>
                <w:rFonts w:ascii="宋体" w:hAnsi="宋体"/>
                <w:color w:val="000000" w:themeColor="text1"/>
                <w14:textFill>
                  <w14:solidFill>
                    <w14:schemeClr w14:val="tx1"/>
                  </w14:solidFill>
                </w14:textFill>
              </w:rPr>
            </w:pPr>
            <w:r>
              <w:rPr>
                <w:rFonts w:ascii="Wingdings 2" w:hAnsi="Wingdings 2"/>
                <w:b/>
                <w:color w:val="000000" w:themeColor="text1"/>
                <w14:textFill>
                  <w14:solidFill>
                    <w14:schemeClr w14:val="tx1"/>
                  </w14:solidFill>
                </w14:textFill>
              </w:rPr>
              <w:sym w:font="Wingdings 2" w:char="F052"/>
            </w: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综合评分法</w:t>
            </w:r>
          </w:p>
        </w:tc>
      </w:tr>
      <w:tr w14:paraId="0F08A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D2A1914">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8</w:t>
            </w:r>
          </w:p>
        </w:tc>
        <w:tc>
          <w:tcPr>
            <w:tcW w:w="1888" w:type="dxa"/>
            <w:vAlign w:val="center"/>
          </w:tcPr>
          <w:p w14:paraId="12EA9881">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定标方法</w:t>
            </w:r>
          </w:p>
        </w:tc>
        <w:tc>
          <w:tcPr>
            <w:tcW w:w="5501" w:type="dxa"/>
            <w:vAlign w:val="center"/>
          </w:tcPr>
          <w:p w14:paraId="4D8059A3">
            <w:pPr>
              <w:jc w:val="center"/>
              <w:rPr>
                <w:rFonts w:ascii="宋体" w:hAnsi="宋体" w:eastAsia="宋体"/>
                <w:color w:val="000000" w:themeColor="text1"/>
                <w14:textFill>
                  <w14:solidFill>
                    <w14:schemeClr w14:val="tx1"/>
                  </w14:solidFill>
                </w14:textFill>
              </w:rPr>
            </w:pPr>
            <w:r>
              <w:rPr>
                <w:rFonts w:ascii="Wingdings 2" w:hAnsi="Wingdings 2" w:eastAsia="宋体"/>
                <w:b/>
                <w:color w:val="000000" w:themeColor="text1"/>
                <w14:textFill>
                  <w14:solidFill>
                    <w14:schemeClr w14:val="tx1"/>
                  </w14:solidFill>
                </w14:textFill>
              </w:rPr>
              <w:t>无</w:t>
            </w:r>
          </w:p>
        </w:tc>
      </w:tr>
      <w:tr w14:paraId="5EF39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831A3C4">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6</w:t>
            </w:r>
          </w:p>
        </w:tc>
        <w:tc>
          <w:tcPr>
            <w:tcW w:w="1888" w:type="dxa"/>
            <w:vAlign w:val="center"/>
          </w:tcPr>
          <w:p w14:paraId="32747F4D">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履约担保</w:t>
            </w:r>
          </w:p>
        </w:tc>
        <w:tc>
          <w:tcPr>
            <w:tcW w:w="5501" w:type="dxa"/>
            <w:vAlign w:val="center"/>
          </w:tcPr>
          <w:p w14:paraId="5FC60438">
            <w:pPr>
              <w:pStyle w:val="7"/>
              <w:jc w:val="center"/>
              <w:rPr>
                <w:rFonts w:ascii="宋体" w:hAnsi="宋体" w:cs="宋体" w:eastAsiaTheme="minorEastAsia"/>
                <w:szCs w:val="21"/>
              </w:rPr>
            </w:pPr>
            <w:r>
              <w:rPr>
                <w:rFonts w:hint="eastAsia" w:ascii="宋体" w:hAnsi="宋体" w:cs="宋体" w:eastAsiaTheme="minorEastAsia"/>
                <w:szCs w:val="21"/>
              </w:rPr>
              <w:t>无</w:t>
            </w:r>
          </w:p>
        </w:tc>
      </w:tr>
    </w:tbl>
    <w:p w14:paraId="4C9574CA">
      <w:pPr>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备注：本表是通用条款相关条款的补充和明确，如与通用条款内容相冲突的，以本表为准。</w:t>
      </w:r>
      <w:r>
        <w:rPr>
          <w:rFonts w:hint="eastAsia"/>
          <w:b/>
          <w:bCs/>
          <w:color w:val="FF0000"/>
          <w:szCs w:val="21"/>
        </w:rPr>
        <w:t>本项目使用深圳政府采购智慧平台进行操作，通用条款中如有与深圳政府采购智慧平台操作流程不一致的内容，请以深圳政府采购智慧平台</w:t>
      </w:r>
      <w:r>
        <w:rPr>
          <w:b/>
          <w:bCs/>
          <w:color w:val="FF0000"/>
          <w:szCs w:val="21"/>
        </w:rPr>
        <w:t>zfcg.szggzy.com:8081</w:t>
      </w:r>
      <w:r>
        <w:rPr>
          <w:rFonts w:hint="eastAsia"/>
          <w:b/>
          <w:bCs/>
          <w:color w:val="FF0000"/>
          <w:szCs w:val="21"/>
        </w:rPr>
        <w:t>公布的操作手册内容为准。</w:t>
      </w:r>
    </w:p>
    <w:p w14:paraId="080835F9">
      <w:pPr>
        <w:rPr>
          <w:b/>
          <w:color w:val="000000" w:themeColor="text1"/>
          <w14:textFill>
            <w14:solidFill>
              <w14:schemeClr w14:val="tx1"/>
            </w14:solidFill>
          </w14:textFill>
        </w:rPr>
      </w:pPr>
    </w:p>
    <w:p w14:paraId="2D5F7AD1">
      <w:pPr>
        <w:jc w:val="center"/>
        <w:outlineLvl w:val="2"/>
        <w:rPr>
          <w:rFonts w:ascii="宋体" w:hAnsi="宋体" w:eastAsia="宋体" w:cs="宋体"/>
          <w:b/>
          <w:bCs/>
          <w:sz w:val="28"/>
          <w:szCs w:val="28"/>
        </w:rPr>
      </w:pPr>
      <w:r>
        <w:rPr>
          <w:rFonts w:hint="eastAsia" w:ascii="宋体" w:hAnsi="宋体" w:eastAsia="宋体" w:cs="宋体"/>
          <w:b/>
          <w:bCs/>
          <w:sz w:val="28"/>
          <w:szCs w:val="28"/>
        </w:rPr>
        <w:t>二、其他关键信息</w:t>
      </w:r>
    </w:p>
    <w:p w14:paraId="6037B206">
      <w:pPr>
        <w:ind w:firstLine="464" w:firstLineChars="200"/>
        <w:rPr>
          <w:rFonts w:ascii="仿宋" w:hAnsi="仿宋" w:eastAsia="仿宋" w:cs="仿宋"/>
          <w:b/>
          <w:color w:val="auto"/>
        </w:rPr>
      </w:pPr>
      <w:r>
        <w:rPr>
          <w:rFonts w:hint="eastAsia"/>
          <w:b/>
          <w:bCs/>
        </w:rPr>
        <w:t>（</w:t>
      </w:r>
      <w:r>
        <w:rPr>
          <w:rFonts w:hint="eastAsia"/>
          <w:b/>
          <w:bCs/>
          <w:color w:val="auto"/>
        </w:rPr>
        <w:t>一）评标定标信息</w:t>
      </w:r>
    </w:p>
    <w:p w14:paraId="5D0FB8A9">
      <w:pPr>
        <w:ind w:firstLine="464" w:firstLineChars="200"/>
        <w:rPr>
          <w:rFonts w:ascii="仿宋" w:hAnsi="仿宋" w:eastAsia="仿宋" w:cs="仿宋"/>
          <w:b/>
          <w:color w:val="auto"/>
        </w:rPr>
      </w:pPr>
      <w:r>
        <w:rPr>
          <w:rFonts w:hint="eastAsia" w:ascii="仿宋" w:hAnsi="仿宋" w:eastAsia="仿宋" w:cs="仿宋"/>
          <w:b/>
          <w:color w:val="auto"/>
        </w:rPr>
        <w:t>适用于非评定分离项目</w:t>
      </w:r>
    </w:p>
    <w:p w14:paraId="33E3C5DE">
      <w:pPr>
        <w:ind w:firstLine="464" w:firstLineChars="200"/>
        <w:rPr>
          <w:rFonts w:ascii="仿宋" w:hAnsi="仿宋" w:eastAsia="仿宋" w:cs="仿宋"/>
          <w:color w:val="auto"/>
        </w:rPr>
      </w:pPr>
      <w:r>
        <w:rPr>
          <w:rFonts w:hint="eastAsia" w:ascii="仿宋" w:hAnsi="仿宋" w:eastAsia="仿宋" w:cs="仿宋"/>
          <w:color w:val="auto"/>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7"/>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0711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3F07B2C7">
            <w:pPr>
              <w:widowControl w:val="0"/>
              <w:jc w:val="center"/>
              <w:rPr>
                <w:color w:val="auto"/>
              </w:rPr>
            </w:pPr>
            <w:bookmarkStart w:id="28" w:name="_Hlk74239733"/>
            <w:r>
              <w:rPr>
                <w:rFonts w:hint="eastAsia"/>
                <w:color w:val="auto"/>
              </w:rPr>
              <w:t>评标方法</w:t>
            </w:r>
          </w:p>
        </w:tc>
        <w:tc>
          <w:tcPr>
            <w:tcW w:w="4065" w:type="dxa"/>
          </w:tcPr>
          <w:p w14:paraId="65B4DBDD">
            <w:pPr>
              <w:widowControl w:val="0"/>
              <w:jc w:val="center"/>
              <w:rPr>
                <w:color w:val="auto"/>
              </w:rPr>
            </w:pPr>
            <w:r>
              <w:rPr>
                <w:rFonts w:hint="eastAsia"/>
                <w:color w:val="auto"/>
              </w:rPr>
              <w:t>综合评分法</w:t>
            </w:r>
          </w:p>
        </w:tc>
      </w:tr>
      <w:tr w14:paraId="1B3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14122EF3">
            <w:pPr>
              <w:widowControl w:val="0"/>
              <w:jc w:val="center"/>
              <w:rPr>
                <w:color w:val="auto"/>
              </w:rPr>
            </w:pPr>
            <w:r>
              <w:rPr>
                <w:rFonts w:hint="eastAsia"/>
                <w:color w:val="auto"/>
              </w:rPr>
              <w:t>候选中标供应商家数</w:t>
            </w:r>
          </w:p>
        </w:tc>
        <w:tc>
          <w:tcPr>
            <w:tcW w:w="4065" w:type="dxa"/>
          </w:tcPr>
          <w:p w14:paraId="340112CA">
            <w:pPr>
              <w:widowControl w:val="0"/>
              <w:jc w:val="center"/>
              <w:rPr>
                <w:color w:val="auto"/>
              </w:rPr>
            </w:pPr>
            <w:r>
              <w:rPr>
                <w:rFonts w:hint="eastAsia"/>
                <w:color w:val="auto"/>
              </w:rPr>
              <w:t>3</w:t>
            </w:r>
          </w:p>
        </w:tc>
      </w:tr>
      <w:tr w14:paraId="755B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2DCEA7DC">
            <w:pPr>
              <w:widowControl w:val="0"/>
              <w:jc w:val="center"/>
              <w:rPr>
                <w:color w:val="auto"/>
              </w:rPr>
            </w:pPr>
            <w:r>
              <w:rPr>
                <w:rFonts w:hint="eastAsia"/>
                <w:color w:val="auto"/>
              </w:rPr>
              <w:t>中标供应商家数</w:t>
            </w:r>
          </w:p>
        </w:tc>
        <w:tc>
          <w:tcPr>
            <w:tcW w:w="4065" w:type="dxa"/>
          </w:tcPr>
          <w:p w14:paraId="3A8DEA29">
            <w:pPr>
              <w:widowControl w:val="0"/>
              <w:jc w:val="center"/>
              <w:rPr>
                <w:color w:val="auto"/>
              </w:rPr>
            </w:pPr>
            <w:r>
              <w:rPr>
                <w:rFonts w:hint="eastAsia"/>
                <w:color w:val="auto"/>
              </w:rPr>
              <w:t>1</w:t>
            </w:r>
          </w:p>
        </w:tc>
      </w:tr>
      <w:bookmarkEnd w:id="28"/>
    </w:tbl>
    <w:p w14:paraId="1BA8E1C6">
      <w:pPr>
        <w:pStyle w:val="8"/>
        <w:rPr>
          <w:color w:val="auto"/>
        </w:rPr>
      </w:pPr>
    </w:p>
    <w:p w14:paraId="2116B68A">
      <w:pPr>
        <w:ind w:firstLine="464" w:firstLineChars="200"/>
        <w:rPr>
          <w:rFonts w:ascii="仿宋" w:hAnsi="仿宋" w:eastAsia="仿宋" w:cs="仿宋"/>
          <w:color w:val="auto"/>
        </w:rPr>
      </w:pPr>
      <w:r>
        <w:rPr>
          <w:rFonts w:hint="eastAsia" w:ascii="仿宋" w:hAnsi="仿宋" w:eastAsia="仿宋" w:cs="仿宋"/>
          <w:color w:val="auto"/>
        </w:rPr>
        <w:t>评审委员会对每个通过资格性检查和符合性检查且报价不超过最高限价的投标人进行评审、打分，然后汇总每个投标人每项评审因素的评分。</w:t>
      </w:r>
    </w:p>
    <w:p w14:paraId="72A42AC7">
      <w:pPr>
        <w:ind w:firstLine="464" w:firstLineChars="200"/>
        <w:rPr>
          <w:rFonts w:ascii="仿宋" w:hAnsi="仿宋" w:eastAsia="仿宋" w:cs="仿宋"/>
          <w:color w:val="auto"/>
        </w:rPr>
      </w:pPr>
      <w:r>
        <w:rPr>
          <w:rFonts w:hint="eastAsia" w:ascii="仿宋" w:hAnsi="仿宋" w:eastAsia="仿宋" w:cs="仿宋"/>
          <w:color w:val="auto"/>
        </w:rPr>
        <w:t>评委会在评审时，按照《评标信息》中的评审因素，对进入该阶段评审的各投标文件进行分析和比较。</w:t>
      </w:r>
    </w:p>
    <w:p w14:paraId="48C9024B">
      <w:pPr>
        <w:pStyle w:val="8"/>
      </w:pPr>
    </w:p>
    <w:p w14:paraId="2465E7A9">
      <w:pPr>
        <w:spacing w:line="360" w:lineRule="auto"/>
        <w:ind w:firstLine="464" w:firstLineChars="200"/>
        <w:rPr>
          <w:b/>
          <w:bCs/>
          <w:color w:val="000000" w:themeColor="text1"/>
          <w14:textFill>
            <w14:solidFill>
              <w14:schemeClr w14:val="tx1"/>
            </w14:solidFill>
          </w14:textFill>
        </w:rPr>
      </w:pPr>
      <w:r>
        <w:rPr>
          <w:rFonts w:hint="eastAsia"/>
          <w:b/>
          <w:color w:val="000000" w:themeColor="text1"/>
          <w14:textFill>
            <w14:solidFill>
              <w14:schemeClr w14:val="tx1"/>
            </w14:solidFill>
          </w14:textFill>
        </w:rPr>
        <w:t>（二）其他事项</w:t>
      </w:r>
    </w:p>
    <w:p w14:paraId="6C5B97FC">
      <w:pPr>
        <w:spacing w:line="360" w:lineRule="auto"/>
        <w:ind w:firstLine="464"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eastAsia="宋体"/>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关于享受优惠政策的主体及价格扣除比例</w:t>
      </w:r>
    </w:p>
    <w:p w14:paraId="398CAE41">
      <w:pPr>
        <w:tabs>
          <w:tab w:val="left" w:pos="720"/>
        </w:tabs>
        <w:ind w:firstLine="464" w:firstLineChars="200"/>
        <w:jc w:val="both"/>
        <w:rPr>
          <w:rFonts w:hint="eastAsia" w:ascii="Times New Roman" w:hAnsi="Times New Roman" w:eastAsia="Times New Roman" w:cs="Times New Roman"/>
          <w:color w:val="000000" w:themeColor="text1"/>
          <w14:textFill>
            <w14:solidFill>
              <w14:schemeClr w14:val="tx1"/>
            </w14:solidFill>
          </w14:textFill>
        </w:rPr>
      </w:pPr>
      <w:r>
        <w:rPr>
          <w:rFonts w:hint="eastAsia" w:ascii="Times New Roman" w:hAnsi="Times New Roman" w:eastAsia="Times New Roman" w:cs="Times New Roman"/>
          <w:color w:val="000000" w:themeColor="text1"/>
          <w14:textFill>
            <w14:solidFill>
              <w14:schemeClr w14:val="tx1"/>
            </w14:solidFill>
          </w14:textFill>
        </w:rPr>
        <w:t>（1）</w:t>
      </w:r>
      <w:r>
        <w:rPr>
          <w:rFonts w:hint="eastAsia" w:ascii="Times New Roman" w:hAnsi="Times New Roman" w:eastAsia="Times New Roman" w:cs="Times New Roman"/>
          <w:color w:val="000000" w:themeColor="text1"/>
          <w:lang w:eastAsia="zh-CN"/>
          <w14:textFill>
            <w14:solidFill>
              <w14:schemeClr w14:val="tx1"/>
            </w14:solidFill>
          </w14:textFill>
        </w:rPr>
        <w:t>预留比例</w:t>
      </w:r>
      <w:r>
        <w:rPr>
          <w:rFonts w:hint="eastAsia" w:ascii="Times New Roman" w:hAnsi="Times New Roman" w:eastAsia="Times New Roman" w:cs="Times New Roman"/>
          <w:color w:val="000000" w:themeColor="text1"/>
          <w14:textFill>
            <w14:solidFill>
              <w14:schemeClr w14:val="tx1"/>
            </w14:solidFill>
          </w14:textFill>
        </w:rPr>
        <w:t>专门面向中小企业采购的项目，不再执行价格扣除比例。</w:t>
      </w:r>
    </w:p>
    <w:p w14:paraId="0C50585B">
      <w:pPr>
        <w:tabs>
          <w:tab w:val="left" w:pos="720"/>
        </w:tabs>
        <w:ind w:firstLine="464" w:firstLineChars="200"/>
        <w:jc w:val="both"/>
        <w:rPr>
          <w:rFonts w:ascii="宋体" w:hAnsi="宋体"/>
          <w:bCs/>
        </w:rPr>
      </w:pPr>
    </w:p>
    <w:p w14:paraId="4D2BA727">
      <w:pPr>
        <w:spacing w:line="360" w:lineRule="auto"/>
        <w:ind w:firstLine="464"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2.关于落实政府绿色采购有关事项</w:t>
      </w:r>
    </w:p>
    <w:p w14:paraId="05E251F5">
      <w:pPr>
        <w:tabs>
          <w:tab w:val="left" w:pos="720"/>
        </w:tabs>
        <w:ind w:firstLine="464" w:firstLineChars="200"/>
        <w:jc w:val="both"/>
        <w:rPr>
          <w:rFonts w:ascii="宋体" w:hAnsi="宋体"/>
          <w:bCs/>
        </w:rPr>
      </w:pPr>
      <w:r>
        <w:rPr>
          <w:rFonts w:hint="eastAsia" w:ascii="宋体" w:hAnsi="宋体"/>
          <w:bCs/>
        </w:rPr>
        <w:t>根据《深圳市财政局关于大力推广政府绿色采购有关事项的通知》（深财购〔2023〕49号）要求，如拟采购的产品属于节能产品或环境标志产品政府采购品目清单范围的，将在采购需求中对产品进行标识，并依据国家确认的认证机构出具的、处于有效期之内的节能产品或环境标志产品认证证书，对获得证书的产品实施政府优先采购或强制采购。如项目涉及商品包装、快递包装、绿色建筑和绿色建材、绿色数据中心等内容，需求标准将严格执行《商品包装政府采购需求标准（试行）》、《快递包装政府采购需求标准（试行）》（财办库〔2020〕123号）、《绿色建筑和绿色建材政府采购需求标准》（财办库〔2022〕35号）、《绿色数据中心政府采购需求标准（试行）》（财办库〔2023〕7号）等文件要求，并在采购文件和采购合同中载明具体需求、履约验收条款和违约责任，促进绿色包装、绿色运输、绿色建筑、绿色建材和绿色数据中心在政府采购领域的应用。</w:t>
      </w:r>
    </w:p>
    <w:p w14:paraId="4B83FF6B">
      <w:pPr>
        <w:spacing w:line="360" w:lineRule="auto"/>
        <w:jc w:val="center"/>
        <w:rPr>
          <w:rFonts w:cs="宋体"/>
          <w:b/>
          <w:bCs/>
          <w:color w:val="000000" w:themeColor="text1"/>
          <w:sz w:val="28"/>
          <w:szCs w:val="28"/>
          <w14:textFill>
            <w14:solidFill>
              <w14:schemeClr w14:val="tx1"/>
            </w14:solidFill>
          </w14:textFill>
        </w:rPr>
      </w:pPr>
      <w:bookmarkStart w:id="29" w:name="_Toc128884461"/>
    </w:p>
    <w:p w14:paraId="79F932CD">
      <w:pPr>
        <w:spacing w:line="360" w:lineRule="auto"/>
        <w:jc w:val="center"/>
        <w:outlineLvl w:val="1"/>
        <w:rPr>
          <w:b/>
          <w:bCs/>
          <w:color w:val="000000" w:themeColor="text1"/>
          <w:sz w:val="28"/>
          <w:szCs w:val="28"/>
          <w14:textFill>
            <w14:solidFill>
              <w14:schemeClr w14:val="tx1"/>
            </w14:solidFill>
          </w14:textFill>
        </w:rPr>
      </w:pPr>
      <w:r>
        <w:rPr>
          <w:rFonts w:hint="eastAsia" w:cs="宋体"/>
          <w:b/>
          <w:bCs/>
          <w:color w:val="000000" w:themeColor="text1"/>
          <w:sz w:val="28"/>
          <w:szCs w:val="28"/>
          <w14:textFill>
            <w14:solidFill>
              <w14:schemeClr w14:val="tx1"/>
            </w14:solidFill>
          </w14:textFill>
        </w:rPr>
        <w:t>第三章</w:t>
      </w:r>
      <w:r>
        <w:rPr>
          <w:rFonts w:hint="eastAsia"/>
          <w:b/>
          <w:bCs/>
          <w:color w:val="000000" w:themeColor="text1"/>
          <w:sz w:val="28"/>
          <w:szCs w:val="28"/>
          <w14:textFill>
            <w14:solidFill>
              <w14:schemeClr w14:val="tx1"/>
            </w14:solidFill>
          </w14:textFill>
        </w:rPr>
        <w:t xml:space="preserve"> </w:t>
      </w:r>
      <w:r>
        <w:rPr>
          <w:rFonts w:hint="eastAsia" w:cs="宋体"/>
          <w:b/>
          <w:bCs/>
          <w:color w:val="000000" w:themeColor="text1"/>
          <w:sz w:val="28"/>
          <w:szCs w:val="28"/>
          <w14:textFill>
            <w14:solidFill>
              <w14:schemeClr w14:val="tx1"/>
            </w14:solidFill>
          </w14:textFill>
        </w:rPr>
        <w:t>用户需求书</w:t>
      </w:r>
    </w:p>
    <w:bookmarkEnd w:id="29"/>
    <w:p w14:paraId="7821684B">
      <w:pPr>
        <w:spacing w:line="360" w:lineRule="auto"/>
        <w:jc w:val="center"/>
        <w:outlineLvl w:val="2"/>
        <w:rPr>
          <w:rFonts w:eastAsia="宋体"/>
          <w:b/>
          <w:bCs/>
        </w:rPr>
      </w:pPr>
      <w:bookmarkStart w:id="30" w:name="_Toc11426270"/>
      <w:r>
        <w:rPr>
          <w:rFonts w:hint="eastAsia" w:ascii="宋体" w:hAnsi="宋体" w:eastAsia="宋体" w:cs="宋体"/>
          <w:b/>
          <w:bCs/>
        </w:rPr>
        <w:t>一、项目基本信息</w:t>
      </w:r>
    </w:p>
    <w:tbl>
      <w:tblPr>
        <w:tblStyle w:val="16"/>
        <w:tblpPr w:leftFromText="180" w:rightFromText="180" w:vertAnchor="text" w:horzAnchor="margin" w:tblpXSpec="center" w:tblpY="173"/>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2166"/>
        <w:gridCol w:w="2175"/>
        <w:gridCol w:w="2205"/>
        <w:gridCol w:w="1224"/>
      </w:tblGrid>
      <w:tr w14:paraId="24E4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dxa"/>
            <w:shd w:val="clear" w:color="auto" w:fill="C6D9F0" w:themeFill="text2" w:themeFillTint="33"/>
            <w:vAlign w:val="center"/>
          </w:tcPr>
          <w:p w14:paraId="27C8689A">
            <w:pPr>
              <w:jc w:val="center"/>
              <w:rPr>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w:t>
            </w:r>
            <w:r>
              <w:rPr>
                <w:rFonts w:hint="eastAsia"/>
                <w:b/>
                <w:color w:val="000000" w:themeColor="text1"/>
                <w:szCs w:val="21"/>
                <w14:textFill>
                  <w14:solidFill>
                    <w14:schemeClr w14:val="tx1"/>
                  </w14:solidFill>
                </w14:textFill>
              </w:rPr>
              <w:t>号</w:t>
            </w:r>
          </w:p>
        </w:tc>
        <w:tc>
          <w:tcPr>
            <w:tcW w:w="2166" w:type="dxa"/>
            <w:shd w:val="clear" w:color="auto" w:fill="C6D9F0" w:themeFill="text2" w:themeFillTint="33"/>
            <w:vAlign w:val="center"/>
          </w:tcPr>
          <w:p w14:paraId="0D2DE475">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采购项目名称</w:t>
            </w:r>
          </w:p>
        </w:tc>
        <w:tc>
          <w:tcPr>
            <w:tcW w:w="2175" w:type="dxa"/>
            <w:shd w:val="clear" w:color="auto" w:fill="C6D9F0" w:themeFill="text2" w:themeFillTint="33"/>
            <w:vAlign w:val="center"/>
          </w:tcPr>
          <w:p w14:paraId="2911C576">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财政预算限额（元）</w:t>
            </w:r>
          </w:p>
        </w:tc>
        <w:tc>
          <w:tcPr>
            <w:tcW w:w="2205" w:type="dxa"/>
            <w:shd w:val="clear" w:color="auto" w:fill="C6D9F0" w:themeFill="text2" w:themeFillTint="33"/>
            <w:vAlign w:val="center"/>
          </w:tcPr>
          <w:p w14:paraId="4EEEF03B">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最高限价（元）</w:t>
            </w:r>
          </w:p>
        </w:tc>
        <w:tc>
          <w:tcPr>
            <w:tcW w:w="1224" w:type="dxa"/>
            <w:shd w:val="clear" w:color="auto" w:fill="C6D9F0" w:themeFill="text2" w:themeFillTint="33"/>
            <w:vAlign w:val="center"/>
          </w:tcPr>
          <w:p w14:paraId="119AB782">
            <w:pPr>
              <w:jc w:val="center"/>
              <w:rPr>
                <w:rFonts w:eastAsiaTheme="minor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备注</w:t>
            </w:r>
          </w:p>
        </w:tc>
      </w:tr>
      <w:tr w14:paraId="5C40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38" w:type="dxa"/>
            <w:vAlign w:val="center"/>
          </w:tcPr>
          <w:p w14:paraId="138BE347">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2166" w:type="dxa"/>
            <w:vAlign w:val="center"/>
          </w:tcPr>
          <w:p w14:paraId="4C532A8C">
            <w:pPr>
              <w:jc w:val="center"/>
              <w:rPr>
                <w:rFonts w:hint="eastAsia" w:ascii="宋体" w:hAnsi="宋体" w:eastAsia="宋体" w:cs="宋体"/>
                <w:bCs/>
                <w:color w:val="FF0000"/>
                <w:szCs w:val="21"/>
                <w:lang w:eastAsia="zh-CN"/>
              </w:rPr>
            </w:pPr>
            <w:r>
              <w:rPr>
                <w:rFonts w:hint="eastAsia" w:ascii="宋体" w:hAnsi="宋体" w:eastAsia="宋体" w:cs="宋体"/>
                <w:bCs/>
                <w:szCs w:val="21"/>
                <w:lang w:eastAsia="zh-CN"/>
              </w:rPr>
              <w:t>2026年深圳市公安局监所管理支队食材配送服务项目</w:t>
            </w:r>
          </w:p>
        </w:tc>
        <w:tc>
          <w:tcPr>
            <w:tcW w:w="2175" w:type="dxa"/>
            <w:vAlign w:val="center"/>
          </w:tcPr>
          <w:p w14:paraId="029F69A3">
            <w:pPr>
              <w:jc w:val="center"/>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12,984,240</w:t>
            </w:r>
          </w:p>
        </w:tc>
        <w:tc>
          <w:tcPr>
            <w:tcW w:w="2205" w:type="dxa"/>
            <w:vAlign w:val="center"/>
          </w:tcPr>
          <w:p w14:paraId="04F9CB32">
            <w:pPr>
              <w:jc w:val="center"/>
              <w:rPr>
                <w:rFonts w:hint="eastAsia" w:ascii="宋体" w:hAnsi="宋体" w:eastAsia="宋体" w:cs="宋体"/>
                <w:bCs/>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12,984,240</w:t>
            </w:r>
          </w:p>
        </w:tc>
        <w:tc>
          <w:tcPr>
            <w:tcW w:w="1224" w:type="dxa"/>
            <w:vAlign w:val="center"/>
          </w:tcPr>
          <w:p w14:paraId="25F2C400">
            <w:pPr>
              <w:jc w:val="center"/>
              <w:rPr>
                <w:rFonts w:ascii="宋体" w:hAnsi="宋体" w:eastAsia="宋体" w:cs="宋体"/>
                <w:bCs/>
                <w:color w:val="000000" w:themeColor="text1"/>
                <w:szCs w:val="21"/>
                <w14:textFill>
                  <w14:solidFill>
                    <w14:schemeClr w14:val="tx1"/>
                  </w14:solidFill>
                </w14:textFill>
              </w:rPr>
            </w:pPr>
          </w:p>
        </w:tc>
      </w:tr>
    </w:tbl>
    <w:p w14:paraId="1F330A8B">
      <w:pPr>
        <w:ind w:firstLine="464" w:firstLineChars="200"/>
        <w:rPr>
          <w:rFonts w:ascii="宋体" w:hAnsi="宋体"/>
          <w:b/>
          <w:color w:val="FF0000"/>
          <w:szCs w:val="21"/>
        </w:rPr>
      </w:pPr>
      <w:r>
        <w:rPr>
          <w:rFonts w:hint="eastAsia" w:ascii="宋体" w:hAnsi="宋体"/>
          <w:b/>
          <w:color w:val="FF0000"/>
          <w:szCs w:val="21"/>
        </w:rPr>
        <w:t>本项目在财政预算金额下设定最高限价，如投标人的投标报价超过最高限价，将按照符合性审查要求作投标无效处理</w:t>
      </w:r>
    </w:p>
    <w:p w14:paraId="5135619C">
      <w:pPr>
        <w:pStyle w:val="6"/>
      </w:pPr>
    </w:p>
    <w:p w14:paraId="7EDB1126">
      <w:pPr>
        <w:spacing w:line="360" w:lineRule="auto"/>
        <w:jc w:val="center"/>
        <w:outlineLvl w:val="2"/>
        <w:rPr>
          <w:rFonts w:ascii="宋体" w:hAnsi="宋体" w:eastAsia="宋体" w:cs="宋体"/>
          <w:b/>
          <w:bCs/>
        </w:rPr>
      </w:pPr>
      <w:r>
        <w:rPr>
          <w:rFonts w:hint="eastAsia" w:ascii="宋体" w:hAnsi="宋体" w:eastAsia="宋体" w:cs="宋体"/>
          <w:b/>
          <w:bCs/>
        </w:rPr>
        <w:t>二、</w:t>
      </w:r>
      <w:bookmarkStart w:id="31" w:name="_Hlk72073432"/>
      <w:r>
        <w:rPr>
          <w:rFonts w:hint="eastAsia" w:ascii="宋体" w:hAnsi="宋体" w:eastAsia="宋体" w:cs="宋体"/>
          <w:b/>
          <w:bCs/>
        </w:rPr>
        <w:t>服务需求明细</w:t>
      </w:r>
      <w:bookmarkEnd w:id="31"/>
    </w:p>
    <w:tbl>
      <w:tblPr>
        <w:tblStyle w:val="16"/>
        <w:tblW w:w="8273" w:type="dxa"/>
        <w:jc w:val="center"/>
        <w:tblLayout w:type="fixed"/>
        <w:tblCellMar>
          <w:top w:w="0" w:type="dxa"/>
          <w:left w:w="108" w:type="dxa"/>
          <w:bottom w:w="0" w:type="dxa"/>
          <w:right w:w="108" w:type="dxa"/>
        </w:tblCellMar>
      </w:tblPr>
      <w:tblGrid>
        <w:gridCol w:w="633"/>
        <w:gridCol w:w="3641"/>
        <w:gridCol w:w="797"/>
        <w:gridCol w:w="780"/>
        <w:gridCol w:w="1414"/>
        <w:gridCol w:w="1008"/>
      </w:tblGrid>
      <w:tr w14:paraId="6D7FE8C9">
        <w:tblPrEx>
          <w:tblCellMar>
            <w:top w:w="0" w:type="dxa"/>
            <w:left w:w="108" w:type="dxa"/>
            <w:bottom w:w="0" w:type="dxa"/>
            <w:right w:w="108" w:type="dxa"/>
          </w:tblCellMar>
        </w:tblPrEx>
        <w:trPr>
          <w:trHeight w:val="552" w:hRule="atLeast"/>
          <w:jc w:val="center"/>
        </w:trPr>
        <w:tc>
          <w:tcPr>
            <w:tcW w:w="633" w:type="dxa"/>
            <w:tcBorders>
              <w:top w:val="single" w:color="000000" w:sz="4" w:space="0"/>
              <w:left w:val="single" w:color="000000" w:sz="4" w:space="0"/>
              <w:bottom w:val="single" w:color="000000" w:sz="4" w:space="0"/>
              <w:right w:val="single" w:color="auto" w:sz="4" w:space="0"/>
            </w:tcBorders>
            <w:shd w:val="clear" w:color="auto" w:fill="C6D9F1"/>
            <w:tcMar>
              <w:top w:w="15" w:type="dxa"/>
              <w:left w:w="15" w:type="dxa"/>
              <w:bottom w:w="15" w:type="dxa"/>
              <w:right w:w="15" w:type="dxa"/>
            </w:tcMar>
            <w:vAlign w:val="center"/>
          </w:tcPr>
          <w:p w14:paraId="697B2E55">
            <w:pPr>
              <w:jc w:val="center"/>
              <w:rPr>
                <w:b/>
                <w:bCs/>
              </w:rPr>
            </w:pPr>
            <w:r>
              <w:rPr>
                <w:rFonts w:hint="eastAsia" w:ascii="宋体" w:hAnsi="宋体" w:eastAsia="宋体" w:cs="宋体"/>
                <w:b/>
                <w:bCs/>
              </w:rPr>
              <w:t>序号</w:t>
            </w:r>
          </w:p>
        </w:tc>
        <w:tc>
          <w:tcPr>
            <w:tcW w:w="3641" w:type="dxa"/>
            <w:tcBorders>
              <w:top w:val="single" w:color="000000" w:sz="4" w:space="0"/>
              <w:left w:val="single" w:color="auto"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76FF61B2">
            <w:pPr>
              <w:jc w:val="center"/>
              <w:rPr>
                <w:b/>
                <w:bCs/>
              </w:rPr>
            </w:pPr>
            <w:r>
              <w:rPr>
                <w:rFonts w:hint="eastAsia" w:ascii="宋体" w:hAnsi="宋体" w:eastAsia="宋体" w:cs="宋体"/>
                <w:b/>
                <w:bCs/>
              </w:rPr>
              <w:t>服务名称（标的名称）</w:t>
            </w:r>
          </w:p>
        </w:tc>
        <w:tc>
          <w:tcPr>
            <w:tcW w:w="797"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4CF58487">
            <w:pPr>
              <w:jc w:val="center"/>
              <w:rPr>
                <w:b/>
                <w:bCs/>
              </w:rPr>
            </w:pPr>
            <w:r>
              <w:rPr>
                <w:rFonts w:hint="eastAsia" w:ascii="宋体" w:hAnsi="宋体" w:eastAsia="宋体" w:cs="宋体"/>
                <w:b/>
                <w:bCs/>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4E7A34B0">
            <w:pPr>
              <w:jc w:val="center"/>
              <w:rPr>
                <w:b/>
                <w:bCs/>
              </w:rPr>
            </w:pPr>
            <w:r>
              <w:rPr>
                <w:rFonts w:hint="eastAsia" w:ascii="宋体" w:hAnsi="宋体" w:eastAsia="宋体" w:cs="宋体"/>
                <w:b/>
                <w:bCs/>
              </w:rPr>
              <w:t>数量</w:t>
            </w:r>
          </w:p>
        </w:tc>
        <w:tc>
          <w:tcPr>
            <w:tcW w:w="1414"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72CD6337">
            <w:pPr>
              <w:jc w:val="center"/>
              <w:rPr>
                <w:b/>
                <w:bCs/>
                <w:highlight w:val="green"/>
              </w:rPr>
            </w:pPr>
            <w:r>
              <w:rPr>
                <w:rFonts w:hint="eastAsia" w:ascii="宋体" w:hAnsi="宋体" w:eastAsia="宋体" w:cs="宋体"/>
                <w:b/>
                <w:bCs/>
              </w:rPr>
              <w:t>所属行业</w:t>
            </w:r>
          </w:p>
        </w:tc>
        <w:tc>
          <w:tcPr>
            <w:tcW w:w="1008"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67915E6F">
            <w:pPr>
              <w:jc w:val="center"/>
              <w:rPr>
                <w:b/>
                <w:bCs/>
                <w:highlight w:val="green"/>
              </w:rPr>
            </w:pPr>
            <w:r>
              <w:rPr>
                <w:rFonts w:hint="eastAsia" w:ascii="宋体" w:hAnsi="宋体" w:eastAsia="宋体" w:cs="宋体"/>
                <w:b/>
                <w:bCs/>
              </w:rPr>
              <w:t>备注</w:t>
            </w:r>
          </w:p>
        </w:tc>
      </w:tr>
      <w:tr w14:paraId="196BF334">
        <w:tblPrEx>
          <w:tblCellMar>
            <w:top w:w="0" w:type="dxa"/>
            <w:left w:w="108" w:type="dxa"/>
            <w:bottom w:w="0" w:type="dxa"/>
            <w:right w:w="108" w:type="dxa"/>
          </w:tblCellMar>
        </w:tblPrEx>
        <w:trPr>
          <w:trHeight w:val="841" w:hRule="atLeast"/>
          <w:jc w:val="center"/>
        </w:trPr>
        <w:tc>
          <w:tcPr>
            <w:tcW w:w="63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6380BA4C">
            <w:pPr>
              <w:jc w:val="center"/>
            </w:pPr>
            <w:r>
              <w:rPr>
                <w:rFonts w:hint="eastAsia"/>
              </w:rPr>
              <w:t>1</w:t>
            </w:r>
          </w:p>
        </w:tc>
        <w:tc>
          <w:tcPr>
            <w:tcW w:w="36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2BF2E00">
            <w:pPr>
              <w:jc w:val="center"/>
              <w:rPr>
                <w:rFonts w:hint="eastAsia" w:ascii="宋体" w:hAnsi="宋体" w:eastAsia="宋体" w:cs="宋体"/>
                <w:bCs/>
                <w:lang w:eastAsia="zh-CN"/>
              </w:rPr>
            </w:pPr>
            <w:r>
              <w:rPr>
                <w:rFonts w:hint="eastAsia" w:ascii="宋体" w:hAnsi="宋体" w:eastAsia="宋体" w:cs="宋体"/>
                <w:bCs/>
                <w:lang w:eastAsia="zh-CN"/>
              </w:rPr>
              <w:t>2026年深圳市公安局监所管理支队食材配送服务项目</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34A1D6">
            <w:pPr>
              <w:jc w:val="center"/>
              <w:rPr>
                <w:rFonts w:hint="eastAsia" w:ascii="宋体" w:hAnsi="宋体" w:eastAsia="宋体" w:cs="宋体"/>
                <w:bCs/>
              </w:rPr>
            </w:pPr>
            <w:r>
              <w:rPr>
                <w:rFonts w:hint="eastAsia" w:ascii="宋体" w:hAnsi="宋体" w:eastAsia="宋体" w:cs="宋体"/>
                <w:bCs/>
              </w:rPr>
              <w:t>项</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9D2FEF">
            <w:pPr>
              <w:jc w:val="center"/>
              <w:rPr>
                <w:rFonts w:hint="eastAsia" w:ascii="宋体" w:hAnsi="宋体" w:eastAsia="宋体" w:cs="宋体"/>
                <w:bCs/>
              </w:rPr>
            </w:pPr>
            <w:r>
              <w:rPr>
                <w:rFonts w:hint="eastAsia" w:ascii="宋体" w:hAnsi="宋体" w:eastAsia="宋体" w:cs="宋体"/>
                <w:bCs/>
              </w:rPr>
              <w:t>1</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99BFD2">
            <w:pPr>
              <w:jc w:val="center"/>
              <w:rPr>
                <w:rFonts w:hint="eastAsia" w:ascii="宋体" w:hAnsi="宋体" w:eastAsia="宋体" w:cs="宋体"/>
                <w:bCs/>
              </w:rPr>
            </w:pPr>
            <w:r>
              <w:rPr>
                <w:rFonts w:hint="eastAsia" w:ascii="宋体" w:hAnsi="宋体" w:eastAsia="宋体" w:cs="宋体"/>
                <w:bCs/>
                <w:lang w:eastAsia="zh-CN"/>
              </w:rPr>
              <w:t>批发</w:t>
            </w:r>
            <w:r>
              <w:rPr>
                <w:rFonts w:hint="eastAsia" w:ascii="宋体" w:hAnsi="宋体" w:eastAsia="宋体" w:cs="宋体"/>
                <w:bCs/>
              </w:rPr>
              <w:t>业</w:t>
            </w:r>
          </w:p>
        </w:tc>
        <w:tc>
          <w:tcPr>
            <w:tcW w:w="10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BAEC2A">
            <w:pPr>
              <w:jc w:val="center"/>
              <w:rPr>
                <w:bCs/>
                <w:highlight w:val="green"/>
              </w:rPr>
            </w:pPr>
          </w:p>
        </w:tc>
      </w:tr>
      <w:bookmarkEnd w:id="30"/>
    </w:tbl>
    <w:p w14:paraId="345AF1F2">
      <w:pPr>
        <w:rPr>
          <w:b/>
          <w:sz w:val="28"/>
        </w:rPr>
      </w:pPr>
      <w:r>
        <w:rPr>
          <w:b/>
          <w:sz w:val="28"/>
        </w:rPr>
        <w:t>项目</w:t>
      </w:r>
      <w:r>
        <w:rPr>
          <w:rFonts w:hint="eastAsia"/>
          <w:b/>
          <w:sz w:val="28"/>
        </w:rPr>
        <w:t>概况：</w:t>
      </w:r>
    </w:p>
    <w:p w14:paraId="07E3ECB7">
      <w:pPr>
        <w:ind w:left="528" w:leftChars="228" w:firstLine="404" w:firstLineChars="200"/>
        <w:rPr>
          <w:rFonts w:cs="仿宋" w:asciiTheme="minorEastAsia" w:hAnsiTheme="minorEastAsia"/>
          <w:sz w:val="21"/>
          <w:szCs w:val="21"/>
        </w:rPr>
      </w:pPr>
      <w:bookmarkStart w:id="32" w:name="_Toc320311558"/>
      <w:bookmarkEnd w:id="32"/>
      <w:bookmarkStart w:id="33" w:name="_Toc11426271"/>
    </w:p>
    <w:p w14:paraId="29B62261">
      <w:pPr>
        <w:ind w:left="528" w:leftChars="228" w:firstLine="404" w:firstLineChars="200"/>
        <w:rPr>
          <w:rFonts w:cs="仿宋" w:asciiTheme="minorEastAsia" w:hAnsiTheme="minorEastAsia"/>
          <w:sz w:val="21"/>
          <w:szCs w:val="21"/>
        </w:rPr>
      </w:pPr>
    </w:p>
    <w:p w14:paraId="2CA25CAC">
      <w:pPr>
        <w:spacing w:line="360" w:lineRule="auto"/>
        <w:jc w:val="center"/>
        <w:outlineLvl w:val="2"/>
        <w:rPr>
          <w:rFonts w:ascii="宋体" w:hAnsi="宋体" w:eastAsia="宋体" w:cs="宋体"/>
          <w:b/>
          <w:bCs/>
        </w:rPr>
      </w:pPr>
      <w:r>
        <w:rPr>
          <w:rFonts w:hint="eastAsia" w:ascii="宋体" w:hAnsi="宋体" w:eastAsia="宋体" w:cs="宋体"/>
          <w:b/>
          <w:bCs/>
        </w:rPr>
        <w:t>三</w:t>
      </w:r>
      <w:r>
        <w:rPr>
          <w:rFonts w:ascii="宋体" w:hAnsi="宋体" w:eastAsia="宋体" w:cs="宋体"/>
          <w:b/>
          <w:bCs/>
        </w:rPr>
        <w:t>、</w:t>
      </w:r>
      <w:r>
        <w:rPr>
          <w:rFonts w:hint="eastAsia" w:ascii="宋体" w:hAnsi="宋体" w:eastAsia="宋体" w:cs="宋体"/>
          <w:b/>
          <w:bCs/>
        </w:rPr>
        <w:t>实质性条款</w:t>
      </w:r>
    </w:p>
    <w:tbl>
      <w:tblPr>
        <w:tblStyle w:val="1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23EB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FE58B86">
            <w:pPr>
              <w:adjustRightInd w:val="0"/>
              <w:snapToGrid w:val="0"/>
              <w:spacing w:line="360" w:lineRule="auto"/>
              <w:jc w:val="center"/>
              <w:rPr>
                <w:rFonts w:asciiTheme="minorEastAsia" w:hAnsiTheme="minorEastAsia"/>
                <w:sz w:val="21"/>
                <w:szCs w:val="21"/>
              </w:rPr>
            </w:pPr>
            <w:r>
              <w:rPr>
                <w:rFonts w:hint="eastAsia" w:asciiTheme="minorEastAsia" w:hAnsiTheme="minorEastAsia"/>
                <w:sz w:val="21"/>
                <w:szCs w:val="21"/>
              </w:rPr>
              <w:t>序号</w:t>
            </w:r>
          </w:p>
        </w:tc>
        <w:tc>
          <w:tcPr>
            <w:tcW w:w="7483" w:type="dxa"/>
          </w:tcPr>
          <w:p w14:paraId="23034181">
            <w:pPr>
              <w:adjustRightInd w:val="0"/>
              <w:snapToGrid w:val="0"/>
              <w:spacing w:line="360" w:lineRule="auto"/>
              <w:jc w:val="center"/>
              <w:rPr>
                <w:rFonts w:asciiTheme="minorEastAsia" w:hAnsiTheme="minorEastAsia"/>
                <w:sz w:val="21"/>
                <w:szCs w:val="21"/>
              </w:rPr>
            </w:pPr>
            <w:r>
              <w:rPr>
                <w:rFonts w:hint="eastAsia" w:asciiTheme="minorEastAsia" w:hAnsiTheme="minorEastAsia"/>
                <w:sz w:val="21"/>
                <w:szCs w:val="21"/>
              </w:rPr>
              <w:t>实质性条款具体内容</w:t>
            </w:r>
          </w:p>
        </w:tc>
      </w:tr>
      <w:tr w14:paraId="703E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7046F2F">
            <w:pPr>
              <w:tabs>
                <w:tab w:val="left" w:pos="720"/>
              </w:tabs>
              <w:jc w:val="center"/>
              <w:rPr>
                <w:rFonts w:hint="eastAsia" w:eastAsia="Times New Roman" w:cs="Times New Roman" w:asciiTheme="minorEastAsia" w:hAnsiTheme="minorEastAsia"/>
                <w:sz w:val="21"/>
                <w:szCs w:val="21"/>
              </w:rPr>
            </w:pPr>
            <w:r>
              <w:rPr>
                <w:rFonts w:hint="eastAsia" w:eastAsia="Times New Roman" w:cs="Times New Roman" w:asciiTheme="minorEastAsia" w:hAnsiTheme="minorEastAsia"/>
                <w:sz w:val="21"/>
                <w:szCs w:val="21"/>
              </w:rPr>
              <w:t>1</w:t>
            </w:r>
          </w:p>
        </w:tc>
        <w:tc>
          <w:tcPr>
            <w:tcW w:w="7483" w:type="dxa"/>
          </w:tcPr>
          <w:p w14:paraId="3FD45E76">
            <w:pPr>
              <w:tabs>
                <w:tab w:val="left" w:pos="720"/>
              </w:tabs>
              <w:rPr>
                <w:rFonts w:asciiTheme="minorEastAsia" w:hAnsiTheme="minorEastAsia"/>
                <w:sz w:val="21"/>
                <w:szCs w:val="21"/>
              </w:rPr>
            </w:pPr>
            <w:r>
              <w:rPr>
                <w:rFonts w:hint="eastAsia" w:asciiTheme="minorEastAsia" w:hAnsiTheme="minorEastAsia"/>
                <w:sz w:val="21"/>
                <w:szCs w:val="21"/>
              </w:rPr>
              <w:t>★1.3投标供应商承诺中标后能提供中农数据“天天采配”食堂采配应用平台（www.chinaap.com）网上采购系统账号供采购人单独使用，并承担由此发生的一切相关费用，采购人对此无须支付任何费用。</w:t>
            </w:r>
          </w:p>
        </w:tc>
      </w:tr>
      <w:tr w14:paraId="0FF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964E195">
            <w:pPr>
              <w:tabs>
                <w:tab w:val="left" w:pos="720"/>
              </w:tabs>
              <w:jc w:val="center"/>
              <w:rPr>
                <w:rFonts w:hint="eastAsia" w:eastAsia="Times New Roman" w:cs="Times New Roman" w:asciiTheme="minorEastAsia" w:hAnsiTheme="minorEastAsia"/>
                <w:sz w:val="21"/>
                <w:szCs w:val="21"/>
                <w:lang w:val="en-US" w:eastAsia="zh-CN"/>
              </w:rPr>
            </w:pPr>
            <w:r>
              <w:rPr>
                <w:rFonts w:hint="eastAsia" w:eastAsia="Times New Roman" w:cs="Times New Roman" w:asciiTheme="minorEastAsia" w:hAnsiTheme="minorEastAsia"/>
                <w:sz w:val="21"/>
                <w:szCs w:val="21"/>
                <w:lang w:val="en-US" w:eastAsia="zh-CN"/>
              </w:rPr>
              <w:t>2</w:t>
            </w:r>
          </w:p>
        </w:tc>
        <w:tc>
          <w:tcPr>
            <w:tcW w:w="7483" w:type="dxa"/>
          </w:tcPr>
          <w:p w14:paraId="6DF6B5CB">
            <w:pPr>
              <w:tabs>
                <w:tab w:val="left" w:pos="720"/>
              </w:tabs>
              <w:rPr>
                <w:rFonts w:hint="eastAsia" w:asciiTheme="minorEastAsia" w:hAnsiTheme="minorEastAsia"/>
                <w:sz w:val="21"/>
                <w:szCs w:val="21"/>
              </w:rPr>
            </w:pPr>
            <w:r>
              <w:rPr>
                <w:rFonts w:hint="eastAsia" w:asciiTheme="minorEastAsia" w:hAnsiTheme="minorEastAsia"/>
                <w:sz w:val="21"/>
                <w:szCs w:val="21"/>
              </w:rPr>
              <w:t xml:space="preserve"> ★1.5项目依据及标准：《中华人民共和国食品安全法》产品国家标准等，项目履约过程中国家标准有更新的，依据最新的标准执行。</w:t>
            </w:r>
          </w:p>
        </w:tc>
      </w:tr>
      <w:tr w14:paraId="14B1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 w:type="dxa"/>
            <w:vAlign w:val="center"/>
          </w:tcPr>
          <w:p w14:paraId="55BBF7BE">
            <w:pPr>
              <w:tabs>
                <w:tab w:val="left" w:pos="720"/>
              </w:tabs>
              <w:jc w:val="center"/>
              <w:rPr>
                <w:rFonts w:hint="default" w:eastAsia="Times New Roman" w:cs="Times New Roman" w:asciiTheme="minorEastAsia" w:hAnsiTheme="minorEastAsia"/>
                <w:sz w:val="21"/>
                <w:szCs w:val="21"/>
                <w:lang w:val="en-US" w:eastAsia="zh-CN"/>
              </w:rPr>
            </w:pPr>
            <w:r>
              <w:rPr>
                <w:rFonts w:hint="eastAsia" w:eastAsia="Times New Roman" w:cs="Times New Roman" w:asciiTheme="minorEastAsia" w:hAnsiTheme="minorEastAsia"/>
                <w:sz w:val="21"/>
                <w:szCs w:val="21"/>
                <w:lang w:val="en-US" w:eastAsia="zh-CN"/>
              </w:rPr>
              <w:t>3</w:t>
            </w:r>
          </w:p>
        </w:tc>
        <w:tc>
          <w:tcPr>
            <w:tcW w:w="7483" w:type="dxa"/>
          </w:tcPr>
          <w:p w14:paraId="7E98BAB8">
            <w:pPr>
              <w:tabs>
                <w:tab w:val="left" w:pos="720"/>
              </w:tabs>
              <w:rPr>
                <w:rFonts w:hint="eastAsia" w:asciiTheme="minorEastAsia" w:hAnsiTheme="minorEastAsia"/>
                <w:sz w:val="21"/>
                <w:szCs w:val="21"/>
              </w:rPr>
            </w:pPr>
            <w:r>
              <w:rPr>
                <w:rFonts w:hint="eastAsia" w:asciiTheme="minorEastAsia" w:hAnsiTheme="minorEastAsia"/>
                <w:sz w:val="21"/>
                <w:szCs w:val="21"/>
              </w:rPr>
              <w:t>★2.1.1供应商配送的肉类、蔬菜、干货等食材必须保证质量，符合《食品安全国家标准目录》相应要求，不得腐烂、变质等。</w:t>
            </w:r>
          </w:p>
        </w:tc>
      </w:tr>
      <w:tr w14:paraId="56BF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5" w:type="dxa"/>
            <w:vAlign w:val="center"/>
          </w:tcPr>
          <w:p w14:paraId="36D0E825">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4</w:t>
            </w:r>
          </w:p>
        </w:tc>
        <w:tc>
          <w:tcPr>
            <w:tcW w:w="7483" w:type="dxa"/>
            <w:vAlign w:val="center"/>
          </w:tcPr>
          <w:p w14:paraId="0CF4F4F2">
            <w:pPr>
              <w:tabs>
                <w:tab w:val="left" w:pos="720"/>
              </w:tabs>
              <w:jc w:val="left"/>
              <w:rPr>
                <w:rFonts w:hint="eastAsia" w:asciiTheme="minorEastAsia" w:hAnsiTheme="minorEastAsia"/>
                <w:sz w:val="21"/>
                <w:szCs w:val="21"/>
              </w:rPr>
            </w:pPr>
            <w:r>
              <w:rPr>
                <w:rFonts w:hint="eastAsia" w:asciiTheme="minorEastAsia" w:hAnsiTheme="minorEastAsia"/>
                <w:sz w:val="21"/>
                <w:szCs w:val="21"/>
              </w:rPr>
              <w:t>★2.3.1供应商须保证服务期内每一个自然日均能送货。</w:t>
            </w:r>
          </w:p>
        </w:tc>
      </w:tr>
      <w:tr w14:paraId="6DB3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F18848A">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5</w:t>
            </w:r>
          </w:p>
        </w:tc>
        <w:tc>
          <w:tcPr>
            <w:tcW w:w="7483" w:type="dxa"/>
          </w:tcPr>
          <w:p w14:paraId="7ACBBD2F">
            <w:pPr>
              <w:tabs>
                <w:tab w:val="left" w:pos="720"/>
              </w:tabs>
              <w:rPr>
                <w:rFonts w:hint="eastAsia" w:asciiTheme="minorEastAsia" w:hAnsiTheme="minorEastAsia"/>
                <w:sz w:val="21"/>
                <w:szCs w:val="21"/>
              </w:rPr>
            </w:pPr>
            <w:r>
              <w:rPr>
                <w:rFonts w:hint="eastAsia" w:asciiTheme="minorEastAsia" w:hAnsiTheme="minorEastAsia"/>
                <w:sz w:val="21"/>
                <w:szCs w:val="21"/>
              </w:rPr>
              <w:t>★3.1.3.4整批肉类有省地市出具的动植物检疫合格证明，随箱产品合格证不齐全的，加抽15%（即在原抽查数量基础上增加15%进行第二次抽查），两次抽查数50%以上没有产品合格证的，全部退货；50%以下没有产品合格证明的，将无产品合格证明的货物退货。</w:t>
            </w:r>
          </w:p>
        </w:tc>
      </w:tr>
      <w:tr w14:paraId="780D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A9A2D56">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6</w:t>
            </w:r>
          </w:p>
        </w:tc>
        <w:tc>
          <w:tcPr>
            <w:tcW w:w="7483" w:type="dxa"/>
          </w:tcPr>
          <w:p w14:paraId="6DF5D068">
            <w:pPr>
              <w:tabs>
                <w:tab w:val="left" w:pos="720"/>
              </w:tabs>
              <w:rPr>
                <w:rFonts w:hint="eastAsia" w:asciiTheme="minorEastAsia" w:hAnsiTheme="minorEastAsia"/>
                <w:sz w:val="21"/>
                <w:szCs w:val="21"/>
              </w:rPr>
            </w:pPr>
            <w:r>
              <w:rPr>
                <w:rFonts w:hint="eastAsia" w:asciiTheme="minorEastAsia" w:hAnsiTheme="minorEastAsia"/>
                <w:sz w:val="21"/>
                <w:szCs w:val="21"/>
              </w:rPr>
              <w:t>★3.2.1质量要求：</w:t>
            </w:r>
          </w:p>
          <w:p w14:paraId="5B82D0DC">
            <w:pPr>
              <w:tabs>
                <w:tab w:val="left" w:pos="720"/>
              </w:tabs>
              <w:rPr>
                <w:rFonts w:hint="eastAsia" w:asciiTheme="minorEastAsia" w:hAnsiTheme="minorEastAsia"/>
                <w:sz w:val="21"/>
                <w:szCs w:val="21"/>
              </w:rPr>
            </w:pPr>
            <w:r>
              <w:rPr>
                <w:rFonts w:hint="eastAsia" w:asciiTheme="minorEastAsia" w:hAnsiTheme="minorEastAsia"/>
                <w:sz w:val="21"/>
                <w:szCs w:val="21"/>
              </w:rPr>
              <w:t>蔬菜质量应符合《食品安全国家标准目录》中相应要求；卫生指标应符合《食品安全国家标准食品中农药最大残留限量》（GB 2763-2021及GB 2763.1-2022）的要求。从蔬菜色泽看，各种蔬菜都应具有本品种固有的颜色，大多数有发亮的光泽；从蔬菜气味看，不允许有腐烂变质的亚硝酸盐味和其他异常气味；从蔬菜形态看，应尽量避免萎蔫、枯塌、损伤、病变、虫害侵蚀等引起的形态异常。</w:t>
            </w:r>
          </w:p>
        </w:tc>
      </w:tr>
      <w:tr w14:paraId="5248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D84EA37">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7</w:t>
            </w:r>
          </w:p>
        </w:tc>
        <w:tc>
          <w:tcPr>
            <w:tcW w:w="7483" w:type="dxa"/>
          </w:tcPr>
          <w:p w14:paraId="08353304">
            <w:pPr>
              <w:tabs>
                <w:tab w:val="left" w:pos="720"/>
              </w:tabs>
              <w:rPr>
                <w:rFonts w:hint="eastAsia" w:asciiTheme="minorEastAsia" w:hAnsiTheme="minorEastAsia"/>
                <w:sz w:val="21"/>
                <w:szCs w:val="21"/>
              </w:rPr>
            </w:pPr>
            <w:r>
              <w:rPr>
                <w:rFonts w:hint="eastAsia" w:asciiTheme="minorEastAsia" w:hAnsiTheme="minorEastAsia"/>
                <w:sz w:val="21"/>
                <w:szCs w:val="21"/>
              </w:rPr>
              <w:t>★3.3.1质量要求：</w:t>
            </w:r>
          </w:p>
          <w:p w14:paraId="06EFA0EA">
            <w:pPr>
              <w:tabs>
                <w:tab w:val="left" w:pos="720"/>
              </w:tabs>
              <w:rPr>
                <w:rFonts w:hint="eastAsia" w:asciiTheme="minorEastAsia" w:hAnsiTheme="minorEastAsia"/>
                <w:sz w:val="21"/>
                <w:szCs w:val="21"/>
              </w:rPr>
            </w:pPr>
            <w:r>
              <w:rPr>
                <w:rFonts w:hint="eastAsia" w:asciiTheme="minorEastAsia" w:hAnsiTheme="minorEastAsia"/>
                <w:sz w:val="21"/>
                <w:szCs w:val="21"/>
              </w:rPr>
              <w:t>干货制品的质量要求符合《食品安全国家标准目录》及国家相关行业标准，干爽，不霉烂、整齐、均匀、完整，无虫蛀、无杂质，保持应有的色泽。</w:t>
            </w:r>
          </w:p>
        </w:tc>
      </w:tr>
      <w:tr w14:paraId="4BC1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A550738">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8</w:t>
            </w:r>
          </w:p>
        </w:tc>
        <w:tc>
          <w:tcPr>
            <w:tcW w:w="7483" w:type="dxa"/>
          </w:tcPr>
          <w:p w14:paraId="615A11B3">
            <w:pPr>
              <w:tabs>
                <w:tab w:val="left" w:pos="720"/>
              </w:tabs>
              <w:rPr>
                <w:rFonts w:hint="eastAsia" w:asciiTheme="minorEastAsia" w:hAnsiTheme="minorEastAsia"/>
                <w:sz w:val="21"/>
                <w:szCs w:val="21"/>
              </w:rPr>
            </w:pPr>
            <w:r>
              <w:rPr>
                <w:rFonts w:hint="eastAsia" w:asciiTheme="minorEastAsia" w:hAnsiTheme="minorEastAsia"/>
                <w:sz w:val="21"/>
                <w:szCs w:val="21"/>
              </w:rPr>
              <w:t>★3.4其他类别的食材，供应商应根据采购人要求，依据《食品安全国家标准目录》及国家相关行业标准提供。</w:t>
            </w:r>
          </w:p>
        </w:tc>
      </w:tr>
    </w:tbl>
    <w:p w14:paraId="0F2A2887">
      <w:pPr>
        <w:rPr>
          <w:sz w:val="21"/>
        </w:rPr>
      </w:pPr>
      <w:r>
        <w:rPr>
          <w:rFonts w:hint="eastAsia"/>
          <w:sz w:val="21"/>
        </w:rPr>
        <w:t>注：上表所列内容为不可负偏离条款，负偏离将视为未实质性满足招标文件要求作投标无效处理。</w:t>
      </w:r>
    </w:p>
    <w:p w14:paraId="11927FC2">
      <w:pPr>
        <w:pStyle w:val="5"/>
        <w:jc w:val="center"/>
        <w:rPr>
          <w:rFonts w:asciiTheme="minorEastAsia" w:hAnsiTheme="minorEastAsia" w:eastAsiaTheme="minorEastAsia"/>
          <w:szCs w:val="21"/>
        </w:rPr>
      </w:pPr>
      <w:r>
        <w:rPr>
          <w:rFonts w:hint="eastAsia" w:asciiTheme="minorEastAsia" w:hAnsiTheme="minorEastAsia" w:eastAsiaTheme="minorEastAsia"/>
          <w:szCs w:val="21"/>
        </w:rPr>
        <w:t>四、项目服务要求</w:t>
      </w:r>
    </w:p>
    <w:p w14:paraId="2454BB2D">
      <w:pPr>
        <w:pStyle w:val="2"/>
        <w:spacing w:before="120" w:beforeLines="50" w:after="120" w:afterLines="50" w:line="360" w:lineRule="auto"/>
        <w:jc w:val="left"/>
        <w:rPr>
          <w:rFonts w:hint="default" w:ascii="仿宋" w:hAnsi="仿宋" w:eastAsia="仿宋" w:cs="宋体"/>
          <w:b/>
          <w:bCs/>
          <w:sz w:val="24"/>
          <w:szCs w:val="21"/>
          <w:lang w:val="en-US" w:eastAsia="zh-CN" w:bidi="ar-SA"/>
        </w:rPr>
      </w:pPr>
      <w:r>
        <w:rPr>
          <w:rFonts w:hint="eastAsia" w:ascii="仿宋" w:hAnsi="仿宋" w:eastAsia="仿宋" w:cs="宋体"/>
          <w:b/>
          <w:bCs/>
          <w:sz w:val="24"/>
          <w:szCs w:val="21"/>
          <w:lang w:val="zh-CN" w:eastAsia="zh-CN" w:bidi="ar-SA"/>
        </w:rPr>
        <w:t>（一）项目整体要求</w:t>
      </w:r>
    </w:p>
    <w:p w14:paraId="1C9D44FD">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1.1项目概况：为从源头上保障食堂原材料的卫生安全，降低采购成本，提升食堂管理规范化水平，现向具备相关资质和能力的供应商按招标文件约定向采购人提供蔬菜类、肉类、干货类等食材配送全套服务。</w:t>
      </w:r>
    </w:p>
    <w:p w14:paraId="5A1BB2EF">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1.2本项目共产生1家中标供应商，有关合同由中标供应商同深圳市公安局监所管理支队签署。</w:t>
      </w:r>
    </w:p>
    <w:p w14:paraId="5F5B695A">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★1.3投标供应商承诺中标后能提供中农数据“天天采配”食堂采配应用平台（www.chinaap.com）网上采购系统账号供采购人单独使用，并承担由此发生的一切相关费用，采购人对此无须支付任何费用。</w:t>
      </w:r>
    </w:p>
    <w:p w14:paraId="2DF8D9A5">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1.4采购人有权对中标供应商的服务情况进行考核，具体考核内容由采购人制定，并且有权进行更新。</w:t>
      </w:r>
    </w:p>
    <w:p w14:paraId="1DF21062">
      <w:pPr>
        <w:spacing w:line="360" w:lineRule="auto"/>
        <w:ind w:firstLine="464" w:firstLineChars="200"/>
        <w:rPr>
          <w:rFonts w:ascii="仿宋" w:hAnsi="仿宋" w:eastAsia="仿宋" w:cs="仿宋"/>
          <w:szCs w:val="21"/>
        </w:rPr>
      </w:pPr>
      <w:r>
        <w:rPr>
          <w:rFonts w:hint="eastAsia" w:ascii="仿宋" w:hAnsi="仿宋" w:eastAsia="仿宋" w:cs="仿宋"/>
          <w:szCs w:val="21"/>
        </w:rPr>
        <w:t>★1.5项目依据及标准：《中华人民共和国食品安全法》产品国家标准等，项目履约过程中国家标准有更新的，依据最新的标准执行。</w:t>
      </w:r>
    </w:p>
    <w:p w14:paraId="574E4BEC">
      <w:pPr>
        <w:pStyle w:val="2"/>
        <w:keepNext w:val="0"/>
        <w:keepLines w:val="0"/>
        <w:widowControl/>
        <w:numPr>
          <w:ilvl w:val="0"/>
          <w:numId w:val="1"/>
        </w:numPr>
        <w:spacing w:before="120" w:beforeLines="50" w:after="120" w:afterLines="50" w:line="360" w:lineRule="auto"/>
        <w:ind w:left="422" w:hanging="422"/>
        <w:jc w:val="left"/>
        <w:rPr>
          <w:rFonts w:hint="eastAsia" w:ascii="仿宋" w:hAnsi="仿宋" w:eastAsia="仿宋" w:cs="宋体"/>
          <w:b/>
          <w:bCs/>
          <w:sz w:val="24"/>
          <w:szCs w:val="21"/>
          <w:lang w:val="zh-CN" w:eastAsia="zh-CN" w:bidi="ar-SA"/>
        </w:rPr>
      </w:pPr>
      <w:r>
        <w:rPr>
          <w:rFonts w:hint="eastAsia" w:ascii="仿宋" w:hAnsi="仿宋" w:eastAsia="仿宋" w:cs="宋体"/>
          <w:b/>
          <w:bCs/>
          <w:sz w:val="24"/>
          <w:szCs w:val="21"/>
          <w:lang w:val="zh-CN" w:eastAsia="zh-CN" w:bidi="ar-SA"/>
        </w:rPr>
        <w:t>项目服务要求</w:t>
      </w:r>
    </w:p>
    <w:p w14:paraId="7551400E">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2.1总体质量要求：</w:t>
      </w:r>
    </w:p>
    <w:p w14:paraId="244AB0E3">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★2.1.1供应商配送的肉类、蔬菜、干货等食材必须保证质量，符合《食品安全国家标准目录》相应要求，不得腐烂、变质等。</w:t>
      </w:r>
    </w:p>
    <w:p w14:paraId="0DF114CA">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2.1.2供应商所送货品要求包装完整、无外漏。采购人每日对供应商所送食材进行验收：对不符合质量要求的货品可作换货或退货处理；对缺斤短两的应按实际重量扣减货款或要求立即补足；对冻品等含冰量超标的，应按净含量计算货款或要求立即补送净含量达标的产品；凡属于质量问题的货品，供应商必须无条件负责退换。如双方对货品质量存在争议，在退货前应共同封存样品备查，并送深圳市或用户所在地地级市以上质监部门检测。</w:t>
      </w:r>
    </w:p>
    <w:p w14:paraId="3B809C3A">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2.1.3如配送的食材不符合要求，一次提出口头警告并要求供应商进行退换货并做出书面保证，二次约谈供应商并在次月结算予以扣减食材不符合要求当日货款的10%，不符合要求达到三次的，采购人可上报上级部门对供应商进行相应处罚。</w:t>
      </w:r>
    </w:p>
    <w:p w14:paraId="4F88337E">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2.1.4供应商应从未出现配送食品安全事故。若因供应商配送食材、食品导致采购人出现食品安全事故时，经卫生防疫相关部门检验，证明确属于供应商造成的，供应商必须承担经济与法律上的全部责任。</w:t>
      </w:r>
    </w:p>
    <w:p w14:paraId="7D2FC7A6">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2.2数量要求：</w:t>
      </w:r>
    </w:p>
    <w:p w14:paraId="61E151B9">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供应商配送食材不得“短斤少两”。以采购人的验货数量为准，供应商每次随货送上一式两份的送货清单，供采购人验货后签字确认，双方各持一份，作为送、收货的凭证。</w:t>
      </w:r>
    </w:p>
    <w:p w14:paraId="0645D3C3">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2.3时间要求：</w:t>
      </w:r>
    </w:p>
    <w:p w14:paraId="04779290">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★2.3.1供应商须保证服务期内每一个自然日均能送货。</w:t>
      </w:r>
    </w:p>
    <w:p w14:paraId="6AD571A4">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2.3.2供应商必须在每天早上6：00前把当日所配送的食材按质按量送达采购人指定地点，由采购人工作人员验收核对后入库。供应商送货无故超出约定时间30分钟，则将在次月结算予以扣减超时配送当日货款的10%。如采购人对货物验收不合格导致退换货的，退补货品需在1小时内补给，不能影响采购人正常供餐。供应商如有特殊情况延迟送货的，需提前通知采购人；在通知采购人后，供应商配送到达时间不得超过约定时间1小时。</w:t>
      </w:r>
    </w:p>
    <w:p w14:paraId="7E9B1652">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2.3.3采购人每天早餐需濑粉、河粉、面条，供应商须在当天早上6:00前送到采购人食堂。</w:t>
      </w:r>
    </w:p>
    <w:p w14:paraId="226D84F5">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2.3.4采购人如需临时加送菜品（提前3小时通知供应商），供应商必须无条件在采购人指定的时间内送达。</w:t>
      </w:r>
    </w:p>
    <w:p w14:paraId="5FD67452">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2.4品牌及品种调整：</w:t>
      </w:r>
    </w:p>
    <w:p w14:paraId="5A415559">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2.4.1如遇食材品牌或品种停止生产经营，或产地发生台风、海啸等不可抗力的自然灾害导致无法配送的，供应商负责举证并提出书面申请和相应的解决方案，采购人应当成立讨论小组商决应对方案。</w:t>
      </w:r>
    </w:p>
    <w:p w14:paraId="2D149C98">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2.4.2采购人如需增加采购货品清单以外货物的，由供应商报价，报价不高于中农数据网该货物当天价格乘以中标折扣率。如遇中农数据网无相关报价的，由采购人组织人员到大型超市或农贸市场进行考察确定报价的合理性。</w:t>
      </w:r>
    </w:p>
    <w:p w14:paraId="2C023378">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2.5责任界定：</w:t>
      </w:r>
    </w:p>
    <w:p w14:paraId="35992C00">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2.5.1供应商的食材必须符合国家有关部门规定的食品安全标准，如果因供应商所供货的食材造成采购人就餐人员食物中毒的，经卫生防疫部门鉴定，属供应商责任，供应商须承担全部法律责任并作出经济赔偿。</w:t>
      </w:r>
    </w:p>
    <w:p w14:paraId="3CD57039">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2.5.2供应商应加强对员工的安全教育与培训，供应商的粗加工人员和配送人员在服务过程中如遇到人员伤亡事故由供应商负全部责任，与采购人无关。</w:t>
      </w:r>
    </w:p>
    <w:p w14:paraId="5C1748DE">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2.6其他要求：</w:t>
      </w:r>
    </w:p>
    <w:p w14:paraId="720D9E67">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2.6.1供应商须提供1名或以上专业管理人员为本项目服务，由采购人调配。</w:t>
      </w:r>
    </w:p>
    <w:p w14:paraId="087BCC6E">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2.6.2中标供应商所有员工凭健康证上岗，同时应成立食堂配送项目专项服务小组，负责相关工作及提供各种服务。供应商须提供总计不少于6名的专业服务人员（包括粗加工人员和配送人员）为本项目服务，供应商根据要求对肉类、禽类等进行分割、粗加工处理后配送到采购人食堂。专业服务人员应为中标供应商的正式在职员工，持有健康证，服从采购人的食堂管理和工作调配。如食堂用餐人数和每日订菜数量发生变化，采购人有权对配送员人数提出增减需求，中标供应商应对专职配送员安排人数进行增减调配。</w:t>
      </w:r>
    </w:p>
    <w:p w14:paraId="0229D8D7">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2.6.3供应商须根据实际情况为采购人提供温馨提示，如哪些食材价格涨幅大等信息。</w:t>
      </w:r>
    </w:p>
    <w:p w14:paraId="1E748FF2">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2.6.4如突发食品安全事件、公共卫生事件等，供应商须无条件配合采购人或相关部门的调查、无条件按照采购人要求执行配送服务。</w:t>
      </w:r>
    </w:p>
    <w:p w14:paraId="2C5A0DAF">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2.6.5因实际工作需要，该项目配送要求供应商可根据采购人需求提供“专车专送”配送服务。</w:t>
      </w:r>
    </w:p>
    <w:p w14:paraId="65B39C6C">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2.6.6供应商须确保所有采购食材供应链可追溯，未经允许不得提供进口产品作为供货食材。如因食材问题导致后果，供应商须承担相应法律及经济责任。</w:t>
      </w:r>
    </w:p>
    <w:p w14:paraId="7D5F31B2">
      <w:pPr>
        <w:spacing w:line="360" w:lineRule="auto"/>
        <w:ind w:firstLine="464" w:firstLineChars="200"/>
        <w:rPr>
          <w:rFonts w:hint="eastAsia" w:ascii="仿宋" w:hAnsi="仿宋" w:eastAsia="仿宋" w:cs="仿宋"/>
          <w:szCs w:val="21"/>
        </w:rPr>
      </w:pPr>
      <w:r>
        <w:rPr>
          <w:rFonts w:hint="eastAsia" w:ascii="仿宋" w:hAnsi="仿宋" w:eastAsia="仿宋" w:cs="仿宋"/>
          <w:szCs w:val="21"/>
        </w:rPr>
        <w:t>2.6.7供应商严禁提供境外冷链食品或活禽，尽量不提供冷冻食品。</w:t>
      </w:r>
    </w:p>
    <w:p w14:paraId="13274EF1">
      <w:pPr>
        <w:pStyle w:val="2"/>
        <w:keepNext w:val="0"/>
        <w:keepLines w:val="0"/>
        <w:widowControl/>
        <w:numPr>
          <w:ilvl w:val="0"/>
          <w:numId w:val="1"/>
        </w:numPr>
        <w:spacing w:before="0" w:after="0" w:line="360" w:lineRule="auto"/>
        <w:ind w:left="422" w:hanging="422"/>
        <w:jc w:val="left"/>
        <w:rPr>
          <w:rFonts w:hint="eastAsia" w:ascii="仿宋" w:hAnsi="仿宋" w:eastAsia="仿宋" w:cs="宋体"/>
          <w:b/>
          <w:bCs/>
          <w:sz w:val="24"/>
          <w:szCs w:val="21"/>
          <w:lang w:val="zh-CN" w:eastAsia="zh-CN" w:bidi="ar-SA"/>
        </w:rPr>
      </w:pPr>
      <w:r>
        <w:rPr>
          <w:rFonts w:hint="eastAsia" w:ascii="仿宋" w:hAnsi="仿宋" w:eastAsia="仿宋" w:cs="宋体"/>
          <w:b/>
          <w:bCs/>
          <w:sz w:val="24"/>
          <w:szCs w:val="21"/>
          <w:lang w:val="zh-CN" w:eastAsia="zh-CN" w:bidi="ar-SA"/>
        </w:rPr>
        <w:t>分类具体要求</w:t>
      </w:r>
    </w:p>
    <w:p w14:paraId="415C9774">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3.1肉类（含生鲜猪、牛肉类、冻品、鱼类、肉制品、熟食等）</w:t>
      </w:r>
    </w:p>
    <w:p w14:paraId="2B69293D">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3.1.1质量要求：</w:t>
      </w:r>
    </w:p>
    <w:p w14:paraId="44C47D50">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3.1.1.1供应商提供肉类及肉制品应有《卫生检疫报告》、《产品合格证》。</w:t>
      </w:r>
    </w:p>
    <w:p w14:paraId="51794CD7">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 xml:space="preserve">3.1.1.2所供肉类应保持较好的外观和质量等级，必须符合食品卫生要求及国家有关标准和行业规范，保证无异味、无霉烂、无变质，保证来源于具有合法屠宰资质和检验检疫证明的屠宰场，供货时须提交当批次有效的动物检疫合格证复印件（原件备查）。  </w:t>
      </w:r>
    </w:p>
    <w:p w14:paraId="4B0F269C">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3.1.1.3确保每日供应新鲜肉品。肉品须表皮洁净，膘厚适中、色泽鲜亮、纹理清晰、肉质细腻、无异味，来源明确，并随货提供当批次有效的检验检疫合格证明。严禁含有毒有害物质、虫及混有异物，严禁有腐烂变质、酸败、霉变情况。</w:t>
      </w:r>
    </w:p>
    <w:p w14:paraId="12AECE3A">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3.1.1.4冷冻肉要求肉体冻实而坚硬，无化冻现象，肉质紧密而有弹性，色泽均匀，不粘手，交货时干净、新鲜、无异味；禁止采购超过保质期限的冻肉类食品；冻肉类包装必须符合国家规范，不得存放在有毒、有害的容器和承载物内。</w:t>
      </w:r>
    </w:p>
    <w:p w14:paraId="6025AAED">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3.1.1.5熟食包括烧鸡、烧鸭、烧鹅等。熟食的保质期较短，保鲜要求高，供应的熟食需保证产品的品质。</w:t>
      </w:r>
    </w:p>
    <w:p w14:paraId="3CFB016B">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3.1.2供应和管理要求：</w:t>
      </w:r>
    </w:p>
    <w:p w14:paraId="01F66677">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3.1.2.1配送要求：运输必须采用符合卫生要求的外包装和运载工具，并且要保持送货车辆的清洁卫生及性能稳定，定期进行消毒，运输车厢的内仓，包括地面、墙面和顶，应为抗腐蚀、防潮，防虫、防鼠的设计，车厢内无不良气味、异味。运输过程应科学合理，冷藏、冷冻食材必须用专用冷藏、冷冻载具运输，应当有必要的保温设备并在整个运输过程中保持安全、合适的冷藏、冷冻温度，并保证运输过程冷链不中断。食材到达目的地时外包装箱干爽，无软化现象。</w:t>
      </w:r>
    </w:p>
    <w:p w14:paraId="63882501">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3.1.2.2卸货要求：卸货时食材堆放科学合理，避免造成食材串味、交叉污染；在卸货环节中应保证冷藏食品脱离冷链时间不得超过20分钟，冷冻食品脱离冷链时间不得超过30分钟。</w:t>
      </w:r>
    </w:p>
    <w:p w14:paraId="180DC4D9">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3.1.3肉类抽查发现问题的处理：</w:t>
      </w:r>
    </w:p>
    <w:p w14:paraId="6C941D07">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3.1.3.1如采购人或采购人邀请、聘请的第三方部门、机构对肉类检验发现严重质量问题，经相关部门调查确属于供应商责任的，采购人可将相关情况上报主管部门，并追究供应商相应的法律、经济责任。</w:t>
      </w:r>
    </w:p>
    <w:p w14:paraId="0DFC3C81">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3.1.3.2整批肉类无正规部门出具的动植物检疫合格证明的全部退货；</w:t>
      </w:r>
    </w:p>
    <w:p w14:paraId="31E689D6">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3.1.3.3抽查发现部分肉类无政府部门出具的动植物检疫合格证明，加抽15%（即在原抽查数量基础上增加15%进行第二次抽查），两次抽查数50%以上没有动植物检疫合格证明的，全部退货；50%以下没有动植物检疫合格证明的，将无动植物检疫合格证明的货物退货；</w:t>
      </w:r>
    </w:p>
    <w:p w14:paraId="74406145">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3.1.3.4整批肉类有省地市出具的动植物检疫合格证明，随箱产品合格证不齐全的，加抽15%（即在原抽查数量基础上增加15%进行第二次抽查），两次抽查数50%以上没有产品合格证的，全部退货；50%以下没有产品合格证明的，将无产品合格证明的货物退货。</w:t>
      </w:r>
    </w:p>
    <w:p w14:paraId="7FCC627C">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rPr>
        <w:t xml:space="preserve"> 3.1.4几种主要肉类具体质量要求（见下表）</w:t>
      </w:r>
      <w:r>
        <w:rPr>
          <w:rFonts w:hint="eastAsia" w:ascii="仿宋" w:hAnsi="仿宋" w:eastAsia="仿宋" w:cs="宋体"/>
          <w:szCs w:val="21"/>
          <w:lang w:eastAsia="zh-CN"/>
        </w:rPr>
        <w:t>：</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753"/>
        <w:gridCol w:w="1012"/>
        <w:gridCol w:w="705"/>
        <w:gridCol w:w="6324"/>
      </w:tblGrid>
      <w:tr w14:paraId="33EA4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2BFBE25E">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序号</w:t>
            </w:r>
          </w:p>
        </w:tc>
        <w:tc>
          <w:tcPr>
            <w:tcW w:w="1012" w:type="dxa"/>
            <w:shd w:val="clear" w:color="auto" w:fill="FFFFFF"/>
            <w:noWrap w:val="0"/>
            <w:vAlign w:val="center"/>
          </w:tcPr>
          <w:p w14:paraId="7B94B67A">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品名</w:t>
            </w:r>
          </w:p>
        </w:tc>
        <w:tc>
          <w:tcPr>
            <w:tcW w:w="705" w:type="dxa"/>
            <w:shd w:val="clear" w:color="auto" w:fill="FFFFFF"/>
            <w:noWrap w:val="0"/>
            <w:vAlign w:val="center"/>
          </w:tcPr>
          <w:p w14:paraId="262E15DA">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规格</w:t>
            </w:r>
          </w:p>
        </w:tc>
        <w:tc>
          <w:tcPr>
            <w:tcW w:w="6324" w:type="dxa"/>
            <w:shd w:val="clear" w:color="auto" w:fill="FFFFFF"/>
            <w:noWrap w:val="0"/>
            <w:vAlign w:val="center"/>
          </w:tcPr>
          <w:p w14:paraId="2AB554BC">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质量要求</w:t>
            </w:r>
          </w:p>
        </w:tc>
      </w:tr>
      <w:tr w14:paraId="48848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645FF29A">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1</w:t>
            </w:r>
          </w:p>
        </w:tc>
        <w:tc>
          <w:tcPr>
            <w:tcW w:w="1012" w:type="dxa"/>
            <w:shd w:val="clear" w:color="auto" w:fill="FFFFFF"/>
            <w:noWrap w:val="0"/>
            <w:vAlign w:val="center"/>
          </w:tcPr>
          <w:p w14:paraId="77B8EB6E">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鲜猪肉</w:t>
            </w:r>
          </w:p>
        </w:tc>
        <w:tc>
          <w:tcPr>
            <w:tcW w:w="705" w:type="dxa"/>
            <w:shd w:val="clear" w:color="auto" w:fill="FFFFFF"/>
            <w:noWrap w:val="0"/>
            <w:vAlign w:val="center"/>
          </w:tcPr>
          <w:p w14:paraId="4C47AED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2CB63209">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表皮白净，脂肪洁白无霉点，肉呈鲜红色或枚红色，弹性好，表面不黏手，有正常的猪肉气味。</w:t>
            </w:r>
          </w:p>
        </w:tc>
      </w:tr>
      <w:tr w14:paraId="5F3D4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167F1BA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2</w:t>
            </w:r>
          </w:p>
        </w:tc>
        <w:tc>
          <w:tcPr>
            <w:tcW w:w="1012" w:type="dxa"/>
            <w:shd w:val="clear" w:color="auto" w:fill="FFFFFF"/>
            <w:noWrap w:val="0"/>
            <w:vAlign w:val="center"/>
          </w:tcPr>
          <w:p w14:paraId="53CAC546">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鲜牛肉</w:t>
            </w:r>
          </w:p>
        </w:tc>
        <w:tc>
          <w:tcPr>
            <w:tcW w:w="705" w:type="dxa"/>
            <w:shd w:val="clear" w:color="auto" w:fill="FFFFFF"/>
            <w:noWrap w:val="0"/>
            <w:vAlign w:val="center"/>
          </w:tcPr>
          <w:p w14:paraId="29C1BC7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6255C3F9">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肉呈均匀的红色，有光泽，脂肪呈白色或微黄色，不黏手，结构紧密，用手指按压凹陷后会立即复原，有正常牛肉气味。</w:t>
            </w:r>
          </w:p>
        </w:tc>
      </w:tr>
      <w:tr w14:paraId="0EDD4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53" w:type="dxa"/>
            <w:shd w:val="clear" w:color="auto" w:fill="FFFFFF"/>
            <w:noWrap w:val="0"/>
            <w:vAlign w:val="center"/>
          </w:tcPr>
          <w:p w14:paraId="0A391A6A">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3</w:t>
            </w:r>
          </w:p>
        </w:tc>
        <w:tc>
          <w:tcPr>
            <w:tcW w:w="1012" w:type="dxa"/>
            <w:shd w:val="clear" w:color="auto" w:fill="FFFFFF"/>
            <w:noWrap w:val="0"/>
            <w:vAlign w:val="center"/>
          </w:tcPr>
          <w:p w14:paraId="380EF68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CN"/>
              </w:rPr>
              <w:t>鲜羊肉</w:t>
            </w:r>
          </w:p>
        </w:tc>
        <w:tc>
          <w:tcPr>
            <w:tcW w:w="705" w:type="dxa"/>
            <w:shd w:val="clear" w:color="auto" w:fill="FFFFFF"/>
            <w:noWrap w:val="0"/>
            <w:vAlign w:val="center"/>
          </w:tcPr>
          <w:p w14:paraId="4B483905">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14874F0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颜色深红色或淡红色，有光泽，脂肪洁白或乳白，弹性好，肉质纤维细软，有正常羊肉的膻气。</w:t>
            </w:r>
          </w:p>
        </w:tc>
      </w:tr>
      <w:tr w14:paraId="77D93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5FE56B58">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en-US" w:eastAsia="zh-CN"/>
              </w:rPr>
              <w:t>4</w:t>
            </w:r>
          </w:p>
        </w:tc>
        <w:tc>
          <w:tcPr>
            <w:tcW w:w="1012" w:type="dxa"/>
            <w:shd w:val="clear" w:color="auto" w:fill="FFFFFF"/>
            <w:noWrap w:val="0"/>
            <w:vAlign w:val="center"/>
          </w:tcPr>
          <w:p w14:paraId="29E3CB1C">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新鲜鸡</w:t>
            </w:r>
          </w:p>
        </w:tc>
        <w:tc>
          <w:tcPr>
            <w:tcW w:w="705" w:type="dxa"/>
            <w:shd w:val="clear" w:color="auto" w:fill="FFFFFF"/>
            <w:noWrap w:val="0"/>
            <w:vAlign w:val="center"/>
          </w:tcPr>
          <w:p w14:paraId="08577D2F">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3AF4A10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整鸡表皮光滑，新鲜肥嫩，皮肤有光泽，无内脏，</w:t>
            </w:r>
            <w:r>
              <w:rPr>
                <w:rFonts w:hint="eastAsia" w:ascii="仿宋" w:hAnsi="仿宋" w:eastAsia="仿宋" w:cs="仿宋"/>
                <w:bCs/>
                <w:smallCaps w:val="0"/>
                <w:sz w:val="24"/>
                <w:szCs w:val="24"/>
                <w:highlight w:val="none"/>
                <w:lang w:val="en-US" w:eastAsia="zh-CN"/>
              </w:rPr>
              <w:t>因</w:t>
            </w:r>
            <w:r>
              <w:rPr>
                <w:rFonts w:hint="eastAsia" w:ascii="仿宋" w:hAnsi="仿宋" w:eastAsia="仿宋" w:cs="仿宋"/>
                <w:bCs/>
                <w:smallCaps w:val="0"/>
                <w:sz w:val="24"/>
                <w:szCs w:val="24"/>
                <w:highlight w:val="none"/>
                <w:lang w:val="zh-TW" w:eastAsia="zh-CN"/>
              </w:rPr>
              <w:t>品种不同而呈黄、浅黄、 淡红、灰白等色，肌肉切面有光泽，外表微湿润，不粘手。有鸡的正常气味。</w:t>
            </w:r>
          </w:p>
        </w:tc>
      </w:tr>
      <w:tr w14:paraId="7672E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483CADB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en-US" w:eastAsia="zh-CN"/>
              </w:rPr>
              <w:t>5</w:t>
            </w:r>
          </w:p>
        </w:tc>
        <w:tc>
          <w:tcPr>
            <w:tcW w:w="1012" w:type="dxa"/>
            <w:shd w:val="clear" w:color="auto" w:fill="FFFFFF"/>
            <w:noWrap w:val="0"/>
            <w:vAlign w:val="center"/>
          </w:tcPr>
          <w:p w14:paraId="28379D56">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新鲜鸭</w:t>
            </w:r>
          </w:p>
        </w:tc>
        <w:tc>
          <w:tcPr>
            <w:tcW w:w="705" w:type="dxa"/>
            <w:shd w:val="clear" w:color="auto" w:fill="FFFFFF"/>
            <w:noWrap w:val="0"/>
            <w:vAlign w:val="center"/>
          </w:tcPr>
          <w:p w14:paraId="4DCDA018">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58228A20">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整鸭表皮光滑，新鲜肥嫩，皮肤有光泽，无内脏，</w:t>
            </w:r>
            <w:r>
              <w:rPr>
                <w:rFonts w:hint="eastAsia" w:ascii="仿宋" w:hAnsi="仿宋" w:eastAsia="仿宋" w:cs="仿宋"/>
                <w:bCs/>
                <w:smallCaps w:val="0"/>
                <w:sz w:val="24"/>
                <w:szCs w:val="24"/>
                <w:highlight w:val="none"/>
                <w:lang w:val="en-US" w:eastAsia="zh-CN"/>
              </w:rPr>
              <w:t>因</w:t>
            </w:r>
            <w:r>
              <w:rPr>
                <w:rFonts w:hint="eastAsia" w:ascii="仿宋" w:hAnsi="仿宋" w:eastAsia="仿宋" w:cs="仿宋"/>
                <w:bCs/>
                <w:smallCaps w:val="0"/>
                <w:sz w:val="24"/>
                <w:szCs w:val="24"/>
                <w:highlight w:val="none"/>
                <w:lang w:val="zh-TW" w:eastAsia="zh-CN"/>
              </w:rPr>
              <w:t>品种不同</w:t>
            </w:r>
            <w:r>
              <w:rPr>
                <w:rFonts w:hint="eastAsia" w:ascii="仿宋" w:hAnsi="仿宋" w:eastAsia="仿宋" w:cs="仿宋"/>
                <w:bCs/>
                <w:smallCaps w:val="0"/>
                <w:sz w:val="24"/>
                <w:szCs w:val="24"/>
                <w:highlight w:val="none"/>
                <w:lang w:val="en-US" w:eastAsia="zh-CN"/>
              </w:rPr>
              <w:t>而</w:t>
            </w:r>
            <w:r>
              <w:rPr>
                <w:rFonts w:hint="eastAsia" w:ascii="仿宋" w:hAnsi="仿宋" w:eastAsia="仿宋" w:cs="仿宋"/>
                <w:bCs/>
                <w:smallCaps w:val="0"/>
                <w:sz w:val="24"/>
                <w:szCs w:val="24"/>
                <w:highlight w:val="none"/>
                <w:lang w:val="zh-TW" w:eastAsia="zh-CN"/>
              </w:rPr>
              <w:t>呈黄、浅黄、淡红等色，肌肉切面有光泽，外表微湿润，不粘手。具有鸭的正常气味。</w:t>
            </w:r>
          </w:p>
        </w:tc>
      </w:tr>
      <w:tr w14:paraId="29180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5B3B4D52">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6</w:t>
            </w:r>
          </w:p>
        </w:tc>
        <w:tc>
          <w:tcPr>
            <w:tcW w:w="1012" w:type="dxa"/>
            <w:shd w:val="clear" w:color="auto" w:fill="FFFFFF"/>
            <w:noWrap w:val="0"/>
            <w:vAlign w:val="center"/>
          </w:tcPr>
          <w:p w14:paraId="6172A742">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鱼</w:t>
            </w:r>
          </w:p>
        </w:tc>
        <w:tc>
          <w:tcPr>
            <w:tcW w:w="705" w:type="dxa"/>
            <w:shd w:val="clear" w:color="auto" w:fill="FFFFFF"/>
            <w:noWrap w:val="0"/>
            <w:vAlign w:val="center"/>
          </w:tcPr>
          <w:p w14:paraId="7F0A44E4">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斤</w:t>
            </w:r>
          </w:p>
        </w:tc>
        <w:tc>
          <w:tcPr>
            <w:tcW w:w="6324" w:type="dxa"/>
            <w:shd w:val="clear" w:color="auto" w:fill="FFFFFF"/>
            <w:noWrap w:val="0"/>
            <w:vAlign w:val="center"/>
          </w:tcPr>
          <w:p w14:paraId="2FAC7379">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鲜鱼眼睛凸起，澄清有光泽，腮紧闭，腮片呈鲜红色或红色，无粘液和污物，鳞片整齐，排列紧密，有正常鱼腥味。</w:t>
            </w:r>
          </w:p>
        </w:tc>
      </w:tr>
      <w:tr w14:paraId="61E6F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653" w:hRule="atLeast"/>
          <w:jc w:val="center"/>
        </w:trPr>
        <w:tc>
          <w:tcPr>
            <w:tcW w:w="753" w:type="dxa"/>
            <w:shd w:val="clear" w:color="auto" w:fill="FFFFFF"/>
            <w:noWrap w:val="0"/>
            <w:vAlign w:val="center"/>
          </w:tcPr>
          <w:p w14:paraId="761B6571">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en-US" w:eastAsia="zh-CN"/>
              </w:rPr>
              <w:t>7</w:t>
            </w:r>
          </w:p>
        </w:tc>
        <w:tc>
          <w:tcPr>
            <w:tcW w:w="1012" w:type="dxa"/>
            <w:shd w:val="clear" w:color="auto" w:fill="FFFFFF"/>
            <w:noWrap w:val="0"/>
            <w:vAlign w:val="center"/>
          </w:tcPr>
          <w:p w14:paraId="3FE78190">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冻鸡腿</w:t>
            </w:r>
          </w:p>
        </w:tc>
        <w:tc>
          <w:tcPr>
            <w:tcW w:w="705" w:type="dxa"/>
            <w:shd w:val="clear" w:color="auto" w:fill="FFFFFF"/>
            <w:noWrap w:val="0"/>
            <w:vAlign w:val="center"/>
          </w:tcPr>
          <w:p w14:paraId="72F2438C">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4DADA4A0">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个体完整、大小均匀、</w:t>
            </w:r>
            <w:r>
              <w:rPr>
                <w:rFonts w:hint="eastAsia" w:ascii="仿宋" w:hAnsi="仿宋" w:eastAsia="仿宋" w:cs="仿宋"/>
                <w:bCs/>
                <w:smallCaps w:val="0"/>
                <w:sz w:val="24"/>
                <w:szCs w:val="24"/>
                <w:highlight w:val="none"/>
                <w:lang w:val="en-US" w:eastAsia="zh-CN"/>
              </w:rPr>
              <w:t>外表干净、</w:t>
            </w:r>
            <w:r>
              <w:rPr>
                <w:rFonts w:hint="eastAsia" w:ascii="仿宋" w:hAnsi="仿宋" w:eastAsia="仿宋" w:cs="仿宋"/>
                <w:bCs/>
                <w:smallCaps w:val="0"/>
                <w:sz w:val="24"/>
                <w:szCs w:val="24"/>
                <w:highlight w:val="none"/>
                <w:lang w:val="zh-TW" w:eastAsia="zh-CN"/>
              </w:rPr>
              <w:t>色泽均匀、无异味</w:t>
            </w:r>
          </w:p>
        </w:tc>
      </w:tr>
      <w:tr w14:paraId="4EEBA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039" w:hRule="atLeast"/>
          <w:jc w:val="center"/>
        </w:trPr>
        <w:tc>
          <w:tcPr>
            <w:tcW w:w="753" w:type="dxa"/>
            <w:shd w:val="clear" w:color="auto" w:fill="FFFFFF"/>
            <w:noWrap w:val="0"/>
            <w:vAlign w:val="center"/>
          </w:tcPr>
          <w:p w14:paraId="583CADA4">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en-US" w:eastAsia="zh-CN"/>
              </w:rPr>
              <w:t>8</w:t>
            </w:r>
          </w:p>
        </w:tc>
        <w:tc>
          <w:tcPr>
            <w:tcW w:w="1012" w:type="dxa"/>
            <w:shd w:val="clear" w:color="auto" w:fill="FFFFFF"/>
            <w:noWrap w:val="0"/>
            <w:vAlign w:val="center"/>
          </w:tcPr>
          <w:p w14:paraId="2E270308">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肉</w:t>
            </w:r>
            <w:r>
              <w:rPr>
                <w:rFonts w:hint="eastAsia" w:ascii="仿宋" w:hAnsi="仿宋" w:eastAsia="仿宋" w:cs="仿宋"/>
                <w:bCs/>
                <w:smallCaps w:val="0"/>
                <w:sz w:val="24"/>
                <w:szCs w:val="24"/>
                <w:highlight w:val="none"/>
                <w:lang w:val="zh-TW" w:eastAsia="zh-TW"/>
              </w:rPr>
              <w:t>丸</w:t>
            </w:r>
            <w:r>
              <w:rPr>
                <w:rFonts w:hint="eastAsia" w:ascii="仿宋" w:hAnsi="仿宋" w:eastAsia="仿宋" w:cs="仿宋"/>
                <w:bCs/>
                <w:smallCaps w:val="0"/>
                <w:sz w:val="24"/>
                <w:szCs w:val="24"/>
                <w:highlight w:val="none"/>
                <w:lang w:val="zh-TW" w:eastAsia="zh-CN"/>
              </w:rPr>
              <w:t>类</w:t>
            </w:r>
          </w:p>
        </w:tc>
        <w:tc>
          <w:tcPr>
            <w:tcW w:w="705" w:type="dxa"/>
            <w:shd w:val="clear" w:color="auto" w:fill="FFFFFF"/>
            <w:noWrap w:val="0"/>
            <w:vAlign w:val="center"/>
          </w:tcPr>
          <w:p w14:paraId="0B4CF71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TW"/>
              </w:rPr>
            </w:pPr>
            <w:r>
              <w:rPr>
                <w:rFonts w:hint="eastAsia" w:ascii="仿宋" w:hAnsi="仿宋" w:eastAsia="仿宋" w:cs="仿宋"/>
                <w:bCs/>
                <w:smallCaps w:val="0"/>
                <w:sz w:val="24"/>
                <w:szCs w:val="24"/>
                <w:highlight w:val="none"/>
                <w:lang w:val="zh-TW" w:eastAsia="zh-TW"/>
              </w:rPr>
              <w:t>斤</w:t>
            </w:r>
          </w:p>
        </w:tc>
        <w:tc>
          <w:tcPr>
            <w:tcW w:w="6324" w:type="dxa"/>
            <w:shd w:val="clear" w:color="auto" w:fill="FFFFFF"/>
            <w:noWrap w:val="0"/>
            <w:vAlign w:val="center"/>
          </w:tcPr>
          <w:p w14:paraId="086FB90D">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具有良好的弹性，水煮后用手捏应不轻易破裂。切开丸体其剖面应比较平整，不能有明显的冰晶状物。</w:t>
            </w:r>
          </w:p>
        </w:tc>
      </w:tr>
      <w:tr w14:paraId="62C22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3" w:hRule="atLeast"/>
          <w:jc w:val="center"/>
        </w:trPr>
        <w:tc>
          <w:tcPr>
            <w:tcW w:w="8794" w:type="dxa"/>
            <w:gridSpan w:val="4"/>
            <w:shd w:val="clear" w:color="auto" w:fill="FFFFFF"/>
            <w:noWrap w:val="0"/>
            <w:vAlign w:val="center"/>
          </w:tcPr>
          <w:p w14:paraId="3F89AF6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备注：表中未列明的项目，应采购人需要由中标人供给。</w:t>
            </w:r>
          </w:p>
        </w:tc>
      </w:tr>
    </w:tbl>
    <w:p w14:paraId="537BF635">
      <w:pPr>
        <w:pStyle w:val="2"/>
        <w:jc w:val="both"/>
        <w:rPr>
          <w:rFonts w:hint="eastAsia"/>
          <w:lang w:eastAsia="zh-CN"/>
        </w:rPr>
      </w:pPr>
    </w:p>
    <w:p w14:paraId="277D784C">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w:t>
      </w:r>
      <w:r>
        <w:rPr>
          <w:rFonts w:hint="eastAsia" w:ascii="仿宋" w:hAnsi="仿宋" w:eastAsia="仿宋" w:cs="宋体"/>
          <w:szCs w:val="21"/>
          <w:lang w:eastAsia="zh-CN"/>
        </w:rPr>
        <w:t>蔬菜类</w:t>
      </w:r>
    </w:p>
    <w:p w14:paraId="000980C2">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★3.2.1</w:t>
      </w:r>
      <w:r>
        <w:rPr>
          <w:rFonts w:hint="eastAsia" w:ascii="仿宋" w:hAnsi="仿宋" w:eastAsia="仿宋" w:cs="宋体"/>
          <w:szCs w:val="21"/>
          <w:lang w:eastAsia="zh-CN"/>
        </w:rPr>
        <w:t>质量要求：</w:t>
      </w:r>
    </w:p>
    <w:p w14:paraId="12A44507">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eastAsia="zh-CN"/>
        </w:rPr>
        <w:t>蔬菜质量应符合《食品安全国家标准目录》中相应要求；卫生指标应符合《食品安全国家标准食品中农药最大残留限量》（GB</w:t>
      </w:r>
      <w:r>
        <w:rPr>
          <w:rFonts w:hint="eastAsia" w:ascii="仿宋" w:hAnsi="仿宋" w:eastAsia="仿宋" w:cs="宋体"/>
          <w:szCs w:val="21"/>
          <w:lang w:val="en-US" w:eastAsia="zh-CN"/>
        </w:rPr>
        <w:t xml:space="preserve"> </w:t>
      </w:r>
      <w:r>
        <w:rPr>
          <w:rFonts w:hint="eastAsia" w:ascii="仿宋" w:hAnsi="仿宋" w:eastAsia="仿宋" w:cs="宋体"/>
          <w:szCs w:val="21"/>
          <w:lang w:eastAsia="zh-CN"/>
        </w:rPr>
        <w:t>2763-2021</w:t>
      </w:r>
      <w:r>
        <w:rPr>
          <w:rFonts w:hint="eastAsia" w:ascii="仿宋" w:hAnsi="仿宋" w:eastAsia="仿宋" w:cs="宋体"/>
          <w:szCs w:val="21"/>
          <w:lang w:val="en-US" w:eastAsia="zh-CN"/>
        </w:rPr>
        <w:t>及GB 2763.1-2022</w:t>
      </w:r>
      <w:r>
        <w:rPr>
          <w:rFonts w:hint="eastAsia" w:ascii="仿宋" w:hAnsi="仿宋" w:eastAsia="仿宋" w:cs="宋体"/>
          <w:szCs w:val="21"/>
          <w:lang w:eastAsia="zh-CN"/>
        </w:rPr>
        <w:t>）的要求。从蔬菜色泽看，各种蔬菜都应具有本品种固有的颜色，大多数有发亮的光泽；从蔬菜气味看，不允许有腐烂变质的亚硝酸盐味和其他异常气味；从蔬菜形态看，应尽量避免萎蔫、枯塌、损伤、病变、虫害侵蚀等引起的形态异常。</w:t>
      </w:r>
    </w:p>
    <w:p w14:paraId="5CD4F6B0">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w:t>
      </w:r>
      <w:r>
        <w:rPr>
          <w:rFonts w:hint="eastAsia" w:ascii="仿宋" w:hAnsi="仿宋" w:eastAsia="仿宋" w:cs="宋体"/>
          <w:szCs w:val="21"/>
          <w:lang w:eastAsia="zh-CN"/>
        </w:rPr>
        <w:t>供应和管理要求：</w:t>
      </w:r>
    </w:p>
    <w:p w14:paraId="2F452BC1">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3.2.2.1</w:t>
      </w:r>
      <w:r>
        <w:rPr>
          <w:rFonts w:hint="eastAsia" w:ascii="仿宋" w:hAnsi="仿宋" w:eastAsia="仿宋" w:cs="宋体"/>
          <w:szCs w:val="21"/>
          <w:lang w:eastAsia="zh-CN"/>
        </w:rPr>
        <w:t>蔬菜供应的品种安排要分主菜和配菜。主菜品种由供求双方根据季节安排，但要确保每周有3个品种以上。配菜品种按采购人计划和要求的品种供应。</w:t>
      </w:r>
    </w:p>
    <w:p w14:paraId="5FEFF448">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3.2.2.2</w:t>
      </w:r>
      <w:r>
        <w:rPr>
          <w:rFonts w:hint="eastAsia" w:ascii="仿宋" w:hAnsi="仿宋" w:eastAsia="仿宋" w:cs="宋体"/>
          <w:szCs w:val="21"/>
          <w:lang w:eastAsia="zh-CN"/>
        </w:rPr>
        <w:t>蔬菜包装要求：包装容器(框、箱、袋)要求清洁、干燥、牢固、透气，无污染、无异味、无霉变现象。</w:t>
      </w:r>
    </w:p>
    <w:p w14:paraId="0917A9DF">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3.2.2.3</w:t>
      </w:r>
      <w:r>
        <w:rPr>
          <w:rFonts w:hint="eastAsia" w:ascii="仿宋" w:hAnsi="仿宋" w:eastAsia="仿宋" w:cs="宋体"/>
          <w:szCs w:val="21"/>
          <w:lang w:eastAsia="zh-CN"/>
        </w:rPr>
        <w:t>蔬菜供应链要求：所有蔬菜来源必须清晰，须为自有基地</w:t>
      </w:r>
      <w:r>
        <w:rPr>
          <w:rFonts w:hint="eastAsia" w:ascii="仿宋" w:hAnsi="仿宋" w:eastAsia="仿宋" w:cs="宋体"/>
          <w:szCs w:val="21"/>
          <w:lang w:val="en-US" w:eastAsia="zh-CN"/>
        </w:rPr>
        <w:t>或</w:t>
      </w:r>
      <w:r>
        <w:rPr>
          <w:rFonts w:hint="eastAsia" w:ascii="仿宋" w:hAnsi="仿宋" w:eastAsia="仿宋" w:cs="宋体"/>
          <w:szCs w:val="21"/>
          <w:lang w:eastAsia="zh-CN"/>
        </w:rPr>
        <w:t>商品菜基地或蔬菜专业流通市场。</w:t>
      </w:r>
    </w:p>
    <w:p w14:paraId="79B2D2E3">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3.2.2.4</w:t>
      </w:r>
      <w:r>
        <w:rPr>
          <w:rFonts w:hint="eastAsia" w:ascii="仿宋" w:hAnsi="仿宋" w:eastAsia="仿宋" w:cs="宋体"/>
          <w:szCs w:val="21"/>
          <w:lang w:eastAsia="zh-CN"/>
        </w:rPr>
        <w:t>运输要求：运输工具应清洁卫生无污染，必须采用符合卫生标准的外包装和运载工具，并且要保持清洁和定期消毒。运输车厢的内仓，包括地面、墙面和顶，应采用抗腐蚀、防潮、易清洁消毒的材料。车厢内无不良气味、异味；运输途中严防过度日晒，注意通风散热；蔬菜应小心轻卸，严防机械损伤。堆放科学合理，避免造成交叉污染。</w:t>
      </w:r>
    </w:p>
    <w:p w14:paraId="03030281">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3.2.2.5</w:t>
      </w:r>
      <w:r>
        <w:rPr>
          <w:rFonts w:hint="eastAsia" w:ascii="仿宋" w:hAnsi="仿宋" w:eastAsia="仿宋" w:cs="宋体"/>
          <w:szCs w:val="21"/>
          <w:lang w:eastAsia="zh-CN"/>
        </w:rPr>
        <w:t>菜地管理要求：菜地设有固定的农资存放场所，配有专用的农药喷洒用具及其他农用器具，施用农药有详尽记录，规定施药间隔期后采收；蔬菜采收后需用清洁、无污染的运输工具运抵加工地点。</w:t>
      </w:r>
    </w:p>
    <w:p w14:paraId="7BDC81DB">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3.2.2.6</w:t>
      </w:r>
      <w:r>
        <w:rPr>
          <w:rFonts w:hint="eastAsia" w:ascii="仿宋" w:hAnsi="仿宋" w:eastAsia="仿宋" w:cs="宋体"/>
          <w:szCs w:val="21"/>
          <w:lang w:eastAsia="zh-CN"/>
        </w:rPr>
        <w:t>菜地环境要求：菜地周围需设有隔离网、隔离带或其他有效的隔离措施，确保不受临近农田施肥和用药污染；菜地周围无养殖场、化工厂、垃圾处理场、医院以及污水排放管道等污染源。</w:t>
      </w:r>
    </w:p>
    <w:p w14:paraId="6F915C91">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3.2.2.7</w:t>
      </w:r>
      <w:r>
        <w:rPr>
          <w:rFonts w:hint="eastAsia" w:ascii="仿宋" w:hAnsi="仿宋" w:eastAsia="仿宋" w:cs="宋体"/>
          <w:szCs w:val="21"/>
          <w:lang w:eastAsia="zh-CN"/>
        </w:rPr>
        <w:t>菜地水源要求：菜地应有清洁无污染的灌溉水源；灌溉水井设有防护设施。灌溉水源需经检测验证符合规定要求。</w:t>
      </w:r>
    </w:p>
    <w:p w14:paraId="3109C527">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3.2.2.8</w:t>
      </w:r>
      <w:r>
        <w:rPr>
          <w:rFonts w:hint="eastAsia" w:ascii="仿宋" w:hAnsi="仿宋" w:eastAsia="仿宋" w:cs="宋体"/>
          <w:szCs w:val="21"/>
          <w:lang w:eastAsia="zh-CN"/>
        </w:rPr>
        <w:t>农药要求：种植使用的农药必须符合食品安全管理部门的规定，严禁使用违禁药物；农药的采购、保管、发放、使用必须建立记录；蔬菜生产使用农药的间隔期必须符合行业规定，并且采收前供应商应从种植地取样检测农残项目，合格后方可供应。</w:t>
      </w:r>
    </w:p>
    <w:p w14:paraId="37BFB04B">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3.2.3</w:t>
      </w:r>
      <w:r>
        <w:rPr>
          <w:rFonts w:hint="eastAsia" w:ascii="仿宋" w:hAnsi="仿宋" w:eastAsia="仿宋" w:cs="宋体"/>
          <w:szCs w:val="21"/>
          <w:lang w:eastAsia="zh-CN"/>
        </w:rPr>
        <w:t>蔬菜抽查发现问题的处理：如采购人或采购人邀请、聘请的第三方部门、机构对蔬菜检验发现严重问题，如发现农药残留严重超标，发现腐败变质蔬菜等。经相关部门调查确属于供应商责任的，采购人可将相关情况上报主管部门，并追究供应商相应的法律、经济责任。</w:t>
      </w:r>
    </w:p>
    <w:p w14:paraId="49B5DA88">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w:t>
      </w:r>
      <w:r>
        <w:rPr>
          <w:rFonts w:hint="eastAsia" w:ascii="仿宋" w:hAnsi="仿宋" w:eastAsia="仿宋" w:cs="宋体"/>
          <w:szCs w:val="21"/>
          <w:lang w:eastAsia="zh-CN"/>
        </w:rPr>
        <w:t>干货类</w:t>
      </w:r>
    </w:p>
    <w:p w14:paraId="1750D3A9">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★3.3.1</w:t>
      </w:r>
      <w:r>
        <w:rPr>
          <w:rFonts w:hint="eastAsia" w:ascii="仿宋" w:hAnsi="仿宋" w:eastAsia="仿宋" w:cs="宋体"/>
          <w:szCs w:val="21"/>
          <w:lang w:eastAsia="zh-CN"/>
        </w:rPr>
        <w:t>质量要求：</w:t>
      </w:r>
    </w:p>
    <w:p w14:paraId="5E75E07B">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eastAsia="zh-CN"/>
        </w:rPr>
        <w:t>干货制品的质量要求符合《食品安全国家标准目录》及国家相关行业标准，干爽，不霉烂、整齐、均匀、完整，无虫蛀、无杂质，保持应有的色泽。</w:t>
      </w:r>
    </w:p>
    <w:p w14:paraId="58D1F1C2">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3.3.2</w:t>
      </w:r>
      <w:r>
        <w:rPr>
          <w:rFonts w:hint="eastAsia" w:ascii="仿宋" w:hAnsi="仿宋" w:eastAsia="仿宋" w:cs="宋体"/>
          <w:szCs w:val="21"/>
          <w:lang w:eastAsia="zh-CN"/>
        </w:rPr>
        <w:t>供应和管理要求：</w:t>
      </w:r>
    </w:p>
    <w:p w14:paraId="529ED0F2">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3.3.2.1</w:t>
      </w:r>
      <w:r>
        <w:rPr>
          <w:rFonts w:hint="eastAsia" w:ascii="仿宋" w:hAnsi="仿宋" w:eastAsia="仿宋" w:cs="宋体"/>
          <w:szCs w:val="21"/>
          <w:lang w:eastAsia="zh-CN"/>
        </w:rPr>
        <w:t>供应商所提供产品质量必须要符合行业标准要求，不得有掺假、变质、变味、过期等现象出现，严禁伪劣、假冒、无证不合格物品进入仓库。</w:t>
      </w:r>
    </w:p>
    <w:p w14:paraId="3A071B05">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3.3.2.2</w:t>
      </w:r>
      <w:r>
        <w:rPr>
          <w:rFonts w:hint="eastAsia" w:ascii="仿宋" w:hAnsi="仿宋" w:eastAsia="仿宋" w:cs="宋体"/>
          <w:szCs w:val="21"/>
          <w:lang w:eastAsia="zh-CN"/>
        </w:rPr>
        <w:t>供应商在供应过程中，如果发生出现质量问题或造成食物中毒，如变质等情况，经查实后确属供方责任，供应商应承担全部责任，主要包括食物中毒人员医疗费、误工费、事故处理费等，直至追究刑事责任。</w:t>
      </w:r>
    </w:p>
    <w:p w14:paraId="6361C139">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3.3.3</w:t>
      </w:r>
      <w:r>
        <w:rPr>
          <w:rFonts w:hint="eastAsia" w:ascii="仿宋" w:hAnsi="仿宋" w:eastAsia="仿宋" w:cs="宋体"/>
          <w:szCs w:val="21"/>
          <w:lang w:eastAsia="zh-CN"/>
        </w:rPr>
        <w:t>干货类抽检发现问题的处理：</w:t>
      </w:r>
    </w:p>
    <w:p w14:paraId="2CF7B836">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eastAsia="zh-CN"/>
        </w:rPr>
        <w:t>采购人可根据实际情况自行或要求第三方对需要的干货制品进行品质抽检，如质量未达到国家标准，情况严重的，采购人可将相关情况上报主管部门，并追究供应商相应的法律、经济责任。</w:t>
      </w:r>
    </w:p>
    <w:p w14:paraId="111602FD">
      <w:pPr>
        <w:spacing w:line="360" w:lineRule="auto"/>
        <w:ind w:firstLine="464" w:firstLineChars="200"/>
        <w:rPr>
          <w:rFonts w:hint="eastAsia" w:ascii="仿宋" w:hAnsi="仿宋" w:eastAsia="仿宋" w:cs="宋体"/>
          <w:szCs w:val="21"/>
          <w:lang w:eastAsia="zh-CN"/>
        </w:rPr>
      </w:pPr>
      <w:r>
        <w:rPr>
          <w:rFonts w:hint="eastAsia" w:ascii="仿宋" w:hAnsi="仿宋" w:eastAsia="仿宋" w:cs="宋体"/>
          <w:szCs w:val="21"/>
          <w:lang w:val="en-US" w:eastAsia="zh-CN"/>
        </w:rPr>
        <w:t>3.3.4</w:t>
      </w:r>
      <w:r>
        <w:rPr>
          <w:rFonts w:hint="eastAsia" w:ascii="仿宋" w:hAnsi="仿宋" w:eastAsia="仿宋" w:cs="宋体"/>
          <w:szCs w:val="21"/>
          <w:lang w:eastAsia="zh-CN"/>
        </w:rPr>
        <w:t>几种主要干货制品的质量标准（见下表）：</w:t>
      </w:r>
    </w:p>
    <w:tbl>
      <w:tblPr>
        <w:tblStyle w:val="16"/>
        <w:tblW w:w="0" w:type="auto"/>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16"/>
        <w:gridCol w:w="6234"/>
      </w:tblGrid>
      <w:tr w14:paraId="4344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noWrap w:val="0"/>
            <w:vAlign w:val="center"/>
          </w:tcPr>
          <w:p w14:paraId="7DABDA2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序号</w:t>
            </w:r>
          </w:p>
        </w:tc>
        <w:tc>
          <w:tcPr>
            <w:tcW w:w="1216" w:type="dxa"/>
            <w:noWrap w:val="0"/>
            <w:vAlign w:val="center"/>
          </w:tcPr>
          <w:p w14:paraId="1D7EE1A2">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品名</w:t>
            </w:r>
          </w:p>
        </w:tc>
        <w:tc>
          <w:tcPr>
            <w:tcW w:w="6234" w:type="dxa"/>
            <w:noWrap w:val="0"/>
            <w:vAlign w:val="center"/>
          </w:tcPr>
          <w:p w14:paraId="7EE4E18D">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质量要求</w:t>
            </w:r>
          </w:p>
        </w:tc>
      </w:tr>
      <w:tr w14:paraId="6DC0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737" w:type="dxa"/>
            <w:noWrap w:val="0"/>
            <w:vAlign w:val="center"/>
          </w:tcPr>
          <w:p w14:paraId="5570578D">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1</w:t>
            </w:r>
          </w:p>
        </w:tc>
        <w:tc>
          <w:tcPr>
            <w:tcW w:w="1216" w:type="dxa"/>
            <w:noWrap w:val="0"/>
            <w:vAlign w:val="center"/>
          </w:tcPr>
          <w:p w14:paraId="4B5BFD4D">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肉皮</w:t>
            </w:r>
          </w:p>
        </w:tc>
        <w:tc>
          <w:tcPr>
            <w:tcW w:w="6234" w:type="dxa"/>
            <w:noWrap w:val="0"/>
            <w:vAlign w:val="center"/>
          </w:tcPr>
          <w:p w14:paraId="1DE1002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洁净无毛，无虫蛀，干爽。</w:t>
            </w:r>
          </w:p>
        </w:tc>
      </w:tr>
      <w:tr w14:paraId="5F7D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37" w:type="dxa"/>
            <w:noWrap w:val="0"/>
            <w:vAlign w:val="center"/>
          </w:tcPr>
          <w:p w14:paraId="3DB8382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2</w:t>
            </w:r>
          </w:p>
        </w:tc>
        <w:tc>
          <w:tcPr>
            <w:tcW w:w="1216" w:type="dxa"/>
            <w:noWrap w:val="0"/>
            <w:vAlign w:val="center"/>
          </w:tcPr>
          <w:p w14:paraId="3CF7B43C">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玉兰片</w:t>
            </w:r>
          </w:p>
        </w:tc>
        <w:tc>
          <w:tcPr>
            <w:tcW w:w="6234" w:type="dxa"/>
            <w:noWrap w:val="0"/>
            <w:vAlign w:val="center"/>
          </w:tcPr>
          <w:p w14:paraId="06EBC779">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色泽黄白、洁净、肉厚、纤维少、节较密。</w:t>
            </w:r>
          </w:p>
        </w:tc>
      </w:tr>
      <w:tr w14:paraId="394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737" w:type="dxa"/>
            <w:noWrap w:val="0"/>
            <w:vAlign w:val="center"/>
          </w:tcPr>
          <w:p w14:paraId="34AAE39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3</w:t>
            </w:r>
          </w:p>
        </w:tc>
        <w:tc>
          <w:tcPr>
            <w:tcW w:w="1216" w:type="dxa"/>
            <w:noWrap w:val="0"/>
            <w:vAlign w:val="center"/>
          </w:tcPr>
          <w:p w14:paraId="6104885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黄花菜</w:t>
            </w:r>
          </w:p>
        </w:tc>
        <w:tc>
          <w:tcPr>
            <w:tcW w:w="6234" w:type="dxa"/>
            <w:noWrap w:val="0"/>
            <w:vAlign w:val="center"/>
          </w:tcPr>
          <w:p w14:paraId="25395BD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干燥、有清香味，菜色黄亮、身条长而粗壮、条杆粗细均匀。</w:t>
            </w:r>
          </w:p>
        </w:tc>
      </w:tr>
      <w:tr w14:paraId="50A0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737" w:type="dxa"/>
            <w:noWrap w:val="0"/>
            <w:vAlign w:val="center"/>
          </w:tcPr>
          <w:p w14:paraId="5E90B265">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4</w:t>
            </w:r>
          </w:p>
        </w:tc>
        <w:tc>
          <w:tcPr>
            <w:tcW w:w="1216" w:type="dxa"/>
            <w:noWrap w:val="0"/>
            <w:vAlign w:val="center"/>
          </w:tcPr>
          <w:p w14:paraId="1009CF94">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黑木耳</w:t>
            </w:r>
          </w:p>
        </w:tc>
        <w:tc>
          <w:tcPr>
            <w:tcW w:w="6234" w:type="dxa"/>
            <w:noWrap w:val="0"/>
            <w:vAlign w:val="center"/>
          </w:tcPr>
          <w:p w14:paraId="1EBA1020">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条形大而完整，耳瓣舒展少卷曲，内厚黑，富于光泽，体干不霉，无杂质。</w:t>
            </w:r>
          </w:p>
          <w:p w14:paraId="784C70F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p>
        </w:tc>
      </w:tr>
      <w:tr w14:paraId="5922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737" w:type="dxa"/>
            <w:noWrap w:val="0"/>
            <w:vAlign w:val="center"/>
          </w:tcPr>
          <w:p w14:paraId="7F6D2A01">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5</w:t>
            </w:r>
          </w:p>
        </w:tc>
        <w:tc>
          <w:tcPr>
            <w:tcW w:w="1216" w:type="dxa"/>
            <w:noWrap w:val="0"/>
            <w:vAlign w:val="center"/>
          </w:tcPr>
          <w:p w14:paraId="0F0A65D6">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银耳</w:t>
            </w:r>
          </w:p>
        </w:tc>
        <w:tc>
          <w:tcPr>
            <w:tcW w:w="6234" w:type="dxa"/>
            <w:noWrap w:val="0"/>
            <w:vAlign w:val="center"/>
          </w:tcPr>
          <w:p w14:paraId="3666A3D0">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朵大、色洁微黄或白、有光泽、无杂质，根小、干度足。</w:t>
            </w:r>
          </w:p>
        </w:tc>
      </w:tr>
      <w:tr w14:paraId="14AA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737" w:type="dxa"/>
            <w:noWrap w:val="0"/>
            <w:vAlign w:val="center"/>
          </w:tcPr>
          <w:p w14:paraId="1DC41B2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6</w:t>
            </w:r>
          </w:p>
        </w:tc>
        <w:tc>
          <w:tcPr>
            <w:tcW w:w="1216" w:type="dxa"/>
            <w:noWrap w:val="0"/>
            <w:vAlign w:val="center"/>
          </w:tcPr>
          <w:p w14:paraId="3B440B2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香菇</w:t>
            </w:r>
          </w:p>
        </w:tc>
        <w:tc>
          <w:tcPr>
            <w:tcW w:w="6234" w:type="dxa"/>
            <w:noWrap w:val="0"/>
            <w:vAlign w:val="center"/>
          </w:tcPr>
          <w:p w14:paraId="37F99FAF">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肉厚、干爽，有正常香菇的香气。</w:t>
            </w:r>
          </w:p>
        </w:tc>
      </w:tr>
      <w:tr w14:paraId="635E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737" w:type="dxa"/>
            <w:noWrap w:val="0"/>
            <w:vAlign w:val="center"/>
          </w:tcPr>
          <w:p w14:paraId="0DF7EEC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7</w:t>
            </w:r>
          </w:p>
        </w:tc>
        <w:tc>
          <w:tcPr>
            <w:tcW w:w="1216" w:type="dxa"/>
            <w:noWrap w:val="0"/>
            <w:vAlign w:val="center"/>
          </w:tcPr>
          <w:p w14:paraId="67D82858">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腐竹</w:t>
            </w:r>
          </w:p>
        </w:tc>
        <w:tc>
          <w:tcPr>
            <w:tcW w:w="6234" w:type="dxa"/>
            <w:noWrap w:val="0"/>
            <w:vAlign w:val="center"/>
          </w:tcPr>
          <w:p w14:paraId="30E6470D">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色泽黄亮、干燥筋韧、无碎块。</w:t>
            </w:r>
          </w:p>
        </w:tc>
      </w:tr>
      <w:tr w14:paraId="616C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737" w:type="dxa"/>
            <w:noWrap w:val="0"/>
            <w:vAlign w:val="center"/>
          </w:tcPr>
          <w:p w14:paraId="5D76B524">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8</w:t>
            </w:r>
          </w:p>
        </w:tc>
        <w:tc>
          <w:tcPr>
            <w:tcW w:w="1216" w:type="dxa"/>
            <w:noWrap w:val="0"/>
            <w:vAlign w:val="center"/>
          </w:tcPr>
          <w:p w14:paraId="74818EC1">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粉丝</w:t>
            </w:r>
          </w:p>
        </w:tc>
        <w:tc>
          <w:tcPr>
            <w:tcW w:w="6234" w:type="dxa"/>
            <w:noWrap w:val="0"/>
            <w:vAlign w:val="center"/>
          </w:tcPr>
          <w:p w14:paraId="5FF69FCF">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粉条细长、白净、晶莹透明、丝条均匀、整齐、干燥，不易折断，无斑点、黑迹，无霉变。</w:t>
            </w:r>
          </w:p>
        </w:tc>
      </w:tr>
      <w:tr w14:paraId="4833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737" w:type="dxa"/>
            <w:noWrap w:val="0"/>
            <w:vAlign w:val="center"/>
          </w:tcPr>
          <w:p w14:paraId="29A394FE">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9</w:t>
            </w:r>
          </w:p>
        </w:tc>
        <w:tc>
          <w:tcPr>
            <w:tcW w:w="1216" w:type="dxa"/>
            <w:noWrap w:val="0"/>
            <w:vAlign w:val="center"/>
          </w:tcPr>
          <w:p w14:paraId="2F08E03A">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蹄筋</w:t>
            </w:r>
          </w:p>
        </w:tc>
        <w:tc>
          <w:tcPr>
            <w:tcW w:w="6234" w:type="dxa"/>
            <w:noWrap w:val="0"/>
            <w:vAlign w:val="center"/>
          </w:tcPr>
          <w:p w14:paraId="32D84FB1">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呈白色、无杂质，干、硬度高。</w:t>
            </w:r>
          </w:p>
        </w:tc>
      </w:tr>
      <w:tr w14:paraId="2E72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trPr>
        <w:tc>
          <w:tcPr>
            <w:tcW w:w="737" w:type="dxa"/>
            <w:noWrap w:val="0"/>
            <w:vAlign w:val="center"/>
          </w:tcPr>
          <w:p w14:paraId="7FF61346">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10</w:t>
            </w:r>
          </w:p>
        </w:tc>
        <w:tc>
          <w:tcPr>
            <w:tcW w:w="1216" w:type="dxa"/>
            <w:noWrap w:val="0"/>
            <w:vAlign w:val="center"/>
          </w:tcPr>
          <w:p w14:paraId="5E180754">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干鱿鱼</w:t>
            </w:r>
          </w:p>
        </w:tc>
        <w:tc>
          <w:tcPr>
            <w:tcW w:w="6234" w:type="dxa"/>
            <w:noWrap w:val="0"/>
            <w:vAlign w:val="center"/>
          </w:tcPr>
          <w:p w14:paraId="74F49529">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体干、体形完整、光亮洁净、淡粉红色、片大头小、肉厚。</w:t>
            </w:r>
          </w:p>
        </w:tc>
      </w:tr>
      <w:tr w14:paraId="2B5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737" w:type="dxa"/>
            <w:noWrap w:val="0"/>
            <w:vAlign w:val="center"/>
          </w:tcPr>
          <w:p w14:paraId="71FB266C">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11</w:t>
            </w:r>
          </w:p>
        </w:tc>
        <w:tc>
          <w:tcPr>
            <w:tcW w:w="1216" w:type="dxa"/>
            <w:noWrap w:val="0"/>
            <w:vAlign w:val="center"/>
          </w:tcPr>
          <w:p w14:paraId="641BC07E">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干海蛰</w:t>
            </w:r>
          </w:p>
        </w:tc>
        <w:tc>
          <w:tcPr>
            <w:tcW w:w="6234" w:type="dxa"/>
            <w:noWrap w:val="0"/>
            <w:vAlign w:val="center"/>
          </w:tcPr>
          <w:p w14:paraId="61D9A1C3">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乳白色或淡黄色、气味清新、质厚均匀、个体完整。</w:t>
            </w:r>
          </w:p>
        </w:tc>
      </w:tr>
      <w:tr w14:paraId="0FDE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7" w:type="dxa"/>
            <w:noWrap w:val="0"/>
            <w:vAlign w:val="center"/>
          </w:tcPr>
          <w:p w14:paraId="07437F52">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12</w:t>
            </w:r>
          </w:p>
        </w:tc>
        <w:tc>
          <w:tcPr>
            <w:tcW w:w="1216" w:type="dxa"/>
            <w:noWrap w:val="0"/>
            <w:vAlign w:val="center"/>
          </w:tcPr>
          <w:p w14:paraId="6255F47B">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紫菜</w:t>
            </w:r>
          </w:p>
        </w:tc>
        <w:tc>
          <w:tcPr>
            <w:tcW w:w="6234" w:type="dxa"/>
            <w:noWrap w:val="0"/>
            <w:vAlign w:val="center"/>
          </w:tcPr>
          <w:p w14:paraId="27D565B6">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叶薄、色紫、有清香。</w:t>
            </w:r>
          </w:p>
        </w:tc>
      </w:tr>
      <w:tr w14:paraId="7842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7" w:type="dxa"/>
            <w:noWrap w:val="0"/>
            <w:vAlign w:val="center"/>
          </w:tcPr>
          <w:p w14:paraId="32F23BB6">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13</w:t>
            </w:r>
          </w:p>
        </w:tc>
        <w:tc>
          <w:tcPr>
            <w:tcW w:w="1216" w:type="dxa"/>
            <w:noWrap w:val="0"/>
            <w:vAlign w:val="center"/>
          </w:tcPr>
          <w:p w14:paraId="24CE4D57">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发菜</w:t>
            </w:r>
          </w:p>
        </w:tc>
        <w:tc>
          <w:tcPr>
            <w:tcW w:w="6234" w:type="dxa"/>
            <w:noWrap w:val="0"/>
            <w:vAlign w:val="center"/>
          </w:tcPr>
          <w:p w14:paraId="48E5525E">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zh-TW" w:eastAsia="zh-CN"/>
              </w:rPr>
            </w:pPr>
            <w:r>
              <w:rPr>
                <w:rFonts w:hint="eastAsia" w:ascii="仿宋" w:hAnsi="仿宋" w:eastAsia="仿宋" w:cs="仿宋"/>
                <w:bCs/>
                <w:smallCaps w:val="0"/>
                <w:sz w:val="24"/>
                <w:szCs w:val="24"/>
                <w:highlight w:val="none"/>
                <w:lang w:val="zh-TW" w:eastAsia="zh-CN"/>
              </w:rPr>
              <w:t>藻体细长、绿黑色、柔软爽滑、干燥、无杂质。</w:t>
            </w:r>
          </w:p>
        </w:tc>
      </w:tr>
      <w:tr w14:paraId="2E83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87" w:type="dxa"/>
            <w:gridSpan w:val="3"/>
            <w:noWrap w:val="0"/>
            <w:vAlign w:val="center"/>
          </w:tcPr>
          <w:p w14:paraId="36C8F965">
            <w:pPr>
              <w:keepNext w:val="0"/>
              <w:keepLines w:val="0"/>
              <w:pageBreakBefore w:val="0"/>
              <w:kinsoku/>
              <w:overflowPunct/>
              <w:topLinePunct w:val="0"/>
              <w:autoSpaceDE/>
              <w:autoSpaceDN/>
              <w:bidi w:val="0"/>
              <w:adjustRightInd/>
              <w:snapToGrid/>
              <w:spacing w:line="400" w:lineRule="exact"/>
              <w:jc w:val="center"/>
              <w:textAlignment w:val="auto"/>
              <w:outlineLvl w:val="1"/>
              <w:rPr>
                <w:rFonts w:hint="eastAsia" w:ascii="仿宋" w:hAnsi="仿宋" w:eastAsia="仿宋" w:cs="仿宋"/>
                <w:bCs/>
                <w:smallCaps w:val="0"/>
                <w:sz w:val="24"/>
                <w:szCs w:val="24"/>
                <w:highlight w:val="none"/>
                <w:lang w:val="en-US" w:eastAsia="zh-CN"/>
              </w:rPr>
            </w:pPr>
            <w:r>
              <w:rPr>
                <w:rFonts w:hint="eastAsia" w:ascii="仿宋" w:hAnsi="仿宋" w:eastAsia="仿宋" w:cs="仿宋"/>
                <w:bCs/>
                <w:smallCaps w:val="0"/>
                <w:sz w:val="24"/>
                <w:szCs w:val="24"/>
                <w:highlight w:val="none"/>
                <w:lang w:val="en-US" w:eastAsia="zh-CN"/>
              </w:rPr>
              <w:t>备注：表中未列明的项目，应采购人需要由中标人供给。</w:t>
            </w:r>
          </w:p>
        </w:tc>
      </w:tr>
    </w:tbl>
    <w:p w14:paraId="0D9072CD">
      <w:pPr>
        <w:pStyle w:val="2"/>
        <w:jc w:val="both"/>
        <w:rPr>
          <w:rFonts w:hint="eastAsia"/>
          <w:lang w:eastAsia="zh-CN"/>
        </w:rPr>
      </w:pPr>
    </w:p>
    <w:p w14:paraId="6FB6A4B6">
      <w:pPr>
        <w:spacing w:line="360" w:lineRule="auto"/>
        <w:ind w:firstLine="464" w:firstLineChars="200"/>
        <w:rPr>
          <w:rFonts w:hint="default" w:ascii="仿宋" w:hAnsi="仿宋" w:eastAsia="仿宋" w:cs="宋体"/>
          <w:szCs w:val="21"/>
          <w:lang w:val="en-US" w:eastAsia="zh-CN"/>
        </w:rPr>
      </w:pPr>
      <w:r>
        <w:rPr>
          <w:rFonts w:hint="eastAsia" w:ascii="仿宋" w:hAnsi="仿宋" w:eastAsia="仿宋" w:cs="宋体"/>
          <w:szCs w:val="21"/>
          <w:lang w:val="en-US" w:eastAsia="zh-CN"/>
        </w:rPr>
        <w:t>★3.4其他类别的食材，供应商应根据采购人要求，依据《食品安全国家标准目录》及国家相关行业标准提供。</w:t>
      </w:r>
    </w:p>
    <w:p w14:paraId="5CA6E258">
      <w:pPr>
        <w:pStyle w:val="3"/>
        <w:rPr>
          <w:rFonts w:hint="eastAsia"/>
          <w:lang w:eastAsia="zh-CN"/>
        </w:rPr>
      </w:pPr>
    </w:p>
    <w:p w14:paraId="022E02CC">
      <w:pPr>
        <w:pStyle w:val="2"/>
        <w:keepNext w:val="0"/>
        <w:keepLines w:val="0"/>
        <w:widowControl/>
        <w:numPr>
          <w:ilvl w:val="0"/>
          <w:numId w:val="1"/>
        </w:numPr>
        <w:spacing w:before="0" w:after="0" w:line="360" w:lineRule="auto"/>
        <w:ind w:left="422" w:hanging="422"/>
        <w:jc w:val="left"/>
        <w:rPr>
          <w:rFonts w:hint="eastAsia" w:ascii="仿宋" w:hAnsi="仿宋" w:eastAsia="仿宋" w:cs="宋体"/>
          <w:b/>
          <w:bCs/>
          <w:sz w:val="24"/>
          <w:szCs w:val="21"/>
          <w:lang w:val="zh-CN" w:eastAsia="zh-CN" w:bidi="ar-SA"/>
        </w:rPr>
      </w:pPr>
      <w:r>
        <w:rPr>
          <w:rFonts w:hint="eastAsia" w:ascii="仿宋" w:hAnsi="仿宋" w:eastAsia="仿宋" w:cs="宋体"/>
          <w:b/>
          <w:bCs/>
          <w:sz w:val="24"/>
          <w:szCs w:val="21"/>
          <w:lang w:val="zh-CN" w:eastAsia="zh-CN" w:bidi="ar-SA"/>
        </w:rPr>
        <w:t>供应商管理要求</w:t>
      </w:r>
    </w:p>
    <w:p w14:paraId="63640739">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4.1投标供应商必须依据国家有关法律法规要求建立健全各项管理制度，保证食品安全，有明确的食品安全责任人。投标文件中必须明确各类食品产品质量安全的责任人（须已在投标人单位购买社保，相关资料复印件在投标文件中提供）。因所供货物质量原因导致发生食品安全事故，采购人除上报主管部门对供应商进行解除合同等处罚外，供应商还需赔偿采购人救治费用及误工损失。</w:t>
      </w:r>
    </w:p>
    <w:p w14:paraId="39155CB7">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4.2中标供应商应该按照采购人的要求，建立完整的各类物品追踪溯源体系，需建立专门台账，按深圳市食品进货索证和台账登记要求，按格式如实记录配送给采购人的各类物品，留存相关检验合格证明、资质证明、营业执照等有效资料，并可追踪溯源，采购人有权定期检查。</w:t>
      </w:r>
    </w:p>
    <w:p w14:paraId="5266A562">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4.3供应商应做好本单位工作人员的教育工作，为采购人提供服务的人员应遵守采购人出入门岗和物品携带、保密等各项规定。供应商应特别加强对员工的保密教育（如签订保密承诺书），为采购人提供服务的人员要遵守保密法律、法规和规章制度，履行保密义务，自愿接受保密检查；不违规接触、记录、存储、复制工作中可能接触到的涉及国家机密和警务工作秘密信息，不违规留存国家秘密载体；不对外发表涉及相关工作内容的文章、信息；对确需接触的本项目招标信息，未经采购人同意前，不得擅自对外发布；如违反保密要求，供应商及其工作人员承担一切不利后果。</w:t>
      </w:r>
    </w:p>
    <w:p w14:paraId="4420C167">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4.4供应商应严格按采购人要求（含名称、产地、规格和重量等）供应，所有食材品种、规格符合采购人提交的日采购计划中明确的具体需求。不得擅自变更供应商品，否则采购人有权拒收。若因特殊情况（如商家停产或天气因素等）确实需要变更的个别商品，经采购人同意，必须以同品质或质量更高的同类商品代替。</w:t>
      </w:r>
    </w:p>
    <w:p w14:paraId="5AC66D4F">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4.5供应商在接到通知后备齐货物，按时送抵交货地点。供应商不能按时、保质、保量供货，由采购人自行采购，供应商须承担采购人由此造成的经济损失，并接受合同约定的违约处罚。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2275FF81">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4.6采购人对货物进行认真验收，对不符合规格要求的商品，供应商必须无条件退货。供应商未能履行招标文件和合同所定事项，或供应不合格的、假冒伪劣、以次充好的商品、或供货时的商品与中标时的样板不符，采购人退货后将记录在案，并对供应商予以处罚，除要承担因此产生的一切损失和费用外，情节严重的，采购人将相关情况上报上级主管部门进行相应处理。</w:t>
      </w:r>
    </w:p>
    <w:p w14:paraId="62B6FE87">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4.7供应商须开具国家正式增值税发票（含餐饮发票）。</w:t>
      </w:r>
    </w:p>
    <w:p w14:paraId="60C6E633">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4.8食品溯源要求：对食品供应链进行明确，所有食品的来源必须清晰，尽量使用知名品牌，包装食品必须获得产品生产许可证（SC），来源应当是受到地方政府部门监管的业流通市场或具有相关资质的厂家生产。</w:t>
      </w:r>
    </w:p>
    <w:p w14:paraId="613E777C">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4.9供应商应保存以下资料：供应商与生产企业的销售合同、生产企业的送货单和销售发票等，以备查验。</w:t>
      </w:r>
    </w:p>
    <w:p w14:paraId="392BFEFE">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4.10投标人应购买涵盖本项目服务期限的食品安全责任保险和公众责任保险。</w:t>
      </w:r>
    </w:p>
    <w:p w14:paraId="04E37E86">
      <w:pPr>
        <w:spacing w:line="360" w:lineRule="auto"/>
        <w:ind w:firstLine="464" w:firstLineChars="200"/>
        <w:rPr>
          <w:rFonts w:hint="eastAsia" w:ascii="仿宋" w:hAnsi="仿宋" w:eastAsia="仿宋" w:cs="宋体"/>
          <w:szCs w:val="21"/>
        </w:rPr>
      </w:pPr>
      <w:r>
        <w:rPr>
          <w:rFonts w:hint="eastAsia" w:ascii="仿宋" w:hAnsi="仿宋" w:eastAsia="仿宋" w:cs="宋体"/>
          <w:szCs w:val="21"/>
        </w:rPr>
        <w:t>4.11供应商应就本项目情况制定应急预案，并严格按照预案内容执行，以应对项目的各种突发情况。</w:t>
      </w:r>
    </w:p>
    <w:p w14:paraId="5594B79B">
      <w:pPr>
        <w:spacing w:line="360" w:lineRule="auto"/>
        <w:ind w:firstLine="464" w:firstLineChars="200"/>
        <w:rPr>
          <w:rFonts w:ascii="仿宋" w:hAnsi="仿宋" w:eastAsia="仿宋" w:cs="宋体"/>
          <w:szCs w:val="21"/>
        </w:rPr>
      </w:pPr>
      <w:r>
        <w:rPr>
          <w:rFonts w:hint="eastAsia" w:ascii="仿宋" w:hAnsi="仿宋" w:eastAsia="仿宋" w:cs="宋体"/>
          <w:szCs w:val="21"/>
        </w:rPr>
        <w:t>4.12供应商应针对本项目提出售后服务方案，并严格按照服务方案内容执行。</w:t>
      </w:r>
    </w:p>
    <w:p w14:paraId="1D63C0DF">
      <w:pPr>
        <w:spacing w:line="360" w:lineRule="auto"/>
        <w:ind w:firstLine="464" w:firstLineChars="200"/>
        <w:rPr>
          <w:rFonts w:ascii="宋体" w:hAnsi="宋体" w:cs="宋体"/>
          <w:szCs w:val="21"/>
        </w:rPr>
      </w:pPr>
    </w:p>
    <w:p w14:paraId="2477AB54">
      <w:pPr>
        <w:rPr>
          <w:rFonts w:ascii="宋体" w:hAnsi="宋体" w:eastAsia="宋体" w:cs="宋体"/>
          <w:sz w:val="21"/>
          <w:szCs w:val="21"/>
        </w:rPr>
      </w:pPr>
    </w:p>
    <w:p w14:paraId="1FBDA203">
      <w:pPr>
        <w:rPr>
          <w:rFonts w:ascii="宋体" w:hAnsi="宋体" w:eastAsia="宋体" w:cs="宋体"/>
          <w:sz w:val="21"/>
          <w:szCs w:val="21"/>
        </w:rPr>
      </w:pPr>
    </w:p>
    <w:p w14:paraId="0AEBC2DE"/>
    <w:p w14:paraId="2F431FD8">
      <w:pPr>
        <w:pStyle w:val="5"/>
        <w:jc w:val="center"/>
        <w:rPr>
          <w:rFonts w:asciiTheme="minorEastAsia" w:hAnsiTheme="minorEastAsia" w:eastAsiaTheme="minorEastAsia"/>
          <w:szCs w:val="21"/>
        </w:rPr>
      </w:pPr>
      <w:r>
        <w:rPr>
          <w:rFonts w:hint="eastAsia" w:asciiTheme="minorEastAsia" w:hAnsiTheme="minorEastAsia" w:eastAsiaTheme="minorEastAsia"/>
          <w:szCs w:val="21"/>
        </w:rPr>
        <w:t>五</w:t>
      </w:r>
      <w:r>
        <w:rPr>
          <w:rFonts w:asciiTheme="minorEastAsia" w:hAnsiTheme="minorEastAsia" w:eastAsiaTheme="minorEastAsia"/>
          <w:szCs w:val="21"/>
        </w:rPr>
        <w:t>、</w:t>
      </w:r>
      <w:r>
        <w:rPr>
          <w:rFonts w:hint="eastAsia" w:asciiTheme="minorEastAsia" w:hAnsiTheme="minorEastAsia" w:eastAsiaTheme="minorEastAsia"/>
          <w:szCs w:val="21"/>
        </w:rPr>
        <w:t>项目商务要求</w:t>
      </w:r>
    </w:p>
    <w:p w14:paraId="0FC4D0E2">
      <w:pPr>
        <w:spacing w:line="360" w:lineRule="auto"/>
        <w:ind w:firstLine="464" w:firstLineChars="200"/>
        <w:rPr>
          <w:rFonts w:hint="eastAsia" w:ascii="仿宋" w:hAnsi="仿宋" w:eastAsia="仿宋" w:cs="宋体"/>
          <w:szCs w:val="21"/>
          <w:lang w:val="zh-CN"/>
        </w:rPr>
      </w:pPr>
      <w:r>
        <w:rPr>
          <w:rFonts w:hint="eastAsia" w:ascii="仿宋" w:hAnsi="仿宋" w:eastAsia="仿宋" w:cs="宋体"/>
          <w:b/>
          <w:bCs/>
          <w:szCs w:val="21"/>
          <w:lang w:val="zh-CN"/>
        </w:rPr>
        <w:t>（一）服务期限：</w:t>
      </w:r>
      <w:r>
        <w:rPr>
          <w:rFonts w:hint="eastAsia" w:ascii="仿宋" w:hAnsi="仿宋" w:eastAsia="仿宋" w:cs="宋体"/>
          <w:szCs w:val="21"/>
          <w:lang w:val="zh-CN"/>
        </w:rPr>
        <w:t>本项目服务期限为一年（具体期限以合同签订为准）。考虑该项目属长期服务类项目，采购人可根据项目需求和供应商履约情况确定是否延长合同期限，服务期限最长不超过36个月。</w:t>
      </w:r>
    </w:p>
    <w:p w14:paraId="70EB884C">
      <w:pPr>
        <w:spacing w:line="360" w:lineRule="auto"/>
        <w:ind w:firstLine="464" w:firstLineChars="200"/>
        <w:rPr>
          <w:lang w:val="zh-CN"/>
        </w:rPr>
      </w:pPr>
      <w:r>
        <w:rPr>
          <w:rFonts w:hint="eastAsia" w:ascii="仿宋" w:hAnsi="仿宋" w:eastAsia="仿宋" w:cs="宋体"/>
          <w:b/>
          <w:bCs/>
          <w:szCs w:val="21"/>
          <w:lang w:val="zh-CN"/>
        </w:rPr>
        <w:t>（二）服务地点：</w:t>
      </w:r>
      <w:r>
        <w:rPr>
          <w:rFonts w:hint="eastAsia" w:ascii="仿宋" w:hAnsi="仿宋" w:eastAsia="仿宋" w:cs="宋体"/>
          <w:szCs w:val="21"/>
          <w:lang w:val="zh-CN" w:eastAsia="zh-CN"/>
        </w:rPr>
        <w:t>深圳市公安局监所管理支队相关饭堂</w:t>
      </w:r>
    </w:p>
    <w:p w14:paraId="26DB81C6">
      <w:pPr>
        <w:spacing w:line="360" w:lineRule="auto"/>
        <w:ind w:firstLine="464" w:firstLineChars="200"/>
        <w:rPr>
          <w:rFonts w:ascii="仿宋" w:hAnsi="仿宋" w:eastAsia="仿宋" w:cs="宋体"/>
          <w:b/>
          <w:bCs/>
          <w:szCs w:val="21"/>
          <w:lang w:val="zh-CN"/>
        </w:rPr>
      </w:pPr>
      <w:r>
        <w:rPr>
          <w:rFonts w:hint="eastAsia" w:ascii="仿宋" w:hAnsi="仿宋" w:eastAsia="仿宋" w:cs="宋体"/>
          <w:b/>
          <w:bCs/>
          <w:szCs w:val="21"/>
          <w:lang w:val="zh-CN"/>
        </w:rPr>
        <w:t>（三）报价要求：</w:t>
      </w:r>
    </w:p>
    <w:p w14:paraId="0DC7759D">
      <w:pPr>
        <w:spacing w:line="360" w:lineRule="auto"/>
        <w:ind w:firstLine="464" w:firstLineChars="200"/>
        <w:rPr>
          <w:rFonts w:hint="eastAsia" w:ascii="仿宋" w:hAnsi="仿宋" w:eastAsia="仿宋" w:cs="宋体"/>
          <w:szCs w:val="21"/>
          <w:lang w:val="zh-CN"/>
        </w:rPr>
      </w:pPr>
      <w:bookmarkStart w:id="34" w:name="OLE_LINK34"/>
      <w:r>
        <w:rPr>
          <w:rFonts w:hint="eastAsia" w:ascii="仿宋" w:hAnsi="仿宋" w:eastAsia="仿宋" w:cs="宋体"/>
          <w:szCs w:val="21"/>
          <w:lang w:val="zh-CN"/>
        </w:rPr>
        <w:t>（1）中农数据网中有价格的产品，以中农数据网（网址：www.chinaap.com）上一个月5、15、25号（遇法定节假日顺延）公布的价格（非含费价）取平均值作为该项物资的基准价，投标人结合企业自己的实力报出折扣率。结算时价格=折扣率*基准价。</w:t>
      </w:r>
    </w:p>
    <w:p w14:paraId="30E408F1">
      <w:pPr>
        <w:spacing w:line="360" w:lineRule="auto"/>
        <w:ind w:firstLine="464" w:firstLineChars="200"/>
        <w:rPr>
          <w:rFonts w:hint="eastAsia" w:ascii="仿宋" w:hAnsi="仿宋" w:eastAsia="仿宋" w:cs="宋体"/>
          <w:szCs w:val="21"/>
          <w:lang w:val="zh-CN"/>
        </w:rPr>
      </w:pPr>
      <w:r>
        <w:rPr>
          <w:rFonts w:hint="eastAsia" w:ascii="仿宋" w:hAnsi="仿宋" w:eastAsia="仿宋" w:cs="宋体"/>
          <w:szCs w:val="21"/>
          <w:lang w:val="zh-CN"/>
        </w:rPr>
        <w:t>（2）深圳市中农数据有限公司（天天采购平台）中无价格的产品，则结算时价格=折扣率*市场价（市场价由采购人组织调查小组到大型超市或农贸市场进行考察确定价格的合理性）。</w:t>
      </w:r>
    </w:p>
    <w:p w14:paraId="4CB61200">
      <w:pPr>
        <w:spacing w:line="360" w:lineRule="auto"/>
        <w:ind w:firstLine="464" w:firstLineChars="200"/>
        <w:rPr>
          <w:rFonts w:hint="eastAsia" w:ascii="仿宋" w:hAnsi="仿宋" w:eastAsia="仿宋" w:cs="宋体"/>
          <w:szCs w:val="21"/>
          <w:lang w:val="zh-CN"/>
        </w:rPr>
      </w:pPr>
      <w:r>
        <w:rPr>
          <w:rFonts w:hint="eastAsia" w:ascii="仿宋" w:hAnsi="仿宋" w:eastAsia="仿宋" w:cs="宋体"/>
          <w:szCs w:val="21"/>
          <w:lang w:val="zh-CN"/>
        </w:rPr>
        <w:t>（3）报价包括供应货物和货物运输到采购人的服务费、运费、装卸费、检测费、人工费、管理费、保险、税金等一切将可能发生的费用。以人民币为报价和结算单位，并开具国家正规发票。</w:t>
      </w:r>
    </w:p>
    <w:p w14:paraId="14FE5063">
      <w:pPr>
        <w:spacing w:line="360" w:lineRule="auto"/>
        <w:ind w:firstLine="464" w:firstLineChars="200"/>
        <w:rPr>
          <w:rFonts w:hint="eastAsia" w:ascii="仿宋" w:hAnsi="仿宋" w:eastAsia="仿宋" w:cs="宋体"/>
          <w:szCs w:val="21"/>
          <w:lang w:val="zh-CN"/>
        </w:rPr>
      </w:pPr>
      <w:r>
        <w:rPr>
          <w:rFonts w:hint="eastAsia" w:ascii="仿宋" w:hAnsi="仿宋" w:eastAsia="仿宋" w:cs="宋体"/>
          <w:szCs w:val="21"/>
          <w:lang w:val="zh-CN"/>
        </w:rPr>
        <w:t>备注：</w:t>
      </w:r>
    </w:p>
    <w:p w14:paraId="30D01459">
      <w:pPr>
        <w:spacing w:line="360" w:lineRule="auto"/>
        <w:ind w:firstLine="464" w:firstLineChars="200"/>
        <w:rPr>
          <w:rFonts w:hint="eastAsia" w:ascii="仿宋" w:hAnsi="仿宋" w:eastAsia="仿宋" w:cs="宋体"/>
          <w:szCs w:val="21"/>
          <w:lang w:val="zh-CN"/>
        </w:rPr>
      </w:pPr>
      <w:r>
        <w:rPr>
          <w:rFonts w:hint="eastAsia" w:ascii="仿宋" w:hAnsi="仿宋" w:eastAsia="仿宋" w:cs="宋体"/>
          <w:szCs w:val="21"/>
          <w:lang w:val="zh-CN"/>
        </w:rPr>
        <w:t>（1）本次招标不涉及具体投标金额（无须投标人在投标文件中填报具体投标金额），投标人只需在投标文件中就《开标一览表》和《项目详细报价》填报唯一的“折扣率”作为投标报价，折扣率等于结算价占基准价的比例，即折扣率=结算价/基准价。投标人应根据自身成本自行填报“折扣率”，但不得以低于其成本的报价竞标。</w:t>
      </w:r>
    </w:p>
    <w:p w14:paraId="11BB420E">
      <w:pPr>
        <w:spacing w:line="360" w:lineRule="auto"/>
        <w:ind w:firstLine="464" w:firstLineChars="200"/>
        <w:rPr>
          <w:rFonts w:ascii="仿宋" w:hAnsi="仿宋" w:eastAsia="仿宋" w:cs="宋体"/>
          <w:b/>
          <w:bCs/>
          <w:szCs w:val="21"/>
          <w:lang w:val="zh-CN"/>
        </w:rPr>
      </w:pPr>
      <w:r>
        <w:rPr>
          <w:rFonts w:hint="eastAsia" w:ascii="仿宋" w:hAnsi="仿宋" w:eastAsia="仿宋" w:cs="宋体"/>
          <w:szCs w:val="21"/>
          <w:lang w:val="zh-CN"/>
        </w:rPr>
        <w:t>（2）报价要求：0＜折扣率≤1，并且是固定唯一值，填写的折扣率应为小数，且只填报到小数点后两位（如折扣率为九折填写0.90，八八折填写0.88）。投标折扣率不满足招标文件报价要求的，将作投标无效处理。折扣率在服务期限内保持不变。请投标人在开标一览表中填写投标折扣率的值。（如：折扣率为0.95，则投标人在填报开标一览表时，投标报价须填报：0.95）</w:t>
      </w:r>
      <w:r>
        <w:rPr>
          <w:rFonts w:hint="eastAsia" w:ascii="仿宋" w:hAnsi="仿宋" w:eastAsia="仿宋" w:cs="宋体"/>
          <w:b/>
          <w:bCs/>
          <w:szCs w:val="21"/>
        </w:rPr>
        <w:t>。</w:t>
      </w:r>
    </w:p>
    <w:bookmarkEnd w:id="34"/>
    <w:p w14:paraId="216E012F">
      <w:pPr>
        <w:ind w:firstLine="464" w:firstLineChars="200"/>
        <w:rPr>
          <w:rFonts w:ascii="仿宋" w:hAnsi="仿宋" w:eastAsia="仿宋" w:cs="宋体"/>
          <w:color w:val="EE0000"/>
          <w:szCs w:val="21"/>
        </w:rPr>
      </w:pPr>
      <w:r>
        <w:rPr>
          <w:rFonts w:hint="eastAsia" w:ascii="仿宋" w:hAnsi="仿宋" w:eastAsia="仿宋" w:cs="宋体"/>
          <w:b/>
          <w:bCs/>
          <w:szCs w:val="21"/>
          <w:lang w:val="zh-CN"/>
        </w:rPr>
        <w:t>（四）履约验收方案</w:t>
      </w:r>
    </w:p>
    <w:p w14:paraId="18E7A1B1">
      <w:pPr>
        <w:ind w:firstLine="482"/>
        <w:rPr>
          <w:rFonts w:hint="eastAsia" w:ascii="仿宋" w:hAnsi="仿宋" w:eastAsia="仿宋" w:cs="宋体"/>
          <w:szCs w:val="21"/>
        </w:rPr>
      </w:pPr>
      <w:r>
        <w:rPr>
          <w:rFonts w:hint="eastAsia" w:ascii="仿宋" w:hAnsi="仿宋" w:eastAsia="仿宋" w:cs="宋体"/>
          <w:szCs w:val="21"/>
        </w:rPr>
        <w:t>4.1履约验收主体：深圳市公安局监所管理支队、深圳市第一、第二看守所。</w:t>
      </w:r>
    </w:p>
    <w:p w14:paraId="11978A32">
      <w:pPr>
        <w:ind w:firstLine="482"/>
        <w:rPr>
          <w:rFonts w:hint="eastAsia" w:ascii="仿宋" w:hAnsi="仿宋" w:eastAsia="仿宋" w:cs="宋体"/>
          <w:szCs w:val="21"/>
        </w:rPr>
      </w:pPr>
      <w:r>
        <w:rPr>
          <w:rFonts w:hint="eastAsia" w:ascii="仿宋" w:hAnsi="仿宋" w:eastAsia="仿宋" w:cs="宋体"/>
          <w:szCs w:val="21"/>
        </w:rPr>
        <w:t>4.2履约验收方式：本项目包含民警饭堂和在押人员伙房。采购人根据项目情况成立两个验收小组：民警饭堂验收小组和在押人员伙房验收小组。验收小组根据职责分别对中标供应商在民警饭堂和在押人员伙房提供的食材配送服务履行日常考核、月度考核及年度考核的动态考核评价机制。</w:t>
      </w:r>
    </w:p>
    <w:p w14:paraId="2E1BDD59">
      <w:pPr>
        <w:ind w:firstLine="482"/>
        <w:rPr>
          <w:rFonts w:hint="eastAsia" w:ascii="仿宋" w:hAnsi="仿宋" w:eastAsia="仿宋" w:cs="宋体"/>
          <w:szCs w:val="21"/>
        </w:rPr>
      </w:pPr>
      <w:r>
        <w:rPr>
          <w:rFonts w:hint="eastAsia" w:ascii="仿宋" w:hAnsi="仿宋" w:eastAsia="仿宋" w:cs="宋体"/>
          <w:szCs w:val="21"/>
        </w:rPr>
        <w:t>4.3履约验收程序：</w:t>
      </w:r>
    </w:p>
    <w:p w14:paraId="6FF0E0E7">
      <w:pPr>
        <w:ind w:firstLine="482"/>
        <w:rPr>
          <w:rFonts w:hint="eastAsia" w:ascii="仿宋" w:hAnsi="仿宋" w:eastAsia="仿宋" w:cs="宋体"/>
          <w:szCs w:val="21"/>
        </w:rPr>
      </w:pPr>
      <w:r>
        <w:rPr>
          <w:rFonts w:hint="eastAsia" w:ascii="仿宋" w:hAnsi="仿宋" w:eastAsia="仿宋" w:cs="宋体"/>
          <w:szCs w:val="21"/>
        </w:rPr>
        <w:t>4.3.1日常考核要求：中标供应商应保证所供货物的品种、数量、重量及规格的准确性，中标供应商应建立采购和供应台账，确定专人负责验收和送货。每日食材验收由采购人当天的值班民警和值班食堂工作人员两人共同现场进行，核验配送食材的质量和数量。 验收以采购人的验货数量为准，中标供应商每次随货送上一式两份的送货清单，供采购人值班民警和食堂工作人员共同核验无误后签字确认，采购人与中标供应商双方各持一份，作为送、收货及结算数量的凭证。如有供货异常情况，则进行登记（见食堂物资供应商供货异常情况登记表）。对于出现质量、数量不符合要求等现象，采购人有权要求中标供应商及时退换，并按合同约定作出相应罚款处罚，中标供应商必须无条件退换，并保证正常就餐。日常考核将作为月度考核和年度考核的重要依据。</w:t>
      </w:r>
    </w:p>
    <w:p w14:paraId="125CF846">
      <w:pPr>
        <w:ind w:firstLine="482"/>
        <w:rPr>
          <w:rFonts w:hint="eastAsia" w:ascii="仿宋" w:hAnsi="仿宋" w:eastAsia="仿宋" w:cs="宋体"/>
          <w:szCs w:val="21"/>
        </w:rPr>
      </w:pPr>
      <w:r>
        <w:rPr>
          <w:rFonts w:hint="eastAsia" w:ascii="仿宋" w:hAnsi="仿宋" w:eastAsia="仿宋" w:cs="宋体"/>
          <w:szCs w:val="21"/>
        </w:rPr>
        <w:t>4.3.2月度考核要求：在进行月度款项支付前，根据所支付月度内的食材配送日常考核情况，结合月度内用餐人员数据（提供民警饭堂用餐人员名单和在押人员每日押量数据）与人员食材标准落实情况，依照《供应商月度履约评价表》（见附件3）进行月度评分考核，出具《深圳市公安局政府采购项目履约验收报告》。</w:t>
      </w:r>
    </w:p>
    <w:p w14:paraId="2712D03B">
      <w:pPr>
        <w:ind w:firstLine="482"/>
        <w:rPr>
          <w:rFonts w:hint="eastAsia" w:ascii="仿宋" w:hAnsi="仿宋" w:eastAsia="仿宋" w:cs="宋体"/>
          <w:szCs w:val="21"/>
        </w:rPr>
      </w:pPr>
      <w:r>
        <w:rPr>
          <w:rFonts w:hint="eastAsia" w:ascii="仿宋" w:hAnsi="仿宋" w:eastAsia="仿宋" w:cs="宋体"/>
          <w:szCs w:val="21"/>
        </w:rPr>
        <w:t>4.3.3合同期考核：考评小组参考日常考核及月度考核的结果，按照《深圳市公安局政府采购项目履约验收报告》对中标供应商总合同期服务进行一次总评，履约评价为差的上报主管部门。</w:t>
      </w:r>
    </w:p>
    <w:p w14:paraId="7848F6D7">
      <w:pPr>
        <w:ind w:firstLine="482"/>
        <w:rPr>
          <w:rFonts w:ascii="仿宋" w:hAnsi="仿宋" w:eastAsia="仿宋" w:cs="宋体"/>
          <w:szCs w:val="21"/>
        </w:rPr>
      </w:pPr>
      <w:r>
        <w:rPr>
          <w:rFonts w:hint="eastAsia" w:ascii="仿宋" w:hAnsi="仿宋" w:eastAsia="仿宋" w:cs="宋体"/>
          <w:szCs w:val="21"/>
        </w:rPr>
        <w:t>4.3.4食堂物资供应商供货异常情况登记表</w:t>
      </w:r>
    </w:p>
    <w:tbl>
      <w:tblPr>
        <w:tblStyle w:val="16"/>
        <w:tblW w:w="894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837"/>
        <w:gridCol w:w="2667"/>
        <w:gridCol w:w="2238"/>
        <w:gridCol w:w="2204"/>
      </w:tblGrid>
      <w:tr w14:paraId="23DFAB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837" w:type="dxa"/>
            <w:tcBorders>
              <w:top w:val="single" w:color="auto" w:sz="8" w:space="0"/>
              <w:left w:val="single" w:color="auto" w:sz="8" w:space="0"/>
              <w:bottom w:val="single" w:color="auto" w:sz="6" w:space="0"/>
              <w:right w:val="single" w:color="auto" w:sz="6" w:space="0"/>
            </w:tcBorders>
            <w:noWrap w:val="0"/>
            <w:vAlign w:val="center"/>
          </w:tcPr>
          <w:p w14:paraId="7AF36E73">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供应商名称</w:t>
            </w:r>
          </w:p>
        </w:tc>
        <w:tc>
          <w:tcPr>
            <w:tcW w:w="2667" w:type="dxa"/>
            <w:tcBorders>
              <w:top w:val="single" w:color="auto" w:sz="8" w:space="0"/>
              <w:left w:val="single" w:color="auto" w:sz="6" w:space="0"/>
              <w:bottom w:val="single" w:color="auto" w:sz="6" w:space="0"/>
              <w:right w:val="single" w:color="auto" w:sz="6" w:space="0"/>
            </w:tcBorders>
            <w:noWrap w:val="0"/>
            <w:vAlign w:val="center"/>
          </w:tcPr>
          <w:p w14:paraId="175FB254">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c>
          <w:tcPr>
            <w:tcW w:w="2238" w:type="dxa"/>
            <w:tcBorders>
              <w:top w:val="single" w:color="auto" w:sz="8" w:space="0"/>
              <w:left w:val="single" w:color="auto" w:sz="6" w:space="0"/>
              <w:bottom w:val="single" w:color="auto" w:sz="6" w:space="0"/>
              <w:right w:val="single" w:color="auto" w:sz="6" w:space="0"/>
            </w:tcBorders>
            <w:noWrap w:val="0"/>
            <w:vAlign w:val="center"/>
          </w:tcPr>
          <w:p w14:paraId="69CD339E">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联系人及电话</w:t>
            </w:r>
          </w:p>
        </w:tc>
        <w:tc>
          <w:tcPr>
            <w:tcW w:w="2204" w:type="dxa"/>
            <w:tcBorders>
              <w:top w:val="single" w:color="auto" w:sz="4" w:space="0"/>
              <w:left w:val="single" w:color="auto" w:sz="6" w:space="0"/>
              <w:bottom w:val="single" w:color="auto" w:sz="6" w:space="0"/>
              <w:right w:val="single" w:color="auto" w:sz="8" w:space="0"/>
            </w:tcBorders>
            <w:noWrap w:val="0"/>
            <w:vAlign w:val="center"/>
          </w:tcPr>
          <w:p w14:paraId="4695351D">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r w14:paraId="14BFBE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837" w:type="dxa"/>
            <w:tcBorders>
              <w:top w:val="single" w:color="auto" w:sz="6" w:space="0"/>
              <w:left w:val="single" w:color="auto" w:sz="8" w:space="0"/>
              <w:bottom w:val="single" w:color="auto" w:sz="6" w:space="0"/>
              <w:right w:val="single" w:color="auto" w:sz="6" w:space="0"/>
            </w:tcBorders>
            <w:noWrap w:val="0"/>
            <w:vAlign w:val="center"/>
          </w:tcPr>
          <w:p w14:paraId="3FB6B10B">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送货地点</w:t>
            </w:r>
          </w:p>
        </w:tc>
        <w:tc>
          <w:tcPr>
            <w:tcW w:w="2667" w:type="dxa"/>
            <w:tcBorders>
              <w:top w:val="single" w:color="auto" w:sz="6" w:space="0"/>
              <w:left w:val="single" w:color="auto" w:sz="6" w:space="0"/>
              <w:bottom w:val="single" w:color="auto" w:sz="6" w:space="0"/>
              <w:right w:val="single" w:color="auto" w:sz="6" w:space="0"/>
            </w:tcBorders>
            <w:noWrap w:val="0"/>
            <w:vAlign w:val="center"/>
          </w:tcPr>
          <w:p w14:paraId="5734A797">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smallCaps w:val="0"/>
                <w:sz w:val="24"/>
                <w:szCs w:val="24"/>
                <w:highlight w:val="none"/>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14:paraId="30C75A72">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送货时间</w:t>
            </w:r>
          </w:p>
        </w:tc>
        <w:tc>
          <w:tcPr>
            <w:tcW w:w="2204" w:type="dxa"/>
            <w:tcBorders>
              <w:top w:val="single" w:color="auto" w:sz="6" w:space="0"/>
              <w:left w:val="single" w:color="auto" w:sz="6" w:space="0"/>
              <w:bottom w:val="single" w:color="auto" w:sz="6" w:space="0"/>
              <w:right w:val="single" w:color="auto" w:sz="8" w:space="0"/>
            </w:tcBorders>
            <w:noWrap w:val="0"/>
            <w:vAlign w:val="center"/>
          </w:tcPr>
          <w:p w14:paraId="61C3933C">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r w14:paraId="206517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837" w:type="dxa"/>
            <w:tcBorders>
              <w:top w:val="single" w:color="auto" w:sz="6" w:space="0"/>
              <w:left w:val="single" w:color="auto" w:sz="8" w:space="0"/>
              <w:bottom w:val="single" w:color="auto" w:sz="6" w:space="0"/>
              <w:right w:val="single" w:color="auto" w:sz="6" w:space="0"/>
            </w:tcBorders>
            <w:noWrap w:val="0"/>
            <w:vAlign w:val="center"/>
          </w:tcPr>
          <w:p w14:paraId="42C13315">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异常情况类别</w:t>
            </w:r>
          </w:p>
        </w:tc>
        <w:tc>
          <w:tcPr>
            <w:tcW w:w="7109" w:type="dxa"/>
            <w:gridSpan w:val="3"/>
            <w:tcBorders>
              <w:top w:val="single" w:color="auto" w:sz="6" w:space="0"/>
              <w:left w:val="single" w:color="auto" w:sz="6" w:space="0"/>
              <w:bottom w:val="single" w:color="auto" w:sz="6" w:space="0"/>
              <w:right w:val="single" w:color="auto" w:sz="8" w:space="0"/>
            </w:tcBorders>
            <w:noWrap w:val="0"/>
            <w:vAlign w:val="center"/>
          </w:tcPr>
          <w:p w14:paraId="31A4828C">
            <w:pPr>
              <w:keepNext w:val="0"/>
              <w:keepLines w:val="0"/>
              <w:pageBreakBefore w:val="0"/>
              <w:kinsoku/>
              <w:wordWrap/>
              <w:overflowPunct/>
              <w:topLinePunct w:val="0"/>
              <w:autoSpaceDE/>
              <w:autoSpaceDN/>
              <w:bidi w:val="0"/>
              <w:adjustRightInd/>
              <w:spacing w:line="360" w:lineRule="exact"/>
              <w:ind w:firstLine="1624" w:firstLineChars="700"/>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fldChar w:fldCharType="begin"/>
            </w:r>
            <w:r>
              <w:rPr>
                <w:rFonts w:hint="eastAsia" w:ascii="仿宋" w:hAnsi="仿宋" w:eastAsia="仿宋" w:cs="仿宋"/>
                <w:smallCaps w:val="0"/>
                <w:sz w:val="24"/>
                <w:szCs w:val="24"/>
                <w:highlight w:val="none"/>
              </w:rPr>
              <w:instrText xml:space="preserve"> INCLUDEPICTURE "http://mail.qq.com/cgi-bin/%20" \* MERGEFORMATINET </w:instrText>
            </w:r>
            <w:r>
              <w:rPr>
                <w:rFonts w:hint="eastAsia" w:ascii="仿宋" w:hAnsi="仿宋" w:eastAsia="仿宋" w:cs="仿宋"/>
                <w:smallCaps w:val="0"/>
                <w:sz w:val="24"/>
                <w:szCs w:val="24"/>
                <w:highlight w:val="none"/>
              </w:rPr>
              <w:fldChar w:fldCharType="separate"/>
            </w:r>
            <w:r>
              <w:rPr>
                <w:rFonts w:hint="eastAsia" w:ascii="仿宋" w:hAnsi="仿宋" w:eastAsia="仿宋" w:cs="仿宋"/>
                <w:smallCaps w:val="0"/>
                <w:sz w:val="24"/>
                <w:szCs w:val="24"/>
                <w:highlight w:val="none"/>
              </w:rPr>
              <w:fldChar w:fldCharType="end"/>
            </w:r>
            <w:r>
              <w:rPr>
                <w:rFonts w:hint="eastAsia" w:ascii="仿宋" w:hAnsi="仿宋" w:eastAsia="仿宋" w:cs="仿宋"/>
                <w:smallCaps w:val="0"/>
                <w:sz w:val="24"/>
                <w:szCs w:val="24"/>
                <w:highlight w:val="none"/>
              </w:rPr>
              <w:fldChar w:fldCharType="begin"/>
            </w:r>
            <w:r>
              <w:rPr>
                <w:rFonts w:hint="eastAsia" w:ascii="仿宋" w:hAnsi="仿宋" w:eastAsia="仿宋" w:cs="仿宋"/>
                <w:smallCaps w:val="0"/>
                <w:sz w:val="24"/>
                <w:szCs w:val="24"/>
                <w:highlight w:val="none"/>
              </w:rPr>
              <w:instrText xml:space="preserve"> INCLUDEPICTURE "http://mail.qq.com/cgi-bin/%20" \* MERGEFORMATINET </w:instrText>
            </w:r>
            <w:r>
              <w:rPr>
                <w:rFonts w:hint="eastAsia" w:ascii="仿宋" w:hAnsi="仿宋" w:eastAsia="仿宋" w:cs="仿宋"/>
                <w:smallCaps w:val="0"/>
                <w:sz w:val="24"/>
                <w:szCs w:val="24"/>
                <w:highlight w:val="none"/>
              </w:rPr>
              <w:fldChar w:fldCharType="separate"/>
            </w:r>
            <w:r>
              <w:rPr>
                <w:rFonts w:hint="eastAsia" w:ascii="仿宋" w:hAnsi="仿宋" w:eastAsia="仿宋" w:cs="仿宋"/>
                <w:smallCaps w:val="0"/>
                <w:sz w:val="24"/>
                <w:szCs w:val="24"/>
                <w:highlight w:val="none"/>
              </w:rPr>
              <w:fldChar w:fldCharType="end"/>
            </w:r>
            <w:r>
              <w:rPr>
                <w:rFonts w:hint="eastAsia" w:ascii="仿宋" w:hAnsi="仿宋" w:eastAsia="仿宋" w:cs="仿宋"/>
                <w:smallCaps w:val="0"/>
                <w:sz w:val="24"/>
                <w:szCs w:val="24"/>
                <w:highlight w:val="none"/>
              </w:rPr>
              <w:t>质量</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时间</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服务</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价格</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其他</w:t>
            </w:r>
          </w:p>
        </w:tc>
      </w:tr>
      <w:tr w14:paraId="26A1EC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561" w:hRule="atLeast"/>
          <w:jc w:val="center"/>
        </w:trPr>
        <w:tc>
          <w:tcPr>
            <w:tcW w:w="1837" w:type="dxa"/>
            <w:tcBorders>
              <w:top w:val="single" w:color="auto" w:sz="6" w:space="0"/>
              <w:left w:val="single" w:color="auto" w:sz="8" w:space="0"/>
              <w:bottom w:val="single" w:color="auto" w:sz="6" w:space="0"/>
              <w:right w:val="single" w:color="auto" w:sz="6" w:space="0"/>
            </w:tcBorders>
            <w:noWrap w:val="0"/>
            <w:vAlign w:val="center"/>
          </w:tcPr>
          <w:p w14:paraId="4517AAE9">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具体情况</w:t>
            </w:r>
          </w:p>
        </w:tc>
        <w:tc>
          <w:tcPr>
            <w:tcW w:w="7109" w:type="dxa"/>
            <w:gridSpan w:val="3"/>
            <w:tcBorders>
              <w:top w:val="single" w:color="auto" w:sz="6" w:space="0"/>
              <w:left w:val="single" w:color="auto" w:sz="6" w:space="0"/>
              <w:bottom w:val="single" w:color="auto" w:sz="6" w:space="0"/>
              <w:right w:val="single" w:color="auto" w:sz="8" w:space="0"/>
            </w:tcBorders>
            <w:noWrap w:val="0"/>
            <w:vAlign w:val="top"/>
          </w:tcPr>
          <w:p w14:paraId="384DB210">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p w14:paraId="416AAD20">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p w14:paraId="6D441C10">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r w14:paraId="2B5A25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837" w:type="dxa"/>
            <w:tcBorders>
              <w:top w:val="single" w:color="auto" w:sz="4" w:space="0"/>
              <w:left w:val="single" w:color="auto" w:sz="8" w:space="0"/>
              <w:bottom w:val="single" w:color="auto" w:sz="8" w:space="0"/>
              <w:right w:val="single" w:color="auto" w:sz="6" w:space="0"/>
            </w:tcBorders>
            <w:noWrap w:val="0"/>
            <w:vAlign w:val="center"/>
          </w:tcPr>
          <w:p w14:paraId="708BCA53">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收货方签名</w:t>
            </w:r>
          </w:p>
        </w:tc>
        <w:tc>
          <w:tcPr>
            <w:tcW w:w="2667" w:type="dxa"/>
            <w:tcBorders>
              <w:top w:val="single" w:color="auto" w:sz="4" w:space="0"/>
              <w:left w:val="single" w:color="auto" w:sz="6" w:space="0"/>
              <w:bottom w:val="single" w:color="auto" w:sz="8" w:space="0"/>
              <w:right w:val="single" w:color="auto" w:sz="4" w:space="0"/>
            </w:tcBorders>
            <w:noWrap w:val="0"/>
            <w:vAlign w:val="center"/>
          </w:tcPr>
          <w:p w14:paraId="410389A4">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c>
          <w:tcPr>
            <w:tcW w:w="2238" w:type="dxa"/>
            <w:tcBorders>
              <w:top w:val="single" w:color="auto" w:sz="4" w:space="0"/>
              <w:left w:val="single" w:color="auto" w:sz="4" w:space="0"/>
              <w:bottom w:val="single" w:color="auto" w:sz="8" w:space="0"/>
              <w:right w:val="single" w:color="auto" w:sz="4" w:space="0"/>
            </w:tcBorders>
            <w:noWrap w:val="0"/>
            <w:vAlign w:val="center"/>
          </w:tcPr>
          <w:p w14:paraId="62A1DDCB">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供货负责人确认签名</w:t>
            </w:r>
          </w:p>
        </w:tc>
        <w:tc>
          <w:tcPr>
            <w:tcW w:w="2204" w:type="dxa"/>
            <w:tcBorders>
              <w:top w:val="single" w:color="auto" w:sz="4" w:space="0"/>
              <w:left w:val="single" w:color="auto" w:sz="4" w:space="0"/>
              <w:bottom w:val="single" w:color="auto" w:sz="8" w:space="0"/>
              <w:right w:val="single" w:color="auto" w:sz="8" w:space="0"/>
            </w:tcBorders>
            <w:noWrap w:val="0"/>
            <w:vAlign w:val="center"/>
          </w:tcPr>
          <w:p w14:paraId="477FCC20">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bl>
    <w:p w14:paraId="48F41674">
      <w:pPr>
        <w:ind w:firstLine="482"/>
        <w:rPr>
          <w:rFonts w:ascii="仿宋" w:hAnsi="仿宋" w:eastAsia="仿宋" w:cs="宋体"/>
          <w:szCs w:val="21"/>
        </w:rPr>
      </w:pPr>
    </w:p>
    <w:p w14:paraId="264F2F8A">
      <w:pPr>
        <w:ind w:firstLine="482"/>
        <w:rPr>
          <w:rFonts w:hint="eastAsia" w:ascii="仿宋" w:hAnsi="仿宋" w:eastAsia="仿宋" w:cs="宋体"/>
          <w:szCs w:val="21"/>
        </w:rPr>
      </w:pPr>
      <w:r>
        <w:rPr>
          <w:rFonts w:hint="eastAsia" w:ascii="仿宋" w:hAnsi="仿宋" w:eastAsia="仿宋" w:cs="宋体"/>
          <w:szCs w:val="21"/>
        </w:rPr>
        <w:t>说明：履约异常情况分为质量、时间、服务、价格、其他共五类，请首先在对应的类别前打“√”，然后在“具体情况”一栏详细说明情况。本表格一式两联，供应商及收货方各执一联。</w:t>
      </w:r>
    </w:p>
    <w:p w14:paraId="52423E92">
      <w:pPr>
        <w:ind w:firstLine="482"/>
        <w:rPr>
          <w:rFonts w:ascii="仿宋" w:hAnsi="仿宋" w:eastAsia="仿宋" w:cs="宋体"/>
          <w:szCs w:val="21"/>
        </w:rPr>
      </w:pPr>
      <w:r>
        <w:rPr>
          <w:rFonts w:hint="eastAsia" w:ascii="仿宋" w:hAnsi="仿宋" w:eastAsia="仿宋" w:cs="宋体"/>
          <w:szCs w:val="21"/>
        </w:rPr>
        <w:t>4.3.5供应商月度履约评价表</w:t>
      </w:r>
    </w:p>
    <w:tbl>
      <w:tblPr>
        <w:tblStyle w:val="16"/>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65"/>
        <w:gridCol w:w="2851"/>
        <w:gridCol w:w="1274"/>
        <w:gridCol w:w="900"/>
        <w:gridCol w:w="2364"/>
      </w:tblGrid>
      <w:tr w14:paraId="4833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4A53288E">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465" w:type="dxa"/>
            <w:tcBorders>
              <w:top w:val="single" w:color="auto" w:sz="4" w:space="0"/>
              <w:left w:val="single" w:color="auto" w:sz="4" w:space="0"/>
              <w:bottom w:val="single" w:color="auto" w:sz="4" w:space="0"/>
              <w:right w:val="single" w:color="auto" w:sz="4" w:space="0"/>
            </w:tcBorders>
            <w:vAlign w:val="center"/>
          </w:tcPr>
          <w:p w14:paraId="2A748F90">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728D852">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考核细则</w:t>
            </w:r>
          </w:p>
        </w:tc>
        <w:tc>
          <w:tcPr>
            <w:tcW w:w="900" w:type="dxa"/>
            <w:tcBorders>
              <w:top w:val="single" w:color="auto" w:sz="4" w:space="0"/>
              <w:left w:val="single" w:color="auto" w:sz="4" w:space="0"/>
              <w:bottom w:val="single" w:color="auto" w:sz="4" w:space="0"/>
              <w:right w:val="single" w:color="auto" w:sz="4" w:space="0"/>
            </w:tcBorders>
            <w:vAlign w:val="center"/>
          </w:tcPr>
          <w:p w14:paraId="75C5113A">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扣分值</w:t>
            </w:r>
          </w:p>
        </w:tc>
        <w:tc>
          <w:tcPr>
            <w:tcW w:w="2364" w:type="dxa"/>
            <w:tcBorders>
              <w:top w:val="single" w:color="auto" w:sz="4" w:space="0"/>
              <w:left w:val="single" w:color="auto" w:sz="4" w:space="0"/>
              <w:bottom w:val="single" w:color="auto" w:sz="4" w:space="0"/>
              <w:right w:val="single" w:color="auto" w:sz="4" w:space="0"/>
            </w:tcBorders>
            <w:vAlign w:val="center"/>
          </w:tcPr>
          <w:p w14:paraId="795B0D2B">
            <w:pPr>
              <w:keepNext w:val="0"/>
              <w:keepLines w:val="0"/>
              <w:widowControl/>
              <w:suppressLineNumbers w:val="0"/>
              <w:jc w:val="center"/>
              <w:textAlignment w:val="center"/>
              <w:rPr>
                <w:rFonts w:hint="eastAsia" w:ascii="仿宋" w:hAnsi="仿宋" w:eastAsia="仿宋" w:cs="仿宋"/>
                <w:i w:val="0"/>
                <w:color w:val="FF0000"/>
                <w:kern w:val="2"/>
                <w:sz w:val="24"/>
                <w:szCs w:val="24"/>
                <w:highlight w:val="none"/>
                <w:u w:val="none"/>
                <w:lang w:val="en-US" w:eastAsia="zh-CN" w:bidi="ar-SA"/>
              </w:rPr>
            </w:pPr>
            <w:r>
              <w:rPr>
                <w:rFonts w:hint="eastAsia" w:ascii="仿宋" w:hAnsi="仿宋" w:eastAsia="仿宋" w:cs="仿宋"/>
                <w:b/>
                <w:sz w:val="24"/>
                <w:szCs w:val="24"/>
                <w:highlight w:val="none"/>
                <w:lang w:val="en-US" w:eastAsia="zh-CN"/>
              </w:rPr>
              <w:t>扣分情况</w:t>
            </w:r>
          </w:p>
        </w:tc>
      </w:tr>
      <w:tr w14:paraId="724E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63E99A3D">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p>
        </w:tc>
        <w:tc>
          <w:tcPr>
            <w:tcW w:w="465" w:type="dxa"/>
            <w:tcBorders>
              <w:top w:val="single" w:color="auto" w:sz="4" w:space="0"/>
              <w:left w:val="single" w:color="auto" w:sz="4" w:space="0"/>
              <w:bottom w:val="single" w:color="auto" w:sz="4" w:space="0"/>
              <w:right w:val="single" w:color="auto" w:sz="4" w:space="0"/>
            </w:tcBorders>
            <w:vAlign w:val="center"/>
          </w:tcPr>
          <w:p w14:paraId="0200E8E5">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598C781">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未按合同价格供货的，每发现一项次扣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6F3AAD0B">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0CA14E54">
            <w:pPr>
              <w:autoSpaceDE w:val="0"/>
              <w:autoSpaceDN w:val="0"/>
              <w:adjustRightInd w:val="0"/>
              <w:jc w:val="both"/>
              <w:rPr>
                <w:rFonts w:hint="eastAsia" w:ascii="仿宋" w:hAnsi="仿宋" w:eastAsia="仿宋" w:cs="仿宋"/>
                <w:sz w:val="24"/>
                <w:szCs w:val="24"/>
                <w:highlight w:val="none"/>
              </w:rPr>
            </w:pPr>
          </w:p>
        </w:tc>
      </w:tr>
      <w:tr w14:paraId="7C6C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79DDD39">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4C3ECB98">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9B1F1D5">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未按合同约定时限，根据市场价格变化调整价格的，扣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26AC680B">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78F598C1">
            <w:pPr>
              <w:autoSpaceDE w:val="0"/>
              <w:autoSpaceDN w:val="0"/>
              <w:adjustRightInd w:val="0"/>
              <w:jc w:val="both"/>
              <w:rPr>
                <w:rFonts w:hint="eastAsia" w:ascii="仿宋" w:hAnsi="仿宋" w:eastAsia="仿宋" w:cs="仿宋"/>
                <w:sz w:val="24"/>
                <w:szCs w:val="24"/>
                <w:highlight w:val="none"/>
              </w:rPr>
            </w:pPr>
          </w:p>
        </w:tc>
      </w:tr>
      <w:tr w14:paraId="6695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25EC49F5">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w:t>
            </w:r>
          </w:p>
        </w:tc>
        <w:tc>
          <w:tcPr>
            <w:tcW w:w="465" w:type="dxa"/>
            <w:tcBorders>
              <w:top w:val="single" w:color="auto" w:sz="4" w:space="0"/>
              <w:left w:val="single" w:color="auto" w:sz="4" w:space="0"/>
              <w:bottom w:val="single" w:color="auto" w:sz="4" w:space="0"/>
              <w:right w:val="single" w:color="auto" w:sz="4" w:space="0"/>
            </w:tcBorders>
            <w:vAlign w:val="center"/>
          </w:tcPr>
          <w:p w14:paraId="4236A6B6">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3D386129">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未按招标人采购计划的品种、数量、时间供货的，每发生一次扣2分；</w:t>
            </w:r>
          </w:p>
        </w:tc>
        <w:tc>
          <w:tcPr>
            <w:tcW w:w="900" w:type="dxa"/>
            <w:tcBorders>
              <w:top w:val="single" w:color="auto" w:sz="4" w:space="0"/>
              <w:left w:val="single" w:color="auto" w:sz="4" w:space="0"/>
              <w:bottom w:val="single" w:color="auto" w:sz="4" w:space="0"/>
              <w:right w:val="single" w:color="auto" w:sz="4" w:space="0"/>
            </w:tcBorders>
            <w:vAlign w:val="center"/>
          </w:tcPr>
          <w:p w14:paraId="35F11578">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D9AC953">
            <w:pPr>
              <w:autoSpaceDE w:val="0"/>
              <w:autoSpaceDN w:val="0"/>
              <w:adjustRightInd w:val="0"/>
              <w:jc w:val="both"/>
              <w:rPr>
                <w:rFonts w:hint="eastAsia" w:ascii="仿宋" w:hAnsi="仿宋" w:eastAsia="仿宋" w:cs="仿宋"/>
                <w:sz w:val="24"/>
                <w:szCs w:val="24"/>
                <w:highlight w:val="none"/>
              </w:rPr>
            </w:pPr>
          </w:p>
        </w:tc>
      </w:tr>
      <w:tr w14:paraId="73C9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EE4EC35">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256E13FC">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4D22F1F4">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未及时按要求随货提供相关票证的，每项次扣2分；</w:t>
            </w:r>
          </w:p>
        </w:tc>
        <w:tc>
          <w:tcPr>
            <w:tcW w:w="900" w:type="dxa"/>
            <w:tcBorders>
              <w:top w:val="single" w:color="auto" w:sz="4" w:space="0"/>
              <w:left w:val="single" w:color="auto" w:sz="4" w:space="0"/>
              <w:bottom w:val="single" w:color="auto" w:sz="4" w:space="0"/>
              <w:right w:val="single" w:color="auto" w:sz="4" w:space="0"/>
            </w:tcBorders>
            <w:vAlign w:val="center"/>
          </w:tcPr>
          <w:p w14:paraId="79A4A205">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53403F69">
            <w:pPr>
              <w:autoSpaceDE w:val="0"/>
              <w:autoSpaceDN w:val="0"/>
              <w:adjustRightInd w:val="0"/>
              <w:jc w:val="both"/>
              <w:rPr>
                <w:rFonts w:hint="eastAsia" w:ascii="仿宋" w:hAnsi="仿宋" w:eastAsia="仿宋" w:cs="仿宋"/>
                <w:sz w:val="24"/>
                <w:szCs w:val="24"/>
                <w:highlight w:val="none"/>
              </w:rPr>
            </w:pPr>
          </w:p>
        </w:tc>
      </w:tr>
      <w:tr w14:paraId="78F7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95A7D94">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699E60FD">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1533685D">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未按招标人指定秩序卸货的，每次扣2分；</w:t>
            </w:r>
          </w:p>
        </w:tc>
        <w:tc>
          <w:tcPr>
            <w:tcW w:w="900" w:type="dxa"/>
            <w:tcBorders>
              <w:top w:val="single" w:color="auto" w:sz="4" w:space="0"/>
              <w:left w:val="single" w:color="auto" w:sz="4" w:space="0"/>
              <w:bottom w:val="single" w:color="auto" w:sz="4" w:space="0"/>
              <w:right w:val="single" w:color="auto" w:sz="4" w:space="0"/>
            </w:tcBorders>
            <w:vAlign w:val="center"/>
          </w:tcPr>
          <w:p w14:paraId="26A685B5">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0411F3D8">
            <w:pPr>
              <w:autoSpaceDE w:val="0"/>
              <w:autoSpaceDN w:val="0"/>
              <w:adjustRightInd w:val="0"/>
              <w:jc w:val="both"/>
              <w:rPr>
                <w:rFonts w:hint="eastAsia" w:ascii="仿宋" w:hAnsi="仿宋" w:eastAsia="仿宋" w:cs="仿宋"/>
                <w:sz w:val="24"/>
                <w:szCs w:val="24"/>
                <w:highlight w:val="none"/>
              </w:rPr>
            </w:pPr>
          </w:p>
        </w:tc>
      </w:tr>
      <w:tr w14:paraId="7336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49A68FA">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7C914210">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7F1328C3">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产品验收不合格，每拒收一批次扣2分；</w:t>
            </w:r>
          </w:p>
        </w:tc>
        <w:tc>
          <w:tcPr>
            <w:tcW w:w="900" w:type="dxa"/>
            <w:tcBorders>
              <w:top w:val="single" w:color="auto" w:sz="4" w:space="0"/>
              <w:left w:val="single" w:color="auto" w:sz="4" w:space="0"/>
              <w:bottom w:val="single" w:color="auto" w:sz="4" w:space="0"/>
              <w:right w:val="single" w:color="auto" w:sz="4" w:space="0"/>
            </w:tcBorders>
            <w:vAlign w:val="center"/>
          </w:tcPr>
          <w:p w14:paraId="4C06A866">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44F6B55F">
            <w:pPr>
              <w:autoSpaceDE w:val="0"/>
              <w:autoSpaceDN w:val="0"/>
              <w:adjustRightInd w:val="0"/>
              <w:jc w:val="both"/>
              <w:rPr>
                <w:rFonts w:hint="eastAsia" w:ascii="仿宋" w:hAnsi="仿宋" w:eastAsia="仿宋" w:cs="仿宋"/>
                <w:sz w:val="24"/>
                <w:szCs w:val="24"/>
                <w:highlight w:val="none"/>
              </w:rPr>
            </w:pPr>
          </w:p>
        </w:tc>
      </w:tr>
      <w:tr w14:paraId="7394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BAFD6E0">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354B1AB9">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32B44E89">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货物出现质量问题，供应商不积极配合查找原因，不及时反馈处理结果的，每次扣2分；</w:t>
            </w:r>
          </w:p>
        </w:tc>
        <w:tc>
          <w:tcPr>
            <w:tcW w:w="900" w:type="dxa"/>
            <w:tcBorders>
              <w:top w:val="single" w:color="auto" w:sz="4" w:space="0"/>
              <w:left w:val="single" w:color="auto" w:sz="4" w:space="0"/>
              <w:bottom w:val="single" w:color="auto" w:sz="4" w:space="0"/>
              <w:right w:val="single" w:color="auto" w:sz="4" w:space="0"/>
            </w:tcBorders>
            <w:vAlign w:val="center"/>
          </w:tcPr>
          <w:p w14:paraId="077940FA">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7DADB502">
            <w:pPr>
              <w:autoSpaceDE w:val="0"/>
              <w:autoSpaceDN w:val="0"/>
              <w:adjustRightInd w:val="0"/>
              <w:jc w:val="both"/>
              <w:rPr>
                <w:rFonts w:hint="eastAsia" w:ascii="仿宋" w:hAnsi="仿宋" w:eastAsia="仿宋" w:cs="仿宋"/>
                <w:sz w:val="24"/>
                <w:szCs w:val="24"/>
                <w:highlight w:val="none"/>
              </w:rPr>
            </w:pPr>
          </w:p>
        </w:tc>
      </w:tr>
      <w:tr w14:paraId="1B39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107E231">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6EDC5EF0">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FADA19B">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供应商送货人员未持有效健康证上岗的</w:t>
            </w:r>
            <w:r>
              <w:rPr>
                <w:rFonts w:hint="eastAsia" w:ascii="仿宋" w:hAnsi="仿宋" w:eastAsia="仿宋" w:cs="仿宋"/>
                <w:sz w:val="24"/>
                <w:szCs w:val="24"/>
                <w:highlight w:val="none"/>
              </w:rPr>
              <w:t>，每次扣2分；</w:t>
            </w:r>
          </w:p>
        </w:tc>
        <w:tc>
          <w:tcPr>
            <w:tcW w:w="900" w:type="dxa"/>
            <w:tcBorders>
              <w:top w:val="single" w:color="auto" w:sz="4" w:space="0"/>
              <w:left w:val="single" w:color="auto" w:sz="4" w:space="0"/>
              <w:bottom w:val="single" w:color="auto" w:sz="4" w:space="0"/>
              <w:right w:val="single" w:color="auto" w:sz="4" w:space="0"/>
            </w:tcBorders>
            <w:vAlign w:val="center"/>
          </w:tcPr>
          <w:p w14:paraId="68894B75">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1BE8935">
            <w:pPr>
              <w:autoSpaceDE w:val="0"/>
              <w:autoSpaceDN w:val="0"/>
              <w:adjustRightInd w:val="0"/>
              <w:jc w:val="both"/>
              <w:rPr>
                <w:rFonts w:hint="eastAsia" w:ascii="仿宋" w:hAnsi="仿宋" w:eastAsia="仿宋" w:cs="仿宋"/>
                <w:sz w:val="24"/>
                <w:szCs w:val="24"/>
                <w:highlight w:val="none"/>
              </w:rPr>
            </w:pPr>
          </w:p>
        </w:tc>
      </w:tr>
      <w:tr w14:paraId="516F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restart"/>
            <w:tcBorders>
              <w:top w:val="single" w:color="auto" w:sz="4" w:space="0"/>
              <w:left w:val="single" w:color="auto" w:sz="4" w:space="0"/>
              <w:right w:val="single" w:color="auto" w:sz="4" w:space="0"/>
            </w:tcBorders>
            <w:vAlign w:val="center"/>
          </w:tcPr>
          <w:p w14:paraId="61E99475">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w:t>
            </w:r>
          </w:p>
        </w:tc>
        <w:tc>
          <w:tcPr>
            <w:tcW w:w="465" w:type="dxa"/>
            <w:tcBorders>
              <w:top w:val="single" w:color="auto" w:sz="4" w:space="0"/>
              <w:left w:val="single" w:color="auto" w:sz="4" w:space="0"/>
              <w:bottom w:val="single" w:color="auto" w:sz="4" w:space="0"/>
              <w:right w:val="single" w:color="auto" w:sz="4" w:space="0"/>
            </w:tcBorders>
            <w:vAlign w:val="center"/>
          </w:tcPr>
          <w:p w14:paraId="6DCCAA28">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75581E3D">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供应商组织机构发生调整，或经营场所、联系人、联系方式变更，未及时通知招标人后勤部门，造成无法及时联系的，每次扣2分；</w:t>
            </w:r>
          </w:p>
        </w:tc>
        <w:tc>
          <w:tcPr>
            <w:tcW w:w="900" w:type="dxa"/>
            <w:tcBorders>
              <w:top w:val="single" w:color="auto" w:sz="4" w:space="0"/>
              <w:left w:val="single" w:color="auto" w:sz="4" w:space="0"/>
              <w:bottom w:val="single" w:color="auto" w:sz="4" w:space="0"/>
              <w:right w:val="single" w:color="auto" w:sz="4" w:space="0"/>
            </w:tcBorders>
            <w:vAlign w:val="center"/>
          </w:tcPr>
          <w:p w14:paraId="2B056CF2">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827796F">
            <w:pPr>
              <w:autoSpaceDE w:val="0"/>
              <w:autoSpaceDN w:val="0"/>
              <w:adjustRightInd w:val="0"/>
              <w:jc w:val="both"/>
              <w:rPr>
                <w:rFonts w:hint="eastAsia" w:ascii="仿宋" w:hAnsi="仿宋" w:eastAsia="仿宋" w:cs="仿宋"/>
                <w:sz w:val="24"/>
                <w:szCs w:val="24"/>
                <w:highlight w:val="none"/>
              </w:rPr>
            </w:pPr>
          </w:p>
        </w:tc>
      </w:tr>
      <w:tr w14:paraId="16C7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left w:val="single" w:color="auto" w:sz="4" w:space="0"/>
              <w:right w:val="single" w:color="auto" w:sz="4" w:space="0"/>
            </w:tcBorders>
            <w:vAlign w:val="center"/>
          </w:tcPr>
          <w:p w14:paraId="608490EB">
            <w:pPr>
              <w:autoSpaceDE w:val="0"/>
              <w:autoSpaceDN w:val="0"/>
              <w:adjustRightInd w:val="0"/>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4F97E923">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601A5B6">
            <w:pPr>
              <w:autoSpaceDE w:val="0"/>
              <w:autoSpaceDN w:val="0"/>
              <w:adjustRightInd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违反招投标文件和合同的规定，擅自更改供应货物品牌、规格和质量的，每项次扣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3C577BB0">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C0AA1B4">
            <w:pPr>
              <w:autoSpaceDE w:val="0"/>
              <w:autoSpaceDN w:val="0"/>
              <w:adjustRightInd w:val="0"/>
              <w:jc w:val="both"/>
              <w:rPr>
                <w:rFonts w:hint="eastAsia" w:ascii="仿宋" w:hAnsi="仿宋" w:eastAsia="仿宋" w:cs="仿宋"/>
                <w:sz w:val="24"/>
                <w:szCs w:val="24"/>
                <w:highlight w:val="none"/>
              </w:rPr>
            </w:pPr>
          </w:p>
        </w:tc>
      </w:tr>
      <w:tr w14:paraId="2C2B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left w:val="single" w:color="auto" w:sz="4" w:space="0"/>
              <w:right w:val="single" w:color="auto" w:sz="4" w:space="0"/>
            </w:tcBorders>
            <w:vAlign w:val="center"/>
          </w:tcPr>
          <w:p w14:paraId="45CB49C6">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14039A76">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531C8FB9">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提供虚假检验报告等相关票证的，每发现一项次扣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2955117D">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252BFEB">
            <w:pPr>
              <w:autoSpaceDE w:val="0"/>
              <w:autoSpaceDN w:val="0"/>
              <w:adjustRightInd w:val="0"/>
              <w:jc w:val="both"/>
              <w:rPr>
                <w:rFonts w:hint="eastAsia" w:ascii="仿宋" w:hAnsi="仿宋" w:eastAsia="仿宋" w:cs="仿宋"/>
                <w:sz w:val="24"/>
                <w:szCs w:val="24"/>
                <w:highlight w:val="none"/>
              </w:rPr>
            </w:pPr>
          </w:p>
        </w:tc>
      </w:tr>
      <w:tr w14:paraId="2527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left w:val="single" w:color="auto" w:sz="4" w:space="0"/>
              <w:right w:val="single" w:color="auto" w:sz="4" w:space="0"/>
            </w:tcBorders>
            <w:vAlign w:val="center"/>
          </w:tcPr>
          <w:p w14:paraId="7C0E3417">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5D1FAAF9">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4BC543D6">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供应商食品溯源管理制度不落实，进货查验记录不全的，每次扣</w:t>
            </w:r>
            <w:r>
              <w:rPr>
                <w:rFonts w:hint="eastAsia" w:ascii="仿宋" w:hAnsi="仿宋" w:eastAsia="仿宋" w:cs="仿宋"/>
                <w:sz w:val="24"/>
                <w:szCs w:val="24"/>
                <w:highlight w:val="none"/>
                <w:lang w:val="en-US" w:eastAsia="zh-CN"/>
              </w:rPr>
              <w:t>4分；</w:t>
            </w:r>
          </w:p>
        </w:tc>
        <w:tc>
          <w:tcPr>
            <w:tcW w:w="900" w:type="dxa"/>
            <w:tcBorders>
              <w:top w:val="single" w:color="auto" w:sz="4" w:space="0"/>
              <w:left w:val="single" w:color="auto" w:sz="4" w:space="0"/>
              <w:bottom w:val="single" w:color="auto" w:sz="4" w:space="0"/>
              <w:right w:val="single" w:color="auto" w:sz="4" w:space="0"/>
            </w:tcBorders>
            <w:vAlign w:val="center"/>
          </w:tcPr>
          <w:p w14:paraId="02D612BA">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698283F6">
            <w:pPr>
              <w:autoSpaceDE w:val="0"/>
              <w:autoSpaceDN w:val="0"/>
              <w:adjustRightInd w:val="0"/>
              <w:jc w:val="both"/>
              <w:rPr>
                <w:rFonts w:hint="eastAsia" w:ascii="仿宋" w:hAnsi="仿宋" w:eastAsia="仿宋" w:cs="仿宋"/>
                <w:sz w:val="24"/>
                <w:szCs w:val="24"/>
                <w:highlight w:val="none"/>
              </w:rPr>
            </w:pPr>
          </w:p>
        </w:tc>
      </w:tr>
      <w:tr w14:paraId="7310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left w:val="single" w:color="auto" w:sz="4" w:space="0"/>
              <w:right w:val="single" w:color="auto" w:sz="4" w:space="0"/>
            </w:tcBorders>
            <w:vAlign w:val="center"/>
          </w:tcPr>
          <w:p w14:paraId="3771B705">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146E31BC">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17296269">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供应商在包装、运输、装卸等环节不符合食品卫生要求的，每发现一次扣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3022DE4D">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46D8F72E">
            <w:pPr>
              <w:autoSpaceDE w:val="0"/>
              <w:autoSpaceDN w:val="0"/>
              <w:adjustRightInd w:val="0"/>
              <w:jc w:val="both"/>
              <w:rPr>
                <w:rFonts w:hint="eastAsia" w:ascii="仿宋" w:hAnsi="仿宋" w:eastAsia="仿宋" w:cs="仿宋"/>
                <w:sz w:val="24"/>
                <w:szCs w:val="24"/>
                <w:highlight w:val="none"/>
              </w:rPr>
            </w:pPr>
          </w:p>
        </w:tc>
      </w:tr>
      <w:tr w14:paraId="502E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left w:val="single" w:color="auto" w:sz="4" w:space="0"/>
              <w:right w:val="single" w:color="auto" w:sz="4" w:space="0"/>
            </w:tcBorders>
            <w:vAlign w:val="center"/>
          </w:tcPr>
          <w:p w14:paraId="21CD8217">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72CCEF60">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50BA434C">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把招标人验收不合格退货的货物重新配送给招标人的，每发现一次扣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7B569CAA">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751CCCF7">
            <w:pPr>
              <w:autoSpaceDE w:val="0"/>
              <w:autoSpaceDN w:val="0"/>
              <w:adjustRightInd w:val="0"/>
              <w:jc w:val="both"/>
              <w:rPr>
                <w:rFonts w:hint="eastAsia" w:ascii="仿宋" w:hAnsi="仿宋" w:eastAsia="仿宋" w:cs="仿宋"/>
                <w:sz w:val="24"/>
                <w:szCs w:val="24"/>
                <w:highlight w:val="none"/>
              </w:rPr>
            </w:pPr>
          </w:p>
        </w:tc>
      </w:tr>
      <w:tr w14:paraId="49B4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left w:val="single" w:color="auto" w:sz="4" w:space="0"/>
              <w:right w:val="single" w:color="auto" w:sz="4" w:space="0"/>
            </w:tcBorders>
            <w:vAlign w:val="center"/>
          </w:tcPr>
          <w:p w14:paraId="17073224">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666918B1">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407FEEA6">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供应商提供假冒伪劣、以次充好、过期产品的，每次扣</w:t>
            </w:r>
            <w:r>
              <w:rPr>
                <w:rFonts w:hint="eastAsia" w:ascii="仿宋" w:hAnsi="仿宋" w:eastAsia="仿宋" w:cs="仿宋"/>
                <w:sz w:val="24"/>
                <w:szCs w:val="24"/>
                <w:highlight w:val="none"/>
                <w:lang w:val="en-US" w:eastAsia="zh-CN"/>
              </w:rPr>
              <w:t>4分；</w:t>
            </w:r>
          </w:p>
        </w:tc>
        <w:tc>
          <w:tcPr>
            <w:tcW w:w="900" w:type="dxa"/>
            <w:tcBorders>
              <w:top w:val="single" w:color="auto" w:sz="4" w:space="0"/>
              <w:left w:val="single" w:color="auto" w:sz="4" w:space="0"/>
              <w:bottom w:val="single" w:color="auto" w:sz="4" w:space="0"/>
              <w:right w:val="single" w:color="auto" w:sz="4" w:space="0"/>
            </w:tcBorders>
            <w:vAlign w:val="center"/>
          </w:tcPr>
          <w:p w14:paraId="10AEEBBA">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5F0770DE">
            <w:pPr>
              <w:autoSpaceDE w:val="0"/>
              <w:autoSpaceDN w:val="0"/>
              <w:adjustRightInd w:val="0"/>
              <w:jc w:val="both"/>
              <w:rPr>
                <w:rFonts w:hint="eastAsia" w:ascii="仿宋" w:hAnsi="仿宋" w:eastAsia="仿宋" w:cs="仿宋"/>
                <w:sz w:val="24"/>
                <w:szCs w:val="24"/>
                <w:highlight w:val="none"/>
              </w:rPr>
            </w:pPr>
          </w:p>
        </w:tc>
      </w:tr>
      <w:tr w14:paraId="3EAF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575EAB77">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465" w:type="dxa"/>
            <w:tcBorders>
              <w:top w:val="single" w:color="auto" w:sz="4" w:space="0"/>
              <w:left w:val="single" w:color="auto" w:sz="4" w:space="0"/>
              <w:bottom w:val="single" w:color="auto" w:sz="4" w:space="0"/>
              <w:right w:val="single" w:color="auto" w:sz="4" w:space="0"/>
            </w:tcBorders>
            <w:vAlign w:val="center"/>
          </w:tcPr>
          <w:p w14:paraId="6C764BA6">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22D17927">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供应商工作人员不遵守招标人各项管理规定或</w:t>
            </w:r>
            <w:r>
              <w:rPr>
                <w:rFonts w:hint="eastAsia" w:ascii="仿宋" w:hAnsi="仿宋" w:eastAsia="仿宋" w:cs="仿宋"/>
                <w:sz w:val="24"/>
                <w:szCs w:val="24"/>
                <w:highlight w:val="none"/>
                <w:lang w:eastAsia="zh-CN"/>
              </w:rPr>
              <w:t>不配合招标人</w:t>
            </w:r>
            <w:r>
              <w:rPr>
                <w:rFonts w:hint="eastAsia" w:ascii="仿宋" w:hAnsi="仿宋" w:eastAsia="仿宋" w:cs="仿宋"/>
                <w:sz w:val="24"/>
                <w:szCs w:val="24"/>
                <w:highlight w:val="none"/>
              </w:rPr>
              <w:t>工作，每次扣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900" w:type="dxa"/>
            <w:tcBorders>
              <w:top w:val="single" w:color="auto" w:sz="4" w:space="0"/>
              <w:left w:val="single" w:color="auto" w:sz="4" w:space="0"/>
              <w:bottom w:val="single" w:color="auto" w:sz="4" w:space="0"/>
              <w:right w:val="single" w:color="auto" w:sz="4" w:space="0"/>
            </w:tcBorders>
            <w:vAlign w:val="center"/>
          </w:tcPr>
          <w:p w14:paraId="5D6EA0DA">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58AC1C5A">
            <w:pPr>
              <w:autoSpaceDE w:val="0"/>
              <w:autoSpaceDN w:val="0"/>
              <w:adjustRightInd w:val="0"/>
              <w:jc w:val="both"/>
              <w:rPr>
                <w:rFonts w:hint="eastAsia" w:ascii="仿宋" w:hAnsi="仿宋" w:eastAsia="仿宋" w:cs="仿宋"/>
                <w:sz w:val="24"/>
                <w:szCs w:val="24"/>
                <w:highlight w:val="none"/>
              </w:rPr>
            </w:pPr>
          </w:p>
        </w:tc>
      </w:tr>
      <w:tr w14:paraId="3E50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C2B2549">
            <w:pPr>
              <w:widowControl/>
              <w:jc w:val="center"/>
              <w:rPr>
                <w:rFonts w:hint="eastAsia" w:ascii="仿宋" w:hAnsi="仿宋" w:eastAsia="仿宋" w:cs="仿宋"/>
                <w:sz w:val="24"/>
                <w:szCs w:val="24"/>
                <w:highlight w:val="none"/>
              </w:rPr>
            </w:pPr>
          </w:p>
        </w:tc>
        <w:tc>
          <w:tcPr>
            <w:tcW w:w="465" w:type="dxa"/>
            <w:tcBorders>
              <w:top w:val="single" w:color="auto" w:sz="4" w:space="0"/>
              <w:left w:val="single" w:color="auto" w:sz="4" w:space="0"/>
              <w:bottom w:val="single" w:color="auto" w:sz="4" w:space="0"/>
              <w:right w:val="single" w:color="auto" w:sz="4" w:space="0"/>
            </w:tcBorders>
            <w:vAlign w:val="center"/>
          </w:tcPr>
          <w:p w14:paraId="50D8B721">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14FDC75B">
            <w:pPr>
              <w:autoSpaceDE w:val="0"/>
              <w:autoSpaceDN w:val="0"/>
              <w:adjustRightInd w:val="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招标人认为应当对供应商进行</w:t>
            </w:r>
            <w:r>
              <w:rPr>
                <w:rFonts w:hint="eastAsia" w:ascii="仿宋" w:hAnsi="仿宋" w:eastAsia="仿宋" w:cs="仿宋"/>
                <w:sz w:val="24"/>
                <w:szCs w:val="24"/>
                <w:highlight w:val="none"/>
                <w:lang w:eastAsia="zh-CN"/>
              </w:rPr>
              <w:t>考核扣分</w:t>
            </w:r>
            <w:r>
              <w:rPr>
                <w:rFonts w:hint="eastAsia" w:ascii="仿宋" w:hAnsi="仿宋" w:eastAsia="仿宋" w:cs="仿宋"/>
                <w:sz w:val="24"/>
                <w:szCs w:val="24"/>
                <w:highlight w:val="none"/>
              </w:rPr>
              <w:t>的其他内容</w:t>
            </w:r>
            <w:r>
              <w:rPr>
                <w:rFonts w:hint="eastAsia" w:ascii="仿宋" w:hAnsi="仿宋" w:eastAsia="仿宋" w:cs="仿宋"/>
                <w:sz w:val="24"/>
                <w:szCs w:val="24"/>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08363643">
            <w:pPr>
              <w:autoSpaceDE w:val="0"/>
              <w:autoSpaceDN w:val="0"/>
              <w:adjustRightInd w:val="0"/>
              <w:jc w:val="both"/>
              <w:rPr>
                <w:rFonts w:hint="eastAsia" w:ascii="仿宋" w:hAnsi="仿宋" w:eastAsia="仿宋" w:cs="仿宋"/>
                <w:sz w:val="24"/>
                <w:szCs w:val="24"/>
                <w:highlight w:val="none"/>
              </w:rPr>
            </w:pPr>
          </w:p>
        </w:tc>
        <w:tc>
          <w:tcPr>
            <w:tcW w:w="2364" w:type="dxa"/>
            <w:tcBorders>
              <w:top w:val="single" w:color="auto" w:sz="4" w:space="0"/>
              <w:left w:val="single" w:color="auto" w:sz="4" w:space="0"/>
              <w:bottom w:val="single" w:color="auto" w:sz="4" w:space="0"/>
              <w:right w:val="single" w:color="auto" w:sz="4" w:space="0"/>
            </w:tcBorders>
            <w:vAlign w:val="center"/>
          </w:tcPr>
          <w:p w14:paraId="5C0F5FFA">
            <w:pPr>
              <w:autoSpaceDE w:val="0"/>
              <w:autoSpaceDN w:val="0"/>
              <w:adjustRightInd w:val="0"/>
              <w:jc w:val="both"/>
              <w:rPr>
                <w:rFonts w:hint="eastAsia" w:ascii="仿宋" w:hAnsi="仿宋" w:eastAsia="仿宋" w:cs="仿宋"/>
                <w:sz w:val="24"/>
                <w:szCs w:val="24"/>
                <w:highlight w:val="none"/>
              </w:rPr>
            </w:pPr>
          </w:p>
        </w:tc>
      </w:tr>
      <w:tr w14:paraId="125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65" w:type="dxa"/>
            <w:gridSpan w:val="2"/>
            <w:tcBorders>
              <w:top w:val="single" w:color="auto" w:sz="4" w:space="0"/>
              <w:left w:val="single" w:color="auto" w:sz="4" w:space="0"/>
              <w:bottom w:val="single" w:color="auto" w:sz="4" w:space="0"/>
              <w:right w:val="single" w:color="auto" w:sz="4" w:space="0"/>
            </w:tcBorders>
            <w:vAlign w:val="center"/>
          </w:tcPr>
          <w:p w14:paraId="570066CC">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扣分合计</w:t>
            </w:r>
          </w:p>
        </w:tc>
        <w:tc>
          <w:tcPr>
            <w:tcW w:w="2851" w:type="dxa"/>
            <w:tcBorders>
              <w:top w:val="single" w:color="auto" w:sz="4" w:space="0"/>
              <w:left w:val="single" w:color="auto" w:sz="4" w:space="0"/>
              <w:bottom w:val="single" w:color="auto" w:sz="4" w:space="0"/>
              <w:right w:val="single" w:color="auto" w:sz="4" w:space="0"/>
            </w:tcBorders>
            <w:vAlign w:val="center"/>
          </w:tcPr>
          <w:p w14:paraId="65A2B2A9">
            <w:pPr>
              <w:autoSpaceDE w:val="0"/>
              <w:autoSpaceDN w:val="0"/>
              <w:adjustRightInd w:val="0"/>
              <w:jc w:val="center"/>
              <w:rPr>
                <w:rFonts w:hint="eastAsia" w:ascii="仿宋" w:hAnsi="仿宋" w:eastAsia="仿宋" w:cs="仿宋"/>
                <w:sz w:val="24"/>
                <w:szCs w:val="24"/>
                <w:highlight w:val="none"/>
              </w:rPr>
            </w:pPr>
          </w:p>
        </w:tc>
        <w:tc>
          <w:tcPr>
            <w:tcW w:w="2174" w:type="dxa"/>
            <w:gridSpan w:val="2"/>
            <w:tcBorders>
              <w:top w:val="single" w:color="auto" w:sz="4" w:space="0"/>
              <w:left w:val="single" w:color="auto" w:sz="4" w:space="0"/>
              <w:bottom w:val="single" w:color="auto" w:sz="4" w:space="0"/>
              <w:right w:val="single" w:color="auto" w:sz="4" w:space="0"/>
            </w:tcBorders>
            <w:vAlign w:val="center"/>
          </w:tcPr>
          <w:p w14:paraId="06165135">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总分（100分制）</w:t>
            </w:r>
          </w:p>
        </w:tc>
        <w:tc>
          <w:tcPr>
            <w:tcW w:w="2364" w:type="dxa"/>
            <w:tcBorders>
              <w:top w:val="single" w:color="auto" w:sz="4" w:space="0"/>
              <w:left w:val="single" w:color="auto" w:sz="4" w:space="0"/>
              <w:bottom w:val="single" w:color="auto" w:sz="4" w:space="0"/>
              <w:right w:val="single" w:color="auto" w:sz="4" w:space="0"/>
            </w:tcBorders>
            <w:vAlign w:val="center"/>
          </w:tcPr>
          <w:p w14:paraId="39EE91B9">
            <w:pPr>
              <w:autoSpaceDE w:val="0"/>
              <w:autoSpaceDN w:val="0"/>
              <w:adjustRightInd w:val="0"/>
              <w:jc w:val="center"/>
              <w:rPr>
                <w:rFonts w:hint="eastAsia" w:ascii="仿宋" w:hAnsi="仿宋" w:eastAsia="仿宋" w:cs="仿宋"/>
                <w:sz w:val="24"/>
                <w:szCs w:val="24"/>
                <w:highlight w:val="none"/>
              </w:rPr>
            </w:pPr>
          </w:p>
        </w:tc>
      </w:tr>
      <w:tr w14:paraId="42AD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65" w:type="dxa"/>
            <w:gridSpan w:val="2"/>
            <w:tcBorders>
              <w:top w:val="single" w:color="auto" w:sz="4" w:space="0"/>
              <w:left w:val="single" w:color="auto" w:sz="4" w:space="0"/>
              <w:bottom w:val="single" w:color="auto" w:sz="4" w:space="0"/>
              <w:right w:val="single" w:color="auto" w:sz="4" w:space="0"/>
            </w:tcBorders>
            <w:vAlign w:val="center"/>
          </w:tcPr>
          <w:p w14:paraId="51D69B46">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考核</w:t>
            </w:r>
            <w:r>
              <w:rPr>
                <w:rFonts w:hint="eastAsia" w:ascii="仿宋" w:hAnsi="仿宋" w:eastAsia="仿宋" w:cs="仿宋"/>
                <w:sz w:val="24"/>
                <w:szCs w:val="24"/>
                <w:highlight w:val="none"/>
                <w:lang w:val="en-US" w:eastAsia="zh-CN"/>
              </w:rPr>
              <w:t>月份</w:t>
            </w:r>
          </w:p>
        </w:tc>
        <w:tc>
          <w:tcPr>
            <w:tcW w:w="2851" w:type="dxa"/>
            <w:tcBorders>
              <w:top w:val="single" w:color="auto" w:sz="4" w:space="0"/>
              <w:left w:val="single" w:color="auto" w:sz="4" w:space="0"/>
              <w:bottom w:val="single" w:color="auto" w:sz="4" w:space="0"/>
              <w:right w:val="single" w:color="auto" w:sz="4" w:space="0"/>
            </w:tcBorders>
            <w:vAlign w:val="center"/>
          </w:tcPr>
          <w:p w14:paraId="415D0D27">
            <w:pPr>
              <w:autoSpaceDE w:val="0"/>
              <w:autoSpaceDN w:val="0"/>
              <w:adjustRightInd w:val="0"/>
              <w:jc w:val="center"/>
              <w:rPr>
                <w:rFonts w:hint="eastAsia" w:ascii="仿宋" w:hAnsi="仿宋" w:eastAsia="仿宋" w:cs="仿宋"/>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53C1E7C0">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考核人签名</w:t>
            </w:r>
          </w:p>
        </w:tc>
        <w:tc>
          <w:tcPr>
            <w:tcW w:w="3264" w:type="dxa"/>
            <w:gridSpan w:val="2"/>
            <w:tcBorders>
              <w:top w:val="single" w:color="auto" w:sz="4" w:space="0"/>
              <w:left w:val="single" w:color="auto" w:sz="4" w:space="0"/>
              <w:bottom w:val="single" w:color="auto" w:sz="4" w:space="0"/>
              <w:right w:val="single" w:color="auto" w:sz="4" w:space="0"/>
            </w:tcBorders>
            <w:vAlign w:val="center"/>
          </w:tcPr>
          <w:p w14:paraId="795DBEA3">
            <w:pPr>
              <w:autoSpaceDE w:val="0"/>
              <w:autoSpaceDN w:val="0"/>
              <w:adjustRightInd w:val="0"/>
              <w:jc w:val="center"/>
              <w:rPr>
                <w:rFonts w:hint="eastAsia" w:ascii="仿宋" w:hAnsi="仿宋" w:eastAsia="仿宋" w:cs="仿宋"/>
                <w:sz w:val="24"/>
                <w:szCs w:val="24"/>
                <w:highlight w:val="none"/>
              </w:rPr>
            </w:pPr>
          </w:p>
        </w:tc>
      </w:tr>
    </w:tbl>
    <w:p w14:paraId="4D2C45B4">
      <w:pPr>
        <w:ind w:firstLine="482"/>
        <w:rPr>
          <w:rFonts w:hint="default" w:ascii="仿宋" w:hAnsi="仿宋" w:eastAsia="仿宋" w:cs="宋体"/>
          <w:szCs w:val="21"/>
          <w:lang w:val="en-US" w:eastAsia="zh-CN"/>
        </w:rPr>
      </w:pPr>
      <w:r>
        <w:rPr>
          <w:rFonts w:hint="eastAsia" w:ascii="仿宋" w:hAnsi="仿宋" w:eastAsia="仿宋" w:cs="宋体"/>
          <w:szCs w:val="21"/>
          <w:lang w:val="en-US" w:eastAsia="zh-CN"/>
        </w:rPr>
        <w:t>备注：如存在扣分情况，请在“扣分值”一栏填写扣分分值，并在“扣分情况”一栏说明扣分情况发生的具体日期和具体情况，如表格无法简单概括可附情况说明。月度考核总分低于80分的，视作月度验收不通过，招标人有权上报主管部门并进行解约处理。</w:t>
      </w:r>
    </w:p>
    <w:p w14:paraId="3129CBAE">
      <w:pPr>
        <w:ind w:firstLine="482"/>
        <w:rPr>
          <w:rFonts w:hint="eastAsia" w:ascii="仿宋" w:hAnsi="仿宋" w:eastAsia="仿宋" w:cs="宋体"/>
          <w:szCs w:val="21"/>
          <w:lang w:val="zh-CN" w:eastAsia="zh-CN"/>
        </w:rPr>
      </w:pPr>
      <w:r>
        <w:rPr>
          <w:rFonts w:hint="eastAsia" w:ascii="仿宋" w:hAnsi="仿宋" w:eastAsia="仿宋" w:cs="宋体"/>
          <w:szCs w:val="21"/>
          <w:lang w:val="en-US" w:eastAsia="zh-CN"/>
        </w:rPr>
        <w:t>4.5</w:t>
      </w:r>
      <w:r>
        <w:rPr>
          <w:rFonts w:hint="eastAsia" w:ascii="仿宋" w:hAnsi="仿宋" w:eastAsia="仿宋" w:cs="宋体"/>
          <w:szCs w:val="21"/>
          <w:lang w:val="zh-CN" w:eastAsia="zh-CN"/>
        </w:rPr>
        <w:t>履约验收内容：包括招标文件、投标文件及本合同约定的内容。</w:t>
      </w:r>
    </w:p>
    <w:p w14:paraId="6C561E70">
      <w:pPr>
        <w:ind w:firstLine="482"/>
        <w:rPr>
          <w:rFonts w:hint="eastAsia" w:ascii="仿宋" w:hAnsi="仿宋" w:eastAsia="仿宋" w:cs="宋体"/>
          <w:szCs w:val="21"/>
          <w:lang w:val="zh-CN" w:eastAsia="zh-CN"/>
        </w:rPr>
      </w:pPr>
      <w:r>
        <w:rPr>
          <w:rFonts w:hint="eastAsia" w:ascii="仿宋" w:hAnsi="仿宋" w:eastAsia="仿宋" w:cs="宋体"/>
          <w:szCs w:val="21"/>
          <w:lang w:val="en-US" w:eastAsia="zh-CN"/>
        </w:rPr>
        <w:t>4.6</w:t>
      </w:r>
      <w:r>
        <w:rPr>
          <w:rFonts w:hint="eastAsia" w:ascii="仿宋" w:hAnsi="仿宋" w:eastAsia="仿宋" w:cs="宋体"/>
          <w:szCs w:val="21"/>
          <w:lang w:val="zh-CN" w:eastAsia="zh-CN"/>
        </w:rPr>
        <w:t>验收标准：中标人已按照合同约定提供了全部服务和完整的验收资料，且经过双方检验认可后，可签署履约评价或验收报告。</w:t>
      </w:r>
    </w:p>
    <w:p w14:paraId="0F76EE50">
      <w:pPr>
        <w:ind w:firstLine="464" w:firstLineChars="200"/>
        <w:rPr>
          <w:rFonts w:ascii="仿宋" w:hAnsi="仿宋" w:eastAsia="仿宋" w:cs="宋体"/>
          <w:color w:val="EE0000"/>
          <w:szCs w:val="21"/>
        </w:rPr>
      </w:pPr>
      <w:r>
        <w:rPr>
          <w:rFonts w:hint="eastAsia" w:ascii="仿宋" w:hAnsi="仿宋" w:eastAsia="仿宋" w:cs="宋体"/>
          <w:b/>
          <w:bCs/>
          <w:szCs w:val="21"/>
          <w:lang w:val="zh-CN"/>
        </w:rPr>
        <w:t>（五）付款方式</w:t>
      </w:r>
    </w:p>
    <w:p w14:paraId="513A5035">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5.1结算货款时，由采购人工作人员严格审核送货清单，并根据招标确定的结算折扣率予以结算。</w:t>
      </w:r>
    </w:p>
    <w:p w14:paraId="05E6609B">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5.2合同支付上限为12,984,240元，款项每月结算一次，采购人按现行有关规定，凭采购合同、发票等和合同约定条款按进度拨付合同款项。</w:t>
      </w:r>
    </w:p>
    <w:p w14:paraId="516F90F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5.3每年12月16日至12月31日款项，由采购人与供应商提前协商确定该时间段的送货清单并根据采购人实际财政情况协商提前结算或正常按月结算。若双方协商决定选择提前结算，供应商应开具履约保函，保函标的为本合同提前结算部分的食材配送服务金额，保函有效期应不少于项目合同期结束后一个月，保函具体金额由采购人与供应商协商确定。</w:t>
      </w:r>
    </w:p>
    <w:p w14:paraId="0EAD5900">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5.4以上为预计付款方式，合同订立时，采购人可根据实际情况最终确定支付方式，并在合同中予以明确。</w:t>
      </w:r>
    </w:p>
    <w:p w14:paraId="30E38CF2">
      <w:pPr>
        <w:ind w:firstLine="464" w:firstLineChars="200"/>
        <w:rPr>
          <w:rFonts w:ascii="仿宋" w:hAnsi="仿宋" w:eastAsia="仿宋" w:cs="宋体"/>
          <w:color w:val="EE0000"/>
          <w:szCs w:val="21"/>
        </w:rPr>
      </w:pPr>
      <w:r>
        <w:rPr>
          <w:rFonts w:hint="eastAsia" w:ascii="仿宋" w:hAnsi="仿宋" w:eastAsia="仿宋" w:cs="宋体"/>
          <w:b/>
          <w:bCs/>
          <w:szCs w:val="21"/>
          <w:lang w:val="zh-CN"/>
        </w:rPr>
        <w:t>（六）违约责任</w:t>
      </w:r>
    </w:p>
    <w:p w14:paraId="5A862B6C">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中标供应商应按照招标要求、投标承诺及合同约定全面真实履约，接受采购人和社会各界的监督。中标供应商应将所承接的采购项目材料整理归档，妥善保管，以备查用。使用单位负责对服务供应商提供的服务进行验收和履约评价。监管部门组织对中标供应商合同履约情况进行定期或不定期的监督检查，必要时可邀请权威专业机构协助检查，中标供应商应积极配合，并按照要求如实反映情况，提供材料。</w:t>
      </w:r>
    </w:p>
    <w:p w14:paraId="7D76B994">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发生以下情形，经调查属实的，次月结算予以扣除供应商当月货款费的5%作为违约金：</w:t>
      </w:r>
    </w:p>
    <w:p w14:paraId="5BE2046D">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（1）未按要求随货提供相关票证；</w:t>
      </w:r>
    </w:p>
    <w:p w14:paraId="6EE8AFB3">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（2）货物质量验收不合格；</w:t>
      </w:r>
    </w:p>
    <w:p w14:paraId="06AB9B2A">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（3）未按采购人采购计划的时间供货（提前一天与采购人协商除外）；</w:t>
      </w:r>
    </w:p>
    <w:p w14:paraId="2D1592D9">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（4）供货数量仅为采购人采购计划数量的80%-90%；</w:t>
      </w:r>
    </w:p>
    <w:p w14:paraId="0864FE32">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（5）未按采购人指定秩序卸货；</w:t>
      </w:r>
    </w:p>
    <w:p w14:paraId="7AE8172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（6）货物出现质量问题，供应商不积极配合查找原因，不及时反馈处理结果；</w:t>
      </w:r>
    </w:p>
    <w:p w14:paraId="41FE9C60">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（7）供应商的工作人员不遵守采购人管理规定。</w:t>
      </w:r>
    </w:p>
    <w:p w14:paraId="64D87D40">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发生以下情形，经调查属实的，次月结算予以扣除当月货款费的10%作为违约金：</w:t>
      </w:r>
    </w:p>
    <w:p w14:paraId="3FFD8457">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（1）供应货物品种、品牌、规格或质量等级与合同不符；</w:t>
      </w:r>
    </w:p>
    <w:p w14:paraId="6AC189C9">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（2）提供虚假检验报告等相关票证；</w:t>
      </w:r>
    </w:p>
    <w:p w14:paraId="245581C0">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（3）供货数量低于采购人采购计划数量的80%；</w:t>
      </w:r>
    </w:p>
    <w:p w14:paraId="24336ED1">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（4）同一品种货物连续两次验收发现质量不合格产品并退货；</w:t>
      </w:r>
    </w:p>
    <w:p w14:paraId="1468A781">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（5）把采购人验收不合格退货的货物重新配送给采购人；</w:t>
      </w:r>
    </w:p>
    <w:p w14:paraId="061E1B74">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（6）在包装、运输、装卸等环节不符合食品安全要求；</w:t>
      </w:r>
    </w:p>
    <w:p w14:paraId="072547F0">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（7）组织机构发生调整，或经营场所、联系人、联系方式变更，未及时通知采购人，造成无法及时联系；</w:t>
      </w:r>
    </w:p>
    <w:p w14:paraId="0A3FC4C3">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（8）食品溯源管理制度不落实，进货查验记录不全。</w:t>
      </w:r>
    </w:p>
    <w:p w14:paraId="56159D63">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发生以下情形，经调查属实的，次月结算予以扣除当月货款费的20%作为违约金：</w:t>
      </w:r>
    </w:p>
    <w:p w14:paraId="5386AF3C">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（1）供应商的工作人员不遵守采购人的管理规定，对采购人工作造成一定负面影响的；</w:t>
      </w:r>
    </w:p>
    <w:p w14:paraId="502E9736">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（2）供应商提供假冒伪劣、以次充好、过期产品的。</w:t>
      </w:r>
    </w:p>
    <w:p w14:paraId="258E1190">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中标供应商在合同执行期间，有下列情况之一的，经查属实，采购人有权上报主管部门进行解约等处理，并追究相关法律和经济责任：</w:t>
      </w:r>
    </w:p>
    <w:p w14:paraId="194B6E01">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（1）弄虚作假、隐瞒真实情况骗取入围供应商资格的；</w:t>
      </w:r>
    </w:p>
    <w:p w14:paraId="4D5C74D5">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（2）非法手段排斥其他供应商参与竞争的；</w:t>
      </w:r>
    </w:p>
    <w:p w14:paraId="3578420A">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（3）违反规定、约定的，或者挂靠的；</w:t>
      </w:r>
    </w:p>
    <w:p w14:paraId="0D8A03C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（4）恶意质疑投诉的；</w:t>
      </w:r>
    </w:p>
    <w:p w14:paraId="5BC5CDDC">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（5）因其公司资质降低达不到入围供应商资质条件的，或被行业主管部门责令停业或取消资质的；</w:t>
      </w:r>
    </w:p>
    <w:p w14:paraId="75AA89D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（6）拖欠工人工资、经劳动或其他政府部门催告或通报仍不清偿的；</w:t>
      </w:r>
    </w:p>
    <w:p w14:paraId="681F0F43">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（7）拒绝有关部门检查或者不如实反映情况，提供材料的；</w:t>
      </w:r>
    </w:p>
    <w:p w14:paraId="6E9F0E3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（8）向采购项目相关人行贿或者提供其他不正当利益的；</w:t>
      </w:r>
    </w:p>
    <w:p w14:paraId="1D8D2926">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（9）选定后无正当理由不与采购人签订合同的；</w:t>
      </w:r>
    </w:p>
    <w:p w14:paraId="430B4C4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（10）擅自变更或者中止采购服务合同的；</w:t>
      </w:r>
    </w:p>
    <w:p w14:paraId="512FED8D">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（11）不按采购需求、投标文件以及采购服务合同要求全面履约，履约情况评价不合格的；</w:t>
      </w:r>
    </w:p>
    <w:p w14:paraId="1293CA16">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（12）未按规定出具检测报告或相关承诺书等资料达到二次的；</w:t>
      </w:r>
    </w:p>
    <w:p w14:paraId="152F56E8">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（13）经核实配送物资不符合采购人要求达到三次的；</w:t>
      </w:r>
    </w:p>
    <w:p w14:paraId="745A8A3C">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（14）不按要求提供报价达到三次的；</w:t>
      </w:r>
    </w:p>
    <w:p w14:paraId="08BE1596">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（15）虚高报价达到三次的；</w:t>
      </w:r>
    </w:p>
    <w:p w14:paraId="7B6334F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（16）物资或服务以次充好，存在严重质量问题的；</w:t>
      </w:r>
    </w:p>
    <w:p w14:paraId="4E8FF153">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（17）因供应的货物质量达不到国家有关食品安全标准而造成食物中毒或其它后果，经公安单位或卫生防疫部门鉴定属于供货方（配送单位）责任的；</w:t>
      </w:r>
    </w:p>
    <w:p w14:paraId="23AF9101">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（18）经2次以上（含2次）的有效投诉处理仍不纠正的，有效投诉指的是供应商被投诉内容经查实确定为违反服务合同或其他协议规定的事实；</w:t>
      </w:r>
    </w:p>
    <w:p w14:paraId="421F618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（19）供应商工作人员不遵守采购人管理规定，特别是保密规定，造成严重后果或恶劣影响的。</w:t>
      </w:r>
    </w:p>
    <w:p w14:paraId="155D47B8">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（20）其他违反法律、法规、协议规定的行为，造成严重后果的。</w:t>
      </w:r>
    </w:p>
    <w:p w14:paraId="66E7FD94">
      <w:pPr>
        <w:ind w:firstLine="464" w:firstLineChars="200"/>
        <w:rPr>
          <w:rFonts w:ascii="仿宋" w:hAnsi="仿宋" w:eastAsia="仿宋" w:cs="宋体"/>
          <w:color w:val="EE0000"/>
          <w:szCs w:val="21"/>
        </w:rPr>
      </w:pPr>
      <w:r>
        <w:rPr>
          <w:rFonts w:hint="eastAsia" w:ascii="仿宋" w:hAnsi="仿宋" w:eastAsia="仿宋" w:cs="宋体"/>
          <w:b/>
          <w:bCs/>
          <w:szCs w:val="21"/>
          <w:lang w:val="zh-CN"/>
        </w:rPr>
        <w:t>（七）其他</w:t>
      </w:r>
    </w:p>
    <w:p w14:paraId="0DAB0988">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1）本项目报价采用折扣率报价，所有物资的报价应包括供应产品和产品运输到采购人的服务费、运费、装卸费、检测费、人工费、管理费、税金等一切可能发生的费用。投标供应商的报价，应当是本项目采购范围和采购文件及合同条款上所列的各项内容中所述的全部，不得以任何理由予以重复。</w:t>
      </w:r>
    </w:p>
    <w:p w14:paraId="17B7775B">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（2）供应商应充分了解项目的位置、情况、道路及任何其它足以影响应答报价的情况，任何因忽视或误解项目情况而导致的索赔或服务期限延长申请将不获批准。</w:t>
      </w:r>
    </w:p>
    <w:p w14:paraId="6AC94D39">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（3）供应商不得期望通过索赔等方式获取补偿，否则，除可能遭到拒绝外，还可能将被作为不良行为记录在案，并可能影响其以后正常参与政府采购项目。各供应商在应答报价时，应充分考虑风险。</w:t>
      </w:r>
    </w:p>
    <w:p w14:paraId="4745B14D">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4AA438C4">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（5）除政府采购合同继续履行将损害国家利益和社会公共利益外，双方当事人不得擅自变更、中止或者终止合同。</w:t>
      </w:r>
    </w:p>
    <w:p w14:paraId="3E88B7AB">
      <w:pPr>
        <w:rPr>
          <w:rFonts w:ascii="宋体" w:hAnsi="宋体" w:eastAsia="宋体" w:cs="宋体"/>
          <w:sz w:val="21"/>
          <w:szCs w:val="21"/>
        </w:rPr>
      </w:pPr>
    </w:p>
    <w:p w14:paraId="2372B802">
      <w:pPr>
        <w:ind w:firstLine="464" w:firstLineChars="200"/>
        <w:rPr>
          <w:rFonts w:ascii="宋体" w:hAnsi="宋体"/>
          <w:b/>
          <w:bCs/>
        </w:rPr>
      </w:pPr>
    </w:p>
    <w:p w14:paraId="1F179A1B"/>
    <w:p w14:paraId="56CB4797">
      <w:pPr>
        <w:pStyle w:val="5"/>
        <w:jc w:val="center"/>
        <w:rPr>
          <w:rFonts w:asciiTheme="minorEastAsia" w:hAnsiTheme="minorEastAsia" w:eastAsiaTheme="minorEastAsia"/>
          <w:szCs w:val="21"/>
        </w:rPr>
      </w:pPr>
      <w:r>
        <w:rPr>
          <w:rFonts w:hint="eastAsia" w:asciiTheme="minorEastAsia" w:hAnsiTheme="minorEastAsia" w:eastAsiaTheme="minorEastAsia"/>
          <w:szCs w:val="21"/>
        </w:rPr>
        <w:t>六、其他重要条款</w:t>
      </w:r>
    </w:p>
    <w:p w14:paraId="321B65C9">
      <w:pPr>
        <w:ind w:firstLine="482"/>
        <w:rPr>
          <w:rFonts w:hint="eastAsia" w:ascii="仿宋" w:hAnsi="仿宋" w:eastAsia="仿宋" w:cs="宋体"/>
          <w:szCs w:val="21"/>
          <w:lang w:val="en-US" w:eastAsia="zh-CN"/>
        </w:rPr>
      </w:pPr>
      <w:bookmarkStart w:id="35" w:name="_Hlk72257111"/>
      <w:r>
        <w:rPr>
          <w:rFonts w:hint="eastAsia" w:ascii="仿宋" w:hAnsi="仿宋" w:eastAsia="仿宋" w:cs="宋体"/>
          <w:szCs w:val="21"/>
          <w:lang w:val="en-US"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DBBAD5E">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2、投标人应充分了解项目的位置、情况、道路及任何其它足以影响投标报价的情况，任何因忽视或误解项目情况而导致的索赔或服务期限延长申请将不获批准。</w:t>
      </w:r>
    </w:p>
    <w:p w14:paraId="661AE897">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632EDBD">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1D1A952">
      <w:pPr>
        <w:ind w:firstLine="482"/>
        <w:rPr>
          <w:rFonts w:hint="eastAsia" w:ascii="仿宋" w:hAnsi="仿宋" w:eastAsia="仿宋" w:cs="宋体"/>
          <w:szCs w:val="21"/>
          <w:lang w:val="en-US" w:eastAsia="zh-CN"/>
        </w:rPr>
      </w:pPr>
      <w:r>
        <w:rPr>
          <w:rFonts w:hint="eastAsia" w:ascii="仿宋" w:hAnsi="仿宋" w:eastAsia="仿宋" w:cs="宋体"/>
          <w:szCs w:val="21"/>
          <w:lang w:val="en-US" w:eastAsia="zh-CN"/>
        </w:rPr>
        <w:t>5、除政府采购合同继续履行将损害国家利益和社会公共利益外，双方当事人不得擅自变更、中止或者终止合同。</w:t>
      </w:r>
    </w:p>
    <w:p w14:paraId="6351DFAF">
      <w:pPr>
        <w:ind w:firstLine="482"/>
        <w:rPr>
          <w:rFonts w:asciiTheme="minorEastAsia" w:hAnsiTheme="minorEastAsia"/>
          <w:bCs/>
          <w:sz w:val="18"/>
          <w:szCs w:val="21"/>
        </w:rPr>
      </w:pPr>
      <w:r>
        <w:rPr>
          <w:rFonts w:hint="eastAsia" w:ascii="仿宋" w:hAnsi="仿宋" w:eastAsia="仿宋" w:cs="宋体"/>
          <w:szCs w:val="21"/>
          <w:lang w:val="en-US" w:eastAsia="zh-CN"/>
        </w:rPr>
        <w:t>6、“信用中国”、“中国政府采购网”、“深圳信用网”以及“深圳市政府采购监管网”为供应商信用信息的查询渠道，相关信息以开标当日的查询结果为准。</w:t>
      </w:r>
      <w:bookmarkEnd w:id="35"/>
    </w:p>
    <w:bookmarkEnd w:id="33"/>
    <w:p w14:paraId="327189DD">
      <w:pPr>
        <w:pStyle w:val="5"/>
        <w:jc w:val="center"/>
        <w:rPr>
          <w:rFonts w:asciiTheme="minorEastAsia" w:hAnsiTheme="minorEastAsia" w:eastAsiaTheme="minorEastAsia"/>
          <w:szCs w:val="21"/>
        </w:rPr>
      </w:pPr>
      <w:r>
        <w:rPr>
          <w:rFonts w:hint="eastAsia" w:asciiTheme="minorEastAsia" w:hAnsiTheme="minorEastAsia" w:eastAsiaTheme="minorEastAsia"/>
          <w:sz w:val="28"/>
          <w:szCs w:val="21"/>
          <w:lang w:val="en-US" w:eastAsia="zh-CN"/>
        </w:rPr>
        <w:t>七</w:t>
      </w:r>
      <w:r>
        <w:rPr>
          <w:rFonts w:hint="eastAsia" w:asciiTheme="minorEastAsia" w:hAnsiTheme="minorEastAsia" w:eastAsiaTheme="minorEastAsia"/>
          <w:szCs w:val="21"/>
        </w:rPr>
        <w:t>、</w:t>
      </w:r>
      <w:r>
        <w:rPr>
          <w:rFonts w:hint="eastAsia" w:cs="Times New Roman" w:asciiTheme="minorEastAsia" w:hAnsiTheme="minorEastAsia" w:eastAsiaTheme="minorEastAsia"/>
          <w:szCs w:val="21"/>
        </w:rPr>
        <w:t>争议解决</w:t>
      </w:r>
    </w:p>
    <w:p w14:paraId="7C520727">
      <w:pPr>
        <w:spacing w:before="60" w:beforeLines="25" w:after="60" w:afterLines="25"/>
        <w:ind w:firstLine="482"/>
        <w:rPr>
          <w:rFonts w:hint="eastAsia" w:ascii="仿宋" w:hAnsi="仿宋" w:eastAsia="仿宋" w:cs="宋体"/>
          <w:sz w:val="24"/>
          <w:szCs w:val="21"/>
        </w:rPr>
      </w:pPr>
      <w:r>
        <w:rPr>
          <w:rFonts w:hint="default" w:ascii="仿宋" w:hAnsi="仿宋" w:eastAsia="仿宋" w:cs="宋体"/>
          <w:szCs w:val="21"/>
          <w:lang w:val="en-US" w:eastAsia="zh-CN"/>
        </w:rPr>
        <w:t>合同执行过程中发生的任何争议，如双方不能通过友好协商解决，任何一方均可向</w:t>
      </w:r>
      <w:r>
        <w:rPr>
          <w:rFonts w:hint="eastAsia" w:ascii="仿宋" w:hAnsi="仿宋" w:eastAsia="仿宋" w:cs="宋体"/>
          <w:szCs w:val="21"/>
          <w:lang w:val="en-US" w:eastAsia="zh-CN"/>
        </w:rPr>
        <w:t>采购人</w:t>
      </w:r>
      <w:r>
        <w:rPr>
          <w:rFonts w:hint="default" w:ascii="仿宋" w:hAnsi="仿宋" w:eastAsia="仿宋" w:cs="宋体"/>
          <w:szCs w:val="21"/>
          <w:lang w:val="en-US" w:eastAsia="zh-CN"/>
        </w:rPr>
        <w:t>所在地人民法院提起诉讼</w:t>
      </w:r>
      <w:r>
        <w:rPr>
          <w:rFonts w:hint="default" w:ascii="仿宋" w:hAnsi="仿宋" w:eastAsia="仿宋" w:cs="宋体"/>
          <w:sz w:val="24"/>
          <w:szCs w:val="21"/>
        </w:rPr>
        <w:t>。</w:t>
      </w:r>
    </w:p>
    <w:p w14:paraId="120173C2">
      <w:pPr>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br w:type="page"/>
      </w:r>
    </w:p>
    <w:p w14:paraId="5CB07333">
      <w:pPr>
        <w:pStyle w:val="2"/>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第四章 投标文件组成要求及格式</w:t>
      </w:r>
    </w:p>
    <w:p w14:paraId="7FB33E4D">
      <w:pPr>
        <w:spacing w:line="360" w:lineRule="auto"/>
        <w:rPr>
          <w:rStyle w:val="32"/>
          <w:rFonts w:ascii="宋体" w:hAnsi="宋体" w:eastAsia="宋体" w:cs="宋体"/>
          <w:b/>
          <w:bCs w:val="0"/>
          <w:color w:val="000000" w:themeColor="text1"/>
          <w:sz w:val="24"/>
          <w14:textFill>
            <w14:solidFill>
              <w14:schemeClr w14:val="tx1"/>
            </w14:solidFill>
          </w14:textFill>
        </w:rPr>
      </w:pPr>
      <w:r>
        <w:rPr>
          <w:rStyle w:val="32"/>
          <w:rFonts w:hint="eastAsia" w:ascii="宋体" w:hAnsi="宋体" w:eastAsia="宋体" w:cs="宋体"/>
          <w:b/>
          <w:bCs w:val="0"/>
          <w:color w:val="000000" w:themeColor="text1"/>
          <w:sz w:val="24"/>
          <w14:textFill>
            <w14:solidFill>
              <w14:schemeClr w14:val="tx1"/>
            </w14:solidFill>
          </w14:textFill>
        </w:rPr>
        <w:t>特别提醒：</w:t>
      </w:r>
    </w:p>
    <w:p w14:paraId="7A9922E6">
      <w:pPr>
        <w:spacing w:line="360" w:lineRule="auto"/>
        <w:ind w:firstLine="46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7464E20">
      <w:pPr>
        <w:spacing w:line="360" w:lineRule="auto"/>
        <w:ind w:firstLine="464"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投标文件正文（信息公开部分）必须编制于“投标书目录”部分，投标文件附件（非信息公开部分）必须编制于“投标书附件”部分，如下图所示。</w:t>
      </w:r>
    </w:p>
    <w:p w14:paraId="6C70DBC2">
      <w:pPr>
        <w:rPr>
          <w:rFonts w:ascii="宋体" w:hAnsi="宋体" w:cs="宋体"/>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drawing>
          <wp:inline distT="0" distB="0" distL="0" distR="0">
            <wp:extent cx="5278755" cy="4126230"/>
            <wp:effectExtent l="0" t="0" r="0" b="0"/>
            <wp:docPr id="6"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应用程序&#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755" cy="4126230"/>
                    </a:xfrm>
                    <a:prstGeom prst="rect">
                      <a:avLst/>
                    </a:prstGeom>
                    <a:noFill/>
                    <a:ln>
                      <a:noFill/>
                    </a:ln>
                  </pic:spPr>
                </pic:pic>
              </a:graphicData>
            </a:graphic>
          </wp:inline>
        </w:drawing>
      </w:r>
    </w:p>
    <w:p w14:paraId="74562CDD">
      <w:pPr>
        <w:spacing w:line="400" w:lineRule="exact"/>
        <w:ind w:firstLine="464" w:firstLineChars="200"/>
        <w:jc w:val="both"/>
        <w:rPr>
          <w:rFonts w:ascii="仿宋_GB2312" w:eastAsia="仿宋_GB2312"/>
          <w:color w:val="000000" w:themeColor="text1"/>
          <w14:textFill>
            <w14:solidFill>
              <w14:schemeClr w14:val="tx1"/>
            </w14:solidFill>
          </w14:textFill>
        </w:rPr>
      </w:pPr>
      <w:bookmarkStart w:id="36" w:name="_Hlk72257167"/>
      <w:r>
        <w:rPr>
          <w:rFonts w:hint="eastAsia" w:ascii="宋体" w:hAnsi="宋体" w:cs="宋体"/>
          <w:color w:val="000000" w:themeColor="text1"/>
          <w14:textFill>
            <w14:solidFill>
              <w14:schemeClr w14:val="tx1"/>
            </w14:solidFill>
          </w14:textFill>
        </w:rPr>
        <w:t>招标机构公布投标文件正文（信息公开部分）时为计算机截取信息自动公布，</w:t>
      </w:r>
      <w:r>
        <w:rPr>
          <w:rFonts w:hint="eastAsia" w:ascii="宋体" w:hAnsi="宋体" w:cs="宋体"/>
          <w:b/>
          <w:bCs/>
          <w:color w:val="000000" w:themeColor="text1"/>
          <w14:textFill>
            <w14:solidFill>
              <w14:schemeClr w14:val="tx1"/>
            </w14:solidFill>
          </w14:textFill>
        </w:rPr>
        <w:t>如投标人误将涉及个人隐私的信息放入投标文件正文，相关后果由投标人自负；</w:t>
      </w:r>
      <w:r>
        <w:rPr>
          <w:rFonts w:hint="eastAsia" w:ascii="宋体" w:hAnsi="宋体" w:cs="宋体"/>
          <w:color w:val="000000" w:themeColor="text1"/>
          <w14:textFill>
            <w14:solidFill>
              <w14:schemeClr w14:val="tx1"/>
            </w14:solidFill>
          </w14:textFill>
        </w:rPr>
        <w:t>如投标人将必须放于投标文件正文（信息公开部分）的内容放入投标文件附件（非信息公开部分），将作投标无效处理。</w:t>
      </w:r>
      <w:bookmarkEnd w:id="36"/>
    </w:p>
    <w:p w14:paraId="6CF39929">
      <w:pPr>
        <w:ind w:firstLine="464"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投标文件组成：</w:t>
      </w:r>
    </w:p>
    <w:p w14:paraId="72CF99D6">
      <w:pPr>
        <w:ind w:left="464" w:left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1.投标文件正文（信息公开部分）：</w:t>
      </w:r>
    </w:p>
    <w:p w14:paraId="057DA77E">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（1）投标函</w:t>
      </w:r>
    </w:p>
    <w:p w14:paraId="0182D120">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（2）政府采购投标及履约承诺函</w:t>
      </w:r>
    </w:p>
    <w:p w14:paraId="54B5176D">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（3）投标人情况及资格证明文件</w:t>
      </w:r>
    </w:p>
    <w:p w14:paraId="1539829F">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（4）项目详细报价</w:t>
      </w:r>
    </w:p>
    <w:p w14:paraId="4435AADC">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（5）投标人认证情况</w:t>
      </w:r>
    </w:p>
    <w:p w14:paraId="591A84CD">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（6）服务网点</w:t>
      </w:r>
    </w:p>
    <w:p w14:paraId="4A80A115">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（7）投标人认为需要加以说明的其他内容（格式自定）</w:t>
      </w:r>
    </w:p>
    <w:p w14:paraId="52D3AB4E">
      <w:pPr>
        <w:ind w:left="464" w:left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2.投标文件附件（信息不公开部分）：</w:t>
      </w:r>
    </w:p>
    <w:p w14:paraId="496E582B">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（1）法定代表人（负责人或执行事务合伙人）资格证明书</w:t>
      </w:r>
    </w:p>
    <w:p w14:paraId="319F78DB">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（2）投标文件签署授权委托书</w:t>
      </w:r>
    </w:p>
    <w:p w14:paraId="191158EF">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（3）供应商基本情况表</w:t>
      </w:r>
    </w:p>
    <w:p w14:paraId="6B61238F">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（4）供应商基本情况表及附件</w:t>
      </w:r>
    </w:p>
    <w:p w14:paraId="78775520">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（5）实质性条款响应情况表</w:t>
      </w:r>
    </w:p>
    <w:p w14:paraId="3E1C3966">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（6）商务、技术条款偏离表</w:t>
      </w:r>
    </w:p>
    <w:p w14:paraId="1B5E00A6">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（7）拟安排的项目负责人情况（仅限一人）</w:t>
      </w:r>
    </w:p>
    <w:p w14:paraId="40F95929">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（8）同类业绩情况</w:t>
      </w:r>
    </w:p>
    <w:p w14:paraId="5BD04F56">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（9）项目整体设想及规划方案（格式自定）</w:t>
      </w:r>
    </w:p>
    <w:p w14:paraId="35208C65">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（10）规章管理制度、工作流程（格式自定）</w:t>
      </w:r>
    </w:p>
    <w:p w14:paraId="734EE950">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（11）应急预案（格式自定）</w:t>
      </w:r>
    </w:p>
    <w:p w14:paraId="0CBEA571">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（12）售后服务方案（格式自定）</w:t>
      </w:r>
    </w:p>
    <w:p w14:paraId="16EC8C4C">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（13）项目完成（服务期满）后的服务承诺（格式自定）</w:t>
      </w:r>
    </w:p>
    <w:p w14:paraId="306FC1A5">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（14）违约承诺（格式自定）</w:t>
      </w:r>
    </w:p>
    <w:p w14:paraId="5CA685CE">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（15）食品检测保障能力（格式自定）</w:t>
      </w:r>
    </w:p>
    <w:p w14:paraId="3601375F">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（16）拟投入本项目冷库（含冷冻库及冷藏库）情况（格式自定）</w:t>
      </w:r>
    </w:p>
    <w:p w14:paraId="2B23D063">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（17）拟投入本项目的配送场所（格式自定）</w:t>
      </w:r>
    </w:p>
    <w:p w14:paraId="595664E2">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（18）拟投入本项目的车辆（格式自定）</w:t>
      </w:r>
    </w:p>
    <w:p w14:paraId="5F23D122">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（19）拟投入本项目食品安全检测设备（格式自定）</w:t>
      </w:r>
    </w:p>
    <w:p w14:paraId="450A4648">
      <w:pPr>
        <w:ind w:left="464" w:leftChars="200"/>
        <w:rPr>
          <w:rFonts w:hint="eastAsia"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（20）拟投入本项目的食品安全保险（格式自定）</w:t>
      </w:r>
    </w:p>
    <w:p w14:paraId="0CCFAE46">
      <w:pPr>
        <w:ind w:left="464" w:leftChars="200"/>
        <w:rPr>
          <w:rFonts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（21）投标人认为需要加以说明的其他内容（格式自定）</w:t>
      </w:r>
    </w:p>
    <w:p w14:paraId="68948D7D">
      <w:pPr>
        <w:ind w:firstLine="468" w:firstLineChars="2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p w14:paraId="482C58C4">
      <w:pPr>
        <w:ind w:firstLine="468" w:firstLineChars="2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1.本项目为网上电子投标项目，投标文件不需法人或授权委托人另行签字，无需加盖单位公章，招标文件专用条款另有规定的除外。</w:t>
      </w:r>
    </w:p>
    <w:p w14:paraId="05569610">
      <w:pPr>
        <w:ind w:firstLine="468" w:firstLineChars="2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2.关于填写“开标一览表”的说明：“开标一览表”中除“投标报价”外，其他信息不作评审依据。</w:t>
      </w:r>
    </w:p>
    <w:p w14:paraId="6784CC81"/>
    <w:p w14:paraId="5D318A84">
      <w:pPr>
        <w:pStyle w:val="6"/>
      </w:pPr>
    </w:p>
    <w:p w14:paraId="3E1B81D2"/>
    <w:p w14:paraId="34AF2521">
      <w:pPr>
        <w:pStyle w:val="6"/>
      </w:pPr>
    </w:p>
    <w:p w14:paraId="295DDC82"/>
    <w:p w14:paraId="4AF9F199">
      <w:pPr>
        <w:pStyle w:val="6"/>
      </w:pPr>
      <w:r>
        <w:br w:type="page"/>
      </w:r>
    </w:p>
    <w:p w14:paraId="5444C7F2">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67B888F8">
      <w:pPr>
        <w:pStyle w:val="5"/>
        <w:jc w:val="center"/>
        <w:rPr>
          <w:rFonts w:ascii="黑体" w:eastAsia="黑体"/>
          <w:b w:val="0"/>
          <w:color w:val="000000" w:themeColor="text1"/>
          <w:sz w:val="24"/>
          <w14:textFill>
            <w14:solidFill>
              <w14:schemeClr w14:val="tx1"/>
            </w14:solidFill>
          </w14:textFill>
        </w:rPr>
      </w:pPr>
      <w:r>
        <w:rPr>
          <w:rFonts w:hint="eastAsia" w:ascii="黑体" w:eastAsia="黑体"/>
          <w:b w:val="0"/>
          <w:color w:val="000000" w:themeColor="text1"/>
          <w:sz w:val="24"/>
          <w14:textFill>
            <w14:solidFill>
              <w14:schemeClr w14:val="tx1"/>
            </w14:solidFill>
          </w14:textFill>
        </w:rPr>
        <w:t>一、投标函</w:t>
      </w:r>
    </w:p>
    <w:p w14:paraId="5C7F5178">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致：</w:t>
      </w:r>
      <w:r>
        <w:rPr>
          <w:rFonts w:hint="eastAsia" w:ascii="宋体" w:hAnsi="宋体" w:eastAsia="宋体"/>
          <w:color w:val="000000" w:themeColor="text1"/>
          <w:u w:val="single"/>
          <w14:textFill>
            <w14:solidFill>
              <w14:schemeClr w14:val="tx1"/>
            </w14:solidFill>
          </w14:textFill>
        </w:rPr>
        <w:t xml:space="preserve">友和保险经纪有限公司 </w:t>
      </w:r>
    </w:p>
    <w:p w14:paraId="16D2F8BA">
      <w:pPr>
        <w:ind w:firstLine="464" w:firstLineChars="200"/>
        <w:rPr>
          <w:rFonts w:ascii="宋体" w:hAnsi="宋体" w:eastAsia="宋体"/>
          <w:color w:val="000000" w:themeColor="text1"/>
          <w14:textFill>
            <w14:solidFill>
              <w14:schemeClr w14:val="tx1"/>
            </w14:solidFill>
          </w14:textFill>
        </w:rPr>
      </w:pPr>
      <w:bookmarkStart w:id="37" w:name="_Hlk73818812"/>
      <w:r>
        <w:rPr>
          <w:rFonts w:hint="eastAsia" w:ascii="宋体" w:hAnsi="宋体" w:eastAsia="宋体"/>
          <w:color w:val="000000" w:themeColor="text1"/>
          <w14:textFill>
            <w14:solidFill>
              <w14:schemeClr w14:val="tx1"/>
            </w14:solidFill>
          </w14:textFill>
        </w:rPr>
        <w:t>1、根据已收到贵单位的项目编号为</w:t>
      </w:r>
      <w:r>
        <w:rPr>
          <w:rFonts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u w:val="single"/>
          <w:lang w:eastAsia="zh-CN"/>
          <w14:textFill>
            <w14:solidFill>
              <w14:schemeClr w14:val="tx1"/>
            </w14:solidFill>
          </w14:textFill>
        </w:rPr>
        <w:t>SZDL2025001953</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的</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u w:val="single"/>
          <w:lang w:eastAsia="zh-CN"/>
          <w14:textFill>
            <w14:solidFill>
              <w14:schemeClr w14:val="tx1"/>
            </w14:solidFill>
          </w14:textFill>
        </w:rPr>
        <w:t>2026年深圳市公安局监所管理支队食材配送服务项目</w:t>
      </w:r>
      <w:r>
        <w:rPr>
          <w:rFonts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的招标文件，遵照《深圳经济特区政府采购条例》和《深圳网上政府采购管理暂行办法》等有关规定，我单位经研究上述招标文件的专用条款及通用条款后，</w:t>
      </w:r>
      <w:bookmarkStart w:id="38" w:name="_Hlk72263588"/>
      <w:r>
        <w:rPr>
          <w:rFonts w:hint="eastAsia" w:ascii="宋体" w:hAnsi="宋体" w:eastAsia="宋体"/>
          <w:color w:val="000000" w:themeColor="text1"/>
          <w14:textFill>
            <w14:solidFill>
              <w14:schemeClr w14:val="tx1"/>
            </w14:solidFill>
          </w14:textFill>
        </w:rPr>
        <w:t>愿意按照招标文件要求承包上述项目并修补其任何缺陷。</w:t>
      </w:r>
      <w:bookmarkEnd w:id="38"/>
    </w:p>
    <w:p w14:paraId="3CB665E6">
      <w:pPr>
        <w:ind w:firstLine="464"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、投标价格见投标书编制软件中《开标一览表》中填写的投标总价。</w:t>
      </w:r>
    </w:p>
    <w:p w14:paraId="2E109055">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3、如果我单位中标，我单位将按照招标文件的要求足额提交履约担保。</w:t>
      </w:r>
    </w:p>
    <w:p w14:paraId="176C679D">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4、我单位同意所递交的投标文件在“对通用条款的补充内容”中明确的投标有效期内有效，在此期间内我单位的投标有可能中标，我方将受此约束。</w:t>
      </w:r>
    </w:p>
    <w:p w14:paraId="3D77CFB1">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5、除非另外达成协议并生效，贵单位的中标通知书和本投标文件将构成合同的重要内容。</w:t>
      </w:r>
    </w:p>
    <w:p w14:paraId="4B2BB163">
      <w:pPr>
        <w:ind w:left="580" w:leftChars="200" w:hanging="116" w:hangingChars="5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6、我单位理解贵单位将不受必须接受所收到的最低报价或其它任何投标文件的约束。</w:t>
      </w:r>
      <w:bookmarkEnd w:id="37"/>
    </w:p>
    <w:p w14:paraId="406C3874">
      <w:pPr>
        <w:ind w:left="580" w:leftChars="200" w:hanging="116" w:hangingChars="50"/>
        <w:rPr>
          <w:rFonts w:ascii="宋体" w:hAnsi="宋体" w:eastAsia="宋体"/>
          <w:color w:val="000000" w:themeColor="text1"/>
          <w14:textFill>
            <w14:solidFill>
              <w14:schemeClr w14:val="tx1"/>
            </w14:solidFill>
          </w14:textFill>
        </w:rPr>
      </w:pPr>
    </w:p>
    <w:p w14:paraId="41646B1B">
      <w:pPr>
        <w:ind w:left="580" w:leftChars="200" w:hanging="116" w:hangingChars="50"/>
        <w:rPr>
          <w:rFonts w:ascii="宋体" w:hAnsi="宋体" w:eastAsia="宋体"/>
          <w:color w:val="000000" w:themeColor="text1"/>
          <w:u w:val="single"/>
          <w14:textFill>
            <w14:solidFill>
              <w14:schemeClr w14:val="tx1"/>
            </w14:solidFill>
          </w14:textFill>
        </w:rPr>
      </w:pPr>
      <w:r>
        <w:rPr>
          <w:rFonts w:hint="eastAsia" w:ascii="宋体" w:hAnsi="宋体" w:eastAsia="宋体"/>
          <w:color w:val="000000" w:themeColor="text1"/>
          <w14:textFill>
            <w14:solidFill>
              <w14:schemeClr w14:val="tx1"/>
            </w14:solidFill>
          </w14:textFill>
        </w:rPr>
        <w:t>投标人：</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单位地址：</w:t>
      </w:r>
      <w:r>
        <w:rPr>
          <w:rFonts w:hint="eastAsia" w:ascii="宋体" w:hAnsi="宋体" w:eastAsia="宋体"/>
          <w:color w:val="000000" w:themeColor="text1"/>
          <w:u w:val="single"/>
          <w14:textFill>
            <w14:solidFill>
              <w14:schemeClr w14:val="tx1"/>
            </w14:solidFill>
          </w14:textFill>
        </w:rPr>
        <w:t xml:space="preserve">               </w:t>
      </w:r>
    </w:p>
    <w:p w14:paraId="356DB324">
      <w:pPr>
        <w:ind w:firstLine="464" w:firstLineChars="200"/>
        <w:rPr>
          <w:rFonts w:ascii="宋体" w:hAnsi="宋体" w:eastAsia="宋体"/>
          <w:color w:val="000000" w:themeColor="text1"/>
          <w:u w:val="single"/>
          <w14:textFill>
            <w14:solidFill>
              <w14:schemeClr w14:val="tx1"/>
            </w14:solidFill>
          </w14:textFill>
        </w:rPr>
      </w:pPr>
      <w:r>
        <w:rPr>
          <w:rFonts w:hint="eastAsia" w:ascii="宋体" w:hAnsi="宋体" w:eastAsia="宋体"/>
          <w:color w:val="000000" w:themeColor="text1"/>
          <w14:textFill>
            <w14:solidFill>
              <w14:schemeClr w14:val="tx1"/>
            </w14:solidFill>
          </w14:textFill>
        </w:rPr>
        <w:t>法定代表人（负责人）或其委托代理人：</w:t>
      </w:r>
      <w:r>
        <w:rPr>
          <w:rFonts w:hint="eastAsia" w:ascii="宋体" w:hAnsi="宋体" w:eastAsia="宋体"/>
          <w:color w:val="000000" w:themeColor="text1"/>
          <w:u w:val="single"/>
          <w14:textFill>
            <w14:solidFill>
              <w14:schemeClr w14:val="tx1"/>
            </w14:solidFill>
          </w14:textFill>
        </w:rPr>
        <w:t xml:space="preserve">                   </w:t>
      </w:r>
    </w:p>
    <w:p w14:paraId="293CD664">
      <w:pPr>
        <w:ind w:firstLine="464" w:firstLineChars="200"/>
        <w:rPr>
          <w:rFonts w:ascii="宋体" w:hAnsi="宋体" w:eastAsia="宋体"/>
          <w:color w:val="000000" w:themeColor="text1"/>
          <w:u w:val="single"/>
          <w14:textFill>
            <w14:solidFill>
              <w14:schemeClr w14:val="tx1"/>
            </w14:solidFill>
          </w14:textFill>
        </w:rPr>
      </w:pPr>
      <w:r>
        <w:rPr>
          <w:rFonts w:hint="eastAsia" w:ascii="宋体" w:hAnsi="宋体" w:eastAsia="宋体"/>
          <w:color w:val="000000" w:themeColor="text1"/>
          <w14:textFill>
            <w14:solidFill>
              <w14:schemeClr w14:val="tx1"/>
            </w14:solidFill>
          </w14:textFill>
        </w:rPr>
        <w:t>邮政编码：</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电话：</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传真：</w:t>
      </w:r>
      <w:r>
        <w:rPr>
          <w:rFonts w:hint="eastAsia" w:ascii="宋体" w:hAnsi="宋体" w:eastAsia="宋体"/>
          <w:color w:val="000000" w:themeColor="text1"/>
          <w:u w:val="single"/>
          <w14:textFill>
            <w14:solidFill>
              <w14:schemeClr w14:val="tx1"/>
            </w14:solidFill>
          </w14:textFill>
        </w:rPr>
        <w:t xml:space="preserve">            </w:t>
      </w:r>
    </w:p>
    <w:p w14:paraId="5E8139D6">
      <w:pPr>
        <w:pStyle w:val="6"/>
        <w:ind w:firstLine="464" w:firstLineChars="200"/>
      </w:pPr>
      <w:r>
        <w:rPr>
          <w:rFonts w:hint="eastAsia" w:ascii="宋体" w:hAnsi="宋体" w:eastAsia="宋体"/>
          <w:color w:val="000000" w:themeColor="text1"/>
          <w14:textFill>
            <w14:solidFill>
              <w14:schemeClr w14:val="tx1"/>
            </w14:solidFill>
          </w14:textFill>
        </w:rPr>
        <w:t>邮箱：</w:t>
      </w:r>
      <w:r>
        <w:rPr>
          <w:rFonts w:hint="eastAsia" w:ascii="宋体" w:hAnsi="宋体" w:eastAsia="宋体"/>
          <w:color w:val="000000" w:themeColor="text1"/>
          <w:u w:val="single"/>
          <w14:textFill>
            <w14:solidFill>
              <w14:schemeClr w14:val="tx1"/>
            </w14:solidFill>
          </w14:textFill>
        </w:rPr>
        <w:t xml:space="preserve">                            </w:t>
      </w:r>
    </w:p>
    <w:p w14:paraId="048C7361">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开户银行名称：</w:t>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开户银行账号：</w:t>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p>
    <w:p w14:paraId="1AF3C9AA">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开户银行地址：</w:t>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开户银行电话：</w:t>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r>
        <w:rPr>
          <w:rFonts w:hint="eastAsia" w:ascii="宋体" w:hAnsi="宋体" w:eastAsia="宋体"/>
          <w:color w:val="000000" w:themeColor="text1"/>
          <w:u w:val="single"/>
          <w14:textFill>
            <w14:solidFill>
              <w14:schemeClr w14:val="tx1"/>
            </w14:solidFill>
          </w14:textFill>
        </w:rPr>
        <w:tab/>
      </w:r>
    </w:p>
    <w:p w14:paraId="4D202FB8">
      <w:pPr>
        <w:ind w:firstLine="464" w:firstLineChars="200"/>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日期：</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日    </w:t>
      </w:r>
      <w:r>
        <w:rPr>
          <w:rFonts w:hint="eastAsia"/>
          <w:color w:val="000000" w:themeColor="text1"/>
          <w14:textFill>
            <w14:solidFill>
              <w14:schemeClr w14:val="tx1"/>
            </w14:solidFill>
          </w14:textFill>
        </w:rPr>
        <w:t xml:space="preserve">                            </w:t>
      </w:r>
    </w:p>
    <w:p w14:paraId="0394A87E">
      <w:pPr>
        <w:rPr>
          <w:rFonts w:ascii="黑体" w:hAnsi="宋体" w:eastAsia="黑体"/>
          <w:color w:val="000000" w:themeColor="text1"/>
          <w14:textFill>
            <w14:solidFill>
              <w14:schemeClr w14:val="tx1"/>
            </w14:solidFill>
          </w14:textFill>
        </w:rPr>
      </w:pPr>
    </w:p>
    <w:p w14:paraId="1BF9E8AE">
      <w:pPr>
        <w:rPr>
          <w:rFonts w:ascii="宋体" w:hAnsi="宋体"/>
          <w:color w:val="000000" w:themeColor="text1"/>
          <w:szCs w:val="21"/>
          <w14:textFill>
            <w14:solidFill>
              <w14:schemeClr w14:val="tx1"/>
            </w14:solidFill>
          </w14:textFill>
        </w:rPr>
      </w:pPr>
    </w:p>
    <w:p w14:paraId="1759723E">
      <w:pPr>
        <w:rPr>
          <w:rFonts w:ascii="黑体" w:hAnsi="宋体" w:eastAsia="黑体"/>
          <w:color w:val="000000" w:themeColor="text1"/>
          <w14:textFill>
            <w14:solidFill>
              <w14:schemeClr w14:val="tx1"/>
            </w14:solidFill>
          </w14:textFill>
        </w:rPr>
      </w:pPr>
    </w:p>
    <w:p w14:paraId="23FB38BE">
      <w:pPr>
        <w:rPr>
          <w:rFonts w:ascii="黑体" w:hAnsi="宋体" w:eastAsia="黑体"/>
          <w:color w:val="000000" w:themeColor="text1"/>
          <w14:textFill>
            <w14:solidFill>
              <w14:schemeClr w14:val="tx1"/>
            </w14:solidFill>
          </w14:textFill>
        </w:rPr>
      </w:pPr>
    </w:p>
    <w:p w14:paraId="1CB8FEC9">
      <w:pPr>
        <w:rPr>
          <w:rFonts w:ascii="黑体" w:hAnsi="宋体" w:eastAsia="黑体"/>
          <w:color w:val="000000" w:themeColor="text1"/>
          <w14:textFill>
            <w14:solidFill>
              <w14:schemeClr w14:val="tx1"/>
            </w14:solidFill>
          </w14:textFill>
        </w:rPr>
      </w:pPr>
    </w:p>
    <w:p w14:paraId="234EF78A">
      <w:pPr>
        <w:pStyle w:val="5"/>
        <w:jc w:val="center"/>
        <w:rPr>
          <w:rFonts w:ascii="黑体" w:eastAsia="黑体"/>
          <w:b w:val="0"/>
          <w:color w:val="000000" w:themeColor="text1"/>
          <w:sz w:val="24"/>
          <w14:textFill>
            <w14:solidFill>
              <w14:schemeClr w14:val="tx1"/>
            </w14:solidFill>
          </w14:textFill>
        </w:rPr>
      </w:pPr>
      <w:r>
        <w:rPr>
          <w:rFonts w:hint="eastAsia" w:ascii="黑体" w:eastAsia="黑体"/>
          <w:b w:val="0"/>
          <w:color w:val="000000" w:themeColor="text1"/>
          <w:sz w:val="24"/>
          <w14:textFill>
            <w14:solidFill>
              <w14:schemeClr w14:val="tx1"/>
            </w14:solidFill>
          </w14:textFill>
        </w:rPr>
        <w:br w:type="page"/>
      </w:r>
      <w:r>
        <w:rPr>
          <w:rFonts w:hint="eastAsia" w:ascii="黑体" w:eastAsia="黑体"/>
          <w:b w:val="0"/>
          <w:color w:val="000000" w:themeColor="text1"/>
          <w:sz w:val="24"/>
          <w14:textFill>
            <w14:solidFill>
              <w14:schemeClr w14:val="tx1"/>
            </w14:solidFill>
          </w14:textFill>
        </w:rPr>
        <w:t>二、政府采购投标及履约承诺函</w:t>
      </w:r>
    </w:p>
    <w:p w14:paraId="3E9CC711">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致：</w:t>
      </w:r>
      <w:r>
        <w:rPr>
          <w:rFonts w:hint="eastAsia" w:ascii="宋体" w:hAnsi="宋体" w:eastAsia="宋体"/>
          <w:color w:val="000000" w:themeColor="text1"/>
          <w:u w:val="single"/>
          <w14:textFill>
            <w14:solidFill>
              <w14:schemeClr w14:val="tx1"/>
            </w14:solidFill>
          </w14:textFill>
        </w:rPr>
        <w:t>友和保险经纪有限公司</w:t>
      </w:r>
    </w:p>
    <w:p w14:paraId="110DBB6C">
      <w:pPr>
        <w:ind w:right="-815"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我单位承诺：</w:t>
      </w:r>
    </w:p>
    <w:p w14:paraId="40B638F2">
      <w:pPr>
        <w:ind w:firstLine="464" w:firstLineChars="20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1.我单位参与本项目所投标（响应）的货物、工程或服务，不存在侵犯知识产权的情况；已知悉并同意中标（成交）结果信息公示（公开）的内容。</w:t>
      </w:r>
    </w:p>
    <w:p w14:paraId="1CBDA560">
      <w:pPr>
        <w:ind w:firstLine="464" w:firstLineChars="20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2.我单位参与该项目投标，不采用联合体投标，不使用进口产品参与投标。</w:t>
      </w:r>
    </w:p>
    <w:p w14:paraId="62A30796">
      <w:pPr>
        <w:ind w:firstLine="464" w:firstLineChars="20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3.我单位参与本项目政府采购活动时不存在被有关部门禁止参与政府采购活动且在有效期内的情况。</w:t>
      </w:r>
    </w:p>
    <w:p w14:paraId="298D53E1">
      <w:pPr>
        <w:ind w:firstLine="464" w:firstLineChars="20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4.我单位具备《中华人民共和国政府采购法》第二十二条第一款规定的六项条件。</w:t>
      </w:r>
    </w:p>
    <w:p w14:paraId="5687C2EC">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5.我单位未被列入失信被执行人、重大税收违法失信主体、政府采购严重违法失信行为记录名单；不存在《深圳市财政局政府采购供应商信用信息管理办法》（深财规〔2023〕3号）列明的严重违法失信行为。</w:t>
      </w:r>
    </w:p>
    <w:p w14:paraId="6E6188AE">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我单位参与该项目投标，严格遵守政府采购相关法律，不造假，不围标、串标、陪标。我单位已清楚，如违反上述要求，投标将作无效处理，被列入不良记录名单并在网上曝光，同时将被提请政府采购主管部门给予一定年限</w:t>
      </w:r>
      <w:r>
        <w:rPr>
          <w:rFonts w:ascii="宋体" w:hAnsi="宋体" w:eastAsia="宋体"/>
          <w:color w:val="000000" w:themeColor="text1"/>
          <w14:textFill>
            <w14:solidFill>
              <w14:schemeClr w14:val="tx1"/>
            </w14:solidFill>
          </w14:textFill>
        </w:rPr>
        <w:t>内禁止参与政府采购活动或其他处罚。</w:t>
      </w:r>
    </w:p>
    <w:p w14:paraId="23C860C9">
      <w:pPr>
        <w:ind w:firstLine="464"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t>我单位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p>
    <w:p w14:paraId="2BE565C4">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8</w:t>
      </w:r>
      <w:r>
        <w:rPr>
          <w:rFonts w:ascii="宋体" w:hAnsi="宋体" w:eastAsia="宋体"/>
          <w:color w:val="000000" w:themeColor="text1"/>
          <w14:textFill>
            <w14:solidFill>
              <w14:schemeClr w14:val="tx1"/>
            </w14:solidFill>
          </w14:textFill>
        </w:rPr>
        <w:t>.我单位如果中标，做到守信，不偷工减料，依</w:t>
      </w:r>
      <w:r>
        <w:rPr>
          <w:rFonts w:hint="eastAsia" w:ascii="宋体" w:hAnsi="宋体" w:eastAsia="宋体"/>
          <w:color w:val="000000" w:themeColor="text1"/>
          <w14:textFill>
            <w14:solidFill>
              <w14:schemeClr w14:val="tx1"/>
            </w14:solidFill>
          </w14:textFill>
        </w:rPr>
        <w:t>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7FC959">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9</w:t>
      </w:r>
      <w:r>
        <w:rPr>
          <w:rFonts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我单位清楚，若以</w:t>
      </w:r>
      <w:r>
        <w:rPr>
          <w:rFonts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报价太低而无法履约</w:t>
      </w:r>
      <w:r>
        <w:rPr>
          <w:rFonts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277AB28B">
      <w:pPr>
        <w:ind w:firstLine="464"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10.</w:t>
      </w:r>
      <w:r>
        <w:rPr>
          <w:rFonts w:hint="eastAsia" w:ascii="宋体" w:hAnsi="宋体" w:eastAsia="宋体"/>
          <w:color w:val="000000" w:themeColor="text1"/>
          <w14:textFill>
            <w14:solidFill>
              <w14:schemeClr w14:val="tx1"/>
            </w14:solidFill>
          </w14:textFill>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3FA67B1">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.我单位承诺中标后项目不转包，未经采购人同意不进行分包。</w:t>
      </w:r>
    </w:p>
    <w:p w14:paraId="0B9BEF37">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EDF94F5">
      <w:pPr>
        <w:ind w:firstLine="464"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13.</w:t>
      </w:r>
      <w:r>
        <w:rPr>
          <w:rFonts w:hint="eastAsia" w:ascii="宋体" w:hAnsi="宋体" w:eastAsia="宋体"/>
          <w:color w:val="000000" w:themeColor="text1"/>
          <w14:textFill>
            <w14:solidFill>
              <w14:schemeClr w14:val="tx1"/>
            </w14:solidFill>
          </w14:textFill>
        </w:rPr>
        <w:t>我单位保证，若所投货物涉及</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财政部生态环境部关于印发节能产品政府采购品目清单的通知》（财库〔20</w:t>
      </w:r>
      <w:r>
        <w:rPr>
          <w:rFonts w:ascii="宋体" w:hAnsi="宋体" w:eastAsia="宋体"/>
          <w:color w:val="000000" w:themeColor="text1"/>
          <w14:textFill>
            <w14:solidFill>
              <w14:schemeClr w14:val="tx1"/>
            </w14:solidFill>
          </w14:textFill>
        </w:rPr>
        <w:t>19</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19</w:t>
      </w:r>
      <w:r>
        <w:rPr>
          <w:rFonts w:hint="eastAsia" w:ascii="宋体" w:hAnsi="宋体" w:eastAsia="宋体"/>
          <w:color w:val="000000" w:themeColor="text1"/>
          <w14:textFill>
            <w14:solidFill>
              <w14:schemeClr w14:val="tx1"/>
            </w14:solidFill>
          </w14:textFill>
        </w:rPr>
        <w:t>号）列明的政府采购强制产品，则所投该产品符合节能产品的认证要求。</w:t>
      </w:r>
    </w:p>
    <w:p w14:paraId="0EAD6857">
      <w:pPr>
        <w:pStyle w:val="6"/>
        <w:rPr>
          <w:rFonts w:ascii="宋体" w:hAnsi="宋体" w:eastAsia="宋体" w:cs="宋体"/>
          <w:color w:val="000000" w:themeColor="text1"/>
          <w:szCs w:val="24"/>
          <w14:textFill>
            <w14:solidFill>
              <w14:schemeClr w14:val="tx1"/>
            </w14:solidFill>
          </w14:textFill>
        </w:rPr>
      </w:pPr>
      <w:r>
        <w:rPr>
          <w:rFonts w:hint="eastAsia" w:ascii="宋体" w:hAnsi="宋体" w:eastAsia="宋体"/>
          <w:szCs w:val="24"/>
        </w:rPr>
        <w:t>1</w:t>
      </w:r>
      <w:r>
        <w:rPr>
          <w:rFonts w:ascii="宋体" w:hAnsi="宋体" w:eastAsia="宋体"/>
          <w:szCs w:val="24"/>
        </w:rPr>
        <w:t>4.</w:t>
      </w:r>
      <w:r>
        <w:rPr>
          <w:rFonts w:hint="eastAsia" w:ascii="宋体" w:hAnsi="宋体" w:eastAsia="宋体" w:cs="宋体"/>
          <w:color w:val="000000" w:themeColor="text1"/>
          <w:szCs w:val="24"/>
          <w14:textFill>
            <w14:solidFill>
              <w14:schemeClr w14:val="tx1"/>
            </w14:solidFill>
          </w14:textFill>
        </w:rPr>
        <w:t xml:space="preserve"> 我单位承诺未为本项目提供整体设计、规范编制或者管理、监理、检测等服务。</w:t>
      </w:r>
    </w:p>
    <w:p w14:paraId="69D9510E">
      <w:pPr>
        <w:pStyle w:val="6"/>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w:t>
      </w:r>
      <w:r>
        <w:rPr>
          <w:rFonts w:ascii="宋体" w:hAnsi="宋体" w:eastAsia="宋体" w:cs="宋体"/>
          <w:color w:val="000000" w:themeColor="text1"/>
          <w:szCs w:val="24"/>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我单位承诺，参与本项目投标前三年内，未受过环境监测行政主管部门行政处罚或未有被政府相关部门（如质检部门等）、媒体通报弄虚作假等情形。</w:t>
      </w:r>
      <w:r>
        <w:rPr>
          <w:rFonts w:ascii="宋体" w:hAnsi="宋体" w:eastAsia="宋体" w:cs="宋体"/>
          <w:color w:val="000000" w:themeColor="text1"/>
          <w:szCs w:val="24"/>
          <w14:textFill>
            <w14:solidFill>
              <w14:schemeClr w14:val="tx1"/>
            </w14:solidFill>
          </w14:textFill>
        </w:rPr>
        <w:t xml:space="preserve"> </w:t>
      </w:r>
    </w:p>
    <w:p w14:paraId="2DE247BE">
      <w:pPr>
        <w:pStyle w:val="6"/>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r>
        <w:rPr>
          <w:rFonts w:ascii="宋体" w:hAnsi="宋体" w:eastAsia="宋体" w:cs="宋体"/>
          <w:color w:val="000000" w:themeColor="text1"/>
          <w:szCs w:val="24"/>
          <w14:textFill>
            <w14:solidFill>
              <w14:schemeClr w14:val="tx1"/>
            </w14:solidFill>
          </w14:textFill>
        </w:rPr>
        <w:t xml:space="preserve"> </w:t>
      </w:r>
    </w:p>
    <w:p w14:paraId="1C6C332D">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17.我单位承诺，不同投标供应商不存在直接控股、管理关系的情形。</w:t>
      </w:r>
    </w:p>
    <w:p w14:paraId="643F24A6">
      <w:pPr>
        <w:ind w:firstLine="464"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以上承诺，如有违反，愿依照国家相关法律法规处理，并承担由此给采购人带来的损失。</w:t>
      </w:r>
    </w:p>
    <w:p w14:paraId="0597DCFC">
      <w:pPr>
        <w:spacing w:before="60" w:beforeLines="25" w:after="60" w:afterLines="25"/>
        <w:ind w:firstLine="6032" w:firstLineChars="26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p>
    <w:p w14:paraId="248F4D63">
      <w:pPr>
        <w:spacing w:before="60" w:beforeLines="25" w:after="60" w:afterLines="25"/>
        <w:ind w:firstLine="6032" w:firstLineChars="26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投标人：</w:t>
      </w:r>
      <w:r>
        <w:rPr>
          <w:rFonts w:hint="eastAsia" w:ascii="宋体" w:hAnsi="宋体" w:eastAsia="宋体"/>
          <w:color w:val="000000" w:themeColor="text1"/>
          <w:u w:val="single"/>
          <w14:textFill>
            <w14:solidFill>
              <w14:schemeClr w14:val="tx1"/>
            </w14:solidFill>
          </w14:textFill>
        </w:rPr>
        <w:t xml:space="preserve">              </w:t>
      </w:r>
    </w:p>
    <w:p w14:paraId="146DF85D">
      <w:pPr>
        <w:ind w:firstLine="645"/>
        <w:jc w:val="righ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日期：</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年</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月</w:t>
      </w:r>
      <w:r>
        <w:rPr>
          <w:rFonts w:hint="eastAsia" w:ascii="宋体" w:hAnsi="宋体" w:eastAsia="宋体"/>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p w14:paraId="4D1ECC1B">
      <w:pPr>
        <w:jc w:val="right"/>
        <w:rPr>
          <w:rFonts w:ascii="宋体" w:hAnsi="宋体" w:eastAsia="宋体"/>
          <w:color w:val="000000" w:themeColor="text1"/>
          <w14:textFill>
            <w14:solidFill>
              <w14:schemeClr w14:val="tx1"/>
            </w14:solidFill>
          </w14:textFill>
        </w:rPr>
      </w:pPr>
    </w:p>
    <w:p w14:paraId="34C11AC3">
      <w:pPr>
        <w:rPr>
          <w:rFonts w:ascii="宋体" w:hAnsi="宋体" w:eastAsia="宋体" w:cs="宋体"/>
          <w:color w:val="000000" w:themeColor="text1"/>
          <w:szCs w:val="21"/>
          <w14:textFill>
            <w14:solidFill>
              <w14:schemeClr w14:val="tx1"/>
            </w14:solidFill>
          </w14:textFill>
        </w:rPr>
      </w:pPr>
    </w:p>
    <w:p w14:paraId="3CCB42E2">
      <w:pPr>
        <w:pStyle w:val="6"/>
      </w:pPr>
    </w:p>
    <w:p w14:paraId="35DD8B70"/>
    <w:p w14:paraId="19B13C9F">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18813F4B">
      <w:pPr>
        <w:pStyle w:val="5"/>
        <w:jc w:val="center"/>
      </w:pPr>
      <w:r>
        <w:rPr>
          <w:rFonts w:hint="eastAsia" w:ascii="黑体" w:eastAsia="黑体"/>
          <w:b w:val="0"/>
          <w:color w:val="000000" w:themeColor="text1"/>
          <w:sz w:val="24"/>
          <w14:textFill>
            <w14:solidFill>
              <w14:schemeClr w14:val="tx1"/>
            </w14:solidFill>
          </w14:textFill>
        </w:rPr>
        <w:t>三、投标人情况及资格证明文件</w:t>
      </w:r>
    </w:p>
    <w:p w14:paraId="415BEEE7">
      <w:pPr>
        <w:ind w:firstLine="464" w:firstLineChars="200"/>
        <w:outlineLvl w:val="3"/>
        <w:rPr>
          <w:rFonts w:ascii="宋体" w:hAnsi="宋体" w:eastAsia="宋体"/>
          <w:bCs/>
          <w:szCs w:val="32"/>
        </w:rPr>
      </w:pPr>
      <w:r>
        <w:rPr>
          <w:rFonts w:hint="eastAsia" w:ascii="宋体" w:hAnsi="宋体" w:eastAsia="宋体"/>
          <w:bCs/>
          <w:szCs w:val="32"/>
        </w:rPr>
        <w:t>（一）投标人资格证明文件</w:t>
      </w:r>
    </w:p>
    <w:p w14:paraId="75A11F28">
      <w:pPr>
        <w:spacing w:before="120" w:beforeLines="50"/>
        <w:ind w:firstLine="464"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（特别提示：投标人须按本招标文件第一册第一章招标公告 “申请人的资格要求”（即投标人资格要求）提供相关的资格证明资料，未提供或提供不完整、不符合要求的，将作投标无效处理。）</w:t>
      </w:r>
    </w:p>
    <w:p w14:paraId="08691173">
      <w:pPr>
        <w:spacing w:line="360" w:lineRule="auto"/>
        <w:ind w:firstLine="464" w:firstLineChars="200"/>
        <w:rPr>
          <w:b/>
          <w:color w:val="000000" w:themeColor="text1"/>
          <w14:textFill>
            <w14:solidFill>
              <w14:schemeClr w14:val="tx1"/>
            </w14:solidFill>
          </w14:textFill>
        </w:rPr>
      </w:pPr>
    </w:p>
    <w:p w14:paraId="7D027FF6">
      <w:pPr>
        <w:spacing w:line="360" w:lineRule="auto"/>
        <w:rPr>
          <w:rFonts w:eastAsia="黑体"/>
        </w:rPr>
      </w:pPr>
    </w:p>
    <w:p w14:paraId="1EC080A3">
      <w:pPr>
        <w:ind w:firstLine="464" w:firstLineChars="200"/>
        <w:outlineLvl w:val="3"/>
        <w:rPr>
          <w:rFonts w:ascii="宋体" w:hAnsi="宋体" w:eastAsia="宋体"/>
          <w:bCs/>
          <w:szCs w:val="32"/>
        </w:rPr>
      </w:pPr>
      <w:r>
        <w:rPr>
          <w:rFonts w:hint="eastAsia" w:ascii="宋体" w:hAnsi="宋体" w:eastAsia="宋体"/>
          <w:bCs/>
          <w:szCs w:val="32"/>
        </w:rPr>
        <w:t>（二）中小企业声明函、残疾人福利性单位声明函及监狱企业声明函</w:t>
      </w:r>
    </w:p>
    <w:p w14:paraId="2535DB1B">
      <w:pPr>
        <w:spacing w:before="120" w:beforeLines="50"/>
        <w:ind w:firstLine="464" w:firstLineChars="200"/>
        <w:rPr>
          <w:rFonts w:ascii="宋体" w:hAnsi="宋体" w:eastAsia="宋体"/>
          <w:b/>
          <w:bCs/>
          <w:color w:val="FF0000"/>
        </w:rPr>
      </w:pPr>
      <w:r>
        <w:rPr>
          <w:rFonts w:hint="eastAsia" w:ascii="宋体" w:hAnsi="宋体" w:eastAsia="宋体"/>
          <w:b/>
          <w:bCs/>
          <w:color w:val="FF0000"/>
        </w:rPr>
        <w:t>注：采购人、采购代理机构、评标委员会（评审小组）在依法进行资格审查、评审过程中，发现《中小企业声明函》存在明显笔误或者含义不明确的，按照政府采购相关规定要求供应商进行澄清、说明或补正。澄清、说明或补正后符合中小企业条件的供应商，可以享受中小企业扶持政策。（参照《广东省政府采购促进中小企业发展实施细则》第十八条精神）</w:t>
      </w:r>
    </w:p>
    <w:p w14:paraId="30A47810">
      <w:pPr>
        <w:jc w:val="center"/>
        <w:rPr>
          <w:b/>
          <w:color w:val="000000" w:themeColor="text1"/>
          <w14:textFill>
            <w14:solidFill>
              <w14:schemeClr w14:val="tx1"/>
            </w14:solidFill>
          </w14:textFill>
        </w:rPr>
      </w:pPr>
    </w:p>
    <w:p w14:paraId="10E7FBEB">
      <w:pPr>
        <w:jc w:val="center"/>
        <w:outlineLvl w:val="3"/>
        <w:rPr>
          <w:b/>
          <w:color w:val="000000" w:themeColor="text1"/>
          <w14:textFill>
            <w14:solidFill>
              <w14:schemeClr w14:val="tx1"/>
            </w14:solidFill>
          </w14:textFill>
        </w:rPr>
      </w:pPr>
      <w:r>
        <w:rPr>
          <w:rFonts w:hint="eastAsia"/>
          <w:b/>
          <w:color w:val="000000" w:themeColor="text1"/>
          <w14:textFill>
            <w14:solidFill>
              <w14:schemeClr w14:val="tx1"/>
            </w14:solidFill>
          </w14:textFill>
        </w:rPr>
        <w:t>1、</w:t>
      </w:r>
      <w:r>
        <w:rPr>
          <w:b/>
          <w:color w:val="000000" w:themeColor="text1"/>
          <w14:textFill>
            <w14:solidFill>
              <w14:schemeClr w14:val="tx1"/>
            </w14:solidFill>
          </w14:textFill>
        </w:rPr>
        <w:t>中小企业声明函（</w:t>
      </w:r>
      <w:r>
        <w:rPr>
          <w:rFonts w:hint="eastAsia"/>
          <w:b/>
          <w:color w:val="000000" w:themeColor="text1"/>
          <w14:textFill>
            <w14:solidFill>
              <w14:schemeClr w14:val="tx1"/>
            </w14:solidFill>
          </w14:textFill>
        </w:rPr>
        <w:t>服务</w:t>
      </w:r>
      <w:r>
        <w:rPr>
          <w:b/>
          <w:color w:val="000000" w:themeColor="text1"/>
          <w14:textFill>
            <w14:solidFill>
              <w14:schemeClr w14:val="tx1"/>
            </w14:solidFill>
          </w14:textFill>
        </w:rPr>
        <w:t xml:space="preserve">） </w:t>
      </w:r>
    </w:p>
    <w:p w14:paraId="0BD51B53">
      <w:pPr>
        <w:spacing w:after="60" w:afterLines="25" w:line="300" w:lineRule="auto"/>
        <w:ind w:firstLine="464" w:firstLineChars="200"/>
        <w:rPr>
          <w:rFonts w:ascii="宋体" w:hAnsi="宋体" w:eastAsia="宋体"/>
          <w:szCs w:val="21"/>
        </w:rPr>
      </w:pPr>
      <w:r>
        <w:rPr>
          <w:rFonts w:hint="eastAsia" w:ascii="宋体" w:hAnsi="宋体" w:eastAsia="宋体"/>
          <w:szCs w:val="21"/>
        </w:rPr>
        <w:t>本投标人郑重声明，根据《政府采购促进中小企业发展管理办法》（财库﹝2020﹞46 号）的规定，本投标人参加</w:t>
      </w:r>
      <w:r>
        <w:rPr>
          <w:rFonts w:hint="eastAsia" w:ascii="宋体" w:hAnsi="宋体" w:eastAsia="宋体"/>
          <w:b/>
          <w:bCs/>
          <w:szCs w:val="21"/>
          <w:u w:val="single"/>
          <w:lang w:eastAsia="zh-CN"/>
        </w:rPr>
        <w:t>深圳市公安局监所管理支队</w:t>
      </w:r>
      <w:r>
        <w:rPr>
          <w:rFonts w:hint="eastAsia" w:ascii="宋体" w:hAnsi="宋体" w:eastAsia="宋体"/>
          <w:szCs w:val="21"/>
        </w:rPr>
        <w:t>的</w:t>
      </w:r>
      <w:r>
        <w:rPr>
          <w:rFonts w:hint="eastAsia" w:ascii="宋体" w:hAnsi="宋体" w:eastAsia="宋体"/>
          <w:b/>
          <w:bCs/>
          <w:szCs w:val="21"/>
          <w:u w:val="single"/>
          <w:lang w:eastAsia="zh-CN"/>
        </w:rPr>
        <w:t>2026年深圳市公安局监所管理支队食材配送服务项目</w:t>
      </w:r>
      <w:r>
        <w:rPr>
          <w:rFonts w:hint="eastAsia" w:ascii="宋体" w:hAnsi="宋体" w:eastAsia="宋体"/>
          <w:szCs w:val="21"/>
        </w:rPr>
        <w:t>采购活动，服务全部由符合政策要求的中小企业承接。相关企业的具体情况如下：</w:t>
      </w:r>
    </w:p>
    <w:p w14:paraId="5A8CEBFC">
      <w:pPr>
        <w:spacing w:after="60" w:afterLines="25" w:line="300" w:lineRule="auto"/>
        <w:ind w:firstLine="464" w:firstLineChars="200"/>
        <w:rPr>
          <w:rFonts w:ascii="宋体" w:hAnsi="宋体" w:eastAsia="宋体"/>
          <w:szCs w:val="21"/>
        </w:rPr>
      </w:pPr>
      <w:r>
        <w:rPr>
          <w:rFonts w:hint="eastAsia" w:ascii="宋体" w:hAnsi="宋体" w:eastAsia="宋体"/>
          <w:szCs w:val="21"/>
        </w:rPr>
        <w:t>1.</w:t>
      </w:r>
      <w:r>
        <w:rPr>
          <w:rFonts w:hint="eastAsia" w:ascii="宋体" w:hAnsi="宋体" w:eastAsia="宋体"/>
          <w:b/>
          <w:bCs/>
          <w:szCs w:val="21"/>
          <w:u w:val="single"/>
        </w:rPr>
        <w:t xml:space="preserve"> </w:t>
      </w:r>
      <w:r>
        <w:rPr>
          <w:rFonts w:hint="eastAsia" w:ascii="宋体" w:hAnsi="宋体" w:eastAsia="宋体"/>
          <w:b/>
          <w:bCs/>
          <w:szCs w:val="21"/>
          <w:u w:val="single"/>
          <w:lang w:eastAsia="zh-CN"/>
        </w:rPr>
        <w:t>2026年深圳市公安局监所管理支队食材配送服务项目</w:t>
      </w:r>
      <w:r>
        <w:rPr>
          <w:rFonts w:hint="eastAsia" w:ascii="宋体" w:hAnsi="宋体" w:eastAsia="宋体"/>
          <w:szCs w:val="21"/>
        </w:rPr>
        <w:t xml:space="preserve"> ，属于</w:t>
      </w:r>
      <w:r>
        <w:rPr>
          <w:rFonts w:hint="eastAsia" w:ascii="宋体" w:hAnsi="宋体" w:eastAsia="宋体"/>
          <w:b/>
          <w:bCs/>
          <w:szCs w:val="21"/>
          <w:u w:val="single"/>
          <w:lang w:eastAsia="zh-CN"/>
        </w:rPr>
        <w:t>批发</w:t>
      </w:r>
      <w:r>
        <w:rPr>
          <w:rFonts w:hint="eastAsia" w:ascii="宋体" w:hAnsi="宋体" w:eastAsia="宋体"/>
          <w:b/>
          <w:bCs/>
          <w:szCs w:val="21"/>
          <w:u w:val="single"/>
        </w:rPr>
        <w:t xml:space="preserve">业 </w:t>
      </w:r>
      <w:r>
        <w:rPr>
          <w:rFonts w:hint="eastAsia" w:ascii="宋体" w:hAnsi="宋体" w:eastAsia="宋体"/>
          <w:szCs w:val="21"/>
        </w:rPr>
        <w:t>行业；承接企业为</w:t>
      </w:r>
      <w:r>
        <w:rPr>
          <w:rFonts w:hint="eastAsia" w:ascii="宋体" w:hAnsi="宋体" w:eastAsia="宋体"/>
          <w:b/>
          <w:bCs/>
          <w:szCs w:val="21"/>
          <w:u w:val="single"/>
        </w:rPr>
        <w:t>（企业名称）</w:t>
      </w:r>
      <w:r>
        <w:rPr>
          <w:rFonts w:hint="eastAsia" w:ascii="宋体" w:hAnsi="宋体" w:eastAsia="宋体"/>
          <w:szCs w:val="21"/>
        </w:rPr>
        <w:t>，从业人员</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人，营业收入为</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   </w:t>
      </w:r>
      <w:r>
        <w:rPr>
          <w:rFonts w:hint="eastAsia" w:ascii="宋体" w:hAnsi="宋体" w:eastAsia="宋体"/>
          <w:szCs w:val="21"/>
          <w:u w:val="single"/>
        </w:rPr>
        <w:t xml:space="preserve"> </w:t>
      </w:r>
      <w:r>
        <w:rPr>
          <w:rFonts w:hint="eastAsia" w:ascii="宋体" w:hAnsi="宋体" w:eastAsia="宋体"/>
          <w:szCs w:val="21"/>
        </w:rPr>
        <w:t>万元 ，属于</w:t>
      </w:r>
      <w:r>
        <w:rPr>
          <w:rFonts w:hint="eastAsia" w:ascii="宋体" w:hAnsi="宋体" w:eastAsia="宋体"/>
          <w:szCs w:val="21"/>
          <w:u w:val="single"/>
          <w:lang w:val="en-US" w:eastAsia="zh-CN"/>
        </w:rPr>
        <w:t xml:space="preserve">      </w:t>
      </w:r>
      <w:r>
        <w:rPr>
          <w:rFonts w:hint="eastAsia" w:ascii="宋体" w:hAnsi="宋体" w:eastAsia="宋体"/>
          <w:b/>
          <w:bCs/>
          <w:szCs w:val="21"/>
          <w:u w:val="single"/>
        </w:rPr>
        <w:t>（</w:t>
      </w:r>
      <w:r>
        <w:rPr>
          <w:rFonts w:hint="eastAsia" w:ascii="宋体" w:hAnsi="宋体" w:eastAsia="宋体"/>
          <w:b/>
          <w:bCs/>
          <w:szCs w:val="21"/>
          <w:u w:val="single"/>
          <w:lang w:val="en-US" w:eastAsia="zh-CN"/>
        </w:rPr>
        <w:t>三选一：</w:t>
      </w:r>
      <w:r>
        <w:rPr>
          <w:rFonts w:hint="eastAsia" w:ascii="宋体" w:hAnsi="宋体" w:eastAsia="宋体"/>
          <w:b/>
          <w:bCs/>
          <w:szCs w:val="21"/>
          <w:u w:val="single"/>
        </w:rPr>
        <w:t>中型企业、小型企业、微型企业）</w:t>
      </w:r>
      <w:r>
        <w:rPr>
          <w:rFonts w:hint="eastAsia" w:ascii="宋体" w:hAnsi="宋体" w:eastAsia="宋体"/>
          <w:szCs w:val="21"/>
        </w:rPr>
        <w:t xml:space="preserve">； </w:t>
      </w:r>
    </w:p>
    <w:p w14:paraId="569DF720">
      <w:pPr>
        <w:spacing w:after="60" w:afterLines="25" w:line="300" w:lineRule="auto"/>
        <w:ind w:firstLine="464" w:firstLineChars="200"/>
        <w:rPr>
          <w:rFonts w:ascii="宋体" w:hAnsi="宋体" w:eastAsia="宋体"/>
          <w:szCs w:val="21"/>
          <w:u w:val="single"/>
        </w:rPr>
      </w:pPr>
      <w:r>
        <w:rPr>
          <w:rFonts w:hint="eastAsia" w:ascii="宋体" w:hAnsi="宋体" w:eastAsia="宋体"/>
          <w:szCs w:val="21"/>
        </w:rPr>
        <w:t>2.</w:t>
      </w:r>
      <w:r>
        <w:rPr>
          <w:rFonts w:hint="eastAsia" w:ascii="宋体" w:hAnsi="宋体" w:eastAsia="宋体"/>
          <w:b/>
          <w:bCs/>
          <w:szCs w:val="21"/>
          <w:u w:val="single"/>
        </w:rPr>
        <w:t xml:space="preserve"> （标的名称）</w:t>
      </w:r>
      <w:r>
        <w:rPr>
          <w:rFonts w:hint="eastAsia" w:ascii="宋体" w:hAnsi="宋体" w:eastAsia="宋体"/>
          <w:szCs w:val="21"/>
        </w:rPr>
        <w:t xml:space="preserve"> ，属于</w:t>
      </w:r>
      <w:r>
        <w:rPr>
          <w:rFonts w:hint="eastAsia" w:ascii="宋体" w:hAnsi="宋体" w:eastAsia="宋体"/>
          <w:b/>
          <w:bCs/>
          <w:szCs w:val="21"/>
          <w:u w:val="single"/>
        </w:rPr>
        <w:t xml:space="preserve">（招标文件中明确的所属行业） </w:t>
      </w:r>
      <w:r>
        <w:rPr>
          <w:rFonts w:hint="eastAsia" w:ascii="宋体" w:hAnsi="宋体" w:eastAsia="宋体"/>
          <w:szCs w:val="21"/>
        </w:rPr>
        <w:t>行业；承接企业为</w:t>
      </w:r>
      <w:r>
        <w:rPr>
          <w:rFonts w:hint="eastAsia" w:ascii="宋体" w:hAnsi="宋体" w:eastAsia="宋体"/>
          <w:b/>
          <w:bCs/>
          <w:szCs w:val="21"/>
          <w:u w:val="single"/>
        </w:rPr>
        <w:t>（企业名称）</w:t>
      </w:r>
      <w:r>
        <w:rPr>
          <w:rFonts w:hint="eastAsia" w:ascii="宋体" w:hAnsi="宋体" w:eastAsia="宋体"/>
          <w:szCs w:val="21"/>
        </w:rPr>
        <w:t>，从业人员</w:t>
      </w:r>
      <w:r>
        <w:rPr>
          <w:rFonts w:hint="eastAsia" w:ascii="宋体" w:hAnsi="宋体" w:eastAsia="宋体"/>
          <w:szCs w:val="21"/>
          <w:u w:val="single"/>
        </w:rPr>
        <w:t xml:space="preserve">   </w:t>
      </w:r>
      <w:r>
        <w:rPr>
          <w:rFonts w:hint="eastAsia" w:ascii="宋体" w:hAnsi="宋体" w:eastAsia="宋体"/>
          <w:szCs w:val="21"/>
        </w:rPr>
        <w:t>人，营业收入为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rPr>
        <w:t>万元 ，属于</w:t>
      </w:r>
      <w:r>
        <w:rPr>
          <w:rFonts w:hint="eastAsia" w:ascii="宋体" w:hAnsi="宋体" w:eastAsia="宋体"/>
          <w:b/>
          <w:bCs/>
          <w:szCs w:val="21"/>
          <w:u w:val="single"/>
        </w:rPr>
        <w:t>（中型企业、小型企业、微型企业）</w:t>
      </w:r>
      <w:r>
        <w:rPr>
          <w:rFonts w:hint="eastAsia" w:ascii="宋体" w:hAnsi="宋体" w:eastAsia="宋体"/>
          <w:szCs w:val="21"/>
        </w:rPr>
        <w:t>；</w:t>
      </w:r>
    </w:p>
    <w:p w14:paraId="4EB097FC">
      <w:pPr>
        <w:spacing w:after="60" w:afterLines="25" w:line="300" w:lineRule="auto"/>
        <w:ind w:firstLine="464" w:firstLineChars="200"/>
        <w:rPr>
          <w:rFonts w:ascii="宋体" w:hAnsi="宋体" w:eastAsia="宋体"/>
          <w:szCs w:val="21"/>
        </w:rPr>
      </w:pPr>
      <w:r>
        <w:rPr>
          <w:rFonts w:hint="eastAsia" w:ascii="宋体" w:hAnsi="宋体" w:eastAsia="宋体"/>
          <w:szCs w:val="21"/>
        </w:rPr>
        <w:t xml:space="preserve">…… </w:t>
      </w:r>
    </w:p>
    <w:p w14:paraId="49FA17A7">
      <w:pPr>
        <w:spacing w:after="60" w:afterLines="25" w:line="300" w:lineRule="auto"/>
        <w:ind w:firstLine="464" w:firstLineChars="200"/>
        <w:rPr>
          <w:rFonts w:ascii="宋体" w:hAnsi="宋体" w:eastAsia="宋体"/>
          <w:szCs w:val="21"/>
        </w:rPr>
      </w:pPr>
      <w:r>
        <w:rPr>
          <w:rFonts w:hint="eastAsia" w:ascii="宋体" w:hAnsi="宋体" w:eastAsia="宋体"/>
          <w:szCs w:val="21"/>
        </w:rPr>
        <w:t>以上企业，不属于大企业的分支机构，不存在控股股东为大企业的情形，也不存在与大企业的负责人为同一人的情形。</w:t>
      </w:r>
    </w:p>
    <w:p w14:paraId="717B3703">
      <w:pPr>
        <w:spacing w:after="60" w:afterLines="25" w:line="300" w:lineRule="auto"/>
        <w:ind w:firstLine="464" w:firstLineChars="200"/>
        <w:rPr>
          <w:rFonts w:ascii="宋体" w:hAnsi="宋体" w:eastAsia="宋体"/>
          <w:szCs w:val="21"/>
        </w:rPr>
      </w:pPr>
      <w:bookmarkStart w:id="39" w:name="_Hlk73562275"/>
      <w:r>
        <w:rPr>
          <w:rFonts w:hint="eastAsia" w:ascii="宋体" w:hAnsi="宋体" w:eastAsia="宋体"/>
          <w:szCs w:val="21"/>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466909C">
      <w:pPr>
        <w:wordWrap w:val="0"/>
        <w:spacing w:after="60" w:afterLines="25" w:line="300" w:lineRule="auto"/>
        <w:ind w:firstLine="464" w:firstLineChars="200"/>
        <w:jc w:val="right"/>
        <w:rPr>
          <w:rFonts w:ascii="宋体" w:hAnsi="宋体" w:eastAsia="宋体"/>
          <w:szCs w:val="21"/>
        </w:rPr>
      </w:pPr>
      <w:r>
        <w:rPr>
          <w:rFonts w:hint="eastAsia" w:ascii="宋体" w:hAnsi="宋体" w:eastAsia="宋体"/>
          <w:szCs w:val="21"/>
        </w:rPr>
        <w:t xml:space="preserve">     投标人（投标单位）：       </w:t>
      </w:r>
    </w:p>
    <w:p w14:paraId="4BD6E818">
      <w:pPr>
        <w:ind w:firstLine="6496" w:firstLineChars="2800"/>
        <w:rPr>
          <w:rFonts w:ascii="宋体" w:hAnsi="宋体"/>
          <w:color w:val="000000" w:themeColor="text1"/>
          <w:szCs w:val="21"/>
          <w14:textFill>
            <w14:solidFill>
              <w14:schemeClr w14:val="tx1"/>
            </w14:solidFill>
          </w14:textFill>
        </w:rPr>
      </w:pPr>
      <w:r>
        <w:rPr>
          <w:rFonts w:hint="eastAsia" w:ascii="宋体" w:hAnsi="宋体" w:eastAsia="宋体"/>
          <w:szCs w:val="21"/>
        </w:rPr>
        <w:t>日期：</w:t>
      </w:r>
    </w:p>
    <w:p w14:paraId="1066A270">
      <w:pPr>
        <w:spacing w:after="60" w:afterLines="25" w:line="300" w:lineRule="auto"/>
        <w:ind w:firstLine="464" w:firstLineChars="200"/>
        <w:rPr>
          <w:rFonts w:ascii="Arial" w:hAnsi="Arial" w:eastAsia="宋体"/>
          <w:b/>
          <w:color w:val="FF0000"/>
          <w:highlight w:val="yellow"/>
        </w:rPr>
      </w:pPr>
    </w:p>
    <w:p w14:paraId="38224D75">
      <w:pPr>
        <w:pStyle w:val="6"/>
      </w:pPr>
    </w:p>
    <w:p w14:paraId="3DEE906D"/>
    <w:p w14:paraId="0899A5C6">
      <w:pPr>
        <w:jc w:val="center"/>
        <w:rPr>
          <w:b/>
          <w:color w:val="000000" w:themeColor="text1"/>
          <w14:textFill>
            <w14:solidFill>
              <w14:schemeClr w14:val="tx1"/>
            </w14:solidFill>
          </w14:textFill>
        </w:rPr>
      </w:pPr>
    </w:p>
    <w:p w14:paraId="47A68807">
      <w:pPr>
        <w:jc w:val="center"/>
        <w:outlineLvl w:val="3"/>
        <w:rPr>
          <w:b/>
          <w:color w:val="000000" w:themeColor="text1"/>
          <w14:textFill>
            <w14:solidFill>
              <w14:schemeClr w14:val="tx1"/>
            </w14:solidFill>
          </w14:textFill>
        </w:rPr>
      </w:pPr>
      <w:r>
        <w:rPr>
          <w:rFonts w:hint="eastAsia"/>
          <w:b/>
          <w:color w:val="000000" w:themeColor="text1"/>
          <w14:textFill>
            <w14:solidFill>
              <w14:schemeClr w14:val="tx1"/>
            </w14:solidFill>
          </w14:textFill>
        </w:rPr>
        <w:t>2、残疾人福利性单位声明函（服务类）</w:t>
      </w:r>
    </w:p>
    <w:p w14:paraId="276347FD">
      <w:pPr>
        <w:rPr>
          <w:b/>
          <w:bCs/>
          <w:color w:val="000000" w:themeColor="text1"/>
          <w14:textFill>
            <w14:solidFill>
              <w14:schemeClr w14:val="tx1"/>
            </w14:solidFill>
          </w14:textFill>
        </w:rPr>
      </w:pPr>
    </w:p>
    <w:p w14:paraId="03DB71F7">
      <w:pPr>
        <w:spacing w:after="60" w:afterLines="25" w:line="300" w:lineRule="auto"/>
        <w:ind w:firstLine="464" w:firstLineChars="200"/>
        <w:rPr>
          <w:rFonts w:asciiTheme="minorEastAsia" w:hAnsiTheme="minorEastAsia"/>
          <w:szCs w:val="21"/>
        </w:rPr>
      </w:pPr>
      <w:r>
        <w:rPr>
          <w:rFonts w:hint="eastAsia" w:asciiTheme="minorEastAsia" w:hAnsiTheme="minorEastAsia"/>
          <w:szCs w:val="21"/>
        </w:rPr>
        <w:t>本投标人郑重声明，根据《财政部民政部中国残疾人联合会关于促进残疾人就业政府采购政策的通知》（财库〔2017〕141 号）的规定，本投标人参加</w:t>
      </w:r>
      <w:r>
        <w:rPr>
          <w:rFonts w:hint="eastAsia" w:asciiTheme="minorEastAsia" w:hAnsiTheme="minorEastAsia"/>
          <w:b/>
          <w:bCs/>
          <w:szCs w:val="21"/>
          <w:u w:val="single"/>
        </w:rPr>
        <w:t>（采购人名称）</w:t>
      </w:r>
      <w:r>
        <w:rPr>
          <w:rFonts w:hint="eastAsia" w:asciiTheme="minorEastAsia" w:hAnsiTheme="minorEastAsia"/>
          <w:szCs w:val="21"/>
        </w:rPr>
        <w:t>的</w:t>
      </w:r>
      <w:r>
        <w:rPr>
          <w:rFonts w:hint="eastAsia" w:asciiTheme="minorEastAsia" w:hAnsiTheme="minorEastAsia"/>
          <w:b/>
          <w:bCs/>
          <w:szCs w:val="21"/>
          <w:u w:val="single"/>
        </w:rPr>
        <w:t>（项目名称）</w:t>
      </w:r>
      <w:r>
        <w:rPr>
          <w:rFonts w:hint="eastAsia" w:asciiTheme="minorEastAsia" w:hAnsiTheme="minorEastAsia"/>
          <w:szCs w:val="21"/>
        </w:rPr>
        <w:t>采购活动，服务全部由符合政策要求的残疾人福利性单位承接。相关残疾人福利性单位的具体情况如下：</w:t>
      </w:r>
    </w:p>
    <w:p w14:paraId="1768FD0C">
      <w:pPr>
        <w:spacing w:after="60" w:afterLines="25" w:line="300" w:lineRule="auto"/>
        <w:ind w:firstLine="464"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b/>
          <w:bCs/>
          <w:szCs w:val="21"/>
          <w:u w:val="single"/>
        </w:rPr>
        <w:t xml:space="preserve"> （标的名称）</w:t>
      </w:r>
      <w:r>
        <w:rPr>
          <w:rFonts w:hint="eastAsia" w:asciiTheme="minorEastAsia" w:hAnsiTheme="minorEastAsia"/>
          <w:szCs w:val="21"/>
        </w:rPr>
        <w:t>，承接企业为</w:t>
      </w:r>
      <w:r>
        <w:rPr>
          <w:rFonts w:hint="eastAsia" w:asciiTheme="minorEastAsia" w:hAnsiTheme="minorEastAsia"/>
          <w:b/>
          <w:bCs/>
          <w:szCs w:val="21"/>
          <w:u w:val="single"/>
        </w:rPr>
        <w:t>（单位名称）</w:t>
      </w:r>
      <w:r>
        <w:rPr>
          <w:rFonts w:hint="eastAsia" w:asciiTheme="minorEastAsia" w:hAnsiTheme="minorEastAsia"/>
          <w:szCs w:val="21"/>
        </w:rPr>
        <w:t>，属于</w:t>
      </w:r>
      <w:r>
        <w:rPr>
          <w:rFonts w:hint="eastAsia" w:asciiTheme="minorEastAsia" w:hAnsiTheme="minorEastAsia"/>
          <w:b/>
          <w:bCs/>
          <w:szCs w:val="21"/>
          <w:u w:val="single"/>
        </w:rPr>
        <w:t>残疾人福利性单位</w:t>
      </w:r>
      <w:r>
        <w:rPr>
          <w:rFonts w:hint="eastAsia" w:asciiTheme="minorEastAsia" w:hAnsiTheme="minorEastAsia"/>
          <w:szCs w:val="21"/>
        </w:rPr>
        <w:t>；</w:t>
      </w:r>
    </w:p>
    <w:p w14:paraId="2A587BA6">
      <w:pPr>
        <w:spacing w:after="60" w:afterLines="25" w:line="300" w:lineRule="auto"/>
        <w:ind w:firstLine="464" w:firstLineChars="200"/>
        <w:rPr>
          <w:rFonts w:asciiTheme="minorEastAsia" w:hAnsiTheme="minorEastAsia"/>
          <w:szCs w:val="21"/>
        </w:rPr>
      </w:pPr>
      <w:r>
        <w:rPr>
          <w:rFonts w:hint="eastAsia" w:asciiTheme="minorEastAsia" w:hAnsiTheme="minorEastAsia"/>
          <w:szCs w:val="21"/>
        </w:rPr>
        <w:t>2.</w:t>
      </w:r>
      <w:r>
        <w:rPr>
          <w:rFonts w:hint="eastAsia" w:asciiTheme="minorEastAsia" w:hAnsiTheme="minorEastAsia"/>
          <w:b/>
          <w:bCs/>
          <w:szCs w:val="21"/>
          <w:u w:val="single"/>
        </w:rPr>
        <w:t xml:space="preserve"> （标的名称）</w:t>
      </w:r>
      <w:r>
        <w:rPr>
          <w:rFonts w:hint="eastAsia" w:asciiTheme="minorEastAsia" w:hAnsiTheme="minorEastAsia"/>
          <w:szCs w:val="21"/>
        </w:rPr>
        <w:t>，承接企业为</w:t>
      </w:r>
      <w:r>
        <w:rPr>
          <w:rFonts w:hint="eastAsia" w:asciiTheme="minorEastAsia" w:hAnsiTheme="minorEastAsia"/>
          <w:b/>
          <w:bCs/>
          <w:szCs w:val="21"/>
          <w:u w:val="single"/>
        </w:rPr>
        <w:t>（单位名称）</w:t>
      </w:r>
      <w:r>
        <w:rPr>
          <w:rFonts w:hint="eastAsia" w:asciiTheme="minorEastAsia" w:hAnsiTheme="minorEastAsia"/>
          <w:szCs w:val="21"/>
        </w:rPr>
        <w:t>，属于</w:t>
      </w:r>
      <w:r>
        <w:rPr>
          <w:rFonts w:hint="eastAsia" w:asciiTheme="minorEastAsia" w:hAnsiTheme="minorEastAsia"/>
          <w:b/>
          <w:bCs/>
          <w:szCs w:val="21"/>
          <w:u w:val="single"/>
        </w:rPr>
        <w:t>残疾人福利性单位</w:t>
      </w:r>
      <w:r>
        <w:rPr>
          <w:rFonts w:hint="eastAsia" w:asciiTheme="minorEastAsia" w:hAnsiTheme="minorEastAsia"/>
          <w:szCs w:val="21"/>
        </w:rPr>
        <w:t>。</w:t>
      </w:r>
    </w:p>
    <w:p w14:paraId="626361DA">
      <w:pPr>
        <w:spacing w:after="60" w:afterLines="25" w:line="300" w:lineRule="auto"/>
        <w:ind w:firstLine="464" w:firstLineChars="200"/>
        <w:rPr>
          <w:rFonts w:asciiTheme="minorEastAsia" w:hAnsiTheme="minorEastAsia"/>
          <w:szCs w:val="21"/>
        </w:rPr>
      </w:pPr>
      <w:r>
        <w:rPr>
          <w:rFonts w:hint="eastAsia" w:asciiTheme="minorEastAsia" w:hAnsiTheme="minorEastAsia"/>
          <w:szCs w:val="21"/>
        </w:rPr>
        <w:t xml:space="preserve">…… </w:t>
      </w:r>
    </w:p>
    <w:p w14:paraId="067B84BC">
      <w:pPr>
        <w:spacing w:after="60" w:afterLines="25" w:line="300" w:lineRule="auto"/>
        <w:ind w:firstLine="464" w:firstLineChars="200"/>
        <w:rPr>
          <w:rFonts w:asciiTheme="minorEastAsia" w:hAnsiTheme="minorEastAsia"/>
          <w:szCs w:val="21"/>
        </w:rPr>
      </w:pPr>
      <w:r>
        <w:rPr>
          <w:rFonts w:hint="eastAsia" w:asciiTheme="minorEastAsia" w:hAnsiTheme="minorEastAsia"/>
          <w:szCs w:val="21"/>
        </w:rPr>
        <w:t>本投标人已知悉《财政部民政部中国残疾人联合会关于促进残疾人就业政府采购政策的通知》（财库〔2017〕141 号）的规定，承诺提供的声明函内容是真实的，如提供声明函内容不实，则依法追究相关法律责任。</w:t>
      </w:r>
    </w:p>
    <w:p w14:paraId="70A290AA">
      <w:pPr>
        <w:spacing w:after="60" w:afterLines="25" w:line="560" w:lineRule="exact"/>
        <w:ind w:firstLine="464" w:firstLineChars="200"/>
        <w:jc w:val="center"/>
        <w:rPr>
          <w:rFonts w:asciiTheme="minorEastAsia" w:hAnsiTheme="minorEastAsia"/>
        </w:rPr>
      </w:pPr>
    </w:p>
    <w:p w14:paraId="5CD06DBC">
      <w:pPr>
        <w:wordWrap w:val="0"/>
        <w:spacing w:after="60" w:afterLines="25" w:line="300" w:lineRule="auto"/>
        <w:ind w:firstLine="464" w:firstLineChars="200"/>
        <w:jc w:val="right"/>
        <w:rPr>
          <w:rFonts w:asciiTheme="minorEastAsia" w:hAnsiTheme="minorEastAsia"/>
          <w:szCs w:val="21"/>
        </w:rPr>
      </w:pPr>
      <w:r>
        <w:rPr>
          <w:rFonts w:hint="eastAsia" w:asciiTheme="minorEastAsia" w:hAnsiTheme="minorEastAsia"/>
          <w:szCs w:val="21"/>
        </w:rPr>
        <w:t xml:space="preserve">投标人（投标单位）：       </w:t>
      </w:r>
    </w:p>
    <w:p w14:paraId="56433FEF">
      <w:pPr>
        <w:ind w:firstLine="6496" w:firstLineChars="2800"/>
        <w:rPr>
          <w:rFonts w:ascii="宋体" w:hAnsi="宋体"/>
          <w:color w:val="000000" w:themeColor="text1"/>
          <w:szCs w:val="21"/>
          <w14:textFill>
            <w14:solidFill>
              <w14:schemeClr w14:val="tx1"/>
            </w14:solidFill>
          </w14:textFill>
        </w:rPr>
      </w:pPr>
      <w:r>
        <w:rPr>
          <w:rFonts w:hint="eastAsia" w:asciiTheme="minorEastAsia" w:hAnsiTheme="minorEastAsia"/>
          <w:szCs w:val="21"/>
        </w:rPr>
        <w:t>日期：</w:t>
      </w:r>
    </w:p>
    <w:p w14:paraId="1EDA835F">
      <w:pPr>
        <w:ind w:firstLine="464" w:firstLineChars="200"/>
        <w:rPr>
          <w:rFonts w:ascii="宋体" w:hAnsi="宋体"/>
          <w:color w:val="000000" w:themeColor="text1"/>
          <w:szCs w:val="21"/>
          <w14:textFill>
            <w14:solidFill>
              <w14:schemeClr w14:val="tx1"/>
            </w14:solidFill>
          </w14:textFill>
        </w:rPr>
      </w:pPr>
    </w:p>
    <w:p w14:paraId="521DD961">
      <w:pPr>
        <w:ind w:firstLine="464" w:firstLineChars="200"/>
        <w:rPr>
          <w:rFonts w:ascii="宋体" w:hAnsi="宋体"/>
          <w:color w:val="000000" w:themeColor="text1"/>
          <w:szCs w:val="21"/>
          <w14:textFill>
            <w14:solidFill>
              <w14:schemeClr w14:val="tx1"/>
            </w14:solidFill>
          </w14:textFill>
        </w:rPr>
      </w:pPr>
    </w:p>
    <w:p w14:paraId="3F2B6207">
      <w:pPr>
        <w:jc w:val="center"/>
        <w:outlineLvl w:val="3"/>
        <w:rPr>
          <w:b/>
          <w:color w:val="000000" w:themeColor="text1"/>
          <w14:textFill>
            <w14:solidFill>
              <w14:schemeClr w14:val="tx1"/>
            </w14:solidFill>
          </w14:textFill>
        </w:rPr>
      </w:pPr>
      <w:r>
        <w:rPr>
          <w:rFonts w:hint="eastAsia"/>
          <w:b/>
          <w:color w:val="000000" w:themeColor="text1"/>
          <w14:textFill>
            <w14:solidFill>
              <w14:schemeClr w14:val="tx1"/>
            </w14:solidFill>
          </w14:textFill>
        </w:rPr>
        <w:t>3、监狱企业声明函【服务类，监狱企业如需享受优惠政策，还须另行提供省级以上监狱管理局、戒毒管理局（含新疆生产建设兵团）出具的监狱企业证明文件】</w:t>
      </w:r>
    </w:p>
    <w:p w14:paraId="2965AAC9">
      <w:pPr>
        <w:ind w:firstLine="464"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本投标人郑重声明，根据《财政部司法部关于政府采购支持监狱企业发展有关问题的通知》（财库〔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号）的规定，本投标人</w:t>
      </w:r>
      <w:r>
        <w:rPr>
          <w:rFonts w:ascii="宋体" w:hAnsi="宋体" w:cstheme="minorBidi"/>
          <w:color w:val="000000" w:themeColor="text1"/>
          <w:szCs w:val="21"/>
          <w14:textFill>
            <w14:solidFill>
              <w14:schemeClr w14:val="tx1"/>
            </w14:solidFill>
          </w14:textFill>
        </w:rPr>
        <w:t>参加</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采购人</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的</w:t>
      </w:r>
      <w:r>
        <w:rPr>
          <w:rFonts w:ascii="宋体" w:hAnsi="宋体"/>
          <w:b/>
          <w:b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采购活动，</w:t>
      </w:r>
      <w:r>
        <w:rPr>
          <w:rFonts w:hint="eastAsia" w:ascii="宋体" w:hAnsi="宋体"/>
          <w:color w:val="000000" w:themeColor="text1"/>
          <w:szCs w:val="21"/>
          <w14:textFill>
            <w14:solidFill>
              <w14:schemeClr w14:val="tx1"/>
            </w14:solidFill>
          </w14:textFill>
        </w:rPr>
        <w:t>服务</w:t>
      </w:r>
      <w:r>
        <w:rPr>
          <w:rFonts w:ascii="宋体" w:hAnsi="宋体"/>
          <w:color w:val="000000" w:themeColor="text1"/>
          <w:szCs w:val="21"/>
          <w14:textFill>
            <w14:solidFill>
              <w14:schemeClr w14:val="tx1"/>
            </w14:solidFill>
          </w14:textFill>
        </w:rPr>
        <w:t>全部由符合政策要求的</w:t>
      </w:r>
      <w:r>
        <w:rPr>
          <w:rFonts w:hint="eastAsia" w:ascii="宋体" w:hAnsi="宋体"/>
          <w:color w:val="000000" w:themeColor="text1"/>
          <w:szCs w:val="21"/>
          <w14:textFill>
            <w14:solidFill>
              <w14:schemeClr w14:val="tx1"/>
            </w14:solidFill>
          </w14:textFill>
        </w:rPr>
        <w:t>监狱企业承接</w:t>
      </w:r>
      <w:r>
        <w:rPr>
          <w:rFonts w:ascii="宋体" w:hAnsi="宋体"/>
          <w:color w:val="000000" w:themeColor="text1"/>
          <w:szCs w:val="21"/>
          <w14:textFill>
            <w14:solidFill>
              <w14:schemeClr w14:val="tx1"/>
            </w14:solidFill>
          </w14:textFill>
        </w:rPr>
        <w:t>。相关</w:t>
      </w:r>
      <w:r>
        <w:rPr>
          <w:rFonts w:hint="eastAsia" w:ascii="宋体" w:hAnsi="宋体"/>
          <w:color w:val="000000" w:themeColor="text1"/>
          <w:szCs w:val="21"/>
          <w14:textFill>
            <w14:solidFill>
              <w14:schemeClr w14:val="tx1"/>
            </w14:solidFill>
          </w14:textFill>
        </w:rPr>
        <w:t>监狱企业</w:t>
      </w:r>
      <w:r>
        <w:rPr>
          <w:rFonts w:ascii="宋体" w:hAnsi="宋体"/>
          <w:color w:val="000000" w:themeColor="text1"/>
          <w:szCs w:val="21"/>
          <w14:textFill>
            <w14:solidFill>
              <w14:schemeClr w14:val="tx1"/>
            </w14:solidFill>
          </w14:textFill>
        </w:rPr>
        <w:t>的具体情况如下：</w:t>
      </w:r>
    </w:p>
    <w:p w14:paraId="4E27C5BE">
      <w:pPr>
        <w:ind w:firstLine="464"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b/>
          <w:bCs/>
          <w:color w:val="000000" w:themeColor="text1"/>
          <w:szCs w:val="21"/>
          <w:u w:val="single"/>
          <w14:textFill>
            <w14:solidFill>
              <w14:schemeClr w14:val="tx1"/>
            </w14:solidFill>
          </w14:textFill>
        </w:rPr>
        <w:t xml:space="preserve"> （标的名称）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，承接单位</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企业</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，属于</w:t>
      </w:r>
      <w:r>
        <w:rPr>
          <w:rFonts w:hint="eastAsia" w:ascii="宋体" w:hAnsi="宋体"/>
          <w:b/>
          <w:bCs/>
          <w:color w:val="000000" w:themeColor="text1"/>
          <w:szCs w:val="21"/>
          <w:u w:val="single"/>
          <w14:textFill>
            <w14:solidFill>
              <w14:schemeClr w14:val="tx1"/>
            </w14:solidFill>
          </w14:textFill>
        </w:rPr>
        <w:t>监狱企业</w:t>
      </w:r>
      <w:r>
        <w:rPr>
          <w:rFonts w:ascii="宋体" w:hAnsi="宋体"/>
          <w:color w:val="000000" w:themeColor="text1"/>
          <w:szCs w:val="21"/>
          <w14:textFill>
            <w14:solidFill>
              <w14:schemeClr w14:val="tx1"/>
            </w14:solidFill>
          </w14:textFill>
        </w:rPr>
        <w:t>；</w:t>
      </w:r>
    </w:p>
    <w:p w14:paraId="62098C0A">
      <w:pPr>
        <w:ind w:firstLine="464"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b/>
          <w:bCs/>
          <w:color w:val="000000" w:themeColor="text1"/>
          <w:szCs w:val="21"/>
          <w:u w:val="single"/>
          <w14:textFill>
            <w14:solidFill>
              <w14:schemeClr w14:val="tx1"/>
            </w14:solidFill>
          </w14:textFill>
        </w:rPr>
        <w:t xml:space="preserve"> （标的名称）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，承接单位</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企业</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，属于</w:t>
      </w:r>
      <w:r>
        <w:rPr>
          <w:rFonts w:hint="eastAsia" w:ascii="宋体" w:hAnsi="宋体"/>
          <w:b/>
          <w:bCs/>
          <w:color w:val="000000" w:themeColor="text1"/>
          <w:szCs w:val="21"/>
          <w:u w:val="single"/>
          <w14:textFill>
            <w14:solidFill>
              <w14:schemeClr w14:val="tx1"/>
            </w14:solidFill>
          </w14:textFill>
        </w:rPr>
        <w:t>监狱企业</w:t>
      </w:r>
      <w:r>
        <w:rPr>
          <w:rFonts w:hint="eastAsia" w:ascii="宋体" w:hAnsi="宋体"/>
          <w:color w:val="000000" w:themeColor="text1"/>
          <w:szCs w:val="21"/>
          <w14:textFill>
            <w14:solidFill>
              <w14:schemeClr w14:val="tx1"/>
            </w14:solidFill>
          </w14:textFill>
        </w:rPr>
        <w:t>。</w:t>
      </w:r>
    </w:p>
    <w:p w14:paraId="1B4AF3AC">
      <w:pPr>
        <w:ind w:firstLine="464"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76D556F5">
      <w:pPr>
        <w:ind w:firstLine="464" w:firstLineChars="200"/>
        <w:rPr>
          <w:rFonts w:ascii="宋体" w:hAnsi="宋体"/>
          <w:color w:val="000000" w:themeColor="text1"/>
          <w:szCs w:val="21"/>
          <w14:textFill>
            <w14:solidFill>
              <w14:schemeClr w14:val="tx1"/>
            </w14:solidFill>
          </w14:textFill>
        </w:rPr>
      </w:pPr>
      <w:r>
        <w:rPr>
          <w:rFonts w:ascii="宋体" w:hAnsi="宋体" w:cstheme="minorBidi"/>
          <w:color w:val="000000" w:themeColor="text1"/>
          <w:szCs w:val="21"/>
          <w14:textFill>
            <w14:solidFill>
              <w14:schemeClr w14:val="tx1"/>
            </w14:solidFill>
          </w14:textFill>
        </w:rPr>
        <w:t>本</w:t>
      </w:r>
      <w:r>
        <w:rPr>
          <w:rFonts w:hint="eastAsia" w:ascii="宋体" w:hAnsi="宋体" w:cstheme="minorBidi"/>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对上述声明内容的真实性负责。如有虚假，将依法承担相应责任。</w:t>
      </w:r>
    </w:p>
    <w:p w14:paraId="37A1DDF5">
      <w:pPr>
        <w:ind w:firstLine="464" w:firstLineChars="200"/>
        <w:rPr>
          <w:rFonts w:ascii="宋体" w:hAnsi="宋体"/>
          <w:color w:val="FF0000"/>
          <w:szCs w:val="21"/>
        </w:rPr>
      </w:pPr>
      <w:r>
        <w:rPr>
          <w:rFonts w:hint="eastAsia" w:ascii="宋体" w:hAnsi="宋体"/>
          <w:color w:val="FF0000"/>
          <w:szCs w:val="21"/>
        </w:rPr>
        <w:t>附：省级以上监狱管理局、戒毒管理局（含新疆生产建设兵团）出具的监狱企业证明文件。</w:t>
      </w:r>
    </w:p>
    <w:p w14:paraId="34F796D7">
      <w:pPr>
        <w:ind w:left="723" w:hanging="696" w:hangingChars="300"/>
        <w:rPr>
          <w:b/>
          <w:color w:val="000000" w:themeColor="text1"/>
          <w14:textFill>
            <w14:solidFill>
              <w14:schemeClr w14:val="tx1"/>
            </w14:solidFill>
          </w14:textFill>
        </w:rPr>
      </w:pPr>
    </w:p>
    <w:p w14:paraId="6E3ED3EE">
      <w:pPr>
        <w:wordWrap w:val="0"/>
        <w:spacing w:after="60" w:afterLines="25" w:line="300" w:lineRule="auto"/>
        <w:ind w:firstLine="464" w:firstLineChars="200"/>
        <w:jc w:val="right"/>
        <w:rPr>
          <w:rFonts w:asciiTheme="minorEastAsia" w:hAnsiTheme="minorEastAsia"/>
          <w:szCs w:val="21"/>
        </w:rPr>
      </w:pPr>
      <w:r>
        <w:rPr>
          <w:rFonts w:hint="eastAsia" w:asciiTheme="minorEastAsia" w:hAnsiTheme="minorEastAsia"/>
          <w:szCs w:val="21"/>
        </w:rPr>
        <w:t xml:space="preserve">投标人（投标单位）：       </w:t>
      </w:r>
    </w:p>
    <w:p w14:paraId="71DDB531">
      <w:pPr>
        <w:ind w:firstLine="6496" w:firstLineChars="2800"/>
        <w:rPr>
          <w:rFonts w:hint="eastAsia" w:asciiTheme="minorEastAsia" w:hAnsiTheme="minorEastAsia"/>
          <w:szCs w:val="21"/>
        </w:rPr>
      </w:pPr>
      <w:r>
        <w:rPr>
          <w:rFonts w:hint="eastAsia" w:asciiTheme="minorEastAsia" w:hAnsiTheme="minorEastAsia"/>
          <w:szCs w:val="21"/>
        </w:rPr>
        <w:t>日期：</w:t>
      </w:r>
    </w:p>
    <w:p w14:paraId="251A1D76">
      <w:pPr>
        <w:ind w:left="723" w:hanging="696" w:hangingChars="300"/>
        <w:rPr>
          <w:b/>
          <w:color w:val="000000" w:themeColor="text1"/>
          <w:highlight w:val="none"/>
          <w14:textFill>
            <w14:solidFill>
              <w14:schemeClr w14:val="tx1"/>
            </w14:solidFill>
          </w14:textFill>
        </w:rPr>
      </w:pPr>
    </w:p>
    <w:p w14:paraId="388D325E">
      <w:pPr>
        <w:rPr>
          <w:rFonts w:hint="eastAsia" w:ascii="宋体" w:hAnsi="宋体" w:eastAsia="宋体"/>
          <w:b/>
          <w:bCs/>
          <w:szCs w:val="21"/>
          <w:highlight w:val="none"/>
        </w:rPr>
      </w:pPr>
      <w:r>
        <w:rPr>
          <w:rFonts w:hint="eastAsia" w:ascii="宋体" w:hAnsi="宋体" w:eastAsia="宋体"/>
          <w:b/>
          <w:bCs/>
          <w:szCs w:val="21"/>
          <w:highlight w:val="none"/>
        </w:rPr>
        <w:t>附件1.统计上大中小微型企业划分标准</w:t>
      </w:r>
    </w:p>
    <w:p w14:paraId="654EAE63">
      <w:pPr>
        <w:rPr>
          <w:rFonts w:hint="eastAsia" w:ascii="宋体" w:hAnsi="宋体" w:eastAsia="宋体"/>
          <w:sz w:val="18"/>
          <w:szCs w:val="15"/>
          <w:highlight w:val="none"/>
        </w:rPr>
      </w:pPr>
      <w:r>
        <w:rPr>
          <w:rFonts w:hint="eastAsia" w:ascii="宋体" w:hAnsi="宋体" w:eastAsia="宋体"/>
          <w:sz w:val="18"/>
          <w:szCs w:val="15"/>
          <w:highlight w:val="none"/>
        </w:rPr>
        <w:t>来源：国家统计局关于印发《统计上大中小微型企业划分办法（2017）》的通知（国统字〔2017〕213 号）</w:t>
      </w:r>
      <w:r>
        <w:rPr>
          <w:highlight w:val="none"/>
        </w:rPr>
        <w:fldChar w:fldCharType="begin"/>
      </w:r>
      <w:r>
        <w:rPr>
          <w:highlight w:val="none"/>
        </w:rPr>
        <w:instrText xml:space="preserve">HYPERLINK "https://www.stats.gov.cn/xxgk/tjbz/gjtjbz/202008/t20200811_1782335.html"</w:instrText>
      </w:r>
      <w:r>
        <w:rPr>
          <w:highlight w:val="none"/>
        </w:rPr>
        <w:fldChar w:fldCharType="separate"/>
      </w:r>
      <w:r>
        <w:rPr>
          <w:rFonts w:hint="eastAsia" w:ascii="宋体" w:hAnsi="宋体" w:eastAsia="宋体"/>
          <w:sz w:val="18"/>
          <w:szCs w:val="15"/>
          <w:highlight w:val="none"/>
        </w:rPr>
        <w:t>https://www.stats.gov.cn/xxgk/tjbz/gjtjbz/202008/t20200811_1782335.html</w:t>
      </w:r>
      <w:r>
        <w:rPr>
          <w:highlight w:val="none"/>
        </w:rPr>
        <w:fldChar w:fldCharType="end"/>
      </w:r>
    </w:p>
    <w:tbl>
      <w:tblPr>
        <w:tblStyle w:val="16"/>
        <w:tblW w:w="4998" w:type="pct"/>
        <w:jc w:val="center"/>
        <w:tblLayout w:type="autofit"/>
        <w:tblCellMar>
          <w:top w:w="0" w:type="dxa"/>
          <w:left w:w="108" w:type="dxa"/>
          <w:bottom w:w="0" w:type="dxa"/>
          <w:right w:w="108" w:type="dxa"/>
        </w:tblCellMar>
      </w:tblPr>
      <w:tblGrid>
        <w:gridCol w:w="2028"/>
        <w:gridCol w:w="1314"/>
        <w:gridCol w:w="680"/>
        <w:gridCol w:w="1080"/>
        <w:gridCol w:w="1633"/>
        <w:gridCol w:w="1369"/>
        <w:gridCol w:w="952"/>
      </w:tblGrid>
      <w:tr w14:paraId="6E88C62A">
        <w:tblPrEx>
          <w:tblCellMar>
            <w:top w:w="0" w:type="dxa"/>
            <w:left w:w="108" w:type="dxa"/>
            <w:bottom w:w="0" w:type="dxa"/>
            <w:right w:w="108" w:type="dxa"/>
          </w:tblCellMar>
        </w:tblPrEx>
        <w:trPr>
          <w:trHeight w:val="622" w:hRule="exact"/>
          <w:jc w:val="center"/>
        </w:trPr>
        <w:tc>
          <w:tcPr>
            <w:tcW w:w="1119" w:type="pct"/>
            <w:tcBorders>
              <w:top w:val="single" w:color="auto" w:sz="4" w:space="0"/>
              <w:left w:val="nil"/>
              <w:bottom w:val="single" w:color="auto" w:sz="4" w:space="0"/>
              <w:right w:val="single" w:color="auto" w:sz="4" w:space="0"/>
            </w:tcBorders>
            <w:vAlign w:val="center"/>
          </w:tcPr>
          <w:p w14:paraId="1DFFD6AA">
            <w:pPr>
              <w:keepNext w:val="0"/>
              <w:keepLines w:val="0"/>
              <w:widowControl/>
              <w:suppressLineNumbers w:val="0"/>
              <w:spacing w:before="0" w:beforeAutospacing="0" w:after="0" w:afterAutospacing="0" w:line="240" w:lineRule="exact"/>
              <w:ind w:left="0" w:right="0"/>
              <w:jc w:val="center"/>
              <w:rPr>
                <w:rFonts w:hint="default" w:ascii="宋体" w:hAnsi="宋体" w:cs="宋体"/>
                <w:b/>
                <w:bCs/>
                <w:color w:val="000000"/>
                <w:sz w:val="18"/>
                <w:szCs w:val="21"/>
                <w:highlight w:val="none"/>
              </w:rPr>
            </w:pPr>
            <w:r>
              <w:rPr>
                <w:rFonts w:hint="eastAsia" w:ascii="宋体" w:hAnsi="宋体" w:cs="宋体"/>
                <w:b/>
                <w:bCs/>
                <w:color w:val="000000"/>
                <w:sz w:val="18"/>
                <w:szCs w:val="21"/>
                <w:highlight w:val="none"/>
              </w:rPr>
              <w:t>行业名称</w:t>
            </w:r>
          </w:p>
        </w:tc>
        <w:tc>
          <w:tcPr>
            <w:tcW w:w="725" w:type="pct"/>
            <w:tcBorders>
              <w:top w:val="single" w:color="auto" w:sz="4" w:space="0"/>
              <w:left w:val="nil"/>
              <w:bottom w:val="single" w:color="auto" w:sz="4" w:space="0"/>
              <w:right w:val="single" w:color="auto" w:sz="4" w:space="0"/>
            </w:tcBorders>
            <w:vAlign w:val="center"/>
          </w:tcPr>
          <w:p w14:paraId="3CD70940">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highlight w:val="none"/>
              </w:rPr>
            </w:pPr>
            <w:r>
              <w:rPr>
                <w:rFonts w:hint="eastAsia" w:ascii="宋体" w:hAnsi="宋体" w:cs="宋体"/>
                <w:b/>
                <w:bCs/>
                <w:color w:val="000000"/>
                <w:sz w:val="18"/>
                <w:szCs w:val="18"/>
                <w:highlight w:val="none"/>
              </w:rPr>
              <w:t>指标名称</w:t>
            </w:r>
          </w:p>
        </w:tc>
        <w:tc>
          <w:tcPr>
            <w:tcW w:w="375" w:type="pct"/>
            <w:tcBorders>
              <w:top w:val="single" w:color="auto" w:sz="4" w:space="0"/>
              <w:left w:val="nil"/>
              <w:bottom w:val="single" w:color="auto" w:sz="4" w:space="0"/>
              <w:right w:val="single" w:color="auto" w:sz="4" w:space="0"/>
            </w:tcBorders>
            <w:vAlign w:val="center"/>
          </w:tcPr>
          <w:p w14:paraId="70BEDAA7">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highlight w:val="none"/>
              </w:rPr>
            </w:pPr>
            <w:r>
              <w:rPr>
                <w:rFonts w:hint="eastAsia" w:ascii="宋体" w:hAnsi="宋体" w:cs="宋体"/>
                <w:b/>
                <w:bCs/>
                <w:color w:val="000000"/>
                <w:sz w:val="18"/>
                <w:szCs w:val="18"/>
                <w:highlight w:val="none"/>
              </w:rPr>
              <w:t>计量</w:t>
            </w:r>
            <w:r>
              <w:rPr>
                <w:rFonts w:hint="eastAsia" w:ascii="宋体" w:hAnsi="宋体" w:cs="宋体"/>
                <w:b/>
                <w:bCs/>
                <w:color w:val="000000"/>
                <w:sz w:val="18"/>
                <w:szCs w:val="18"/>
                <w:highlight w:val="none"/>
              </w:rPr>
              <w:br w:type="textWrapping"/>
            </w:r>
            <w:r>
              <w:rPr>
                <w:rFonts w:hint="eastAsia" w:ascii="宋体" w:hAnsi="宋体" w:cs="宋体"/>
                <w:b/>
                <w:bCs/>
                <w:color w:val="000000"/>
                <w:sz w:val="18"/>
                <w:szCs w:val="18"/>
                <w:highlight w:val="none"/>
              </w:rPr>
              <w:t>单位</w:t>
            </w:r>
          </w:p>
        </w:tc>
        <w:tc>
          <w:tcPr>
            <w:tcW w:w="596" w:type="pct"/>
            <w:tcBorders>
              <w:top w:val="single" w:color="auto" w:sz="4" w:space="0"/>
              <w:left w:val="nil"/>
              <w:bottom w:val="single" w:color="auto" w:sz="4" w:space="0"/>
              <w:right w:val="single" w:color="auto" w:sz="4" w:space="0"/>
            </w:tcBorders>
            <w:vAlign w:val="center"/>
          </w:tcPr>
          <w:p w14:paraId="0193F2B5">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highlight w:val="none"/>
              </w:rPr>
            </w:pPr>
            <w:r>
              <w:rPr>
                <w:rFonts w:hint="eastAsia" w:ascii="宋体" w:hAnsi="宋体" w:cs="宋体"/>
                <w:b/>
                <w:bCs/>
                <w:color w:val="000000"/>
                <w:sz w:val="18"/>
                <w:szCs w:val="18"/>
                <w:highlight w:val="none"/>
              </w:rPr>
              <w:t>大型</w:t>
            </w:r>
          </w:p>
        </w:tc>
        <w:tc>
          <w:tcPr>
            <w:tcW w:w="901" w:type="pct"/>
            <w:tcBorders>
              <w:top w:val="single" w:color="auto" w:sz="4" w:space="0"/>
              <w:left w:val="nil"/>
              <w:bottom w:val="single" w:color="auto" w:sz="4" w:space="0"/>
              <w:right w:val="single" w:color="auto" w:sz="4" w:space="0"/>
            </w:tcBorders>
            <w:vAlign w:val="center"/>
          </w:tcPr>
          <w:p w14:paraId="0710F188">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highlight w:val="none"/>
              </w:rPr>
            </w:pPr>
            <w:r>
              <w:rPr>
                <w:rFonts w:hint="eastAsia" w:ascii="宋体" w:hAnsi="宋体" w:cs="宋体"/>
                <w:b/>
                <w:bCs/>
                <w:color w:val="000000"/>
                <w:sz w:val="18"/>
                <w:szCs w:val="18"/>
                <w:highlight w:val="none"/>
              </w:rPr>
              <w:t>中型</w:t>
            </w:r>
          </w:p>
        </w:tc>
        <w:tc>
          <w:tcPr>
            <w:tcW w:w="755" w:type="pct"/>
            <w:tcBorders>
              <w:top w:val="single" w:color="auto" w:sz="4" w:space="0"/>
              <w:left w:val="nil"/>
              <w:bottom w:val="single" w:color="auto" w:sz="4" w:space="0"/>
              <w:right w:val="single" w:color="auto" w:sz="4" w:space="0"/>
            </w:tcBorders>
            <w:vAlign w:val="center"/>
          </w:tcPr>
          <w:p w14:paraId="2E87B092">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highlight w:val="none"/>
              </w:rPr>
            </w:pPr>
            <w:r>
              <w:rPr>
                <w:rFonts w:hint="eastAsia" w:ascii="宋体" w:hAnsi="宋体" w:cs="宋体"/>
                <w:b/>
                <w:bCs/>
                <w:color w:val="000000"/>
                <w:sz w:val="18"/>
                <w:szCs w:val="18"/>
                <w:highlight w:val="none"/>
              </w:rPr>
              <w:t>小型</w:t>
            </w:r>
          </w:p>
        </w:tc>
        <w:tc>
          <w:tcPr>
            <w:tcW w:w="525" w:type="pct"/>
            <w:tcBorders>
              <w:top w:val="single" w:color="auto" w:sz="4" w:space="0"/>
              <w:left w:val="nil"/>
              <w:bottom w:val="single" w:color="auto" w:sz="4" w:space="0"/>
              <w:right w:val="nil"/>
            </w:tcBorders>
            <w:vAlign w:val="center"/>
          </w:tcPr>
          <w:p w14:paraId="59FCBC8A">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highlight w:val="none"/>
              </w:rPr>
            </w:pPr>
            <w:r>
              <w:rPr>
                <w:rFonts w:hint="eastAsia" w:ascii="宋体" w:hAnsi="宋体" w:cs="宋体"/>
                <w:b/>
                <w:bCs/>
                <w:color w:val="000000"/>
                <w:sz w:val="18"/>
                <w:szCs w:val="18"/>
                <w:highlight w:val="none"/>
              </w:rPr>
              <w:t>微型</w:t>
            </w:r>
          </w:p>
        </w:tc>
      </w:tr>
      <w:tr w14:paraId="0F789844">
        <w:tblPrEx>
          <w:tblCellMar>
            <w:top w:w="0" w:type="dxa"/>
            <w:left w:w="108" w:type="dxa"/>
            <w:bottom w:w="0" w:type="dxa"/>
            <w:right w:w="108" w:type="dxa"/>
          </w:tblCellMar>
        </w:tblPrEx>
        <w:trPr>
          <w:trHeight w:val="397" w:hRule="exact"/>
          <w:jc w:val="center"/>
        </w:trPr>
        <w:tc>
          <w:tcPr>
            <w:tcW w:w="1119" w:type="pct"/>
            <w:tcBorders>
              <w:top w:val="nil"/>
              <w:left w:val="nil"/>
              <w:bottom w:val="single" w:color="auto" w:sz="4" w:space="0"/>
              <w:right w:val="single" w:color="auto" w:sz="4" w:space="0"/>
            </w:tcBorders>
            <w:vAlign w:val="center"/>
          </w:tcPr>
          <w:p w14:paraId="2924B3D3">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农、林、牧、渔业</w:t>
            </w:r>
          </w:p>
        </w:tc>
        <w:tc>
          <w:tcPr>
            <w:tcW w:w="725" w:type="pct"/>
            <w:tcBorders>
              <w:top w:val="nil"/>
              <w:left w:val="nil"/>
              <w:bottom w:val="single" w:color="auto" w:sz="4" w:space="0"/>
              <w:right w:val="single" w:color="auto" w:sz="4" w:space="0"/>
            </w:tcBorders>
            <w:vAlign w:val="center"/>
          </w:tcPr>
          <w:p w14:paraId="465B6EF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5872762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1409361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901" w:type="pct"/>
            <w:tcBorders>
              <w:top w:val="nil"/>
              <w:left w:val="nil"/>
              <w:bottom w:val="single" w:color="auto" w:sz="4" w:space="0"/>
              <w:right w:val="single" w:color="auto" w:sz="4" w:space="0"/>
            </w:tcBorders>
            <w:vAlign w:val="center"/>
          </w:tcPr>
          <w:p w14:paraId="43E074C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500≤Y＜20000</w:t>
            </w:r>
          </w:p>
        </w:tc>
        <w:tc>
          <w:tcPr>
            <w:tcW w:w="755" w:type="pct"/>
            <w:tcBorders>
              <w:top w:val="nil"/>
              <w:left w:val="nil"/>
              <w:bottom w:val="single" w:color="auto" w:sz="4" w:space="0"/>
              <w:right w:val="single" w:color="auto" w:sz="4" w:space="0"/>
            </w:tcBorders>
            <w:vAlign w:val="center"/>
          </w:tcPr>
          <w:p w14:paraId="3825EA7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50≤Y＜500</w:t>
            </w:r>
          </w:p>
        </w:tc>
        <w:tc>
          <w:tcPr>
            <w:tcW w:w="525" w:type="pct"/>
            <w:tcBorders>
              <w:top w:val="nil"/>
              <w:left w:val="nil"/>
              <w:bottom w:val="single" w:color="auto" w:sz="4" w:space="0"/>
              <w:right w:val="nil"/>
            </w:tcBorders>
            <w:vAlign w:val="center"/>
          </w:tcPr>
          <w:p w14:paraId="3AC0715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Y＜50</w:t>
            </w:r>
          </w:p>
        </w:tc>
      </w:tr>
      <w:tr w14:paraId="5BEA5045">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145B2CD0">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工业 *</w:t>
            </w:r>
          </w:p>
        </w:tc>
        <w:tc>
          <w:tcPr>
            <w:tcW w:w="725" w:type="pct"/>
            <w:tcBorders>
              <w:top w:val="nil"/>
              <w:left w:val="nil"/>
              <w:bottom w:val="nil"/>
              <w:right w:val="single" w:color="auto" w:sz="4" w:space="0"/>
            </w:tcBorders>
            <w:vAlign w:val="center"/>
          </w:tcPr>
          <w:p w14:paraId="659FABB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7A61E61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0AF71D9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X≥1000</w:t>
            </w:r>
          </w:p>
        </w:tc>
        <w:tc>
          <w:tcPr>
            <w:tcW w:w="901" w:type="pct"/>
            <w:tcBorders>
              <w:top w:val="nil"/>
              <w:left w:val="nil"/>
              <w:bottom w:val="nil"/>
              <w:right w:val="single" w:color="auto" w:sz="4" w:space="0"/>
            </w:tcBorders>
            <w:vAlign w:val="center"/>
          </w:tcPr>
          <w:p w14:paraId="2F4C205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755" w:type="pct"/>
            <w:tcBorders>
              <w:top w:val="nil"/>
              <w:left w:val="nil"/>
              <w:bottom w:val="nil"/>
              <w:right w:val="single" w:color="auto" w:sz="4" w:space="0"/>
            </w:tcBorders>
            <w:vAlign w:val="center"/>
          </w:tcPr>
          <w:p w14:paraId="2EDA148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20≤X＜300</w:t>
            </w:r>
          </w:p>
        </w:tc>
        <w:tc>
          <w:tcPr>
            <w:tcW w:w="525" w:type="pct"/>
            <w:tcBorders>
              <w:top w:val="nil"/>
              <w:left w:val="nil"/>
              <w:bottom w:val="nil"/>
              <w:right w:val="nil"/>
            </w:tcBorders>
            <w:vAlign w:val="center"/>
          </w:tcPr>
          <w:p w14:paraId="3C852A7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w:t>
            </w:r>
          </w:p>
        </w:tc>
      </w:tr>
      <w:tr w14:paraId="1C62C08E">
        <w:tblPrEx>
          <w:tblCellMar>
            <w:top w:w="0" w:type="dxa"/>
            <w:left w:w="108" w:type="dxa"/>
            <w:bottom w:w="0" w:type="dxa"/>
            <w:right w:w="108" w:type="dxa"/>
          </w:tblCellMar>
        </w:tblPrEx>
        <w:trPr>
          <w:trHeight w:val="513" w:hRule="exact"/>
          <w:jc w:val="center"/>
        </w:trPr>
        <w:tc>
          <w:tcPr>
            <w:tcW w:w="1119" w:type="pct"/>
            <w:vMerge w:val="continue"/>
            <w:tcBorders>
              <w:top w:val="nil"/>
              <w:left w:val="nil"/>
              <w:bottom w:val="single" w:color="auto" w:sz="4" w:space="0"/>
              <w:right w:val="single" w:color="auto" w:sz="4" w:space="0"/>
            </w:tcBorders>
            <w:vAlign w:val="center"/>
          </w:tcPr>
          <w:p w14:paraId="7E4B2531">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5A307A3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6EC6179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4F2EE5E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901" w:type="pct"/>
            <w:tcBorders>
              <w:top w:val="nil"/>
              <w:left w:val="nil"/>
              <w:bottom w:val="single" w:color="auto" w:sz="4" w:space="0"/>
              <w:right w:val="single" w:color="auto" w:sz="4" w:space="0"/>
            </w:tcBorders>
            <w:vAlign w:val="center"/>
          </w:tcPr>
          <w:p w14:paraId="387F102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2000≤Y＜40000</w:t>
            </w:r>
          </w:p>
        </w:tc>
        <w:tc>
          <w:tcPr>
            <w:tcW w:w="755" w:type="pct"/>
            <w:tcBorders>
              <w:top w:val="nil"/>
              <w:left w:val="nil"/>
              <w:bottom w:val="single" w:color="auto" w:sz="4" w:space="0"/>
              <w:right w:val="single" w:color="auto" w:sz="4" w:space="0"/>
            </w:tcBorders>
            <w:vAlign w:val="center"/>
          </w:tcPr>
          <w:p w14:paraId="3B9E760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300≤Y＜2000</w:t>
            </w:r>
          </w:p>
        </w:tc>
        <w:tc>
          <w:tcPr>
            <w:tcW w:w="525" w:type="pct"/>
            <w:tcBorders>
              <w:top w:val="nil"/>
              <w:left w:val="nil"/>
              <w:bottom w:val="single" w:color="auto" w:sz="4" w:space="0"/>
              <w:right w:val="nil"/>
            </w:tcBorders>
            <w:vAlign w:val="center"/>
          </w:tcPr>
          <w:p w14:paraId="619FB59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Y＜300</w:t>
            </w:r>
          </w:p>
        </w:tc>
      </w:tr>
      <w:tr w14:paraId="4502A3A2">
        <w:tblPrEx>
          <w:tblCellMar>
            <w:top w:w="0" w:type="dxa"/>
            <w:left w:w="108" w:type="dxa"/>
            <w:bottom w:w="0" w:type="dxa"/>
            <w:right w:w="108" w:type="dxa"/>
          </w:tblCellMar>
        </w:tblPrEx>
        <w:trPr>
          <w:trHeight w:val="465" w:hRule="exact"/>
          <w:jc w:val="center"/>
        </w:trPr>
        <w:tc>
          <w:tcPr>
            <w:tcW w:w="1119" w:type="pct"/>
            <w:vMerge w:val="restart"/>
            <w:tcBorders>
              <w:top w:val="nil"/>
              <w:left w:val="nil"/>
              <w:bottom w:val="single" w:color="auto" w:sz="4" w:space="0"/>
              <w:right w:val="single" w:color="auto" w:sz="4" w:space="0"/>
            </w:tcBorders>
            <w:vAlign w:val="center"/>
          </w:tcPr>
          <w:p w14:paraId="261DA44A">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建筑业</w:t>
            </w:r>
          </w:p>
        </w:tc>
        <w:tc>
          <w:tcPr>
            <w:tcW w:w="725" w:type="pct"/>
            <w:tcBorders>
              <w:top w:val="nil"/>
              <w:left w:val="nil"/>
              <w:bottom w:val="nil"/>
              <w:right w:val="single" w:color="auto" w:sz="4" w:space="0"/>
            </w:tcBorders>
            <w:vAlign w:val="center"/>
          </w:tcPr>
          <w:p w14:paraId="37291D4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nil"/>
              <w:right w:val="single" w:color="auto" w:sz="4" w:space="0"/>
            </w:tcBorders>
            <w:vAlign w:val="center"/>
          </w:tcPr>
          <w:p w14:paraId="5B859FA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nil"/>
              <w:right w:val="single" w:color="auto" w:sz="4" w:space="0"/>
            </w:tcBorders>
            <w:vAlign w:val="center"/>
          </w:tcPr>
          <w:p w14:paraId="74199EC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Y≥80000</w:t>
            </w:r>
          </w:p>
        </w:tc>
        <w:tc>
          <w:tcPr>
            <w:tcW w:w="901" w:type="pct"/>
            <w:tcBorders>
              <w:top w:val="nil"/>
              <w:left w:val="nil"/>
              <w:bottom w:val="nil"/>
              <w:right w:val="single" w:color="auto" w:sz="4" w:space="0"/>
            </w:tcBorders>
            <w:vAlign w:val="center"/>
          </w:tcPr>
          <w:p w14:paraId="53C2AB6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6000≤Y＜80000</w:t>
            </w:r>
          </w:p>
        </w:tc>
        <w:tc>
          <w:tcPr>
            <w:tcW w:w="755" w:type="pct"/>
            <w:tcBorders>
              <w:top w:val="nil"/>
              <w:left w:val="nil"/>
              <w:bottom w:val="nil"/>
              <w:right w:val="single" w:color="auto" w:sz="4" w:space="0"/>
            </w:tcBorders>
            <w:vAlign w:val="center"/>
          </w:tcPr>
          <w:p w14:paraId="3965355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300≤Y＜6000</w:t>
            </w:r>
          </w:p>
        </w:tc>
        <w:tc>
          <w:tcPr>
            <w:tcW w:w="525" w:type="pct"/>
            <w:tcBorders>
              <w:top w:val="nil"/>
              <w:left w:val="nil"/>
              <w:bottom w:val="nil"/>
              <w:right w:val="nil"/>
            </w:tcBorders>
            <w:vAlign w:val="center"/>
          </w:tcPr>
          <w:p w14:paraId="32737AB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Y＜300</w:t>
            </w:r>
          </w:p>
        </w:tc>
      </w:tr>
      <w:tr w14:paraId="532C5CA5">
        <w:tblPrEx>
          <w:tblCellMar>
            <w:top w:w="0" w:type="dxa"/>
            <w:left w:w="108" w:type="dxa"/>
            <w:bottom w:w="0" w:type="dxa"/>
            <w:right w:w="108" w:type="dxa"/>
          </w:tblCellMar>
        </w:tblPrEx>
        <w:trPr>
          <w:trHeight w:val="483" w:hRule="exact"/>
          <w:jc w:val="center"/>
        </w:trPr>
        <w:tc>
          <w:tcPr>
            <w:tcW w:w="1119" w:type="pct"/>
            <w:vMerge w:val="continue"/>
            <w:tcBorders>
              <w:top w:val="nil"/>
              <w:left w:val="nil"/>
              <w:bottom w:val="single" w:color="auto" w:sz="4" w:space="0"/>
              <w:right w:val="single" w:color="auto" w:sz="4" w:space="0"/>
            </w:tcBorders>
            <w:vAlign w:val="center"/>
          </w:tcPr>
          <w:p w14:paraId="424C3BCA">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2680BE26">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375" w:type="pct"/>
            <w:tcBorders>
              <w:top w:val="nil"/>
              <w:left w:val="nil"/>
              <w:bottom w:val="single" w:color="auto" w:sz="4" w:space="0"/>
              <w:right w:val="single" w:color="auto" w:sz="4" w:space="0"/>
            </w:tcBorders>
            <w:vAlign w:val="center"/>
          </w:tcPr>
          <w:p w14:paraId="0F9CAD4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1996541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Z≥80000</w:t>
            </w:r>
          </w:p>
        </w:tc>
        <w:tc>
          <w:tcPr>
            <w:tcW w:w="901" w:type="pct"/>
            <w:tcBorders>
              <w:top w:val="nil"/>
              <w:left w:val="nil"/>
              <w:bottom w:val="single" w:color="auto" w:sz="4" w:space="0"/>
              <w:right w:val="single" w:color="auto" w:sz="4" w:space="0"/>
            </w:tcBorders>
            <w:vAlign w:val="center"/>
          </w:tcPr>
          <w:p w14:paraId="4D95239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5000≤Z＜80000</w:t>
            </w:r>
          </w:p>
        </w:tc>
        <w:tc>
          <w:tcPr>
            <w:tcW w:w="755" w:type="pct"/>
            <w:tcBorders>
              <w:top w:val="nil"/>
              <w:left w:val="nil"/>
              <w:bottom w:val="single" w:color="auto" w:sz="4" w:space="0"/>
              <w:right w:val="single" w:color="auto" w:sz="4" w:space="0"/>
            </w:tcBorders>
            <w:vAlign w:val="center"/>
          </w:tcPr>
          <w:p w14:paraId="67B7F07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300≤Z＜5000</w:t>
            </w:r>
          </w:p>
        </w:tc>
        <w:tc>
          <w:tcPr>
            <w:tcW w:w="525" w:type="pct"/>
            <w:tcBorders>
              <w:top w:val="nil"/>
              <w:left w:val="nil"/>
              <w:bottom w:val="single" w:color="auto" w:sz="4" w:space="0"/>
              <w:right w:val="nil"/>
            </w:tcBorders>
            <w:vAlign w:val="center"/>
          </w:tcPr>
          <w:p w14:paraId="5717AE1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Z＜300</w:t>
            </w:r>
          </w:p>
        </w:tc>
      </w:tr>
      <w:tr w14:paraId="0DB5C2C4">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0A730109">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批发业</w:t>
            </w:r>
          </w:p>
        </w:tc>
        <w:tc>
          <w:tcPr>
            <w:tcW w:w="725" w:type="pct"/>
            <w:tcBorders>
              <w:top w:val="nil"/>
              <w:left w:val="nil"/>
              <w:bottom w:val="nil"/>
              <w:right w:val="single" w:color="auto" w:sz="4" w:space="0"/>
            </w:tcBorders>
            <w:vAlign w:val="center"/>
          </w:tcPr>
          <w:p w14:paraId="329578A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048CD0C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1B9F464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X≥200</w:t>
            </w:r>
          </w:p>
        </w:tc>
        <w:tc>
          <w:tcPr>
            <w:tcW w:w="901" w:type="pct"/>
            <w:tcBorders>
              <w:top w:val="nil"/>
              <w:left w:val="nil"/>
              <w:bottom w:val="nil"/>
              <w:right w:val="single" w:color="auto" w:sz="4" w:space="0"/>
            </w:tcBorders>
            <w:vAlign w:val="center"/>
          </w:tcPr>
          <w:p w14:paraId="65E62DD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20≤X＜200</w:t>
            </w:r>
          </w:p>
        </w:tc>
        <w:tc>
          <w:tcPr>
            <w:tcW w:w="755" w:type="pct"/>
            <w:tcBorders>
              <w:top w:val="nil"/>
              <w:left w:val="nil"/>
              <w:bottom w:val="nil"/>
              <w:right w:val="single" w:color="auto" w:sz="4" w:space="0"/>
            </w:tcBorders>
            <w:vAlign w:val="center"/>
          </w:tcPr>
          <w:p w14:paraId="3305DDB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5≤X＜20</w:t>
            </w:r>
          </w:p>
        </w:tc>
        <w:tc>
          <w:tcPr>
            <w:tcW w:w="525" w:type="pct"/>
            <w:tcBorders>
              <w:top w:val="nil"/>
              <w:left w:val="nil"/>
              <w:bottom w:val="nil"/>
              <w:right w:val="nil"/>
            </w:tcBorders>
            <w:vAlign w:val="center"/>
          </w:tcPr>
          <w:p w14:paraId="3443F64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X＜5</w:t>
            </w:r>
          </w:p>
        </w:tc>
      </w:tr>
      <w:tr w14:paraId="68B29754">
        <w:tblPrEx>
          <w:tblCellMar>
            <w:top w:w="0" w:type="dxa"/>
            <w:left w:w="108" w:type="dxa"/>
            <w:bottom w:w="0" w:type="dxa"/>
            <w:right w:w="108" w:type="dxa"/>
          </w:tblCellMar>
        </w:tblPrEx>
        <w:trPr>
          <w:trHeight w:val="578" w:hRule="exact"/>
          <w:jc w:val="center"/>
        </w:trPr>
        <w:tc>
          <w:tcPr>
            <w:tcW w:w="1119" w:type="pct"/>
            <w:vMerge w:val="continue"/>
            <w:tcBorders>
              <w:top w:val="nil"/>
              <w:left w:val="nil"/>
              <w:bottom w:val="single" w:color="auto" w:sz="4" w:space="0"/>
              <w:right w:val="single" w:color="auto" w:sz="4" w:space="0"/>
            </w:tcBorders>
            <w:vAlign w:val="center"/>
          </w:tcPr>
          <w:p w14:paraId="52C1602F">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5583F4A4">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6A95756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6193672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901" w:type="pct"/>
            <w:tcBorders>
              <w:top w:val="nil"/>
              <w:left w:val="nil"/>
              <w:bottom w:val="single" w:color="auto" w:sz="4" w:space="0"/>
              <w:right w:val="single" w:color="auto" w:sz="4" w:space="0"/>
            </w:tcBorders>
            <w:vAlign w:val="center"/>
          </w:tcPr>
          <w:p w14:paraId="30725FF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5000≤Y＜40000</w:t>
            </w:r>
          </w:p>
        </w:tc>
        <w:tc>
          <w:tcPr>
            <w:tcW w:w="755" w:type="pct"/>
            <w:tcBorders>
              <w:top w:val="nil"/>
              <w:left w:val="nil"/>
              <w:bottom w:val="single" w:color="auto" w:sz="4" w:space="0"/>
              <w:right w:val="single" w:color="auto" w:sz="4" w:space="0"/>
            </w:tcBorders>
            <w:vAlign w:val="center"/>
          </w:tcPr>
          <w:p w14:paraId="5FD6ACE4">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525" w:type="pct"/>
            <w:tcBorders>
              <w:top w:val="nil"/>
              <w:left w:val="nil"/>
              <w:bottom w:val="single" w:color="auto" w:sz="4" w:space="0"/>
              <w:right w:val="nil"/>
            </w:tcBorders>
            <w:vAlign w:val="center"/>
          </w:tcPr>
          <w:p w14:paraId="5CA4034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Y＜1000</w:t>
            </w:r>
          </w:p>
        </w:tc>
      </w:tr>
      <w:tr w14:paraId="5D413024">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50EEF618">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零售业</w:t>
            </w:r>
          </w:p>
        </w:tc>
        <w:tc>
          <w:tcPr>
            <w:tcW w:w="725" w:type="pct"/>
            <w:tcBorders>
              <w:top w:val="nil"/>
              <w:left w:val="nil"/>
              <w:bottom w:val="nil"/>
              <w:right w:val="single" w:color="auto" w:sz="4" w:space="0"/>
            </w:tcBorders>
            <w:vAlign w:val="center"/>
          </w:tcPr>
          <w:p w14:paraId="5BB5042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363A295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7AB4345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X≥300</w:t>
            </w:r>
          </w:p>
        </w:tc>
        <w:tc>
          <w:tcPr>
            <w:tcW w:w="901" w:type="pct"/>
            <w:tcBorders>
              <w:top w:val="nil"/>
              <w:left w:val="nil"/>
              <w:bottom w:val="nil"/>
              <w:right w:val="single" w:color="auto" w:sz="4" w:space="0"/>
            </w:tcBorders>
            <w:vAlign w:val="center"/>
          </w:tcPr>
          <w:p w14:paraId="0D2EC62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50≤X＜300</w:t>
            </w:r>
          </w:p>
        </w:tc>
        <w:tc>
          <w:tcPr>
            <w:tcW w:w="755" w:type="pct"/>
            <w:tcBorders>
              <w:top w:val="nil"/>
              <w:left w:val="nil"/>
              <w:bottom w:val="nil"/>
              <w:right w:val="single" w:color="auto" w:sz="4" w:space="0"/>
            </w:tcBorders>
            <w:vAlign w:val="center"/>
          </w:tcPr>
          <w:p w14:paraId="30887D26">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10≤X＜50 </w:t>
            </w:r>
          </w:p>
        </w:tc>
        <w:tc>
          <w:tcPr>
            <w:tcW w:w="525" w:type="pct"/>
            <w:tcBorders>
              <w:top w:val="nil"/>
              <w:left w:val="nil"/>
              <w:bottom w:val="nil"/>
              <w:right w:val="nil"/>
            </w:tcBorders>
            <w:vAlign w:val="center"/>
          </w:tcPr>
          <w:p w14:paraId="610C546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r w14:paraId="19592E9B">
        <w:tblPrEx>
          <w:tblCellMar>
            <w:top w:w="0" w:type="dxa"/>
            <w:left w:w="108" w:type="dxa"/>
            <w:bottom w:w="0" w:type="dxa"/>
            <w:right w:w="108" w:type="dxa"/>
          </w:tblCellMar>
        </w:tblPrEx>
        <w:trPr>
          <w:trHeight w:val="397" w:hRule="exact"/>
          <w:jc w:val="center"/>
        </w:trPr>
        <w:tc>
          <w:tcPr>
            <w:tcW w:w="1119" w:type="pct"/>
            <w:vMerge w:val="continue"/>
            <w:tcBorders>
              <w:top w:val="nil"/>
              <w:left w:val="nil"/>
              <w:bottom w:val="single" w:color="auto" w:sz="4" w:space="0"/>
              <w:right w:val="single" w:color="auto" w:sz="4" w:space="0"/>
            </w:tcBorders>
            <w:vAlign w:val="center"/>
          </w:tcPr>
          <w:p w14:paraId="30E138D1">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78A7CD13">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05C60EB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3780B63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901" w:type="pct"/>
            <w:tcBorders>
              <w:top w:val="nil"/>
              <w:left w:val="nil"/>
              <w:bottom w:val="single" w:color="auto" w:sz="4" w:space="0"/>
              <w:right w:val="single" w:color="auto" w:sz="4" w:space="0"/>
            </w:tcBorders>
            <w:vAlign w:val="center"/>
          </w:tcPr>
          <w:p w14:paraId="2B311D8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500≤Y＜20000</w:t>
            </w:r>
          </w:p>
        </w:tc>
        <w:tc>
          <w:tcPr>
            <w:tcW w:w="755" w:type="pct"/>
            <w:tcBorders>
              <w:top w:val="nil"/>
              <w:left w:val="nil"/>
              <w:bottom w:val="single" w:color="auto" w:sz="4" w:space="0"/>
              <w:right w:val="single" w:color="auto" w:sz="4" w:space="0"/>
            </w:tcBorders>
            <w:vAlign w:val="center"/>
          </w:tcPr>
          <w:p w14:paraId="614AC33B">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100≤Y＜500 </w:t>
            </w:r>
          </w:p>
        </w:tc>
        <w:tc>
          <w:tcPr>
            <w:tcW w:w="525" w:type="pct"/>
            <w:tcBorders>
              <w:top w:val="nil"/>
              <w:left w:val="nil"/>
              <w:bottom w:val="single" w:color="auto" w:sz="4" w:space="0"/>
              <w:right w:val="nil"/>
            </w:tcBorders>
            <w:vAlign w:val="center"/>
          </w:tcPr>
          <w:p w14:paraId="312CC53B">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539F6CB4">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0844A0A0">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交通运输业 *</w:t>
            </w:r>
          </w:p>
        </w:tc>
        <w:tc>
          <w:tcPr>
            <w:tcW w:w="725" w:type="pct"/>
            <w:tcBorders>
              <w:top w:val="nil"/>
              <w:left w:val="nil"/>
              <w:bottom w:val="nil"/>
              <w:right w:val="single" w:color="auto" w:sz="4" w:space="0"/>
            </w:tcBorders>
            <w:vAlign w:val="center"/>
          </w:tcPr>
          <w:p w14:paraId="640CA85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4DB6586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53E27E0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X≥1000</w:t>
            </w:r>
          </w:p>
        </w:tc>
        <w:tc>
          <w:tcPr>
            <w:tcW w:w="901" w:type="pct"/>
            <w:tcBorders>
              <w:top w:val="nil"/>
              <w:left w:val="nil"/>
              <w:bottom w:val="nil"/>
              <w:right w:val="single" w:color="auto" w:sz="4" w:space="0"/>
            </w:tcBorders>
            <w:vAlign w:val="center"/>
          </w:tcPr>
          <w:p w14:paraId="5A25329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755" w:type="pct"/>
            <w:tcBorders>
              <w:top w:val="nil"/>
              <w:left w:val="nil"/>
              <w:bottom w:val="nil"/>
              <w:right w:val="single" w:color="auto" w:sz="4" w:space="0"/>
            </w:tcBorders>
            <w:vAlign w:val="center"/>
          </w:tcPr>
          <w:p w14:paraId="7B79329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20≤X＜300</w:t>
            </w:r>
          </w:p>
        </w:tc>
        <w:tc>
          <w:tcPr>
            <w:tcW w:w="525" w:type="pct"/>
            <w:tcBorders>
              <w:top w:val="nil"/>
              <w:left w:val="nil"/>
              <w:bottom w:val="nil"/>
              <w:right w:val="nil"/>
            </w:tcBorders>
            <w:vAlign w:val="center"/>
          </w:tcPr>
          <w:p w14:paraId="168AEF6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w:t>
            </w:r>
          </w:p>
        </w:tc>
      </w:tr>
      <w:tr w14:paraId="0FF5276F">
        <w:tblPrEx>
          <w:tblCellMar>
            <w:top w:w="0" w:type="dxa"/>
            <w:left w:w="108" w:type="dxa"/>
            <w:bottom w:w="0" w:type="dxa"/>
            <w:right w:w="108" w:type="dxa"/>
          </w:tblCellMar>
        </w:tblPrEx>
        <w:trPr>
          <w:trHeight w:val="482" w:hRule="exact"/>
          <w:jc w:val="center"/>
        </w:trPr>
        <w:tc>
          <w:tcPr>
            <w:tcW w:w="1119" w:type="pct"/>
            <w:vMerge w:val="continue"/>
            <w:tcBorders>
              <w:top w:val="nil"/>
              <w:left w:val="nil"/>
              <w:bottom w:val="single" w:color="auto" w:sz="4" w:space="0"/>
              <w:right w:val="single" w:color="auto" w:sz="4" w:space="0"/>
            </w:tcBorders>
            <w:vAlign w:val="center"/>
          </w:tcPr>
          <w:p w14:paraId="35885599">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78FCA2D6">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519ACA7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18CB86B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901" w:type="pct"/>
            <w:tcBorders>
              <w:top w:val="nil"/>
              <w:left w:val="nil"/>
              <w:bottom w:val="single" w:color="auto" w:sz="4" w:space="0"/>
              <w:right w:val="single" w:color="auto" w:sz="4" w:space="0"/>
            </w:tcBorders>
            <w:vAlign w:val="center"/>
          </w:tcPr>
          <w:p w14:paraId="0879124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3000≤Y＜30000</w:t>
            </w:r>
          </w:p>
        </w:tc>
        <w:tc>
          <w:tcPr>
            <w:tcW w:w="755" w:type="pct"/>
            <w:tcBorders>
              <w:top w:val="nil"/>
              <w:left w:val="nil"/>
              <w:bottom w:val="single" w:color="auto" w:sz="4" w:space="0"/>
              <w:right w:val="single" w:color="auto" w:sz="4" w:space="0"/>
            </w:tcBorders>
            <w:vAlign w:val="center"/>
          </w:tcPr>
          <w:p w14:paraId="0AB687F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200≤Y＜3000</w:t>
            </w:r>
          </w:p>
        </w:tc>
        <w:tc>
          <w:tcPr>
            <w:tcW w:w="525" w:type="pct"/>
            <w:tcBorders>
              <w:top w:val="nil"/>
              <w:left w:val="nil"/>
              <w:bottom w:val="single" w:color="auto" w:sz="4" w:space="0"/>
              <w:right w:val="nil"/>
            </w:tcBorders>
            <w:vAlign w:val="center"/>
          </w:tcPr>
          <w:p w14:paraId="4E2FA7E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Y＜200</w:t>
            </w:r>
          </w:p>
        </w:tc>
      </w:tr>
      <w:tr w14:paraId="13CFCFB0">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4974E2F7">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仓储业*</w:t>
            </w:r>
          </w:p>
        </w:tc>
        <w:tc>
          <w:tcPr>
            <w:tcW w:w="725" w:type="pct"/>
            <w:tcBorders>
              <w:top w:val="nil"/>
              <w:left w:val="nil"/>
              <w:bottom w:val="nil"/>
              <w:right w:val="single" w:color="auto" w:sz="4" w:space="0"/>
            </w:tcBorders>
            <w:vAlign w:val="center"/>
          </w:tcPr>
          <w:p w14:paraId="2A5C471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2B585A7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7B30E20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X≥200</w:t>
            </w:r>
          </w:p>
        </w:tc>
        <w:tc>
          <w:tcPr>
            <w:tcW w:w="901" w:type="pct"/>
            <w:tcBorders>
              <w:top w:val="nil"/>
              <w:left w:val="nil"/>
              <w:bottom w:val="nil"/>
              <w:right w:val="single" w:color="auto" w:sz="4" w:space="0"/>
            </w:tcBorders>
            <w:vAlign w:val="center"/>
          </w:tcPr>
          <w:p w14:paraId="3E574F6C">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100≤X＜200</w:t>
            </w:r>
          </w:p>
        </w:tc>
        <w:tc>
          <w:tcPr>
            <w:tcW w:w="755" w:type="pct"/>
            <w:tcBorders>
              <w:top w:val="nil"/>
              <w:left w:val="nil"/>
              <w:bottom w:val="nil"/>
              <w:right w:val="single" w:color="auto" w:sz="4" w:space="0"/>
            </w:tcBorders>
            <w:vAlign w:val="center"/>
          </w:tcPr>
          <w:p w14:paraId="2DB110B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20≤X＜100</w:t>
            </w:r>
          </w:p>
        </w:tc>
        <w:tc>
          <w:tcPr>
            <w:tcW w:w="525" w:type="pct"/>
            <w:tcBorders>
              <w:top w:val="nil"/>
              <w:left w:val="nil"/>
              <w:bottom w:val="nil"/>
              <w:right w:val="nil"/>
            </w:tcBorders>
            <w:vAlign w:val="center"/>
          </w:tcPr>
          <w:p w14:paraId="779CEF9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w:t>
            </w:r>
          </w:p>
        </w:tc>
      </w:tr>
      <w:tr w14:paraId="12BBAF68">
        <w:tblPrEx>
          <w:tblCellMar>
            <w:top w:w="0" w:type="dxa"/>
            <w:left w:w="108" w:type="dxa"/>
            <w:bottom w:w="0" w:type="dxa"/>
            <w:right w:w="108" w:type="dxa"/>
          </w:tblCellMar>
        </w:tblPrEx>
        <w:trPr>
          <w:trHeight w:val="551" w:hRule="exact"/>
          <w:jc w:val="center"/>
        </w:trPr>
        <w:tc>
          <w:tcPr>
            <w:tcW w:w="1119" w:type="pct"/>
            <w:vMerge w:val="continue"/>
            <w:tcBorders>
              <w:top w:val="nil"/>
              <w:left w:val="nil"/>
              <w:bottom w:val="single" w:color="auto" w:sz="4" w:space="0"/>
              <w:right w:val="single" w:color="auto" w:sz="4" w:space="0"/>
            </w:tcBorders>
            <w:vAlign w:val="center"/>
          </w:tcPr>
          <w:p w14:paraId="1EC0CE74">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0205F7B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34639CA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2DE584D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901" w:type="pct"/>
            <w:tcBorders>
              <w:top w:val="nil"/>
              <w:left w:val="nil"/>
              <w:bottom w:val="single" w:color="auto" w:sz="4" w:space="0"/>
              <w:right w:val="single" w:color="auto" w:sz="4" w:space="0"/>
            </w:tcBorders>
            <w:vAlign w:val="center"/>
          </w:tcPr>
          <w:p w14:paraId="441F558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1000≤Y＜30000</w:t>
            </w:r>
          </w:p>
        </w:tc>
        <w:tc>
          <w:tcPr>
            <w:tcW w:w="755" w:type="pct"/>
            <w:tcBorders>
              <w:top w:val="nil"/>
              <w:left w:val="nil"/>
              <w:bottom w:val="single" w:color="auto" w:sz="4" w:space="0"/>
              <w:right w:val="single" w:color="auto" w:sz="4" w:space="0"/>
            </w:tcBorders>
            <w:vAlign w:val="center"/>
          </w:tcPr>
          <w:p w14:paraId="0DB00AF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100≤Y＜1000</w:t>
            </w:r>
          </w:p>
        </w:tc>
        <w:tc>
          <w:tcPr>
            <w:tcW w:w="525" w:type="pct"/>
            <w:tcBorders>
              <w:top w:val="nil"/>
              <w:left w:val="nil"/>
              <w:bottom w:val="single" w:color="auto" w:sz="4" w:space="0"/>
              <w:right w:val="nil"/>
            </w:tcBorders>
            <w:vAlign w:val="center"/>
          </w:tcPr>
          <w:p w14:paraId="7DD770D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288692B1">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1E22BB6A">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邮政业</w:t>
            </w:r>
          </w:p>
        </w:tc>
        <w:tc>
          <w:tcPr>
            <w:tcW w:w="725" w:type="pct"/>
            <w:tcBorders>
              <w:top w:val="nil"/>
              <w:left w:val="nil"/>
              <w:bottom w:val="nil"/>
              <w:right w:val="single" w:color="auto" w:sz="4" w:space="0"/>
            </w:tcBorders>
            <w:vAlign w:val="center"/>
          </w:tcPr>
          <w:p w14:paraId="388F0F0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694A330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3ADAFE8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X≥1000</w:t>
            </w:r>
          </w:p>
        </w:tc>
        <w:tc>
          <w:tcPr>
            <w:tcW w:w="901" w:type="pct"/>
            <w:tcBorders>
              <w:top w:val="nil"/>
              <w:left w:val="nil"/>
              <w:bottom w:val="nil"/>
              <w:right w:val="single" w:color="auto" w:sz="4" w:space="0"/>
            </w:tcBorders>
            <w:vAlign w:val="center"/>
          </w:tcPr>
          <w:p w14:paraId="2720D56B">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755" w:type="pct"/>
            <w:tcBorders>
              <w:top w:val="nil"/>
              <w:left w:val="nil"/>
              <w:bottom w:val="nil"/>
              <w:right w:val="single" w:color="auto" w:sz="4" w:space="0"/>
            </w:tcBorders>
            <w:vAlign w:val="center"/>
          </w:tcPr>
          <w:p w14:paraId="5A7BEFE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20≤X＜300</w:t>
            </w:r>
          </w:p>
        </w:tc>
        <w:tc>
          <w:tcPr>
            <w:tcW w:w="525" w:type="pct"/>
            <w:tcBorders>
              <w:top w:val="nil"/>
              <w:left w:val="nil"/>
              <w:bottom w:val="nil"/>
              <w:right w:val="nil"/>
            </w:tcBorders>
            <w:vAlign w:val="center"/>
          </w:tcPr>
          <w:p w14:paraId="607A679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w:t>
            </w:r>
          </w:p>
        </w:tc>
      </w:tr>
      <w:tr w14:paraId="61A5FA49">
        <w:tblPrEx>
          <w:tblCellMar>
            <w:top w:w="0" w:type="dxa"/>
            <w:left w:w="108" w:type="dxa"/>
            <w:bottom w:w="0" w:type="dxa"/>
            <w:right w:w="108" w:type="dxa"/>
          </w:tblCellMar>
        </w:tblPrEx>
        <w:trPr>
          <w:trHeight w:val="592" w:hRule="exact"/>
          <w:jc w:val="center"/>
        </w:trPr>
        <w:tc>
          <w:tcPr>
            <w:tcW w:w="1119" w:type="pct"/>
            <w:vMerge w:val="continue"/>
            <w:tcBorders>
              <w:top w:val="nil"/>
              <w:left w:val="nil"/>
              <w:bottom w:val="single" w:color="auto" w:sz="4" w:space="0"/>
              <w:right w:val="single" w:color="auto" w:sz="4" w:space="0"/>
            </w:tcBorders>
            <w:vAlign w:val="center"/>
          </w:tcPr>
          <w:p w14:paraId="7B111A4E">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1EB2AF41">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18D485A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553EB6E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901" w:type="pct"/>
            <w:tcBorders>
              <w:top w:val="nil"/>
              <w:left w:val="nil"/>
              <w:bottom w:val="single" w:color="auto" w:sz="4" w:space="0"/>
              <w:right w:val="single" w:color="auto" w:sz="4" w:space="0"/>
            </w:tcBorders>
            <w:vAlign w:val="center"/>
          </w:tcPr>
          <w:p w14:paraId="0F5667F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2000≤Y＜30000</w:t>
            </w:r>
          </w:p>
        </w:tc>
        <w:tc>
          <w:tcPr>
            <w:tcW w:w="755" w:type="pct"/>
            <w:tcBorders>
              <w:top w:val="nil"/>
              <w:left w:val="nil"/>
              <w:bottom w:val="single" w:color="auto" w:sz="4" w:space="0"/>
              <w:right w:val="single" w:color="auto" w:sz="4" w:space="0"/>
            </w:tcBorders>
            <w:vAlign w:val="center"/>
          </w:tcPr>
          <w:p w14:paraId="6FA54A7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100≤Y＜2000</w:t>
            </w:r>
          </w:p>
        </w:tc>
        <w:tc>
          <w:tcPr>
            <w:tcW w:w="525" w:type="pct"/>
            <w:tcBorders>
              <w:top w:val="nil"/>
              <w:left w:val="nil"/>
              <w:bottom w:val="single" w:color="auto" w:sz="4" w:space="0"/>
              <w:right w:val="nil"/>
            </w:tcBorders>
            <w:vAlign w:val="center"/>
          </w:tcPr>
          <w:p w14:paraId="13747CF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41526FCC">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50271D50">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住宿业</w:t>
            </w:r>
          </w:p>
        </w:tc>
        <w:tc>
          <w:tcPr>
            <w:tcW w:w="725" w:type="pct"/>
            <w:tcBorders>
              <w:top w:val="nil"/>
              <w:left w:val="nil"/>
              <w:bottom w:val="nil"/>
              <w:right w:val="single" w:color="auto" w:sz="4" w:space="0"/>
            </w:tcBorders>
            <w:vAlign w:val="center"/>
          </w:tcPr>
          <w:p w14:paraId="614AF86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221AB85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7EDBDAD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X≥300</w:t>
            </w:r>
          </w:p>
        </w:tc>
        <w:tc>
          <w:tcPr>
            <w:tcW w:w="901" w:type="pct"/>
            <w:tcBorders>
              <w:top w:val="nil"/>
              <w:left w:val="nil"/>
              <w:bottom w:val="nil"/>
              <w:right w:val="single" w:color="auto" w:sz="4" w:space="0"/>
            </w:tcBorders>
            <w:vAlign w:val="center"/>
          </w:tcPr>
          <w:p w14:paraId="05531F6E">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755" w:type="pct"/>
            <w:tcBorders>
              <w:top w:val="nil"/>
              <w:left w:val="nil"/>
              <w:bottom w:val="nil"/>
              <w:right w:val="single" w:color="auto" w:sz="4" w:space="0"/>
            </w:tcBorders>
            <w:vAlign w:val="center"/>
          </w:tcPr>
          <w:p w14:paraId="6D93CC1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10≤X＜100</w:t>
            </w:r>
          </w:p>
        </w:tc>
        <w:tc>
          <w:tcPr>
            <w:tcW w:w="525" w:type="pct"/>
            <w:tcBorders>
              <w:top w:val="nil"/>
              <w:left w:val="nil"/>
              <w:bottom w:val="nil"/>
              <w:right w:val="nil"/>
            </w:tcBorders>
            <w:vAlign w:val="center"/>
          </w:tcPr>
          <w:p w14:paraId="55508D3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r w14:paraId="0513F827">
        <w:tblPrEx>
          <w:tblCellMar>
            <w:top w:w="0" w:type="dxa"/>
            <w:left w:w="108" w:type="dxa"/>
            <w:bottom w:w="0" w:type="dxa"/>
            <w:right w:w="108" w:type="dxa"/>
          </w:tblCellMar>
        </w:tblPrEx>
        <w:trPr>
          <w:trHeight w:val="524" w:hRule="exact"/>
          <w:jc w:val="center"/>
        </w:trPr>
        <w:tc>
          <w:tcPr>
            <w:tcW w:w="1119" w:type="pct"/>
            <w:vMerge w:val="continue"/>
            <w:tcBorders>
              <w:top w:val="nil"/>
              <w:left w:val="nil"/>
              <w:bottom w:val="single" w:color="auto" w:sz="4" w:space="0"/>
              <w:right w:val="single" w:color="auto" w:sz="4" w:space="0"/>
            </w:tcBorders>
            <w:vAlign w:val="center"/>
          </w:tcPr>
          <w:p w14:paraId="42862824">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4B35133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0BD8C2D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5BB2E00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901" w:type="pct"/>
            <w:tcBorders>
              <w:top w:val="nil"/>
              <w:left w:val="nil"/>
              <w:bottom w:val="single" w:color="auto" w:sz="4" w:space="0"/>
              <w:right w:val="single" w:color="auto" w:sz="4" w:space="0"/>
            </w:tcBorders>
            <w:vAlign w:val="center"/>
          </w:tcPr>
          <w:p w14:paraId="075ACB1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755" w:type="pct"/>
            <w:tcBorders>
              <w:top w:val="nil"/>
              <w:left w:val="nil"/>
              <w:bottom w:val="single" w:color="auto" w:sz="4" w:space="0"/>
              <w:right w:val="single" w:color="auto" w:sz="4" w:space="0"/>
            </w:tcBorders>
            <w:vAlign w:val="center"/>
          </w:tcPr>
          <w:p w14:paraId="102D3C2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100≤Y＜2000</w:t>
            </w:r>
          </w:p>
        </w:tc>
        <w:tc>
          <w:tcPr>
            <w:tcW w:w="525" w:type="pct"/>
            <w:tcBorders>
              <w:top w:val="nil"/>
              <w:left w:val="nil"/>
              <w:bottom w:val="single" w:color="auto" w:sz="4" w:space="0"/>
              <w:right w:val="nil"/>
            </w:tcBorders>
            <w:vAlign w:val="center"/>
          </w:tcPr>
          <w:p w14:paraId="3104676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39BF34B0">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69715428">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餐饮业</w:t>
            </w:r>
          </w:p>
        </w:tc>
        <w:tc>
          <w:tcPr>
            <w:tcW w:w="725" w:type="pct"/>
            <w:tcBorders>
              <w:top w:val="nil"/>
              <w:left w:val="nil"/>
              <w:bottom w:val="nil"/>
              <w:right w:val="single" w:color="auto" w:sz="4" w:space="0"/>
            </w:tcBorders>
            <w:vAlign w:val="center"/>
          </w:tcPr>
          <w:p w14:paraId="0AFA4DF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2930AFB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4A70A59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X≥300</w:t>
            </w:r>
          </w:p>
        </w:tc>
        <w:tc>
          <w:tcPr>
            <w:tcW w:w="901" w:type="pct"/>
            <w:tcBorders>
              <w:top w:val="nil"/>
              <w:left w:val="nil"/>
              <w:bottom w:val="nil"/>
              <w:right w:val="single" w:color="auto" w:sz="4" w:space="0"/>
            </w:tcBorders>
            <w:vAlign w:val="center"/>
          </w:tcPr>
          <w:p w14:paraId="43D68ECF">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755" w:type="pct"/>
            <w:tcBorders>
              <w:top w:val="nil"/>
              <w:left w:val="nil"/>
              <w:bottom w:val="nil"/>
              <w:right w:val="single" w:color="auto" w:sz="4" w:space="0"/>
            </w:tcBorders>
            <w:vAlign w:val="center"/>
          </w:tcPr>
          <w:p w14:paraId="1846D77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10≤X＜100</w:t>
            </w:r>
          </w:p>
        </w:tc>
        <w:tc>
          <w:tcPr>
            <w:tcW w:w="525" w:type="pct"/>
            <w:tcBorders>
              <w:top w:val="nil"/>
              <w:left w:val="nil"/>
              <w:bottom w:val="nil"/>
              <w:right w:val="nil"/>
            </w:tcBorders>
            <w:vAlign w:val="center"/>
          </w:tcPr>
          <w:p w14:paraId="479D0C0B">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r w14:paraId="0A5339CC">
        <w:tblPrEx>
          <w:tblCellMar>
            <w:top w:w="0" w:type="dxa"/>
            <w:left w:w="108" w:type="dxa"/>
            <w:bottom w:w="0" w:type="dxa"/>
            <w:right w:w="108" w:type="dxa"/>
          </w:tblCellMar>
        </w:tblPrEx>
        <w:trPr>
          <w:trHeight w:val="578" w:hRule="exact"/>
          <w:jc w:val="center"/>
        </w:trPr>
        <w:tc>
          <w:tcPr>
            <w:tcW w:w="1119" w:type="pct"/>
            <w:vMerge w:val="continue"/>
            <w:tcBorders>
              <w:top w:val="nil"/>
              <w:left w:val="nil"/>
              <w:bottom w:val="single" w:color="auto" w:sz="4" w:space="0"/>
              <w:right w:val="single" w:color="auto" w:sz="4" w:space="0"/>
            </w:tcBorders>
            <w:vAlign w:val="center"/>
          </w:tcPr>
          <w:p w14:paraId="5B85496D">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658A2834">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7C169E9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2E63CC5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901" w:type="pct"/>
            <w:tcBorders>
              <w:top w:val="nil"/>
              <w:left w:val="nil"/>
              <w:bottom w:val="single" w:color="auto" w:sz="4" w:space="0"/>
              <w:right w:val="single" w:color="auto" w:sz="4" w:space="0"/>
            </w:tcBorders>
            <w:vAlign w:val="center"/>
          </w:tcPr>
          <w:p w14:paraId="3A7E947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755" w:type="pct"/>
            <w:tcBorders>
              <w:top w:val="nil"/>
              <w:left w:val="nil"/>
              <w:bottom w:val="single" w:color="auto" w:sz="4" w:space="0"/>
              <w:right w:val="single" w:color="auto" w:sz="4" w:space="0"/>
            </w:tcBorders>
            <w:vAlign w:val="center"/>
          </w:tcPr>
          <w:p w14:paraId="5E66EBB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100≤Y＜2000</w:t>
            </w:r>
          </w:p>
        </w:tc>
        <w:tc>
          <w:tcPr>
            <w:tcW w:w="525" w:type="pct"/>
            <w:tcBorders>
              <w:top w:val="nil"/>
              <w:left w:val="nil"/>
              <w:bottom w:val="single" w:color="auto" w:sz="4" w:space="0"/>
              <w:right w:val="nil"/>
            </w:tcBorders>
            <w:vAlign w:val="center"/>
          </w:tcPr>
          <w:p w14:paraId="3272F6C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780E0280">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vAlign w:val="center"/>
          </w:tcPr>
          <w:p w14:paraId="517D1778">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信息传输业 *</w:t>
            </w:r>
          </w:p>
        </w:tc>
        <w:tc>
          <w:tcPr>
            <w:tcW w:w="725" w:type="pct"/>
            <w:tcBorders>
              <w:top w:val="nil"/>
              <w:left w:val="nil"/>
              <w:bottom w:val="nil"/>
              <w:right w:val="single" w:color="auto" w:sz="4" w:space="0"/>
            </w:tcBorders>
            <w:vAlign w:val="center"/>
          </w:tcPr>
          <w:p w14:paraId="6E84CFC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6965C85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20628DF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X≥2000</w:t>
            </w:r>
          </w:p>
        </w:tc>
        <w:tc>
          <w:tcPr>
            <w:tcW w:w="901" w:type="pct"/>
            <w:tcBorders>
              <w:top w:val="nil"/>
              <w:left w:val="nil"/>
              <w:bottom w:val="nil"/>
              <w:right w:val="single" w:color="auto" w:sz="4" w:space="0"/>
            </w:tcBorders>
            <w:vAlign w:val="center"/>
          </w:tcPr>
          <w:p w14:paraId="5BBB957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100≤X＜2000</w:t>
            </w:r>
          </w:p>
        </w:tc>
        <w:tc>
          <w:tcPr>
            <w:tcW w:w="755" w:type="pct"/>
            <w:tcBorders>
              <w:top w:val="nil"/>
              <w:left w:val="nil"/>
              <w:bottom w:val="nil"/>
              <w:right w:val="single" w:color="auto" w:sz="4" w:space="0"/>
            </w:tcBorders>
            <w:vAlign w:val="center"/>
          </w:tcPr>
          <w:p w14:paraId="3F166EA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10≤X＜100</w:t>
            </w:r>
          </w:p>
        </w:tc>
        <w:tc>
          <w:tcPr>
            <w:tcW w:w="525" w:type="pct"/>
            <w:tcBorders>
              <w:top w:val="nil"/>
              <w:left w:val="nil"/>
              <w:bottom w:val="nil"/>
              <w:right w:val="nil"/>
            </w:tcBorders>
            <w:vAlign w:val="center"/>
          </w:tcPr>
          <w:p w14:paraId="745ED48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r w14:paraId="0834982A">
        <w:tblPrEx>
          <w:tblCellMar>
            <w:top w:w="0" w:type="dxa"/>
            <w:left w:w="108" w:type="dxa"/>
            <w:bottom w:w="0" w:type="dxa"/>
            <w:right w:w="108" w:type="dxa"/>
          </w:tblCellMar>
        </w:tblPrEx>
        <w:trPr>
          <w:trHeight w:val="523" w:hRule="exact"/>
          <w:jc w:val="center"/>
        </w:trPr>
        <w:tc>
          <w:tcPr>
            <w:tcW w:w="1119" w:type="pct"/>
            <w:vMerge w:val="continue"/>
            <w:tcBorders>
              <w:top w:val="nil"/>
              <w:left w:val="nil"/>
              <w:bottom w:val="single" w:color="auto" w:sz="4" w:space="0"/>
              <w:right w:val="single" w:color="auto" w:sz="4" w:space="0"/>
            </w:tcBorders>
            <w:vAlign w:val="center"/>
          </w:tcPr>
          <w:p w14:paraId="697F4348">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04CF1E6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383B943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40A1A00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Y≥100000</w:t>
            </w:r>
          </w:p>
        </w:tc>
        <w:tc>
          <w:tcPr>
            <w:tcW w:w="901" w:type="pct"/>
            <w:tcBorders>
              <w:top w:val="nil"/>
              <w:left w:val="nil"/>
              <w:bottom w:val="single" w:color="auto" w:sz="4" w:space="0"/>
              <w:right w:val="single" w:color="auto" w:sz="4" w:space="0"/>
            </w:tcBorders>
            <w:vAlign w:val="center"/>
          </w:tcPr>
          <w:p w14:paraId="50BFBD3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1000≤Y＜100000</w:t>
            </w:r>
          </w:p>
        </w:tc>
        <w:tc>
          <w:tcPr>
            <w:tcW w:w="755" w:type="pct"/>
            <w:tcBorders>
              <w:top w:val="nil"/>
              <w:left w:val="nil"/>
              <w:bottom w:val="single" w:color="auto" w:sz="4" w:space="0"/>
              <w:right w:val="single" w:color="auto" w:sz="4" w:space="0"/>
            </w:tcBorders>
            <w:vAlign w:val="center"/>
          </w:tcPr>
          <w:p w14:paraId="4588062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100≤Y＜1000</w:t>
            </w:r>
          </w:p>
        </w:tc>
        <w:tc>
          <w:tcPr>
            <w:tcW w:w="525" w:type="pct"/>
            <w:tcBorders>
              <w:top w:val="nil"/>
              <w:left w:val="nil"/>
              <w:bottom w:val="single" w:color="auto" w:sz="4" w:space="0"/>
              <w:right w:val="nil"/>
            </w:tcBorders>
            <w:vAlign w:val="center"/>
          </w:tcPr>
          <w:p w14:paraId="223401D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0AB3001A">
        <w:tblPrEx>
          <w:tblCellMar>
            <w:top w:w="0" w:type="dxa"/>
            <w:left w:w="108" w:type="dxa"/>
            <w:bottom w:w="0" w:type="dxa"/>
            <w:right w:w="108" w:type="dxa"/>
          </w:tblCellMar>
        </w:tblPrEx>
        <w:trPr>
          <w:trHeight w:val="340" w:hRule="exact"/>
          <w:jc w:val="center"/>
        </w:trPr>
        <w:tc>
          <w:tcPr>
            <w:tcW w:w="1119" w:type="pct"/>
            <w:vMerge w:val="restart"/>
            <w:tcBorders>
              <w:top w:val="single" w:color="auto" w:sz="4" w:space="0"/>
              <w:left w:val="nil"/>
              <w:bottom w:val="single" w:color="auto" w:sz="4" w:space="0"/>
              <w:right w:val="single" w:color="auto" w:sz="4" w:space="0"/>
            </w:tcBorders>
            <w:vAlign w:val="center"/>
          </w:tcPr>
          <w:p w14:paraId="66648066">
            <w:pPr>
              <w:keepNext w:val="0"/>
              <w:keepLines w:val="0"/>
              <w:widowControl/>
              <w:suppressLineNumbers w:val="0"/>
              <w:spacing w:before="0" w:beforeAutospacing="0" w:after="0" w:afterAutospacing="0" w:line="240" w:lineRule="exact"/>
              <w:ind w:left="0" w:right="0"/>
              <w:rPr>
                <w:rFonts w:hint="default" w:ascii="宋体" w:hAnsi="宋体" w:cs="宋体"/>
                <w:color w:val="000000"/>
                <w:spacing w:val="-12"/>
                <w:sz w:val="18"/>
                <w:szCs w:val="18"/>
                <w:highlight w:val="none"/>
              </w:rPr>
            </w:pPr>
            <w:r>
              <w:rPr>
                <w:rFonts w:hint="eastAsia" w:ascii="宋体" w:hAnsi="宋体" w:cs="宋体"/>
                <w:color w:val="000000"/>
                <w:spacing w:val="-12"/>
                <w:sz w:val="18"/>
                <w:szCs w:val="18"/>
                <w:highlight w:val="none"/>
              </w:rPr>
              <w:t>软件和信息技术服</w:t>
            </w:r>
            <w:r>
              <w:rPr>
                <w:rFonts w:hint="eastAsia" w:ascii="宋体" w:hAnsi="宋体" w:cs="宋体"/>
                <w:color w:val="000000"/>
                <w:sz w:val="18"/>
                <w:szCs w:val="18"/>
                <w:highlight w:val="none"/>
              </w:rPr>
              <w:t>务业</w:t>
            </w:r>
          </w:p>
        </w:tc>
        <w:tc>
          <w:tcPr>
            <w:tcW w:w="725" w:type="pct"/>
            <w:tcBorders>
              <w:top w:val="nil"/>
              <w:left w:val="nil"/>
              <w:bottom w:val="nil"/>
              <w:right w:val="single" w:color="auto" w:sz="4" w:space="0"/>
            </w:tcBorders>
            <w:vAlign w:val="center"/>
          </w:tcPr>
          <w:p w14:paraId="1FBE547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204940D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167E0D50">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X≥300</w:t>
            </w:r>
          </w:p>
        </w:tc>
        <w:tc>
          <w:tcPr>
            <w:tcW w:w="901" w:type="pct"/>
            <w:tcBorders>
              <w:top w:val="nil"/>
              <w:left w:val="nil"/>
              <w:bottom w:val="nil"/>
              <w:right w:val="single" w:color="auto" w:sz="4" w:space="0"/>
            </w:tcBorders>
            <w:vAlign w:val="center"/>
          </w:tcPr>
          <w:p w14:paraId="3BD0C1C0">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755" w:type="pct"/>
            <w:tcBorders>
              <w:top w:val="nil"/>
              <w:left w:val="nil"/>
              <w:bottom w:val="nil"/>
              <w:right w:val="single" w:color="auto" w:sz="4" w:space="0"/>
            </w:tcBorders>
            <w:vAlign w:val="center"/>
          </w:tcPr>
          <w:p w14:paraId="2F91619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10≤X＜100</w:t>
            </w:r>
          </w:p>
        </w:tc>
        <w:tc>
          <w:tcPr>
            <w:tcW w:w="525" w:type="pct"/>
            <w:tcBorders>
              <w:top w:val="nil"/>
              <w:left w:val="nil"/>
              <w:bottom w:val="nil"/>
              <w:right w:val="nil"/>
            </w:tcBorders>
            <w:vAlign w:val="center"/>
          </w:tcPr>
          <w:p w14:paraId="1482D7F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r w14:paraId="181F204C">
        <w:tblPrEx>
          <w:tblCellMar>
            <w:top w:w="0" w:type="dxa"/>
            <w:left w:w="108" w:type="dxa"/>
            <w:bottom w:w="0" w:type="dxa"/>
            <w:right w:w="108" w:type="dxa"/>
          </w:tblCellMar>
        </w:tblPrEx>
        <w:trPr>
          <w:trHeight w:val="507" w:hRule="exact"/>
          <w:jc w:val="center"/>
        </w:trPr>
        <w:tc>
          <w:tcPr>
            <w:tcW w:w="1119" w:type="pct"/>
            <w:vMerge w:val="continue"/>
            <w:tcBorders>
              <w:top w:val="single" w:color="auto" w:sz="4" w:space="0"/>
              <w:left w:val="nil"/>
              <w:bottom w:val="single" w:color="auto" w:sz="4" w:space="0"/>
              <w:right w:val="single" w:color="auto" w:sz="4" w:space="0"/>
            </w:tcBorders>
            <w:vAlign w:val="center"/>
          </w:tcPr>
          <w:p w14:paraId="390F8E31">
            <w:pPr>
              <w:keepNext w:val="0"/>
              <w:keepLines w:val="0"/>
              <w:widowControl/>
              <w:suppressLineNumbers w:val="0"/>
              <w:spacing w:before="0" w:beforeAutospacing="0" w:after="0" w:afterAutospacing="0"/>
              <w:ind w:left="0" w:right="0"/>
              <w:rPr>
                <w:rFonts w:hint="default" w:ascii="宋体" w:hAnsi="宋体" w:cs="宋体"/>
                <w:color w:val="000000"/>
                <w:spacing w:val="-12"/>
                <w:sz w:val="18"/>
                <w:szCs w:val="18"/>
                <w:highlight w:val="none"/>
              </w:rPr>
            </w:pPr>
          </w:p>
        </w:tc>
        <w:tc>
          <w:tcPr>
            <w:tcW w:w="725" w:type="pct"/>
            <w:tcBorders>
              <w:top w:val="nil"/>
              <w:left w:val="nil"/>
              <w:bottom w:val="single" w:color="auto" w:sz="4" w:space="0"/>
              <w:right w:val="single" w:color="auto" w:sz="4" w:space="0"/>
            </w:tcBorders>
            <w:vAlign w:val="center"/>
          </w:tcPr>
          <w:p w14:paraId="7B3FBA8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0B479FEB">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6EABC8D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901" w:type="pct"/>
            <w:tcBorders>
              <w:top w:val="nil"/>
              <w:left w:val="nil"/>
              <w:bottom w:val="single" w:color="auto" w:sz="4" w:space="0"/>
              <w:right w:val="single" w:color="auto" w:sz="4" w:space="0"/>
            </w:tcBorders>
            <w:vAlign w:val="center"/>
          </w:tcPr>
          <w:p w14:paraId="412F5E3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1000≤Y＜10000</w:t>
            </w:r>
          </w:p>
        </w:tc>
        <w:tc>
          <w:tcPr>
            <w:tcW w:w="755" w:type="pct"/>
            <w:tcBorders>
              <w:top w:val="nil"/>
              <w:left w:val="nil"/>
              <w:bottom w:val="single" w:color="auto" w:sz="4" w:space="0"/>
              <w:right w:val="single" w:color="auto" w:sz="4" w:space="0"/>
            </w:tcBorders>
            <w:vAlign w:val="center"/>
          </w:tcPr>
          <w:p w14:paraId="69D8656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50≤Y＜1000</w:t>
            </w:r>
          </w:p>
        </w:tc>
        <w:tc>
          <w:tcPr>
            <w:tcW w:w="525" w:type="pct"/>
            <w:tcBorders>
              <w:top w:val="nil"/>
              <w:left w:val="nil"/>
              <w:bottom w:val="single" w:color="auto" w:sz="4" w:space="0"/>
              <w:right w:val="nil"/>
            </w:tcBorders>
            <w:vAlign w:val="center"/>
          </w:tcPr>
          <w:p w14:paraId="743F311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Y＜50</w:t>
            </w:r>
          </w:p>
        </w:tc>
      </w:tr>
      <w:tr w14:paraId="2B3A9278">
        <w:tblPrEx>
          <w:tblCellMar>
            <w:top w:w="0" w:type="dxa"/>
            <w:left w:w="108" w:type="dxa"/>
            <w:bottom w:w="0" w:type="dxa"/>
            <w:right w:w="108" w:type="dxa"/>
          </w:tblCellMar>
        </w:tblPrEx>
        <w:trPr>
          <w:trHeight w:val="477" w:hRule="exact"/>
          <w:jc w:val="center"/>
        </w:trPr>
        <w:tc>
          <w:tcPr>
            <w:tcW w:w="1119" w:type="pct"/>
            <w:vMerge w:val="restart"/>
            <w:tcBorders>
              <w:top w:val="nil"/>
              <w:left w:val="nil"/>
              <w:bottom w:val="single" w:color="auto" w:sz="4" w:space="0"/>
              <w:right w:val="single" w:color="auto" w:sz="4" w:space="0"/>
            </w:tcBorders>
            <w:vAlign w:val="center"/>
          </w:tcPr>
          <w:p w14:paraId="537AAFF8">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房地产开发经营</w:t>
            </w:r>
          </w:p>
        </w:tc>
        <w:tc>
          <w:tcPr>
            <w:tcW w:w="725" w:type="pct"/>
            <w:tcBorders>
              <w:top w:val="nil"/>
              <w:left w:val="nil"/>
              <w:bottom w:val="nil"/>
              <w:right w:val="single" w:color="auto" w:sz="4" w:space="0"/>
            </w:tcBorders>
            <w:vAlign w:val="center"/>
          </w:tcPr>
          <w:p w14:paraId="4E03BCA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nil"/>
              <w:right w:val="single" w:color="auto" w:sz="4" w:space="0"/>
            </w:tcBorders>
            <w:vAlign w:val="center"/>
          </w:tcPr>
          <w:p w14:paraId="77B35F8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nil"/>
              <w:right w:val="single" w:color="auto" w:sz="4" w:space="0"/>
            </w:tcBorders>
            <w:vAlign w:val="center"/>
          </w:tcPr>
          <w:p w14:paraId="2D69560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Y≥200000</w:t>
            </w:r>
          </w:p>
        </w:tc>
        <w:tc>
          <w:tcPr>
            <w:tcW w:w="901" w:type="pct"/>
            <w:tcBorders>
              <w:top w:val="nil"/>
              <w:left w:val="nil"/>
              <w:bottom w:val="nil"/>
              <w:right w:val="single" w:color="auto" w:sz="4" w:space="0"/>
            </w:tcBorders>
            <w:vAlign w:val="center"/>
          </w:tcPr>
          <w:p w14:paraId="42A617B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1000≤Y＜200000</w:t>
            </w:r>
          </w:p>
        </w:tc>
        <w:tc>
          <w:tcPr>
            <w:tcW w:w="755" w:type="pct"/>
            <w:tcBorders>
              <w:top w:val="nil"/>
              <w:left w:val="nil"/>
              <w:bottom w:val="nil"/>
              <w:right w:val="single" w:color="auto" w:sz="4" w:space="0"/>
            </w:tcBorders>
            <w:vAlign w:val="center"/>
          </w:tcPr>
          <w:p w14:paraId="75A9256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100≤Y＜1000</w:t>
            </w:r>
          </w:p>
        </w:tc>
        <w:tc>
          <w:tcPr>
            <w:tcW w:w="525" w:type="pct"/>
            <w:tcBorders>
              <w:top w:val="nil"/>
              <w:left w:val="nil"/>
              <w:bottom w:val="nil"/>
              <w:right w:val="nil"/>
            </w:tcBorders>
            <w:vAlign w:val="center"/>
          </w:tcPr>
          <w:p w14:paraId="2786E9A1">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Y＜100</w:t>
            </w:r>
          </w:p>
        </w:tc>
      </w:tr>
      <w:tr w14:paraId="4AFF9C9A">
        <w:tblPrEx>
          <w:tblCellMar>
            <w:top w:w="0" w:type="dxa"/>
            <w:left w:w="108" w:type="dxa"/>
            <w:bottom w:w="0" w:type="dxa"/>
            <w:right w:w="108" w:type="dxa"/>
          </w:tblCellMar>
        </w:tblPrEx>
        <w:trPr>
          <w:trHeight w:val="507" w:hRule="exact"/>
          <w:jc w:val="center"/>
        </w:trPr>
        <w:tc>
          <w:tcPr>
            <w:tcW w:w="1119" w:type="pct"/>
            <w:vMerge w:val="continue"/>
            <w:tcBorders>
              <w:top w:val="nil"/>
              <w:left w:val="nil"/>
              <w:bottom w:val="single" w:color="auto" w:sz="4" w:space="0"/>
              <w:right w:val="single" w:color="auto" w:sz="4" w:space="0"/>
            </w:tcBorders>
            <w:vAlign w:val="center"/>
          </w:tcPr>
          <w:p w14:paraId="097C9135">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251BC27F">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375" w:type="pct"/>
            <w:tcBorders>
              <w:top w:val="nil"/>
              <w:left w:val="nil"/>
              <w:bottom w:val="single" w:color="auto" w:sz="4" w:space="0"/>
              <w:right w:val="single" w:color="auto" w:sz="4" w:space="0"/>
            </w:tcBorders>
            <w:vAlign w:val="center"/>
          </w:tcPr>
          <w:p w14:paraId="6351AA1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559FBE8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Z≥10000</w:t>
            </w:r>
          </w:p>
        </w:tc>
        <w:tc>
          <w:tcPr>
            <w:tcW w:w="901" w:type="pct"/>
            <w:tcBorders>
              <w:top w:val="nil"/>
              <w:left w:val="nil"/>
              <w:bottom w:val="single" w:color="auto" w:sz="4" w:space="0"/>
              <w:right w:val="single" w:color="auto" w:sz="4" w:space="0"/>
            </w:tcBorders>
            <w:vAlign w:val="center"/>
          </w:tcPr>
          <w:p w14:paraId="787A054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5000≤Z＜10000</w:t>
            </w:r>
          </w:p>
        </w:tc>
        <w:tc>
          <w:tcPr>
            <w:tcW w:w="755" w:type="pct"/>
            <w:tcBorders>
              <w:top w:val="nil"/>
              <w:left w:val="nil"/>
              <w:bottom w:val="single" w:color="auto" w:sz="4" w:space="0"/>
              <w:right w:val="single" w:color="auto" w:sz="4" w:space="0"/>
            </w:tcBorders>
            <w:vAlign w:val="center"/>
          </w:tcPr>
          <w:p w14:paraId="001AB80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2000≤Z＜5000</w:t>
            </w:r>
          </w:p>
        </w:tc>
        <w:tc>
          <w:tcPr>
            <w:tcW w:w="525" w:type="pct"/>
            <w:tcBorders>
              <w:top w:val="nil"/>
              <w:left w:val="nil"/>
              <w:bottom w:val="single" w:color="auto" w:sz="4" w:space="0"/>
              <w:right w:val="nil"/>
            </w:tcBorders>
            <w:vAlign w:val="center"/>
          </w:tcPr>
          <w:p w14:paraId="314070F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Z＜2000</w:t>
            </w:r>
          </w:p>
        </w:tc>
      </w:tr>
      <w:tr w14:paraId="134FBD7C">
        <w:tblPrEx>
          <w:tblCellMar>
            <w:top w:w="0" w:type="dxa"/>
            <w:left w:w="108" w:type="dxa"/>
            <w:bottom w:w="0" w:type="dxa"/>
            <w:right w:w="108" w:type="dxa"/>
          </w:tblCellMar>
        </w:tblPrEx>
        <w:trPr>
          <w:trHeight w:val="340" w:hRule="exact"/>
          <w:jc w:val="center"/>
        </w:trPr>
        <w:tc>
          <w:tcPr>
            <w:tcW w:w="1119" w:type="pct"/>
            <w:vMerge w:val="restart"/>
            <w:tcBorders>
              <w:top w:val="nil"/>
              <w:left w:val="nil"/>
              <w:bottom w:val="single" w:color="auto" w:sz="4" w:space="0"/>
              <w:right w:val="single" w:color="auto" w:sz="4" w:space="0"/>
            </w:tcBorders>
            <w:vAlign w:val="center"/>
          </w:tcPr>
          <w:p w14:paraId="697AC851">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物业管理</w:t>
            </w:r>
          </w:p>
        </w:tc>
        <w:tc>
          <w:tcPr>
            <w:tcW w:w="725" w:type="pct"/>
            <w:tcBorders>
              <w:top w:val="nil"/>
              <w:left w:val="nil"/>
              <w:bottom w:val="nil"/>
              <w:right w:val="single" w:color="auto" w:sz="4" w:space="0"/>
            </w:tcBorders>
            <w:vAlign w:val="center"/>
          </w:tcPr>
          <w:p w14:paraId="2DE2D1D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3B398E9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4E29DA7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X≥1000</w:t>
            </w:r>
          </w:p>
        </w:tc>
        <w:tc>
          <w:tcPr>
            <w:tcW w:w="901" w:type="pct"/>
            <w:tcBorders>
              <w:top w:val="nil"/>
              <w:left w:val="nil"/>
              <w:bottom w:val="nil"/>
              <w:right w:val="single" w:color="auto" w:sz="4" w:space="0"/>
            </w:tcBorders>
            <w:vAlign w:val="center"/>
          </w:tcPr>
          <w:p w14:paraId="551D2CB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755" w:type="pct"/>
            <w:tcBorders>
              <w:top w:val="nil"/>
              <w:left w:val="nil"/>
              <w:bottom w:val="nil"/>
              <w:right w:val="single" w:color="auto" w:sz="4" w:space="0"/>
            </w:tcBorders>
            <w:vAlign w:val="center"/>
          </w:tcPr>
          <w:p w14:paraId="4F1B4289">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525" w:type="pct"/>
            <w:tcBorders>
              <w:top w:val="nil"/>
              <w:left w:val="nil"/>
              <w:bottom w:val="nil"/>
              <w:right w:val="nil"/>
            </w:tcBorders>
            <w:vAlign w:val="center"/>
          </w:tcPr>
          <w:p w14:paraId="5A05165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X＜100</w:t>
            </w:r>
          </w:p>
        </w:tc>
      </w:tr>
      <w:tr w14:paraId="6D737182">
        <w:tblPrEx>
          <w:tblCellMar>
            <w:top w:w="0" w:type="dxa"/>
            <w:left w:w="108" w:type="dxa"/>
            <w:bottom w:w="0" w:type="dxa"/>
            <w:right w:w="108" w:type="dxa"/>
          </w:tblCellMar>
        </w:tblPrEx>
        <w:trPr>
          <w:trHeight w:val="507" w:hRule="exact"/>
          <w:jc w:val="center"/>
        </w:trPr>
        <w:tc>
          <w:tcPr>
            <w:tcW w:w="1119" w:type="pct"/>
            <w:vMerge w:val="continue"/>
            <w:tcBorders>
              <w:top w:val="nil"/>
              <w:left w:val="nil"/>
              <w:bottom w:val="single" w:color="auto" w:sz="4" w:space="0"/>
              <w:right w:val="single" w:color="auto" w:sz="4" w:space="0"/>
            </w:tcBorders>
            <w:vAlign w:val="center"/>
          </w:tcPr>
          <w:p w14:paraId="72CF2AD9">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127BBAB8">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375" w:type="pct"/>
            <w:tcBorders>
              <w:top w:val="nil"/>
              <w:left w:val="nil"/>
              <w:bottom w:val="single" w:color="auto" w:sz="4" w:space="0"/>
              <w:right w:val="single" w:color="auto" w:sz="4" w:space="0"/>
            </w:tcBorders>
            <w:vAlign w:val="center"/>
          </w:tcPr>
          <w:p w14:paraId="2AA3AE9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186CFAD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Y≥5000</w:t>
            </w:r>
          </w:p>
        </w:tc>
        <w:tc>
          <w:tcPr>
            <w:tcW w:w="901" w:type="pct"/>
            <w:tcBorders>
              <w:top w:val="nil"/>
              <w:left w:val="nil"/>
              <w:bottom w:val="single" w:color="auto" w:sz="4" w:space="0"/>
              <w:right w:val="single" w:color="auto" w:sz="4" w:space="0"/>
            </w:tcBorders>
            <w:vAlign w:val="center"/>
          </w:tcPr>
          <w:p w14:paraId="32FB1932">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1000≤Y＜5000 </w:t>
            </w:r>
          </w:p>
        </w:tc>
        <w:tc>
          <w:tcPr>
            <w:tcW w:w="755" w:type="pct"/>
            <w:tcBorders>
              <w:top w:val="nil"/>
              <w:left w:val="nil"/>
              <w:bottom w:val="single" w:color="auto" w:sz="4" w:space="0"/>
              <w:right w:val="single" w:color="auto" w:sz="4" w:space="0"/>
            </w:tcBorders>
            <w:vAlign w:val="center"/>
          </w:tcPr>
          <w:p w14:paraId="25939C7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500≤Y＜1000</w:t>
            </w:r>
          </w:p>
        </w:tc>
        <w:tc>
          <w:tcPr>
            <w:tcW w:w="525" w:type="pct"/>
            <w:tcBorders>
              <w:top w:val="nil"/>
              <w:left w:val="nil"/>
              <w:bottom w:val="single" w:color="auto" w:sz="4" w:space="0"/>
              <w:right w:val="nil"/>
            </w:tcBorders>
            <w:vAlign w:val="center"/>
          </w:tcPr>
          <w:p w14:paraId="491D1C98">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Y＜500</w:t>
            </w:r>
          </w:p>
        </w:tc>
      </w:tr>
      <w:tr w14:paraId="211A18F3">
        <w:tblPrEx>
          <w:tblCellMar>
            <w:top w:w="0" w:type="dxa"/>
            <w:left w:w="108" w:type="dxa"/>
            <w:bottom w:w="0" w:type="dxa"/>
            <w:right w:w="108" w:type="dxa"/>
          </w:tblCellMar>
        </w:tblPrEx>
        <w:trPr>
          <w:trHeight w:val="340" w:hRule="exact"/>
          <w:jc w:val="center"/>
        </w:trPr>
        <w:tc>
          <w:tcPr>
            <w:tcW w:w="1119" w:type="pct"/>
            <w:vMerge w:val="restart"/>
            <w:tcBorders>
              <w:top w:val="nil"/>
              <w:left w:val="nil"/>
              <w:bottom w:val="single" w:color="auto" w:sz="4" w:space="0"/>
              <w:right w:val="single" w:color="auto" w:sz="4" w:space="0"/>
            </w:tcBorders>
            <w:vAlign w:val="center"/>
          </w:tcPr>
          <w:p w14:paraId="7AF23DB7">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租赁和商务服务业</w:t>
            </w:r>
          </w:p>
        </w:tc>
        <w:tc>
          <w:tcPr>
            <w:tcW w:w="725" w:type="pct"/>
            <w:tcBorders>
              <w:top w:val="nil"/>
              <w:left w:val="nil"/>
              <w:bottom w:val="nil"/>
              <w:right w:val="single" w:color="auto" w:sz="4" w:space="0"/>
            </w:tcBorders>
            <w:vAlign w:val="center"/>
          </w:tcPr>
          <w:p w14:paraId="504DD327">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nil"/>
              <w:right w:val="single" w:color="auto" w:sz="4" w:space="0"/>
            </w:tcBorders>
            <w:vAlign w:val="center"/>
          </w:tcPr>
          <w:p w14:paraId="604907AE">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nil"/>
              <w:right w:val="single" w:color="auto" w:sz="4" w:space="0"/>
            </w:tcBorders>
            <w:vAlign w:val="center"/>
          </w:tcPr>
          <w:p w14:paraId="3C4BE60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X≥300</w:t>
            </w:r>
          </w:p>
        </w:tc>
        <w:tc>
          <w:tcPr>
            <w:tcW w:w="901" w:type="pct"/>
            <w:tcBorders>
              <w:top w:val="nil"/>
              <w:left w:val="nil"/>
              <w:bottom w:val="nil"/>
              <w:right w:val="single" w:color="auto" w:sz="4" w:space="0"/>
            </w:tcBorders>
            <w:vAlign w:val="center"/>
          </w:tcPr>
          <w:p w14:paraId="459D3FE4">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755" w:type="pct"/>
            <w:tcBorders>
              <w:top w:val="nil"/>
              <w:left w:val="nil"/>
              <w:bottom w:val="nil"/>
              <w:right w:val="single" w:color="auto" w:sz="4" w:space="0"/>
            </w:tcBorders>
            <w:vAlign w:val="center"/>
          </w:tcPr>
          <w:p w14:paraId="68E9F802">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10≤X＜100</w:t>
            </w:r>
          </w:p>
        </w:tc>
        <w:tc>
          <w:tcPr>
            <w:tcW w:w="525" w:type="pct"/>
            <w:tcBorders>
              <w:top w:val="nil"/>
              <w:left w:val="nil"/>
              <w:bottom w:val="nil"/>
              <w:right w:val="nil"/>
            </w:tcBorders>
            <w:vAlign w:val="center"/>
          </w:tcPr>
          <w:p w14:paraId="486B18DB">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r w14:paraId="1218A240">
        <w:tblPrEx>
          <w:tblCellMar>
            <w:top w:w="0" w:type="dxa"/>
            <w:left w:w="108" w:type="dxa"/>
            <w:bottom w:w="0" w:type="dxa"/>
            <w:right w:w="108" w:type="dxa"/>
          </w:tblCellMar>
        </w:tblPrEx>
        <w:trPr>
          <w:trHeight w:val="494" w:hRule="exact"/>
          <w:jc w:val="center"/>
        </w:trPr>
        <w:tc>
          <w:tcPr>
            <w:tcW w:w="1119" w:type="pct"/>
            <w:vMerge w:val="continue"/>
            <w:tcBorders>
              <w:top w:val="nil"/>
              <w:left w:val="nil"/>
              <w:bottom w:val="single" w:color="auto" w:sz="4" w:space="0"/>
              <w:right w:val="single" w:color="auto" w:sz="4" w:space="0"/>
            </w:tcBorders>
            <w:vAlign w:val="center"/>
          </w:tcPr>
          <w:p w14:paraId="5D86AB78">
            <w:pPr>
              <w:keepNext w:val="0"/>
              <w:keepLines w:val="0"/>
              <w:widowControl/>
              <w:suppressLineNumbers w:val="0"/>
              <w:spacing w:before="0" w:beforeAutospacing="0" w:after="0" w:afterAutospacing="0"/>
              <w:ind w:left="0" w:right="0"/>
              <w:rPr>
                <w:rFonts w:hint="default" w:ascii="宋体" w:hAnsi="宋体" w:cs="宋体"/>
                <w:color w:val="000000"/>
                <w:sz w:val="18"/>
                <w:szCs w:val="18"/>
                <w:highlight w:val="none"/>
              </w:rPr>
            </w:pPr>
          </w:p>
        </w:tc>
        <w:tc>
          <w:tcPr>
            <w:tcW w:w="725" w:type="pct"/>
            <w:tcBorders>
              <w:top w:val="nil"/>
              <w:left w:val="nil"/>
              <w:bottom w:val="single" w:color="auto" w:sz="4" w:space="0"/>
              <w:right w:val="single" w:color="auto" w:sz="4" w:space="0"/>
            </w:tcBorders>
            <w:vAlign w:val="center"/>
          </w:tcPr>
          <w:p w14:paraId="79663F84">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375" w:type="pct"/>
            <w:tcBorders>
              <w:top w:val="nil"/>
              <w:left w:val="nil"/>
              <w:bottom w:val="single" w:color="auto" w:sz="4" w:space="0"/>
              <w:right w:val="single" w:color="auto" w:sz="4" w:space="0"/>
            </w:tcBorders>
            <w:vAlign w:val="center"/>
          </w:tcPr>
          <w:p w14:paraId="53AD3C2B">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596" w:type="pct"/>
            <w:tcBorders>
              <w:top w:val="nil"/>
              <w:left w:val="nil"/>
              <w:bottom w:val="single" w:color="auto" w:sz="4" w:space="0"/>
              <w:right w:val="single" w:color="auto" w:sz="4" w:space="0"/>
            </w:tcBorders>
            <w:vAlign w:val="center"/>
          </w:tcPr>
          <w:p w14:paraId="5C6FCED3">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Z≥120000</w:t>
            </w:r>
          </w:p>
        </w:tc>
        <w:tc>
          <w:tcPr>
            <w:tcW w:w="901" w:type="pct"/>
            <w:tcBorders>
              <w:top w:val="nil"/>
              <w:left w:val="nil"/>
              <w:bottom w:val="single" w:color="auto" w:sz="4" w:space="0"/>
              <w:right w:val="single" w:color="auto" w:sz="4" w:space="0"/>
            </w:tcBorders>
            <w:vAlign w:val="center"/>
          </w:tcPr>
          <w:p w14:paraId="2444221F">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8000≤Z＜120000</w:t>
            </w:r>
          </w:p>
        </w:tc>
        <w:tc>
          <w:tcPr>
            <w:tcW w:w="755" w:type="pct"/>
            <w:tcBorders>
              <w:top w:val="nil"/>
              <w:left w:val="nil"/>
              <w:bottom w:val="single" w:color="auto" w:sz="4" w:space="0"/>
              <w:right w:val="single" w:color="auto" w:sz="4" w:space="0"/>
            </w:tcBorders>
            <w:vAlign w:val="center"/>
          </w:tcPr>
          <w:p w14:paraId="3884242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100≤Z＜8000</w:t>
            </w:r>
          </w:p>
        </w:tc>
        <w:tc>
          <w:tcPr>
            <w:tcW w:w="525" w:type="pct"/>
            <w:tcBorders>
              <w:top w:val="nil"/>
              <w:left w:val="nil"/>
              <w:bottom w:val="single" w:color="auto" w:sz="4" w:space="0"/>
              <w:right w:val="nil"/>
            </w:tcBorders>
            <w:vAlign w:val="center"/>
          </w:tcPr>
          <w:p w14:paraId="0B19A1C4">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Z＜100</w:t>
            </w:r>
          </w:p>
        </w:tc>
      </w:tr>
      <w:tr w14:paraId="13888238">
        <w:tblPrEx>
          <w:tblCellMar>
            <w:top w:w="0" w:type="dxa"/>
            <w:left w:w="108" w:type="dxa"/>
            <w:bottom w:w="0" w:type="dxa"/>
            <w:right w:w="108" w:type="dxa"/>
          </w:tblCellMar>
        </w:tblPrEx>
        <w:trPr>
          <w:trHeight w:val="397" w:hRule="exact"/>
          <w:jc w:val="center"/>
        </w:trPr>
        <w:tc>
          <w:tcPr>
            <w:tcW w:w="1119" w:type="pct"/>
            <w:tcBorders>
              <w:top w:val="nil"/>
              <w:left w:val="nil"/>
              <w:bottom w:val="single" w:color="auto" w:sz="4" w:space="0"/>
              <w:right w:val="single" w:color="auto" w:sz="4" w:space="0"/>
            </w:tcBorders>
            <w:vAlign w:val="center"/>
          </w:tcPr>
          <w:p w14:paraId="28203BFD">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highlight w:val="none"/>
              </w:rPr>
            </w:pPr>
            <w:r>
              <w:rPr>
                <w:rFonts w:hint="eastAsia" w:ascii="宋体" w:hAnsi="宋体" w:cs="宋体"/>
                <w:color w:val="000000"/>
                <w:sz w:val="18"/>
                <w:szCs w:val="18"/>
                <w:highlight w:val="none"/>
              </w:rPr>
              <w:t>其他未列明行业 *</w:t>
            </w:r>
          </w:p>
        </w:tc>
        <w:tc>
          <w:tcPr>
            <w:tcW w:w="725" w:type="pct"/>
            <w:tcBorders>
              <w:top w:val="nil"/>
              <w:left w:val="nil"/>
              <w:bottom w:val="single" w:color="auto" w:sz="4" w:space="0"/>
              <w:right w:val="single" w:color="auto" w:sz="4" w:space="0"/>
            </w:tcBorders>
            <w:vAlign w:val="center"/>
          </w:tcPr>
          <w:p w14:paraId="5099E69A">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375" w:type="pct"/>
            <w:tcBorders>
              <w:top w:val="nil"/>
              <w:left w:val="nil"/>
              <w:bottom w:val="single" w:color="auto" w:sz="4" w:space="0"/>
              <w:right w:val="single" w:color="auto" w:sz="4" w:space="0"/>
            </w:tcBorders>
            <w:vAlign w:val="center"/>
          </w:tcPr>
          <w:p w14:paraId="7FE4AB46">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人</w:t>
            </w:r>
          </w:p>
        </w:tc>
        <w:tc>
          <w:tcPr>
            <w:tcW w:w="596" w:type="pct"/>
            <w:tcBorders>
              <w:top w:val="nil"/>
              <w:left w:val="nil"/>
              <w:bottom w:val="single" w:color="auto" w:sz="4" w:space="0"/>
              <w:right w:val="single" w:color="auto" w:sz="4" w:space="0"/>
            </w:tcBorders>
            <w:vAlign w:val="center"/>
          </w:tcPr>
          <w:p w14:paraId="72DE3AED">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X≥300</w:t>
            </w:r>
          </w:p>
        </w:tc>
        <w:tc>
          <w:tcPr>
            <w:tcW w:w="901" w:type="pct"/>
            <w:tcBorders>
              <w:top w:val="nil"/>
              <w:left w:val="nil"/>
              <w:bottom w:val="single" w:color="auto" w:sz="4" w:space="0"/>
              <w:right w:val="single" w:color="auto" w:sz="4" w:space="0"/>
            </w:tcBorders>
            <w:vAlign w:val="center"/>
          </w:tcPr>
          <w:p w14:paraId="6A141144">
            <w:pPr>
              <w:keepNext w:val="0"/>
              <w:keepLines w:val="0"/>
              <w:widowControl/>
              <w:suppressLineNumbers w:val="0"/>
              <w:spacing w:before="0" w:beforeAutospacing="0" w:after="0" w:afterAutospacing="0"/>
              <w:ind w:left="-14" w:leftChars="-51" w:right="0" w:hanging="104" w:hangingChars="6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755" w:type="pct"/>
            <w:tcBorders>
              <w:top w:val="nil"/>
              <w:left w:val="nil"/>
              <w:bottom w:val="single" w:color="auto" w:sz="4" w:space="0"/>
              <w:right w:val="single" w:color="auto" w:sz="4" w:space="0"/>
            </w:tcBorders>
            <w:vAlign w:val="center"/>
          </w:tcPr>
          <w:p w14:paraId="6065988C">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10≤X＜100</w:t>
            </w:r>
          </w:p>
        </w:tc>
        <w:tc>
          <w:tcPr>
            <w:tcW w:w="525" w:type="pct"/>
            <w:tcBorders>
              <w:top w:val="nil"/>
              <w:left w:val="nil"/>
              <w:bottom w:val="single" w:color="auto" w:sz="4" w:space="0"/>
              <w:right w:val="nil"/>
            </w:tcBorders>
            <w:vAlign w:val="center"/>
          </w:tcPr>
          <w:p w14:paraId="1549FC35">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highlight w:val="none"/>
              </w:rPr>
            </w:pPr>
            <w:r>
              <w:rPr>
                <w:rFonts w:hint="eastAsia" w:ascii="宋体" w:hAnsi="宋体" w:cs="宋体"/>
                <w:color w:val="000000"/>
                <w:sz w:val="18"/>
                <w:szCs w:val="18"/>
                <w:highlight w:val="none"/>
              </w:rPr>
              <w:t>X＜10</w:t>
            </w:r>
          </w:p>
        </w:tc>
      </w:tr>
    </w:tbl>
    <w:p w14:paraId="0345CFE2">
      <w:pPr>
        <w:spacing w:line="240" w:lineRule="exact"/>
        <w:rPr>
          <w:rFonts w:ascii="宋体" w:hAnsi="宋体" w:cs="宋体"/>
          <w:color w:val="000000"/>
          <w:sz w:val="18"/>
          <w:szCs w:val="18"/>
          <w:highlight w:val="none"/>
        </w:rPr>
      </w:pPr>
      <w:r>
        <w:rPr>
          <w:rFonts w:hint="eastAsia" w:ascii="宋体" w:hAnsi="宋体" w:cs="宋体"/>
          <w:color w:val="000000"/>
          <w:sz w:val="18"/>
          <w:szCs w:val="18"/>
          <w:highlight w:val="none"/>
        </w:rPr>
        <w:t>说明：</w:t>
      </w:r>
    </w:p>
    <w:p w14:paraId="53080408">
      <w:pPr>
        <w:spacing w:line="240" w:lineRule="exact"/>
        <w:ind w:firstLine="344" w:firstLineChars="200"/>
        <w:rPr>
          <w:rFonts w:ascii="宋体" w:hAnsi="宋体" w:cs="宋体"/>
          <w:color w:val="000000"/>
          <w:sz w:val="18"/>
          <w:szCs w:val="18"/>
          <w:highlight w:val="none"/>
        </w:rPr>
      </w:pPr>
      <w:r>
        <w:rPr>
          <w:rFonts w:hint="eastAsia" w:ascii="宋体" w:hAnsi="宋体" w:cs="宋体"/>
          <w:color w:val="000000"/>
          <w:sz w:val="18"/>
          <w:szCs w:val="18"/>
          <w:highlight w:val="none"/>
        </w:rPr>
        <w:t>1.大型、中型和小型企业须同时满足所列指标的下限，否则下划一档；微型企业只须满足所列指标中的一项即可。</w:t>
      </w:r>
    </w:p>
    <w:p w14:paraId="531AA194">
      <w:pPr>
        <w:spacing w:line="240" w:lineRule="exact"/>
        <w:ind w:firstLine="344" w:firstLineChars="200"/>
        <w:rPr>
          <w:rFonts w:ascii="宋体" w:hAnsi="宋体" w:cs="宋体"/>
          <w:color w:val="000000"/>
          <w:sz w:val="18"/>
          <w:szCs w:val="18"/>
          <w:highlight w:val="none"/>
        </w:rPr>
      </w:pPr>
      <w:r>
        <w:rPr>
          <w:rFonts w:hint="eastAsia" w:ascii="宋体" w:hAnsi="宋体" w:cs="宋体"/>
          <w:color w:val="00000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2467C2">
      <w:pPr>
        <w:spacing w:line="240" w:lineRule="exact"/>
        <w:ind w:firstLine="344" w:firstLineChars="200"/>
        <w:rPr>
          <w:rFonts w:ascii="宋体" w:hAnsi="宋体" w:cs="宋体"/>
          <w:color w:val="000000"/>
          <w:sz w:val="18"/>
          <w:szCs w:val="18"/>
          <w:highlight w:val="none"/>
        </w:rPr>
      </w:pPr>
      <w:r>
        <w:rPr>
          <w:rFonts w:hint="eastAsia" w:ascii="宋体" w:hAnsi="宋体" w:cs="宋体"/>
          <w:color w:val="000000"/>
          <w:sz w:val="18"/>
          <w:szCs w:val="1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075356E">
      <w:pPr>
        <w:rPr>
          <w:rFonts w:hint="eastAsia" w:ascii="宋体" w:hAnsi="宋体" w:eastAsia="宋体"/>
          <w:b/>
          <w:bCs/>
          <w:color w:val="FF0000"/>
          <w:highlight w:val="none"/>
        </w:rPr>
      </w:pPr>
    </w:p>
    <w:p w14:paraId="69F197B2">
      <w:pPr>
        <w:rPr>
          <w:rFonts w:hint="eastAsia" w:ascii="宋体" w:hAnsi="宋体" w:eastAsia="宋体"/>
          <w:b/>
          <w:bCs/>
          <w:szCs w:val="21"/>
          <w:highlight w:val="none"/>
        </w:rPr>
      </w:pPr>
      <w:r>
        <w:rPr>
          <w:rFonts w:hint="eastAsia" w:ascii="宋体" w:hAnsi="宋体" w:eastAsia="宋体"/>
          <w:b/>
          <w:bCs/>
          <w:szCs w:val="21"/>
          <w:highlight w:val="none"/>
        </w:rPr>
        <w:t>附件2.金融业企业划型标准规定</w:t>
      </w:r>
    </w:p>
    <w:p w14:paraId="0FF13BF2">
      <w:pPr>
        <w:rPr>
          <w:rFonts w:ascii="宋体" w:hAnsi="宋体" w:cs="宋体"/>
          <w:color w:val="000000"/>
          <w:sz w:val="18"/>
          <w:szCs w:val="18"/>
          <w:highlight w:val="none"/>
        </w:rPr>
      </w:pPr>
      <w:r>
        <w:rPr>
          <w:rFonts w:hint="eastAsia" w:ascii="宋体" w:hAnsi="宋体" w:eastAsia="宋体"/>
          <w:sz w:val="18"/>
          <w:szCs w:val="15"/>
          <w:highlight w:val="none"/>
        </w:rPr>
        <w:t>来源：</w:t>
      </w:r>
      <w:r>
        <w:rPr>
          <w:rFonts w:hint="eastAsia" w:ascii="宋体" w:hAnsi="宋体" w:cs="宋体"/>
          <w:color w:val="000000"/>
          <w:sz w:val="18"/>
          <w:szCs w:val="18"/>
          <w:highlight w:val="none"/>
        </w:rPr>
        <w:t>《金融业企业划型标准规定》（银发〔2015〕309 号）</w:t>
      </w:r>
    </w:p>
    <w:p w14:paraId="5F50CF30">
      <w:pPr>
        <w:widowControl w:val="0"/>
        <w:jc w:val="both"/>
        <w:rPr>
          <w:rFonts w:hint="eastAsia" w:ascii="宋体" w:hAnsi="宋体" w:eastAsia="宋体" w:cs="宋体"/>
          <w:color w:val="000000"/>
          <w:kern w:val="2"/>
          <w:sz w:val="18"/>
          <w:szCs w:val="18"/>
          <w:highlight w:val="none"/>
        </w:rPr>
      </w:pPr>
      <w:r>
        <w:rPr>
          <w:rFonts w:hint="eastAsia" w:ascii="宋体" w:hAnsi="宋体" w:eastAsia="宋体" w:cs="宋体"/>
          <w:color w:val="000000"/>
          <w:kern w:val="2"/>
          <w:sz w:val="18"/>
          <w:szCs w:val="18"/>
          <w:highlight w:val="none"/>
        </w:rPr>
        <w:t>https://www.stats.gov.cn/sj/tjbz/gjtjbz/202302/P020230213402684274414.pdf</w:t>
      </w:r>
    </w:p>
    <w:p w14:paraId="7774C1BE">
      <w:pPr>
        <w:widowControl w:val="0"/>
        <w:jc w:val="both"/>
        <w:rPr>
          <w:rFonts w:hint="eastAsia" w:ascii="宋体" w:hAnsi="宋体" w:eastAsia="宋体" w:cs="宋体"/>
          <w:color w:val="000000"/>
          <w:kern w:val="2"/>
          <w:sz w:val="18"/>
          <w:szCs w:val="18"/>
          <w:highlight w:val="none"/>
        </w:rPr>
      </w:pPr>
    </w:p>
    <w:p w14:paraId="2CA2E0DF">
      <w:pPr>
        <w:spacing w:line="360" w:lineRule="exact"/>
        <w:jc w:val="center"/>
        <w:textAlignment w:val="baseline"/>
        <w:rPr>
          <w:rFonts w:hint="eastAsia" w:ascii="Arial Unicode MS" w:hAnsi="Arial Unicode MS" w:eastAsia="Arial Unicode MS" w:cs="Arial Unicode MS"/>
          <w:sz w:val="32"/>
          <w:szCs w:val="32"/>
          <w:highlight w:val="none"/>
        </w:rPr>
      </w:pPr>
      <w:r>
        <w:rPr>
          <w:rFonts w:hint="eastAsia" w:ascii="Arial Unicode MS" w:hAnsi="Arial Unicode MS" w:eastAsia="Arial Unicode MS" w:cs="Arial Unicode MS"/>
          <w:sz w:val="32"/>
          <w:szCs w:val="32"/>
          <w:highlight w:val="none"/>
        </w:rPr>
        <w:t>金融业企业划型标准</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5"/>
        <w:gridCol w:w="1626"/>
        <w:gridCol w:w="2100"/>
        <w:gridCol w:w="1001"/>
        <w:gridCol w:w="2828"/>
      </w:tblGrid>
      <w:tr w14:paraId="6EDB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649" w:type="pct"/>
            <w:gridSpan w:val="2"/>
            <w:vAlign w:val="center"/>
          </w:tcPr>
          <w:p w14:paraId="09243BDA">
            <w:pPr>
              <w:jc w:val="center"/>
              <w:rPr>
                <w:rFonts w:ascii="宋体" w:hAnsi="宋体" w:cs="宋体"/>
                <w:color w:val="000000"/>
                <w:sz w:val="18"/>
                <w:szCs w:val="18"/>
                <w:highlight w:val="none"/>
              </w:rPr>
            </w:pPr>
            <w:r>
              <w:rPr>
                <w:rFonts w:hint="eastAsia" w:ascii="宋体" w:hAnsi="宋体" w:cs="宋体"/>
                <w:color w:val="000000"/>
                <w:sz w:val="18"/>
                <w:szCs w:val="18"/>
                <w:highlight w:val="none"/>
              </w:rPr>
              <w:t>行业</w:t>
            </w:r>
          </w:p>
        </w:tc>
        <w:tc>
          <w:tcPr>
            <w:tcW w:w="1186" w:type="pct"/>
            <w:vAlign w:val="center"/>
          </w:tcPr>
          <w:p w14:paraId="1C4573EB">
            <w:pPr>
              <w:jc w:val="center"/>
              <w:rPr>
                <w:rFonts w:ascii="宋体" w:hAnsi="宋体" w:cs="宋体"/>
                <w:color w:val="000000"/>
                <w:sz w:val="18"/>
                <w:szCs w:val="18"/>
                <w:highlight w:val="none"/>
              </w:rPr>
            </w:pPr>
            <w:r>
              <w:rPr>
                <w:rFonts w:hint="eastAsia" w:ascii="宋体" w:hAnsi="宋体" w:cs="宋体"/>
                <w:color w:val="000000"/>
                <w:sz w:val="18"/>
                <w:szCs w:val="18"/>
                <w:highlight w:val="none"/>
              </w:rPr>
              <w:t>类别</w:t>
            </w:r>
          </w:p>
        </w:tc>
        <w:tc>
          <w:tcPr>
            <w:tcW w:w="565" w:type="pct"/>
            <w:vAlign w:val="center"/>
          </w:tcPr>
          <w:p w14:paraId="6D6CE30B">
            <w:pPr>
              <w:jc w:val="center"/>
              <w:rPr>
                <w:rFonts w:ascii="宋体" w:hAnsi="宋体" w:cs="宋体"/>
                <w:color w:val="000000"/>
                <w:sz w:val="18"/>
                <w:szCs w:val="18"/>
                <w:highlight w:val="none"/>
              </w:rPr>
            </w:pPr>
            <w:r>
              <w:rPr>
                <w:rFonts w:hint="eastAsia" w:ascii="宋体" w:hAnsi="宋体" w:cs="宋体"/>
                <w:color w:val="000000"/>
                <w:sz w:val="18"/>
                <w:szCs w:val="18"/>
                <w:highlight w:val="none"/>
              </w:rPr>
              <w:t>类型</w:t>
            </w:r>
          </w:p>
        </w:tc>
        <w:tc>
          <w:tcPr>
            <w:tcW w:w="1597" w:type="pct"/>
            <w:vAlign w:val="center"/>
          </w:tcPr>
          <w:p w14:paraId="32A6F8DE">
            <w:pPr>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w:t>
            </w:r>
          </w:p>
        </w:tc>
      </w:tr>
      <w:tr w14:paraId="39FC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731" w:type="pct"/>
            <w:vMerge w:val="restart"/>
            <w:vAlign w:val="center"/>
          </w:tcPr>
          <w:p w14:paraId="3E5CD468">
            <w:pPr>
              <w:jc w:val="center"/>
              <w:rPr>
                <w:rFonts w:ascii="宋体" w:hAnsi="宋体" w:cs="宋体"/>
                <w:color w:val="000000"/>
                <w:sz w:val="18"/>
                <w:szCs w:val="18"/>
                <w:highlight w:val="none"/>
              </w:rPr>
            </w:pPr>
            <w:r>
              <w:rPr>
                <w:rFonts w:hint="eastAsia" w:ascii="宋体" w:hAnsi="宋体" w:cs="宋体"/>
                <w:color w:val="000000"/>
                <w:sz w:val="18"/>
                <w:szCs w:val="18"/>
                <w:highlight w:val="none"/>
              </w:rPr>
              <w:t>货币金融服务</w:t>
            </w:r>
          </w:p>
        </w:tc>
        <w:tc>
          <w:tcPr>
            <w:tcW w:w="918" w:type="pct"/>
            <w:vMerge w:val="restart"/>
            <w:vAlign w:val="center"/>
          </w:tcPr>
          <w:p w14:paraId="1BDAC495">
            <w:pPr>
              <w:jc w:val="center"/>
              <w:rPr>
                <w:rFonts w:ascii="宋体" w:hAnsi="宋体" w:cs="宋体"/>
                <w:color w:val="000000"/>
                <w:sz w:val="18"/>
                <w:szCs w:val="18"/>
                <w:highlight w:val="none"/>
              </w:rPr>
            </w:pPr>
            <w:r>
              <w:rPr>
                <w:rFonts w:hint="eastAsia" w:ascii="宋体" w:hAnsi="宋体" w:cs="宋体"/>
                <w:color w:val="000000"/>
                <w:sz w:val="18"/>
                <w:szCs w:val="18"/>
                <w:highlight w:val="none"/>
              </w:rPr>
              <w:t>货币银行服务</w:t>
            </w:r>
          </w:p>
        </w:tc>
        <w:tc>
          <w:tcPr>
            <w:tcW w:w="1186" w:type="pct"/>
            <w:vMerge w:val="restart"/>
            <w:vAlign w:val="center"/>
          </w:tcPr>
          <w:p w14:paraId="577B0142">
            <w:pPr>
              <w:jc w:val="center"/>
              <w:rPr>
                <w:rFonts w:ascii="宋体" w:hAnsi="宋体" w:cs="宋体"/>
                <w:color w:val="000000"/>
                <w:sz w:val="18"/>
                <w:szCs w:val="18"/>
                <w:highlight w:val="none"/>
              </w:rPr>
            </w:pPr>
            <w:r>
              <w:rPr>
                <w:rFonts w:hint="eastAsia" w:ascii="宋体" w:hAnsi="宋体" w:cs="宋体"/>
                <w:color w:val="000000"/>
                <w:sz w:val="18"/>
                <w:szCs w:val="18"/>
                <w:highlight w:val="none"/>
              </w:rPr>
              <w:t>银行业存款类金融机构</w:t>
            </w:r>
          </w:p>
        </w:tc>
        <w:tc>
          <w:tcPr>
            <w:tcW w:w="565" w:type="pct"/>
            <w:vAlign w:val="center"/>
          </w:tcPr>
          <w:p w14:paraId="4BAA087C">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49ABEAC8">
            <w:pPr>
              <w:jc w:val="center"/>
              <w:rPr>
                <w:rFonts w:ascii="宋体" w:hAnsi="宋体" w:cs="宋体"/>
                <w:color w:val="000000"/>
                <w:sz w:val="18"/>
                <w:szCs w:val="18"/>
                <w:highlight w:val="none"/>
              </w:rPr>
            </w:pPr>
            <w:r>
              <w:rPr>
                <w:rFonts w:hint="eastAsia" w:ascii="宋体" w:hAnsi="宋体" w:cs="宋体"/>
                <w:color w:val="000000"/>
                <w:sz w:val="18"/>
                <w:szCs w:val="18"/>
                <w:highlight w:val="none"/>
              </w:rPr>
              <w:t>5000亿元(含)至40000亿元</w:t>
            </w:r>
          </w:p>
        </w:tc>
      </w:tr>
      <w:tr w14:paraId="041E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731" w:type="pct"/>
            <w:vMerge w:val="continue"/>
            <w:vAlign w:val="center"/>
          </w:tcPr>
          <w:p w14:paraId="6C46A586">
            <w:pPr>
              <w:jc w:val="center"/>
              <w:rPr>
                <w:rFonts w:ascii="宋体" w:hAnsi="宋体" w:cs="宋体"/>
                <w:color w:val="000000"/>
                <w:sz w:val="18"/>
                <w:szCs w:val="18"/>
                <w:highlight w:val="none"/>
              </w:rPr>
            </w:pPr>
          </w:p>
        </w:tc>
        <w:tc>
          <w:tcPr>
            <w:tcW w:w="918" w:type="pct"/>
            <w:vMerge w:val="continue"/>
            <w:vAlign w:val="center"/>
          </w:tcPr>
          <w:p w14:paraId="1D2698EB">
            <w:pPr>
              <w:jc w:val="center"/>
              <w:rPr>
                <w:rFonts w:ascii="宋体" w:hAnsi="宋体" w:cs="宋体"/>
                <w:color w:val="000000"/>
                <w:sz w:val="18"/>
                <w:szCs w:val="18"/>
                <w:highlight w:val="none"/>
              </w:rPr>
            </w:pPr>
          </w:p>
        </w:tc>
        <w:tc>
          <w:tcPr>
            <w:tcW w:w="1186" w:type="pct"/>
            <w:vMerge w:val="continue"/>
            <w:vAlign w:val="center"/>
          </w:tcPr>
          <w:p w14:paraId="4F98C225">
            <w:pPr>
              <w:jc w:val="center"/>
              <w:rPr>
                <w:rFonts w:ascii="宋体" w:hAnsi="宋体" w:cs="宋体"/>
                <w:color w:val="000000"/>
                <w:sz w:val="18"/>
                <w:szCs w:val="18"/>
                <w:highlight w:val="none"/>
              </w:rPr>
            </w:pPr>
          </w:p>
        </w:tc>
        <w:tc>
          <w:tcPr>
            <w:tcW w:w="565" w:type="pct"/>
            <w:vAlign w:val="center"/>
          </w:tcPr>
          <w:p w14:paraId="6B9CB34B">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6C004236">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50亿元(含)至5000亿元</w:t>
            </w:r>
          </w:p>
        </w:tc>
      </w:tr>
      <w:tr w14:paraId="3BF1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731" w:type="pct"/>
            <w:vMerge w:val="continue"/>
            <w:vAlign w:val="center"/>
          </w:tcPr>
          <w:p w14:paraId="28EA07E0">
            <w:pPr>
              <w:jc w:val="center"/>
              <w:rPr>
                <w:rFonts w:ascii="宋体" w:hAnsi="宋体" w:cs="宋体"/>
                <w:color w:val="000000"/>
                <w:sz w:val="18"/>
                <w:szCs w:val="18"/>
                <w:highlight w:val="none"/>
              </w:rPr>
            </w:pPr>
          </w:p>
        </w:tc>
        <w:tc>
          <w:tcPr>
            <w:tcW w:w="918" w:type="pct"/>
            <w:vMerge w:val="continue"/>
            <w:vAlign w:val="center"/>
          </w:tcPr>
          <w:p w14:paraId="3ED1C4A6">
            <w:pPr>
              <w:jc w:val="center"/>
              <w:rPr>
                <w:rFonts w:ascii="宋体" w:hAnsi="宋体" w:cs="宋体"/>
                <w:color w:val="000000"/>
                <w:sz w:val="18"/>
                <w:szCs w:val="18"/>
                <w:highlight w:val="none"/>
              </w:rPr>
            </w:pPr>
          </w:p>
        </w:tc>
        <w:tc>
          <w:tcPr>
            <w:tcW w:w="1186" w:type="pct"/>
            <w:vMerge w:val="continue"/>
            <w:vAlign w:val="center"/>
          </w:tcPr>
          <w:p w14:paraId="39A8D40F">
            <w:pPr>
              <w:jc w:val="center"/>
              <w:rPr>
                <w:rFonts w:ascii="宋体" w:hAnsi="宋体" w:cs="宋体"/>
                <w:color w:val="000000"/>
                <w:sz w:val="18"/>
                <w:szCs w:val="18"/>
                <w:highlight w:val="none"/>
              </w:rPr>
            </w:pPr>
          </w:p>
        </w:tc>
        <w:tc>
          <w:tcPr>
            <w:tcW w:w="565" w:type="pct"/>
            <w:vAlign w:val="center"/>
          </w:tcPr>
          <w:p w14:paraId="75D1361A">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49D2994E">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50亿元以下</w:t>
            </w:r>
          </w:p>
        </w:tc>
      </w:tr>
      <w:tr w14:paraId="549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731" w:type="pct"/>
            <w:vMerge w:val="continue"/>
            <w:vAlign w:val="center"/>
          </w:tcPr>
          <w:p w14:paraId="0EBE29C5">
            <w:pPr>
              <w:jc w:val="center"/>
              <w:rPr>
                <w:rFonts w:ascii="宋体" w:hAnsi="宋体" w:cs="宋体"/>
                <w:color w:val="000000"/>
                <w:sz w:val="18"/>
                <w:szCs w:val="18"/>
                <w:highlight w:val="none"/>
              </w:rPr>
            </w:pPr>
          </w:p>
        </w:tc>
        <w:tc>
          <w:tcPr>
            <w:tcW w:w="918" w:type="pct"/>
            <w:vMerge w:val="restart"/>
            <w:vAlign w:val="center"/>
          </w:tcPr>
          <w:p w14:paraId="71EC267D">
            <w:pPr>
              <w:jc w:val="center"/>
              <w:rPr>
                <w:rFonts w:ascii="宋体" w:hAnsi="宋体" w:cs="宋体"/>
                <w:color w:val="000000"/>
                <w:sz w:val="18"/>
                <w:szCs w:val="18"/>
                <w:highlight w:val="none"/>
              </w:rPr>
            </w:pPr>
            <w:r>
              <w:rPr>
                <w:rFonts w:hint="eastAsia" w:ascii="宋体" w:hAnsi="宋体" w:cs="宋体"/>
                <w:color w:val="000000"/>
                <w:sz w:val="18"/>
                <w:szCs w:val="18"/>
                <w:highlight w:val="none"/>
              </w:rPr>
              <w:t>非货币银行服务</w:t>
            </w:r>
          </w:p>
        </w:tc>
        <w:tc>
          <w:tcPr>
            <w:tcW w:w="1186" w:type="pct"/>
            <w:vMerge w:val="restart"/>
            <w:vAlign w:val="center"/>
          </w:tcPr>
          <w:p w14:paraId="37AF6DE1">
            <w:pPr>
              <w:jc w:val="center"/>
              <w:rPr>
                <w:rFonts w:ascii="宋体" w:hAnsi="宋体" w:cs="宋体"/>
                <w:color w:val="000000"/>
                <w:sz w:val="18"/>
                <w:szCs w:val="18"/>
                <w:highlight w:val="none"/>
              </w:rPr>
            </w:pPr>
            <w:r>
              <w:rPr>
                <w:rFonts w:hint="eastAsia" w:ascii="宋体" w:hAnsi="宋体" w:cs="宋体"/>
                <w:color w:val="000000"/>
                <w:sz w:val="18"/>
                <w:szCs w:val="18"/>
                <w:highlight w:val="none"/>
              </w:rPr>
              <w:t>银行业非存款类金融机构</w:t>
            </w:r>
          </w:p>
        </w:tc>
        <w:tc>
          <w:tcPr>
            <w:tcW w:w="565" w:type="pct"/>
            <w:vAlign w:val="center"/>
          </w:tcPr>
          <w:p w14:paraId="13BEB8E4">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32BB443F">
            <w:pPr>
              <w:jc w:val="center"/>
              <w:rPr>
                <w:rFonts w:ascii="宋体" w:hAnsi="宋体" w:cs="宋体"/>
                <w:color w:val="000000"/>
                <w:sz w:val="18"/>
                <w:szCs w:val="18"/>
                <w:highlight w:val="none"/>
              </w:rPr>
            </w:pPr>
            <w:r>
              <w:rPr>
                <w:rFonts w:hint="eastAsia" w:ascii="宋体" w:hAnsi="宋体" w:cs="宋体"/>
                <w:color w:val="000000"/>
                <w:sz w:val="18"/>
                <w:szCs w:val="18"/>
                <w:highlight w:val="none"/>
              </w:rPr>
              <w:t>200亿元(含)至1000亿元</w:t>
            </w:r>
          </w:p>
        </w:tc>
      </w:tr>
      <w:tr w14:paraId="580A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731" w:type="pct"/>
            <w:vMerge w:val="continue"/>
            <w:vAlign w:val="center"/>
          </w:tcPr>
          <w:p w14:paraId="34A2A7A4">
            <w:pPr>
              <w:jc w:val="center"/>
              <w:rPr>
                <w:rFonts w:ascii="宋体" w:hAnsi="宋体" w:cs="宋体"/>
                <w:color w:val="000000"/>
                <w:sz w:val="18"/>
                <w:szCs w:val="18"/>
                <w:highlight w:val="none"/>
              </w:rPr>
            </w:pPr>
          </w:p>
        </w:tc>
        <w:tc>
          <w:tcPr>
            <w:tcW w:w="918" w:type="pct"/>
            <w:vMerge w:val="continue"/>
            <w:vAlign w:val="center"/>
          </w:tcPr>
          <w:p w14:paraId="1E37A1C3">
            <w:pPr>
              <w:jc w:val="center"/>
              <w:rPr>
                <w:rFonts w:ascii="宋体" w:hAnsi="宋体" w:cs="宋体"/>
                <w:color w:val="000000"/>
                <w:sz w:val="18"/>
                <w:szCs w:val="18"/>
                <w:highlight w:val="none"/>
              </w:rPr>
            </w:pPr>
          </w:p>
        </w:tc>
        <w:tc>
          <w:tcPr>
            <w:tcW w:w="1186" w:type="pct"/>
            <w:vMerge w:val="continue"/>
            <w:vAlign w:val="center"/>
          </w:tcPr>
          <w:p w14:paraId="017B8D1D">
            <w:pPr>
              <w:jc w:val="center"/>
              <w:rPr>
                <w:rFonts w:ascii="宋体" w:hAnsi="宋体" w:cs="宋体"/>
                <w:color w:val="000000"/>
                <w:sz w:val="18"/>
                <w:szCs w:val="18"/>
                <w:highlight w:val="none"/>
              </w:rPr>
            </w:pPr>
          </w:p>
        </w:tc>
        <w:tc>
          <w:tcPr>
            <w:tcW w:w="565" w:type="pct"/>
            <w:vAlign w:val="center"/>
          </w:tcPr>
          <w:p w14:paraId="5FEC7DAB">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6930B0EC">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50亿元(含)至200亿元</w:t>
            </w:r>
          </w:p>
        </w:tc>
      </w:tr>
      <w:tr w14:paraId="05AE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31" w:type="pct"/>
            <w:vMerge w:val="continue"/>
            <w:vAlign w:val="center"/>
          </w:tcPr>
          <w:p w14:paraId="07D49A5A">
            <w:pPr>
              <w:jc w:val="center"/>
              <w:rPr>
                <w:rFonts w:ascii="宋体" w:hAnsi="宋体" w:cs="宋体"/>
                <w:color w:val="000000"/>
                <w:sz w:val="18"/>
                <w:szCs w:val="18"/>
                <w:highlight w:val="none"/>
              </w:rPr>
            </w:pPr>
          </w:p>
        </w:tc>
        <w:tc>
          <w:tcPr>
            <w:tcW w:w="918" w:type="pct"/>
            <w:vMerge w:val="continue"/>
            <w:vAlign w:val="center"/>
          </w:tcPr>
          <w:p w14:paraId="1AE134FD">
            <w:pPr>
              <w:jc w:val="center"/>
              <w:rPr>
                <w:rFonts w:ascii="宋体" w:hAnsi="宋体" w:cs="宋体"/>
                <w:color w:val="000000"/>
                <w:sz w:val="18"/>
                <w:szCs w:val="18"/>
                <w:highlight w:val="none"/>
              </w:rPr>
            </w:pPr>
          </w:p>
        </w:tc>
        <w:tc>
          <w:tcPr>
            <w:tcW w:w="1186" w:type="pct"/>
            <w:vMerge w:val="continue"/>
            <w:vAlign w:val="center"/>
          </w:tcPr>
          <w:p w14:paraId="73254EDB">
            <w:pPr>
              <w:jc w:val="center"/>
              <w:rPr>
                <w:rFonts w:ascii="宋体" w:hAnsi="宋体" w:cs="宋体"/>
                <w:color w:val="000000"/>
                <w:sz w:val="18"/>
                <w:szCs w:val="18"/>
                <w:highlight w:val="none"/>
              </w:rPr>
            </w:pPr>
          </w:p>
        </w:tc>
        <w:tc>
          <w:tcPr>
            <w:tcW w:w="565" w:type="pct"/>
            <w:vAlign w:val="center"/>
          </w:tcPr>
          <w:p w14:paraId="5B216E29">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08D75927">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50亿元以下</w:t>
            </w:r>
          </w:p>
        </w:tc>
      </w:tr>
      <w:tr w14:paraId="582E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731" w:type="pct"/>
            <w:vMerge w:val="continue"/>
            <w:vAlign w:val="center"/>
          </w:tcPr>
          <w:p w14:paraId="05826C89">
            <w:pPr>
              <w:jc w:val="center"/>
              <w:rPr>
                <w:rFonts w:ascii="宋体" w:hAnsi="宋体" w:cs="宋体"/>
                <w:color w:val="000000"/>
                <w:sz w:val="18"/>
                <w:szCs w:val="18"/>
                <w:highlight w:val="none"/>
              </w:rPr>
            </w:pPr>
          </w:p>
        </w:tc>
        <w:tc>
          <w:tcPr>
            <w:tcW w:w="918" w:type="pct"/>
            <w:vMerge w:val="continue"/>
            <w:vAlign w:val="center"/>
          </w:tcPr>
          <w:p w14:paraId="214287EF">
            <w:pPr>
              <w:jc w:val="center"/>
              <w:rPr>
                <w:rFonts w:ascii="宋体" w:hAnsi="宋体" w:cs="宋体"/>
                <w:color w:val="000000"/>
                <w:sz w:val="18"/>
                <w:szCs w:val="18"/>
                <w:highlight w:val="none"/>
              </w:rPr>
            </w:pPr>
          </w:p>
        </w:tc>
        <w:tc>
          <w:tcPr>
            <w:tcW w:w="1186" w:type="pct"/>
            <w:vMerge w:val="restart"/>
            <w:vAlign w:val="center"/>
          </w:tcPr>
          <w:p w14:paraId="17B009DA">
            <w:pPr>
              <w:jc w:val="center"/>
              <w:rPr>
                <w:rFonts w:ascii="宋体" w:hAnsi="宋体" w:cs="宋体"/>
                <w:color w:val="000000"/>
                <w:sz w:val="18"/>
                <w:szCs w:val="18"/>
                <w:highlight w:val="none"/>
              </w:rPr>
            </w:pPr>
            <w:r>
              <w:rPr>
                <w:rFonts w:hint="eastAsia" w:ascii="宋体" w:hAnsi="宋体" w:cs="宋体"/>
                <w:color w:val="000000"/>
                <w:sz w:val="18"/>
                <w:szCs w:val="18"/>
                <w:highlight w:val="none"/>
              </w:rPr>
              <w:t>贷款公司、小额贷款公司及典当行</w:t>
            </w:r>
          </w:p>
        </w:tc>
        <w:tc>
          <w:tcPr>
            <w:tcW w:w="565" w:type="pct"/>
            <w:vAlign w:val="center"/>
          </w:tcPr>
          <w:p w14:paraId="28718D4F">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096BFD67">
            <w:pPr>
              <w:jc w:val="center"/>
              <w:rPr>
                <w:rFonts w:ascii="宋体" w:hAnsi="宋体" w:cs="宋体"/>
                <w:color w:val="000000"/>
                <w:sz w:val="18"/>
                <w:szCs w:val="18"/>
                <w:highlight w:val="none"/>
              </w:rPr>
            </w:pPr>
            <w:r>
              <w:rPr>
                <w:rFonts w:hint="eastAsia" w:ascii="宋体" w:hAnsi="宋体" w:cs="宋体"/>
                <w:color w:val="000000"/>
                <w:sz w:val="18"/>
                <w:szCs w:val="18"/>
                <w:highlight w:val="none"/>
              </w:rPr>
              <w:t>200亿元(含)至1000亿元</w:t>
            </w:r>
          </w:p>
        </w:tc>
      </w:tr>
      <w:tr w14:paraId="0ACC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731" w:type="pct"/>
            <w:vMerge w:val="continue"/>
            <w:vAlign w:val="center"/>
          </w:tcPr>
          <w:p w14:paraId="33D2A6CF">
            <w:pPr>
              <w:jc w:val="center"/>
              <w:rPr>
                <w:rFonts w:ascii="宋体" w:hAnsi="宋体" w:cs="宋体"/>
                <w:color w:val="000000"/>
                <w:sz w:val="18"/>
                <w:szCs w:val="18"/>
                <w:highlight w:val="none"/>
              </w:rPr>
            </w:pPr>
          </w:p>
        </w:tc>
        <w:tc>
          <w:tcPr>
            <w:tcW w:w="918" w:type="pct"/>
            <w:vMerge w:val="continue"/>
            <w:vAlign w:val="center"/>
          </w:tcPr>
          <w:p w14:paraId="2AB7A44B">
            <w:pPr>
              <w:jc w:val="center"/>
              <w:rPr>
                <w:rFonts w:ascii="宋体" w:hAnsi="宋体" w:cs="宋体"/>
                <w:color w:val="000000"/>
                <w:sz w:val="18"/>
                <w:szCs w:val="18"/>
                <w:highlight w:val="none"/>
              </w:rPr>
            </w:pPr>
          </w:p>
        </w:tc>
        <w:tc>
          <w:tcPr>
            <w:tcW w:w="1186" w:type="pct"/>
            <w:vMerge w:val="continue"/>
            <w:vAlign w:val="center"/>
          </w:tcPr>
          <w:p w14:paraId="0C1D4B0D">
            <w:pPr>
              <w:jc w:val="center"/>
              <w:rPr>
                <w:rFonts w:ascii="宋体" w:hAnsi="宋体" w:cs="宋体"/>
                <w:color w:val="000000"/>
                <w:sz w:val="18"/>
                <w:szCs w:val="18"/>
                <w:highlight w:val="none"/>
              </w:rPr>
            </w:pPr>
          </w:p>
        </w:tc>
        <w:tc>
          <w:tcPr>
            <w:tcW w:w="565" w:type="pct"/>
            <w:vAlign w:val="center"/>
          </w:tcPr>
          <w:p w14:paraId="487D5860">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1ACC7712">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50亿元(含)至200亿元</w:t>
            </w:r>
          </w:p>
        </w:tc>
      </w:tr>
      <w:tr w14:paraId="2431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31" w:type="pct"/>
            <w:vMerge w:val="continue"/>
            <w:vAlign w:val="center"/>
          </w:tcPr>
          <w:p w14:paraId="70EC5341">
            <w:pPr>
              <w:jc w:val="center"/>
              <w:rPr>
                <w:rFonts w:ascii="宋体" w:hAnsi="宋体" w:cs="宋体"/>
                <w:color w:val="000000"/>
                <w:sz w:val="18"/>
                <w:szCs w:val="18"/>
                <w:highlight w:val="none"/>
              </w:rPr>
            </w:pPr>
          </w:p>
        </w:tc>
        <w:tc>
          <w:tcPr>
            <w:tcW w:w="918" w:type="pct"/>
            <w:vMerge w:val="continue"/>
            <w:vAlign w:val="center"/>
          </w:tcPr>
          <w:p w14:paraId="288B34DC">
            <w:pPr>
              <w:jc w:val="center"/>
              <w:rPr>
                <w:rFonts w:ascii="宋体" w:hAnsi="宋体" w:cs="宋体"/>
                <w:color w:val="000000"/>
                <w:sz w:val="18"/>
                <w:szCs w:val="18"/>
                <w:highlight w:val="none"/>
              </w:rPr>
            </w:pPr>
          </w:p>
        </w:tc>
        <w:tc>
          <w:tcPr>
            <w:tcW w:w="1186" w:type="pct"/>
            <w:vMerge w:val="continue"/>
            <w:vAlign w:val="center"/>
          </w:tcPr>
          <w:p w14:paraId="6532A35C">
            <w:pPr>
              <w:jc w:val="center"/>
              <w:rPr>
                <w:rFonts w:ascii="宋体" w:hAnsi="宋体" w:cs="宋体"/>
                <w:color w:val="000000"/>
                <w:sz w:val="18"/>
                <w:szCs w:val="18"/>
                <w:highlight w:val="none"/>
              </w:rPr>
            </w:pPr>
          </w:p>
        </w:tc>
        <w:tc>
          <w:tcPr>
            <w:tcW w:w="565" w:type="pct"/>
            <w:vAlign w:val="center"/>
          </w:tcPr>
          <w:p w14:paraId="2D248680">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11A41A29">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50亿元以下</w:t>
            </w:r>
          </w:p>
        </w:tc>
      </w:tr>
      <w:tr w14:paraId="6C1D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649" w:type="pct"/>
            <w:gridSpan w:val="2"/>
            <w:vMerge w:val="restart"/>
            <w:vAlign w:val="center"/>
          </w:tcPr>
          <w:p w14:paraId="05FB214E">
            <w:pPr>
              <w:jc w:val="center"/>
              <w:rPr>
                <w:rFonts w:ascii="宋体" w:hAnsi="宋体" w:cs="宋体"/>
                <w:color w:val="000000"/>
                <w:sz w:val="18"/>
                <w:szCs w:val="18"/>
                <w:highlight w:val="none"/>
              </w:rPr>
            </w:pPr>
            <w:r>
              <w:rPr>
                <w:rFonts w:hint="eastAsia" w:ascii="宋体" w:hAnsi="宋体" w:cs="宋体"/>
                <w:color w:val="000000"/>
                <w:sz w:val="18"/>
                <w:szCs w:val="18"/>
                <w:highlight w:val="none"/>
              </w:rPr>
              <w:t>资本市场服务</w:t>
            </w:r>
          </w:p>
        </w:tc>
        <w:tc>
          <w:tcPr>
            <w:tcW w:w="1186" w:type="pct"/>
            <w:vMerge w:val="restart"/>
            <w:vAlign w:val="center"/>
          </w:tcPr>
          <w:p w14:paraId="3335CC3B">
            <w:pPr>
              <w:jc w:val="center"/>
              <w:rPr>
                <w:rFonts w:ascii="宋体" w:hAnsi="宋体" w:cs="宋体"/>
                <w:color w:val="000000"/>
                <w:sz w:val="18"/>
                <w:szCs w:val="18"/>
                <w:highlight w:val="none"/>
              </w:rPr>
            </w:pPr>
            <w:r>
              <w:rPr>
                <w:rFonts w:hint="eastAsia" w:ascii="宋体" w:hAnsi="宋体" w:cs="宋体"/>
                <w:color w:val="000000"/>
                <w:sz w:val="18"/>
                <w:szCs w:val="18"/>
                <w:highlight w:val="none"/>
              </w:rPr>
              <w:t>证券业金融机构</w:t>
            </w:r>
          </w:p>
        </w:tc>
        <w:tc>
          <w:tcPr>
            <w:tcW w:w="565" w:type="pct"/>
            <w:vAlign w:val="center"/>
          </w:tcPr>
          <w:p w14:paraId="45673278">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6EC88A0D">
            <w:pPr>
              <w:jc w:val="center"/>
              <w:rPr>
                <w:rFonts w:ascii="宋体" w:hAnsi="宋体" w:cs="宋体"/>
                <w:color w:val="000000"/>
                <w:sz w:val="18"/>
                <w:szCs w:val="18"/>
                <w:highlight w:val="none"/>
              </w:rPr>
            </w:pPr>
            <w:r>
              <w:rPr>
                <w:rFonts w:hint="eastAsia" w:ascii="宋体" w:hAnsi="宋体" w:cs="宋体"/>
                <w:color w:val="000000"/>
                <w:sz w:val="18"/>
                <w:szCs w:val="18"/>
                <w:highlight w:val="none"/>
              </w:rPr>
              <w:t>100亿元(含)至1000亿元</w:t>
            </w:r>
          </w:p>
        </w:tc>
      </w:tr>
      <w:tr w14:paraId="0272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649" w:type="pct"/>
            <w:gridSpan w:val="2"/>
            <w:vMerge w:val="continue"/>
            <w:vAlign w:val="center"/>
          </w:tcPr>
          <w:p w14:paraId="6669B21A">
            <w:pPr>
              <w:jc w:val="center"/>
              <w:rPr>
                <w:rFonts w:ascii="宋体" w:hAnsi="宋体" w:cs="宋体"/>
                <w:color w:val="000000"/>
                <w:sz w:val="18"/>
                <w:szCs w:val="18"/>
                <w:highlight w:val="none"/>
              </w:rPr>
            </w:pPr>
          </w:p>
        </w:tc>
        <w:tc>
          <w:tcPr>
            <w:tcW w:w="1186" w:type="pct"/>
            <w:vMerge w:val="continue"/>
            <w:vAlign w:val="center"/>
          </w:tcPr>
          <w:p w14:paraId="6EB14DCC">
            <w:pPr>
              <w:jc w:val="center"/>
              <w:rPr>
                <w:rFonts w:ascii="宋体" w:hAnsi="宋体" w:cs="宋体"/>
                <w:color w:val="000000"/>
                <w:sz w:val="18"/>
                <w:szCs w:val="18"/>
                <w:highlight w:val="none"/>
              </w:rPr>
            </w:pPr>
          </w:p>
        </w:tc>
        <w:tc>
          <w:tcPr>
            <w:tcW w:w="565" w:type="pct"/>
            <w:vAlign w:val="center"/>
          </w:tcPr>
          <w:p w14:paraId="1A6264B2">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6005A20B">
            <w:pPr>
              <w:jc w:val="center"/>
              <w:rPr>
                <w:rFonts w:ascii="宋体" w:hAnsi="宋体" w:cs="宋体"/>
                <w:color w:val="000000"/>
                <w:sz w:val="18"/>
                <w:szCs w:val="18"/>
                <w:highlight w:val="none"/>
              </w:rPr>
            </w:pPr>
            <w:r>
              <w:rPr>
                <w:rFonts w:hint="eastAsia" w:ascii="宋体" w:hAnsi="宋体" w:cs="宋体"/>
                <w:color w:val="000000"/>
                <w:sz w:val="18"/>
                <w:szCs w:val="18"/>
                <w:highlight w:val="none"/>
              </w:rPr>
              <w:t>10亿元(含)至100亿元</w:t>
            </w:r>
          </w:p>
        </w:tc>
      </w:tr>
      <w:tr w14:paraId="060F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649" w:type="pct"/>
            <w:gridSpan w:val="2"/>
            <w:vMerge w:val="continue"/>
            <w:vAlign w:val="center"/>
          </w:tcPr>
          <w:p w14:paraId="34AEE0B7">
            <w:pPr>
              <w:jc w:val="center"/>
              <w:rPr>
                <w:rFonts w:ascii="宋体" w:hAnsi="宋体" w:cs="宋体"/>
                <w:color w:val="000000"/>
                <w:sz w:val="18"/>
                <w:szCs w:val="18"/>
                <w:highlight w:val="none"/>
              </w:rPr>
            </w:pPr>
          </w:p>
        </w:tc>
        <w:tc>
          <w:tcPr>
            <w:tcW w:w="1186" w:type="pct"/>
            <w:vMerge w:val="continue"/>
            <w:vAlign w:val="center"/>
          </w:tcPr>
          <w:p w14:paraId="101202A6">
            <w:pPr>
              <w:jc w:val="center"/>
              <w:rPr>
                <w:rFonts w:ascii="宋体" w:hAnsi="宋体" w:cs="宋体"/>
                <w:color w:val="000000"/>
                <w:sz w:val="18"/>
                <w:szCs w:val="18"/>
                <w:highlight w:val="none"/>
              </w:rPr>
            </w:pPr>
          </w:p>
        </w:tc>
        <w:tc>
          <w:tcPr>
            <w:tcW w:w="565" w:type="pct"/>
            <w:vAlign w:val="center"/>
          </w:tcPr>
          <w:p w14:paraId="05DCDDBD">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08E580C6">
            <w:pPr>
              <w:jc w:val="center"/>
              <w:rPr>
                <w:rFonts w:ascii="宋体" w:hAnsi="宋体" w:cs="宋体"/>
                <w:color w:val="000000"/>
                <w:sz w:val="18"/>
                <w:szCs w:val="18"/>
                <w:highlight w:val="none"/>
              </w:rPr>
            </w:pPr>
            <w:r>
              <w:rPr>
                <w:rFonts w:hint="eastAsia" w:ascii="宋体" w:hAnsi="宋体" w:cs="宋体"/>
                <w:color w:val="000000"/>
                <w:sz w:val="18"/>
                <w:szCs w:val="18"/>
                <w:highlight w:val="none"/>
              </w:rPr>
              <w:t>10亿元以下</w:t>
            </w:r>
          </w:p>
        </w:tc>
      </w:tr>
      <w:tr w14:paraId="1BB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649" w:type="pct"/>
            <w:gridSpan w:val="2"/>
            <w:vMerge w:val="restart"/>
            <w:vAlign w:val="center"/>
          </w:tcPr>
          <w:p w14:paraId="2F848207">
            <w:pPr>
              <w:jc w:val="center"/>
              <w:rPr>
                <w:rFonts w:ascii="宋体" w:hAnsi="宋体" w:cs="宋体"/>
                <w:color w:val="000000"/>
                <w:sz w:val="18"/>
                <w:szCs w:val="18"/>
                <w:highlight w:val="none"/>
              </w:rPr>
            </w:pPr>
            <w:r>
              <w:rPr>
                <w:rFonts w:hint="eastAsia" w:ascii="宋体" w:hAnsi="宋体" w:cs="宋体"/>
                <w:color w:val="000000"/>
                <w:sz w:val="18"/>
                <w:szCs w:val="18"/>
                <w:highlight w:val="none"/>
              </w:rPr>
              <w:t>保险业</w:t>
            </w:r>
          </w:p>
        </w:tc>
        <w:tc>
          <w:tcPr>
            <w:tcW w:w="1186" w:type="pct"/>
            <w:vMerge w:val="restart"/>
            <w:vAlign w:val="center"/>
          </w:tcPr>
          <w:p w14:paraId="187857F0">
            <w:pPr>
              <w:jc w:val="center"/>
              <w:rPr>
                <w:rFonts w:ascii="宋体" w:hAnsi="宋体" w:cs="宋体"/>
                <w:color w:val="000000"/>
                <w:sz w:val="18"/>
                <w:szCs w:val="18"/>
                <w:highlight w:val="none"/>
              </w:rPr>
            </w:pPr>
            <w:r>
              <w:rPr>
                <w:rFonts w:hint="eastAsia" w:ascii="宋体" w:hAnsi="宋体" w:cs="宋体"/>
                <w:color w:val="000000"/>
                <w:sz w:val="18"/>
                <w:szCs w:val="18"/>
                <w:highlight w:val="none"/>
              </w:rPr>
              <w:t>保险业金融机构</w:t>
            </w:r>
          </w:p>
        </w:tc>
        <w:tc>
          <w:tcPr>
            <w:tcW w:w="565" w:type="pct"/>
            <w:vAlign w:val="center"/>
          </w:tcPr>
          <w:p w14:paraId="7A673C2B">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06F4D552">
            <w:pPr>
              <w:jc w:val="center"/>
              <w:rPr>
                <w:rFonts w:ascii="宋体" w:hAnsi="宋体" w:cs="宋体"/>
                <w:color w:val="000000"/>
                <w:sz w:val="18"/>
                <w:szCs w:val="18"/>
                <w:highlight w:val="none"/>
              </w:rPr>
            </w:pPr>
            <w:r>
              <w:rPr>
                <w:rFonts w:hint="eastAsia" w:ascii="宋体" w:hAnsi="宋体" w:cs="宋体"/>
                <w:color w:val="000000"/>
                <w:sz w:val="18"/>
                <w:szCs w:val="18"/>
                <w:highlight w:val="none"/>
              </w:rPr>
              <w:t>400亿元(含)至5000亿元</w:t>
            </w:r>
          </w:p>
        </w:tc>
      </w:tr>
      <w:tr w14:paraId="30A8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649" w:type="pct"/>
            <w:gridSpan w:val="2"/>
            <w:vMerge w:val="continue"/>
            <w:vAlign w:val="center"/>
          </w:tcPr>
          <w:p w14:paraId="032BFA6A">
            <w:pPr>
              <w:jc w:val="center"/>
              <w:rPr>
                <w:rFonts w:ascii="宋体" w:hAnsi="宋体" w:cs="宋体"/>
                <w:color w:val="000000"/>
                <w:sz w:val="18"/>
                <w:szCs w:val="18"/>
                <w:highlight w:val="none"/>
              </w:rPr>
            </w:pPr>
          </w:p>
        </w:tc>
        <w:tc>
          <w:tcPr>
            <w:tcW w:w="1186" w:type="pct"/>
            <w:vMerge w:val="continue"/>
            <w:vAlign w:val="center"/>
          </w:tcPr>
          <w:p w14:paraId="7AC8C7CB">
            <w:pPr>
              <w:jc w:val="center"/>
              <w:rPr>
                <w:rFonts w:ascii="宋体" w:hAnsi="宋体" w:cs="宋体"/>
                <w:color w:val="000000"/>
                <w:sz w:val="18"/>
                <w:szCs w:val="18"/>
                <w:highlight w:val="none"/>
              </w:rPr>
            </w:pPr>
          </w:p>
        </w:tc>
        <w:tc>
          <w:tcPr>
            <w:tcW w:w="565" w:type="pct"/>
            <w:vAlign w:val="center"/>
          </w:tcPr>
          <w:p w14:paraId="58154834">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5719A7BF">
            <w:pPr>
              <w:jc w:val="center"/>
              <w:rPr>
                <w:rFonts w:ascii="宋体" w:hAnsi="宋体" w:cs="宋体"/>
                <w:color w:val="000000"/>
                <w:sz w:val="18"/>
                <w:szCs w:val="18"/>
                <w:highlight w:val="none"/>
              </w:rPr>
            </w:pPr>
            <w:r>
              <w:rPr>
                <w:rFonts w:hint="eastAsia" w:ascii="宋体" w:hAnsi="宋体" w:cs="宋体"/>
                <w:color w:val="000000"/>
                <w:sz w:val="18"/>
                <w:szCs w:val="18"/>
                <w:highlight w:val="none"/>
              </w:rPr>
              <w:t>20亿元(含)至400亿元</w:t>
            </w:r>
          </w:p>
        </w:tc>
      </w:tr>
      <w:tr w14:paraId="1C49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649" w:type="pct"/>
            <w:gridSpan w:val="2"/>
            <w:vMerge w:val="continue"/>
            <w:vAlign w:val="center"/>
          </w:tcPr>
          <w:p w14:paraId="41358276">
            <w:pPr>
              <w:jc w:val="center"/>
              <w:rPr>
                <w:rFonts w:ascii="宋体" w:hAnsi="宋体" w:cs="宋体"/>
                <w:color w:val="000000"/>
                <w:sz w:val="18"/>
                <w:szCs w:val="18"/>
                <w:highlight w:val="none"/>
              </w:rPr>
            </w:pPr>
          </w:p>
        </w:tc>
        <w:tc>
          <w:tcPr>
            <w:tcW w:w="1186" w:type="pct"/>
            <w:vMerge w:val="continue"/>
            <w:vAlign w:val="center"/>
          </w:tcPr>
          <w:p w14:paraId="65DE6998">
            <w:pPr>
              <w:jc w:val="center"/>
              <w:rPr>
                <w:rFonts w:ascii="宋体" w:hAnsi="宋体" w:cs="宋体"/>
                <w:color w:val="000000"/>
                <w:sz w:val="18"/>
                <w:szCs w:val="18"/>
                <w:highlight w:val="none"/>
              </w:rPr>
            </w:pPr>
          </w:p>
        </w:tc>
        <w:tc>
          <w:tcPr>
            <w:tcW w:w="565" w:type="pct"/>
            <w:vAlign w:val="center"/>
          </w:tcPr>
          <w:p w14:paraId="377ED6A8">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094AE54F">
            <w:pPr>
              <w:jc w:val="center"/>
              <w:rPr>
                <w:rFonts w:ascii="宋体" w:hAnsi="宋体" w:cs="宋体"/>
                <w:color w:val="000000"/>
                <w:sz w:val="18"/>
                <w:szCs w:val="18"/>
                <w:highlight w:val="none"/>
              </w:rPr>
            </w:pPr>
            <w:r>
              <w:rPr>
                <w:rFonts w:hint="eastAsia" w:ascii="宋体" w:hAnsi="宋体" w:cs="宋体"/>
                <w:color w:val="000000"/>
                <w:sz w:val="18"/>
                <w:szCs w:val="18"/>
                <w:highlight w:val="none"/>
              </w:rPr>
              <w:t>20亿元以下</w:t>
            </w:r>
          </w:p>
        </w:tc>
      </w:tr>
      <w:tr w14:paraId="5032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731" w:type="pct"/>
            <w:vMerge w:val="restart"/>
            <w:vAlign w:val="center"/>
          </w:tcPr>
          <w:p w14:paraId="5BA847AC">
            <w:pPr>
              <w:jc w:val="center"/>
              <w:rPr>
                <w:rFonts w:ascii="宋体" w:hAnsi="宋体" w:cs="宋体"/>
                <w:color w:val="000000"/>
                <w:sz w:val="18"/>
                <w:szCs w:val="18"/>
                <w:highlight w:val="none"/>
              </w:rPr>
            </w:pPr>
          </w:p>
          <w:p w14:paraId="4832C250">
            <w:pPr>
              <w:jc w:val="center"/>
              <w:rPr>
                <w:rFonts w:ascii="宋体" w:hAnsi="宋体" w:cs="宋体"/>
                <w:color w:val="000000"/>
                <w:sz w:val="18"/>
                <w:szCs w:val="18"/>
                <w:highlight w:val="none"/>
              </w:rPr>
            </w:pPr>
          </w:p>
          <w:p w14:paraId="1550DE77">
            <w:pPr>
              <w:jc w:val="center"/>
              <w:rPr>
                <w:rFonts w:ascii="宋体" w:hAnsi="宋体" w:cs="宋体"/>
                <w:color w:val="000000"/>
                <w:sz w:val="18"/>
                <w:szCs w:val="18"/>
                <w:highlight w:val="none"/>
              </w:rPr>
            </w:pPr>
          </w:p>
          <w:p w14:paraId="6E2FC88E">
            <w:pPr>
              <w:jc w:val="center"/>
              <w:rPr>
                <w:rFonts w:ascii="宋体" w:hAnsi="宋体" w:cs="宋体"/>
                <w:color w:val="000000"/>
                <w:sz w:val="18"/>
                <w:szCs w:val="18"/>
                <w:highlight w:val="none"/>
              </w:rPr>
            </w:pPr>
          </w:p>
          <w:p w14:paraId="1B0433C8">
            <w:pPr>
              <w:jc w:val="center"/>
              <w:rPr>
                <w:rFonts w:ascii="宋体" w:hAnsi="宋体" w:cs="宋体"/>
                <w:color w:val="000000"/>
                <w:sz w:val="18"/>
                <w:szCs w:val="18"/>
                <w:highlight w:val="none"/>
              </w:rPr>
            </w:pPr>
          </w:p>
          <w:p w14:paraId="26862106">
            <w:pPr>
              <w:jc w:val="center"/>
              <w:rPr>
                <w:rFonts w:ascii="宋体" w:hAnsi="宋体" w:cs="宋体"/>
                <w:color w:val="000000"/>
                <w:sz w:val="18"/>
                <w:szCs w:val="18"/>
                <w:highlight w:val="none"/>
              </w:rPr>
            </w:pPr>
          </w:p>
          <w:p w14:paraId="08DD7B99">
            <w:pPr>
              <w:jc w:val="center"/>
              <w:rPr>
                <w:rFonts w:ascii="宋体" w:hAnsi="宋体" w:cs="宋体"/>
                <w:color w:val="000000"/>
                <w:sz w:val="18"/>
                <w:szCs w:val="18"/>
                <w:highlight w:val="none"/>
              </w:rPr>
            </w:pPr>
          </w:p>
          <w:p w14:paraId="5193BE52">
            <w:pPr>
              <w:jc w:val="center"/>
              <w:rPr>
                <w:rFonts w:ascii="宋体" w:hAnsi="宋体" w:cs="宋体"/>
                <w:color w:val="000000"/>
                <w:sz w:val="18"/>
                <w:szCs w:val="18"/>
                <w:highlight w:val="none"/>
              </w:rPr>
            </w:pPr>
            <w:r>
              <w:rPr>
                <w:rFonts w:hint="eastAsia" w:ascii="宋体" w:hAnsi="宋体" w:cs="宋体"/>
                <w:color w:val="000000"/>
                <w:sz w:val="18"/>
                <w:szCs w:val="18"/>
                <w:highlight w:val="none"/>
              </w:rPr>
              <w:t>其他金融业</w:t>
            </w:r>
          </w:p>
        </w:tc>
        <w:tc>
          <w:tcPr>
            <w:tcW w:w="918" w:type="pct"/>
            <w:vMerge w:val="restart"/>
            <w:vAlign w:val="center"/>
          </w:tcPr>
          <w:p w14:paraId="2E73F234">
            <w:pPr>
              <w:jc w:val="center"/>
              <w:rPr>
                <w:rFonts w:ascii="宋体" w:hAnsi="宋体" w:cs="宋体"/>
                <w:color w:val="000000"/>
                <w:sz w:val="18"/>
                <w:szCs w:val="18"/>
                <w:highlight w:val="none"/>
              </w:rPr>
            </w:pPr>
          </w:p>
          <w:p w14:paraId="16D10C38">
            <w:pPr>
              <w:jc w:val="center"/>
              <w:rPr>
                <w:rFonts w:ascii="宋体" w:hAnsi="宋体" w:cs="宋体"/>
                <w:color w:val="000000"/>
                <w:sz w:val="18"/>
                <w:szCs w:val="18"/>
                <w:highlight w:val="none"/>
              </w:rPr>
            </w:pPr>
            <w:r>
              <w:rPr>
                <w:rFonts w:hint="eastAsia" w:ascii="宋体" w:hAnsi="宋体" w:cs="宋体"/>
                <w:color w:val="000000"/>
                <w:sz w:val="18"/>
                <w:szCs w:val="18"/>
                <w:highlight w:val="none"/>
              </w:rPr>
              <w:t>金融信托与</w:t>
            </w:r>
          </w:p>
          <w:p w14:paraId="63EE88AE">
            <w:pPr>
              <w:jc w:val="center"/>
              <w:rPr>
                <w:rFonts w:ascii="宋体" w:hAnsi="宋体" w:cs="宋体"/>
                <w:color w:val="000000"/>
                <w:sz w:val="18"/>
                <w:szCs w:val="18"/>
                <w:highlight w:val="none"/>
              </w:rPr>
            </w:pPr>
            <w:r>
              <w:rPr>
                <w:rFonts w:hint="eastAsia" w:ascii="宋体" w:hAnsi="宋体" w:cs="宋体"/>
                <w:color w:val="000000"/>
                <w:sz w:val="18"/>
                <w:szCs w:val="18"/>
                <w:highlight w:val="none"/>
              </w:rPr>
              <w:t>管理服务</w:t>
            </w:r>
          </w:p>
        </w:tc>
        <w:tc>
          <w:tcPr>
            <w:tcW w:w="1186" w:type="pct"/>
            <w:vMerge w:val="restart"/>
            <w:vAlign w:val="center"/>
          </w:tcPr>
          <w:p w14:paraId="2DA4B4A4">
            <w:pPr>
              <w:jc w:val="center"/>
              <w:rPr>
                <w:rFonts w:ascii="宋体" w:hAnsi="宋体" w:cs="宋体"/>
                <w:color w:val="000000"/>
                <w:sz w:val="18"/>
                <w:szCs w:val="18"/>
                <w:highlight w:val="none"/>
              </w:rPr>
            </w:pPr>
            <w:r>
              <w:rPr>
                <w:rFonts w:hint="eastAsia" w:ascii="宋体" w:hAnsi="宋体" w:cs="宋体"/>
                <w:color w:val="000000"/>
                <w:sz w:val="18"/>
                <w:szCs w:val="18"/>
                <w:highlight w:val="none"/>
              </w:rPr>
              <w:t>信托公司</w:t>
            </w:r>
          </w:p>
        </w:tc>
        <w:tc>
          <w:tcPr>
            <w:tcW w:w="565" w:type="pct"/>
            <w:vAlign w:val="center"/>
          </w:tcPr>
          <w:p w14:paraId="05AE9CE5">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3395AAA9">
            <w:pPr>
              <w:jc w:val="center"/>
              <w:rPr>
                <w:rFonts w:ascii="宋体" w:hAnsi="宋体" w:cs="宋体"/>
                <w:color w:val="000000"/>
                <w:sz w:val="18"/>
                <w:szCs w:val="18"/>
                <w:highlight w:val="none"/>
              </w:rPr>
            </w:pPr>
            <w:r>
              <w:rPr>
                <w:rFonts w:hint="eastAsia" w:ascii="宋体" w:hAnsi="宋体" w:cs="宋体"/>
                <w:color w:val="000000"/>
                <w:sz w:val="18"/>
                <w:szCs w:val="18"/>
                <w:highlight w:val="none"/>
              </w:rPr>
              <w:t>400亿元(含)至1000亿元</w:t>
            </w:r>
          </w:p>
        </w:tc>
      </w:tr>
      <w:tr w14:paraId="7749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731" w:type="pct"/>
            <w:vMerge w:val="continue"/>
            <w:vAlign w:val="center"/>
          </w:tcPr>
          <w:p w14:paraId="7EA7BC12">
            <w:pPr>
              <w:jc w:val="center"/>
              <w:rPr>
                <w:rFonts w:ascii="宋体" w:hAnsi="宋体" w:cs="宋体"/>
                <w:color w:val="000000"/>
                <w:sz w:val="18"/>
                <w:szCs w:val="18"/>
                <w:highlight w:val="none"/>
              </w:rPr>
            </w:pPr>
          </w:p>
        </w:tc>
        <w:tc>
          <w:tcPr>
            <w:tcW w:w="918" w:type="pct"/>
            <w:vMerge w:val="continue"/>
            <w:vAlign w:val="center"/>
          </w:tcPr>
          <w:p w14:paraId="36BCBBDF">
            <w:pPr>
              <w:jc w:val="center"/>
              <w:rPr>
                <w:rFonts w:ascii="宋体" w:hAnsi="宋体" w:cs="宋体"/>
                <w:color w:val="000000"/>
                <w:sz w:val="18"/>
                <w:szCs w:val="18"/>
                <w:highlight w:val="none"/>
              </w:rPr>
            </w:pPr>
          </w:p>
        </w:tc>
        <w:tc>
          <w:tcPr>
            <w:tcW w:w="1186" w:type="pct"/>
            <w:vMerge w:val="continue"/>
            <w:vAlign w:val="center"/>
          </w:tcPr>
          <w:p w14:paraId="7ADFDE6B">
            <w:pPr>
              <w:jc w:val="center"/>
              <w:rPr>
                <w:rFonts w:ascii="宋体" w:hAnsi="宋体" w:cs="宋体"/>
                <w:color w:val="000000"/>
                <w:sz w:val="18"/>
                <w:szCs w:val="18"/>
                <w:highlight w:val="none"/>
              </w:rPr>
            </w:pPr>
          </w:p>
        </w:tc>
        <w:tc>
          <w:tcPr>
            <w:tcW w:w="565" w:type="pct"/>
            <w:vAlign w:val="center"/>
          </w:tcPr>
          <w:p w14:paraId="359DDD88">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4CC09087">
            <w:pPr>
              <w:jc w:val="center"/>
              <w:rPr>
                <w:rFonts w:ascii="宋体" w:hAnsi="宋体" w:cs="宋体"/>
                <w:color w:val="000000"/>
                <w:sz w:val="18"/>
                <w:szCs w:val="18"/>
                <w:highlight w:val="none"/>
              </w:rPr>
            </w:pPr>
            <w:r>
              <w:rPr>
                <w:rFonts w:hint="eastAsia" w:ascii="宋体" w:hAnsi="宋体" w:cs="宋体"/>
                <w:color w:val="000000"/>
                <w:sz w:val="18"/>
                <w:szCs w:val="18"/>
                <w:highlight w:val="none"/>
              </w:rPr>
              <w:t>20亿元(含)至400亿元</w:t>
            </w:r>
          </w:p>
        </w:tc>
      </w:tr>
      <w:tr w14:paraId="30DE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31" w:type="pct"/>
            <w:vMerge w:val="continue"/>
            <w:vAlign w:val="center"/>
          </w:tcPr>
          <w:p w14:paraId="681D8CC9">
            <w:pPr>
              <w:jc w:val="center"/>
              <w:rPr>
                <w:rFonts w:ascii="宋体" w:hAnsi="宋体" w:cs="宋体"/>
                <w:color w:val="000000"/>
                <w:sz w:val="18"/>
                <w:szCs w:val="18"/>
                <w:highlight w:val="none"/>
              </w:rPr>
            </w:pPr>
          </w:p>
        </w:tc>
        <w:tc>
          <w:tcPr>
            <w:tcW w:w="918" w:type="pct"/>
            <w:vMerge w:val="continue"/>
            <w:vAlign w:val="center"/>
          </w:tcPr>
          <w:p w14:paraId="2FA25FAC">
            <w:pPr>
              <w:jc w:val="center"/>
              <w:rPr>
                <w:rFonts w:ascii="宋体" w:hAnsi="宋体" w:cs="宋体"/>
                <w:color w:val="000000"/>
                <w:sz w:val="18"/>
                <w:szCs w:val="18"/>
                <w:highlight w:val="none"/>
              </w:rPr>
            </w:pPr>
          </w:p>
        </w:tc>
        <w:tc>
          <w:tcPr>
            <w:tcW w:w="1186" w:type="pct"/>
            <w:vMerge w:val="continue"/>
            <w:vAlign w:val="center"/>
          </w:tcPr>
          <w:p w14:paraId="66795983">
            <w:pPr>
              <w:jc w:val="center"/>
              <w:rPr>
                <w:rFonts w:ascii="宋体" w:hAnsi="宋体" w:cs="宋体"/>
                <w:color w:val="000000"/>
                <w:sz w:val="18"/>
                <w:szCs w:val="18"/>
                <w:highlight w:val="none"/>
              </w:rPr>
            </w:pPr>
          </w:p>
        </w:tc>
        <w:tc>
          <w:tcPr>
            <w:tcW w:w="565" w:type="pct"/>
            <w:vAlign w:val="center"/>
          </w:tcPr>
          <w:p w14:paraId="1A7EB48B">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4503161D">
            <w:pPr>
              <w:jc w:val="center"/>
              <w:rPr>
                <w:rFonts w:ascii="宋体" w:hAnsi="宋体" w:cs="宋体"/>
                <w:color w:val="000000"/>
                <w:sz w:val="18"/>
                <w:szCs w:val="18"/>
                <w:highlight w:val="none"/>
              </w:rPr>
            </w:pPr>
            <w:r>
              <w:rPr>
                <w:rFonts w:hint="eastAsia" w:ascii="宋体" w:hAnsi="宋体" w:cs="宋体"/>
                <w:color w:val="000000"/>
                <w:sz w:val="18"/>
                <w:szCs w:val="18"/>
                <w:highlight w:val="none"/>
              </w:rPr>
              <w:t>20亿元以下</w:t>
            </w:r>
          </w:p>
        </w:tc>
      </w:tr>
      <w:tr w14:paraId="169C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731" w:type="pct"/>
            <w:vMerge w:val="continue"/>
            <w:vAlign w:val="center"/>
          </w:tcPr>
          <w:p w14:paraId="1F7B864C">
            <w:pPr>
              <w:jc w:val="center"/>
              <w:rPr>
                <w:rFonts w:ascii="宋体" w:hAnsi="宋体" w:cs="宋体"/>
                <w:color w:val="000000"/>
                <w:sz w:val="18"/>
                <w:szCs w:val="18"/>
                <w:highlight w:val="none"/>
              </w:rPr>
            </w:pPr>
          </w:p>
        </w:tc>
        <w:tc>
          <w:tcPr>
            <w:tcW w:w="918" w:type="pct"/>
            <w:vMerge w:val="restart"/>
            <w:vAlign w:val="center"/>
          </w:tcPr>
          <w:p w14:paraId="0B4EB8EA">
            <w:pPr>
              <w:jc w:val="center"/>
              <w:rPr>
                <w:rFonts w:ascii="宋体" w:hAnsi="宋体" w:cs="宋体"/>
                <w:color w:val="000000"/>
                <w:sz w:val="18"/>
                <w:szCs w:val="18"/>
                <w:highlight w:val="none"/>
              </w:rPr>
            </w:pPr>
            <w:r>
              <w:rPr>
                <w:rFonts w:hint="eastAsia" w:ascii="宋体" w:hAnsi="宋体" w:cs="宋体"/>
                <w:color w:val="000000"/>
                <w:sz w:val="18"/>
                <w:szCs w:val="18"/>
                <w:highlight w:val="none"/>
              </w:rPr>
              <w:t>控股公司服务</w:t>
            </w:r>
          </w:p>
        </w:tc>
        <w:tc>
          <w:tcPr>
            <w:tcW w:w="1186" w:type="pct"/>
            <w:vMerge w:val="restart"/>
            <w:vAlign w:val="center"/>
          </w:tcPr>
          <w:p w14:paraId="0883C909">
            <w:pPr>
              <w:jc w:val="center"/>
              <w:rPr>
                <w:rFonts w:ascii="宋体" w:hAnsi="宋体" w:cs="宋体"/>
                <w:color w:val="000000"/>
                <w:sz w:val="18"/>
                <w:szCs w:val="18"/>
                <w:highlight w:val="none"/>
              </w:rPr>
            </w:pPr>
            <w:r>
              <w:rPr>
                <w:rFonts w:hint="eastAsia" w:ascii="宋体" w:hAnsi="宋体" w:cs="宋体"/>
                <w:color w:val="000000"/>
                <w:sz w:val="18"/>
                <w:szCs w:val="18"/>
                <w:highlight w:val="none"/>
              </w:rPr>
              <w:t>金融控股公司</w:t>
            </w:r>
          </w:p>
        </w:tc>
        <w:tc>
          <w:tcPr>
            <w:tcW w:w="565" w:type="pct"/>
            <w:vAlign w:val="center"/>
          </w:tcPr>
          <w:p w14:paraId="05AC87CF">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2690F385">
            <w:pPr>
              <w:jc w:val="center"/>
              <w:rPr>
                <w:rFonts w:ascii="宋体" w:hAnsi="宋体" w:cs="宋体"/>
                <w:color w:val="000000"/>
                <w:sz w:val="18"/>
                <w:szCs w:val="18"/>
                <w:highlight w:val="none"/>
              </w:rPr>
            </w:pPr>
            <w:r>
              <w:rPr>
                <w:rFonts w:hint="eastAsia" w:ascii="宋体" w:hAnsi="宋体" w:cs="宋体"/>
                <w:color w:val="000000"/>
                <w:sz w:val="18"/>
                <w:szCs w:val="18"/>
                <w:highlight w:val="none"/>
              </w:rPr>
              <w:t>5000亿元(含)至40000亿元</w:t>
            </w:r>
          </w:p>
        </w:tc>
      </w:tr>
      <w:tr w14:paraId="397E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731" w:type="pct"/>
            <w:vMerge w:val="continue"/>
            <w:vAlign w:val="center"/>
          </w:tcPr>
          <w:p w14:paraId="56EBA1CF">
            <w:pPr>
              <w:jc w:val="center"/>
              <w:rPr>
                <w:rFonts w:ascii="宋体" w:hAnsi="宋体" w:cs="宋体"/>
                <w:color w:val="000000"/>
                <w:sz w:val="18"/>
                <w:szCs w:val="18"/>
                <w:highlight w:val="none"/>
              </w:rPr>
            </w:pPr>
          </w:p>
        </w:tc>
        <w:tc>
          <w:tcPr>
            <w:tcW w:w="918" w:type="pct"/>
            <w:vMerge w:val="continue"/>
            <w:vAlign w:val="center"/>
          </w:tcPr>
          <w:p w14:paraId="601A167E">
            <w:pPr>
              <w:jc w:val="center"/>
              <w:rPr>
                <w:rFonts w:ascii="宋体" w:hAnsi="宋体" w:cs="宋体"/>
                <w:color w:val="000000"/>
                <w:sz w:val="18"/>
                <w:szCs w:val="18"/>
                <w:highlight w:val="none"/>
              </w:rPr>
            </w:pPr>
          </w:p>
        </w:tc>
        <w:tc>
          <w:tcPr>
            <w:tcW w:w="1186" w:type="pct"/>
            <w:vMerge w:val="continue"/>
            <w:vAlign w:val="center"/>
          </w:tcPr>
          <w:p w14:paraId="4DAC898F">
            <w:pPr>
              <w:jc w:val="center"/>
              <w:rPr>
                <w:rFonts w:ascii="宋体" w:hAnsi="宋体" w:cs="宋体"/>
                <w:color w:val="000000"/>
                <w:sz w:val="18"/>
                <w:szCs w:val="18"/>
                <w:highlight w:val="none"/>
              </w:rPr>
            </w:pPr>
          </w:p>
        </w:tc>
        <w:tc>
          <w:tcPr>
            <w:tcW w:w="565" w:type="pct"/>
            <w:vAlign w:val="center"/>
          </w:tcPr>
          <w:p w14:paraId="29E6B0EC">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5F52DA9F">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50亿元(含)至5000亿元</w:t>
            </w:r>
          </w:p>
        </w:tc>
      </w:tr>
      <w:tr w14:paraId="03BA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31" w:type="pct"/>
            <w:vMerge w:val="continue"/>
            <w:vAlign w:val="center"/>
          </w:tcPr>
          <w:p w14:paraId="5BE3ED05">
            <w:pPr>
              <w:jc w:val="center"/>
              <w:rPr>
                <w:rFonts w:ascii="宋体" w:hAnsi="宋体" w:cs="宋体"/>
                <w:color w:val="000000"/>
                <w:sz w:val="18"/>
                <w:szCs w:val="18"/>
                <w:highlight w:val="none"/>
              </w:rPr>
            </w:pPr>
          </w:p>
        </w:tc>
        <w:tc>
          <w:tcPr>
            <w:tcW w:w="918" w:type="pct"/>
            <w:vMerge w:val="continue"/>
            <w:vAlign w:val="center"/>
          </w:tcPr>
          <w:p w14:paraId="2BAB6C34">
            <w:pPr>
              <w:jc w:val="center"/>
              <w:rPr>
                <w:rFonts w:ascii="宋体" w:hAnsi="宋体" w:cs="宋体"/>
                <w:color w:val="000000"/>
                <w:sz w:val="18"/>
                <w:szCs w:val="18"/>
                <w:highlight w:val="none"/>
              </w:rPr>
            </w:pPr>
          </w:p>
        </w:tc>
        <w:tc>
          <w:tcPr>
            <w:tcW w:w="1186" w:type="pct"/>
            <w:vMerge w:val="continue"/>
            <w:vAlign w:val="center"/>
          </w:tcPr>
          <w:p w14:paraId="7A5EDF19">
            <w:pPr>
              <w:jc w:val="center"/>
              <w:rPr>
                <w:rFonts w:ascii="宋体" w:hAnsi="宋体" w:cs="宋体"/>
                <w:color w:val="000000"/>
                <w:sz w:val="18"/>
                <w:szCs w:val="18"/>
                <w:highlight w:val="none"/>
              </w:rPr>
            </w:pPr>
          </w:p>
        </w:tc>
        <w:tc>
          <w:tcPr>
            <w:tcW w:w="565" w:type="pct"/>
            <w:vAlign w:val="center"/>
          </w:tcPr>
          <w:p w14:paraId="37253C87">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15605B3E">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50亿元以下</w:t>
            </w:r>
          </w:p>
        </w:tc>
      </w:tr>
      <w:tr w14:paraId="5DC7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731" w:type="pct"/>
            <w:vMerge w:val="continue"/>
            <w:vAlign w:val="center"/>
          </w:tcPr>
          <w:p w14:paraId="4CFD2C63">
            <w:pPr>
              <w:jc w:val="center"/>
              <w:rPr>
                <w:rFonts w:ascii="宋体" w:hAnsi="宋体" w:cs="宋体"/>
                <w:color w:val="000000"/>
                <w:sz w:val="18"/>
                <w:szCs w:val="18"/>
                <w:highlight w:val="none"/>
              </w:rPr>
            </w:pPr>
          </w:p>
        </w:tc>
        <w:tc>
          <w:tcPr>
            <w:tcW w:w="918" w:type="pct"/>
            <w:vMerge w:val="restart"/>
            <w:vAlign w:val="center"/>
          </w:tcPr>
          <w:p w14:paraId="70D90729">
            <w:pPr>
              <w:jc w:val="center"/>
              <w:rPr>
                <w:rFonts w:ascii="宋体" w:hAnsi="宋体" w:cs="宋体"/>
                <w:color w:val="000000"/>
                <w:sz w:val="18"/>
                <w:szCs w:val="18"/>
                <w:highlight w:val="none"/>
              </w:rPr>
            </w:pPr>
          </w:p>
          <w:p w14:paraId="75D8D79A">
            <w:pPr>
              <w:jc w:val="center"/>
              <w:rPr>
                <w:rFonts w:ascii="宋体" w:hAnsi="宋体" w:cs="宋体"/>
                <w:color w:val="000000"/>
                <w:sz w:val="18"/>
                <w:szCs w:val="18"/>
                <w:highlight w:val="none"/>
              </w:rPr>
            </w:pPr>
            <w:r>
              <w:rPr>
                <w:rFonts w:hint="eastAsia" w:ascii="宋体" w:hAnsi="宋体" w:cs="宋体"/>
                <w:color w:val="000000"/>
                <w:sz w:val="18"/>
                <w:szCs w:val="18"/>
                <w:highlight w:val="none"/>
              </w:rPr>
              <w:t>其他未包括的金融业</w:t>
            </w:r>
          </w:p>
        </w:tc>
        <w:tc>
          <w:tcPr>
            <w:tcW w:w="1186" w:type="pct"/>
            <w:vMerge w:val="restart"/>
            <w:vAlign w:val="center"/>
          </w:tcPr>
          <w:p w14:paraId="176BE174">
            <w:pPr>
              <w:jc w:val="center"/>
              <w:rPr>
                <w:rFonts w:ascii="宋体" w:hAnsi="宋体" w:cs="宋体"/>
                <w:color w:val="000000"/>
                <w:sz w:val="18"/>
                <w:szCs w:val="18"/>
                <w:highlight w:val="none"/>
              </w:rPr>
            </w:pPr>
            <w:r>
              <w:rPr>
                <w:rFonts w:hint="eastAsia" w:ascii="宋体" w:hAnsi="宋体" w:cs="宋体"/>
                <w:color w:val="000000"/>
                <w:sz w:val="18"/>
                <w:szCs w:val="18"/>
                <w:highlight w:val="none"/>
              </w:rPr>
              <w:t>除贷款公司、小额贷款公 同、典当行以外的其他金 融机构</w:t>
            </w:r>
          </w:p>
        </w:tc>
        <w:tc>
          <w:tcPr>
            <w:tcW w:w="565" w:type="pct"/>
            <w:vAlign w:val="center"/>
          </w:tcPr>
          <w:p w14:paraId="7455A24F">
            <w:pPr>
              <w:jc w:val="center"/>
              <w:rPr>
                <w:rFonts w:ascii="宋体" w:hAnsi="宋体" w:cs="宋体"/>
                <w:color w:val="000000"/>
                <w:sz w:val="18"/>
                <w:szCs w:val="18"/>
                <w:highlight w:val="none"/>
              </w:rPr>
            </w:pPr>
            <w:r>
              <w:rPr>
                <w:rFonts w:hint="eastAsia" w:ascii="宋体" w:hAnsi="宋体" w:cs="宋体"/>
                <w:color w:val="000000"/>
                <w:sz w:val="18"/>
                <w:szCs w:val="18"/>
                <w:highlight w:val="none"/>
              </w:rPr>
              <w:t>中型</w:t>
            </w:r>
          </w:p>
        </w:tc>
        <w:tc>
          <w:tcPr>
            <w:tcW w:w="1597" w:type="pct"/>
            <w:vAlign w:val="center"/>
          </w:tcPr>
          <w:p w14:paraId="229BD48B">
            <w:pPr>
              <w:jc w:val="center"/>
              <w:rPr>
                <w:rFonts w:ascii="宋体" w:hAnsi="宋体" w:cs="宋体"/>
                <w:color w:val="000000"/>
                <w:sz w:val="18"/>
                <w:szCs w:val="18"/>
                <w:highlight w:val="none"/>
              </w:rPr>
            </w:pPr>
            <w:r>
              <w:rPr>
                <w:rFonts w:hint="eastAsia" w:ascii="宋体" w:hAnsi="宋体" w:cs="宋体"/>
                <w:color w:val="000000"/>
                <w:sz w:val="18"/>
                <w:szCs w:val="18"/>
                <w:highlight w:val="none"/>
              </w:rPr>
              <w:t>200亿元(含)至1000亿元</w:t>
            </w:r>
          </w:p>
        </w:tc>
      </w:tr>
      <w:tr w14:paraId="2B48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731" w:type="pct"/>
            <w:vMerge w:val="continue"/>
            <w:vAlign w:val="center"/>
          </w:tcPr>
          <w:p w14:paraId="62DCF155">
            <w:pPr>
              <w:jc w:val="center"/>
              <w:rPr>
                <w:rFonts w:ascii="宋体" w:hAnsi="宋体" w:cs="宋体"/>
                <w:color w:val="000000"/>
                <w:sz w:val="18"/>
                <w:szCs w:val="18"/>
                <w:highlight w:val="none"/>
              </w:rPr>
            </w:pPr>
          </w:p>
        </w:tc>
        <w:tc>
          <w:tcPr>
            <w:tcW w:w="918" w:type="pct"/>
            <w:vMerge w:val="continue"/>
            <w:vAlign w:val="center"/>
          </w:tcPr>
          <w:p w14:paraId="736DC273">
            <w:pPr>
              <w:jc w:val="center"/>
              <w:rPr>
                <w:rFonts w:ascii="宋体" w:hAnsi="宋体" w:cs="宋体"/>
                <w:color w:val="000000"/>
                <w:sz w:val="18"/>
                <w:szCs w:val="18"/>
                <w:highlight w:val="none"/>
              </w:rPr>
            </w:pPr>
          </w:p>
        </w:tc>
        <w:tc>
          <w:tcPr>
            <w:tcW w:w="1186" w:type="pct"/>
            <w:vMerge w:val="continue"/>
            <w:vAlign w:val="center"/>
          </w:tcPr>
          <w:p w14:paraId="5364923B">
            <w:pPr>
              <w:jc w:val="center"/>
              <w:rPr>
                <w:rFonts w:ascii="宋体" w:hAnsi="宋体" w:cs="宋体"/>
                <w:color w:val="000000"/>
                <w:sz w:val="18"/>
                <w:szCs w:val="18"/>
                <w:highlight w:val="none"/>
              </w:rPr>
            </w:pPr>
          </w:p>
        </w:tc>
        <w:tc>
          <w:tcPr>
            <w:tcW w:w="565" w:type="pct"/>
            <w:vAlign w:val="center"/>
          </w:tcPr>
          <w:p w14:paraId="7C4D66CC">
            <w:pPr>
              <w:jc w:val="center"/>
              <w:rPr>
                <w:rFonts w:ascii="宋体" w:hAnsi="宋体" w:cs="宋体"/>
                <w:color w:val="000000"/>
                <w:sz w:val="18"/>
                <w:szCs w:val="18"/>
                <w:highlight w:val="none"/>
              </w:rPr>
            </w:pPr>
            <w:r>
              <w:rPr>
                <w:rFonts w:hint="eastAsia" w:ascii="宋体" w:hAnsi="宋体" w:cs="宋体"/>
                <w:color w:val="000000"/>
                <w:sz w:val="18"/>
                <w:szCs w:val="18"/>
                <w:highlight w:val="none"/>
              </w:rPr>
              <w:t>小型</w:t>
            </w:r>
          </w:p>
        </w:tc>
        <w:tc>
          <w:tcPr>
            <w:tcW w:w="1597" w:type="pct"/>
            <w:vAlign w:val="center"/>
          </w:tcPr>
          <w:p w14:paraId="16CD2C37">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50亿元(含)至200亿元</w:t>
            </w:r>
          </w:p>
        </w:tc>
      </w:tr>
      <w:tr w14:paraId="2C1C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731" w:type="pct"/>
            <w:vMerge w:val="continue"/>
            <w:vAlign w:val="center"/>
          </w:tcPr>
          <w:p w14:paraId="4F103FB7">
            <w:pPr>
              <w:jc w:val="center"/>
              <w:rPr>
                <w:rFonts w:ascii="宋体" w:hAnsi="宋体" w:cs="宋体"/>
                <w:color w:val="000000"/>
                <w:sz w:val="18"/>
                <w:szCs w:val="18"/>
                <w:highlight w:val="none"/>
              </w:rPr>
            </w:pPr>
          </w:p>
        </w:tc>
        <w:tc>
          <w:tcPr>
            <w:tcW w:w="918" w:type="pct"/>
            <w:vMerge w:val="continue"/>
            <w:vAlign w:val="center"/>
          </w:tcPr>
          <w:p w14:paraId="7A76727F">
            <w:pPr>
              <w:jc w:val="center"/>
              <w:rPr>
                <w:rFonts w:ascii="宋体" w:hAnsi="宋体" w:cs="宋体"/>
                <w:color w:val="000000"/>
                <w:sz w:val="18"/>
                <w:szCs w:val="18"/>
                <w:highlight w:val="none"/>
              </w:rPr>
            </w:pPr>
          </w:p>
        </w:tc>
        <w:tc>
          <w:tcPr>
            <w:tcW w:w="1186" w:type="pct"/>
            <w:vMerge w:val="continue"/>
            <w:vAlign w:val="center"/>
          </w:tcPr>
          <w:p w14:paraId="1B34C3A3">
            <w:pPr>
              <w:jc w:val="center"/>
              <w:rPr>
                <w:rFonts w:ascii="宋体" w:hAnsi="宋体" w:cs="宋体"/>
                <w:color w:val="000000"/>
                <w:sz w:val="18"/>
                <w:szCs w:val="18"/>
                <w:highlight w:val="none"/>
              </w:rPr>
            </w:pPr>
          </w:p>
        </w:tc>
        <w:tc>
          <w:tcPr>
            <w:tcW w:w="565" w:type="pct"/>
            <w:vAlign w:val="center"/>
          </w:tcPr>
          <w:p w14:paraId="0F12C749">
            <w:pPr>
              <w:jc w:val="center"/>
              <w:rPr>
                <w:rFonts w:ascii="宋体" w:hAnsi="宋体" w:cs="宋体"/>
                <w:color w:val="000000"/>
                <w:sz w:val="18"/>
                <w:szCs w:val="18"/>
                <w:highlight w:val="none"/>
              </w:rPr>
            </w:pPr>
            <w:r>
              <w:rPr>
                <w:rFonts w:hint="eastAsia" w:ascii="宋体" w:hAnsi="宋体" w:cs="宋体"/>
                <w:color w:val="000000"/>
                <w:sz w:val="18"/>
                <w:szCs w:val="18"/>
                <w:highlight w:val="none"/>
              </w:rPr>
              <w:t>微型</w:t>
            </w:r>
          </w:p>
        </w:tc>
        <w:tc>
          <w:tcPr>
            <w:tcW w:w="1597" w:type="pct"/>
            <w:vAlign w:val="center"/>
          </w:tcPr>
          <w:p w14:paraId="3C148BE2">
            <w:pPr>
              <w:jc w:val="center"/>
              <w:rPr>
                <w:rFonts w:ascii="宋体" w:hAnsi="宋体" w:cs="宋体"/>
                <w:color w:val="000000"/>
                <w:sz w:val="18"/>
                <w:szCs w:val="18"/>
                <w:highlight w:val="none"/>
              </w:rPr>
            </w:pPr>
            <w:r>
              <w:rPr>
                <w:rFonts w:hint="eastAsia" w:ascii="宋体" w:hAnsi="宋体" w:cs="宋体"/>
                <w:color w:val="000000"/>
                <w:sz w:val="18"/>
                <w:szCs w:val="18"/>
                <w:highlight w:val="none"/>
              </w:rPr>
              <w:t>50亿元以下</w:t>
            </w:r>
          </w:p>
        </w:tc>
      </w:tr>
    </w:tbl>
    <w:p w14:paraId="212148D0">
      <w:pPr>
        <w:rPr>
          <w:rFonts w:eastAsia="黑体"/>
          <w:highlight w:val="none"/>
        </w:rPr>
      </w:pPr>
    </w:p>
    <w:p w14:paraId="576A948A">
      <w:pPr>
        <w:rPr>
          <w:rFonts w:ascii="黑体" w:eastAsia="黑体"/>
          <w:highlight w:val="none"/>
        </w:rPr>
      </w:pPr>
      <w:r>
        <w:rPr>
          <w:rFonts w:hint="eastAsia" w:ascii="黑体" w:eastAsia="黑体"/>
          <w:highlight w:val="none"/>
        </w:rPr>
        <w:br w:type="page"/>
      </w:r>
    </w:p>
    <w:p w14:paraId="006955BD">
      <w:pPr>
        <w:rPr>
          <w:rFonts w:ascii="黑体" w:eastAsia="黑体"/>
        </w:rPr>
      </w:pPr>
    </w:p>
    <w:p w14:paraId="0616EB4C">
      <w:pPr>
        <w:pStyle w:val="5"/>
        <w:jc w:val="center"/>
        <w:rPr>
          <w:rFonts w:ascii="黑体" w:eastAsia="黑体"/>
          <w:b w:val="0"/>
          <w:sz w:val="24"/>
          <w:szCs w:val="24"/>
        </w:rPr>
      </w:pPr>
      <w:r>
        <w:rPr>
          <w:rFonts w:hint="eastAsia" w:ascii="黑体" w:eastAsia="黑体"/>
          <w:b w:val="0"/>
          <w:sz w:val="24"/>
          <w:szCs w:val="24"/>
        </w:rPr>
        <w:t>四、项目详细报价</w:t>
      </w:r>
    </w:p>
    <w:p w14:paraId="36D49E63">
      <w:pPr>
        <w:rPr>
          <w:rFonts w:ascii="宋体" w:hAnsi="宋体" w:eastAsia="宋体" w:cs="宋体"/>
          <w:color w:val="000000"/>
          <w:sz w:val="21"/>
          <w:szCs w:val="21"/>
        </w:rPr>
      </w:pPr>
      <w:r>
        <w:rPr>
          <w:rFonts w:hint="eastAsia" w:ascii="宋体" w:hAnsi="宋体" w:eastAsia="宋体" w:cs="宋体"/>
          <w:color w:val="000000"/>
          <w:sz w:val="21"/>
          <w:szCs w:val="21"/>
        </w:rPr>
        <w:t xml:space="preserve">项目名称： </w:t>
      </w:r>
    </w:p>
    <w:p w14:paraId="515758BD">
      <w:pPr>
        <w:rPr>
          <w:rFonts w:ascii="宋体" w:hAnsi="宋体" w:eastAsia="宋体" w:cs="宋体"/>
          <w:color w:val="000000"/>
          <w:sz w:val="21"/>
          <w:szCs w:val="21"/>
        </w:rPr>
      </w:pPr>
      <w:r>
        <w:rPr>
          <w:rFonts w:hint="eastAsia" w:ascii="宋体" w:hAnsi="宋体" w:eastAsia="宋体" w:cs="宋体"/>
          <w:color w:val="000000"/>
          <w:sz w:val="21"/>
          <w:szCs w:val="21"/>
        </w:rPr>
        <w:t>项目编号：</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793"/>
        <w:gridCol w:w="2058"/>
        <w:gridCol w:w="2092"/>
      </w:tblGrid>
      <w:tr w14:paraId="69E2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5CB098A9">
            <w:pPr>
              <w:pStyle w:val="33"/>
              <w:jc w:val="center"/>
              <w:rPr>
                <w:rFonts w:eastAsia="宋体" w:cs="宋体"/>
                <w:b/>
                <w:bCs/>
                <w:color w:val="000000"/>
                <w:sz w:val="21"/>
                <w:szCs w:val="21"/>
              </w:rPr>
            </w:pPr>
            <w:r>
              <w:rPr>
                <w:rFonts w:hint="eastAsia" w:eastAsia="宋体" w:cs="宋体"/>
                <w:b/>
                <w:bCs/>
                <w:color w:val="000000"/>
                <w:sz w:val="21"/>
                <w:szCs w:val="21"/>
              </w:rPr>
              <w:t>序号</w:t>
            </w:r>
          </w:p>
        </w:tc>
        <w:tc>
          <w:tcPr>
            <w:tcW w:w="2094" w:type="pct"/>
            <w:vAlign w:val="center"/>
          </w:tcPr>
          <w:p w14:paraId="3B1F3796">
            <w:pPr>
              <w:pStyle w:val="33"/>
              <w:jc w:val="center"/>
              <w:rPr>
                <w:rFonts w:eastAsia="宋体" w:cs="宋体"/>
                <w:b/>
                <w:bCs/>
                <w:color w:val="000000"/>
                <w:sz w:val="21"/>
                <w:szCs w:val="21"/>
              </w:rPr>
            </w:pPr>
            <w:r>
              <w:rPr>
                <w:rFonts w:hint="eastAsia" w:eastAsia="宋体" w:cs="宋体"/>
                <w:b/>
                <w:bCs/>
                <w:color w:val="000000"/>
                <w:sz w:val="21"/>
                <w:szCs w:val="21"/>
              </w:rPr>
              <w:t>项目内容</w:t>
            </w:r>
          </w:p>
        </w:tc>
        <w:tc>
          <w:tcPr>
            <w:tcW w:w="1135" w:type="pct"/>
            <w:vAlign w:val="center"/>
          </w:tcPr>
          <w:p w14:paraId="75340B96">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金额（元）</w:t>
            </w:r>
          </w:p>
        </w:tc>
        <w:tc>
          <w:tcPr>
            <w:tcW w:w="1155" w:type="pct"/>
            <w:vAlign w:val="center"/>
          </w:tcPr>
          <w:p w14:paraId="1FAF2165">
            <w:pPr>
              <w:pStyle w:val="33"/>
              <w:jc w:val="center"/>
              <w:rPr>
                <w:rFonts w:eastAsia="宋体" w:cs="宋体"/>
                <w:b/>
                <w:bCs/>
                <w:color w:val="000000"/>
                <w:sz w:val="21"/>
                <w:szCs w:val="21"/>
              </w:rPr>
            </w:pPr>
            <w:r>
              <w:rPr>
                <w:rFonts w:hint="eastAsia" w:eastAsia="宋体" w:cs="宋体"/>
                <w:b/>
                <w:bCs/>
                <w:color w:val="000000"/>
                <w:sz w:val="21"/>
                <w:szCs w:val="21"/>
              </w:rPr>
              <w:t>备注</w:t>
            </w:r>
          </w:p>
        </w:tc>
      </w:tr>
      <w:tr w14:paraId="34D4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7EDDAE6E">
            <w:pPr>
              <w:pStyle w:val="33"/>
              <w:jc w:val="center"/>
              <w:rPr>
                <w:rFonts w:eastAsia="宋体" w:cs="宋体"/>
                <w:color w:val="000000"/>
                <w:sz w:val="21"/>
                <w:szCs w:val="21"/>
              </w:rPr>
            </w:pPr>
            <w:r>
              <w:rPr>
                <w:rFonts w:hint="eastAsia" w:eastAsia="宋体" w:cs="宋体"/>
                <w:color w:val="000000"/>
                <w:sz w:val="21"/>
                <w:szCs w:val="21"/>
              </w:rPr>
              <w:t>1</w:t>
            </w:r>
          </w:p>
        </w:tc>
        <w:tc>
          <w:tcPr>
            <w:tcW w:w="2094" w:type="pct"/>
          </w:tcPr>
          <w:p w14:paraId="514C7140">
            <w:pPr>
              <w:jc w:val="center"/>
              <w:rPr>
                <w:rFonts w:ascii="宋体" w:hAnsi="宋体" w:eastAsia="宋体" w:cs="宋体"/>
                <w:color w:val="000000"/>
                <w:sz w:val="21"/>
                <w:szCs w:val="21"/>
              </w:rPr>
            </w:pPr>
          </w:p>
        </w:tc>
        <w:tc>
          <w:tcPr>
            <w:tcW w:w="1135" w:type="pct"/>
            <w:vAlign w:val="center"/>
          </w:tcPr>
          <w:p w14:paraId="2B5AE612">
            <w:pPr>
              <w:pStyle w:val="33"/>
              <w:jc w:val="center"/>
              <w:rPr>
                <w:rFonts w:eastAsia="宋体" w:cs="宋体"/>
                <w:color w:val="000000"/>
                <w:sz w:val="21"/>
                <w:szCs w:val="21"/>
              </w:rPr>
            </w:pPr>
          </w:p>
        </w:tc>
        <w:tc>
          <w:tcPr>
            <w:tcW w:w="1155" w:type="pct"/>
            <w:vAlign w:val="center"/>
          </w:tcPr>
          <w:p w14:paraId="767E50AE">
            <w:pPr>
              <w:pStyle w:val="33"/>
              <w:jc w:val="center"/>
              <w:rPr>
                <w:rFonts w:eastAsia="宋体" w:cs="宋体"/>
                <w:color w:val="000000"/>
                <w:sz w:val="21"/>
                <w:szCs w:val="21"/>
              </w:rPr>
            </w:pPr>
          </w:p>
        </w:tc>
      </w:tr>
      <w:tr w14:paraId="6DB8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26E6D8BC">
            <w:pPr>
              <w:pStyle w:val="33"/>
              <w:jc w:val="center"/>
              <w:rPr>
                <w:rFonts w:eastAsia="宋体" w:cs="宋体"/>
                <w:color w:val="000000"/>
                <w:sz w:val="21"/>
                <w:szCs w:val="21"/>
              </w:rPr>
            </w:pPr>
            <w:r>
              <w:rPr>
                <w:rFonts w:hint="eastAsia" w:eastAsia="宋体" w:cs="宋体"/>
                <w:color w:val="000000"/>
                <w:sz w:val="21"/>
                <w:szCs w:val="21"/>
              </w:rPr>
              <w:t>2</w:t>
            </w:r>
          </w:p>
        </w:tc>
        <w:tc>
          <w:tcPr>
            <w:tcW w:w="2094" w:type="pct"/>
          </w:tcPr>
          <w:p w14:paraId="2AC3E40A">
            <w:pPr>
              <w:jc w:val="center"/>
              <w:rPr>
                <w:rFonts w:ascii="宋体" w:hAnsi="宋体" w:eastAsia="宋体" w:cs="宋体"/>
                <w:color w:val="000000"/>
                <w:sz w:val="21"/>
                <w:szCs w:val="21"/>
              </w:rPr>
            </w:pPr>
          </w:p>
        </w:tc>
        <w:tc>
          <w:tcPr>
            <w:tcW w:w="1135" w:type="pct"/>
            <w:vAlign w:val="center"/>
          </w:tcPr>
          <w:p w14:paraId="547DE9A6">
            <w:pPr>
              <w:pStyle w:val="33"/>
              <w:jc w:val="center"/>
              <w:rPr>
                <w:rFonts w:eastAsia="宋体" w:cs="宋体"/>
                <w:color w:val="000000"/>
                <w:sz w:val="21"/>
                <w:szCs w:val="21"/>
              </w:rPr>
            </w:pPr>
          </w:p>
        </w:tc>
        <w:tc>
          <w:tcPr>
            <w:tcW w:w="1155" w:type="pct"/>
            <w:vAlign w:val="center"/>
          </w:tcPr>
          <w:p w14:paraId="047E156B">
            <w:pPr>
              <w:pStyle w:val="33"/>
              <w:jc w:val="center"/>
              <w:rPr>
                <w:rFonts w:eastAsia="宋体" w:cs="宋体"/>
                <w:color w:val="000000"/>
                <w:sz w:val="21"/>
                <w:szCs w:val="21"/>
              </w:rPr>
            </w:pPr>
          </w:p>
        </w:tc>
      </w:tr>
      <w:tr w14:paraId="2BA5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08D78DF2">
            <w:pPr>
              <w:pStyle w:val="33"/>
              <w:jc w:val="center"/>
              <w:rPr>
                <w:rFonts w:eastAsia="宋体" w:cs="宋体"/>
                <w:color w:val="000000"/>
                <w:sz w:val="21"/>
                <w:szCs w:val="21"/>
              </w:rPr>
            </w:pPr>
            <w:r>
              <w:rPr>
                <w:rFonts w:hint="eastAsia" w:eastAsia="宋体" w:cs="宋体"/>
                <w:color w:val="000000"/>
                <w:sz w:val="21"/>
                <w:szCs w:val="21"/>
              </w:rPr>
              <w:t>3</w:t>
            </w:r>
          </w:p>
        </w:tc>
        <w:tc>
          <w:tcPr>
            <w:tcW w:w="2094" w:type="pct"/>
          </w:tcPr>
          <w:p w14:paraId="105A2308">
            <w:pPr>
              <w:jc w:val="center"/>
              <w:rPr>
                <w:rFonts w:ascii="宋体" w:hAnsi="宋体" w:eastAsia="宋体" w:cs="宋体"/>
                <w:color w:val="000000"/>
                <w:sz w:val="21"/>
                <w:szCs w:val="21"/>
              </w:rPr>
            </w:pPr>
          </w:p>
        </w:tc>
        <w:tc>
          <w:tcPr>
            <w:tcW w:w="1135" w:type="pct"/>
            <w:vAlign w:val="center"/>
          </w:tcPr>
          <w:p w14:paraId="2B1B8658">
            <w:pPr>
              <w:pStyle w:val="33"/>
              <w:jc w:val="center"/>
              <w:rPr>
                <w:rFonts w:eastAsia="宋体" w:cs="宋体"/>
                <w:color w:val="000000"/>
                <w:sz w:val="21"/>
                <w:szCs w:val="21"/>
              </w:rPr>
            </w:pPr>
          </w:p>
        </w:tc>
        <w:tc>
          <w:tcPr>
            <w:tcW w:w="1155" w:type="pct"/>
            <w:vAlign w:val="center"/>
          </w:tcPr>
          <w:p w14:paraId="297B54EA">
            <w:pPr>
              <w:pStyle w:val="33"/>
              <w:jc w:val="center"/>
              <w:rPr>
                <w:rFonts w:eastAsia="宋体" w:cs="宋体"/>
                <w:color w:val="000000"/>
                <w:sz w:val="21"/>
                <w:szCs w:val="21"/>
              </w:rPr>
            </w:pPr>
          </w:p>
        </w:tc>
      </w:tr>
      <w:tr w14:paraId="6DAC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vAlign w:val="center"/>
          </w:tcPr>
          <w:p w14:paraId="64A542ED">
            <w:pPr>
              <w:pStyle w:val="33"/>
              <w:jc w:val="center"/>
              <w:rPr>
                <w:rFonts w:eastAsia="宋体" w:cs="宋体"/>
                <w:color w:val="000000"/>
                <w:sz w:val="21"/>
                <w:szCs w:val="21"/>
              </w:rPr>
            </w:pPr>
            <w:r>
              <w:rPr>
                <w:rFonts w:hint="eastAsia" w:eastAsia="宋体" w:cs="宋体"/>
                <w:color w:val="000000"/>
                <w:sz w:val="21"/>
                <w:szCs w:val="21"/>
              </w:rPr>
              <w:t>...</w:t>
            </w:r>
          </w:p>
        </w:tc>
        <w:tc>
          <w:tcPr>
            <w:tcW w:w="2094" w:type="pct"/>
          </w:tcPr>
          <w:p w14:paraId="303B43B8">
            <w:pPr>
              <w:jc w:val="center"/>
              <w:rPr>
                <w:rFonts w:ascii="宋体" w:hAnsi="宋体" w:eastAsia="宋体" w:cs="宋体"/>
                <w:color w:val="000000"/>
                <w:sz w:val="21"/>
                <w:szCs w:val="21"/>
              </w:rPr>
            </w:pPr>
          </w:p>
        </w:tc>
        <w:tc>
          <w:tcPr>
            <w:tcW w:w="1135" w:type="pct"/>
            <w:vAlign w:val="center"/>
          </w:tcPr>
          <w:p w14:paraId="43352094">
            <w:pPr>
              <w:pStyle w:val="33"/>
              <w:jc w:val="center"/>
              <w:rPr>
                <w:rFonts w:eastAsia="宋体" w:cs="宋体"/>
                <w:color w:val="000000"/>
                <w:sz w:val="21"/>
                <w:szCs w:val="21"/>
              </w:rPr>
            </w:pPr>
          </w:p>
        </w:tc>
        <w:tc>
          <w:tcPr>
            <w:tcW w:w="1155" w:type="pct"/>
            <w:vAlign w:val="center"/>
          </w:tcPr>
          <w:p w14:paraId="56AC0559">
            <w:pPr>
              <w:pStyle w:val="33"/>
              <w:jc w:val="center"/>
              <w:rPr>
                <w:rFonts w:eastAsia="宋体" w:cs="宋体"/>
                <w:color w:val="000000"/>
                <w:sz w:val="21"/>
                <w:szCs w:val="21"/>
              </w:rPr>
            </w:pPr>
          </w:p>
        </w:tc>
      </w:tr>
      <w:tr w14:paraId="555F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vAlign w:val="center"/>
          </w:tcPr>
          <w:p w14:paraId="29E28350">
            <w:pPr>
              <w:pStyle w:val="33"/>
              <w:jc w:val="both"/>
              <w:rPr>
                <w:rFonts w:eastAsia="宋体" w:cs="宋体"/>
                <w:color w:val="000000"/>
                <w:sz w:val="21"/>
                <w:szCs w:val="21"/>
              </w:rPr>
            </w:pPr>
            <w:r>
              <w:rPr>
                <w:rFonts w:hint="eastAsia" w:eastAsia="宋体" w:cs="宋体"/>
                <w:bCs/>
                <w:color w:val="000000"/>
                <w:sz w:val="21"/>
                <w:szCs w:val="21"/>
              </w:rPr>
              <w:t>投标总价（元）：</w:t>
            </w:r>
            <w:r>
              <w:rPr>
                <w:rFonts w:hint="eastAsia" w:eastAsia="宋体" w:cs="宋体"/>
                <w:bCs/>
                <w:color w:val="000000"/>
                <w:sz w:val="21"/>
                <w:szCs w:val="21"/>
              </w:rPr>
              <w:tab/>
            </w:r>
          </w:p>
        </w:tc>
        <w:tc>
          <w:tcPr>
            <w:tcW w:w="1155" w:type="pct"/>
            <w:vAlign w:val="center"/>
          </w:tcPr>
          <w:p w14:paraId="6F529716">
            <w:pPr>
              <w:pStyle w:val="33"/>
              <w:jc w:val="both"/>
              <w:rPr>
                <w:rFonts w:eastAsia="宋体" w:cs="宋体"/>
                <w:color w:val="000000"/>
                <w:sz w:val="21"/>
                <w:szCs w:val="21"/>
              </w:rPr>
            </w:pPr>
          </w:p>
        </w:tc>
      </w:tr>
    </w:tbl>
    <w:p w14:paraId="0A6DA734">
      <w:pPr>
        <w:rPr>
          <w:rFonts w:ascii="宋体" w:hAnsi="宋体" w:eastAsia="宋体" w:cs="宋体"/>
          <w:b/>
          <w:bCs/>
          <w:color w:val="000000"/>
          <w:sz w:val="21"/>
          <w:szCs w:val="21"/>
        </w:rPr>
      </w:pPr>
      <w:r>
        <w:rPr>
          <w:rFonts w:hint="eastAsia" w:ascii="宋体" w:hAnsi="宋体" w:eastAsia="宋体" w:cs="宋体"/>
          <w:b/>
          <w:bCs/>
          <w:color w:val="000000"/>
          <w:sz w:val="21"/>
          <w:szCs w:val="21"/>
        </w:rPr>
        <w:t>注：</w:t>
      </w:r>
    </w:p>
    <w:p w14:paraId="59727804">
      <w:pPr>
        <w:tabs>
          <w:tab w:val="left" w:pos="424"/>
        </w:tabs>
        <w:rPr>
          <w:rFonts w:ascii="宋体" w:hAnsi="宋体" w:eastAsia="宋体" w:cs="宋体"/>
          <w:b/>
          <w:color w:val="000000"/>
          <w:sz w:val="21"/>
          <w:szCs w:val="21"/>
        </w:rPr>
      </w:pPr>
      <w:r>
        <w:rPr>
          <w:rFonts w:hint="eastAsia" w:ascii="宋体" w:hAnsi="宋体" w:eastAsia="宋体" w:cs="宋体"/>
          <w:b/>
          <w:color w:val="000000"/>
          <w:sz w:val="21"/>
          <w:szCs w:val="21"/>
        </w:rPr>
        <w:t>1.本表格仅为指导性范本，供应商应根据项目具体情况对各分项内容进行调整提供详细分项报价。</w:t>
      </w:r>
    </w:p>
    <w:p w14:paraId="41350782">
      <w:pPr>
        <w:tabs>
          <w:tab w:val="left" w:pos="424"/>
        </w:tabs>
        <w:rPr>
          <w:rFonts w:ascii="宋体" w:hAnsi="宋体" w:eastAsia="宋体" w:cs="宋体"/>
          <w:b/>
          <w:sz w:val="21"/>
          <w:szCs w:val="21"/>
        </w:rPr>
      </w:pPr>
      <w:r>
        <w:rPr>
          <w:rFonts w:hint="eastAsia" w:ascii="宋体" w:hAnsi="宋体" w:eastAsia="宋体" w:cs="宋体"/>
          <w:b/>
          <w:color w:val="000000"/>
          <w:sz w:val="21"/>
          <w:szCs w:val="21"/>
        </w:rPr>
        <w:t>2.分项报价的汇总价等于“开标一览表”中的</w:t>
      </w:r>
      <w:r>
        <w:rPr>
          <w:rFonts w:hint="eastAsia" w:ascii="宋体" w:hAnsi="宋体" w:eastAsia="宋体" w:cs="宋体"/>
          <w:b/>
          <w:sz w:val="21"/>
          <w:szCs w:val="21"/>
        </w:rPr>
        <w:t>报价总价。</w:t>
      </w:r>
    </w:p>
    <w:p w14:paraId="71CF7369">
      <w:pPr>
        <w:rPr>
          <w:rFonts w:ascii="宋体" w:hAnsi="宋体" w:eastAsia="宋体" w:cs="宋体"/>
          <w:b/>
          <w:sz w:val="21"/>
          <w:szCs w:val="21"/>
        </w:rPr>
      </w:pPr>
      <w:r>
        <w:rPr>
          <w:rFonts w:hint="eastAsia" w:ascii="宋体" w:hAnsi="宋体" w:eastAsia="宋体" w:cs="宋体"/>
          <w:b/>
          <w:bCs/>
          <w:sz w:val="21"/>
          <w:szCs w:val="21"/>
        </w:rPr>
        <w:t>3.</w:t>
      </w:r>
      <w:r>
        <w:rPr>
          <w:rFonts w:hint="eastAsia" w:ascii="宋体" w:hAnsi="宋体" w:eastAsia="宋体" w:cs="宋体"/>
          <w:b/>
          <w:sz w:val="21"/>
          <w:szCs w:val="21"/>
        </w:rPr>
        <w:t>如果以上内容无法满足投标人对报价描述，可自行添加包含在价格因素内的一切内容，但不提供详细分项报价将视为没有实质性响应招标文件</w:t>
      </w:r>
      <w:r>
        <w:rPr>
          <w:rFonts w:hint="eastAsia" w:ascii="宋体" w:hAnsi="宋体" w:eastAsia="宋体" w:cs="宋体"/>
          <w:sz w:val="21"/>
          <w:szCs w:val="21"/>
        </w:rPr>
        <w:t>。</w:t>
      </w:r>
    </w:p>
    <w:p w14:paraId="6276B6E1"/>
    <w:p w14:paraId="09BF141B">
      <w:pPr>
        <w:pStyle w:val="5"/>
        <w:jc w:val="center"/>
        <w:rPr>
          <w:rFonts w:hint="eastAsia" w:ascii="宋体" w:hAnsi="宋体" w:eastAsia="宋体" w:cs="Times New Roman"/>
          <w:bCs w:val="0"/>
          <w:sz w:val="24"/>
          <w:szCs w:val="24"/>
          <w:lang w:eastAsia="zh-CN"/>
        </w:rPr>
      </w:pPr>
      <w:r>
        <w:rPr>
          <w:rFonts w:hint="eastAsia" w:ascii="宋体" w:hAnsi="宋体" w:eastAsia="宋体" w:cs="Times New Roman"/>
          <w:bCs w:val="0"/>
          <w:sz w:val="24"/>
          <w:szCs w:val="24"/>
        </w:rPr>
        <w:t>五、</w:t>
      </w:r>
      <w:r>
        <w:rPr>
          <w:rFonts w:hint="eastAsia" w:ascii="宋体" w:hAnsi="宋体" w:eastAsia="宋体" w:cs="Times New Roman"/>
          <w:bCs w:val="0"/>
          <w:sz w:val="24"/>
          <w:szCs w:val="24"/>
          <w:lang w:val="zh-CN"/>
        </w:rPr>
        <w:t>投标人认证情况</w:t>
      </w:r>
    </w:p>
    <w:p w14:paraId="60E6469D">
      <w:pPr>
        <w:pStyle w:val="5"/>
        <w:jc w:val="center"/>
        <w:rPr>
          <w:rFonts w:hint="eastAsia" w:ascii="宋体" w:hAnsi="宋体" w:eastAsia="宋体" w:cs="Times New Roman"/>
          <w:bCs w:val="0"/>
          <w:sz w:val="24"/>
          <w:szCs w:val="24"/>
        </w:rPr>
      </w:pPr>
      <w:r>
        <w:rPr>
          <w:rFonts w:hint="eastAsia" w:ascii="宋体" w:hAnsi="宋体" w:eastAsia="宋体" w:cs="Times New Roman"/>
          <w:bCs w:val="0"/>
          <w:sz w:val="24"/>
          <w:szCs w:val="24"/>
        </w:rPr>
        <w:t>六、服务网点</w:t>
      </w:r>
    </w:p>
    <w:p w14:paraId="5C9FD7AE">
      <w:pPr>
        <w:spacing w:line="360" w:lineRule="auto"/>
        <w:rPr>
          <w:rFonts w:hint="eastAsia" w:ascii="仿宋" w:hAnsi="仿宋" w:eastAsia="仿宋"/>
          <w:sz w:val="24"/>
          <w:lang w:val="en-US" w:eastAsia="zh-CN"/>
        </w:rPr>
      </w:pPr>
      <w:r>
        <w:rPr>
          <w:rFonts w:hint="eastAsia" w:ascii="仿宋" w:hAnsi="仿宋" w:eastAsia="仿宋"/>
          <w:sz w:val="24"/>
        </w:rPr>
        <w:t>致：友和保险经纪有限公司、</w:t>
      </w:r>
      <w:r>
        <w:rPr>
          <w:rFonts w:hint="eastAsia" w:ascii="仿宋" w:hAnsi="仿宋" w:eastAsia="仿宋"/>
          <w:sz w:val="24"/>
          <w:lang w:eastAsia="zh-CN"/>
        </w:rPr>
        <w:t>深圳市公安局监所管理支队</w:t>
      </w:r>
    </w:p>
    <w:p w14:paraId="11243F24">
      <w:pPr>
        <w:spacing w:line="360" w:lineRule="auto"/>
        <w:rPr>
          <w:rFonts w:ascii="仿宋" w:hAnsi="仿宋" w:eastAsia="仿宋"/>
          <w:sz w:val="24"/>
        </w:rPr>
      </w:pPr>
    </w:p>
    <w:p w14:paraId="5275D4C9">
      <w:pPr>
        <w:spacing w:line="360" w:lineRule="auto"/>
        <w:ind w:firstLine="464" w:firstLineChars="200"/>
        <w:rPr>
          <w:rFonts w:ascii="仿宋" w:hAnsi="仿宋" w:eastAsia="仿宋"/>
          <w:sz w:val="24"/>
        </w:rPr>
      </w:pPr>
      <w:r>
        <w:rPr>
          <w:rFonts w:hint="eastAsia" w:ascii="仿宋" w:hAnsi="仿宋" w:eastAsia="仿宋"/>
          <w:sz w:val="24"/>
        </w:rPr>
        <w:t>我单位承诺，中标后为本项目提供本地经营（服务）网点，如不遵守相应承诺，愿按违约处理，并承担由此给采购人带来的损失。</w:t>
      </w:r>
    </w:p>
    <w:p w14:paraId="7082429C">
      <w:pPr>
        <w:rPr>
          <w:rFonts w:hint="eastAsia"/>
          <w:lang w:eastAsia="zh-CN"/>
        </w:rPr>
      </w:pPr>
    </w:p>
    <w:p w14:paraId="44A235D5">
      <w:pPr>
        <w:pStyle w:val="5"/>
        <w:jc w:val="center"/>
        <w:rPr>
          <w:bCs w:val="0"/>
          <w:color w:val="000000" w:themeColor="text1"/>
          <w:sz w:val="24"/>
          <w:szCs w:val="24"/>
          <w14:textFill>
            <w14:solidFill>
              <w14:schemeClr w14:val="tx1"/>
            </w14:solidFill>
          </w14:textFill>
        </w:rPr>
      </w:pPr>
      <w:r>
        <w:rPr>
          <w:rFonts w:hint="eastAsia"/>
          <w:bCs w:val="0"/>
          <w:sz w:val="24"/>
          <w:szCs w:val="24"/>
        </w:rPr>
        <w:t>七、</w:t>
      </w:r>
      <w:r>
        <w:rPr>
          <w:rFonts w:hint="eastAsia"/>
          <w:bCs w:val="0"/>
          <w:color w:val="000000" w:themeColor="text1"/>
          <w:sz w:val="24"/>
          <w:szCs w:val="24"/>
          <w14:textFill>
            <w14:solidFill>
              <w14:schemeClr w14:val="tx1"/>
            </w14:solidFill>
          </w14:textFill>
        </w:rPr>
        <w:t>投标人认为需要加以说明的其他内容（格式自定）</w:t>
      </w:r>
    </w:p>
    <w:p w14:paraId="1FDAD4C0">
      <w:pPr>
        <w:rPr>
          <w:rFonts w:eastAsia="黑体"/>
          <w:bCs/>
        </w:rPr>
      </w:pPr>
    </w:p>
    <w:p w14:paraId="5C9AB996">
      <w:pPr>
        <w:rPr>
          <w:color w:val="000000" w:themeColor="text1"/>
          <w14:textFill>
            <w14:solidFill>
              <w14:schemeClr w14:val="tx1"/>
            </w14:solidFill>
          </w14:textFill>
        </w:rPr>
      </w:pPr>
    </w:p>
    <w:p w14:paraId="66D89ED8">
      <w:pPr>
        <w:rPr>
          <w:color w:val="000000" w:themeColor="text1"/>
          <w14:textFill>
            <w14:solidFill>
              <w14:schemeClr w14:val="tx1"/>
            </w14:solidFill>
          </w14:textFill>
        </w:rPr>
      </w:pPr>
    </w:p>
    <w:p w14:paraId="28BACC92">
      <w:pPr>
        <w:ind w:firstLine="1392" w:firstLineChars="600"/>
        <w:rPr>
          <w:b/>
          <w:color w:val="FF0000"/>
        </w:rPr>
      </w:pPr>
      <w:r>
        <w:rPr>
          <w:rFonts w:hint="eastAsia"/>
          <w:b/>
          <w:color w:val="FF0000"/>
        </w:rPr>
        <w:t>（信息公开部分的内容到此为止！以下为信息不公开部分。）</w:t>
      </w:r>
    </w:p>
    <w:p w14:paraId="59FBE563">
      <w:pPr>
        <w:ind w:firstLine="1392" w:firstLineChars="600"/>
        <w:rPr>
          <w:b/>
          <w:color w:val="FF0000"/>
        </w:rPr>
      </w:pPr>
    </w:p>
    <w:p w14:paraId="2AC61E52">
      <w:pPr>
        <w:ind w:firstLine="1392" w:firstLineChars="600"/>
        <w:rPr>
          <w:b/>
          <w:color w:val="FF0000"/>
        </w:rPr>
      </w:pPr>
    </w:p>
    <w:p w14:paraId="3B85A7B0">
      <w:pPr>
        <w:rPr>
          <w:b/>
          <w:color w:val="FF0000"/>
        </w:rPr>
      </w:pPr>
      <w:r>
        <w:rPr>
          <w:b/>
          <w:color w:val="FF0000"/>
        </w:rPr>
        <w:br w:type="page"/>
      </w:r>
    </w:p>
    <w:p w14:paraId="6CA24C95">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2D9D4843">
      <w:pPr>
        <w:pStyle w:val="5"/>
        <w:jc w:val="center"/>
        <w:rPr>
          <w:rFonts w:ascii="黑体" w:eastAsia="黑体"/>
          <w:b w:val="0"/>
          <w:sz w:val="24"/>
        </w:rPr>
      </w:pPr>
      <w:r>
        <w:rPr>
          <w:rFonts w:hint="eastAsia" w:ascii="黑体" w:eastAsia="黑体"/>
          <w:bCs w:val="0"/>
          <w:color w:val="000000" w:themeColor="text1"/>
          <w:sz w:val="24"/>
          <w14:textFill>
            <w14:solidFill>
              <w14:schemeClr w14:val="tx1"/>
            </w14:solidFill>
          </w14:textFill>
        </w:rPr>
        <w:t>一、</w:t>
      </w:r>
      <w:bookmarkStart w:id="40" w:name="_Hlk72092499"/>
      <w:r>
        <w:rPr>
          <w:rFonts w:hint="eastAsia" w:ascii="黑体" w:eastAsia="黑体"/>
          <w:b w:val="0"/>
          <w:sz w:val="24"/>
        </w:rPr>
        <w:t>法定代表人（负责人或</w:t>
      </w:r>
      <w:r>
        <w:rPr>
          <w:rFonts w:hint="eastAsia" w:ascii="黑体" w:eastAsia="黑体"/>
          <w:b w:val="0"/>
          <w:color w:val="4F81BD" w:themeColor="accent1"/>
          <w:sz w:val="24"/>
          <w14:textFill>
            <w14:solidFill>
              <w14:schemeClr w14:val="accent1"/>
            </w14:solidFill>
          </w14:textFill>
        </w:rPr>
        <w:t>执行事务合伙人</w:t>
      </w:r>
      <w:r>
        <w:rPr>
          <w:rFonts w:hint="eastAsia" w:ascii="黑体" w:eastAsia="黑体"/>
          <w:b w:val="0"/>
          <w:sz w:val="24"/>
        </w:rPr>
        <w:t>）资格证明书</w:t>
      </w:r>
      <w:bookmarkEnd w:id="40"/>
    </w:p>
    <w:p w14:paraId="14E4492C">
      <w:pPr>
        <w:widowControl w:val="0"/>
        <w:spacing w:line="34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致友和保险经纪有限公司：</w:t>
      </w:r>
    </w:p>
    <w:p w14:paraId="4AB359ED">
      <w:pPr>
        <w:spacing w:line="340" w:lineRule="exact"/>
        <w:rPr>
          <w:rFonts w:asciiTheme="minorEastAsia" w:hAnsiTheme="minorEastAsia" w:eastAsiaTheme="minorEastAsia" w:cstheme="minorEastAsia"/>
        </w:rPr>
      </w:pPr>
    </w:p>
    <w:p w14:paraId="24377976">
      <w:pPr>
        <w:widowControl w:val="0"/>
        <w:spacing w:line="340" w:lineRule="exact"/>
        <w:ind w:firstLine="464" w:firstLineChars="200"/>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单位名称：</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u w:val="single"/>
        </w:rPr>
        <w:softHyphen/>
      </w:r>
      <w:r>
        <w:rPr>
          <w:rFonts w:hint="eastAsia" w:asciiTheme="minorEastAsia" w:hAnsiTheme="minorEastAsia" w:eastAsiaTheme="minorEastAsia" w:cstheme="minorEastAsia"/>
          <w:color w:val="000000"/>
          <w:u w:val="single"/>
        </w:rPr>
        <w:softHyphen/>
      </w:r>
      <w:r>
        <w:rPr>
          <w:rFonts w:hint="eastAsia" w:asciiTheme="minorEastAsia" w:hAnsiTheme="minorEastAsia" w:eastAsiaTheme="minorEastAsia" w:cstheme="minorEastAsia"/>
          <w:color w:val="000000"/>
          <w:u w:val="single"/>
        </w:rPr>
        <w:softHyphen/>
      </w:r>
      <w:r>
        <w:rPr>
          <w:rFonts w:hint="eastAsia" w:asciiTheme="minorEastAsia" w:hAnsiTheme="minorEastAsia" w:eastAsiaTheme="minorEastAsia" w:cstheme="minorEastAsia"/>
          <w:color w:val="000000"/>
          <w:u w:val="single"/>
        </w:rPr>
        <w:softHyphen/>
      </w:r>
      <w:r>
        <w:rPr>
          <w:rFonts w:hint="eastAsia" w:asciiTheme="minorEastAsia" w:hAnsiTheme="minorEastAsia" w:eastAsiaTheme="minorEastAsia" w:cstheme="minorEastAsia"/>
          <w:color w:val="000000"/>
          <w:u w:val="single"/>
        </w:rPr>
        <w:softHyphen/>
      </w:r>
    </w:p>
    <w:p w14:paraId="2E0C1EE3">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    址：</w:t>
      </w:r>
      <w:r>
        <w:rPr>
          <w:rFonts w:hint="eastAsia" w:asciiTheme="minorEastAsia" w:hAnsiTheme="minorEastAsia" w:eastAsiaTheme="minorEastAsia" w:cstheme="minorEastAsia"/>
          <w:color w:val="000000"/>
          <w:u w:val="single"/>
        </w:rPr>
        <w:t xml:space="preserve">                   </w:t>
      </w:r>
    </w:p>
    <w:p w14:paraId="6D1F53B1">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姓    名：</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 xml:space="preserve"> 性别：</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 xml:space="preserve"> 年龄：</w:t>
      </w:r>
      <w:r>
        <w:rPr>
          <w:rFonts w:hint="eastAsia" w:asciiTheme="minorEastAsia" w:hAnsiTheme="minorEastAsia" w:eastAsiaTheme="minorEastAsia" w:cstheme="minorEastAsia"/>
          <w:color w:val="000000"/>
          <w:u w:val="single"/>
        </w:rPr>
        <w:t xml:space="preserve">          </w:t>
      </w:r>
    </w:p>
    <w:p w14:paraId="3FEE61C3">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身份证号码：</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职务：</w:t>
      </w:r>
      <w:r>
        <w:rPr>
          <w:rFonts w:hint="eastAsia" w:asciiTheme="minorEastAsia" w:hAnsiTheme="minorEastAsia" w:eastAsiaTheme="minorEastAsia" w:cstheme="minorEastAsia"/>
          <w:color w:val="000000"/>
          <w:u w:val="single"/>
        </w:rPr>
        <w:t xml:space="preserve">                   </w:t>
      </w:r>
    </w:p>
    <w:p w14:paraId="1F7E77F7">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联系电话或手机号码</w:t>
      </w:r>
      <w:r>
        <w:rPr>
          <w:rFonts w:hint="eastAsia" w:asciiTheme="minorEastAsia" w:hAnsiTheme="minorEastAsia" w:eastAsiaTheme="minorEastAsia" w:cstheme="minorEastAsia"/>
          <w:color w:val="000000"/>
          <w:highlight w:val="yellow"/>
          <w:u w:val="single"/>
        </w:rPr>
        <w:t>：（如法定代表人为投标人代表，则必须需填写此项）</w:t>
      </w:r>
      <w:r>
        <w:rPr>
          <w:rFonts w:hint="eastAsia" w:asciiTheme="minorEastAsia" w:hAnsiTheme="minorEastAsia" w:eastAsiaTheme="minorEastAsia" w:cstheme="minorEastAsia"/>
          <w:color w:val="000000"/>
          <w:highlight w:val="yellow"/>
        </w:rPr>
        <w:t>。</w:t>
      </w:r>
    </w:p>
    <w:p w14:paraId="1D62475C">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我系</w:t>
      </w:r>
      <w:r>
        <w:rPr>
          <w:rFonts w:hint="eastAsia" w:asciiTheme="minorEastAsia" w:hAnsiTheme="minorEastAsia" w:eastAsiaTheme="minorEastAsia" w:cstheme="minorEastAsia"/>
          <w:color w:val="000000"/>
          <w:u w:val="single"/>
        </w:rPr>
        <w:t xml:space="preserve">  投标人名称 </w:t>
      </w:r>
      <w:r>
        <w:rPr>
          <w:rFonts w:hint="eastAsia" w:asciiTheme="minorEastAsia" w:hAnsiTheme="minorEastAsia" w:eastAsiaTheme="minorEastAsia" w:cstheme="minorEastAsia"/>
          <w:color w:val="000000"/>
        </w:rPr>
        <w:t>的法定代表人（负责人或执行事务合伙人）。本证明书用于</w:t>
      </w:r>
      <w:r>
        <w:rPr>
          <w:rFonts w:hint="eastAsia" w:asciiTheme="minorEastAsia" w:hAnsiTheme="minorEastAsia" w:eastAsiaTheme="minorEastAsia" w:cstheme="minorEastAsia"/>
          <w:color w:val="000000"/>
          <w:u w:val="single"/>
        </w:rPr>
        <w:t xml:space="preserve"> 投标人名称 </w:t>
      </w:r>
      <w:r>
        <w:rPr>
          <w:rFonts w:hint="eastAsia" w:asciiTheme="minorEastAsia" w:hAnsiTheme="minorEastAsia" w:eastAsiaTheme="minorEastAsia" w:cstheme="minorEastAsia"/>
          <w:color w:val="000000"/>
        </w:rPr>
        <w:t>签署</w:t>
      </w:r>
      <w:r>
        <w:rPr>
          <w:rFonts w:hint="eastAsia" w:asciiTheme="minorEastAsia" w:hAnsiTheme="minorEastAsia" w:eastAsiaTheme="minorEastAsia" w:cstheme="minorEastAsia"/>
          <w:color w:val="000000"/>
          <w:u w:val="single"/>
        </w:rPr>
        <w:t xml:space="preserve"> 项目名称（项目编号）</w:t>
      </w:r>
      <w:r>
        <w:rPr>
          <w:rFonts w:hint="eastAsia" w:asciiTheme="minorEastAsia" w:hAnsiTheme="minorEastAsia" w:eastAsiaTheme="minorEastAsia" w:cstheme="minorEastAsia"/>
          <w:color w:val="000000"/>
        </w:rPr>
        <w:t>项目的投标文件、进行合同投标、签署合同和处理与之有关的一切事务。</w:t>
      </w:r>
    </w:p>
    <w:p w14:paraId="6F43E6C0">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特此证明。</w:t>
      </w:r>
    </w:p>
    <w:p w14:paraId="7B9A6710">
      <w:pPr>
        <w:widowControl w:val="0"/>
        <w:spacing w:line="34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日  期：</w:t>
      </w:r>
      <w:r>
        <w:rPr>
          <w:rFonts w:hint="eastAsia"/>
          <w:szCs w:val="21"/>
          <w:u w:val="single"/>
        </w:rPr>
        <w:t xml:space="preserve">      </w:t>
      </w:r>
      <w:r>
        <w:rPr>
          <w:rFonts w:hint="eastAsia" w:asciiTheme="minorEastAsia" w:hAnsiTheme="minorEastAsia" w:eastAsiaTheme="minorEastAsia" w:cstheme="minorEastAsia"/>
          <w:color w:val="000000"/>
        </w:rPr>
        <w:t>年</w:t>
      </w:r>
      <w:r>
        <w:rPr>
          <w:rFonts w:hint="eastAsia"/>
          <w:szCs w:val="21"/>
          <w:u w:val="single"/>
        </w:rPr>
        <w:t xml:space="preserve">      </w:t>
      </w:r>
      <w:r>
        <w:rPr>
          <w:rFonts w:hint="eastAsia" w:asciiTheme="minorEastAsia" w:hAnsiTheme="minorEastAsia" w:eastAsiaTheme="minorEastAsia" w:cstheme="minorEastAsia"/>
          <w:color w:val="000000"/>
        </w:rPr>
        <w:t>月</w:t>
      </w:r>
      <w:r>
        <w:rPr>
          <w:rFonts w:hint="eastAsia"/>
          <w:szCs w:val="21"/>
          <w:u w:val="single"/>
        </w:rPr>
        <w:t xml:space="preserve">      </w:t>
      </w:r>
      <w:r>
        <w:rPr>
          <w:rFonts w:hint="eastAsia" w:asciiTheme="minorEastAsia" w:hAnsiTheme="minorEastAsia" w:eastAsiaTheme="minorEastAsia" w:cstheme="minorEastAsia"/>
          <w:color w:val="000000"/>
        </w:rPr>
        <w:t>日</w:t>
      </w:r>
    </w:p>
    <w:p w14:paraId="6458C572">
      <w:pPr>
        <w:spacing w:line="340" w:lineRule="exact"/>
        <w:rPr>
          <w:rFonts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rPr>
        <mc:AlternateContent>
          <mc:Choice Requires="wps">
            <w:drawing>
              <wp:anchor distT="0" distB="0" distL="114300" distR="114300" simplePos="0" relativeHeight="251660288" behindDoc="0" locked="0" layoutInCell="1" allowOverlap="1">
                <wp:simplePos x="0" y="0"/>
                <wp:positionH relativeFrom="column">
                  <wp:posOffset>2999740</wp:posOffset>
                </wp:positionH>
                <wp:positionV relativeFrom="paragraph">
                  <wp:posOffset>113030</wp:posOffset>
                </wp:positionV>
                <wp:extent cx="2782570" cy="1920875"/>
                <wp:effectExtent l="5080" t="4445" r="12700" b="17780"/>
                <wp:wrapNone/>
                <wp:docPr id="2" name="文本框 2"/>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01755E">
                            <w:pPr>
                              <w:rPr>
                                <w:rFonts w:ascii="宋体" w:hAnsi="宋体" w:cs="宋体"/>
                              </w:rPr>
                            </w:pPr>
                          </w:p>
                          <w:p w14:paraId="507EEDD8"/>
                          <w:p w14:paraId="2A00D947">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337CEB22">
                            <w:pPr>
                              <w:jc w:val="center"/>
                              <w:rPr>
                                <w:rFonts w:ascii="仿宋" w:hAnsi="仿宋" w:eastAsia="仿宋" w:cs="仿宋"/>
                                <w:bCs/>
                                <w:sz w:val="28"/>
                                <w:szCs w:val="28"/>
                              </w:rPr>
                            </w:pPr>
                            <w:r>
                              <w:rPr>
                                <w:rFonts w:hint="eastAsia" w:ascii="仿宋" w:hAnsi="仿宋" w:eastAsia="仿宋" w:cs="仿宋"/>
                                <w:bCs/>
                                <w:sz w:val="28"/>
                                <w:szCs w:val="28"/>
                              </w:rPr>
                              <w:t>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8.9pt;height:151.25pt;width:219.1pt;z-index:251660288;mso-width-relative:page;mso-height-relative:page;" fillcolor="#FFFFFF" filled="t" stroked="t" coordsize="21600,21600" o:gfxdata="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HQ1S2QAAAAoBAAAPAAAAAAAAAAEAIAAAACIAAABkcnMvZG93bnJldi54bWxQ&#10;SwECFAAUAAAACACHTuJA0Ql06i8CAAB4BAAADgAAAAAAAAABACAAAAAoAQAAZHJzL2Uyb0RvYy54&#10;bWxQSwUGAAAAAAYABgBZAQAAyQUAAAAA&#10;">
                <v:fill on="t" focussize="0,0"/>
                <v:stroke color="#000000" joinstyle="miter"/>
                <v:imagedata o:title=""/>
                <o:lock v:ext="edit" aspectratio="f"/>
                <v:textbox>
                  <w:txbxContent>
                    <w:p w14:paraId="4501755E">
                      <w:pPr>
                        <w:rPr>
                          <w:rFonts w:ascii="宋体" w:hAnsi="宋体" w:cs="宋体"/>
                        </w:rPr>
                      </w:pPr>
                    </w:p>
                    <w:p w14:paraId="507EEDD8"/>
                    <w:p w14:paraId="2A00D947">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337CEB22">
                      <w:pPr>
                        <w:jc w:val="center"/>
                        <w:rPr>
                          <w:rFonts w:ascii="仿宋" w:hAnsi="仿宋" w:eastAsia="仿宋" w:cs="仿宋"/>
                          <w:bCs/>
                          <w:sz w:val="28"/>
                          <w:szCs w:val="28"/>
                        </w:rPr>
                      </w:pPr>
                      <w:r>
                        <w:rPr>
                          <w:rFonts w:hint="eastAsia" w:ascii="仿宋" w:hAnsi="仿宋" w:eastAsia="仿宋" w:cs="仿宋"/>
                          <w:bCs/>
                          <w:sz w:val="28"/>
                          <w:szCs w:val="28"/>
                        </w:rPr>
                        <w:t>身份证反面</w:t>
                      </w:r>
                    </w:p>
                  </w:txbxContent>
                </v:textbox>
              </v:shape>
            </w:pict>
          </mc:Fallback>
        </mc:AlternateContent>
      </w:r>
      <w:r>
        <w:rPr>
          <w:rFonts w:hint="eastAsia" w:asciiTheme="minorEastAsia" w:hAnsiTheme="minorEastAsia" w:eastAsiaTheme="minorEastAsia" w:cstheme="minorEastAsia"/>
          <w:color w:val="000000"/>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109855</wp:posOffset>
                </wp:positionV>
                <wp:extent cx="2830830" cy="1920875"/>
                <wp:effectExtent l="5080" t="4445" r="21590" b="17780"/>
                <wp:wrapNone/>
                <wp:docPr id="5" name="文本框 5"/>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5DBC8C">
                            <w:pPr>
                              <w:rPr>
                                <w:rFonts w:ascii="宋体" w:hAnsi="宋体" w:cs="宋体"/>
                              </w:rPr>
                            </w:pPr>
                          </w:p>
                          <w:p w14:paraId="413129D7"/>
                          <w:p w14:paraId="334C6178">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208C2136">
                            <w:pPr>
                              <w:jc w:val="center"/>
                              <w:rPr>
                                <w:rFonts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8.65pt;height:151.25pt;width:222.9pt;z-index:251659264;mso-width-relative:page;mso-height-relative:page;" fillcolor="#FFFFFF" filled="t" stroked="t" coordsize="21600,21600" o:gfxdata="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Mnmr1QAAAAcBAAAPAAAAAAAAAAEAIAAAACIAAABkcnMvZG93bnJldi54bWxQSwEC&#10;FAAUAAAACACHTuJAFt58ZDACAAB4BAAADgAAAAAAAAABACAAAAAkAQAAZHJzL2Uyb0RvYy54bWxQ&#10;SwUGAAAAAAYABgBZAQAAxgUAAAAA&#10;">
                <v:fill on="t" focussize="0,0"/>
                <v:stroke color="#000000" joinstyle="miter"/>
                <v:imagedata o:title=""/>
                <o:lock v:ext="edit" aspectratio="f"/>
                <v:textbox>
                  <w:txbxContent>
                    <w:p w14:paraId="165DBC8C">
                      <w:pPr>
                        <w:rPr>
                          <w:rFonts w:ascii="宋体" w:hAnsi="宋体" w:cs="宋体"/>
                        </w:rPr>
                      </w:pPr>
                    </w:p>
                    <w:p w14:paraId="413129D7"/>
                    <w:p w14:paraId="334C6178">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208C2136">
                      <w:pPr>
                        <w:jc w:val="center"/>
                        <w:rPr>
                          <w:rFonts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v:textbox>
              </v:shape>
            </w:pict>
          </mc:Fallback>
        </mc:AlternateContent>
      </w:r>
    </w:p>
    <w:p w14:paraId="2AA4D642">
      <w:pPr>
        <w:spacing w:line="340" w:lineRule="exact"/>
        <w:rPr>
          <w:rFonts w:asciiTheme="minorEastAsia" w:hAnsiTheme="minorEastAsia" w:eastAsiaTheme="minorEastAsia" w:cstheme="minorEastAsia"/>
          <w:bCs/>
          <w:color w:val="000000"/>
        </w:rPr>
      </w:pPr>
    </w:p>
    <w:p w14:paraId="129D0C19">
      <w:pPr>
        <w:spacing w:line="340" w:lineRule="exact"/>
        <w:rPr>
          <w:rFonts w:asciiTheme="minorEastAsia" w:hAnsiTheme="minorEastAsia" w:eastAsiaTheme="minorEastAsia" w:cstheme="minorEastAsia"/>
          <w:bCs/>
          <w:color w:val="000000"/>
        </w:rPr>
      </w:pPr>
    </w:p>
    <w:p w14:paraId="280E61E2">
      <w:pPr>
        <w:spacing w:line="340" w:lineRule="exact"/>
        <w:rPr>
          <w:rFonts w:asciiTheme="minorEastAsia" w:hAnsiTheme="minorEastAsia" w:eastAsiaTheme="minorEastAsia" w:cstheme="minorEastAsia"/>
          <w:bCs/>
          <w:color w:val="000000"/>
        </w:rPr>
      </w:pPr>
    </w:p>
    <w:p w14:paraId="42773C19">
      <w:pPr>
        <w:spacing w:line="340" w:lineRule="exact"/>
        <w:rPr>
          <w:rFonts w:asciiTheme="minorEastAsia" w:hAnsiTheme="minorEastAsia" w:eastAsiaTheme="minorEastAsia" w:cstheme="minorEastAsia"/>
          <w:color w:val="000000"/>
        </w:rPr>
      </w:pPr>
    </w:p>
    <w:p w14:paraId="0E9F3ADB">
      <w:pPr>
        <w:spacing w:line="340" w:lineRule="exact"/>
        <w:rPr>
          <w:rFonts w:asciiTheme="minorEastAsia" w:hAnsiTheme="minorEastAsia" w:eastAsiaTheme="minorEastAsia" w:cstheme="minorEastAsia"/>
          <w:color w:val="000000"/>
        </w:rPr>
      </w:pPr>
    </w:p>
    <w:p w14:paraId="73C88977">
      <w:pPr>
        <w:spacing w:after="60" w:line="340" w:lineRule="exact"/>
        <w:rPr>
          <w:rFonts w:asciiTheme="minorEastAsia" w:hAnsiTheme="minorEastAsia" w:eastAsiaTheme="minorEastAsia" w:cstheme="minorEastAsia"/>
          <w:color w:val="000000"/>
        </w:rPr>
      </w:pPr>
    </w:p>
    <w:p w14:paraId="0F7A93C3">
      <w:pPr>
        <w:spacing w:line="340" w:lineRule="exact"/>
        <w:rPr>
          <w:rFonts w:asciiTheme="minorEastAsia" w:hAnsiTheme="minorEastAsia" w:eastAsiaTheme="minorEastAsia" w:cstheme="minorEastAsia"/>
          <w:color w:val="000000"/>
        </w:rPr>
      </w:pPr>
    </w:p>
    <w:p w14:paraId="33C7ED50">
      <w:pPr>
        <w:spacing w:line="340" w:lineRule="exact"/>
        <w:jc w:val="center"/>
        <w:rPr>
          <w:rFonts w:asciiTheme="minorEastAsia" w:hAnsiTheme="minorEastAsia" w:eastAsiaTheme="minorEastAsia" w:cstheme="minorEastAsia"/>
          <w:b/>
          <w:bCs/>
          <w:color w:val="000000"/>
        </w:rPr>
      </w:pPr>
    </w:p>
    <w:p w14:paraId="02E0525E">
      <w:pPr>
        <w:snapToGrid w:val="0"/>
        <w:spacing w:line="340" w:lineRule="exact"/>
        <w:ind w:left="840" w:hanging="812" w:hangingChars="35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w:t>
      </w:r>
    </w:p>
    <w:p w14:paraId="09513F84">
      <w:pPr>
        <w:snapToGrid w:val="0"/>
        <w:spacing w:line="340" w:lineRule="exact"/>
        <w:ind w:firstLine="464"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1.</w:t>
      </w:r>
      <w:r>
        <w:rPr>
          <w:rFonts w:hint="eastAsia"/>
          <w:szCs w:val="21"/>
        </w:rPr>
        <w:t>法定代表人（负责人或</w:t>
      </w:r>
      <w:r>
        <w:rPr>
          <w:rFonts w:hint="eastAsia"/>
          <w:color w:val="4F81BD" w:themeColor="accent1"/>
          <w:szCs w:val="21"/>
          <w14:textFill>
            <w14:solidFill>
              <w14:schemeClr w14:val="accent1"/>
            </w14:solidFill>
          </w14:textFill>
        </w:rPr>
        <w:t>执行事务合伙人</w:t>
      </w:r>
      <w:r>
        <w:rPr>
          <w:rFonts w:hint="eastAsia"/>
          <w:szCs w:val="21"/>
        </w:rPr>
        <w:t>）为投标人（企业事业单位、国家机关、社会团体）的主要行政负责人。</w:t>
      </w:r>
      <w:r>
        <w:rPr>
          <w:rFonts w:hint="eastAsia" w:asciiTheme="minorEastAsia" w:hAnsiTheme="minorEastAsia" w:eastAsiaTheme="minorEastAsia" w:cstheme="minorEastAsia"/>
          <w:bCs/>
          <w:color w:val="000000"/>
        </w:rPr>
        <w:t>须提供法定代表人（负责人或执行事务合伙人）的身份证扫描件；港澳台居民可提供来往通行证扫描件；非中国国籍管辖范围人员，可提供公安部门认可的身份证明材料扫描件；</w:t>
      </w:r>
    </w:p>
    <w:p w14:paraId="52B12180">
      <w:pPr>
        <w:snapToGrid w:val="0"/>
        <w:spacing w:line="340" w:lineRule="exact"/>
        <w:ind w:firstLine="464"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2.招投标文件中涉及需法定代表人之处，非法人组织可由负责人或执行事务合伙人执行。</w:t>
      </w:r>
    </w:p>
    <w:p w14:paraId="7966235C">
      <w:pPr>
        <w:snapToGrid w:val="0"/>
        <w:spacing w:line="340" w:lineRule="exact"/>
        <w:ind w:firstLine="464"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3.如是法定代表人（负责人或执行事务合伙人）直接参与投标，必须填写《法定代表人（负责人或执行事务合伙人）资格证明书》，可不用填写《法定代表人（负责人或执行事务合伙人）授权书》。</w:t>
      </w:r>
    </w:p>
    <w:p w14:paraId="1F2A660A">
      <w:pPr>
        <w:pStyle w:val="6"/>
        <w:spacing w:line="340" w:lineRule="exact"/>
      </w:pPr>
      <w:r>
        <w:rPr>
          <w:rFonts w:hint="eastAsia" w:eastAsia="宋体"/>
          <w:szCs w:val="21"/>
        </w:rPr>
        <w:t>4.</w:t>
      </w:r>
      <w:r>
        <w:rPr>
          <w:rFonts w:hint="eastAsia"/>
          <w:szCs w:val="21"/>
        </w:rPr>
        <w:t>内容必须填写真实、清楚，涂改无效，不得转让、买卖。</w:t>
      </w:r>
    </w:p>
    <w:p w14:paraId="7C68E90A">
      <w:pPr>
        <w:snapToGrid w:val="0"/>
        <w:spacing w:line="340" w:lineRule="exact"/>
        <w:ind w:firstLine="464" w:firstLineChars="200"/>
        <w:rPr>
          <w:color w:val="FF0000"/>
          <w:szCs w:val="21"/>
        </w:rPr>
      </w:pPr>
      <w:r>
        <w:rPr>
          <w:rFonts w:hint="eastAsia"/>
          <w:b/>
          <w:bCs/>
          <w:color w:val="FF0000"/>
          <w:szCs w:val="21"/>
        </w:rPr>
        <w:t>温馨提示:</w:t>
      </w:r>
      <w:r>
        <w:rPr>
          <w:rFonts w:hint="eastAsia"/>
          <w:color w:val="FF0000"/>
          <w:szCs w:val="21"/>
        </w:rPr>
        <w:t>为避免出现《深圳经济特区政府采购条例实施细则》第七十五条第二项所列情形，请投标供应商核实你单位法定代表人、本项目投标授权代表人、项目负责人、主要技术人员等是否在你公司缴纳社会保险。</w:t>
      </w:r>
    </w:p>
    <w:p w14:paraId="7522CCDD">
      <w:pPr>
        <w:pStyle w:val="6"/>
      </w:pPr>
    </w:p>
    <w:p w14:paraId="589D2BBB"/>
    <w:p w14:paraId="351579A4">
      <w:pPr>
        <w:pStyle w:val="5"/>
        <w:spacing w:before="120" w:after="120"/>
        <w:jc w:val="center"/>
        <w:rPr>
          <w:rFonts w:ascii="黑体" w:eastAsia="黑体"/>
          <w:b w:val="0"/>
          <w:sz w:val="24"/>
        </w:rPr>
      </w:pPr>
      <w:r>
        <w:rPr>
          <w:rFonts w:hint="eastAsia" w:ascii="黑体" w:eastAsia="黑体"/>
          <w:b w:val="0"/>
          <w:sz w:val="24"/>
        </w:rPr>
        <w:t>二、投标文件签署授权委托书</w:t>
      </w:r>
    </w:p>
    <w:p w14:paraId="19320E3D">
      <w:pPr>
        <w:widowControl w:val="0"/>
        <w:spacing w:line="4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致友和保险经纪有限公司：</w:t>
      </w:r>
    </w:p>
    <w:p w14:paraId="1052E747">
      <w:pPr>
        <w:widowControl w:val="0"/>
        <w:spacing w:line="40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本授权委托书声明：我</w:t>
      </w:r>
      <w:r>
        <w:rPr>
          <w:rFonts w:hint="eastAsia" w:asciiTheme="minorEastAsia" w:hAnsiTheme="minorEastAsia" w:eastAsiaTheme="minorEastAsia" w:cstheme="minorEastAsia"/>
          <w:color w:val="000000"/>
          <w:u w:val="single"/>
        </w:rPr>
        <w:t xml:space="preserve">  姓名  </w:t>
      </w:r>
      <w:r>
        <w:rPr>
          <w:rFonts w:hint="eastAsia" w:asciiTheme="minorEastAsia" w:hAnsiTheme="minorEastAsia" w:eastAsiaTheme="minorEastAsia" w:cstheme="minorEastAsia"/>
          <w:color w:val="000000"/>
        </w:rPr>
        <w:t>系</w:t>
      </w:r>
      <w:r>
        <w:rPr>
          <w:rFonts w:hint="eastAsia" w:asciiTheme="minorEastAsia" w:hAnsiTheme="minorEastAsia" w:eastAsiaTheme="minorEastAsia" w:cstheme="minorEastAsia"/>
          <w:color w:val="000000"/>
          <w:u w:val="single"/>
        </w:rPr>
        <w:t xml:space="preserve">  投标人名称  </w:t>
      </w:r>
      <w:r>
        <w:rPr>
          <w:rFonts w:hint="eastAsia" w:asciiTheme="minorEastAsia" w:hAnsiTheme="minorEastAsia" w:eastAsiaTheme="minorEastAsia" w:cstheme="minorEastAsia"/>
          <w:color w:val="000000"/>
        </w:rPr>
        <w:t>的法定代表人（负责人或执行事务合伙人），现授权委托</w:t>
      </w:r>
      <w:r>
        <w:rPr>
          <w:rFonts w:hint="eastAsia" w:asciiTheme="minorEastAsia" w:hAnsiTheme="minorEastAsia" w:eastAsiaTheme="minorEastAsia" w:cstheme="minorEastAsia"/>
          <w:color w:val="000000"/>
          <w:u w:val="single"/>
        </w:rPr>
        <w:t xml:space="preserve">  姓名  </w:t>
      </w:r>
      <w:r>
        <w:rPr>
          <w:rFonts w:hint="eastAsia" w:asciiTheme="minorEastAsia" w:hAnsiTheme="minorEastAsia" w:eastAsiaTheme="minorEastAsia" w:cstheme="minorEastAsia"/>
          <w:color w:val="000000"/>
        </w:rPr>
        <w:t>为我公司签署本项目已递交的投标文件的法定代表人的授权委托代理人，代理人全权代表我所签署的本项目已递交的投标文件内容我均承认。</w:t>
      </w:r>
    </w:p>
    <w:p w14:paraId="491659C4">
      <w:pPr>
        <w:widowControl w:val="0"/>
        <w:spacing w:line="40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代理人无转委托权，特此委托。</w:t>
      </w:r>
    </w:p>
    <w:p w14:paraId="2AF4334E">
      <w:pPr>
        <w:widowControl w:val="0"/>
        <w:spacing w:line="400" w:lineRule="exact"/>
        <w:ind w:firstLine="464" w:firstLineChars="200"/>
        <w:rPr>
          <w:rFonts w:asciiTheme="minorEastAsia" w:hAnsiTheme="minorEastAsia" w:eastAsiaTheme="minorEastAsia" w:cstheme="minorEastAsia"/>
          <w:color w:val="000000"/>
        </w:rPr>
      </w:pPr>
    </w:p>
    <w:p w14:paraId="716BA6B8">
      <w:pPr>
        <w:widowControl w:val="0"/>
        <w:spacing w:line="40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代理人：</w:t>
      </w:r>
      <w:r>
        <w:rPr>
          <w:rFonts w:hint="eastAsia"/>
          <w:szCs w:val="21"/>
          <w:u w:val="single"/>
        </w:rPr>
        <w:t xml:space="preserve">                  </w:t>
      </w:r>
      <w:r>
        <w:rPr>
          <w:rFonts w:hint="eastAsia" w:asciiTheme="minorEastAsia" w:hAnsiTheme="minorEastAsia" w:eastAsiaTheme="minorEastAsia" w:cstheme="minorEastAsia"/>
          <w:color w:val="000000"/>
        </w:rPr>
        <w:t>性别：</w:t>
      </w:r>
      <w:r>
        <w:rPr>
          <w:rFonts w:hint="eastAsia"/>
          <w:szCs w:val="21"/>
          <w:u w:val="single"/>
        </w:rPr>
        <w:t xml:space="preserve">                  </w:t>
      </w:r>
      <w:r>
        <w:rPr>
          <w:rFonts w:hint="eastAsia" w:asciiTheme="minorEastAsia" w:hAnsiTheme="minorEastAsia" w:eastAsiaTheme="minorEastAsia" w:cstheme="minorEastAsia"/>
          <w:color w:val="000000"/>
        </w:rPr>
        <w:t>年龄：</w:t>
      </w:r>
      <w:r>
        <w:rPr>
          <w:rFonts w:hint="eastAsia"/>
          <w:szCs w:val="21"/>
          <w:u w:val="single"/>
        </w:rPr>
        <w:t xml:space="preserve">                  </w:t>
      </w:r>
    </w:p>
    <w:p w14:paraId="3CF44744">
      <w:pPr>
        <w:widowControl w:val="0"/>
        <w:spacing w:line="40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联系电话：</w:t>
      </w:r>
      <w:r>
        <w:rPr>
          <w:rFonts w:hint="eastAsia"/>
          <w:szCs w:val="21"/>
          <w:u w:val="single"/>
        </w:rPr>
        <w:t xml:space="preserve">                  </w:t>
      </w:r>
      <w:r>
        <w:rPr>
          <w:rFonts w:hint="eastAsia" w:asciiTheme="minorEastAsia" w:hAnsiTheme="minorEastAsia" w:eastAsiaTheme="minorEastAsia" w:cstheme="minorEastAsia"/>
          <w:color w:val="000000"/>
        </w:rPr>
        <w:t>手机：</w:t>
      </w:r>
      <w:r>
        <w:rPr>
          <w:rFonts w:hint="eastAsia"/>
          <w:szCs w:val="21"/>
          <w:u w:val="single"/>
        </w:rPr>
        <w:t xml:space="preserve">                  </w:t>
      </w:r>
    </w:p>
    <w:p w14:paraId="2C728D7A">
      <w:pPr>
        <w:widowControl w:val="0"/>
        <w:spacing w:line="400" w:lineRule="exact"/>
        <w:ind w:firstLine="464" w:firstLineChars="200"/>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身份证号码：</w:t>
      </w:r>
      <w:r>
        <w:rPr>
          <w:rFonts w:hint="eastAsia"/>
          <w:szCs w:val="21"/>
          <w:u w:val="single"/>
        </w:rPr>
        <w:t xml:space="preserve">                  </w:t>
      </w:r>
      <w:r>
        <w:rPr>
          <w:rFonts w:hint="eastAsia" w:asciiTheme="minorEastAsia" w:hAnsiTheme="minorEastAsia" w:eastAsiaTheme="minorEastAsia" w:cstheme="minorEastAsia"/>
          <w:color w:val="000000"/>
        </w:rPr>
        <w:t>职务：</w:t>
      </w:r>
      <w:r>
        <w:rPr>
          <w:rFonts w:hint="eastAsia"/>
          <w:szCs w:val="21"/>
          <w:u w:val="single"/>
        </w:rPr>
        <w:t xml:space="preserve">                  </w:t>
      </w:r>
    </w:p>
    <w:p w14:paraId="6E0051D1">
      <w:pPr>
        <w:widowControl w:val="0"/>
        <w:spacing w:line="400" w:lineRule="exact"/>
        <w:ind w:firstLine="464" w:firstLineChars="200"/>
        <w:rPr>
          <w:rFonts w:asciiTheme="minorEastAsia" w:hAnsiTheme="minorEastAsia" w:eastAsiaTheme="minorEastAsia" w:cstheme="minorEastAsia"/>
          <w:color w:val="000000"/>
        </w:rPr>
      </w:pPr>
    </w:p>
    <w:p w14:paraId="7E3F2307">
      <w:pPr>
        <w:widowControl w:val="0"/>
        <w:spacing w:line="400" w:lineRule="exact"/>
        <w:ind w:firstLine="464"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授权委托日期：</w:t>
      </w:r>
      <w:r>
        <w:rPr>
          <w:rFonts w:hint="eastAsia"/>
          <w:szCs w:val="21"/>
          <w:u w:val="single"/>
        </w:rPr>
        <w:t xml:space="preserve">       </w:t>
      </w:r>
      <w:r>
        <w:rPr>
          <w:rFonts w:hint="eastAsia" w:asciiTheme="minorEastAsia" w:hAnsiTheme="minorEastAsia" w:eastAsiaTheme="minorEastAsia" w:cstheme="minorEastAsia"/>
          <w:color w:val="000000"/>
        </w:rPr>
        <w:t>年</w:t>
      </w:r>
      <w:r>
        <w:rPr>
          <w:rFonts w:hint="eastAsia"/>
          <w:szCs w:val="21"/>
          <w:u w:val="single"/>
        </w:rPr>
        <w:t xml:space="preserve">      </w:t>
      </w:r>
      <w:r>
        <w:rPr>
          <w:rFonts w:hint="eastAsia" w:asciiTheme="minorEastAsia" w:hAnsiTheme="minorEastAsia" w:eastAsiaTheme="minorEastAsia" w:cstheme="minorEastAsia"/>
          <w:color w:val="000000"/>
        </w:rPr>
        <w:t>月</w:t>
      </w:r>
      <w:r>
        <w:rPr>
          <w:rFonts w:hint="eastAsia"/>
          <w:szCs w:val="21"/>
          <w:u w:val="single"/>
        </w:rPr>
        <w:t xml:space="preserve">      </w:t>
      </w:r>
      <w:r>
        <w:rPr>
          <w:rFonts w:hint="eastAsia" w:asciiTheme="minorEastAsia" w:hAnsiTheme="minorEastAsia" w:eastAsiaTheme="minorEastAsia" w:cstheme="minorEastAsia"/>
          <w:color w:val="000000"/>
        </w:rPr>
        <w:t>日，有效期至</w:t>
      </w:r>
      <w:r>
        <w:rPr>
          <w:rFonts w:hint="eastAsia"/>
          <w:szCs w:val="21"/>
          <w:u w:val="single"/>
        </w:rPr>
        <w:t xml:space="preserve">       </w:t>
      </w:r>
      <w:r>
        <w:rPr>
          <w:rFonts w:hint="eastAsia" w:asciiTheme="minorEastAsia" w:hAnsiTheme="minorEastAsia" w:eastAsiaTheme="minorEastAsia" w:cstheme="minorEastAsia"/>
          <w:color w:val="000000"/>
        </w:rPr>
        <w:t>年</w:t>
      </w:r>
      <w:r>
        <w:rPr>
          <w:rFonts w:hint="eastAsia"/>
          <w:szCs w:val="21"/>
          <w:u w:val="single"/>
        </w:rPr>
        <w:t xml:space="preserve">      </w:t>
      </w:r>
      <w:r>
        <w:rPr>
          <w:rFonts w:hint="eastAsia" w:asciiTheme="minorEastAsia" w:hAnsiTheme="minorEastAsia" w:eastAsiaTheme="minorEastAsia" w:cstheme="minorEastAsia"/>
          <w:color w:val="000000"/>
        </w:rPr>
        <w:t>月</w:t>
      </w:r>
      <w:r>
        <w:rPr>
          <w:rFonts w:hint="eastAsia"/>
          <w:szCs w:val="21"/>
          <w:u w:val="single"/>
        </w:rPr>
        <w:t xml:space="preserve">      </w:t>
      </w:r>
      <w:r>
        <w:rPr>
          <w:rFonts w:hint="eastAsia" w:asciiTheme="minorEastAsia" w:hAnsiTheme="minorEastAsia" w:eastAsiaTheme="minorEastAsia" w:cstheme="minorEastAsia"/>
          <w:color w:val="000000"/>
        </w:rPr>
        <w:t>日。</w:t>
      </w:r>
    </w:p>
    <w:p w14:paraId="2B9B811D">
      <w:pPr>
        <w:spacing w:line="360" w:lineRule="auto"/>
        <w:rPr>
          <w:rFonts w:ascii="仿宋" w:hAnsi="仿宋" w:eastAsia="仿宋" w:cs="仿宋"/>
          <w:bCs/>
          <w:color w:val="00000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2999740</wp:posOffset>
                </wp:positionH>
                <wp:positionV relativeFrom="paragraph">
                  <wp:posOffset>20955</wp:posOffset>
                </wp:positionV>
                <wp:extent cx="2782570" cy="1920875"/>
                <wp:effectExtent l="5080" t="4445" r="12700" b="17780"/>
                <wp:wrapNone/>
                <wp:docPr id="12" name="文本框 12"/>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EDAD09">
                            <w:pPr>
                              <w:rPr>
                                <w:rFonts w:ascii="宋体" w:hAnsi="宋体" w:cs="宋体"/>
                              </w:rPr>
                            </w:pPr>
                          </w:p>
                          <w:p w14:paraId="6B2C7EA3"/>
                          <w:p w14:paraId="32BA18BB">
                            <w:pPr>
                              <w:jc w:val="center"/>
                              <w:rPr>
                                <w:rFonts w:ascii="仿宋" w:hAnsi="仿宋" w:eastAsia="仿宋" w:cs="仿宋"/>
                                <w:bCs/>
                              </w:rPr>
                            </w:pPr>
                            <w:r>
                              <w:rPr>
                                <w:rFonts w:hint="eastAsia" w:ascii="仿宋" w:hAnsi="仿宋" w:eastAsia="仿宋" w:cs="仿宋"/>
                                <w:bCs/>
                              </w:rPr>
                              <w:t>被授权人身份证反面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1.65pt;height:151.25pt;width:219.1pt;z-index:251662336;mso-width-relative:page;mso-height-relative:page;" fillcolor="#FFFFFF" filled="t" stroked="t" coordsize="21600,21600" o:gfxdata="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Z41nYAAAACQEAAA8AAAAAAAAAAQAgAAAAIgAAAGRycy9kb3ducmV2LnhtbFBL&#10;AQIUABQAAAAIAIdO4kBZsc1XLwIAAHoEAAAOAAAAAAAAAAEAIAAAACcBAABkcnMvZTJvRG9jLnht&#10;bFBLBQYAAAAABgAGAFkBAADIBQAAAAA=&#10;">
                <v:fill on="t" focussize="0,0"/>
                <v:stroke color="#000000" joinstyle="miter"/>
                <v:imagedata o:title=""/>
                <o:lock v:ext="edit" aspectratio="f"/>
                <v:textbox>
                  <w:txbxContent>
                    <w:p w14:paraId="52EDAD09">
                      <w:pPr>
                        <w:rPr>
                          <w:rFonts w:ascii="宋体" w:hAnsi="宋体" w:cs="宋体"/>
                        </w:rPr>
                      </w:pPr>
                    </w:p>
                    <w:p w14:paraId="6B2C7EA3"/>
                    <w:p w14:paraId="32BA18BB">
                      <w:pPr>
                        <w:jc w:val="center"/>
                        <w:rPr>
                          <w:rFonts w:ascii="仿宋" w:hAnsi="仿宋" w:eastAsia="仿宋" w:cs="仿宋"/>
                          <w:bCs/>
                        </w:rPr>
                      </w:pPr>
                      <w:r>
                        <w:rPr>
                          <w:rFonts w:hint="eastAsia" w:ascii="仿宋" w:hAnsi="仿宋" w:eastAsia="仿宋" w:cs="仿宋"/>
                          <w:bCs/>
                        </w:rPr>
                        <w:t>被授权人身份证反面</w:t>
                      </w:r>
                    </w:p>
                  </w:txbxContent>
                </v:textbox>
              </v:shap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20955</wp:posOffset>
                </wp:positionV>
                <wp:extent cx="2830830" cy="1920875"/>
                <wp:effectExtent l="5080" t="4445" r="21590" b="17780"/>
                <wp:wrapNone/>
                <wp:docPr id="11" name="文本框 11"/>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4BCB27">
                            <w:pPr>
                              <w:rPr>
                                <w:rFonts w:ascii="宋体" w:hAnsi="宋体" w:cs="宋体"/>
                              </w:rPr>
                            </w:pPr>
                          </w:p>
                          <w:p w14:paraId="13EBE79A"/>
                          <w:p w14:paraId="42592A64">
                            <w:pPr>
                              <w:jc w:val="center"/>
                              <w:rPr>
                                <w:rFonts w:ascii="仿宋" w:hAnsi="仿宋" w:eastAsia="仿宋" w:cs="仿宋"/>
                                <w:bCs/>
                                <w:sz w:val="22"/>
                                <w:szCs w:val="22"/>
                              </w:rPr>
                            </w:pPr>
                            <w:r>
                              <w:rPr>
                                <w:rFonts w:hint="eastAsia" w:ascii="仿宋" w:hAnsi="仿宋" w:eastAsia="仿宋" w:cs="仿宋"/>
                                <w:bCs/>
                              </w:rPr>
                              <w:t>被授权人身份证正面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1.65pt;height:151.25pt;width:222.9pt;z-index:251661312;mso-width-relative:page;mso-height-relative:page;" fillcolor="#FFFFFF" filled="t" stroked="t" coordsize="21600,21600" o:gfxdata="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GdNwDVAAAABgEAAA8AAAAAAAAAAQAgAAAAIgAAAGRycy9kb3ducmV2LnhtbFBLAQIU&#10;ABQAAAAIAIdO4kDplZsDLwIAAHoEAAAOAAAAAAAAAAEAIAAAACQBAABkcnMvZTJvRG9jLnhtbFBL&#10;BQYAAAAABgAGAFkBAADFBQAAAAA=&#10;">
                <v:fill on="t" focussize="0,0"/>
                <v:stroke color="#000000" joinstyle="miter"/>
                <v:imagedata o:title=""/>
                <o:lock v:ext="edit" aspectratio="f"/>
                <v:textbox>
                  <w:txbxContent>
                    <w:p w14:paraId="314BCB27">
                      <w:pPr>
                        <w:rPr>
                          <w:rFonts w:ascii="宋体" w:hAnsi="宋体" w:cs="宋体"/>
                        </w:rPr>
                      </w:pPr>
                    </w:p>
                    <w:p w14:paraId="13EBE79A"/>
                    <w:p w14:paraId="42592A64">
                      <w:pPr>
                        <w:jc w:val="center"/>
                        <w:rPr>
                          <w:rFonts w:ascii="仿宋" w:hAnsi="仿宋" w:eastAsia="仿宋" w:cs="仿宋"/>
                          <w:bCs/>
                          <w:sz w:val="22"/>
                          <w:szCs w:val="22"/>
                        </w:rPr>
                      </w:pPr>
                      <w:r>
                        <w:rPr>
                          <w:rFonts w:hint="eastAsia" w:ascii="仿宋" w:hAnsi="仿宋" w:eastAsia="仿宋" w:cs="仿宋"/>
                          <w:bCs/>
                        </w:rPr>
                        <w:t>被授权人身份证正面</w:t>
                      </w:r>
                    </w:p>
                  </w:txbxContent>
                </v:textbox>
              </v:shape>
            </w:pict>
          </mc:Fallback>
        </mc:AlternateContent>
      </w:r>
    </w:p>
    <w:p w14:paraId="3349B9CA">
      <w:pPr>
        <w:spacing w:line="360" w:lineRule="auto"/>
        <w:rPr>
          <w:rFonts w:ascii="仿宋" w:hAnsi="仿宋" w:eastAsia="仿宋" w:cs="仿宋"/>
          <w:bCs/>
          <w:color w:val="000000"/>
        </w:rPr>
      </w:pPr>
    </w:p>
    <w:p w14:paraId="18E643BC">
      <w:pPr>
        <w:spacing w:line="360" w:lineRule="auto"/>
        <w:rPr>
          <w:rFonts w:ascii="仿宋" w:hAnsi="仿宋" w:eastAsia="仿宋" w:cs="仿宋"/>
          <w:bCs/>
          <w:color w:val="000000"/>
        </w:rPr>
      </w:pPr>
    </w:p>
    <w:p w14:paraId="6E6920B2">
      <w:pPr>
        <w:spacing w:line="360" w:lineRule="auto"/>
        <w:rPr>
          <w:rFonts w:ascii="仿宋" w:hAnsi="仿宋" w:eastAsia="仿宋" w:cs="仿宋"/>
          <w:bCs/>
          <w:color w:val="000000"/>
        </w:rPr>
      </w:pPr>
    </w:p>
    <w:p w14:paraId="2BAE65C0">
      <w:pPr>
        <w:rPr>
          <w:rFonts w:ascii="仿宋" w:hAnsi="仿宋" w:eastAsia="仿宋" w:cs="仿宋"/>
          <w:color w:val="000000"/>
        </w:rPr>
      </w:pPr>
    </w:p>
    <w:p w14:paraId="3416D8F9">
      <w:pPr>
        <w:rPr>
          <w:rFonts w:ascii="仿宋" w:hAnsi="仿宋" w:eastAsia="仿宋" w:cs="仿宋"/>
          <w:color w:val="000000"/>
        </w:rPr>
      </w:pPr>
    </w:p>
    <w:p w14:paraId="67A3DEFE">
      <w:pPr>
        <w:spacing w:after="60"/>
        <w:rPr>
          <w:rFonts w:ascii="仿宋" w:hAnsi="仿宋" w:eastAsia="仿宋" w:cs="仿宋"/>
          <w:color w:val="000000"/>
        </w:rPr>
      </w:pPr>
    </w:p>
    <w:p w14:paraId="4CBA5D93">
      <w:pPr>
        <w:rPr>
          <w:rFonts w:ascii="仿宋" w:hAnsi="仿宋" w:eastAsia="仿宋" w:cs="仿宋"/>
          <w:color w:val="000000"/>
        </w:rPr>
      </w:pPr>
    </w:p>
    <w:p w14:paraId="50712B9F">
      <w:pPr>
        <w:spacing w:line="360" w:lineRule="auto"/>
        <w:jc w:val="both"/>
        <w:rPr>
          <w:szCs w:val="21"/>
        </w:rPr>
      </w:pPr>
      <w:r>
        <w:rPr>
          <w:rFonts w:hint="eastAsia"/>
          <w:szCs w:val="21"/>
        </w:rPr>
        <w:t>说明：</w:t>
      </w:r>
    </w:p>
    <w:p w14:paraId="1FA8B5FE">
      <w:pPr>
        <w:snapToGrid w:val="0"/>
        <w:spacing w:line="340" w:lineRule="exact"/>
        <w:ind w:firstLine="464" w:firstLineChars="200"/>
        <w:rPr>
          <w:szCs w:val="21"/>
        </w:rPr>
      </w:pPr>
      <w:r>
        <w:rPr>
          <w:rFonts w:hint="eastAsia"/>
          <w:szCs w:val="21"/>
        </w:rPr>
        <w:t>1.如是代理人（受托人）参与投标，则必须提供《法定代表人（负责人或执行事务合伙人）证明书》和《投标文件签署授权委托书》，且《投标函》的委托代理人与《投标文件签署授权委托书》的代理人（受托人）必须一致。</w:t>
      </w:r>
    </w:p>
    <w:p w14:paraId="4EF07B71">
      <w:pPr>
        <w:snapToGrid w:val="0"/>
        <w:spacing w:line="340" w:lineRule="exact"/>
        <w:ind w:firstLine="464" w:firstLineChars="200"/>
        <w:rPr>
          <w:szCs w:val="21"/>
        </w:rPr>
      </w:pPr>
      <w:r>
        <w:rPr>
          <w:rFonts w:hint="eastAsia"/>
          <w:szCs w:val="21"/>
        </w:rPr>
        <w:t>2.请提供代理人身份证扫描件（正反两面）；港澳台居民可提供来往通行证扫描件；非中国国籍管辖范围人员，可提供公安部门认可的身份证明材料扫描件。</w:t>
      </w:r>
    </w:p>
    <w:p w14:paraId="28FD237E">
      <w:pPr>
        <w:snapToGrid w:val="0"/>
        <w:spacing w:line="340" w:lineRule="exact"/>
        <w:ind w:firstLine="464" w:firstLineChars="200"/>
        <w:rPr>
          <w:color w:val="FF0000"/>
          <w:szCs w:val="21"/>
        </w:rPr>
      </w:pPr>
      <w:r>
        <w:rPr>
          <w:rFonts w:hint="eastAsia"/>
          <w:b/>
          <w:bCs/>
          <w:color w:val="FF0000"/>
          <w:szCs w:val="21"/>
        </w:rPr>
        <w:t>温馨提示:</w:t>
      </w:r>
      <w:r>
        <w:rPr>
          <w:rFonts w:hint="eastAsia"/>
          <w:color w:val="FF0000"/>
          <w:szCs w:val="21"/>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C6500D">
      <w:pPr>
        <w:pStyle w:val="6"/>
      </w:pPr>
    </w:p>
    <w:p w14:paraId="5BF1265D">
      <w:pPr>
        <w:rPr>
          <w:rFonts w:ascii="黑体" w:hAnsi="宋体" w:eastAsia="黑体"/>
          <w:color w:val="000000" w:themeColor="text1"/>
          <w:szCs w:val="20"/>
          <w14:textFill>
            <w14:solidFill>
              <w14:schemeClr w14:val="tx1"/>
            </w14:solidFill>
          </w14:textFill>
        </w:rPr>
      </w:pPr>
    </w:p>
    <w:p w14:paraId="76F281FF">
      <w:pPr>
        <w:rPr>
          <w:rFonts w:ascii="黑体" w:hAnsi="宋体" w:eastAsia="黑体"/>
          <w:color w:val="000000" w:themeColor="text1"/>
          <w:szCs w:val="20"/>
          <w14:textFill>
            <w14:solidFill>
              <w14:schemeClr w14:val="tx1"/>
            </w14:solidFill>
          </w14:textFill>
        </w:rPr>
      </w:pPr>
    </w:p>
    <w:p w14:paraId="23722B3B">
      <w:pPr>
        <w:rPr>
          <w:rFonts w:ascii="黑体" w:hAnsi="宋体" w:eastAsia="黑体"/>
          <w:color w:val="000000" w:themeColor="text1"/>
          <w:szCs w:val="20"/>
          <w14:textFill>
            <w14:solidFill>
              <w14:schemeClr w14:val="tx1"/>
            </w14:solidFill>
          </w14:textFill>
        </w:rPr>
      </w:pPr>
    </w:p>
    <w:p w14:paraId="3B67686B">
      <w:pPr>
        <w:rPr>
          <w:rFonts w:ascii="黑体" w:hAnsi="宋体" w:eastAsia="黑体"/>
          <w:color w:val="000000" w:themeColor="text1"/>
          <w:szCs w:val="20"/>
          <w14:textFill>
            <w14:solidFill>
              <w14:schemeClr w14:val="tx1"/>
            </w14:solidFill>
          </w14:textFill>
        </w:rPr>
      </w:pPr>
    </w:p>
    <w:p w14:paraId="21DEEFEA">
      <w:pPr>
        <w:rPr>
          <w:rFonts w:ascii="黑体" w:hAnsi="宋体" w:eastAsia="黑体"/>
          <w:color w:val="000000" w:themeColor="text1"/>
          <w:szCs w:val="20"/>
          <w14:textFill>
            <w14:solidFill>
              <w14:schemeClr w14:val="tx1"/>
            </w14:solidFill>
          </w14:textFill>
        </w:rPr>
      </w:pPr>
    </w:p>
    <w:p w14:paraId="63374A3A">
      <w:pPr>
        <w:rPr>
          <w:rFonts w:hint="eastAsia" w:ascii="黑体" w:eastAsia="黑体" w:cs="Times New Roman"/>
          <w:b w:val="0"/>
          <w:color w:val="FF0000"/>
          <w:sz w:val="24"/>
        </w:rPr>
      </w:pPr>
      <w:r>
        <w:rPr>
          <w:rFonts w:hint="eastAsia" w:ascii="黑体" w:eastAsia="黑体" w:cs="Times New Roman"/>
          <w:b w:val="0"/>
          <w:color w:val="FF0000"/>
          <w:sz w:val="24"/>
        </w:rPr>
        <w:br w:type="page"/>
      </w:r>
    </w:p>
    <w:p w14:paraId="586CDC38">
      <w:pPr>
        <w:pStyle w:val="5"/>
        <w:spacing w:before="120" w:after="120"/>
        <w:jc w:val="center"/>
        <w:rPr>
          <w:rFonts w:ascii="黑体" w:eastAsia="黑体"/>
          <w:b w:val="0"/>
          <w:color w:val="FF0000"/>
          <w:sz w:val="24"/>
        </w:rPr>
      </w:pPr>
      <w:r>
        <w:rPr>
          <w:rFonts w:hint="eastAsia" w:ascii="黑体" w:eastAsia="黑体" w:cs="Times New Roman"/>
          <w:b w:val="0"/>
          <w:color w:val="FF0000"/>
          <w:sz w:val="24"/>
        </w:rPr>
        <w:t>三、供</w:t>
      </w:r>
      <w:r>
        <w:rPr>
          <w:rFonts w:hint="eastAsia" w:ascii="黑体" w:eastAsia="黑体"/>
          <w:b w:val="0"/>
          <w:color w:val="FF0000"/>
          <w:sz w:val="24"/>
        </w:rPr>
        <w:t>应商基本情况表</w:t>
      </w:r>
    </w:p>
    <w:p w14:paraId="5CA980EB">
      <w:pPr>
        <w:pStyle w:val="6"/>
        <w:jc w:val="center"/>
        <w:rPr>
          <w:color w:val="FF0000"/>
        </w:rPr>
      </w:pPr>
      <w:r>
        <w:rPr>
          <w:rFonts w:hint="eastAsia"/>
          <w:color w:val="FF0000"/>
        </w:rPr>
        <w:t>(此为系统节点，请在系统填报)</w:t>
      </w:r>
    </w:p>
    <w:p w14:paraId="768CA9EE">
      <w:pPr>
        <w:pStyle w:val="5"/>
        <w:spacing w:before="120" w:after="120"/>
        <w:jc w:val="center"/>
        <w:rPr>
          <w:rFonts w:hint="eastAsia" w:ascii="黑体" w:eastAsia="黑体"/>
          <w:b w:val="0"/>
          <w:sz w:val="24"/>
        </w:rPr>
      </w:pPr>
    </w:p>
    <w:p w14:paraId="07E67D32">
      <w:pPr>
        <w:pStyle w:val="5"/>
        <w:spacing w:before="120" w:after="120"/>
        <w:jc w:val="center"/>
        <w:rPr>
          <w:rFonts w:hint="eastAsia" w:ascii="黑体" w:eastAsia="黑体"/>
          <w:b w:val="0"/>
          <w:sz w:val="24"/>
        </w:rPr>
      </w:pPr>
    </w:p>
    <w:p w14:paraId="3A733991">
      <w:pPr>
        <w:pStyle w:val="5"/>
        <w:spacing w:before="120" w:after="120"/>
        <w:jc w:val="center"/>
        <w:rPr>
          <w:rFonts w:ascii="黑体" w:eastAsia="黑体"/>
          <w:b w:val="0"/>
          <w:sz w:val="24"/>
        </w:rPr>
      </w:pPr>
      <w:r>
        <w:rPr>
          <w:rFonts w:hint="eastAsia" w:ascii="黑体" w:eastAsia="黑体"/>
          <w:b w:val="0"/>
          <w:sz w:val="24"/>
          <w:lang w:val="en-US" w:eastAsia="zh-CN"/>
        </w:rPr>
        <w:t>四、</w:t>
      </w:r>
      <w:r>
        <w:rPr>
          <w:rFonts w:hint="eastAsia" w:ascii="黑体" w:eastAsia="黑体"/>
          <w:b w:val="0"/>
          <w:sz w:val="24"/>
        </w:rPr>
        <w:t>供应商基本情况表</w:t>
      </w:r>
    </w:p>
    <w:p w14:paraId="76748EB9">
      <w:pPr>
        <w:snapToGrid w:val="0"/>
        <w:ind w:firstLine="464" w:firstLineChars="200"/>
        <w:rPr>
          <w:rFonts w:ascii="宋体" w:hAnsi="宋体" w:eastAsia="宋体" w:cs="宋体"/>
          <w:b/>
        </w:rPr>
      </w:pPr>
      <w:r>
        <w:rPr>
          <w:rFonts w:hint="eastAsia" w:ascii="宋体" w:hAnsi="宋体" w:eastAsia="宋体" w:cs="宋体"/>
          <w:b/>
        </w:rPr>
        <w:t>根据《深圳经济特区政府采购条例实施细则》第七十五条第一款（二）规定，存在“不同投标供应商的法定代表人、主要经营负责人、项目投标授权代表人、项目负责人、主要技术人员为同一人、属同一单位或者在同一单位缴纳社会保险”情形的，属于串通投标行为。</w:t>
      </w:r>
    </w:p>
    <w:p w14:paraId="566DB8D3">
      <w:pPr>
        <w:snapToGrid w:val="0"/>
        <w:ind w:firstLine="464" w:firstLineChars="200"/>
        <w:rPr>
          <w:rFonts w:ascii="宋体" w:hAnsi="宋体" w:eastAsia="宋体" w:cs="宋体"/>
          <w:b/>
          <w:highlight w:val="yellow"/>
        </w:rPr>
      </w:pPr>
      <w:r>
        <w:rPr>
          <w:rFonts w:hint="eastAsia" w:ascii="宋体" w:hAnsi="宋体" w:eastAsia="宋体" w:cs="宋体"/>
          <w:b/>
        </w:rPr>
        <w:t>请供应商按以下格式提供上述法规涉及人员情况。（注：以下内容将作为评审委员会和主管部门判定本项目不同投标供应商是否涉嫌、属于串通投标的重要依据，请供应商认真填报，并保证所填信息的真实、准确和完整。）</w:t>
      </w:r>
    </w:p>
    <w:p w14:paraId="24415DC6">
      <w:pPr>
        <w:snapToGrid w:val="0"/>
        <w:rPr>
          <w:rFonts w:ascii="宋体" w:hAnsi="宋体" w:eastAsia="宋体" w:cs="宋体"/>
          <w:b/>
        </w:rPr>
      </w:pPr>
    </w:p>
    <w:p w14:paraId="6477499D">
      <w:pPr>
        <w:snapToGrid w:val="0"/>
        <w:rPr>
          <w:rFonts w:ascii="宋体" w:hAnsi="宋体" w:eastAsia="宋体" w:cs="宋体"/>
          <w:b/>
        </w:rPr>
      </w:pPr>
      <w:r>
        <w:rPr>
          <w:rFonts w:hint="eastAsia" w:ascii="宋体" w:hAnsi="宋体" w:eastAsia="宋体" w:cs="宋体"/>
          <w:b/>
        </w:rPr>
        <w:t>1.情况一览表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85"/>
        <w:gridCol w:w="1837"/>
        <w:gridCol w:w="1069"/>
        <w:gridCol w:w="737"/>
        <w:gridCol w:w="1239"/>
        <w:gridCol w:w="1342"/>
        <w:gridCol w:w="1411"/>
      </w:tblGrid>
      <w:tr w14:paraId="6293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pct"/>
            <w:gridSpan w:val="2"/>
            <w:vAlign w:val="center"/>
          </w:tcPr>
          <w:p w14:paraId="26BA232F">
            <w:pPr>
              <w:widowControl/>
              <w:snapToGrid w:val="0"/>
              <w:jc w:val="both"/>
              <w:rPr>
                <w:rFonts w:ascii="宋体" w:hAnsi="宋体" w:eastAsia="宋体" w:cs="宋体"/>
                <w:bCs/>
              </w:rPr>
            </w:pPr>
            <w:r>
              <w:rPr>
                <w:rFonts w:hint="eastAsia" w:ascii="宋体" w:hAnsi="宋体" w:eastAsia="宋体" w:cs="宋体"/>
                <w:b/>
                <w:bCs/>
                <w:color w:val="FF0000"/>
                <w:spacing w:val="-4"/>
              </w:rPr>
              <w:t>投标（响应）供应商</w:t>
            </w:r>
          </w:p>
        </w:tc>
        <w:tc>
          <w:tcPr>
            <w:tcW w:w="1604" w:type="pct"/>
            <w:gridSpan w:val="2"/>
            <w:vAlign w:val="center"/>
          </w:tcPr>
          <w:p w14:paraId="3F99332E">
            <w:pPr>
              <w:widowControl/>
              <w:snapToGrid w:val="0"/>
              <w:jc w:val="both"/>
              <w:rPr>
                <w:rFonts w:ascii="宋体" w:hAnsi="宋体" w:eastAsia="宋体" w:cs="宋体"/>
                <w:bCs/>
              </w:rPr>
            </w:pPr>
          </w:p>
        </w:tc>
        <w:tc>
          <w:tcPr>
            <w:tcW w:w="1091" w:type="pct"/>
            <w:gridSpan w:val="2"/>
            <w:vAlign w:val="center"/>
          </w:tcPr>
          <w:p w14:paraId="21740BD5">
            <w:pPr>
              <w:widowControl/>
              <w:snapToGrid w:val="0"/>
              <w:jc w:val="both"/>
              <w:rPr>
                <w:rFonts w:ascii="宋体" w:hAnsi="宋体" w:eastAsia="宋体" w:cs="宋体"/>
                <w:bCs/>
              </w:rPr>
            </w:pPr>
            <w:r>
              <w:rPr>
                <w:rFonts w:hint="eastAsia" w:ascii="宋体" w:hAnsi="宋体" w:eastAsia="宋体" w:cs="宋体"/>
                <w:b/>
                <w:bCs/>
                <w:color w:val="FF0000"/>
                <w:spacing w:val="-4"/>
              </w:rPr>
              <w:t>供应商统一社会信用代码</w:t>
            </w:r>
          </w:p>
        </w:tc>
        <w:tc>
          <w:tcPr>
            <w:tcW w:w="1519" w:type="pct"/>
            <w:gridSpan w:val="2"/>
            <w:vAlign w:val="center"/>
          </w:tcPr>
          <w:p w14:paraId="05F18CE6">
            <w:pPr>
              <w:widowControl/>
              <w:snapToGrid w:val="0"/>
              <w:jc w:val="both"/>
              <w:rPr>
                <w:rFonts w:ascii="宋体" w:hAnsi="宋体" w:eastAsia="宋体" w:cs="宋体"/>
                <w:bCs/>
              </w:rPr>
            </w:pPr>
          </w:p>
        </w:tc>
      </w:tr>
      <w:tr w14:paraId="2B22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17F532F4">
            <w:pPr>
              <w:widowControl/>
              <w:snapToGrid w:val="0"/>
              <w:jc w:val="both"/>
              <w:rPr>
                <w:rFonts w:ascii="宋体" w:hAnsi="宋体" w:eastAsia="宋体" w:cs="宋体"/>
                <w:bCs/>
              </w:rPr>
            </w:pPr>
            <w:r>
              <w:rPr>
                <w:rFonts w:hint="eastAsia" w:ascii="宋体" w:hAnsi="宋体" w:eastAsia="宋体" w:cs="宋体"/>
                <w:bCs/>
              </w:rPr>
              <w:t>投标（响应）供应商相关人员情况</w:t>
            </w:r>
          </w:p>
        </w:tc>
      </w:tr>
      <w:tr w14:paraId="0A85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bottom w:val="single" w:color="auto" w:sz="4" w:space="0"/>
            </w:tcBorders>
            <w:vAlign w:val="center"/>
          </w:tcPr>
          <w:p w14:paraId="6AAE7314">
            <w:pPr>
              <w:widowControl/>
              <w:snapToGrid w:val="0"/>
              <w:jc w:val="center"/>
              <w:rPr>
                <w:rFonts w:ascii="宋体" w:hAnsi="宋体" w:eastAsia="宋体" w:cs="宋体"/>
                <w:bCs/>
              </w:rPr>
            </w:pPr>
            <w:r>
              <w:rPr>
                <w:rFonts w:hint="eastAsia" w:ascii="宋体" w:hAnsi="宋体" w:eastAsia="宋体" w:cs="宋体"/>
                <w:bCs/>
              </w:rPr>
              <w:t>序号</w:t>
            </w:r>
          </w:p>
        </w:tc>
        <w:tc>
          <w:tcPr>
            <w:tcW w:w="1392" w:type="pct"/>
            <w:gridSpan w:val="2"/>
            <w:tcBorders>
              <w:bottom w:val="single" w:color="auto" w:sz="4" w:space="0"/>
            </w:tcBorders>
            <w:vAlign w:val="center"/>
          </w:tcPr>
          <w:p w14:paraId="37DF07B2">
            <w:pPr>
              <w:widowControl/>
              <w:snapToGrid w:val="0"/>
              <w:jc w:val="center"/>
              <w:rPr>
                <w:rFonts w:ascii="宋体" w:hAnsi="宋体" w:eastAsia="宋体" w:cs="宋体"/>
                <w:bCs/>
              </w:rPr>
            </w:pPr>
            <w:r>
              <w:rPr>
                <w:rFonts w:hint="eastAsia" w:ascii="宋体" w:hAnsi="宋体" w:eastAsia="宋体" w:cs="宋体"/>
                <w:bCs/>
              </w:rPr>
              <w:t>职务</w:t>
            </w:r>
          </w:p>
        </w:tc>
        <w:tc>
          <w:tcPr>
            <w:tcW w:w="589" w:type="pct"/>
            <w:tcBorders>
              <w:bottom w:val="single" w:color="auto" w:sz="4" w:space="0"/>
            </w:tcBorders>
            <w:vAlign w:val="center"/>
          </w:tcPr>
          <w:p w14:paraId="1C8F46B9">
            <w:pPr>
              <w:widowControl/>
              <w:snapToGrid w:val="0"/>
              <w:jc w:val="center"/>
              <w:rPr>
                <w:rFonts w:ascii="宋体" w:hAnsi="宋体" w:eastAsia="宋体" w:cs="宋体"/>
                <w:bCs/>
              </w:rPr>
            </w:pPr>
            <w:r>
              <w:rPr>
                <w:rFonts w:hint="eastAsia" w:ascii="宋体" w:hAnsi="宋体" w:eastAsia="宋体" w:cs="宋体"/>
                <w:bCs/>
              </w:rPr>
              <w:t>姓名</w:t>
            </w:r>
          </w:p>
        </w:tc>
        <w:tc>
          <w:tcPr>
            <w:tcW w:w="1091" w:type="pct"/>
            <w:gridSpan w:val="2"/>
            <w:tcBorders>
              <w:bottom w:val="single" w:color="auto" w:sz="4" w:space="0"/>
            </w:tcBorders>
            <w:vAlign w:val="center"/>
          </w:tcPr>
          <w:p w14:paraId="350B179A">
            <w:pPr>
              <w:widowControl/>
              <w:snapToGrid w:val="0"/>
              <w:jc w:val="center"/>
              <w:rPr>
                <w:rFonts w:ascii="宋体" w:hAnsi="宋体" w:eastAsia="宋体" w:cs="宋体"/>
                <w:bCs/>
              </w:rPr>
            </w:pPr>
            <w:r>
              <w:rPr>
                <w:rFonts w:hint="eastAsia" w:ascii="宋体" w:hAnsi="宋体" w:eastAsia="宋体" w:cs="宋体"/>
                <w:bCs/>
              </w:rPr>
              <w:t>身份证号码</w:t>
            </w:r>
          </w:p>
        </w:tc>
        <w:tc>
          <w:tcPr>
            <w:tcW w:w="741" w:type="pct"/>
            <w:tcBorders>
              <w:bottom w:val="single" w:color="auto" w:sz="4" w:space="0"/>
            </w:tcBorders>
            <w:vAlign w:val="center"/>
          </w:tcPr>
          <w:p w14:paraId="38122C3E">
            <w:pPr>
              <w:widowControl/>
              <w:snapToGrid w:val="0"/>
              <w:jc w:val="center"/>
              <w:rPr>
                <w:rFonts w:ascii="宋体" w:hAnsi="宋体" w:eastAsia="宋体" w:cs="宋体"/>
                <w:bCs/>
              </w:rPr>
            </w:pPr>
            <w:r>
              <w:rPr>
                <w:rFonts w:hint="eastAsia" w:ascii="宋体" w:hAnsi="宋体" w:eastAsia="宋体" w:cs="宋体"/>
                <w:bCs/>
              </w:rPr>
              <w:t>劳动合同</w:t>
            </w:r>
          </w:p>
          <w:p w14:paraId="769D8FEA">
            <w:pPr>
              <w:widowControl/>
              <w:snapToGrid w:val="0"/>
              <w:jc w:val="center"/>
              <w:rPr>
                <w:rFonts w:ascii="宋体" w:hAnsi="宋体" w:eastAsia="宋体" w:cs="宋体"/>
                <w:bCs/>
              </w:rPr>
            </w:pPr>
            <w:r>
              <w:rPr>
                <w:rFonts w:hint="eastAsia" w:ascii="宋体" w:hAnsi="宋体" w:eastAsia="宋体" w:cs="宋体"/>
                <w:bCs/>
              </w:rPr>
              <w:t>关系单位</w:t>
            </w:r>
          </w:p>
        </w:tc>
        <w:tc>
          <w:tcPr>
            <w:tcW w:w="778" w:type="pct"/>
            <w:tcBorders>
              <w:bottom w:val="single" w:color="auto" w:sz="4" w:space="0"/>
            </w:tcBorders>
            <w:vAlign w:val="center"/>
          </w:tcPr>
          <w:p w14:paraId="523227F4">
            <w:pPr>
              <w:widowControl/>
              <w:snapToGrid w:val="0"/>
              <w:jc w:val="center"/>
              <w:rPr>
                <w:rFonts w:ascii="宋体" w:hAnsi="宋体" w:eastAsia="宋体" w:cs="宋体"/>
                <w:bCs/>
              </w:rPr>
            </w:pPr>
            <w:r>
              <w:rPr>
                <w:rFonts w:hint="eastAsia" w:ascii="宋体" w:hAnsi="宋体" w:eastAsia="宋体" w:cs="宋体"/>
                <w:bCs/>
              </w:rPr>
              <w:t>缴纳社会</w:t>
            </w:r>
          </w:p>
          <w:p w14:paraId="70EB2297">
            <w:pPr>
              <w:widowControl/>
              <w:snapToGrid w:val="0"/>
              <w:jc w:val="center"/>
              <w:rPr>
                <w:rFonts w:ascii="宋体" w:hAnsi="宋体" w:eastAsia="宋体" w:cs="宋体"/>
                <w:bCs/>
              </w:rPr>
            </w:pPr>
            <w:r>
              <w:rPr>
                <w:rFonts w:hint="eastAsia" w:ascii="宋体" w:hAnsi="宋体" w:eastAsia="宋体" w:cs="宋体"/>
                <w:bCs/>
              </w:rPr>
              <w:t>保险单位</w:t>
            </w:r>
          </w:p>
        </w:tc>
      </w:tr>
      <w:tr w14:paraId="1577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left w:val="single" w:color="auto" w:sz="4" w:space="0"/>
              <w:bottom w:val="single" w:color="auto" w:sz="4" w:space="0"/>
              <w:right w:val="single" w:color="auto" w:sz="4" w:space="0"/>
            </w:tcBorders>
            <w:vAlign w:val="center"/>
          </w:tcPr>
          <w:p w14:paraId="5E8870EB">
            <w:pPr>
              <w:widowControl/>
              <w:snapToGrid w:val="0"/>
              <w:jc w:val="center"/>
              <w:rPr>
                <w:rFonts w:ascii="宋体" w:hAnsi="宋体" w:eastAsia="宋体" w:cs="宋体"/>
                <w:bCs/>
              </w:rPr>
            </w:pPr>
            <w:r>
              <w:rPr>
                <w:rFonts w:hint="eastAsia" w:ascii="宋体" w:hAnsi="宋体" w:eastAsia="宋体" w:cs="宋体"/>
                <w:bCs/>
              </w:rPr>
              <w:t>1</w:t>
            </w:r>
          </w:p>
        </w:tc>
        <w:tc>
          <w:tcPr>
            <w:tcW w:w="1392" w:type="pct"/>
            <w:gridSpan w:val="2"/>
            <w:tcBorders>
              <w:top w:val="single" w:color="auto" w:sz="4" w:space="0"/>
              <w:left w:val="single" w:color="auto" w:sz="4" w:space="0"/>
              <w:bottom w:val="single" w:color="auto" w:sz="4" w:space="0"/>
              <w:right w:val="single" w:color="auto" w:sz="4" w:space="0"/>
            </w:tcBorders>
            <w:vAlign w:val="center"/>
          </w:tcPr>
          <w:p w14:paraId="6C02E09B">
            <w:pPr>
              <w:widowControl/>
              <w:snapToGrid w:val="0"/>
              <w:jc w:val="both"/>
              <w:rPr>
                <w:rFonts w:ascii="宋体" w:hAnsi="宋体" w:eastAsia="宋体" w:cs="宋体"/>
                <w:bCs/>
              </w:rPr>
            </w:pPr>
            <w:r>
              <w:rPr>
                <w:rFonts w:hint="eastAsia" w:ascii="宋体" w:hAnsi="宋体" w:eastAsia="宋体" w:cs="宋体"/>
                <w:spacing w:val="-4"/>
              </w:rPr>
              <w:t>法定代表人（或单位负责人或执行事务合伙人）</w:t>
            </w:r>
          </w:p>
        </w:tc>
        <w:tc>
          <w:tcPr>
            <w:tcW w:w="589" w:type="pct"/>
            <w:tcBorders>
              <w:top w:val="single" w:color="auto" w:sz="4" w:space="0"/>
              <w:left w:val="single" w:color="auto" w:sz="4" w:space="0"/>
              <w:bottom w:val="single" w:color="auto" w:sz="4" w:space="0"/>
              <w:right w:val="single" w:color="auto" w:sz="4" w:space="0"/>
            </w:tcBorders>
            <w:vAlign w:val="center"/>
          </w:tcPr>
          <w:p w14:paraId="2279ADDB">
            <w:pPr>
              <w:widowControl/>
              <w:snapToGrid w:val="0"/>
              <w:jc w:val="both"/>
              <w:rPr>
                <w:rFonts w:ascii="宋体" w:hAnsi="宋体" w:eastAsia="宋体" w:cs="宋体"/>
                <w:bCs/>
              </w:rPr>
            </w:pPr>
          </w:p>
        </w:tc>
        <w:tc>
          <w:tcPr>
            <w:tcW w:w="1091" w:type="pct"/>
            <w:gridSpan w:val="2"/>
            <w:tcBorders>
              <w:top w:val="single" w:color="auto" w:sz="4" w:space="0"/>
              <w:left w:val="single" w:color="auto" w:sz="4" w:space="0"/>
              <w:bottom w:val="single" w:color="auto" w:sz="4" w:space="0"/>
              <w:right w:val="single" w:color="auto" w:sz="4" w:space="0"/>
            </w:tcBorders>
            <w:vAlign w:val="center"/>
          </w:tcPr>
          <w:p w14:paraId="38FC040D">
            <w:pPr>
              <w:widowControl/>
              <w:snapToGrid w:val="0"/>
              <w:jc w:val="both"/>
              <w:rPr>
                <w:rFonts w:ascii="宋体" w:hAnsi="宋体" w:eastAsia="宋体" w:cs="宋体"/>
                <w:bCs/>
              </w:rPr>
            </w:pPr>
          </w:p>
        </w:tc>
        <w:tc>
          <w:tcPr>
            <w:tcW w:w="741" w:type="pct"/>
            <w:tcBorders>
              <w:top w:val="single" w:color="auto" w:sz="4" w:space="0"/>
              <w:left w:val="single" w:color="auto" w:sz="4" w:space="0"/>
              <w:bottom w:val="single" w:color="auto" w:sz="4" w:space="0"/>
              <w:right w:val="single" w:color="auto" w:sz="4" w:space="0"/>
            </w:tcBorders>
            <w:vAlign w:val="center"/>
          </w:tcPr>
          <w:p w14:paraId="4A40C387">
            <w:pPr>
              <w:widowControl/>
              <w:snapToGrid w:val="0"/>
              <w:jc w:val="both"/>
              <w:rPr>
                <w:rFonts w:ascii="宋体" w:hAnsi="宋体" w:eastAsia="宋体" w:cs="宋体"/>
                <w:bCs/>
              </w:rPr>
            </w:pPr>
          </w:p>
        </w:tc>
        <w:tc>
          <w:tcPr>
            <w:tcW w:w="778" w:type="pct"/>
            <w:tcBorders>
              <w:top w:val="single" w:color="auto" w:sz="4" w:space="0"/>
              <w:left w:val="single" w:color="auto" w:sz="4" w:space="0"/>
              <w:bottom w:val="single" w:color="auto" w:sz="4" w:space="0"/>
              <w:right w:val="single" w:color="auto" w:sz="4" w:space="0"/>
            </w:tcBorders>
            <w:vAlign w:val="center"/>
          </w:tcPr>
          <w:p w14:paraId="10919D86">
            <w:pPr>
              <w:widowControl/>
              <w:snapToGrid w:val="0"/>
              <w:jc w:val="both"/>
              <w:rPr>
                <w:rFonts w:ascii="宋体" w:hAnsi="宋体" w:eastAsia="宋体" w:cs="宋体"/>
                <w:bCs/>
              </w:rPr>
            </w:pPr>
          </w:p>
        </w:tc>
      </w:tr>
      <w:tr w14:paraId="6D7A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left w:val="single" w:color="auto" w:sz="4" w:space="0"/>
              <w:bottom w:val="single" w:color="auto" w:sz="4" w:space="0"/>
              <w:right w:val="single" w:color="auto" w:sz="4" w:space="0"/>
            </w:tcBorders>
            <w:vAlign w:val="center"/>
          </w:tcPr>
          <w:p w14:paraId="440B9665">
            <w:pPr>
              <w:widowControl/>
              <w:snapToGrid w:val="0"/>
              <w:jc w:val="center"/>
              <w:rPr>
                <w:rFonts w:ascii="宋体" w:hAnsi="宋体" w:eastAsia="宋体" w:cs="宋体"/>
                <w:bCs/>
              </w:rPr>
            </w:pPr>
            <w:r>
              <w:rPr>
                <w:rFonts w:hint="eastAsia" w:ascii="宋体" w:hAnsi="宋体" w:eastAsia="宋体" w:cs="宋体"/>
                <w:bCs/>
              </w:rPr>
              <w:t>2</w:t>
            </w:r>
          </w:p>
        </w:tc>
        <w:tc>
          <w:tcPr>
            <w:tcW w:w="1392" w:type="pct"/>
            <w:gridSpan w:val="2"/>
            <w:tcBorders>
              <w:top w:val="single" w:color="auto" w:sz="4" w:space="0"/>
              <w:left w:val="single" w:color="auto" w:sz="4" w:space="0"/>
              <w:bottom w:val="single" w:color="auto" w:sz="4" w:space="0"/>
              <w:right w:val="single" w:color="auto" w:sz="4" w:space="0"/>
            </w:tcBorders>
            <w:vAlign w:val="center"/>
          </w:tcPr>
          <w:p w14:paraId="44E3061B">
            <w:pPr>
              <w:widowControl/>
              <w:snapToGrid w:val="0"/>
              <w:jc w:val="both"/>
              <w:rPr>
                <w:rFonts w:ascii="宋体" w:hAnsi="宋体" w:eastAsia="宋体" w:cs="宋体"/>
                <w:b/>
                <w:bCs/>
                <w:color w:val="FF0000"/>
                <w:spacing w:val="-4"/>
              </w:rPr>
            </w:pPr>
            <w:r>
              <w:rPr>
                <w:rFonts w:hint="eastAsia" w:ascii="宋体" w:hAnsi="宋体" w:eastAsia="宋体" w:cs="宋体"/>
                <w:spacing w:val="-4"/>
              </w:rPr>
              <w:t>主要经营负责人</w:t>
            </w:r>
          </w:p>
        </w:tc>
        <w:tc>
          <w:tcPr>
            <w:tcW w:w="589" w:type="pct"/>
            <w:tcBorders>
              <w:top w:val="single" w:color="auto" w:sz="4" w:space="0"/>
              <w:left w:val="single" w:color="auto" w:sz="4" w:space="0"/>
              <w:bottom w:val="single" w:color="auto" w:sz="4" w:space="0"/>
              <w:right w:val="single" w:color="auto" w:sz="4" w:space="0"/>
            </w:tcBorders>
            <w:vAlign w:val="center"/>
          </w:tcPr>
          <w:p w14:paraId="6BE81181">
            <w:pPr>
              <w:widowControl/>
              <w:snapToGrid w:val="0"/>
              <w:jc w:val="both"/>
              <w:rPr>
                <w:rFonts w:ascii="宋体" w:hAnsi="宋体" w:eastAsia="宋体" w:cs="宋体"/>
                <w:bCs/>
              </w:rPr>
            </w:pPr>
          </w:p>
        </w:tc>
        <w:tc>
          <w:tcPr>
            <w:tcW w:w="1091" w:type="pct"/>
            <w:gridSpan w:val="2"/>
            <w:tcBorders>
              <w:top w:val="single" w:color="auto" w:sz="4" w:space="0"/>
              <w:left w:val="single" w:color="auto" w:sz="4" w:space="0"/>
              <w:bottom w:val="single" w:color="auto" w:sz="4" w:space="0"/>
              <w:right w:val="single" w:color="auto" w:sz="4" w:space="0"/>
            </w:tcBorders>
            <w:vAlign w:val="center"/>
          </w:tcPr>
          <w:p w14:paraId="20304B4B">
            <w:pPr>
              <w:widowControl/>
              <w:snapToGrid w:val="0"/>
              <w:jc w:val="both"/>
              <w:rPr>
                <w:rFonts w:ascii="宋体" w:hAnsi="宋体" w:eastAsia="宋体" w:cs="宋体"/>
                <w:bCs/>
              </w:rPr>
            </w:pPr>
          </w:p>
        </w:tc>
        <w:tc>
          <w:tcPr>
            <w:tcW w:w="741" w:type="pct"/>
            <w:tcBorders>
              <w:top w:val="single" w:color="auto" w:sz="4" w:space="0"/>
              <w:left w:val="single" w:color="auto" w:sz="4" w:space="0"/>
              <w:bottom w:val="single" w:color="auto" w:sz="4" w:space="0"/>
              <w:right w:val="single" w:color="auto" w:sz="4" w:space="0"/>
            </w:tcBorders>
            <w:vAlign w:val="center"/>
          </w:tcPr>
          <w:p w14:paraId="3F45EFBA">
            <w:pPr>
              <w:widowControl/>
              <w:snapToGrid w:val="0"/>
              <w:jc w:val="both"/>
              <w:rPr>
                <w:rFonts w:ascii="宋体" w:hAnsi="宋体" w:eastAsia="宋体" w:cs="宋体"/>
                <w:bCs/>
              </w:rPr>
            </w:pPr>
          </w:p>
        </w:tc>
        <w:tc>
          <w:tcPr>
            <w:tcW w:w="778" w:type="pct"/>
            <w:tcBorders>
              <w:top w:val="single" w:color="auto" w:sz="4" w:space="0"/>
              <w:left w:val="single" w:color="auto" w:sz="4" w:space="0"/>
              <w:bottom w:val="single" w:color="auto" w:sz="4" w:space="0"/>
              <w:right w:val="single" w:color="auto" w:sz="4" w:space="0"/>
            </w:tcBorders>
            <w:vAlign w:val="center"/>
          </w:tcPr>
          <w:p w14:paraId="523E4F55">
            <w:pPr>
              <w:widowControl/>
              <w:snapToGrid w:val="0"/>
              <w:jc w:val="both"/>
              <w:rPr>
                <w:rFonts w:ascii="宋体" w:hAnsi="宋体" w:eastAsia="宋体" w:cs="宋体"/>
                <w:bCs/>
              </w:rPr>
            </w:pPr>
          </w:p>
        </w:tc>
      </w:tr>
      <w:tr w14:paraId="2CCC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left w:val="single" w:color="auto" w:sz="4" w:space="0"/>
              <w:bottom w:val="single" w:color="auto" w:sz="4" w:space="0"/>
              <w:right w:val="single" w:color="auto" w:sz="4" w:space="0"/>
            </w:tcBorders>
            <w:vAlign w:val="center"/>
          </w:tcPr>
          <w:p w14:paraId="352FB168">
            <w:pPr>
              <w:widowControl/>
              <w:snapToGrid w:val="0"/>
              <w:jc w:val="center"/>
              <w:rPr>
                <w:rFonts w:ascii="宋体" w:hAnsi="宋体" w:eastAsia="宋体" w:cs="宋体"/>
                <w:bCs/>
              </w:rPr>
            </w:pPr>
            <w:r>
              <w:rPr>
                <w:rFonts w:hint="eastAsia" w:ascii="宋体" w:hAnsi="宋体" w:eastAsia="宋体" w:cs="宋体"/>
                <w:bCs/>
              </w:rPr>
              <w:t>3</w:t>
            </w:r>
          </w:p>
        </w:tc>
        <w:tc>
          <w:tcPr>
            <w:tcW w:w="1392" w:type="pct"/>
            <w:gridSpan w:val="2"/>
            <w:tcBorders>
              <w:top w:val="single" w:color="auto" w:sz="4" w:space="0"/>
              <w:left w:val="single" w:color="auto" w:sz="4" w:space="0"/>
              <w:bottom w:val="single" w:color="auto" w:sz="4" w:space="0"/>
              <w:right w:val="single" w:color="auto" w:sz="4" w:space="0"/>
            </w:tcBorders>
            <w:vAlign w:val="center"/>
          </w:tcPr>
          <w:p w14:paraId="38336B30">
            <w:pPr>
              <w:widowControl/>
              <w:snapToGrid w:val="0"/>
              <w:jc w:val="both"/>
              <w:rPr>
                <w:rFonts w:ascii="宋体" w:hAnsi="宋体" w:eastAsia="宋体" w:cs="宋体"/>
                <w:bCs/>
              </w:rPr>
            </w:pPr>
            <w:r>
              <w:rPr>
                <w:rFonts w:hint="eastAsia" w:ascii="宋体" w:hAnsi="宋体" w:eastAsia="宋体" w:cs="宋体"/>
                <w:spacing w:val="-4"/>
              </w:rPr>
              <w:t>项目投标授权代表人</w:t>
            </w:r>
          </w:p>
        </w:tc>
        <w:tc>
          <w:tcPr>
            <w:tcW w:w="589" w:type="pct"/>
            <w:tcBorders>
              <w:top w:val="single" w:color="auto" w:sz="4" w:space="0"/>
              <w:left w:val="single" w:color="auto" w:sz="4" w:space="0"/>
              <w:bottom w:val="single" w:color="auto" w:sz="4" w:space="0"/>
              <w:right w:val="single" w:color="auto" w:sz="4" w:space="0"/>
            </w:tcBorders>
            <w:vAlign w:val="center"/>
          </w:tcPr>
          <w:p w14:paraId="2E218289">
            <w:pPr>
              <w:widowControl/>
              <w:snapToGrid w:val="0"/>
              <w:jc w:val="both"/>
              <w:rPr>
                <w:rFonts w:ascii="宋体" w:hAnsi="宋体" w:eastAsia="宋体" w:cs="宋体"/>
                <w:bCs/>
              </w:rPr>
            </w:pPr>
          </w:p>
        </w:tc>
        <w:tc>
          <w:tcPr>
            <w:tcW w:w="1091" w:type="pct"/>
            <w:gridSpan w:val="2"/>
            <w:tcBorders>
              <w:top w:val="single" w:color="auto" w:sz="4" w:space="0"/>
              <w:left w:val="single" w:color="auto" w:sz="4" w:space="0"/>
              <w:bottom w:val="single" w:color="auto" w:sz="4" w:space="0"/>
              <w:right w:val="single" w:color="auto" w:sz="4" w:space="0"/>
            </w:tcBorders>
            <w:vAlign w:val="center"/>
          </w:tcPr>
          <w:p w14:paraId="2B5C1A55">
            <w:pPr>
              <w:widowControl/>
              <w:snapToGrid w:val="0"/>
              <w:jc w:val="both"/>
              <w:rPr>
                <w:rFonts w:ascii="宋体" w:hAnsi="宋体" w:eastAsia="宋体" w:cs="宋体"/>
                <w:bCs/>
              </w:rPr>
            </w:pPr>
          </w:p>
        </w:tc>
        <w:tc>
          <w:tcPr>
            <w:tcW w:w="741" w:type="pct"/>
            <w:tcBorders>
              <w:top w:val="single" w:color="auto" w:sz="4" w:space="0"/>
              <w:left w:val="single" w:color="auto" w:sz="4" w:space="0"/>
              <w:bottom w:val="single" w:color="auto" w:sz="4" w:space="0"/>
              <w:right w:val="single" w:color="auto" w:sz="4" w:space="0"/>
            </w:tcBorders>
            <w:vAlign w:val="center"/>
          </w:tcPr>
          <w:p w14:paraId="3D1C52BA">
            <w:pPr>
              <w:widowControl/>
              <w:snapToGrid w:val="0"/>
              <w:jc w:val="both"/>
              <w:rPr>
                <w:rFonts w:ascii="宋体" w:hAnsi="宋体" w:eastAsia="宋体" w:cs="宋体"/>
                <w:bCs/>
              </w:rPr>
            </w:pPr>
          </w:p>
        </w:tc>
        <w:tc>
          <w:tcPr>
            <w:tcW w:w="778" w:type="pct"/>
            <w:tcBorders>
              <w:top w:val="single" w:color="auto" w:sz="4" w:space="0"/>
              <w:left w:val="single" w:color="auto" w:sz="4" w:space="0"/>
              <w:bottom w:val="single" w:color="auto" w:sz="4" w:space="0"/>
              <w:right w:val="single" w:color="auto" w:sz="4" w:space="0"/>
            </w:tcBorders>
            <w:vAlign w:val="center"/>
          </w:tcPr>
          <w:p w14:paraId="0D6FE875">
            <w:pPr>
              <w:widowControl/>
              <w:snapToGrid w:val="0"/>
              <w:jc w:val="both"/>
              <w:rPr>
                <w:rFonts w:ascii="宋体" w:hAnsi="宋体" w:eastAsia="宋体" w:cs="宋体"/>
                <w:bCs/>
              </w:rPr>
            </w:pPr>
          </w:p>
        </w:tc>
      </w:tr>
      <w:tr w14:paraId="2F45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tcBorders>
            <w:vAlign w:val="center"/>
          </w:tcPr>
          <w:p w14:paraId="586A6B7A">
            <w:pPr>
              <w:widowControl/>
              <w:snapToGrid w:val="0"/>
              <w:jc w:val="center"/>
              <w:rPr>
                <w:rFonts w:ascii="宋体" w:hAnsi="宋体" w:eastAsia="宋体" w:cs="宋体"/>
                <w:bCs/>
              </w:rPr>
            </w:pPr>
            <w:r>
              <w:rPr>
                <w:rFonts w:hint="eastAsia" w:ascii="宋体" w:hAnsi="宋体" w:eastAsia="宋体" w:cs="宋体"/>
                <w:bCs/>
              </w:rPr>
              <w:t>4</w:t>
            </w:r>
          </w:p>
        </w:tc>
        <w:tc>
          <w:tcPr>
            <w:tcW w:w="1392" w:type="pct"/>
            <w:gridSpan w:val="2"/>
            <w:tcBorders>
              <w:top w:val="single" w:color="auto" w:sz="4" w:space="0"/>
            </w:tcBorders>
            <w:vAlign w:val="center"/>
          </w:tcPr>
          <w:p w14:paraId="6A0D2F2F">
            <w:pPr>
              <w:widowControl/>
              <w:snapToGrid w:val="0"/>
              <w:jc w:val="both"/>
              <w:rPr>
                <w:rFonts w:ascii="宋体" w:hAnsi="宋体" w:eastAsia="宋体" w:cs="宋体"/>
                <w:bCs/>
              </w:rPr>
            </w:pPr>
            <w:r>
              <w:rPr>
                <w:rFonts w:hint="eastAsia" w:ascii="宋体" w:hAnsi="宋体" w:eastAsia="宋体" w:cs="宋体"/>
                <w:bCs/>
              </w:rPr>
              <w:t>项目负责人</w:t>
            </w:r>
          </w:p>
        </w:tc>
        <w:tc>
          <w:tcPr>
            <w:tcW w:w="589" w:type="pct"/>
            <w:tcBorders>
              <w:top w:val="single" w:color="auto" w:sz="4" w:space="0"/>
            </w:tcBorders>
            <w:vAlign w:val="center"/>
          </w:tcPr>
          <w:p w14:paraId="4D56959F">
            <w:pPr>
              <w:widowControl/>
              <w:snapToGrid w:val="0"/>
              <w:jc w:val="both"/>
              <w:rPr>
                <w:rFonts w:ascii="宋体" w:hAnsi="宋体" w:eastAsia="宋体" w:cs="宋体"/>
                <w:bCs/>
              </w:rPr>
            </w:pPr>
          </w:p>
        </w:tc>
        <w:tc>
          <w:tcPr>
            <w:tcW w:w="1091" w:type="pct"/>
            <w:gridSpan w:val="2"/>
            <w:tcBorders>
              <w:top w:val="single" w:color="auto" w:sz="4" w:space="0"/>
            </w:tcBorders>
            <w:vAlign w:val="center"/>
          </w:tcPr>
          <w:p w14:paraId="4F67EA83">
            <w:pPr>
              <w:widowControl/>
              <w:snapToGrid w:val="0"/>
              <w:jc w:val="both"/>
              <w:rPr>
                <w:rFonts w:ascii="宋体" w:hAnsi="宋体" w:eastAsia="宋体" w:cs="宋体"/>
                <w:bCs/>
              </w:rPr>
            </w:pPr>
          </w:p>
        </w:tc>
        <w:tc>
          <w:tcPr>
            <w:tcW w:w="741" w:type="pct"/>
            <w:tcBorders>
              <w:top w:val="single" w:color="auto" w:sz="4" w:space="0"/>
            </w:tcBorders>
            <w:vAlign w:val="center"/>
          </w:tcPr>
          <w:p w14:paraId="27B2A404">
            <w:pPr>
              <w:widowControl/>
              <w:snapToGrid w:val="0"/>
              <w:jc w:val="both"/>
              <w:rPr>
                <w:rFonts w:ascii="宋体" w:hAnsi="宋体" w:eastAsia="宋体" w:cs="宋体"/>
                <w:bCs/>
              </w:rPr>
            </w:pPr>
          </w:p>
        </w:tc>
        <w:tc>
          <w:tcPr>
            <w:tcW w:w="778" w:type="pct"/>
            <w:tcBorders>
              <w:top w:val="single" w:color="auto" w:sz="4" w:space="0"/>
            </w:tcBorders>
            <w:vAlign w:val="center"/>
          </w:tcPr>
          <w:p w14:paraId="4FB912C1">
            <w:pPr>
              <w:widowControl/>
              <w:snapToGrid w:val="0"/>
              <w:jc w:val="both"/>
              <w:rPr>
                <w:rFonts w:ascii="宋体" w:hAnsi="宋体" w:eastAsia="宋体" w:cs="宋体"/>
                <w:bCs/>
              </w:rPr>
            </w:pPr>
          </w:p>
        </w:tc>
      </w:tr>
      <w:tr w14:paraId="676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14:paraId="318FC65D">
            <w:pPr>
              <w:widowControl/>
              <w:snapToGrid w:val="0"/>
              <w:jc w:val="center"/>
              <w:rPr>
                <w:rFonts w:ascii="宋体" w:hAnsi="宋体" w:eastAsia="宋体" w:cs="宋体"/>
                <w:bCs/>
              </w:rPr>
            </w:pPr>
            <w:r>
              <w:rPr>
                <w:rFonts w:hint="eastAsia" w:ascii="宋体" w:hAnsi="宋体" w:eastAsia="宋体" w:cs="宋体"/>
                <w:bCs/>
              </w:rPr>
              <w:t>5</w:t>
            </w:r>
          </w:p>
        </w:tc>
        <w:tc>
          <w:tcPr>
            <w:tcW w:w="1392" w:type="pct"/>
            <w:gridSpan w:val="2"/>
            <w:vAlign w:val="center"/>
          </w:tcPr>
          <w:p w14:paraId="0039FD95">
            <w:pPr>
              <w:widowControl/>
              <w:snapToGrid w:val="0"/>
              <w:jc w:val="both"/>
              <w:rPr>
                <w:rFonts w:ascii="宋体" w:hAnsi="宋体" w:eastAsia="宋体" w:cs="宋体"/>
                <w:bCs/>
              </w:rPr>
            </w:pPr>
            <w:r>
              <w:rPr>
                <w:rFonts w:hint="eastAsia" w:ascii="宋体" w:hAnsi="宋体" w:eastAsia="宋体" w:cs="宋体"/>
                <w:bCs/>
              </w:rPr>
              <w:t>主要技术人员</w:t>
            </w:r>
          </w:p>
        </w:tc>
        <w:tc>
          <w:tcPr>
            <w:tcW w:w="589" w:type="pct"/>
            <w:vAlign w:val="center"/>
          </w:tcPr>
          <w:p w14:paraId="4290E063">
            <w:pPr>
              <w:widowControl/>
              <w:snapToGrid w:val="0"/>
              <w:jc w:val="both"/>
              <w:rPr>
                <w:rFonts w:ascii="宋体" w:hAnsi="宋体" w:eastAsia="宋体" w:cs="宋体"/>
                <w:bCs/>
              </w:rPr>
            </w:pPr>
          </w:p>
        </w:tc>
        <w:tc>
          <w:tcPr>
            <w:tcW w:w="1091" w:type="pct"/>
            <w:gridSpan w:val="2"/>
            <w:vAlign w:val="center"/>
          </w:tcPr>
          <w:p w14:paraId="3576B9C8">
            <w:pPr>
              <w:widowControl/>
              <w:snapToGrid w:val="0"/>
              <w:jc w:val="both"/>
              <w:rPr>
                <w:rFonts w:ascii="宋体" w:hAnsi="宋体" w:eastAsia="宋体" w:cs="宋体"/>
                <w:bCs/>
              </w:rPr>
            </w:pPr>
          </w:p>
        </w:tc>
        <w:tc>
          <w:tcPr>
            <w:tcW w:w="741" w:type="pct"/>
            <w:vAlign w:val="center"/>
          </w:tcPr>
          <w:p w14:paraId="246C3BD6">
            <w:pPr>
              <w:widowControl/>
              <w:snapToGrid w:val="0"/>
              <w:jc w:val="both"/>
              <w:rPr>
                <w:rFonts w:ascii="宋体" w:hAnsi="宋体" w:eastAsia="宋体" w:cs="宋体"/>
                <w:bCs/>
              </w:rPr>
            </w:pPr>
          </w:p>
        </w:tc>
        <w:tc>
          <w:tcPr>
            <w:tcW w:w="778" w:type="pct"/>
            <w:vAlign w:val="center"/>
          </w:tcPr>
          <w:p w14:paraId="768BAC12">
            <w:pPr>
              <w:widowControl/>
              <w:snapToGrid w:val="0"/>
              <w:jc w:val="both"/>
              <w:rPr>
                <w:rFonts w:ascii="宋体" w:hAnsi="宋体" w:eastAsia="宋体" w:cs="宋体"/>
                <w:bCs/>
              </w:rPr>
            </w:pPr>
          </w:p>
        </w:tc>
      </w:tr>
      <w:tr w14:paraId="5E67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4AAC3E1">
            <w:pPr>
              <w:widowControl/>
              <w:snapToGrid w:val="0"/>
              <w:jc w:val="center"/>
              <w:rPr>
                <w:rFonts w:ascii="宋体" w:hAnsi="宋体" w:eastAsia="宋体" w:cs="宋体"/>
                <w:bCs/>
              </w:rPr>
            </w:pPr>
            <w:r>
              <w:rPr>
                <w:rFonts w:hint="eastAsia" w:ascii="宋体" w:hAnsi="宋体" w:eastAsia="宋体" w:cs="宋体"/>
                <w:bCs/>
              </w:rPr>
              <w:t>6</w:t>
            </w:r>
          </w:p>
        </w:tc>
        <w:tc>
          <w:tcPr>
            <w:tcW w:w="1392" w:type="pct"/>
            <w:gridSpan w:val="2"/>
            <w:vAlign w:val="center"/>
          </w:tcPr>
          <w:p w14:paraId="15816149">
            <w:pPr>
              <w:widowControl/>
              <w:snapToGrid w:val="0"/>
              <w:jc w:val="both"/>
              <w:rPr>
                <w:rFonts w:ascii="宋体" w:hAnsi="宋体" w:eastAsia="宋体" w:cs="宋体"/>
                <w:bCs/>
              </w:rPr>
            </w:pPr>
            <w:r>
              <w:rPr>
                <w:rFonts w:hint="eastAsia" w:ascii="宋体" w:hAnsi="宋体" w:eastAsia="宋体" w:cs="宋体"/>
                <w:spacing w:val="-4"/>
              </w:rPr>
              <w:t>投标文件编制人员</w:t>
            </w:r>
          </w:p>
        </w:tc>
        <w:tc>
          <w:tcPr>
            <w:tcW w:w="589" w:type="pct"/>
            <w:vAlign w:val="center"/>
          </w:tcPr>
          <w:p w14:paraId="3BB7CEC6">
            <w:pPr>
              <w:widowControl/>
              <w:snapToGrid w:val="0"/>
              <w:jc w:val="both"/>
              <w:rPr>
                <w:rFonts w:ascii="宋体" w:hAnsi="宋体" w:eastAsia="宋体" w:cs="宋体"/>
                <w:bCs/>
              </w:rPr>
            </w:pPr>
          </w:p>
        </w:tc>
        <w:tc>
          <w:tcPr>
            <w:tcW w:w="1091" w:type="pct"/>
            <w:gridSpan w:val="2"/>
            <w:vAlign w:val="center"/>
          </w:tcPr>
          <w:p w14:paraId="31427BE7">
            <w:pPr>
              <w:widowControl/>
              <w:snapToGrid w:val="0"/>
              <w:jc w:val="both"/>
              <w:rPr>
                <w:rFonts w:ascii="宋体" w:hAnsi="宋体" w:eastAsia="宋体" w:cs="宋体"/>
                <w:bCs/>
              </w:rPr>
            </w:pPr>
          </w:p>
        </w:tc>
        <w:tc>
          <w:tcPr>
            <w:tcW w:w="741" w:type="pct"/>
            <w:vAlign w:val="center"/>
          </w:tcPr>
          <w:p w14:paraId="4651791A">
            <w:pPr>
              <w:widowControl/>
              <w:snapToGrid w:val="0"/>
              <w:jc w:val="both"/>
              <w:rPr>
                <w:rFonts w:ascii="宋体" w:hAnsi="宋体" w:eastAsia="宋体" w:cs="宋体"/>
                <w:bCs/>
              </w:rPr>
            </w:pPr>
          </w:p>
        </w:tc>
        <w:tc>
          <w:tcPr>
            <w:tcW w:w="778" w:type="pct"/>
            <w:vAlign w:val="center"/>
          </w:tcPr>
          <w:p w14:paraId="1CFCDA8E">
            <w:pPr>
              <w:widowControl/>
              <w:snapToGrid w:val="0"/>
              <w:jc w:val="both"/>
              <w:rPr>
                <w:rFonts w:ascii="宋体" w:hAnsi="宋体" w:eastAsia="宋体" w:cs="宋体"/>
                <w:bCs/>
              </w:rPr>
            </w:pPr>
          </w:p>
        </w:tc>
      </w:tr>
      <w:tr w14:paraId="0991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9709EFC">
            <w:pPr>
              <w:widowControl/>
              <w:snapToGrid w:val="0"/>
              <w:jc w:val="both"/>
              <w:rPr>
                <w:rFonts w:ascii="宋体" w:hAnsi="宋体" w:eastAsia="宋体" w:cs="宋体"/>
                <w:bCs/>
              </w:rPr>
            </w:pPr>
            <w:r>
              <w:rPr>
                <w:rFonts w:hint="eastAsia" w:ascii="宋体" w:hAnsi="宋体" w:eastAsia="宋体" w:cs="宋体"/>
                <w:bCs/>
              </w:rPr>
              <w:t>说明：</w:t>
            </w:r>
          </w:p>
          <w:p w14:paraId="7212541C">
            <w:pPr>
              <w:pStyle w:val="8"/>
              <w:widowControl w:val="0"/>
              <w:jc w:val="both"/>
              <w:rPr>
                <w:rFonts w:eastAsia="宋体"/>
              </w:rPr>
            </w:pPr>
            <w:r>
              <w:rPr>
                <w:rFonts w:hint="eastAsia" w:eastAsia="宋体"/>
              </w:rPr>
              <w:t>1.同一职务有多人担任（如</w:t>
            </w:r>
            <w:r>
              <w:rPr>
                <w:rFonts w:hint="eastAsia" w:ascii="宋体" w:hAnsi="宋体" w:eastAsia="宋体" w:cs="宋体"/>
                <w:b w:val="0"/>
                <w:bCs w:val="0"/>
                <w:spacing w:val="-4"/>
              </w:rPr>
              <w:t>主要经营负责人、</w:t>
            </w:r>
            <w:r>
              <w:rPr>
                <w:rFonts w:hint="eastAsia" w:eastAsia="宋体"/>
              </w:rPr>
              <w:t>主要技术人员）或</w:t>
            </w:r>
            <w:r>
              <w:rPr>
                <w:rFonts w:hint="eastAsia" w:ascii="宋体" w:hAnsi="宋体" w:eastAsia="宋体" w:cs="宋体"/>
                <w:b w:val="0"/>
                <w:bCs w:val="0"/>
                <w:color w:val="FF0000"/>
                <w:spacing w:val="-4"/>
              </w:rPr>
              <w:t>同一人担任多个职务的</w:t>
            </w:r>
            <w:r>
              <w:rPr>
                <w:rFonts w:hint="eastAsia" w:eastAsia="宋体"/>
              </w:rPr>
              <w:t>，应分行填写</w:t>
            </w:r>
            <w:r>
              <w:rPr>
                <w:rFonts w:hint="eastAsia" w:ascii="宋体" w:hAnsi="宋体" w:eastAsia="宋体" w:cs="宋体"/>
                <w:b w:val="0"/>
                <w:bCs w:val="0"/>
                <w:color w:val="FF0000"/>
                <w:spacing w:val="-4"/>
              </w:rPr>
              <w:t>。</w:t>
            </w:r>
          </w:p>
          <w:p w14:paraId="2AFC434B">
            <w:pPr>
              <w:pStyle w:val="8"/>
              <w:widowControl w:val="0"/>
              <w:jc w:val="both"/>
              <w:rPr>
                <w:rFonts w:eastAsia="宋体"/>
              </w:rPr>
            </w:pPr>
            <w:r>
              <w:rPr>
                <w:rFonts w:hint="eastAsia" w:eastAsia="宋体"/>
              </w:rPr>
              <w:t>2.上述项目负责人、主要技术人员必须为供应商本单位人员。</w:t>
            </w:r>
          </w:p>
          <w:p w14:paraId="492D23A8">
            <w:pPr>
              <w:pStyle w:val="8"/>
              <w:widowControl w:val="0"/>
              <w:jc w:val="both"/>
              <w:rPr>
                <w:rFonts w:eastAsia="宋体"/>
              </w:rPr>
            </w:pPr>
            <w:r>
              <w:rPr>
                <w:rFonts w:hint="eastAsia" w:eastAsia="宋体"/>
              </w:rPr>
              <w:t>3.</w:t>
            </w:r>
            <w:r>
              <w:rPr>
                <w:rFonts w:eastAsia="宋体"/>
              </w:rPr>
              <w:t>依据《民法典》第504条规定，上述单位负责人，是指非法人组织（如个体工商户、分支机构）的负责人，即对外代表该组织的自然人。</w:t>
            </w:r>
          </w:p>
        </w:tc>
      </w:tr>
      <w:tr w14:paraId="5E5E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51BB467E">
            <w:pPr>
              <w:widowControl/>
              <w:snapToGrid w:val="0"/>
              <w:jc w:val="both"/>
              <w:rPr>
                <w:rFonts w:ascii="宋体" w:hAnsi="宋体" w:eastAsia="宋体" w:cs="宋体"/>
                <w:bCs/>
              </w:rPr>
            </w:pPr>
            <w:r>
              <w:rPr>
                <w:rFonts w:hint="eastAsia" w:ascii="宋体" w:hAnsi="宋体" w:eastAsia="宋体" w:cs="宋体"/>
                <w:bCs/>
              </w:rPr>
              <w:t>投标（响应）供应商关联关系情况</w:t>
            </w:r>
          </w:p>
        </w:tc>
      </w:tr>
      <w:tr w14:paraId="29D0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bottom w:val="single" w:color="auto" w:sz="4" w:space="0"/>
            </w:tcBorders>
            <w:vAlign w:val="center"/>
          </w:tcPr>
          <w:p w14:paraId="6D06DBBD">
            <w:pPr>
              <w:widowControl/>
              <w:snapToGrid w:val="0"/>
              <w:jc w:val="center"/>
              <w:rPr>
                <w:rFonts w:ascii="宋体" w:hAnsi="宋体" w:eastAsia="宋体" w:cs="宋体"/>
                <w:bCs/>
              </w:rPr>
            </w:pPr>
            <w:r>
              <w:rPr>
                <w:rFonts w:hint="eastAsia" w:ascii="宋体" w:hAnsi="宋体" w:eastAsia="宋体" w:cs="宋体"/>
                <w:bCs/>
              </w:rPr>
              <w:t>序号</w:t>
            </w:r>
          </w:p>
        </w:tc>
        <w:tc>
          <w:tcPr>
            <w:tcW w:w="1392" w:type="pct"/>
            <w:gridSpan w:val="2"/>
            <w:tcBorders>
              <w:bottom w:val="single" w:color="auto" w:sz="4" w:space="0"/>
            </w:tcBorders>
            <w:vAlign w:val="center"/>
          </w:tcPr>
          <w:p w14:paraId="51B2EF5A">
            <w:pPr>
              <w:widowControl/>
              <w:snapToGrid w:val="0"/>
              <w:jc w:val="center"/>
              <w:rPr>
                <w:rFonts w:ascii="宋体" w:hAnsi="宋体" w:eastAsia="宋体" w:cs="宋体"/>
                <w:bCs/>
              </w:rPr>
            </w:pPr>
            <w:r>
              <w:rPr>
                <w:rFonts w:hint="eastAsia" w:ascii="宋体" w:hAnsi="宋体" w:eastAsia="宋体" w:cs="宋体"/>
                <w:bCs/>
              </w:rPr>
              <w:t>关联关系类型</w:t>
            </w:r>
          </w:p>
        </w:tc>
        <w:tc>
          <w:tcPr>
            <w:tcW w:w="997" w:type="pct"/>
            <w:gridSpan w:val="2"/>
            <w:tcBorders>
              <w:bottom w:val="single" w:color="auto" w:sz="4" w:space="0"/>
            </w:tcBorders>
            <w:vAlign w:val="center"/>
          </w:tcPr>
          <w:p w14:paraId="4A3256DD">
            <w:pPr>
              <w:widowControl/>
              <w:snapToGrid w:val="0"/>
              <w:jc w:val="center"/>
              <w:rPr>
                <w:rFonts w:ascii="宋体" w:hAnsi="宋体" w:eastAsia="宋体" w:cs="宋体"/>
                <w:bCs/>
              </w:rPr>
            </w:pPr>
            <w:r>
              <w:rPr>
                <w:rFonts w:hint="eastAsia" w:ascii="宋体" w:hAnsi="宋体" w:eastAsia="宋体" w:cs="宋体"/>
                <w:bCs/>
              </w:rPr>
              <w:t>关联主体名称</w:t>
            </w:r>
          </w:p>
        </w:tc>
        <w:tc>
          <w:tcPr>
            <w:tcW w:w="2203" w:type="pct"/>
            <w:gridSpan w:val="3"/>
            <w:tcBorders>
              <w:bottom w:val="single" w:color="auto" w:sz="4" w:space="0"/>
            </w:tcBorders>
            <w:vAlign w:val="center"/>
          </w:tcPr>
          <w:p w14:paraId="0A844ADD">
            <w:pPr>
              <w:widowControl/>
              <w:snapToGrid w:val="0"/>
              <w:jc w:val="center"/>
              <w:rPr>
                <w:rFonts w:ascii="宋体" w:hAnsi="宋体" w:eastAsia="宋体" w:cs="宋体"/>
                <w:bCs/>
              </w:rPr>
            </w:pPr>
            <w:r>
              <w:rPr>
                <w:rFonts w:hint="eastAsia" w:ascii="宋体" w:hAnsi="宋体" w:eastAsia="宋体" w:cs="宋体"/>
                <w:bCs/>
              </w:rPr>
              <w:t>备注</w:t>
            </w:r>
          </w:p>
        </w:tc>
      </w:tr>
      <w:tr w14:paraId="013B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left w:val="single" w:color="auto" w:sz="4" w:space="0"/>
              <w:bottom w:val="single" w:color="auto" w:sz="4" w:space="0"/>
              <w:right w:val="single" w:color="auto" w:sz="4" w:space="0"/>
            </w:tcBorders>
            <w:vAlign w:val="center"/>
          </w:tcPr>
          <w:p w14:paraId="70DE409D">
            <w:pPr>
              <w:widowControl/>
              <w:snapToGrid w:val="0"/>
              <w:jc w:val="both"/>
              <w:rPr>
                <w:rFonts w:ascii="宋体" w:hAnsi="宋体" w:eastAsia="宋体" w:cs="宋体"/>
                <w:bCs/>
              </w:rPr>
            </w:pPr>
            <w:r>
              <w:rPr>
                <w:rFonts w:hint="eastAsia" w:ascii="宋体" w:hAnsi="宋体" w:eastAsia="宋体" w:cs="宋体"/>
                <w:bCs/>
              </w:rPr>
              <w:t>1</w:t>
            </w:r>
          </w:p>
        </w:tc>
        <w:tc>
          <w:tcPr>
            <w:tcW w:w="1392" w:type="pct"/>
            <w:gridSpan w:val="2"/>
            <w:tcBorders>
              <w:top w:val="single" w:color="auto" w:sz="4" w:space="0"/>
              <w:left w:val="single" w:color="auto" w:sz="4" w:space="0"/>
              <w:bottom w:val="single" w:color="auto" w:sz="4" w:space="0"/>
              <w:right w:val="single" w:color="auto" w:sz="4" w:space="0"/>
            </w:tcBorders>
            <w:vAlign w:val="center"/>
          </w:tcPr>
          <w:p w14:paraId="764D4C69">
            <w:pPr>
              <w:widowControl/>
              <w:snapToGrid w:val="0"/>
              <w:jc w:val="both"/>
              <w:rPr>
                <w:rFonts w:ascii="宋体" w:hAnsi="宋体" w:eastAsia="宋体" w:cs="宋体"/>
                <w:bCs/>
              </w:rPr>
            </w:pPr>
            <w:r>
              <w:rPr>
                <w:rFonts w:hint="eastAsia" w:ascii="宋体" w:hAnsi="宋体" w:eastAsia="宋体" w:cs="宋体"/>
                <w:b/>
                <w:bCs/>
                <w:color w:val="FF0000"/>
                <w:spacing w:val="-4"/>
              </w:rPr>
              <w:t>控股股东</w:t>
            </w:r>
          </w:p>
        </w:tc>
        <w:tc>
          <w:tcPr>
            <w:tcW w:w="997" w:type="pct"/>
            <w:gridSpan w:val="2"/>
            <w:tcBorders>
              <w:top w:val="single" w:color="auto" w:sz="4" w:space="0"/>
              <w:left w:val="single" w:color="auto" w:sz="4" w:space="0"/>
              <w:bottom w:val="single" w:color="auto" w:sz="4" w:space="0"/>
              <w:right w:val="single" w:color="auto" w:sz="4" w:space="0"/>
            </w:tcBorders>
            <w:vAlign w:val="center"/>
          </w:tcPr>
          <w:p w14:paraId="5177880B">
            <w:pPr>
              <w:widowControl/>
              <w:snapToGrid w:val="0"/>
              <w:jc w:val="both"/>
              <w:rPr>
                <w:rFonts w:ascii="宋体" w:hAnsi="宋体" w:eastAsia="宋体" w:cs="宋体"/>
                <w:bCs/>
              </w:rPr>
            </w:pPr>
          </w:p>
        </w:tc>
        <w:tc>
          <w:tcPr>
            <w:tcW w:w="2203" w:type="pct"/>
            <w:gridSpan w:val="3"/>
            <w:tcBorders>
              <w:top w:val="single" w:color="auto" w:sz="4" w:space="0"/>
              <w:left w:val="single" w:color="auto" w:sz="4" w:space="0"/>
              <w:bottom w:val="single" w:color="auto" w:sz="4" w:space="0"/>
              <w:right w:val="single" w:color="auto" w:sz="4" w:space="0"/>
            </w:tcBorders>
            <w:vAlign w:val="center"/>
          </w:tcPr>
          <w:p w14:paraId="140C645D">
            <w:pPr>
              <w:widowControl/>
              <w:snapToGrid w:val="0"/>
              <w:jc w:val="both"/>
              <w:rPr>
                <w:rFonts w:ascii="宋体" w:hAnsi="宋体" w:eastAsia="宋体" w:cs="宋体"/>
                <w:bCs/>
              </w:rPr>
            </w:pPr>
            <w:r>
              <w:rPr>
                <w:rFonts w:hint="eastAsia" w:ascii="宋体" w:hAnsi="宋体" w:eastAsia="宋体" w:cs="宋体"/>
                <w:bCs/>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D3F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left w:val="single" w:color="auto" w:sz="4" w:space="0"/>
              <w:bottom w:val="single" w:color="auto" w:sz="4" w:space="0"/>
              <w:right w:val="single" w:color="auto" w:sz="4" w:space="0"/>
            </w:tcBorders>
            <w:vAlign w:val="center"/>
          </w:tcPr>
          <w:p w14:paraId="3CEDF06A">
            <w:pPr>
              <w:widowControl/>
              <w:snapToGrid w:val="0"/>
              <w:jc w:val="both"/>
              <w:rPr>
                <w:rFonts w:ascii="宋体" w:hAnsi="宋体" w:eastAsia="宋体" w:cs="宋体"/>
                <w:bCs/>
              </w:rPr>
            </w:pPr>
            <w:r>
              <w:rPr>
                <w:rFonts w:hint="eastAsia" w:ascii="宋体" w:hAnsi="宋体" w:eastAsia="宋体" w:cs="宋体"/>
                <w:bCs/>
              </w:rPr>
              <w:t>2</w:t>
            </w:r>
          </w:p>
        </w:tc>
        <w:tc>
          <w:tcPr>
            <w:tcW w:w="1392" w:type="pct"/>
            <w:gridSpan w:val="2"/>
            <w:tcBorders>
              <w:top w:val="single" w:color="auto" w:sz="4" w:space="0"/>
              <w:left w:val="single" w:color="auto" w:sz="4" w:space="0"/>
              <w:bottom w:val="single" w:color="auto" w:sz="4" w:space="0"/>
              <w:right w:val="single" w:color="auto" w:sz="4" w:space="0"/>
            </w:tcBorders>
            <w:vAlign w:val="center"/>
          </w:tcPr>
          <w:p w14:paraId="24B16BA5">
            <w:pPr>
              <w:widowControl/>
              <w:snapToGrid w:val="0"/>
              <w:jc w:val="both"/>
              <w:rPr>
                <w:rFonts w:ascii="宋体" w:hAnsi="宋体" w:eastAsia="宋体" w:cs="宋体"/>
                <w:bCs/>
              </w:rPr>
            </w:pPr>
            <w:r>
              <w:rPr>
                <w:rFonts w:hint="eastAsia" w:ascii="宋体" w:hAnsi="宋体" w:eastAsia="宋体" w:cs="宋体"/>
                <w:bCs/>
              </w:rPr>
              <w:t>管理关系</w:t>
            </w:r>
          </w:p>
        </w:tc>
        <w:tc>
          <w:tcPr>
            <w:tcW w:w="997" w:type="pct"/>
            <w:gridSpan w:val="2"/>
            <w:tcBorders>
              <w:top w:val="single" w:color="auto" w:sz="4" w:space="0"/>
              <w:left w:val="single" w:color="auto" w:sz="4" w:space="0"/>
              <w:bottom w:val="single" w:color="auto" w:sz="4" w:space="0"/>
              <w:right w:val="single" w:color="auto" w:sz="4" w:space="0"/>
            </w:tcBorders>
            <w:vAlign w:val="center"/>
          </w:tcPr>
          <w:p w14:paraId="3D75CDF8">
            <w:pPr>
              <w:widowControl/>
              <w:snapToGrid w:val="0"/>
              <w:jc w:val="both"/>
              <w:rPr>
                <w:rFonts w:ascii="宋体" w:hAnsi="宋体" w:eastAsia="宋体" w:cs="宋体"/>
                <w:bCs/>
              </w:rPr>
            </w:pPr>
          </w:p>
        </w:tc>
        <w:tc>
          <w:tcPr>
            <w:tcW w:w="2203" w:type="pct"/>
            <w:gridSpan w:val="3"/>
            <w:tcBorders>
              <w:top w:val="single" w:color="auto" w:sz="4" w:space="0"/>
              <w:left w:val="single" w:color="auto" w:sz="4" w:space="0"/>
              <w:bottom w:val="single" w:color="auto" w:sz="4" w:space="0"/>
              <w:right w:val="single" w:color="auto" w:sz="4" w:space="0"/>
            </w:tcBorders>
            <w:vAlign w:val="center"/>
          </w:tcPr>
          <w:p w14:paraId="22D3AB9B">
            <w:pPr>
              <w:widowControl/>
              <w:snapToGrid w:val="0"/>
              <w:jc w:val="both"/>
              <w:rPr>
                <w:rFonts w:ascii="宋体" w:hAnsi="宋体" w:eastAsia="宋体" w:cs="宋体"/>
                <w:bCs/>
              </w:rPr>
            </w:pPr>
            <w:r>
              <w:rPr>
                <w:rFonts w:hint="eastAsia" w:ascii="宋体" w:hAnsi="宋体" w:eastAsia="宋体" w:cs="宋体"/>
                <w:bCs/>
              </w:rPr>
              <w:t>指对投标（响应）供应商不具有出资持股关系，但对其存在管理关系的主体。</w:t>
            </w:r>
          </w:p>
        </w:tc>
      </w:tr>
      <w:tr w14:paraId="71D7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6CB741AE">
            <w:pPr>
              <w:widowControl/>
              <w:snapToGrid w:val="0"/>
              <w:jc w:val="both"/>
              <w:rPr>
                <w:rFonts w:ascii="宋体" w:hAnsi="宋体" w:eastAsia="宋体" w:cs="宋体"/>
                <w:b/>
              </w:rPr>
            </w:pPr>
            <w:r>
              <w:rPr>
                <w:rFonts w:hint="eastAsia" w:ascii="宋体" w:hAnsi="宋体" w:eastAsia="宋体" w:cs="宋体"/>
                <w:b/>
              </w:rPr>
              <w:t>说明：</w:t>
            </w:r>
          </w:p>
          <w:p w14:paraId="217376CB">
            <w:pPr>
              <w:widowControl/>
              <w:snapToGrid w:val="0"/>
              <w:jc w:val="both"/>
              <w:rPr>
                <w:rFonts w:ascii="宋体" w:hAnsi="宋体" w:eastAsia="宋体" w:cs="宋体"/>
                <w:b/>
              </w:rPr>
            </w:pPr>
            <w:r>
              <w:rPr>
                <w:rFonts w:hint="eastAsia" w:ascii="宋体" w:hAnsi="宋体" w:eastAsia="宋体" w:cs="宋体"/>
                <w:b/>
              </w:rPr>
              <w:t>1.同一关联关系类型有多个主体的，应分行填写。</w:t>
            </w:r>
          </w:p>
          <w:p w14:paraId="68EDF12F">
            <w:pPr>
              <w:widowControl/>
              <w:snapToGrid w:val="0"/>
              <w:jc w:val="both"/>
            </w:pPr>
            <w:r>
              <w:rPr>
                <w:rFonts w:hint="eastAsia" w:ascii="宋体" w:hAnsi="宋体" w:eastAsia="宋体" w:cs="宋体"/>
                <w:b/>
              </w:rPr>
              <w:t>2.上述规定的控股、管理关系仅限于直接控股、直接管理关系，不包括间接的控股或管理关系。</w:t>
            </w:r>
          </w:p>
        </w:tc>
      </w:tr>
    </w:tbl>
    <w:p w14:paraId="0C71F1CE">
      <w:pPr>
        <w:snapToGrid w:val="0"/>
        <w:rPr>
          <w:rFonts w:ascii="宋体" w:hAnsi="宋体" w:eastAsia="宋体" w:cs="宋体"/>
          <w:b/>
        </w:rPr>
      </w:pPr>
    </w:p>
    <w:p w14:paraId="21FDDF5A">
      <w:pPr>
        <w:snapToGrid w:val="0"/>
        <w:rPr>
          <w:rFonts w:ascii="宋体" w:hAnsi="宋体" w:eastAsia="宋体" w:cs="宋体"/>
          <w:b/>
        </w:rPr>
      </w:pPr>
      <w:r>
        <w:rPr>
          <w:rFonts w:hint="eastAsia" w:ascii="宋体" w:hAnsi="宋体" w:eastAsia="宋体" w:cs="宋体"/>
          <w:b/>
        </w:rPr>
        <w:t>2.社保证明材料：</w:t>
      </w:r>
    </w:p>
    <w:p w14:paraId="73810B4A">
      <w:pPr>
        <w:snapToGrid w:val="0"/>
        <w:rPr>
          <w:rFonts w:ascii="宋体" w:hAnsi="宋体" w:eastAsia="宋体" w:cs="宋体"/>
          <w:bCs/>
        </w:rPr>
      </w:pPr>
      <w:r>
        <w:rPr>
          <w:rFonts w:hint="eastAsia" w:ascii="宋体" w:hAnsi="宋体" w:eastAsia="宋体" w:cs="宋体"/>
          <w:bCs/>
        </w:rPr>
        <w:t>（1）法定代表人（单位负责人或执行事务合伙人）</w:t>
      </w:r>
    </w:p>
    <w:p w14:paraId="741A64E0">
      <w:pPr>
        <w:snapToGrid w:val="0"/>
        <w:rPr>
          <w:rFonts w:ascii="宋体" w:hAnsi="宋体" w:eastAsia="宋体" w:cs="宋体"/>
          <w:bCs/>
        </w:rPr>
      </w:pPr>
      <w:r>
        <w:rPr>
          <w:rFonts w:hint="eastAsia" w:ascii="宋体" w:hAnsi="宋体" w:eastAsia="宋体" w:cs="宋体"/>
          <w:bCs/>
        </w:rPr>
        <w:t>身份证扫描件（正反面）：</w:t>
      </w:r>
    </w:p>
    <w:p w14:paraId="55CEB35D">
      <w:pPr>
        <w:snapToGrid w:val="0"/>
        <w:rPr>
          <w:rFonts w:ascii="宋体" w:hAnsi="宋体" w:eastAsia="宋体" w:cs="宋体"/>
          <w:bCs/>
        </w:rPr>
      </w:pPr>
      <w:r>
        <w:rPr>
          <w:rFonts w:hint="eastAsia" w:ascii="宋体" w:hAnsi="宋体" w:eastAsia="宋体" w:cs="宋体"/>
          <w:bCs/>
        </w:rPr>
        <w:t>开标前一个月的社保缴纳凭证(须由社保部门出具，并至少载明参保人姓名、身份证号和参保单位名称)：</w:t>
      </w:r>
    </w:p>
    <w:p w14:paraId="43B779B2">
      <w:pPr>
        <w:snapToGrid w:val="0"/>
        <w:rPr>
          <w:rFonts w:ascii="宋体" w:hAnsi="宋体" w:eastAsia="宋体" w:cs="宋体"/>
          <w:bCs/>
        </w:rPr>
      </w:pPr>
    </w:p>
    <w:p w14:paraId="54B83F47">
      <w:pPr>
        <w:snapToGrid w:val="0"/>
        <w:rPr>
          <w:rFonts w:ascii="宋体" w:hAnsi="宋体" w:eastAsia="宋体" w:cs="宋体"/>
          <w:bCs/>
        </w:rPr>
      </w:pPr>
      <w:r>
        <w:rPr>
          <w:rFonts w:hint="eastAsia" w:ascii="宋体" w:hAnsi="宋体" w:eastAsia="宋体" w:cs="宋体"/>
          <w:bCs/>
        </w:rPr>
        <w:t>（2）主要经营负责人</w:t>
      </w:r>
    </w:p>
    <w:p w14:paraId="40EFAA62">
      <w:pPr>
        <w:snapToGrid w:val="0"/>
        <w:rPr>
          <w:rFonts w:ascii="宋体" w:hAnsi="宋体" w:eastAsia="宋体" w:cs="宋体"/>
          <w:bCs/>
        </w:rPr>
      </w:pPr>
      <w:r>
        <w:rPr>
          <w:rFonts w:hint="eastAsia" w:ascii="宋体" w:hAnsi="宋体" w:eastAsia="宋体" w:cs="宋体"/>
          <w:bCs/>
        </w:rPr>
        <w:t>身份证扫描件（正反面）：</w:t>
      </w:r>
    </w:p>
    <w:p w14:paraId="0DB78444">
      <w:pPr>
        <w:snapToGrid w:val="0"/>
        <w:rPr>
          <w:rFonts w:ascii="宋体" w:hAnsi="宋体" w:eastAsia="宋体" w:cs="宋体"/>
          <w:bCs/>
        </w:rPr>
      </w:pPr>
      <w:r>
        <w:rPr>
          <w:rFonts w:hint="eastAsia" w:ascii="宋体" w:hAnsi="宋体" w:eastAsia="宋体" w:cs="宋体"/>
          <w:bCs/>
        </w:rPr>
        <w:t>开标前一个月的社保缴纳凭证(须由社保部门出具，并至少载明参保人姓名、身份证号和参保单位名称)：</w:t>
      </w:r>
    </w:p>
    <w:p w14:paraId="5C34A497">
      <w:pPr>
        <w:pStyle w:val="8"/>
      </w:pPr>
    </w:p>
    <w:p w14:paraId="50DE4F2E">
      <w:pPr>
        <w:snapToGrid w:val="0"/>
        <w:rPr>
          <w:rFonts w:ascii="宋体" w:hAnsi="宋体" w:eastAsia="宋体" w:cs="宋体"/>
          <w:bCs/>
        </w:rPr>
      </w:pPr>
      <w:r>
        <w:rPr>
          <w:rFonts w:hint="eastAsia" w:ascii="宋体" w:hAnsi="宋体" w:eastAsia="宋体" w:cs="宋体"/>
          <w:bCs/>
        </w:rPr>
        <w:t>（3）投标授权代表人</w:t>
      </w:r>
    </w:p>
    <w:p w14:paraId="277F250B">
      <w:pPr>
        <w:snapToGrid w:val="0"/>
        <w:rPr>
          <w:rFonts w:ascii="宋体" w:hAnsi="宋体" w:eastAsia="宋体" w:cs="宋体"/>
          <w:bCs/>
        </w:rPr>
      </w:pPr>
      <w:r>
        <w:rPr>
          <w:rFonts w:hint="eastAsia" w:ascii="宋体" w:hAnsi="宋体" w:eastAsia="宋体" w:cs="宋体"/>
          <w:bCs/>
        </w:rPr>
        <w:t>身份证扫描件（正反面）：</w:t>
      </w:r>
    </w:p>
    <w:p w14:paraId="030182D9">
      <w:pPr>
        <w:snapToGrid w:val="0"/>
        <w:rPr>
          <w:rFonts w:ascii="宋体" w:hAnsi="宋体" w:eastAsia="宋体" w:cs="宋体"/>
          <w:bCs/>
        </w:rPr>
      </w:pPr>
      <w:r>
        <w:rPr>
          <w:rFonts w:hint="eastAsia" w:ascii="宋体" w:hAnsi="宋体" w:eastAsia="宋体" w:cs="宋体"/>
          <w:bCs/>
        </w:rPr>
        <w:t>开标前一个月的社保缴纳凭证(须由社保部门出具，并至少载明参保人姓名、身份证号和参保单位名称)：</w:t>
      </w:r>
    </w:p>
    <w:p w14:paraId="2F9B7493">
      <w:pPr>
        <w:pStyle w:val="6"/>
        <w:rPr>
          <w:rFonts w:ascii="宋体" w:hAnsi="宋体" w:eastAsia="宋体" w:cs="宋体"/>
          <w:bCs/>
          <w:szCs w:val="24"/>
        </w:rPr>
      </w:pPr>
    </w:p>
    <w:p w14:paraId="417A3947">
      <w:pPr>
        <w:snapToGrid w:val="0"/>
        <w:rPr>
          <w:rFonts w:ascii="宋体" w:hAnsi="宋体" w:eastAsia="宋体" w:cs="宋体"/>
          <w:bCs/>
        </w:rPr>
      </w:pPr>
      <w:r>
        <w:rPr>
          <w:rFonts w:hint="eastAsia" w:ascii="宋体" w:hAnsi="宋体" w:eastAsia="宋体" w:cs="宋体"/>
          <w:bCs/>
        </w:rPr>
        <w:t>（4）项目负责人</w:t>
      </w:r>
    </w:p>
    <w:p w14:paraId="3000FB0A">
      <w:pPr>
        <w:snapToGrid w:val="0"/>
        <w:rPr>
          <w:rFonts w:ascii="宋体" w:hAnsi="宋体" w:eastAsia="宋体" w:cs="宋体"/>
          <w:bCs/>
        </w:rPr>
      </w:pPr>
      <w:r>
        <w:rPr>
          <w:rFonts w:hint="eastAsia" w:ascii="宋体" w:hAnsi="宋体" w:eastAsia="宋体" w:cs="宋体"/>
          <w:bCs/>
        </w:rPr>
        <w:t>身份证扫描件（正反面）：</w:t>
      </w:r>
    </w:p>
    <w:p w14:paraId="3FF5BC45">
      <w:pPr>
        <w:snapToGrid w:val="0"/>
        <w:rPr>
          <w:rFonts w:ascii="宋体" w:hAnsi="宋体" w:eastAsia="宋体" w:cs="宋体"/>
          <w:bCs/>
        </w:rPr>
      </w:pPr>
      <w:r>
        <w:rPr>
          <w:rFonts w:hint="eastAsia" w:ascii="宋体" w:hAnsi="宋体" w:eastAsia="宋体" w:cs="宋体"/>
          <w:bCs/>
        </w:rPr>
        <w:t>开标前一个月的社保缴纳凭证(须由社保部门出具，并至少载明参保人姓名、身份证号和参保单位名称)：</w:t>
      </w:r>
    </w:p>
    <w:p w14:paraId="7735C485">
      <w:pPr>
        <w:pStyle w:val="6"/>
        <w:rPr>
          <w:rFonts w:ascii="宋体" w:hAnsi="宋体" w:eastAsia="宋体" w:cs="宋体"/>
          <w:bCs/>
          <w:szCs w:val="24"/>
        </w:rPr>
      </w:pPr>
    </w:p>
    <w:p w14:paraId="6D59064D">
      <w:pPr>
        <w:snapToGrid w:val="0"/>
        <w:rPr>
          <w:rFonts w:ascii="宋体" w:hAnsi="宋体" w:eastAsia="宋体" w:cs="宋体"/>
          <w:bCs/>
        </w:rPr>
      </w:pPr>
      <w:r>
        <w:rPr>
          <w:rFonts w:hint="eastAsia" w:ascii="宋体" w:hAnsi="宋体" w:eastAsia="宋体" w:cs="宋体"/>
          <w:bCs/>
        </w:rPr>
        <w:t>（5）主要技术人员</w:t>
      </w:r>
    </w:p>
    <w:p w14:paraId="0F022BC3">
      <w:pPr>
        <w:snapToGrid w:val="0"/>
        <w:rPr>
          <w:rFonts w:ascii="宋体" w:hAnsi="宋体" w:eastAsia="宋体" w:cs="宋体"/>
          <w:bCs/>
        </w:rPr>
      </w:pPr>
      <w:r>
        <w:rPr>
          <w:rFonts w:hint="eastAsia" w:ascii="宋体" w:hAnsi="宋体" w:eastAsia="宋体" w:cs="宋体"/>
          <w:bCs/>
        </w:rPr>
        <w:t>身份证扫描件（正反面）：</w:t>
      </w:r>
    </w:p>
    <w:p w14:paraId="2850FD95">
      <w:pPr>
        <w:snapToGrid w:val="0"/>
        <w:rPr>
          <w:rFonts w:ascii="宋体" w:hAnsi="宋体" w:eastAsia="宋体" w:cs="宋体"/>
          <w:bCs/>
        </w:rPr>
      </w:pPr>
      <w:r>
        <w:rPr>
          <w:rFonts w:hint="eastAsia" w:ascii="宋体" w:hAnsi="宋体" w:eastAsia="宋体" w:cs="宋体"/>
          <w:bCs/>
        </w:rPr>
        <w:t>开标前一个月的社保缴纳凭证(须由社保部门出具，并至少载明参保人姓名、身份证号和参保单位名称)：</w:t>
      </w:r>
    </w:p>
    <w:p w14:paraId="70EA357C">
      <w:pPr>
        <w:pStyle w:val="6"/>
        <w:rPr>
          <w:rFonts w:ascii="宋体" w:hAnsi="宋体" w:eastAsia="宋体" w:cs="宋体"/>
          <w:bCs/>
          <w:szCs w:val="24"/>
        </w:rPr>
      </w:pPr>
    </w:p>
    <w:p w14:paraId="0D270245">
      <w:pPr>
        <w:snapToGrid w:val="0"/>
        <w:rPr>
          <w:rFonts w:ascii="宋体" w:hAnsi="宋体" w:eastAsia="宋体" w:cs="宋体"/>
          <w:bCs/>
        </w:rPr>
      </w:pPr>
      <w:r>
        <w:rPr>
          <w:rFonts w:hint="eastAsia" w:ascii="宋体" w:hAnsi="宋体" w:eastAsia="宋体" w:cs="宋体"/>
          <w:bCs/>
        </w:rPr>
        <w:t>（6）投标文件编制人员</w:t>
      </w:r>
    </w:p>
    <w:p w14:paraId="46E19304">
      <w:pPr>
        <w:snapToGrid w:val="0"/>
        <w:rPr>
          <w:rFonts w:ascii="宋体" w:hAnsi="宋体" w:eastAsia="宋体" w:cs="宋体"/>
          <w:bCs/>
        </w:rPr>
      </w:pPr>
      <w:r>
        <w:rPr>
          <w:rFonts w:hint="eastAsia" w:ascii="宋体" w:hAnsi="宋体" w:eastAsia="宋体" w:cs="宋体"/>
          <w:bCs/>
        </w:rPr>
        <w:t>身份证扫描件（正反面）：</w:t>
      </w:r>
    </w:p>
    <w:p w14:paraId="635BD968">
      <w:pPr>
        <w:snapToGrid w:val="0"/>
        <w:rPr>
          <w:rFonts w:ascii="宋体" w:hAnsi="宋体" w:eastAsia="宋体" w:cs="宋体"/>
          <w:bCs/>
        </w:rPr>
      </w:pPr>
      <w:r>
        <w:rPr>
          <w:rFonts w:hint="eastAsia" w:ascii="宋体" w:hAnsi="宋体" w:eastAsia="宋体" w:cs="宋体"/>
          <w:bCs/>
        </w:rPr>
        <w:t>开标前一个月的社保缴纳凭证(须由社保部门出具，并至少载明参保人姓名、身份证号和参保单位名称)：</w:t>
      </w:r>
    </w:p>
    <w:p w14:paraId="50C2441D">
      <w:pPr>
        <w:pStyle w:val="6"/>
        <w:rPr>
          <w:rFonts w:ascii="宋体" w:hAnsi="宋体" w:eastAsia="宋体" w:cs="宋体"/>
          <w:szCs w:val="24"/>
        </w:rPr>
      </w:pPr>
    </w:p>
    <w:p w14:paraId="707E5F64">
      <w:pPr>
        <w:snapToGrid w:val="0"/>
        <w:rPr>
          <w:rFonts w:ascii="宋体" w:hAnsi="宋体" w:eastAsia="宋体" w:cs="宋体"/>
          <w:bCs/>
        </w:rPr>
      </w:pPr>
      <w:r>
        <w:rPr>
          <w:rFonts w:hint="eastAsia" w:ascii="宋体" w:hAnsi="宋体" w:eastAsia="宋体" w:cs="宋体"/>
          <w:bCs/>
        </w:rPr>
        <w:t>注：</w:t>
      </w:r>
    </w:p>
    <w:p w14:paraId="11443065">
      <w:pPr>
        <w:snapToGrid w:val="0"/>
        <w:rPr>
          <w:rFonts w:ascii="宋体" w:hAnsi="宋体" w:eastAsia="宋体" w:cs="宋体"/>
          <w:bCs/>
        </w:rPr>
      </w:pPr>
      <w:r>
        <w:rPr>
          <w:rFonts w:hint="eastAsia" w:ascii="宋体" w:hAnsi="宋体" w:eastAsia="宋体" w:cs="宋体"/>
          <w:bCs/>
        </w:rPr>
        <w:t>1）如开标前近一个月的社保材料因社保部门原因暂时无法取得，则可以往前顺延一个月。其中项目负责人及主要技术人员社保证明须由供应商缴纳。</w:t>
      </w:r>
    </w:p>
    <w:p w14:paraId="17A0AD75">
      <w:pPr>
        <w:snapToGrid w:val="0"/>
        <w:rPr>
          <w:rFonts w:ascii="宋体" w:hAnsi="宋体" w:eastAsia="宋体" w:cs="宋体"/>
          <w:bCs/>
        </w:rPr>
      </w:pPr>
      <w:r>
        <w:rPr>
          <w:rFonts w:hint="eastAsia" w:ascii="宋体" w:hAnsi="宋体" w:eastAsia="宋体" w:cs="宋体"/>
          <w:bCs/>
        </w:rPr>
        <w:t>2）供应商的项目投标授权代表人与法定代表人为同一人的，则须提供法定代表人的社保证明；本项目未安排项目负责人的，则无须提供项目负责人的社保证明。</w:t>
      </w:r>
    </w:p>
    <w:p w14:paraId="08066A53">
      <w:pPr>
        <w:snapToGrid w:val="0"/>
        <w:rPr>
          <w:rFonts w:ascii="宋体" w:hAnsi="宋体" w:eastAsia="宋体" w:cs="宋体"/>
          <w:bCs/>
        </w:rPr>
      </w:pPr>
      <w:r>
        <w:rPr>
          <w:rFonts w:hint="eastAsia" w:ascii="宋体" w:hAnsi="宋体" w:eastAsia="宋体" w:cs="宋体"/>
          <w:bCs/>
        </w:rPr>
        <w:t>3）如无法按上述要求提供人员社会保险证明材料的，提交以下材料亦视为符合：</w:t>
      </w:r>
    </w:p>
    <w:p w14:paraId="3A4DEAEF">
      <w:pPr>
        <w:snapToGrid w:val="0"/>
        <w:rPr>
          <w:rFonts w:ascii="宋体" w:hAnsi="宋体" w:eastAsia="宋体" w:cs="宋体"/>
          <w:bCs/>
        </w:rPr>
      </w:pPr>
      <w:r>
        <w:rPr>
          <w:rFonts w:hint="eastAsia" w:ascii="宋体" w:hAnsi="宋体" w:eastAsia="宋体" w:cs="宋体"/>
          <w:bCs/>
        </w:rPr>
        <w:t>若供应商为新成立企业且成立时间不足一个月，提供加盖投标人公章的情况说明或者证明材料。</w:t>
      </w:r>
      <w:r>
        <w:rPr>
          <w:rFonts w:hint="eastAsia" w:ascii="宋体" w:hAnsi="宋体" w:eastAsia="宋体" w:cs="宋体"/>
          <w:bCs/>
          <w:color w:val="FF0000"/>
        </w:rPr>
        <w:t>若为退休人员，需提供社保部门出具的退休证明。</w:t>
      </w:r>
      <w:r>
        <w:rPr>
          <w:rFonts w:hint="eastAsia" w:ascii="宋体" w:hAnsi="宋体" w:eastAsia="宋体" w:cs="宋体"/>
          <w:bCs/>
        </w:rPr>
        <w:t>如依法不需要缴纳社会保险的，应提供相应文件证明并对其真实性负责。若因为社保部门原因无法提供的，需提供劳动合同及社保部门官方通知证明(或官网公告截图)。</w:t>
      </w:r>
    </w:p>
    <w:p w14:paraId="418A610B">
      <w:pPr>
        <w:snapToGrid w:val="0"/>
        <w:rPr>
          <w:rFonts w:ascii="宋体" w:hAnsi="宋体" w:eastAsia="宋体" w:cs="宋体"/>
          <w:bCs/>
        </w:rPr>
      </w:pPr>
    </w:p>
    <w:p w14:paraId="47903F59">
      <w:pPr>
        <w:snapToGrid w:val="0"/>
        <w:rPr>
          <w:rFonts w:ascii="宋体" w:hAnsi="宋体" w:eastAsia="宋体" w:cs="宋体"/>
          <w:b/>
        </w:rPr>
      </w:pPr>
      <w:r>
        <w:rPr>
          <w:rFonts w:hint="eastAsia" w:ascii="宋体" w:hAnsi="宋体" w:eastAsia="宋体" w:cs="宋体"/>
          <w:b/>
        </w:rPr>
        <w:t>3.股权关系证明材料：</w:t>
      </w:r>
    </w:p>
    <w:p w14:paraId="3DCE12A7">
      <w:pPr>
        <w:snapToGrid w:val="0"/>
        <w:rPr>
          <w:rFonts w:ascii="宋体" w:hAnsi="宋体" w:eastAsia="宋体" w:cs="宋体"/>
          <w:b/>
        </w:rPr>
      </w:pPr>
      <w:r>
        <w:rPr>
          <w:rFonts w:hint="eastAsia" w:ascii="宋体" w:hAnsi="宋体" w:eastAsia="宋体" w:cs="宋体"/>
          <w:b/>
        </w:rPr>
        <w:t>（1）股权（或管理）关系证明材料：</w:t>
      </w:r>
    </w:p>
    <w:p w14:paraId="45F54F57">
      <w:pPr>
        <w:snapToGrid w:val="0"/>
        <w:rPr>
          <w:rFonts w:ascii="宋体" w:hAnsi="宋体" w:eastAsia="宋体" w:cs="宋体"/>
          <w:bCs/>
        </w:rPr>
      </w:pPr>
      <w:r>
        <w:rPr>
          <w:rFonts w:hint="eastAsia" w:ascii="宋体" w:hAnsi="宋体" w:eastAsia="宋体" w:cs="宋体"/>
          <w:bCs/>
        </w:rPr>
        <w:t>（通过国家企业信用信息公示系统(https://www.gsxt.gov.cn/index.html）、或机关赋码和事业单位登记管理网（http://gjsy.gov.cn/sydwfrxxcx/)、或全国社会组织信用信息公示平台（https://xxgs.chinanpo.mca.gov.cn/gsxt/newList)等网站查询的最新股权（或管理）关系截图）</w:t>
      </w:r>
    </w:p>
    <w:p w14:paraId="37C0A666">
      <w:pPr>
        <w:rPr>
          <w:rFonts w:ascii="宋体" w:hAnsi="宋体" w:eastAsia="宋体" w:cs="宋体"/>
        </w:rPr>
      </w:pPr>
    </w:p>
    <w:p w14:paraId="1DA70621">
      <w:pPr>
        <w:snapToGrid w:val="0"/>
        <w:rPr>
          <w:rFonts w:ascii="宋体" w:hAnsi="宋体" w:eastAsia="宋体" w:cs="宋体"/>
          <w:b/>
        </w:rPr>
      </w:pPr>
      <w:r>
        <w:rPr>
          <w:rFonts w:hint="eastAsia" w:ascii="宋体" w:hAnsi="宋体" w:eastAsia="宋体" w:cs="宋体"/>
          <w:b/>
        </w:rPr>
        <w:t>（2）《股权关系情况承诺函》</w:t>
      </w:r>
    </w:p>
    <w:p w14:paraId="640EAD34">
      <w:pPr>
        <w:snapToGrid w:val="0"/>
        <w:rPr>
          <w:rFonts w:ascii="宋体" w:hAnsi="宋体" w:eastAsia="宋体" w:cs="宋体"/>
          <w:bCs/>
        </w:rPr>
      </w:pPr>
      <w:r>
        <w:rPr>
          <w:rFonts w:hint="eastAsia" w:ascii="宋体" w:hAnsi="宋体" w:eastAsia="宋体" w:cs="宋体"/>
          <w:bCs/>
        </w:rPr>
        <w:t>致：</w:t>
      </w:r>
      <w:r>
        <w:rPr>
          <w:rFonts w:hint="eastAsia" w:ascii="宋体" w:hAnsi="宋体" w:eastAsia="宋体" w:cs="宋体"/>
          <w:bCs/>
          <w:lang w:eastAsia="zh-CN"/>
        </w:rPr>
        <w:t>深圳市公安局监所管理支队</w:t>
      </w:r>
      <w:r>
        <w:rPr>
          <w:rFonts w:hint="eastAsia" w:ascii="宋体" w:hAnsi="宋体" w:eastAsia="宋体" w:cs="宋体"/>
          <w:bCs/>
        </w:rPr>
        <w:t>、友和保险经纪有限公司</w:t>
      </w:r>
    </w:p>
    <w:p w14:paraId="3AFCB9B3">
      <w:pPr>
        <w:snapToGrid w:val="0"/>
        <w:ind w:firstLine="464" w:firstLineChars="200"/>
        <w:rPr>
          <w:rFonts w:ascii="宋体" w:hAnsi="宋体" w:eastAsia="宋体" w:cs="宋体"/>
          <w:bCs/>
        </w:rPr>
      </w:pPr>
      <w:r>
        <w:rPr>
          <w:rFonts w:hint="eastAsia" w:ascii="宋体" w:hAnsi="宋体" w:eastAsia="宋体" w:cs="宋体"/>
          <w:bCs/>
        </w:rPr>
        <w:t xml:space="preserve">我公司申请参加 </w:t>
      </w:r>
      <w:r>
        <w:rPr>
          <w:rFonts w:hint="eastAsia" w:ascii="宋体" w:hAnsi="宋体" w:eastAsia="宋体" w:cs="宋体"/>
          <w:bCs/>
          <w:lang w:eastAsia="zh-CN"/>
        </w:rPr>
        <w:t>2026年深圳市公安局监所管理支队食材配送服务项目，</w:t>
      </w:r>
      <w:r>
        <w:rPr>
          <w:rFonts w:hint="eastAsia" w:ascii="宋体" w:hAnsi="宋体" w:eastAsia="宋体" w:cs="宋体"/>
          <w:bCs/>
        </w:rPr>
        <w:t xml:space="preserve">编号为 </w:t>
      </w:r>
      <w:r>
        <w:rPr>
          <w:rFonts w:hint="eastAsia" w:ascii="宋体" w:hAnsi="宋体" w:eastAsia="宋体" w:cs="宋体"/>
          <w:bCs/>
          <w:lang w:eastAsia="zh-CN"/>
        </w:rPr>
        <w:t>SZDL2025001953</w:t>
      </w:r>
      <w:r>
        <w:rPr>
          <w:rFonts w:hint="eastAsia" w:ascii="宋体" w:hAnsi="宋体" w:eastAsia="宋体" w:cs="宋体"/>
          <w:bCs/>
        </w:rPr>
        <w:t xml:space="preserve"> 的项目投标，并作出如下承诺：</w:t>
      </w:r>
    </w:p>
    <w:p w14:paraId="65204986">
      <w:pPr>
        <w:snapToGrid w:val="0"/>
        <w:ind w:firstLine="464" w:firstLineChars="200"/>
        <w:rPr>
          <w:rFonts w:ascii="宋体" w:hAnsi="宋体" w:eastAsia="宋体" w:cs="宋体"/>
          <w:bCs/>
        </w:rPr>
      </w:pPr>
      <w:r>
        <w:rPr>
          <w:rFonts w:hint="eastAsia" w:ascii="宋体" w:hAnsi="宋体" w:eastAsia="宋体" w:cs="宋体"/>
          <w:bCs/>
        </w:rPr>
        <w:t>我公司承诺所填的股权关系情况真实、准确、完整。</w:t>
      </w:r>
    </w:p>
    <w:p w14:paraId="4EF1965D">
      <w:pPr>
        <w:snapToGrid w:val="0"/>
        <w:ind w:firstLine="464" w:firstLineChars="200"/>
        <w:rPr>
          <w:rFonts w:ascii="宋体" w:hAnsi="宋体" w:eastAsia="宋体" w:cs="宋体"/>
          <w:bCs/>
        </w:rPr>
      </w:pPr>
      <w:r>
        <w:rPr>
          <w:rFonts w:hint="eastAsia" w:ascii="宋体" w:hAnsi="宋体" w:eastAsia="宋体" w:cs="宋体"/>
          <w:bCs/>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45ED0C2A">
      <w:pPr>
        <w:snapToGrid w:val="0"/>
        <w:rPr>
          <w:rFonts w:ascii="宋体" w:hAnsi="宋体" w:eastAsia="宋体" w:cs="宋体"/>
          <w:bCs/>
        </w:rPr>
      </w:pPr>
      <w:r>
        <w:rPr>
          <w:rFonts w:hint="eastAsia" w:ascii="宋体" w:hAnsi="宋体" w:eastAsia="宋体" w:cs="宋体"/>
          <w:bCs/>
        </w:rPr>
        <w:t>特此承诺！</w:t>
      </w:r>
    </w:p>
    <w:p w14:paraId="0E16CD51">
      <w:pPr>
        <w:snapToGrid w:val="0"/>
        <w:rPr>
          <w:rFonts w:ascii="宋体" w:hAnsi="宋体" w:eastAsia="宋体" w:cs="宋体"/>
          <w:bCs/>
        </w:rPr>
      </w:pPr>
    </w:p>
    <w:p w14:paraId="6F06E4B3">
      <w:pPr>
        <w:snapToGrid w:val="0"/>
        <w:rPr>
          <w:rFonts w:ascii="宋体" w:hAnsi="宋体" w:eastAsia="宋体" w:cs="宋体"/>
          <w:bCs/>
        </w:rPr>
      </w:pPr>
      <w:r>
        <w:rPr>
          <w:rFonts w:hint="eastAsia" w:ascii="宋体" w:hAnsi="宋体" w:eastAsia="宋体" w:cs="宋体"/>
          <w:bCs/>
        </w:rPr>
        <w:t xml:space="preserve">                                供应商名称： </w:t>
      </w:r>
    </w:p>
    <w:p w14:paraId="14187A7F">
      <w:pPr>
        <w:snapToGrid w:val="0"/>
        <w:ind w:firstLine="3712" w:firstLineChars="1600"/>
        <w:rPr>
          <w:rFonts w:ascii="宋体" w:hAnsi="宋体" w:eastAsia="宋体" w:cs="宋体"/>
          <w:bCs/>
        </w:rPr>
      </w:pPr>
      <w:r>
        <w:rPr>
          <w:rFonts w:hint="eastAsia" w:ascii="宋体" w:hAnsi="宋体" w:eastAsia="宋体" w:cs="宋体"/>
          <w:bCs/>
        </w:rPr>
        <w:t>日  期：       年    月   日</w:t>
      </w:r>
    </w:p>
    <w:p w14:paraId="6BF0AC08">
      <w:pPr>
        <w:snapToGrid w:val="0"/>
        <w:rPr>
          <w:rFonts w:ascii="宋体" w:hAnsi="宋体" w:eastAsia="宋体" w:cs="宋体"/>
          <w:bCs/>
        </w:rPr>
      </w:pPr>
    </w:p>
    <w:p w14:paraId="4C302202">
      <w:pPr>
        <w:snapToGrid w:val="0"/>
        <w:rPr>
          <w:rFonts w:ascii="宋体" w:hAnsi="宋体" w:eastAsia="宋体" w:cs="宋体"/>
          <w:bCs/>
        </w:rPr>
      </w:pPr>
      <w:r>
        <w:rPr>
          <w:rFonts w:hint="eastAsia" w:ascii="宋体" w:hAnsi="宋体" w:eastAsia="宋体" w:cs="宋体"/>
          <w:bCs/>
        </w:rPr>
        <w:t>注：代理机构将于截标当日同步通过上述网站进行查询，查询结果与供应商填报信息不一致的，以代理机构于截标当日的查询结果为准。</w:t>
      </w:r>
    </w:p>
    <w:p w14:paraId="6139E44E"/>
    <w:p w14:paraId="241C6049">
      <w:pPr>
        <w:pStyle w:val="5"/>
        <w:jc w:val="center"/>
        <w:rPr>
          <w:b w:val="0"/>
          <w:sz w:val="24"/>
          <w:szCs w:val="24"/>
        </w:rPr>
      </w:pPr>
      <w:r>
        <w:rPr>
          <w:rFonts w:hint="eastAsia"/>
          <w:b w:val="0"/>
          <w:sz w:val="24"/>
          <w:szCs w:val="24"/>
          <w:lang w:val="en-US" w:eastAsia="zh-CN"/>
        </w:rPr>
        <w:t>五</w:t>
      </w:r>
      <w:r>
        <w:rPr>
          <w:rFonts w:hint="eastAsia"/>
          <w:b w:val="0"/>
          <w:sz w:val="24"/>
          <w:szCs w:val="24"/>
        </w:rPr>
        <w:t>、</w:t>
      </w:r>
      <w:bookmarkStart w:id="41" w:name="_Hlk72092634"/>
      <w:r>
        <w:rPr>
          <w:rFonts w:hint="eastAsia"/>
          <w:b w:val="0"/>
          <w:sz w:val="24"/>
          <w:szCs w:val="24"/>
        </w:rPr>
        <w:t>实质性条款响应情况表</w:t>
      </w:r>
      <w:bookmarkEnd w:id="41"/>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4679"/>
        <w:gridCol w:w="2215"/>
        <w:gridCol w:w="810"/>
        <w:gridCol w:w="616"/>
      </w:tblGrid>
      <w:tr w14:paraId="42E9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8" w:type="pct"/>
            <w:vAlign w:val="center"/>
          </w:tcPr>
          <w:p w14:paraId="47A4807B">
            <w:pPr>
              <w:adjustRightInd w:val="0"/>
              <w:snapToGrid w:val="0"/>
              <w:spacing w:line="360" w:lineRule="auto"/>
              <w:jc w:val="center"/>
              <w:rPr>
                <w:rFonts w:ascii="宋体" w:hAnsi="宋体" w:eastAsia="宋体"/>
                <w:szCs w:val="21"/>
              </w:rPr>
            </w:pPr>
            <w:bookmarkStart w:id="42" w:name="_Hlk72092651"/>
            <w:r>
              <w:rPr>
                <w:rFonts w:hint="eastAsia" w:ascii="宋体" w:hAnsi="宋体" w:eastAsia="宋体"/>
                <w:szCs w:val="21"/>
              </w:rPr>
              <w:t>序号</w:t>
            </w:r>
          </w:p>
        </w:tc>
        <w:tc>
          <w:tcPr>
            <w:tcW w:w="2581" w:type="pct"/>
            <w:vAlign w:val="center"/>
          </w:tcPr>
          <w:p w14:paraId="080E4D41">
            <w:pPr>
              <w:adjustRightInd w:val="0"/>
              <w:snapToGrid w:val="0"/>
              <w:spacing w:line="360" w:lineRule="auto"/>
              <w:jc w:val="center"/>
              <w:rPr>
                <w:rFonts w:ascii="宋体" w:hAnsi="宋体" w:eastAsia="宋体"/>
                <w:szCs w:val="21"/>
              </w:rPr>
            </w:pPr>
            <w:r>
              <w:rPr>
                <w:rFonts w:hint="eastAsia" w:ascii="宋体" w:hAnsi="宋体" w:eastAsia="宋体"/>
                <w:szCs w:val="21"/>
              </w:rPr>
              <w:t>实质性条款具体内容</w:t>
            </w:r>
          </w:p>
        </w:tc>
        <w:tc>
          <w:tcPr>
            <w:tcW w:w="1222" w:type="pct"/>
            <w:vAlign w:val="center"/>
          </w:tcPr>
          <w:p w14:paraId="24CB9BD4">
            <w:pPr>
              <w:adjustRightInd w:val="0"/>
              <w:snapToGrid w:val="0"/>
              <w:spacing w:line="360" w:lineRule="auto"/>
              <w:jc w:val="center"/>
              <w:rPr>
                <w:rFonts w:ascii="宋体" w:hAnsi="宋体" w:eastAsia="宋体"/>
                <w:szCs w:val="21"/>
              </w:rPr>
            </w:pPr>
            <w:r>
              <w:rPr>
                <w:rFonts w:hint="eastAsia" w:ascii="宋体" w:hAnsi="宋体" w:eastAsia="宋体"/>
              </w:rPr>
              <w:t>投标响应</w:t>
            </w:r>
          </w:p>
        </w:tc>
        <w:tc>
          <w:tcPr>
            <w:tcW w:w="447" w:type="pct"/>
            <w:vAlign w:val="center"/>
          </w:tcPr>
          <w:p w14:paraId="3B3D944E">
            <w:pPr>
              <w:adjustRightInd w:val="0"/>
              <w:snapToGrid w:val="0"/>
              <w:spacing w:line="360" w:lineRule="auto"/>
              <w:jc w:val="center"/>
              <w:rPr>
                <w:rFonts w:ascii="宋体" w:hAnsi="宋体" w:eastAsia="宋体"/>
                <w:szCs w:val="21"/>
              </w:rPr>
            </w:pPr>
            <w:r>
              <w:rPr>
                <w:rFonts w:hint="eastAsia" w:ascii="宋体" w:hAnsi="宋体" w:eastAsia="宋体"/>
              </w:rPr>
              <w:t>偏离情况</w:t>
            </w:r>
          </w:p>
        </w:tc>
        <w:tc>
          <w:tcPr>
            <w:tcW w:w="340" w:type="pct"/>
            <w:vAlign w:val="center"/>
          </w:tcPr>
          <w:p w14:paraId="6A1AAABD">
            <w:pPr>
              <w:adjustRightInd w:val="0"/>
              <w:snapToGrid w:val="0"/>
              <w:spacing w:line="360" w:lineRule="auto"/>
              <w:jc w:val="center"/>
              <w:rPr>
                <w:rFonts w:ascii="宋体" w:hAnsi="宋体" w:eastAsia="宋体"/>
                <w:szCs w:val="21"/>
              </w:rPr>
            </w:pPr>
            <w:r>
              <w:rPr>
                <w:rFonts w:hint="eastAsia" w:ascii="宋体" w:hAnsi="宋体" w:eastAsia="宋体"/>
              </w:rPr>
              <w:t>说明</w:t>
            </w:r>
          </w:p>
        </w:tc>
      </w:tr>
      <w:bookmarkEnd w:id="42"/>
      <w:tr w14:paraId="5AD0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D8FBDB8">
            <w:pPr>
              <w:tabs>
                <w:tab w:val="left" w:pos="720"/>
              </w:tabs>
              <w:jc w:val="center"/>
              <w:rPr>
                <w:rFonts w:ascii="宋体" w:hAnsi="宋体" w:eastAsia="宋体"/>
                <w:szCs w:val="21"/>
              </w:rPr>
            </w:pPr>
            <w:r>
              <w:rPr>
                <w:rFonts w:hint="eastAsia" w:eastAsia="Times New Roman" w:cs="Times New Roman" w:asciiTheme="minorEastAsia" w:hAnsiTheme="minorEastAsia"/>
                <w:sz w:val="21"/>
                <w:szCs w:val="21"/>
              </w:rPr>
              <w:t>1</w:t>
            </w:r>
          </w:p>
        </w:tc>
        <w:tc>
          <w:tcPr>
            <w:tcW w:w="4400" w:type="dxa"/>
            <w:vAlign w:val="top"/>
          </w:tcPr>
          <w:p w14:paraId="5E704BE8">
            <w:pPr>
              <w:tabs>
                <w:tab w:val="left" w:pos="720"/>
              </w:tabs>
              <w:rPr>
                <w:rFonts w:ascii="宋体" w:hAnsi="宋体" w:eastAsia="宋体"/>
                <w:color w:val="4F81BD" w:themeColor="accent1"/>
                <w:szCs w:val="21"/>
                <w14:textFill>
                  <w14:solidFill>
                    <w14:schemeClr w14:val="accent1"/>
                  </w14:solidFill>
                </w14:textFill>
              </w:rPr>
            </w:pPr>
            <w:r>
              <w:rPr>
                <w:rFonts w:hint="eastAsia" w:asciiTheme="minorEastAsia" w:hAnsiTheme="minorEastAsia"/>
                <w:sz w:val="21"/>
                <w:szCs w:val="21"/>
              </w:rPr>
              <w:t>★1.3投标供应商承诺中标后能提供中农数据“天天采配”食堂采配应用平台（www.chinaap.com）网上采购系统账号供采购人单独使用，并承担由此发生的一切相关费用，采购人对此无须支付任何费用。</w:t>
            </w:r>
          </w:p>
        </w:tc>
        <w:tc>
          <w:tcPr>
            <w:tcW w:w="1222" w:type="pct"/>
          </w:tcPr>
          <w:p w14:paraId="371C88C7">
            <w:pPr>
              <w:adjustRightInd w:val="0"/>
              <w:snapToGrid w:val="0"/>
              <w:spacing w:line="360" w:lineRule="auto"/>
              <w:rPr>
                <w:rFonts w:ascii="宋体" w:hAnsi="宋体" w:eastAsia="宋体"/>
                <w:szCs w:val="21"/>
              </w:rPr>
            </w:pPr>
          </w:p>
        </w:tc>
        <w:tc>
          <w:tcPr>
            <w:tcW w:w="447" w:type="pct"/>
          </w:tcPr>
          <w:p w14:paraId="2DA9F8D6">
            <w:pPr>
              <w:adjustRightInd w:val="0"/>
              <w:snapToGrid w:val="0"/>
              <w:spacing w:line="360" w:lineRule="auto"/>
              <w:rPr>
                <w:rFonts w:ascii="宋体" w:hAnsi="宋体" w:eastAsia="宋体"/>
                <w:szCs w:val="21"/>
              </w:rPr>
            </w:pPr>
          </w:p>
        </w:tc>
        <w:tc>
          <w:tcPr>
            <w:tcW w:w="340" w:type="pct"/>
          </w:tcPr>
          <w:p w14:paraId="7ED9D318">
            <w:pPr>
              <w:adjustRightInd w:val="0"/>
              <w:snapToGrid w:val="0"/>
              <w:spacing w:line="360" w:lineRule="auto"/>
              <w:rPr>
                <w:rFonts w:ascii="宋体" w:hAnsi="宋体" w:eastAsia="宋体"/>
                <w:szCs w:val="21"/>
              </w:rPr>
            </w:pPr>
          </w:p>
        </w:tc>
      </w:tr>
      <w:tr w14:paraId="00B2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D124C33">
            <w:pPr>
              <w:tabs>
                <w:tab w:val="left" w:pos="720"/>
              </w:tabs>
              <w:jc w:val="center"/>
              <w:rPr>
                <w:rFonts w:ascii="宋体" w:hAnsi="宋体" w:eastAsia="宋体"/>
                <w:szCs w:val="21"/>
              </w:rPr>
            </w:pPr>
            <w:r>
              <w:rPr>
                <w:rFonts w:hint="eastAsia" w:eastAsia="Times New Roman" w:cs="Times New Roman" w:asciiTheme="minorEastAsia" w:hAnsiTheme="minorEastAsia"/>
                <w:sz w:val="21"/>
                <w:szCs w:val="21"/>
                <w:lang w:val="en-US" w:eastAsia="zh-CN"/>
              </w:rPr>
              <w:t>2</w:t>
            </w:r>
          </w:p>
        </w:tc>
        <w:tc>
          <w:tcPr>
            <w:tcW w:w="4400" w:type="dxa"/>
            <w:vAlign w:val="top"/>
          </w:tcPr>
          <w:p w14:paraId="00616689">
            <w:pPr>
              <w:tabs>
                <w:tab w:val="left" w:pos="720"/>
              </w:tabs>
              <w:rPr>
                <w:rFonts w:ascii="宋体" w:hAnsi="宋体" w:eastAsia="宋体"/>
                <w:color w:val="4F81BD" w:themeColor="accent1"/>
                <w:szCs w:val="21"/>
                <w14:textFill>
                  <w14:solidFill>
                    <w14:schemeClr w14:val="accent1"/>
                  </w14:solidFill>
                </w14:textFill>
              </w:rPr>
            </w:pPr>
            <w:r>
              <w:rPr>
                <w:rFonts w:hint="eastAsia" w:asciiTheme="minorEastAsia" w:hAnsiTheme="minorEastAsia"/>
                <w:sz w:val="21"/>
                <w:szCs w:val="21"/>
              </w:rPr>
              <w:t xml:space="preserve"> ★1.5项目依据及标准：《中华人民共和国食品安全法》产品国家标准等，项目履约过程中国家标准有更新的，依据最新的标准执行。</w:t>
            </w:r>
          </w:p>
        </w:tc>
        <w:tc>
          <w:tcPr>
            <w:tcW w:w="1222" w:type="pct"/>
          </w:tcPr>
          <w:p w14:paraId="1512031A">
            <w:pPr>
              <w:adjustRightInd w:val="0"/>
              <w:snapToGrid w:val="0"/>
              <w:spacing w:line="360" w:lineRule="auto"/>
              <w:rPr>
                <w:rFonts w:ascii="宋体" w:hAnsi="宋体" w:eastAsia="宋体"/>
                <w:szCs w:val="21"/>
              </w:rPr>
            </w:pPr>
          </w:p>
        </w:tc>
        <w:tc>
          <w:tcPr>
            <w:tcW w:w="447" w:type="pct"/>
          </w:tcPr>
          <w:p w14:paraId="460236EB">
            <w:pPr>
              <w:adjustRightInd w:val="0"/>
              <w:snapToGrid w:val="0"/>
              <w:spacing w:line="360" w:lineRule="auto"/>
              <w:rPr>
                <w:rFonts w:ascii="宋体" w:hAnsi="宋体" w:eastAsia="宋体"/>
                <w:szCs w:val="21"/>
              </w:rPr>
            </w:pPr>
          </w:p>
        </w:tc>
        <w:tc>
          <w:tcPr>
            <w:tcW w:w="340" w:type="pct"/>
          </w:tcPr>
          <w:p w14:paraId="7AEA4697">
            <w:pPr>
              <w:adjustRightInd w:val="0"/>
              <w:snapToGrid w:val="0"/>
              <w:spacing w:line="360" w:lineRule="auto"/>
              <w:rPr>
                <w:rFonts w:ascii="宋体" w:hAnsi="宋体" w:eastAsia="宋体"/>
                <w:szCs w:val="21"/>
              </w:rPr>
            </w:pPr>
          </w:p>
        </w:tc>
      </w:tr>
      <w:tr w14:paraId="5A77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E23C650">
            <w:pPr>
              <w:tabs>
                <w:tab w:val="left" w:pos="720"/>
              </w:tabs>
              <w:jc w:val="center"/>
              <w:rPr>
                <w:rFonts w:ascii="宋体" w:hAnsi="宋体" w:eastAsia="宋体"/>
                <w:szCs w:val="21"/>
              </w:rPr>
            </w:pPr>
            <w:r>
              <w:rPr>
                <w:rFonts w:hint="eastAsia" w:eastAsia="Times New Roman" w:cs="Times New Roman" w:asciiTheme="minorEastAsia" w:hAnsiTheme="minorEastAsia"/>
                <w:sz w:val="21"/>
                <w:szCs w:val="21"/>
                <w:lang w:val="en-US" w:eastAsia="zh-CN"/>
              </w:rPr>
              <w:t>3</w:t>
            </w:r>
          </w:p>
        </w:tc>
        <w:tc>
          <w:tcPr>
            <w:tcW w:w="4400" w:type="dxa"/>
            <w:vAlign w:val="top"/>
          </w:tcPr>
          <w:p w14:paraId="61A9E33A">
            <w:pPr>
              <w:tabs>
                <w:tab w:val="left" w:pos="720"/>
              </w:tabs>
              <w:rPr>
                <w:rFonts w:ascii="宋体" w:hAnsi="宋体" w:eastAsia="宋体"/>
                <w:color w:val="4F81BD" w:themeColor="accent1"/>
                <w:szCs w:val="21"/>
                <w14:textFill>
                  <w14:solidFill>
                    <w14:schemeClr w14:val="accent1"/>
                  </w14:solidFill>
                </w14:textFill>
              </w:rPr>
            </w:pPr>
            <w:r>
              <w:rPr>
                <w:rFonts w:hint="eastAsia" w:asciiTheme="minorEastAsia" w:hAnsiTheme="minorEastAsia"/>
                <w:sz w:val="21"/>
                <w:szCs w:val="21"/>
              </w:rPr>
              <w:t>★2.1.1供应商配送的肉类、蔬菜、干货等食材必须保证质量，符合《食品安全国家标准目录》相应要求，不得腐烂、变质等。</w:t>
            </w:r>
          </w:p>
        </w:tc>
        <w:tc>
          <w:tcPr>
            <w:tcW w:w="1222" w:type="pct"/>
          </w:tcPr>
          <w:p w14:paraId="76256521">
            <w:pPr>
              <w:adjustRightInd w:val="0"/>
              <w:snapToGrid w:val="0"/>
              <w:spacing w:line="360" w:lineRule="auto"/>
              <w:rPr>
                <w:rFonts w:ascii="宋体" w:hAnsi="宋体" w:eastAsia="宋体"/>
                <w:szCs w:val="21"/>
              </w:rPr>
            </w:pPr>
          </w:p>
        </w:tc>
        <w:tc>
          <w:tcPr>
            <w:tcW w:w="447" w:type="pct"/>
          </w:tcPr>
          <w:p w14:paraId="76E6043A">
            <w:pPr>
              <w:adjustRightInd w:val="0"/>
              <w:snapToGrid w:val="0"/>
              <w:spacing w:line="360" w:lineRule="auto"/>
              <w:rPr>
                <w:rFonts w:ascii="宋体" w:hAnsi="宋体" w:eastAsia="宋体"/>
                <w:szCs w:val="21"/>
              </w:rPr>
            </w:pPr>
          </w:p>
        </w:tc>
        <w:tc>
          <w:tcPr>
            <w:tcW w:w="340" w:type="pct"/>
          </w:tcPr>
          <w:p w14:paraId="432DD9DA">
            <w:pPr>
              <w:adjustRightInd w:val="0"/>
              <w:snapToGrid w:val="0"/>
              <w:spacing w:line="360" w:lineRule="auto"/>
              <w:rPr>
                <w:rFonts w:ascii="宋体" w:hAnsi="宋体" w:eastAsia="宋体"/>
                <w:szCs w:val="21"/>
              </w:rPr>
            </w:pPr>
          </w:p>
        </w:tc>
      </w:tr>
      <w:tr w14:paraId="0B8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1C24005C">
            <w:pPr>
              <w:tabs>
                <w:tab w:val="left" w:pos="720"/>
              </w:tabs>
              <w:jc w:val="center"/>
              <w:rPr>
                <w:rFonts w:ascii="宋体" w:hAnsi="宋体" w:eastAsia="宋体"/>
                <w:color w:val="4F81BD" w:themeColor="accent1"/>
                <w:szCs w:val="21"/>
                <w14:textFill>
                  <w14:solidFill>
                    <w14:schemeClr w14:val="accent1"/>
                  </w14:solidFill>
                </w14:textFill>
              </w:rPr>
            </w:pPr>
            <w:r>
              <w:rPr>
                <w:rFonts w:hint="eastAsia" w:eastAsia="Times New Roman" w:cs="Times New Roman" w:asciiTheme="minorEastAsia" w:hAnsiTheme="minorEastAsia"/>
                <w:sz w:val="21"/>
                <w:szCs w:val="21"/>
                <w:lang w:val="en-US" w:eastAsia="zh-CN"/>
              </w:rPr>
              <w:t>4</w:t>
            </w:r>
          </w:p>
        </w:tc>
        <w:tc>
          <w:tcPr>
            <w:tcW w:w="4401" w:type="dxa"/>
            <w:vAlign w:val="center"/>
          </w:tcPr>
          <w:p w14:paraId="2662896A">
            <w:pPr>
              <w:tabs>
                <w:tab w:val="left" w:pos="720"/>
              </w:tabs>
              <w:jc w:val="left"/>
              <w:rPr>
                <w:rFonts w:ascii="宋体" w:hAnsi="宋体" w:eastAsia="宋体"/>
                <w:color w:val="FF0000"/>
                <w:szCs w:val="21"/>
              </w:rPr>
            </w:pPr>
            <w:r>
              <w:rPr>
                <w:rFonts w:hint="eastAsia" w:asciiTheme="minorEastAsia" w:hAnsiTheme="minorEastAsia"/>
                <w:sz w:val="21"/>
                <w:szCs w:val="21"/>
              </w:rPr>
              <w:t>★2.3.1供应商须保证服务期内每一个自然日均能送货。</w:t>
            </w:r>
          </w:p>
        </w:tc>
        <w:tc>
          <w:tcPr>
            <w:tcW w:w="1222" w:type="pct"/>
          </w:tcPr>
          <w:p w14:paraId="1CBFB1D5">
            <w:pPr>
              <w:adjustRightInd w:val="0"/>
              <w:snapToGrid w:val="0"/>
              <w:spacing w:line="360" w:lineRule="auto"/>
              <w:rPr>
                <w:rFonts w:ascii="宋体" w:hAnsi="宋体" w:eastAsia="宋体"/>
                <w:szCs w:val="21"/>
              </w:rPr>
            </w:pPr>
          </w:p>
        </w:tc>
        <w:tc>
          <w:tcPr>
            <w:tcW w:w="447" w:type="pct"/>
          </w:tcPr>
          <w:p w14:paraId="4C1D9ED6">
            <w:pPr>
              <w:adjustRightInd w:val="0"/>
              <w:snapToGrid w:val="0"/>
              <w:spacing w:line="360" w:lineRule="auto"/>
              <w:rPr>
                <w:rFonts w:ascii="宋体" w:hAnsi="宋体" w:eastAsia="宋体"/>
                <w:szCs w:val="21"/>
              </w:rPr>
            </w:pPr>
          </w:p>
        </w:tc>
        <w:tc>
          <w:tcPr>
            <w:tcW w:w="340" w:type="pct"/>
          </w:tcPr>
          <w:p w14:paraId="68964651">
            <w:pPr>
              <w:adjustRightInd w:val="0"/>
              <w:snapToGrid w:val="0"/>
              <w:spacing w:line="360" w:lineRule="auto"/>
              <w:rPr>
                <w:rFonts w:ascii="宋体" w:hAnsi="宋体" w:eastAsia="宋体"/>
                <w:szCs w:val="21"/>
              </w:rPr>
            </w:pPr>
          </w:p>
        </w:tc>
      </w:tr>
      <w:tr w14:paraId="0474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47093D5F">
            <w:pPr>
              <w:tabs>
                <w:tab w:val="left" w:pos="720"/>
              </w:tabs>
              <w:jc w:val="center"/>
              <w:rPr>
                <w:rFonts w:hint="eastAsia" w:ascii="宋体" w:hAnsi="宋体" w:eastAsia="宋体"/>
                <w:color w:val="4F81BD" w:themeColor="accent1"/>
                <w:szCs w:val="21"/>
                <w14:textFill>
                  <w14:solidFill>
                    <w14:schemeClr w14:val="accent1"/>
                  </w14:solidFill>
                </w14:textFill>
              </w:rPr>
            </w:pPr>
            <w:r>
              <w:rPr>
                <w:rFonts w:hint="eastAsia" w:eastAsia="Times New Roman" w:cs="Times New Roman" w:asciiTheme="minorEastAsia" w:hAnsiTheme="minorEastAsia"/>
                <w:sz w:val="21"/>
                <w:szCs w:val="21"/>
                <w:lang w:val="en-US" w:eastAsia="zh-CN"/>
              </w:rPr>
              <w:t>5</w:t>
            </w:r>
          </w:p>
        </w:tc>
        <w:tc>
          <w:tcPr>
            <w:tcW w:w="4401" w:type="dxa"/>
            <w:vAlign w:val="top"/>
          </w:tcPr>
          <w:p w14:paraId="285A90CE">
            <w:pPr>
              <w:tabs>
                <w:tab w:val="left" w:pos="720"/>
              </w:tabs>
              <w:rPr>
                <w:rFonts w:ascii="宋体" w:hAnsi="宋体" w:eastAsia="宋体"/>
                <w:color w:val="FF0000"/>
                <w:szCs w:val="21"/>
              </w:rPr>
            </w:pPr>
            <w:r>
              <w:rPr>
                <w:rFonts w:hint="eastAsia" w:asciiTheme="minorEastAsia" w:hAnsiTheme="minorEastAsia"/>
                <w:sz w:val="21"/>
                <w:szCs w:val="21"/>
              </w:rPr>
              <w:t>★3.1.3.4整批肉类有省地市出具的动植物检疫合格证明，随箱产品合格证不齐全的，加抽15%（即在原抽查数量基础上增加15%进行第二次抽查），两次抽查数50%以上没有产品合格证的，全部退货；50%以下没有产品合格证明的，将无产品合格证明的货物退货。</w:t>
            </w:r>
          </w:p>
        </w:tc>
        <w:tc>
          <w:tcPr>
            <w:tcW w:w="1222" w:type="pct"/>
          </w:tcPr>
          <w:p w14:paraId="55C4BBE2">
            <w:pPr>
              <w:adjustRightInd w:val="0"/>
              <w:snapToGrid w:val="0"/>
              <w:spacing w:line="360" w:lineRule="auto"/>
              <w:rPr>
                <w:rFonts w:ascii="宋体" w:hAnsi="宋体" w:eastAsia="宋体"/>
                <w:szCs w:val="21"/>
              </w:rPr>
            </w:pPr>
          </w:p>
        </w:tc>
        <w:tc>
          <w:tcPr>
            <w:tcW w:w="447" w:type="pct"/>
          </w:tcPr>
          <w:p w14:paraId="5D4C221F">
            <w:pPr>
              <w:adjustRightInd w:val="0"/>
              <w:snapToGrid w:val="0"/>
              <w:spacing w:line="360" w:lineRule="auto"/>
              <w:rPr>
                <w:rFonts w:ascii="宋体" w:hAnsi="宋体" w:eastAsia="宋体"/>
                <w:szCs w:val="21"/>
              </w:rPr>
            </w:pPr>
          </w:p>
        </w:tc>
        <w:tc>
          <w:tcPr>
            <w:tcW w:w="340" w:type="pct"/>
          </w:tcPr>
          <w:p w14:paraId="21C602A3">
            <w:pPr>
              <w:adjustRightInd w:val="0"/>
              <w:snapToGrid w:val="0"/>
              <w:spacing w:line="360" w:lineRule="auto"/>
              <w:rPr>
                <w:rFonts w:ascii="宋体" w:hAnsi="宋体" w:eastAsia="宋体"/>
                <w:szCs w:val="21"/>
              </w:rPr>
            </w:pPr>
          </w:p>
        </w:tc>
      </w:tr>
      <w:tr w14:paraId="50C4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259590B7">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6</w:t>
            </w:r>
          </w:p>
        </w:tc>
        <w:tc>
          <w:tcPr>
            <w:tcW w:w="4401" w:type="dxa"/>
            <w:vAlign w:val="top"/>
          </w:tcPr>
          <w:p w14:paraId="66CD51B4">
            <w:pPr>
              <w:tabs>
                <w:tab w:val="left" w:pos="720"/>
              </w:tabs>
              <w:rPr>
                <w:rFonts w:hint="eastAsia" w:asciiTheme="minorEastAsia" w:hAnsiTheme="minorEastAsia"/>
                <w:sz w:val="21"/>
                <w:szCs w:val="21"/>
              </w:rPr>
            </w:pPr>
            <w:r>
              <w:rPr>
                <w:rFonts w:hint="eastAsia" w:asciiTheme="minorEastAsia" w:hAnsiTheme="minorEastAsia"/>
                <w:sz w:val="21"/>
                <w:szCs w:val="21"/>
              </w:rPr>
              <w:t>★3.2.1质量要求：</w:t>
            </w:r>
          </w:p>
          <w:p w14:paraId="6343AA6F">
            <w:pPr>
              <w:tabs>
                <w:tab w:val="left" w:pos="720"/>
              </w:tabs>
              <w:rPr>
                <w:rFonts w:ascii="宋体" w:hAnsi="宋体" w:eastAsia="宋体"/>
                <w:color w:val="FF0000"/>
                <w:szCs w:val="21"/>
              </w:rPr>
            </w:pPr>
            <w:r>
              <w:rPr>
                <w:rFonts w:hint="eastAsia" w:asciiTheme="minorEastAsia" w:hAnsiTheme="minorEastAsia"/>
                <w:sz w:val="21"/>
                <w:szCs w:val="21"/>
              </w:rPr>
              <w:t>蔬菜质量应符合《食品安全国家标准目录》中相应要求；卫生指标应符合《食品安全国家标准食品中农药最大残留限量》（GB 2763-2021及GB 2763.1-2022）的要求。从蔬菜色泽看，各种蔬菜都应具有本品种固有的颜色，大多数有发亮的光泽；从蔬菜气味看，不允许有腐烂变质的亚硝酸盐味和其他异常气味；从蔬菜形态看，应尽量避免萎蔫、枯塌、损伤、病变、虫害侵蚀等引起的形态异常。</w:t>
            </w:r>
          </w:p>
        </w:tc>
        <w:tc>
          <w:tcPr>
            <w:tcW w:w="1222" w:type="pct"/>
          </w:tcPr>
          <w:p w14:paraId="555B5171">
            <w:pPr>
              <w:adjustRightInd w:val="0"/>
              <w:snapToGrid w:val="0"/>
              <w:spacing w:line="360" w:lineRule="auto"/>
              <w:rPr>
                <w:rFonts w:ascii="宋体" w:hAnsi="宋体" w:eastAsia="宋体"/>
                <w:szCs w:val="21"/>
              </w:rPr>
            </w:pPr>
          </w:p>
        </w:tc>
        <w:tc>
          <w:tcPr>
            <w:tcW w:w="447" w:type="pct"/>
          </w:tcPr>
          <w:p w14:paraId="2873424F">
            <w:pPr>
              <w:adjustRightInd w:val="0"/>
              <w:snapToGrid w:val="0"/>
              <w:spacing w:line="360" w:lineRule="auto"/>
              <w:rPr>
                <w:rFonts w:ascii="宋体" w:hAnsi="宋体" w:eastAsia="宋体"/>
                <w:szCs w:val="21"/>
              </w:rPr>
            </w:pPr>
          </w:p>
        </w:tc>
        <w:tc>
          <w:tcPr>
            <w:tcW w:w="340" w:type="pct"/>
          </w:tcPr>
          <w:p w14:paraId="54333D32">
            <w:pPr>
              <w:adjustRightInd w:val="0"/>
              <w:snapToGrid w:val="0"/>
              <w:spacing w:line="360" w:lineRule="auto"/>
              <w:rPr>
                <w:rFonts w:ascii="宋体" w:hAnsi="宋体" w:eastAsia="宋体"/>
                <w:szCs w:val="21"/>
              </w:rPr>
            </w:pPr>
          </w:p>
        </w:tc>
      </w:tr>
      <w:tr w14:paraId="4B0C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3BC46A91">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7</w:t>
            </w:r>
          </w:p>
        </w:tc>
        <w:tc>
          <w:tcPr>
            <w:tcW w:w="4401" w:type="dxa"/>
            <w:vAlign w:val="top"/>
          </w:tcPr>
          <w:p w14:paraId="372C72DC">
            <w:pPr>
              <w:tabs>
                <w:tab w:val="left" w:pos="720"/>
              </w:tabs>
              <w:rPr>
                <w:rFonts w:hint="eastAsia" w:asciiTheme="minorEastAsia" w:hAnsiTheme="minorEastAsia"/>
                <w:sz w:val="21"/>
                <w:szCs w:val="21"/>
              </w:rPr>
            </w:pPr>
            <w:r>
              <w:rPr>
                <w:rFonts w:hint="eastAsia" w:asciiTheme="minorEastAsia" w:hAnsiTheme="minorEastAsia"/>
                <w:sz w:val="21"/>
                <w:szCs w:val="21"/>
              </w:rPr>
              <w:t>★3.3.1质量要求：</w:t>
            </w:r>
          </w:p>
          <w:p w14:paraId="1326D385">
            <w:pPr>
              <w:tabs>
                <w:tab w:val="left" w:pos="720"/>
              </w:tabs>
              <w:rPr>
                <w:rFonts w:ascii="宋体" w:hAnsi="宋体" w:eastAsia="宋体"/>
                <w:color w:val="FF0000"/>
                <w:szCs w:val="21"/>
              </w:rPr>
            </w:pPr>
            <w:r>
              <w:rPr>
                <w:rFonts w:hint="eastAsia" w:asciiTheme="minorEastAsia" w:hAnsiTheme="minorEastAsia"/>
                <w:sz w:val="21"/>
                <w:szCs w:val="21"/>
              </w:rPr>
              <w:t>干货制品的质量要求符合《食品安全国家标准目录》及国家相关行业标准，干爽，不霉烂、整齐、均匀、完整，无虫蛀、无杂质，保持应有的色泽。</w:t>
            </w:r>
          </w:p>
        </w:tc>
        <w:tc>
          <w:tcPr>
            <w:tcW w:w="1222" w:type="pct"/>
          </w:tcPr>
          <w:p w14:paraId="5E95C739">
            <w:pPr>
              <w:adjustRightInd w:val="0"/>
              <w:snapToGrid w:val="0"/>
              <w:spacing w:line="360" w:lineRule="auto"/>
              <w:rPr>
                <w:rFonts w:ascii="宋体" w:hAnsi="宋体" w:eastAsia="宋体"/>
                <w:szCs w:val="21"/>
              </w:rPr>
            </w:pPr>
          </w:p>
        </w:tc>
        <w:tc>
          <w:tcPr>
            <w:tcW w:w="447" w:type="pct"/>
          </w:tcPr>
          <w:p w14:paraId="2125FC3F">
            <w:pPr>
              <w:adjustRightInd w:val="0"/>
              <w:snapToGrid w:val="0"/>
              <w:spacing w:line="360" w:lineRule="auto"/>
              <w:rPr>
                <w:rFonts w:ascii="宋体" w:hAnsi="宋体" w:eastAsia="宋体"/>
                <w:szCs w:val="21"/>
              </w:rPr>
            </w:pPr>
          </w:p>
        </w:tc>
        <w:tc>
          <w:tcPr>
            <w:tcW w:w="340" w:type="pct"/>
          </w:tcPr>
          <w:p w14:paraId="75304032">
            <w:pPr>
              <w:adjustRightInd w:val="0"/>
              <w:snapToGrid w:val="0"/>
              <w:spacing w:line="360" w:lineRule="auto"/>
              <w:rPr>
                <w:rFonts w:ascii="宋体" w:hAnsi="宋体" w:eastAsia="宋体"/>
                <w:szCs w:val="21"/>
              </w:rPr>
            </w:pPr>
          </w:p>
        </w:tc>
      </w:tr>
      <w:tr w14:paraId="6350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197E19D7">
            <w:pPr>
              <w:tabs>
                <w:tab w:val="left" w:pos="720"/>
              </w:tabs>
              <w:jc w:val="center"/>
              <w:rPr>
                <w:rFonts w:hint="default" w:eastAsia="Times New Roman"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8</w:t>
            </w:r>
          </w:p>
        </w:tc>
        <w:tc>
          <w:tcPr>
            <w:tcW w:w="4401" w:type="dxa"/>
            <w:vAlign w:val="top"/>
          </w:tcPr>
          <w:p w14:paraId="0F531469">
            <w:pPr>
              <w:tabs>
                <w:tab w:val="left" w:pos="720"/>
              </w:tabs>
              <w:rPr>
                <w:rFonts w:ascii="宋体" w:hAnsi="宋体" w:eastAsia="宋体"/>
                <w:color w:val="FF0000"/>
                <w:szCs w:val="21"/>
              </w:rPr>
            </w:pPr>
            <w:r>
              <w:rPr>
                <w:rFonts w:hint="eastAsia" w:asciiTheme="minorEastAsia" w:hAnsiTheme="minorEastAsia"/>
                <w:sz w:val="21"/>
                <w:szCs w:val="21"/>
              </w:rPr>
              <w:t>★3.4其他类别的食材，供应商应根据采购人要求，依据《食品安全国家标准目录》及国家相关行业标准提供。</w:t>
            </w:r>
          </w:p>
        </w:tc>
        <w:tc>
          <w:tcPr>
            <w:tcW w:w="1222" w:type="pct"/>
          </w:tcPr>
          <w:p w14:paraId="3EC61E63">
            <w:pPr>
              <w:adjustRightInd w:val="0"/>
              <w:snapToGrid w:val="0"/>
              <w:spacing w:line="360" w:lineRule="auto"/>
              <w:rPr>
                <w:rFonts w:ascii="宋体" w:hAnsi="宋体" w:eastAsia="宋体"/>
                <w:szCs w:val="21"/>
              </w:rPr>
            </w:pPr>
          </w:p>
        </w:tc>
        <w:tc>
          <w:tcPr>
            <w:tcW w:w="447" w:type="pct"/>
          </w:tcPr>
          <w:p w14:paraId="70B275E5">
            <w:pPr>
              <w:adjustRightInd w:val="0"/>
              <w:snapToGrid w:val="0"/>
              <w:spacing w:line="360" w:lineRule="auto"/>
              <w:rPr>
                <w:rFonts w:ascii="宋体" w:hAnsi="宋体" w:eastAsia="宋体"/>
                <w:szCs w:val="21"/>
              </w:rPr>
            </w:pPr>
          </w:p>
        </w:tc>
        <w:tc>
          <w:tcPr>
            <w:tcW w:w="340" w:type="pct"/>
          </w:tcPr>
          <w:p w14:paraId="699AFBD2">
            <w:pPr>
              <w:adjustRightInd w:val="0"/>
              <w:snapToGrid w:val="0"/>
              <w:spacing w:line="360" w:lineRule="auto"/>
              <w:rPr>
                <w:rFonts w:ascii="宋体" w:hAnsi="宋体" w:eastAsia="宋体"/>
                <w:szCs w:val="21"/>
              </w:rPr>
            </w:pPr>
          </w:p>
        </w:tc>
      </w:tr>
    </w:tbl>
    <w:p w14:paraId="4F61F7FD">
      <w:pPr>
        <w:ind w:firstLine="464" w:firstLineChars="200"/>
        <w:rPr>
          <w:rFonts w:ascii="宋体" w:hAnsi="宋体" w:eastAsia="宋体"/>
          <w:b/>
          <w:szCs w:val="22"/>
        </w:rPr>
      </w:pPr>
    </w:p>
    <w:p w14:paraId="3FEE2FB4">
      <w:pPr>
        <w:ind w:firstLine="464" w:firstLineChars="200"/>
        <w:rPr>
          <w:rFonts w:ascii="宋体" w:hAnsi="宋体" w:eastAsia="宋体"/>
          <w:b/>
          <w:szCs w:val="22"/>
        </w:rPr>
      </w:pPr>
      <w:r>
        <w:rPr>
          <w:rFonts w:hint="eastAsia" w:ascii="宋体" w:hAnsi="宋体" w:eastAsia="宋体"/>
          <w:b/>
          <w:szCs w:val="22"/>
        </w:rPr>
        <w:t>注：1. 上表所列各项均为不可负偏离条款。</w:t>
      </w:r>
    </w:p>
    <w:p w14:paraId="306D36B7">
      <w:pPr>
        <w:ind w:firstLine="464" w:firstLineChars="200"/>
        <w:rPr>
          <w:rFonts w:ascii="宋体" w:hAnsi="宋体" w:eastAsia="宋体"/>
          <w:b/>
          <w:szCs w:val="22"/>
        </w:rPr>
      </w:pPr>
      <w:r>
        <w:rPr>
          <w:rFonts w:hint="eastAsia" w:ascii="宋体" w:hAnsi="宋体" w:eastAsia="宋体"/>
          <w:b/>
          <w:szCs w:val="22"/>
        </w:rPr>
        <w:t>2.“投标响应”一栏应当详细填写投标人自身响应情况，而不能不合理照搬照抄招实质性条款具体内容。</w:t>
      </w:r>
    </w:p>
    <w:p w14:paraId="0CD0C78E">
      <w:pPr>
        <w:ind w:firstLine="464" w:firstLineChars="200"/>
        <w:rPr>
          <w:rFonts w:ascii="宋体" w:hAnsi="宋体" w:eastAsia="宋体"/>
          <w:b/>
          <w:szCs w:val="22"/>
        </w:rPr>
      </w:pPr>
      <w:r>
        <w:rPr>
          <w:rFonts w:hint="eastAsia" w:ascii="宋体" w:hAnsi="宋体" w:eastAsia="宋体"/>
          <w:b/>
          <w:szCs w:val="22"/>
        </w:rPr>
        <w:t>3</w:t>
      </w:r>
      <w:r>
        <w:rPr>
          <w:rFonts w:ascii="宋体" w:hAnsi="宋体" w:eastAsia="宋体"/>
          <w:b/>
          <w:szCs w:val="22"/>
        </w:rPr>
        <w:t>.</w:t>
      </w:r>
      <w:r>
        <w:rPr>
          <w:rFonts w:hint="eastAsia" w:ascii="宋体" w:hAnsi="宋体" w:eastAsia="宋体"/>
          <w:b/>
          <w:szCs w:val="22"/>
        </w:rPr>
        <w:t>“偏离情况”一栏应填写“正偏离”、“负偏离”或“无偏离”，</w:t>
      </w:r>
      <w:r>
        <w:rPr>
          <w:rFonts w:hint="eastAsia" w:ascii="宋体" w:hAnsi="宋体" w:eastAsia="宋体"/>
          <w:b/>
        </w:rPr>
        <w:t>“正偏离”表示“投标响应优于实质性条款具体内容要求”，“负偏离”表示“投标响应不满足实质性条款具体内容要求”，“无偏离”表示“投标响应与实质性条款具体内容要求一致”。</w:t>
      </w:r>
    </w:p>
    <w:p w14:paraId="51CDAAF9">
      <w:pPr>
        <w:ind w:firstLine="464" w:firstLineChars="200"/>
        <w:rPr>
          <w:rFonts w:ascii="宋体" w:hAnsi="宋体" w:eastAsia="宋体"/>
          <w:b/>
        </w:rPr>
      </w:pPr>
      <w:r>
        <w:rPr>
          <w:rFonts w:ascii="宋体" w:hAnsi="宋体" w:eastAsia="宋体"/>
          <w:b/>
        </w:rPr>
        <w:t>4.</w:t>
      </w:r>
      <w:r>
        <w:rPr>
          <w:rFonts w:hint="eastAsia" w:ascii="宋体" w:hAnsi="宋体" w:eastAsia="宋体"/>
          <w:b/>
        </w:rPr>
        <w:t>评审委员会有权对投标响应情况作出判断（作出评审结论）。</w:t>
      </w:r>
    </w:p>
    <w:p w14:paraId="0E95185A">
      <w:pPr>
        <w:ind w:firstLine="464" w:firstLineChars="200"/>
        <w:rPr>
          <w:color w:val="000000" w:themeColor="text1"/>
          <w14:textFill>
            <w14:solidFill>
              <w14:schemeClr w14:val="tx1"/>
            </w14:solidFill>
          </w14:textFill>
        </w:rPr>
      </w:pPr>
      <w:r>
        <w:rPr>
          <w:rFonts w:ascii="宋体" w:hAnsi="宋体" w:eastAsia="宋体"/>
          <w:b/>
          <w:szCs w:val="22"/>
        </w:rPr>
        <w:t>5</w:t>
      </w:r>
      <w:r>
        <w:rPr>
          <w:rFonts w:hint="eastAsia" w:ascii="宋体" w:hAnsi="宋体" w:eastAsia="宋体"/>
          <w:b/>
          <w:szCs w:val="22"/>
        </w:rPr>
        <w:t>.实质性响应条款“投标响应情况”与投标文件其它内容冲突的，以实质性响应条款“投标响应情况”为准。</w:t>
      </w:r>
    </w:p>
    <w:p w14:paraId="19784F93">
      <w:pPr>
        <w:rPr>
          <w:rFonts w:eastAsia="黑体"/>
        </w:rPr>
      </w:pPr>
    </w:p>
    <w:p w14:paraId="0001F2F1">
      <w:pPr>
        <w:pStyle w:val="5"/>
        <w:jc w:val="center"/>
        <w:rPr>
          <w:rFonts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val="en-US" w:eastAsia="zh-CN"/>
          <w14:textFill>
            <w14:solidFill>
              <w14:schemeClr w14:val="tx1"/>
            </w14:solidFill>
          </w14:textFill>
        </w:rPr>
        <w:t>六</w:t>
      </w:r>
      <w:r>
        <w:rPr>
          <w:rFonts w:hint="eastAsia" w:ascii="黑体" w:eastAsia="黑体"/>
          <w:bCs w:val="0"/>
          <w:color w:val="000000" w:themeColor="text1"/>
          <w:sz w:val="24"/>
          <w14:textFill>
            <w14:solidFill>
              <w14:schemeClr w14:val="tx1"/>
            </w14:solidFill>
          </w14:textFill>
        </w:rPr>
        <w:t>、商务、服务条款偏离表</w:t>
      </w:r>
    </w:p>
    <w:p w14:paraId="71434697">
      <w:pPr>
        <w:snapToGrid w:val="0"/>
        <w:spacing w:line="360" w:lineRule="auto"/>
        <w:rPr>
          <w:rFonts w:ascii="Arial" w:hAnsi="Arial" w:eastAsia="宋体" w:cs="Arial"/>
          <w:color w:val="000000"/>
          <w:u w:val="single"/>
        </w:rPr>
      </w:pPr>
      <w:r>
        <w:rPr>
          <w:rFonts w:hint="eastAsia" w:ascii="Arial" w:hAnsi="Arial" w:eastAsia="宋体" w:cs="Arial"/>
          <w:color w:val="000000"/>
        </w:rPr>
        <w:t>投标单位（投标人）名称：</w:t>
      </w:r>
    </w:p>
    <w:tbl>
      <w:tblPr>
        <w:tblStyle w:val="16"/>
        <w:tblW w:w="1094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40"/>
        <w:gridCol w:w="4732"/>
        <w:gridCol w:w="3053"/>
        <w:gridCol w:w="1262"/>
        <w:gridCol w:w="1262"/>
      </w:tblGrid>
      <w:tr w14:paraId="151058C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640" w:type="dxa"/>
            <w:vAlign w:val="center"/>
          </w:tcPr>
          <w:p w14:paraId="442DE423">
            <w:pPr>
              <w:spacing w:line="360" w:lineRule="auto"/>
              <w:jc w:val="center"/>
              <w:rPr>
                <w:rFonts w:cs="Arial" w:asciiTheme="minorEastAsia" w:hAnsiTheme="minorEastAsia"/>
                <w:b/>
                <w:sz w:val="21"/>
                <w:szCs w:val="21"/>
              </w:rPr>
            </w:pPr>
            <w:r>
              <w:rPr>
                <w:rFonts w:hint="eastAsia" w:cs="Arial" w:asciiTheme="minorEastAsia" w:hAnsiTheme="minorEastAsia"/>
                <w:b/>
                <w:sz w:val="21"/>
                <w:szCs w:val="21"/>
              </w:rPr>
              <w:t>序号</w:t>
            </w:r>
          </w:p>
        </w:tc>
        <w:tc>
          <w:tcPr>
            <w:tcW w:w="4732" w:type="dxa"/>
            <w:vAlign w:val="center"/>
          </w:tcPr>
          <w:p w14:paraId="54CCDAD3">
            <w:pPr>
              <w:spacing w:line="360" w:lineRule="auto"/>
              <w:jc w:val="center"/>
              <w:rPr>
                <w:rFonts w:cs="Arial" w:asciiTheme="minorEastAsia" w:hAnsiTheme="minorEastAsia"/>
                <w:b/>
                <w:sz w:val="21"/>
                <w:szCs w:val="21"/>
              </w:rPr>
            </w:pPr>
            <w:r>
              <w:rPr>
                <w:rFonts w:hint="eastAsia" w:cs="Arial" w:asciiTheme="minorEastAsia" w:hAnsiTheme="minorEastAsia"/>
                <w:b/>
                <w:sz w:val="21"/>
                <w:szCs w:val="21"/>
              </w:rPr>
              <w:t>招标文件要求</w:t>
            </w:r>
          </w:p>
        </w:tc>
        <w:tc>
          <w:tcPr>
            <w:tcW w:w="3053" w:type="dxa"/>
            <w:vAlign w:val="center"/>
          </w:tcPr>
          <w:p w14:paraId="1195F076">
            <w:pPr>
              <w:spacing w:line="360" w:lineRule="auto"/>
              <w:jc w:val="center"/>
              <w:rPr>
                <w:rFonts w:cs="Arial" w:asciiTheme="minorEastAsia" w:hAnsiTheme="minorEastAsia"/>
                <w:b/>
                <w:sz w:val="21"/>
                <w:szCs w:val="21"/>
              </w:rPr>
            </w:pPr>
            <w:r>
              <w:rPr>
                <w:rFonts w:hint="eastAsia" w:cs="Arial" w:asciiTheme="minorEastAsia" w:hAnsiTheme="minorEastAsia"/>
                <w:b/>
                <w:sz w:val="21"/>
                <w:szCs w:val="21"/>
              </w:rPr>
              <w:t>投标文件响应</w:t>
            </w:r>
          </w:p>
        </w:tc>
        <w:tc>
          <w:tcPr>
            <w:tcW w:w="1262" w:type="dxa"/>
            <w:vAlign w:val="center"/>
          </w:tcPr>
          <w:p w14:paraId="73F7A831">
            <w:pPr>
              <w:spacing w:line="360" w:lineRule="auto"/>
              <w:jc w:val="center"/>
              <w:rPr>
                <w:rFonts w:eastAsia="宋体" w:cs="Arial" w:asciiTheme="minorEastAsia" w:hAnsiTheme="minorEastAsia"/>
                <w:b/>
                <w:sz w:val="21"/>
                <w:szCs w:val="21"/>
              </w:rPr>
            </w:pPr>
            <w:r>
              <w:rPr>
                <w:rFonts w:hint="eastAsia" w:eastAsia="宋体" w:cs="Arial" w:asciiTheme="minorEastAsia" w:hAnsiTheme="minorEastAsia"/>
                <w:b/>
                <w:sz w:val="21"/>
                <w:szCs w:val="21"/>
              </w:rPr>
              <w:t>偏离情况</w:t>
            </w:r>
          </w:p>
        </w:tc>
        <w:tc>
          <w:tcPr>
            <w:tcW w:w="1262" w:type="dxa"/>
            <w:vAlign w:val="center"/>
          </w:tcPr>
          <w:p w14:paraId="3BAA7A77">
            <w:pPr>
              <w:spacing w:line="360" w:lineRule="auto"/>
              <w:jc w:val="center"/>
              <w:rPr>
                <w:rFonts w:cs="Arial" w:asciiTheme="minorEastAsia" w:hAnsiTheme="minorEastAsia"/>
                <w:b/>
                <w:sz w:val="21"/>
                <w:szCs w:val="21"/>
              </w:rPr>
            </w:pPr>
            <w:r>
              <w:rPr>
                <w:rFonts w:hint="eastAsia" w:cs="Arial" w:asciiTheme="minorEastAsia" w:hAnsiTheme="minorEastAsia"/>
                <w:b/>
                <w:sz w:val="21"/>
                <w:szCs w:val="21"/>
              </w:rPr>
              <w:t>说明</w:t>
            </w:r>
          </w:p>
        </w:tc>
      </w:tr>
      <w:tr w14:paraId="0AEBEF9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640" w:type="dxa"/>
            <w:vAlign w:val="center"/>
          </w:tcPr>
          <w:p w14:paraId="5294908A">
            <w:pPr>
              <w:spacing w:line="360" w:lineRule="auto"/>
              <w:jc w:val="center"/>
              <w:rPr>
                <w:rFonts w:asciiTheme="minorEastAsia" w:hAnsiTheme="minorEastAsia"/>
                <w:sz w:val="21"/>
                <w:szCs w:val="21"/>
              </w:rPr>
            </w:pPr>
            <w:r>
              <w:rPr>
                <w:rFonts w:hint="eastAsia" w:asciiTheme="minorEastAsia" w:hAnsiTheme="minorEastAsia"/>
                <w:sz w:val="21"/>
                <w:szCs w:val="21"/>
              </w:rPr>
              <w:t>1</w:t>
            </w:r>
          </w:p>
        </w:tc>
        <w:tc>
          <w:tcPr>
            <w:tcW w:w="4732" w:type="dxa"/>
            <w:vAlign w:val="center"/>
          </w:tcPr>
          <w:p w14:paraId="6137F2FA">
            <w:pPr>
              <w:spacing w:line="360" w:lineRule="auto"/>
              <w:rPr>
                <w:rFonts w:asciiTheme="minorEastAsia" w:hAnsiTheme="minorEastAsia"/>
                <w:b/>
                <w:color w:val="FF0000"/>
                <w:sz w:val="21"/>
                <w:szCs w:val="21"/>
              </w:rPr>
            </w:pPr>
            <w:r>
              <w:rPr>
                <w:rFonts w:hint="eastAsia" w:asciiTheme="minorEastAsia" w:hAnsiTheme="minorEastAsia"/>
                <w:b/>
                <w:color w:val="FF0000"/>
                <w:sz w:val="21"/>
                <w:szCs w:val="21"/>
              </w:rPr>
              <w:t>《第三章 用户需求书：四、项目服务要求》中所有条款要求。</w:t>
            </w:r>
          </w:p>
        </w:tc>
        <w:tc>
          <w:tcPr>
            <w:tcW w:w="3053" w:type="dxa"/>
            <w:vAlign w:val="center"/>
          </w:tcPr>
          <w:p w14:paraId="5E9BAF76">
            <w:pPr>
              <w:spacing w:line="360" w:lineRule="auto"/>
              <w:rPr>
                <w:rFonts w:cs="Arial" w:asciiTheme="minorEastAsia" w:hAnsiTheme="minorEastAsia"/>
                <w:sz w:val="21"/>
                <w:szCs w:val="21"/>
              </w:rPr>
            </w:pPr>
            <w:r>
              <w:rPr>
                <w:rFonts w:hint="eastAsia" w:cs="Arial" w:asciiTheme="minorEastAsia" w:hAnsiTheme="minorEastAsia"/>
                <w:sz w:val="21"/>
                <w:szCs w:val="21"/>
              </w:rPr>
              <w:t>我公司完全响应满足招标文件中此项要求。</w:t>
            </w:r>
          </w:p>
        </w:tc>
        <w:tc>
          <w:tcPr>
            <w:tcW w:w="1262" w:type="dxa"/>
            <w:shd w:val="clear" w:color="auto" w:fill="auto"/>
            <w:vAlign w:val="center"/>
          </w:tcPr>
          <w:p w14:paraId="43A38E0A">
            <w:pPr>
              <w:spacing w:line="360" w:lineRule="auto"/>
              <w:jc w:val="center"/>
              <w:rPr>
                <w:rFonts w:cs="Arial" w:asciiTheme="minorEastAsia" w:hAnsiTheme="minorEastAsia"/>
                <w:sz w:val="21"/>
                <w:szCs w:val="21"/>
              </w:rPr>
            </w:pPr>
          </w:p>
        </w:tc>
        <w:tc>
          <w:tcPr>
            <w:tcW w:w="1262" w:type="dxa"/>
            <w:vAlign w:val="center"/>
          </w:tcPr>
          <w:p w14:paraId="6F0C8AC7">
            <w:pPr>
              <w:spacing w:line="360" w:lineRule="auto"/>
              <w:jc w:val="center"/>
              <w:rPr>
                <w:rFonts w:cs="Arial" w:asciiTheme="minorEastAsia" w:hAnsiTheme="minorEastAsia"/>
                <w:sz w:val="21"/>
                <w:szCs w:val="21"/>
              </w:rPr>
            </w:pPr>
          </w:p>
        </w:tc>
      </w:tr>
      <w:tr w14:paraId="55F02F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4" w:hRule="atLeast"/>
          <w:jc w:val="center"/>
        </w:trPr>
        <w:tc>
          <w:tcPr>
            <w:tcW w:w="640" w:type="dxa"/>
            <w:vAlign w:val="center"/>
          </w:tcPr>
          <w:p w14:paraId="24F97ADD">
            <w:pPr>
              <w:spacing w:line="360" w:lineRule="auto"/>
              <w:jc w:val="center"/>
              <w:rPr>
                <w:rFonts w:asciiTheme="minorEastAsia" w:hAnsiTheme="minorEastAsia"/>
                <w:sz w:val="21"/>
                <w:szCs w:val="21"/>
              </w:rPr>
            </w:pPr>
            <w:r>
              <w:rPr>
                <w:rFonts w:hint="eastAsia" w:asciiTheme="minorEastAsia" w:hAnsiTheme="minorEastAsia"/>
                <w:sz w:val="21"/>
                <w:szCs w:val="21"/>
              </w:rPr>
              <w:t>2</w:t>
            </w:r>
          </w:p>
        </w:tc>
        <w:tc>
          <w:tcPr>
            <w:tcW w:w="4732" w:type="dxa"/>
          </w:tcPr>
          <w:p w14:paraId="760AEA6C">
            <w:pPr>
              <w:spacing w:line="360" w:lineRule="auto"/>
              <w:rPr>
                <w:rFonts w:asciiTheme="minorEastAsia" w:hAnsiTheme="minorEastAsia"/>
                <w:b/>
                <w:color w:val="FF0000"/>
                <w:sz w:val="21"/>
                <w:szCs w:val="21"/>
                <w:highlight w:val="green"/>
              </w:rPr>
            </w:pPr>
            <w:r>
              <w:rPr>
                <w:rFonts w:hint="eastAsia" w:asciiTheme="minorEastAsia" w:hAnsiTheme="minorEastAsia"/>
                <w:b/>
                <w:color w:val="FF0000"/>
                <w:sz w:val="21"/>
                <w:szCs w:val="21"/>
              </w:rPr>
              <w:t>《第三章 用户需求书：五、项目商务要求》中所有条款要求。</w:t>
            </w:r>
          </w:p>
        </w:tc>
        <w:tc>
          <w:tcPr>
            <w:tcW w:w="3053" w:type="dxa"/>
            <w:vAlign w:val="center"/>
          </w:tcPr>
          <w:p w14:paraId="3C382152">
            <w:pPr>
              <w:spacing w:line="360" w:lineRule="auto"/>
              <w:rPr>
                <w:rFonts w:cs="Arial" w:asciiTheme="minorEastAsia" w:hAnsiTheme="minorEastAsia"/>
                <w:sz w:val="21"/>
                <w:szCs w:val="21"/>
              </w:rPr>
            </w:pPr>
            <w:r>
              <w:rPr>
                <w:rFonts w:hint="eastAsia" w:cs="Arial" w:asciiTheme="minorEastAsia" w:hAnsiTheme="minorEastAsia"/>
                <w:sz w:val="21"/>
                <w:szCs w:val="21"/>
              </w:rPr>
              <w:t>我公司完全响应满足招标文件中此项要求。</w:t>
            </w:r>
          </w:p>
        </w:tc>
        <w:tc>
          <w:tcPr>
            <w:tcW w:w="1262" w:type="dxa"/>
            <w:shd w:val="clear" w:color="auto" w:fill="auto"/>
            <w:vAlign w:val="center"/>
          </w:tcPr>
          <w:p w14:paraId="08EA3548">
            <w:pPr>
              <w:spacing w:line="360" w:lineRule="auto"/>
              <w:jc w:val="center"/>
              <w:rPr>
                <w:rFonts w:cs="Arial" w:asciiTheme="minorEastAsia" w:hAnsiTheme="minorEastAsia"/>
                <w:sz w:val="21"/>
                <w:szCs w:val="21"/>
              </w:rPr>
            </w:pPr>
          </w:p>
        </w:tc>
        <w:tc>
          <w:tcPr>
            <w:tcW w:w="1262" w:type="dxa"/>
            <w:vAlign w:val="center"/>
          </w:tcPr>
          <w:p w14:paraId="52D97A32">
            <w:pPr>
              <w:spacing w:line="360" w:lineRule="auto"/>
              <w:jc w:val="center"/>
              <w:rPr>
                <w:rFonts w:cs="Arial" w:asciiTheme="minorEastAsia" w:hAnsiTheme="minorEastAsia"/>
                <w:sz w:val="21"/>
                <w:szCs w:val="21"/>
              </w:rPr>
            </w:pPr>
          </w:p>
        </w:tc>
      </w:tr>
    </w:tbl>
    <w:p w14:paraId="39BD7DC3">
      <w:pPr>
        <w:snapToGrid w:val="0"/>
        <w:spacing w:line="360" w:lineRule="auto"/>
        <w:rPr>
          <w:rFonts w:asciiTheme="minorEastAsia" w:hAnsiTheme="minorEastAsia"/>
          <w:b/>
        </w:rPr>
      </w:pPr>
    </w:p>
    <w:p w14:paraId="4A55B11D">
      <w:pPr>
        <w:snapToGrid w:val="0"/>
        <w:spacing w:after="60" w:afterLines="25" w:line="360" w:lineRule="auto"/>
        <w:rPr>
          <w:rFonts w:ascii="宋体" w:hAnsi="宋体" w:eastAsia="宋体"/>
          <w:b/>
          <w:szCs w:val="22"/>
        </w:rPr>
      </w:pPr>
      <w:r>
        <w:rPr>
          <w:rFonts w:hint="eastAsia" w:ascii="宋体" w:hAnsi="宋体" w:eastAsia="宋体"/>
          <w:b/>
          <w:szCs w:val="22"/>
        </w:rPr>
        <w:t>注：</w:t>
      </w:r>
    </w:p>
    <w:p w14:paraId="31B8BD30">
      <w:pPr>
        <w:snapToGrid w:val="0"/>
        <w:spacing w:after="60" w:afterLines="25" w:line="360" w:lineRule="auto"/>
        <w:rPr>
          <w:rFonts w:asciiTheme="majorEastAsia" w:hAnsiTheme="majorEastAsia" w:eastAsiaTheme="majorEastAsia"/>
        </w:rPr>
      </w:pPr>
      <w:r>
        <w:rPr>
          <w:rFonts w:hint="eastAsia" w:asciiTheme="majorEastAsia" w:hAnsiTheme="majorEastAsia" w:eastAsiaTheme="majorEastAsia"/>
        </w:rPr>
        <w:t>1.</w:t>
      </w:r>
      <w:r>
        <w:rPr>
          <w:rFonts w:hint="eastAsia" w:asciiTheme="majorEastAsia" w:hAnsiTheme="majorEastAsia" w:eastAsiaTheme="majorEastAsia"/>
          <w:b/>
          <w:bCs/>
          <w:color w:val="FF0000"/>
        </w:rPr>
        <w:t>“偏离情况”一栏应填写“正偏离”“负偏离”或“无偏离”。</w:t>
      </w:r>
      <w:r>
        <w:rPr>
          <w:rFonts w:hint="eastAsia" w:asciiTheme="majorEastAsia" w:hAnsiTheme="majorEastAsia" w:eastAsiaTheme="majorEastAsia"/>
        </w:rPr>
        <w:t>其中，“正偏离”表示投标响应优于招标文件要求，“负偏离”表示投标响应不满足招标文件要求，“无偏离”表示投标响应与招标文件要求一致。</w:t>
      </w:r>
    </w:p>
    <w:p w14:paraId="6503B4A7">
      <w:pPr>
        <w:snapToGrid w:val="0"/>
        <w:spacing w:after="60" w:afterLines="25" w:line="360" w:lineRule="auto"/>
        <w:rPr>
          <w:rFonts w:ascii="宋体" w:hAnsi="宋体" w:eastAsia="宋体"/>
          <w:b/>
          <w:szCs w:val="22"/>
        </w:rPr>
      </w:pPr>
      <w:r>
        <w:rPr>
          <w:rFonts w:hint="eastAsia" w:ascii="宋体" w:hAnsi="宋体" w:eastAsia="宋体"/>
          <w:b/>
          <w:szCs w:val="22"/>
        </w:rPr>
        <w:t>2.如投标人能完全响应并满足本表【招标文件要求】栏中的内容，可在对应的【投标文件响应】栏中填写“我公司完全响应并满足招标文件中此项要求”。除招标文件另有注明外，不强制要求逐条列出投标文件响应情况。</w:t>
      </w:r>
    </w:p>
    <w:p w14:paraId="4BE8DAAC">
      <w:pPr>
        <w:snapToGrid w:val="0"/>
        <w:spacing w:after="60" w:afterLines="25" w:line="360" w:lineRule="auto"/>
        <w:rPr>
          <w:rFonts w:asciiTheme="majorEastAsia" w:hAnsiTheme="majorEastAsia" w:eastAsiaTheme="majorEastAsia"/>
        </w:rPr>
      </w:pPr>
      <w:r>
        <w:rPr>
          <w:rFonts w:hint="eastAsia" w:asciiTheme="majorEastAsia" w:hAnsiTheme="majorEastAsia" w:eastAsiaTheme="majorEastAsia"/>
        </w:rPr>
        <w:t>3.如投标人响应情况出现“正偏离”或“负偏离”，请在【投标文件响应】栏中对存在“正偏离”或“负偏离”的条款逐条做出说明。</w:t>
      </w:r>
    </w:p>
    <w:p w14:paraId="5C89EE5F">
      <w:pPr>
        <w:snapToGrid w:val="0"/>
        <w:spacing w:after="60" w:afterLines="25" w:line="360" w:lineRule="auto"/>
        <w:rPr>
          <w:rFonts w:asciiTheme="majorEastAsia" w:hAnsiTheme="majorEastAsia" w:eastAsiaTheme="majorEastAsia"/>
        </w:rPr>
      </w:pPr>
      <w:r>
        <w:rPr>
          <w:rFonts w:hint="eastAsia" w:asciiTheme="majorEastAsia" w:hAnsiTheme="majorEastAsia" w:eastAsiaTheme="majorEastAsia"/>
        </w:rPr>
        <w:t>4.如果偏离情况与投标文件响应情况不一致，或要求提供相关证明材料但投标人未提供的，或提供的相关证明材料与偏离情况、投标文件响应情况不一致的，均视为负偏离。</w:t>
      </w:r>
    </w:p>
    <w:p w14:paraId="5C9B397C">
      <w:pPr>
        <w:pStyle w:val="5"/>
        <w:jc w:val="center"/>
        <w:rPr>
          <w:rFonts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val="en-US" w:eastAsia="zh-CN"/>
          <w14:textFill>
            <w14:solidFill>
              <w14:schemeClr w14:val="tx1"/>
            </w14:solidFill>
          </w14:textFill>
        </w:rPr>
        <w:t>七</w:t>
      </w:r>
      <w:r>
        <w:rPr>
          <w:rFonts w:hint="eastAsia" w:ascii="黑体" w:eastAsia="黑体"/>
          <w:bCs w:val="0"/>
          <w:color w:val="000000" w:themeColor="text1"/>
          <w:sz w:val="24"/>
          <w14:textFill>
            <w14:solidFill>
              <w14:schemeClr w14:val="tx1"/>
            </w14:solidFill>
          </w14:textFill>
        </w:rPr>
        <w:t>、拟安排的项目负责人情况（仅限一人）</w:t>
      </w:r>
    </w:p>
    <w:p w14:paraId="0F0CEE82">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val="en-US" w:eastAsia="zh-CN"/>
          <w14:textFill>
            <w14:solidFill>
              <w14:schemeClr w14:val="tx1"/>
            </w14:solidFill>
          </w14:textFill>
        </w:rPr>
        <w:t>八</w:t>
      </w:r>
      <w:r>
        <w:rPr>
          <w:rFonts w:hint="eastAsia" w:ascii="黑体" w:eastAsia="黑体"/>
          <w:bCs w:val="0"/>
          <w:color w:val="000000" w:themeColor="text1"/>
          <w:sz w:val="24"/>
          <w14:textFill>
            <w14:solidFill>
              <w14:schemeClr w14:val="tx1"/>
            </w14:solidFill>
          </w14:textFill>
        </w:rPr>
        <w:t>、同类业绩情况</w:t>
      </w:r>
    </w:p>
    <w:p w14:paraId="4D784AF8">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九、</w:t>
      </w:r>
      <w:r>
        <w:rPr>
          <w:rFonts w:hint="eastAsia" w:ascii="黑体" w:eastAsia="黑体"/>
          <w:bCs w:val="0"/>
          <w:color w:val="000000" w:themeColor="text1"/>
          <w:sz w:val="24"/>
          <w14:textFill>
            <w14:solidFill>
              <w14:schemeClr w14:val="tx1"/>
            </w14:solidFill>
          </w14:textFill>
        </w:rPr>
        <w:t>项目整体设想及规划方案（格式自定）</w:t>
      </w:r>
    </w:p>
    <w:p w14:paraId="5767FB75">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w:t>
      </w:r>
      <w:r>
        <w:rPr>
          <w:rFonts w:hint="eastAsia" w:ascii="黑体" w:eastAsia="黑体"/>
          <w:bCs w:val="0"/>
          <w:color w:val="000000" w:themeColor="text1"/>
          <w:sz w:val="24"/>
          <w14:textFill>
            <w14:solidFill>
              <w14:schemeClr w14:val="tx1"/>
            </w14:solidFill>
          </w14:textFill>
        </w:rPr>
        <w:t>规章管理制度、工作流程（格式自定）</w:t>
      </w:r>
    </w:p>
    <w:p w14:paraId="6AE47AB9">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十一、</w:t>
      </w:r>
      <w:r>
        <w:rPr>
          <w:rFonts w:hint="eastAsia" w:ascii="黑体" w:eastAsia="黑体"/>
          <w:bCs w:val="0"/>
          <w:color w:val="000000" w:themeColor="text1"/>
          <w:sz w:val="24"/>
          <w14:textFill>
            <w14:solidFill>
              <w14:schemeClr w14:val="tx1"/>
            </w14:solidFill>
          </w14:textFill>
        </w:rPr>
        <w:t>应急预案（格式自定）</w:t>
      </w:r>
    </w:p>
    <w:p w14:paraId="31306527">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十二、</w:t>
      </w:r>
      <w:r>
        <w:rPr>
          <w:rFonts w:hint="eastAsia" w:ascii="黑体" w:eastAsia="黑体"/>
          <w:bCs w:val="0"/>
          <w:color w:val="000000" w:themeColor="text1"/>
          <w:sz w:val="24"/>
          <w14:textFill>
            <w14:solidFill>
              <w14:schemeClr w14:val="tx1"/>
            </w14:solidFill>
          </w14:textFill>
        </w:rPr>
        <w:t>售后服务方案（格式自定）</w:t>
      </w:r>
    </w:p>
    <w:p w14:paraId="7505E15C">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十三、</w:t>
      </w:r>
      <w:r>
        <w:rPr>
          <w:rFonts w:hint="eastAsia" w:ascii="黑体" w:eastAsia="黑体"/>
          <w:bCs w:val="0"/>
          <w:color w:val="000000" w:themeColor="text1"/>
          <w:sz w:val="24"/>
          <w14:textFill>
            <w14:solidFill>
              <w14:schemeClr w14:val="tx1"/>
            </w14:solidFill>
          </w14:textFill>
        </w:rPr>
        <w:t>项目完成（服务期满）后的服务承诺（格式自定）</w:t>
      </w:r>
    </w:p>
    <w:p w14:paraId="256ADFAB">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十四、</w:t>
      </w:r>
      <w:r>
        <w:rPr>
          <w:rFonts w:hint="eastAsia" w:ascii="黑体" w:eastAsia="黑体"/>
          <w:bCs w:val="0"/>
          <w:color w:val="000000" w:themeColor="text1"/>
          <w:sz w:val="24"/>
          <w14:textFill>
            <w14:solidFill>
              <w14:schemeClr w14:val="tx1"/>
            </w14:solidFill>
          </w14:textFill>
        </w:rPr>
        <w:t>违约承诺（格式自定）</w:t>
      </w:r>
    </w:p>
    <w:p w14:paraId="47C2830E">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十五、</w:t>
      </w:r>
      <w:r>
        <w:rPr>
          <w:rFonts w:hint="eastAsia" w:ascii="黑体" w:eastAsia="黑体"/>
          <w:bCs w:val="0"/>
          <w:color w:val="000000" w:themeColor="text1"/>
          <w:sz w:val="24"/>
          <w14:textFill>
            <w14:solidFill>
              <w14:schemeClr w14:val="tx1"/>
            </w14:solidFill>
          </w14:textFill>
        </w:rPr>
        <w:t>食品检测保障能力（格式自定）</w:t>
      </w:r>
    </w:p>
    <w:p w14:paraId="063A4E09">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十六、</w:t>
      </w:r>
      <w:r>
        <w:rPr>
          <w:rFonts w:hint="eastAsia" w:ascii="黑体" w:eastAsia="黑体"/>
          <w:bCs w:val="0"/>
          <w:color w:val="000000" w:themeColor="text1"/>
          <w:sz w:val="24"/>
          <w14:textFill>
            <w14:solidFill>
              <w14:schemeClr w14:val="tx1"/>
            </w14:solidFill>
          </w14:textFill>
        </w:rPr>
        <w:t>拟投入本项目冷库（含冷冻库及冷藏库）情况（格式自定）</w:t>
      </w:r>
    </w:p>
    <w:p w14:paraId="0B84E982">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十七、</w:t>
      </w:r>
      <w:r>
        <w:rPr>
          <w:rFonts w:hint="eastAsia" w:ascii="黑体" w:eastAsia="黑体"/>
          <w:bCs w:val="0"/>
          <w:color w:val="000000" w:themeColor="text1"/>
          <w:sz w:val="24"/>
          <w14:textFill>
            <w14:solidFill>
              <w14:schemeClr w14:val="tx1"/>
            </w14:solidFill>
          </w14:textFill>
        </w:rPr>
        <w:t>拟投入本项目的配送场所（格式自定）</w:t>
      </w:r>
    </w:p>
    <w:p w14:paraId="5816BF49">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十八、</w:t>
      </w:r>
      <w:r>
        <w:rPr>
          <w:rFonts w:hint="eastAsia" w:ascii="黑体" w:eastAsia="黑体"/>
          <w:bCs w:val="0"/>
          <w:color w:val="000000" w:themeColor="text1"/>
          <w:sz w:val="24"/>
          <w14:textFill>
            <w14:solidFill>
              <w14:schemeClr w14:val="tx1"/>
            </w14:solidFill>
          </w14:textFill>
        </w:rPr>
        <w:t>拟投入本项目的车辆（格式自定）</w:t>
      </w:r>
    </w:p>
    <w:p w14:paraId="719E0730">
      <w:pPr>
        <w:pStyle w:val="5"/>
        <w:jc w:val="center"/>
        <w:rPr>
          <w:rFonts w:hint="eastAsia"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十九、</w:t>
      </w:r>
      <w:r>
        <w:rPr>
          <w:rFonts w:hint="eastAsia" w:ascii="黑体" w:eastAsia="黑体"/>
          <w:bCs w:val="0"/>
          <w:color w:val="000000" w:themeColor="text1"/>
          <w:sz w:val="24"/>
          <w14:textFill>
            <w14:solidFill>
              <w14:schemeClr w14:val="tx1"/>
            </w14:solidFill>
          </w14:textFill>
        </w:rPr>
        <w:t>拟投入本项目食品安全检测设备（格式自定）</w:t>
      </w:r>
    </w:p>
    <w:p w14:paraId="25BD20AE">
      <w:pPr>
        <w:pStyle w:val="5"/>
        <w:jc w:val="center"/>
        <w:rPr>
          <w:rFonts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二十、</w:t>
      </w:r>
      <w:r>
        <w:rPr>
          <w:rFonts w:hint="eastAsia" w:ascii="黑体" w:eastAsia="黑体"/>
          <w:bCs w:val="0"/>
          <w:color w:val="000000" w:themeColor="text1"/>
          <w:sz w:val="24"/>
          <w14:textFill>
            <w14:solidFill>
              <w14:schemeClr w14:val="tx1"/>
            </w14:solidFill>
          </w14:textFill>
        </w:rPr>
        <w:t>拟投入本项目的食品安全保险（格式自定）</w:t>
      </w:r>
    </w:p>
    <w:p w14:paraId="3D880518">
      <w:pPr>
        <w:keepNext/>
        <w:keepLines/>
        <w:jc w:val="center"/>
        <w:rPr>
          <w:rFonts w:ascii="黑体" w:eastAsia="黑体"/>
          <w:color w:val="000000" w:themeColor="text1"/>
          <w14:textFill>
            <w14:solidFill>
              <w14:schemeClr w14:val="tx1"/>
            </w14:solidFill>
          </w14:textFill>
        </w:rPr>
      </w:pPr>
    </w:p>
    <w:p w14:paraId="2AC3C987">
      <w:pPr>
        <w:pStyle w:val="5"/>
        <w:jc w:val="center"/>
        <w:rPr>
          <w:rFonts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lang w:eastAsia="zh-CN"/>
          <w14:textFill>
            <w14:solidFill>
              <w14:schemeClr w14:val="tx1"/>
            </w14:solidFill>
          </w14:textFill>
        </w:rPr>
        <w:t>二十一</w:t>
      </w:r>
      <w:r>
        <w:rPr>
          <w:rFonts w:ascii="黑体" w:eastAsia="黑体"/>
          <w:bCs w:val="0"/>
          <w:color w:val="000000" w:themeColor="text1"/>
          <w:sz w:val="24"/>
          <w14:textFill>
            <w14:solidFill>
              <w14:schemeClr w14:val="tx1"/>
            </w14:solidFill>
          </w14:textFill>
        </w:rPr>
        <w:t>、</w:t>
      </w:r>
      <w:r>
        <w:rPr>
          <w:rFonts w:hint="eastAsia" w:ascii="黑体" w:eastAsia="黑体"/>
          <w:bCs w:val="0"/>
          <w:color w:val="000000" w:themeColor="text1"/>
          <w:sz w:val="24"/>
          <w14:textFill>
            <w14:solidFill>
              <w14:schemeClr w14:val="tx1"/>
            </w14:solidFill>
          </w14:textFill>
        </w:rPr>
        <w:t>投标人认为需要加以说明的其他内容（格式自定）</w:t>
      </w:r>
    </w:p>
    <w:p w14:paraId="495E4993">
      <w:pPr>
        <w:rPr>
          <w:rFonts w:asciiTheme="majorEastAsia" w:hAnsiTheme="majorEastAsia" w:eastAsiaTheme="majorEastAsia" w:cstheme="majorEastAsia"/>
          <w:b/>
          <w:bCs/>
          <w:szCs w:val="20"/>
        </w:rPr>
      </w:pPr>
      <w:r>
        <w:rPr>
          <w:rFonts w:hint="eastAsia" w:asciiTheme="majorEastAsia" w:hAnsiTheme="majorEastAsia" w:eastAsiaTheme="majorEastAsia" w:cstheme="majorEastAsia"/>
          <w:b/>
          <w:bCs/>
          <w:szCs w:val="20"/>
        </w:rPr>
        <w:t>（1）政府采购违法行为风险知悉确认书</w:t>
      </w:r>
    </w:p>
    <w:p w14:paraId="5B0BB0E5">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80E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BBE0F56">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序号</w:t>
            </w:r>
          </w:p>
        </w:tc>
        <w:tc>
          <w:tcPr>
            <w:tcW w:w="7811" w:type="dxa"/>
          </w:tcPr>
          <w:p w14:paraId="774B6539">
            <w:pPr>
              <w:widowControl w:val="0"/>
              <w:spacing w:line="400" w:lineRule="exact"/>
              <w:jc w:val="center"/>
              <w:rPr>
                <w:rFonts w:ascii="宋体" w:hAnsi="宋体" w:eastAsia="宋体" w:cs="宋体"/>
                <w:sz w:val="21"/>
                <w:szCs w:val="18"/>
                <w:highlight w:val="yellow"/>
              </w:rPr>
            </w:pPr>
            <w:r>
              <w:rPr>
                <w:rFonts w:hint="eastAsia" w:ascii="宋体" w:hAnsi="宋体" w:eastAsia="宋体" w:cs="宋体"/>
                <w:b/>
                <w:bCs/>
                <w:sz w:val="21"/>
                <w:szCs w:val="18"/>
                <w:highlight w:val="yellow"/>
              </w:rPr>
              <w:t>供应商参与投标禁止情形</w:t>
            </w:r>
          </w:p>
        </w:tc>
      </w:tr>
      <w:tr w14:paraId="7E5A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39F383B">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1</w:t>
            </w:r>
          </w:p>
        </w:tc>
        <w:tc>
          <w:tcPr>
            <w:tcW w:w="7811" w:type="dxa"/>
            <w:vAlign w:val="center"/>
          </w:tcPr>
          <w:p w14:paraId="4D780AEE">
            <w:pPr>
              <w:widowControl w:val="0"/>
              <w:spacing w:line="400" w:lineRule="exact"/>
              <w:jc w:val="left"/>
              <w:rPr>
                <w:rFonts w:ascii="宋体" w:hAnsi="宋体" w:eastAsia="宋体" w:cs="宋体"/>
                <w:sz w:val="21"/>
                <w:szCs w:val="18"/>
                <w:highlight w:val="yellow"/>
              </w:rPr>
            </w:pPr>
            <w:r>
              <w:rPr>
                <w:rFonts w:hint="eastAsia" w:ascii="宋体" w:hAnsi="宋体" w:eastAsia="宋体" w:cs="宋体"/>
                <w:sz w:val="21"/>
                <w:szCs w:val="18"/>
                <w:highlight w:val="yellow"/>
              </w:rPr>
              <w:t>与其他投标供应商的法定代表人、主要经营负责人、投标授权代表人、项目负责人、主要技术人员为</w:t>
            </w:r>
            <w:r>
              <w:rPr>
                <w:rFonts w:hint="eastAsia" w:ascii="宋体" w:hAnsi="宋体" w:eastAsia="宋体" w:cs="宋体"/>
                <w:b/>
                <w:bCs/>
                <w:sz w:val="21"/>
                <w:szCs w:val="18"/>
                <w:highlight w:val="yellow"/>
              </w:rPr>
              <w:t>同一人、属同一单位或者在同一单位缴纳社会保险</w:t>
            </w:r>
            <w:r>
              <w:rPr>
                <w:rFonts w:hint="eastAsia" w:ascii="宋体" w:hAnsi="宋体" w:eastAsia="宋体" w:cs="宋体"/>
                <w:sz w:val="21"/>
                <w:szCs w:val="18"/>
                <w:highlight w:val="yellow"/>
              </w:rPr>
              <w:t>。</w:t>
            </w:r>
          </w:p>
        </w:tc>
      </w:tr>
      <w:tr w14:paraId="6A2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F059F7A">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2</w:t>
            </w:r>
          </w:p>
        </w:tc>
        <w:tc>
          <w:tcPr>
            <w:tcW w:w="7811" w:type="dxa"/>
            <w:vAlign w:val="center"/>
          </w:tcPr>
          <w:p w14:paraId="452D7881">
            <w:pPr>
              <w:widowControl w:val="0"/>
              <w:spacing w:line="400" w:lineRule="exact"/>
              <w:jc w:val="left"/>
              <w:rPr>
                <w:rFonts w:ascii="宋体" w:hAnsi="宋体" w:eastAsia="宋体" w:cs="宋体"/>
                <w:sz w:val="21"/>
                <w:szCs w:val="18"/>
                <w:highlight w:val="yellow"/>
              </w:rPr>
            </w:pPr>
            <w:r>
              <w:rPr>
                <w:rFonts w:hint="eastAsia" w:ascii="宋体" w:hAnsi="宋体" w:eastAsia="宋体" w:cs="宋体"/>
                <w:sz w:val="21"/>
                <w:szCs w:val="18"/>
                <w:highlight w:val="yellow"/>
              </w:rPr>
              <w:t>参与本项目政府采购活动时，与其他投标供应商存在单位负责人为</w:t>
            </w:r>
            <w:r>
              <w:rPr>
                <w:rFonts w:hint="eastAsia" w:ascii="宋体" w:hAnsi="宋体" w:eastAsia="宋体" w:cs="宋体"/>
                <w:b/>
                <w:bCs/>
                <w:sz w:val="21"/>
                <w:szCs w:val="18"/>
                <w:highlight w:val="yellow"/>
              </w:rPr>
              <w:t>同一人或直接控股、管理关系</w:t>
            </w:r>
            <w:r>
              <w:rPr>
                <w:rFonts w:hint="eastAsia" w:ascii="宋体" w:hAnsi="宋体" w:eastAsia="宋体" w:cs="宋体"/>
                <w:sz w:val="21"/>
                <w:szCs w:val="18"/>
                <w:highlight w:val="yellow"/>
              </w:rPr>
              <w:t>。</w:t>
            </w:r>
          </w:p>
        </w:tc>
      </w:tr>
      <w:tr w14:paraId="542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758E6843">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3</w:t>
            </w:r>
          </w:p>
        </w:tc>
        <w:tc>
          <w:tcPr>
            <w:tcW w:w="7811" w:type="dxa"/>
            <w:vAlign w:val="center"/>
          </w:tcPr>
          <w:p w14:paraId="37F45E14">
            <w:pPr>
              <w:widowControl w:val="0"/>
              <w:spacing w:line="400" w:lineRule="exact"/>
              <w:jc w:val="left"/>
              <w:rPr>
                <w:rFonts w:ascii="宋体" w:hAnsi="宋体" w:eastAsia="宋体" w:cs="宋体"/>
                <w:sz w:val="21"/>
                <w:szCs w:val="18"/>
                <w:highlight w:val="yellow"/>
              </w:rPr>
            </w:pPr>
            <w:r>
              <w:rPr>
                <w:rFonts w:hint="eastAsia" w:ascii="宋体" w:hAnsi="宋体" w:eastAsia="宋体" w:cs="宋体"/>
                <w:sz w:val="21"/>
                <w:szCs w:val="18"/>
                <w:highlight w:val="yellow"/>
              </w:rPr>
              <w:t>与其他投标供应商的投标文件或部分投标文件</w:t>
            </w:r>
            <w:r>
              <w:rPr>
                <w:rFonts w:hint="eastAsia" w:ascii="宋体" w:hAnsi="宋体" w:eastAsia="宋体" w:cs="宋体"/>
                <w:b/>
                <w:bCs/>
                <w:sz w:val="21"/>
                <w:szCs w:val="18"/>
                <w:highlight w:val="yellow"/>
              </w:rPr>
              <w:t>相互混装或存在非正常一致</w:t>
            </w:r>
            <w:r>
              <w:rPr>
                <w:rFonts w:hint="eastAsia" w:ascii="宋体" w:hAnsi="宋体" w:eastAsia="宋体" w:cs="宋体"/>
                <w:sz w:val="21"/>
                <w:szCs w:val="18"/>
                <w:highlight w:val="yellow"/>
              </w:rPr>
              <w:t>。</w:t>
            </w:r>
          </w:p>
        </w:tc>
      </w:tr>
      <w:tr w14:paraId="5269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F62FFA6">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4</w:t>
            </w:r>
          </w:p>
        </w:tc>
        <w:tc>
          <w:tcPr>
            <w:tcW w:w="7811" w:type="dxa"/>
            <w:vAlign w:val="center"/>
          </w:tcPr>
          <w:p w14:paraId="29FA8916">
            <w:pPr>
              <w:widowControl w:val="0"/>
              <w:spacing w:line="400" w:lineRule="exact"/>
              <w:jc w:val="left"/>
              <w:rPr>
                <w:rFonts w:ascii="宋体" w:hAnsi="宋体" w:eastAsia="宋体" w:cs="宋体"/>
                <w:sz w:val="21"/>
                <w:szCs w:val="18"/>
                <w:highlight w:val="yellow"/>
              </w:rPr>
            </w:pPr>
            <w:r>
              <w:rPr>
                <w:rFonts w:hint="eastAsia" w:ascii="宋体" w:hAnsi="宋体" w:eastAsia="宋体" w:cs="宋体"/>
                <w:sz w:val="21"/>
                <w:szCs w:val="18"/>
                <w:highlight w:val="yellow"/>
              </w:rPr>
              <w:t>与其他投标供应商的投标文件由</w:t>
            </w:r>
            <w:r>
              <w:rPr>
                <w:rFonts w:hint="eastAsia" w:ascii="宋体" w:hAnsi="宋体" w:eastAsia="宋体" w:cs="宋体"/>
                <w:b/>
                <w:bCs/>
                <w:sz w:val="21"/>
                <w:szCs w:val="18"/>
                <w:highlight w:val="yellow"/>
              </w:rPr>
              <w:t>同一单位或者同一人编制</w:t>
            </w:r>
            <w:r>
              <w:rPr>
                <w:rFonts w:hint="eastAsia" w:ascii="宋体" w:hAnsi="宋体" w:eastAsia="宋体" w:cs="宋体"/>
                <w:sz w:val="21"/>
                <w:szCs w:val="18"/>
                <w:highlight w:val="yellow"/>
              </w:rPr>
              <w:t>，或者使用</w:t>
            </w:r>
            <w:r>
              <w:rPr>
                <w:rFonts w:hint="eastAsia" w:ascii="宋体" w:hAnsi="宋体" w:eastAsia="宋体" w:cs="宋体"/>
                <w:b/>
                <w:bCs/>
                <w:sz w:val="21"/>
                <w:szCs w:val="18"/>
                <w:highlight w:val="yellow"/>
              </w:rPr>
              <w:t>同一设备编制</w:t>
            </w:r>
            <w:r>
              <w:rPr>
                <w:rFonts w:hint="eastAsia" w:ascii="宋体" w:hAnsi="宋体" w:eastAsia="宋体" w:cs="宋体"/>
                <w:sz w:val="21"/>
                <w:szCs w:val="18"/>
                <w:highlight w:val="yellow"/>
              </w:rPr>
              <w:t>（“文件制作机器码”“文件创建标识码”一致）。</w:t>
            </w:r>
          </w:p>
        </w:tc>
      </w:tr>
      <w:tr w14:paraId="6E63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58FD157">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5</w:t>
            </w:r>
          </w:p>
        </w:tc>
        <w:tc>
          <w:tcPr>
            <w:tcW w:w="7811" w:type="dxa"/>
            <w:vAlign w:val="center"/>
          </w:tcPr>
          <w:p w14:paraId="76B7C94F">
            <w:pPr>
              <w:widowControl w:val="0"/>
              <w:spacing w:line="400" w:lineRule="exact"/>
              <w:jc w:val="left"/>
              <w:rPr>
                <w:rFonts w:ascii="宋体" w:hAnsi="宋体" w:eastAsia="宋体" w:cs="宋体"/>
                <w:sz w:val="21"/>
                <w:szCs w:val="18"/>
                <w:highlight w:val="yellow"/>
              </w:rPr>
            </w:pPr>
            <w:r>
              <w:rPr>
                <w:rFonts w:hint="eastAsia" w:ascii="宋体" w:hAnsi="宋体" w:eastAsia="宋体" w:cs="宋体"/>
                <w:sz w:val="21"/>
                <w:szCs w:val="18"/>
                <w:highlight w:val="yellow"/>
              </w:rPr>
              <w:t>提供</w:t>
            </w:r>
            <w:r>
              <w:rPr>
                <w:rFonts w:hint="eastAsia" w:ascii="宋体" w:hAnsi="宋体" w:eastAsia="宋体" w:cs="宋体"/>
                <w:b/>
                <w:bCs/>
                <w:sz w:val="21"/>
                <w:szCs w:val="18"/>
                <w:highlight w:val="yellow"/>
              </w:rPr>
              <w:t>未经出具机构核实</w:t>
            </w:r>
            <w:r>
              <w:rPr>
                <w:rFonts w:hint="eastAsia" w:ascii="宋体" w:hAnsi="宋体" w:eastAsia="宋体" w:cs="宋体"/>
                <w:sz w:val="21"/>
                <w:szCs w:val="18"/>
                <w:highlight w:val="yellow"/>
              </w:rPr>
              <w:t>的虚假的检验检测报告、业绩材料、社保缴纳证明、学历学位证书、职称认证证书等材料。</w:t>
            </w:r>
          </w:p>
        </w:tc>
      </w:tr>
      <w:tr w14:paraId="6F51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63F57AA">
            <w:pPr>
              <w:widowControl w:val="0"/>
              <w:spacing w:line="400" w:lineRule="exact"/>
              <w:jc w:val="center"/>
              <w:rPr>
                <w:rFonts w:ascii="宋体" w:hAnsi="宋体" w:eastAsia="宋体" w:cs="宋体"/>
                <w:sz w:val="21"/>
                <w:szCs w:val="18"/>
                <w:highlight w:val="yellow"/>
              </w:rPr>
            </w:pPr>
            <w:r>
              <w:rPr>
                <w:rFonts w:hint="eastAsia" w:ascii="宋体" w:hAnsi="宋体" w:eastAsia="宋体" w:cs="宋体"/>
                <w:sz w:val="21"/>
                <w:szCs w:val="18"/>
                <w:highlight w:val="yellow"/>
              </w:rPr>
              <w:t>6</w:t>
            </w:r>
          </w:p>
        </w:tc>
        <w:tc>
          <w:tcPr>
            <w:tcW w:w="7811" w:type="dxa"/>
            <w:vAlign w:val="center"/>
          </w:tcPr>
          <w:p w14:paraId="23D17030">
            <w:pPr>
              <w:widowControl w:val="0"/>
              <w:spacing w:line="400" w:lineRule="exact"/>
              <w:jc w:val="left"/>
              <w:rPr>
                <w:rFonts w:ascii="宋体" w:hAnsi="宋体" w:eastAsia="宋体" w:cs="宋体"/>
                <w:sz w:val="21"/>
                <w:szCs w:val="18"/>
                <w:highlight w:val="yellow"/>
              </w:rPr>
            </w:pPr>
            <w:r>
              <w:rPr>
                <w:rFonts w:hint="eastAsia" w:ascii="宋体" w:hAnsi="宋体" w:eastAsia="宋体" w:cs="宋体"/>
                <w:sz w:val="21"/>
                <w:szCs w:val="18"/>
                <w:highlight w:val="yellow"/>
              </w:rPr>
              <w:t>擅自将投标密钥或电子营业执照出借他人使用或未妥善保管。</w:t>
            </w:r>
          </w:p>
        </w:tc>
      </w:tr>
    </w:tbl>
    <w:p w14:paraId="19BB2AC9">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本公司在投标前已充分知悉以下情形为参与政府采购活动时的重大风险事项，并承诺已对下述风险提示事项重点排查，做到严谨、诚信、依法依规参与政府采购活动。</w:t>
      </w:r>
    </w:p>
    <w:p w14:paraId="2936E1F9">
      <w:pPr>
        <w:ind w:firstLine="404" w:firstLineChars="200"/>
        <w:rPr>
          <w:rFonts w:ascii="宋体" w:hAnsi="宋体" w:eastAsia="宋体" w:cs="宋体"/>
          <w:b/>
          <w:bCs/>
          <w:sz w:val="21"/>
          <w:szCs w:val="21"/>
          <w:highlight w:val="yellow"/>
        </w:rPr>
      </w:pPr>
      <w:r>
        <w:rPr>
          <w:rFonts w:hint="eastAsia" w:ascii="宋体" w:hAnsi="宋体" w:eastAsia="宋体" w:cs="宋体"/>
          <w:b/>
          <w:bCs/>
          <w:sz w:val="21"/>
          <w:szCs w:val="21"/>
          <w:highlight w:val="yellow"/>
        </w:rPr>
        <w:t>一、本公司已充分知悉“隐瞒真实情况，提供虚假资料”的法定情形，相关情形包括但不限于：</w:t>
      </w:r>
    </w:p>
    <w:p w14:paraId="271E99B7">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（一）通过转让或者租借等方式从其他单位获取资格或者资质证书投标的。</w:t>
      </w:r>
    </w:p>
    <w:p w14:paraId="4C97E5BC">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（二）由其他单位或者其他单位负责人在投标供应商编制的投标文件上加盖印章或者签字的。</w:t>
      </w:r>
    </w:p>
    <w:p w14:paraId="4C4F1CA7">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（三）项目负责人或者主要技术人员不是本单位人员的。</w:t>
      </w:r>
    </w:p>
    <w:p w14:paraId="019B8E6C">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（四）投标保证金不是从投标供应商基本账户转出的。</w:t>
      </w:r>
    </w:p>
    <w:p w14:paraId="1EE5F62E">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（五）其他隐瞒真实情况、提供虚假资料的行为。</w:t>
      </w:r>
    </w:p>
    <w:p w14:paraId="1E57F126">
      <w:pPr>
        <w:ind w:firstLine="404" w:firstLineChars="200"/>
        <w:rPr>
          <w:rFonts w:ascii="宋体" w:hAnsi="宋体" w:eastAsia="宋体" w:cs="宋体"/>
          <w:b/>
          <w:bCs/>
          <w:sz w:val="21"/>
          <w:szCs w:val="21"/>
          <w:highlight w:val="yellow"/>
        </w:rPr>
      </w:pPr>
      <w:r>
        <w:rPr>
          <w:rFonts w:hint="eastAsia" w:ascii="宋体" w:hAnsi="宋体" w:eastAsia="宋体" w:cs="宋体"/>
          <w:b/>
          <w:bCs/>
          <w:sz w:val="21"/>
          <w:szCs w:val="21"/>
          <w:highlight w:val="yellow"/>
        </w:rPr>
        <w:t>二、本公司已充分知悉“与其他采购参加人串通投标”的法定情形，相关情形包括但不限于：</w:t>
      </w:r>
    </w:p>
    <w:p w14:paraId="7B802AF6">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（一）投标供应商之间相互约定给予未中标的供应商利益补偿。</w:t>
      </w:r>
    </w:p>
    <w:p w14:paraId="14909921">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（二）不同投标供应商的法定代表人、主要经营负责人、项目投标授权代表人、项目负责人、主要技术人员为同一人、属同一单位或者在同一单位缴纳社会保险。</w:t>
      </w:r>
    </w:p>
    <w:p w14:paraId="7536EEB4">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（三）不同投标供应商的投标文件由同一单位或者同一人编制，或者由同一人分阶段参与编制的。</w:t>
      </w:r>
    </w:p>
    <w:p w14:paraId="1AA058B3">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（四）不同投标供应商的投标文件或部分投标文件相互混装。</w:t>
      </w:r>
    </w:p>
    <w:p w14:paraId="20797A70">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（五）不同投标供应商的投标文件内容存在非正常一致。</w:t>
      </w:r>
    </w:p>
    <w:p w14:paraId="012328A7">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（六）由同一单位工作人员为两家以上（含两家）供应商进行同一项投标活动的。</w:t>
      </w:r>
    </w:p>
    <w:p w14:paraId="17FCB0AC">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（七）不同投标人的投标报价呈规律性差异。</w:t>
      </w:r>
    </w:p>
    <w:p w14:paraId="6CFEA6FF">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（八）不同投标人的投标保证金从同一单位或者个人的账户转出。</w:t>
      </w:r>
    </w:p>
    <w:p w14:paraId="301CECE3">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（九）主管部门依照法律、法规认定的其他情形。</w:t>
      </w:r>
    </w:p>
    <w:p w14:paraId="025966AE">
      <w:pPr>
        <w:ind w:firstLine="404" w:firstLineChars="200"/>
        <w:rPr>
          <w:rFonts w:ascii="宋体" w:hAnsi="宋体" w:eastAsia="宋体" w:cs="宋体"/>
          <w:b/>
          <w:bCs/>
          <w:sz w:val="21"/>
          <w:szCs w:val="21"/>
          <w:highlight w:val="yellow"/>
        </w:rPr>
      </w:pPr>
      <w:r>
        <w:rPr>
          <w:rFonts w:hint="eastAsia" w:ascii="宋体" w:hAnsi="宋体" w:eastAsia="宋体" w:cs="宋体"/>
          <w:b/>
          <w:bCs/>
          <w:sz w:val="21"/>
          <w:szCs w:val="21"/>
          <w:highlight w:val="yellow"/>
        </w:rPr>
        <w:t>三、本公司已充分知悉下列情形所对应的法律风险，并在投标前已对相关风险事项进行排查。</w:t>
      </w:r>
    </w:p>
    <w:p w14:paraId="48152F56">
      <w:pPr>
        <w:autoSpaceDE w:val="0"/>
        <w:autoSpaceDN w:val="0"/>
        <w:ind w:firstLine="388" w:firstLineChars="200"/>
        <w:rPr>
          <w:rFonts w:ascii="宋体" w:hAnsi="宋体" w:eastAsia="宋体" w:cs="宋体"/>
          <w:b/>
          <w:bCs/>
          <w:spacing w:val="-4"/>
          <w:sz w:val="21"/>
          <w:szCs w:val="21"/>
          <w:highlight w:val="yellow"/>
        </w:rPr>
      </w:pPr>
      <w:r>
        <w:rPr>
          <w:rFonts w:hint="eastAsia" w:ascii="宋体" w:hAnsi="宋体" w:eastAsia="宋体" w:cs="宋体"/>
          <w:spacing w:val="-4"/>
          <w:sz w:val="21"/>
          <w:szCs w:val="21"/>
          <w:highlight w:val="yellow"/>
        </w:rPr>
        <w:t>（一）对于从其他主体获取的投标资料，供应商应审慎核查，确保投标资料的真实性。</w:t>
      </w:r>
      <w:r>
        <w:rPr>
          <w:rFonts w:hint="eastAsia" w:ascii="宋体" w:hAnsi="宋体" w:eastAsia="宋体" w:cs="宋体"/>
          <w:b/>
          <w:bCs/>
          <w:spacing w:val="-4"/>
          <w:sz w:val="21"/>
          <w:szCs w:val="21"/>
          <w:highlight w:val="yellow"/>
        </w:rPr>
        <w:t>如主管部门查实投标文件中存在虚假资料的，无论相关资料是否由第三方或本公司员工提供，均不影响主管部门对供应商存在“隐瞒真实情况，提供虚假资料”违法行为的认定。</w:t>
      </w:r>
    </w:p>
    <w:p w14:paraId="07BEE827">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（二）对于涉及国家机关出具的公文、证件、证明材料等文件，一旦涉嫌虚假，经查实，主管部门将依法从严处理，并移送有关部门追究法律责任；涉嫌犯罪的，主管部门将一并移送司法机关追究法律责任。</w:t>
      </w:r>
    </w:p>
    <w:p w14:paraId="1973AD76">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（三）对于涉及安全生产、特种作业、抢险救灾、防疫等政府采购项目，供应商实施提供虚假资料、串通投标等违法行为的，主管部门将依法从严处理。</w:t>
      </w:r>
    </w:p>
    <w:p w14:paraId="2E0D395F">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09111C4">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BD59705">
      <w:pPr>
        <w:widowControl w:val="0"/>
        <w:autoSpaceDE w:val="0"/>
        <w:autoSpaceDN w:val="0"/>
        <w:ind w:firstLine="388" w:firstLineChars="200"/>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1B01955">
      <w:pPr>
        <w:widowControl w:val="0"/>
        <w:autoSpaceDE w:val="0"/>
        <w:autoSpaceDN w:val="0"/>
        <w:ind w:firstLine="404" w:firstLineChars="200"/>
        <w:rPr>
          <w:rFonts w:ascii="宋体" w:hAnsi="宋体" w:eastAsia="宋体" w:cs="宋体"/>
          <w:b/>
          <w:bCs/>
          <w:sz w:val="21"/>
          <w:szCs w:val="21"/>
          <w:highlight w:val="yellow"/>
        </w:rPr>
      </w:pPr>
      <w:r>
        <w:rPr>
          <w:rFonts w:hint="eastAsia" w:ascii="宋体" w:hAnsi="宋体" w:eastAsia="宋体" w:cs="宋体"/>
          <w:b/>
          <w:bCs/>
          <w:sz w:val="21"/>
          <w:szCs w:val="21"/>
          <w:highlight w:val="yellow"/>
        </w:rPr>
        <w:t>四、本公司已充分知悉政府采购违法、违规行为的法律后果。</w:t>
      </w:r>
    </w:p>
    <w:p w14:paraId="7D118298">
      <w:pPr>
        <w:widowControl w:val="0"/>
        <w:autoSpaceDE w:val="0"/>
        <w:autoSpaceDN w:val="0"/>
        <w:ind w:firstLine="388" w:firstLineChars="200"/>
        <w:rPr>
          <w:rFonts w:ascii="宋体" w:hAnsi="宋体" w:eastAsia="宋体" w:cs="宋体"/>
          <w:b/>
          <w:bCs/>
          <w:spacing w:val="-4"/>
          <w:sz w:val="21"/>
          <w:szCs w:val="21"/>
          <w:highlight w:val="yellow"/>
        </w:rPr>
      </w:pPr>
      <w:r>
        <w:rPr>
          <w:rFonts w:hint="eastAsia" w:ascii="宋体" w:hAnsi="宋体" w:eastAsia="宋体" w:cs="宋体"/>
          <w:spacing w:val="-4"/>
          <w:sz w:val="21"/>
          <w:szCs w:val="21"/>
          <w:highlight w:val="yellow"/>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bCs/>
          <w:spacing w:val="-4"/>
          <w:sz w:val="21"/>
          <w:szCs w:val="21"/>
          <w:highlight w:val="yellow"/>
        </w:rPr>
        <w:t>以下文字请投标供应商抄写并确认：“本公司已仔细阅读《政府采购违法行为风险知悉确认书》，充分知悉违法行为的法律后果，并承诺将严谨、诚信、依法依规参与政府采购活动”。</w:t>
      </w:r>
    </w:p>
    <w:tbl>
      <w:tblPr>
        <w:tblStyle w:val="17"/>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004824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CBAD7B1">
            <w:pPr>
              <w:widowControl w:val="0"/>
              <w:autoSpaceDE w:val="0"/>
              <w:autoSpaceDN w:val="0"/>
              <w:jc w:val="left"/>
              <w:rPr>
                <w:rFonts w:ascii="宋体" w:hAnsi="宋体" w:eastAsia="宋体" w:cs="宋体"/>
                <w:spacing w:val="-4"/>
                <w:sz w:val="21"/>
                <w:szCs w:val="21"/>
                <w:highlight w:val="green"/>
              </w:rPr>
            </w:pPr>
          </w:p>
        </w:tc>
      </w:tr>
      <w:tr w14:paraId="2BCBF32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CAD6AD0">
            <w:pPr>
              <w:widowControl w:val="0"/>
              <w:autoSpaceDE w:val="0"/>
              <w:autoSpaceDN w:val="0"/>
              <w:jc w:val="left"/>
              <w:rPr>
                <w:rFonts w:ascii="宋体" w:hAnsi="宋体" w:eastAsia="宋体" w:cs="宋体"/>
                <w:spacing w:val="-4"/>
                <w:sz w:val="21"/>
                <w:szCs w:val="21"/>
                <w:highlight w:val="green"/>
              </w:rPr>
            </w:pPr>
          </w:p>
        </w:tc>
      </w:tr>
      <w:tr w14:paraId="61826D8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829B38C">
            <w:pPr>
              <w:widowControl w:val="0"/>
              <w:autoSpaceDE w:val="0"/>
              <w:autoSpaceDN w:val="0"/>
              <w:jc w:val="left"/>
              <w:rPr>
                <w:rFonts w:ascii="宋体" w:hAnsi="宋体" w:eastAsia="宋体" w:cs="宋体"/>
                <w:spacing w:val="-4"/>
                <w:sz w:val="21"/>
                <w:szCs w:val="21"/>
                <w:highlight w:val="green"/>
              </w:rPr>
            </w:pPr>
          </w:p>
        </w:tc>
      </w:tr>
      <w:tr w14:paraId="6C454C2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C881AFF">
            <w:pPr>
              <w:widowControl w:val="0"/>
              <w:autoSpaceDE w:val="0"/>
              <w:autoSpaceDN w:val="0"/>
              <w:jc w:val="left"/>
              <w:rPr>
                <w:rFonts w:ascii="宋体" w:hAnsi="宋体" w:eastAsia="宋体" w:cs="宋体"/>
                <w:spacing w:val="-4"/>
                <w:sz w:val="21"/>
                <w:szCs w:val="21"/>
                <w:highlight w:val="green"/>
              </w:rPr>
            </w:pPr>
          </w:p>
        </w:tc>
      </w:tr>
    </w:tbl>
    <w:p w14:paraId="1133C861">
      <w:pPr>
        <w:widowControl w:val="0"/>
        <w:autoSpaceDE w:val="0"/>
        <w:autoSpaceDN w:val="0"/>
        <w:ind w:firstLine="388" w:firstLineChars="200"/>
        <w:rPr>
          <w:rFonts w:ascii="宋体" w:hAnsi="宋体" w:eastAsia="宋体" w:cs="宋体"/>
          <w:b/>
          <w:bCs/>
          <w:color w:val="FF0000"/>
          <w:spacing w:val="-4"/>
          <w:sz w:val="21"/>
          <w:szCs w:val="21"/>
          <w:highlight w:val="yellow"/>
        </w:rPr>
      </w:pPr>
      <w:r>
        <w:rPr>
          <w:rFonts w:hint="eastAsia" w:ascii="宋体" w:hAnsi="宋体" w:eastAsia="宋体" w:cs="宋体"/>
          <w:b/>
          <w:bCs/>
          <w:color w:val="FF0000"/>
          <w:spacing w:val="-4"/>
          <w:sz w:val="21"/>
          <w:szCs w:val="21"/>
          <w:highlight w:val="yellow"/>
        </w:rPr>
        <w:t>注：1.政府采购违法行为风险知悉确认书不作为资格性审查及符合性审查条件。</w:t>
      </w:r>
    </w:p>
    <w:p w14:paraId="1625FEB9">
      <w:pPr>
        <w:widowControl w:val="0"/>
        <w:autoSpaceDE w:val="0"/>
        <w:autoSpaceDN w:val="0"/>
        <w:ind w:firstLine="388" w:firstLineChars="200"/>
        <w:rPr>
          <w:rFonts w:ascii="宋体" w:hAnsi="宋体" w:eastAsia="宋体" w:cs="宋体"/>
          <w:color w:val="FF0000"/>
          <w:spacing w:val="-4"/>
          <w:sz w:val="21"/>
          <w:szCs w:val="21"/>
          <w:highlight w:val="yellow"/>
        </w:rPr>
      </w:pPr>
      <w:r>
        <w:rPr>
          <w:rFonts w:hint="eastAsia" w:ascii="宋体" w:hAnsi="宋体" w:eastAsia="宋体" w:cs="宋体"/>
          <w:b/>
          <w:bCs/>
          <w:color w:val="FF0000"/>
          <w:spacing w:val="-4"/>
          <w:sz w:val="21"/>
          <w:szCs w:val="21"/>
          <w:highlight w:val="yellow"/>
        </w:rPr>
        <w:t>2.投标供应商负责人或投标授权代表签字并加盖单位公章后，扫描上传至投标文件一并提交。</w:t>
      </w:r>
    </w:p>
    <w:p w14:paraId="6B89D084">
      <w:pPr>
        <w:widowControl w:val="0"/>
        <w:wordWrap w:val="0"/>
        <w:autoSpaceDE w:val="0"/>
        <w:autoSpaceDN w:val="0"/>
        <w:ind w:firstLine="388" w:firstLineChars="200"/>
        <w:jc w:val="right"/>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 xml:space="preserve">负责人/投标授权代表签名：     </w:t>
      </w:r>
    </w:p>
    <w:p w14:paraId="3BD5DC03">
      <w:pPr>
        <w:widowControl w:val="0"/>
        <w:wordWrap w:val="0"/>
        <w:autoSpaceDE w:val="0"/>
        <w:autoSpaceDN w:val="0"/>
        <w:ind w:firstLine="388" w:firstLineChars="200"/>
        <w:jc w:val="right"/>
        <w:rPr>
          <w:rFonts w:ascii="宋体" w:hAnsi="宋体" w:eastAsia="宋体" w:cs="宋体"/>
          <w:spacing w:val="-4"/>
          <w:sz w:val="21"/>
          <w:szCs w:val="21"/>
          <w:highlight w:val="yellow"/>
        </w:rPr>
      </w:pPr>
      <w:r>
        <w:rPr>
          <w:rFonts w:hint="eastAsia" w:ascii="宋体" w:hAnsi="宋体" w:eastAsia="宋体" w:cs="宋体"/>
          <w:spacing w:val="-4"/>
          <w:sz w:val="21"/>
          <w:szCs w:val="21"/>
          <w:highlight w:val="yellow"/>
        </w:rPr>
        <w:t xml:space="preserve">知悉人（公章）：     </w:t>
      </w:r>
    </w:p>
    <w:p w14:paraId="00FFA3EB">
      <w:pPr>
        <w:widowControl w:val="0"/>
        <w:wordWrap w:val="0"/>
        <w:autoSpaceDE w:val="0"/>
        <w:autoSpaceDN w:val="0"/>
        <w:ind w:firstLine="388" w:firstLineChars="200"/>
        <w:jc w:val="right"/>
        <w:rPr>
          <w:rFonts w:ascii="宋体" w:hAnsi="宋体" w:eastAsia="宋体" w:cs="宋体"/>
          <w:sz w:val="21"/>
          <w:szCs w:val="21"/>
          <w:highlight w:val="yellow"/>
        </w:rPr>
      </w:pPr>
      <w:r>
        <w:rPr>
          <w:rFonts w:hint="eastAsia" w:ascii="宋体" w:hAnsi="宋体" w:eastAsia="宋体" w:cs="宋体"/>
          <w:spacing w:val="-4"/>
          <w:sz w:val="21"/>
          <w:szCs w:val="21"/>
          <w:highlight w:val="yellow"/>
        </w:rPr>
        <w:t xml:space="preserve">日期：     </w:t>
      </w:r>
    </w:p>
    <w:p w14:paraId="392D0BED">
      <w:pPr>
        <w:widowControl w:val="0"/>
        <w:spacing w:line="360" w:lineRule="auto"/>
        <w:jc w:val="both"/>
        <w:rPr>
          <w:rFonts w:eastAsia="宋体"/>
          <w:b/>
          <w:bCs/>
          <w:kern w:val="2"/>
        </w:rPr>
      </w:pPr>
    </w:p>
    <w:p w14:paraId="665F5E01">
      <w:pPr>
        <w:rPr>
          <w:rFonts w:ascii="黑体" w:hAnsi="宋体" w:eastAsia="黑体"/>
          <w:szCs w:val="20"/>
        </w:rPr>
      </w:pPr>
    </w:p>
    <w:p w14:paraId="36B6003A">
      <w:pPr>
        <w:rPr>
          <w:rFonts w:asciiTheme="majorEastAsia" w:hAnsiTheme="majorEastAsia" w:eastAsiaTheme="majorEastAsia" w:cstheme="majorEastAsia"/>
          <w:b/>
          <w:bCs/>
        </w:rPr>
      </w:pPr>
      <w:r>
        <w:rPr>
          <w:rFonts w:hint="eastAsia" w:asciiTheme="majorEastAsia" w:hAnsiTheme="majorEastAsia" w:eastAsiaTheme="majorEastAsia" w:cstheme="majorEastAsia"/>
          <w:b/>
          <w:bCs/>
          <w:szCs w:val="20"/>
        </w:rPr>
        <w:t>（2）投标人认为需要加以说明的其他内容</w:t>
      </w:r>
    </w:p>
    <w:p w14:paraId="58F85EDA">
      <w:pPr>
        <w:pStyle w:val="6"/>
      </w:pPr>
    </w:p>
    <w:p w14:paraId="45DCF5A8"/>
    <w:p w14:paraId="551BA8F7">
      <w:pPr>
        <w:pStyle w:val="6"/>
      </w:pPr>
    </w:p>
    <w:p w14:paraId="0022796C"/>
    <w:p w14:paraId="509E9663">
      <w:pPr>
        <w:pStyle w:val="6"/>
      </w:pPr>
    </w:p>
    <w:p w14:paraId="1FA18EB1">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第五章  合同条款及格式</w:t>
      </w:r>
    </w:p>
    <w:p w14:paraId="50C0F94B">
      <w:pPr>
        <w:spacing w:line="360" w:lineRule="auto"/>
        <w:jc w:val="center"/>
        <w:rPr>
          <w:rFonts w:ascii="宋体" w:hAnsi="宋体" w:eastAsia="黑体"/>
          <w:bCs/>
          <w:kern w:val="44"/>
          <w:sz w:val="28"/>
          <w:szCs w:val="44"/>
        </w:rPr>
      </w:pPr>
      <w:bookmarkStart w:id="43" w:name="_Hlk72574405"/>
      <w:r>
        <w:rPr>
          <w:rFonts w:hint="eastAsia" w:ascii="宋体" w:hAnsi="宋体" w:eastAsia="宋体" w:cs="宋体"/>
          <w:b/>
        </w:rPr>
        <w:t>（仅供参考，具体以项目需求及采购结果为准）</w:t>
      </w:r>
      <w:bookmarkEnd w:id="43"/>
    </w:p>
    <w:p w14:paraId="3C59C5FC">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lang w:val="en-US" w:eastAsia="zh-CN"/>
        </w:rPr>
      </w:pPr>
    </w:p>
    <w:p w14:paraId="02DFB76F">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lang w:val="en-US" w:eastAsia="zh-CN"/>
        </w:rPr>
      </w:pPr>
    </w:p>
    <w:p w14:paraId="322EC7E4">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u w:val="single"/>
          <w:lang w:val="en-US" w:eastAsia="zh-CN"/>
        </w:rPr>
      </w:pPr>
      <w:r>
        <w:rPr>
          <w:rFonts w:hint="eastAsia" w:ascii="仿宋" w:hAnsi="仿宋" w:eastAsia="仿宋" w:cs="仿宋"/>
          <w:b/>
          <w:bCs/>
          <w:smallCaps w:val="0"/>
          <w:sz w:val="36"/>
          <w:szCs w:val="36"/>
          <w:highlight w:val="none"/>
          <w:lang w:val="en-US" w:eastAsia="zh-CN"/>
        </w:rPr>
        <w:t>合同编号 ：</w:t>
      </w:r>
      <w:r>
        <w:rPr>
          <w:rFonts w:hint="eastAsia" w:ascii="仿宋" w:hAnsi="仿宋" w:eastAsia="仿宋" w:cs="仿宋"/>
          <w:b/>
          <w:bCs/>
          <w:smallCaps w:val="0"/>
          <w:sz w:val="36"/>
          <w:szCs w:val="36"/>
          <w:highlight w:val="none"/>
          <w:u w:val="single"/>
          <w:lang w:val="en-US" w:eastAsia="zh-CN"/>
        </w:rPr>
        <w:t xml:space="preserve">                                   </w:t>
      </w:r>
    </w:p>
    <w:p w14:paraId="7AD91F51">
      <w:pPr>
        <w:pStyle w:val="2"/>
        <w:rPr>
          <w:rFonts w:hint="eastAsia" w:ascii="仿宋" w:hAnsi="仿宋" w:eastAsia="仿宋" w:cs="仿宋"/>
          <w:lang w:val="en-US" w:eastAsia="zh-CN"/>
        </w:rPr>
      </w:pPr>
    </w:p>
    <w:p w14:paraId="18954FEF">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u w:val="single"/>
          <w:lang w:val="en-US" w:eastAsia="zh-CN"/>
        </w:rPr>
      </w:pPr>
      <w:r>
        <w:rPr>
          <w:rFonts w:hint="eastAsia" w:ascii="仿宋" w:hAnsi="仿宋" w:eastAsia="仿宋" w:cs="仿宋"/>
          <w:b/>
          <w:bCs/>
          <w:smallCaps w:val="0"/>
          <w:sz w:val="36"/>
          <w:szCs w:val="36"/>
          <w:highlight w:val="none"/>
          <w:lang w:val="en-US" w:eastAsia="zh-CN"/>
        </w:rPr>
        <w:t>项目名称 ：</w:t>
      </w:r>
      <w:r>
        <w:rPr>
          <w:rFonts w:hint="eastAsia" w:ascii="仿宋" w:hAnsi="仿宋" w:eastAsia="仿宋" w:cs="仿宋"/>
          <w:b/>
          <w:bCs/>
          <w:smallCaps w:val="0"/>
          <w:sz w:val="36"/>
          <w:szCs w:val="36"/>
          <w:highlight w:val="none"/>
          <w:u w:val="single"/>
          <w:lang w:val="en-US" w:eastAsia="zh-CN"/>
        </w:rPr>
        <w:t xml:space="preserve">2026年深圳市公安局监所管理支队食材 </w:t>
      </w:r>
    </w:p>
    <w:p w14:paraId="059FE394">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u w:val="single"/>
          <w:lang w:val="en-US" w:eastAsia="zh-CN"/>
        </w:rPr>
      </w:pPr>
    </w:p>
    <w:p w14:paraId="3597C581">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firstLine="1760" w:firstLineChars="500"/>
        <w:jc w:val="both"/>
        <w:textAlignment w:val="auto"/>
        <w:rPr>
          <w:rFonts w:hint="eastAsia" w:ascii="仿宋" w:hAnsi="仿宋" w:eastAsia="仿宋" w:cs="仿宋"/>
          <w:b/>
          <w:bCs/>
          <w:smallCaps w:val="0"/>
          <w:sz w:val="36"/>
          <w:szCs w:val="36"/>
          <w:highlight w:val="none"/>
          <w:u w:val="single"/>
          <w:lang w:val="en-US" w:eastAsia="zh-CN"/>
        </w:rPr>
      </w:pPr>
      <w:r>
        <w:rPr>
          <w:rFonts w:hint="eastAsia" w:ascii="仿宋" w:hAnsi="仿宋" w:eastAsia="仿宋" w:cs="仿宋"/>
          <w:b/>
          <w:bCs/>
          <w:smallCaps w:val="0"/>
          <w:sz w:val="36"/>
          <w:szCs w:val="36"/>
          <w:highlight w:val="none"/>
          <w:u w:val="single"/>
          <w:lang w:val="en-US" w:eastAsia="zh-CN"/>
        </w:rPr>
        <w:t xml:space="preserve">配送服务项目                        </w:t>
      </w:r>
    </w:p>
    <w:p w14:paraId="20B22F63">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lang w:val="en-US" w:eastAsia="zh-CN"/>
        </w:rPr>
      </w:pPr>
    </w:p>
    <w:p w14:paraId="778669E7">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u w:val="single"/>
          <w:lang w:val="en-US" w:eastAsia="zh-CN"/>
        </w:rPr>
      </w:pPr>
      <w:r>
        <w:rPr>
          <w:rFonts w:hint="eastAsia" w:ascii="仿宋" w:hAnsi="仿宋" w:eastAsia="仿宋" w:cs="仿宋"/>
          <w:b/>
          <w:bCs/>
          <w:smallCaps w:val="0"/>
          <w:sz w:val="36"/>
          <w:szCs w:val="36"/>
          <w:highlight w:val="none"/>
          <w:lang w:val="en-US" w:eastAsia="zh-CN"/>
        </w:rPr>
        <w:t>采 购 人 ：</w:t>
      </w:r>
      <w:r>
        <w:rPr>
          <w:rFonts w:hint="eastAsia" w:ascii="仿宋" w:hAnsi="仿宋" w:eastAsia="仿宋" w:cs="仿宋"/>
          <w:b/>
          <w:bCs/>
          <w:smallCaps w:val="0"/>
          <w:sz w:val="36"/>
          <w:szCs w:val="36"/>
          <w:highlight w:val="none"/>
          <w:u w:val="single"/>
          <w:lang w:val="en-US" w:eastAsia="zh-CN"/>
        </w:rPr>
        <w:t xml:space="preserve">     深圳市公安局监所管理支队      </w:t>
      </w:r>
    </w:p>
    <w:p w14:paraId="15B19321">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lang w:val="en-US" w:eastAsia="zh-CN"/>
        </w:rPr>
      </w:pPr>
      <w:r>
        <w:rPr>
          <w:rFonts w:hint="eastAsia" w:ascii="仿宋" w:hAnsi="仿宋" w:eastAsia="仿宋" w:cs="仿宋"/>
          <w:b/>
          <w:bCs/>
          <w:smallCaps w:val="0"/>
          <w:sz w:val="36"/>
          <w:szCs w:val="36"/>
          <w:highlight w:val="none"/>
          <w:lang w:val="en-US" w:eastAsia="zh-CN"/>
        </w:rPr>
        <w:t xml:space="preserve">   </w:t>
      </w:r>
    </w:p>
    <w:p w14:paraId="4FAFCE45">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lang w:val="en-US" w:eastAsia="zh-CN"/>
        </w:rPr>
      </w:pPr>
      <w:r>
        <w:rPr>
          <w:rFonts w:hint="eastAsia" w:ascii="仿宋" w:hAnsi="仿宋" w:eastAsia="仿宋" w:cs="仿宋"/>
          <w:b/>
          <w:bCs/>
          <w:smallCaps w:val="0"/>
          <w:sz w:val="36"/>
          <w:szCs w:val="36"/>
          <w:highlight w:val="none"/>
          <w:lang w:val="en-US" w:eastAsia="zh-CN"/>
        </w:rPr>
        <w:t>供 应 商 ：</w:t>
      </w:r>
      <w:r>
        <w:rPr>
          <w:rFonts w:hint="eastAsia" w:ascii="仿宋" w:hAnsi="仿宋" w:eastAsia="仿宋" w:cs="仿宋"/>
          <w:b/>
          <w:bCs/>
          <w:smallCaps w:val="0"/>
          <w:sz w:val="36"/>
          <w:szCs w:val="36"/>
          <w:highlight w:val="none"/>
          <w:u w:val="single"/>
          <w:lang w:val="en-US" w:eastAsia="zh-CN"/>
        </w:rPr>
        <w:t xml:space="preserve">                                   </w:t>
      </w:r>
    </w:p>
    <w:p w14:paraId="4E2BB133">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lang w:val="en-US" w:eastAsia="zh-CN"/>
        </w:rPr>
      </w:pPr>
    </w:p>
    <w:p w14:paraId="09703CFF">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jc w:val="both"/>
        <w:textAlignment w:val="auto"/>
        <w:rPr>
          <w:rFonts w:hint="eastAsia" w:ascii="仿宋" w:hAnsi="仿宋" w:eastAsia="仿宋" w:cs="仿宋"/>
          <w:b/>
          <w:bCs/>
          <w:smallCaps w:val="0"/>
          <w:sz w:val="36"/>
          <w:szCs w:val="36"/>
          <w:highlight w:val="none"/>
          <w:u w:val="single"/>
          <w:lang w:val="en-US" w:eastAsia="zh-CN"/>
        </w:rPr>
      </w:pPr>
      <w:r>
        <w:rPr>
          <w:rFonts w:hint="eastAsia" w:ascii="仿宋" w:hAnsi="仿宋" w:eastAsia="仿宋" w:cs="仿宋"/>
          <w:b/>
          <w:bCs/>
          <w:smallCaps w:val="0"/>
          <w:sz w:val="36"/>
          <w:szCs w:val="36"/>
          <w:highlight w:val="none"/>
          <w:lang w:val="en-US" w:eastAsia="zh-CN"/>
        </w:rPr>
        <w:t>签订日期 ：</w:t>
      </w:r>
      <w:r>
        <w:rPr>
          <w:rFonts w:hint="eastAsia" w:ascii="仿宋" w:hAnsi="仿宋" w:eastAsia="仿宋" w:cs="仿宋"/>
          <w:b/>
          <w:bCs/>
          <w:smallCaps w:val="0"/>
          <w:sz w:val="36"/>
          <w:szCs w:val="36"/>
          <w:highlight w:val="none"/>
          <w:u w:val="single"/>
          <w:lang w:val="en-US" w:eastAsia="zh-CN"/>
        </w:rPr>
        <w:t xml:space="preserve">                                   </w:t>
      </w:r>
    </w:p>
    <w:p w14:paraId="5564CFE7">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firstLine="1056" w:firstLineChars="300"/>
        <w:jc w:val="both"/>
        <w:textAlignment w:val="auto"/>
        <w:rPr>
          <w:rFonts w:hint="eastAsia" w:ascii="仿宋" w:hAnsi="仿宋" w:eastAsia="仿宋" w:cs="仿宋"/>
          <w:smallCaps w:val="0"/>
          <w:sz w:val="36"/>
          <w:szCs w:val="36"/>
          <w:highlight w:val="none"/>
          <w:lang w:val="en-US" w:eastAsia="zh-CN"/>
        </w:rPr>
      </w:pPr>
      <w:r>
        <w:rPr>
          <w:rFonts w:hint="eastAsia" w:ascii="仿宋" w:hAnsi="仿宋" w:eastAsia="仿宋" w:cs="仿宋"/>
          <w:b/>
          <w:bCs/>
          <w:smallCaps w:val="0"/>
          <w:sz w:val="36"/>
          <w:szCs w:val="36"/>
          <w:highlight w:val="none"/>
          <w:lang w:val="en-US" w:eastAsia="zh-CN"/>
        </w:rPr>
        <w:t xml:space="preserve">                             </w:t>
      </w:r>
      <w:r>
        <w:rPr>
          <w:rFonts w:hint="eastAsia" w:ascii="仿宋" w:hAnsi="仿宋" w:eastAsia="仿宋" w:cs="仿宋"/>
          <w:smallCaps w:val="0"/>
          <w:sz w:val="36"/>
          <w:szCs w:val="36"/>
          <w:highlight w:val="none"/>
          <w:lang w:val="en-US" w:eastAsia="zh-CN"/>
        </w:rPr>
        <w:t xml:space="preserve"> </w:t>
      </w:r>
    </w:p>
    <w:p w14:paraId="3F04F386">
      <w:pPr>
        <w:autoSpaceDE w:val="0"/>
        <w:autoSpaceDN w:val="0"/>
        <w:adjustRightInd w:val="0"/>
        <w:spacing w:beforeLines="0" w:afterLines="0" w:line="560" w:lineRule="exact"/>
        <w:jc w:val="both"/>
        <w:rPr>
          <w:rFonts w:hint="eastAsia" w:ascii="仿宋" w:hAnsi="仿宋" w:eastAsia="仿宋" w:cs="仿宋"/>
          <w:smallCaps w:val="0"/>
          <w:sz w:val="36"/>
          <w:szCs w:val="36"/>
          <w:highlight w:val="none"/>
          <w:lang w:val="en-US" w:eastAsia="zh-CN"/>
        </w:rPr>
      </w:pPr>
    </w:p>
    <w:p w14:paraId="7F6392D0">
      <w:pPr>
        <w:autoSpaceDE w:val="0"/>
        <w:autoSpaceDN w:val="0"/>
        <w:adjustRightInd w:val="0"/>
        <w:spacing w:beforeLines="0" w:afterLines="0" w:line="560" w:lineRule="exact"/>
        <w:jc w:val="both"/>
        <w:rPr>
          <w:rFonts w:hint="eastAsia" w:ascii="仿宋" w:hAnsi="仿宋" w:eastAsia="仿宋" w:cs="仿宋"/>
          <w:smallCaps w:val="0"/>
          <w:sz w:val="32"/>
          <w:szCs w:val="32"/>
          <w:highlight w:val="none"/>
          <w:lang w:val="en-US" w:eastAsia="zh-CN"/>
        </w:rPr>
      </w:pPr>
    </w:p>
    <w:p w14:paraId="4C25F769">
      <w:pPr>
        <w:autoSpaceDE w:val="0"/>
        <w:autoSpaceDN w:val="0"/>
        <w:adjustRightInd w:val="0"/>
        <w:spacing w:beforeLines="0" w:afterLines="0" w:line="560" w:lineRule="exact"/>
        <w:jc w:val="both"/>
        <w:rPr>
          <w:rFonts w:hint="eastAsia" w:ascii="仿宋" w:hAnsi="仿宋" w:eastAsia="仿宋" w:cs="仿宋"/>
          <w:smallCaps w:val="0"/>
          <w:sz w:val="32"/>
          <w:szCs w:val="32"/>
          <w:highlight w:val="none"/>
          <w:lang w:val="en-US" w:eastAsia="zh-CN"/>
        </w:rPr>
      </w:pPr>
    </w:p>
    <w:p w14:paraId="1B4D369E">
      <w:pPr>
        <w:autoSpaceDE w:val="0"/>
        <w:autoSpaceDN w:val="0"/>
        <w:adjustRightInd w:val="0"/>
        <w:spacing w:beforeLines="0" w:afterLines="0" w:line="560" w:lineRule="exact"/>
        <w:jc w:val="both"/>
        <w:rPr>
          <w:rFonts w:hint="eastAsia" w:ascii="仿宋" w:hAnsi="仿宋" w:eastAsia="仿宋" w:cs="仿宋"/>
          <w:smallCaps w:val="0"/>
          <w:sz w:val="32"/>
          <w:szCs w:val="32"/>
          <w:highlight w:val="none"/>
          <w:lang w:val="en-US" w:eastAsia="zh-CN"/>
        </w:rPr>
      </w:pPr>
    </w:p>
    <w:p w14:paraId="27768771">
      <w:pPr>
        <w:autoSpaceDE w:val="0"/>
        <w:autoSpaceDN w:val="0"/>
        <w:adjustRightInd w:val="0"/>
        <w:spacing w:beforeLines="0" w:afterLines="0" w:line="560" w:lineRule="exact"/>
        <w:jc w:val="both"/>
        <w:rPr>
          <w:rFonts w:hint="eastAsia" w:ascii="仿宋" w:hAnsi="仿宋" w:eastAsia="仿宋" w:cs="仿宋"/>
          <w:smallCaps w:val="0"/>
          <w:sz w:val="32"/>
          <w:szCs w:val="32"/>
          <w:highlight w:val="none"/>
          <w:lang w:val="en-US" w:eastAsia="zh-CN"/>
        </w:rPr>
      </w:pPr>
    </w:p>
    <w:p w14:paraId="290A6A8F">
      <w:pPr>
        <w:pStyle w:val="2"/>
        <w:rPr>
          <w:rFonts w:hint="eastAsia" w:ascii="仿宋" w:hAnsi="仿宋" w:eastAsia="仿宋" w:cs="仿宋"/>
          <w:highlight w:val="none"/>
          <w:lang w:val="en-US" w:eastAsia="zh-CN"/>
        </w:rPr>
      </w:pPr>
    </w:p>
    <w:p w14:paraId="7A44EA75">
      <w:pPr>
        <w:autoSpaceDE w:val="0"/>
        <w:autoSpaceDN w:val="0"/>
        <w:adjustRightInd w:val="0"/>
        <w:spacing w:beforeLines="0" w:afterLines="0" w:line="560" w:lineRule="exact"/>
        <w:jc w:val="both"/>
        <w:rPr>
          <w:rFonts w:hint="eastAsia" w:ascii="仿宋" w:hAnsi="仿宋" w:eastAsia="仿宋" w:cs="仿宋"/>
          <w:smallCaps w:val="0"/>
          <w:sz w:val="24"/>
          <w:szCs w:val="24"/>
          <w:highlight w:val="none"/>
          <w:lang w:val="en-US" w:eastAsia="zh-CN"/>
        </w:rPr>
      </w:pPr>
    </w:p>
    <w:p w14:paraId="08FA778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甲方： 深圳市公安局监所管理支队</w:t>
      </w:r>
    </w:p>
    <w:p w14:paraId="1B6FF74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联系地址：深圳市福田区梅林街道公安街6号                           </w:t>
      </w:r>
    </w:p>
    <w:p w14:paraId="4CBFBA20">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  </w:t>
      </w:r>
    </w:p>
    <w:p w14:paraId="36F78B6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乙方：                       </w:t>
      </w:r>
    </w:p>
    <w:p w14:paraId="4BB6AB7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地址：</w:t>
      </w:r>
    </w:p>
    <w:p w14:paraId="5C35144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联系人：                        </w:t>
      </w:r>
    </w:p>
    <w:p w14:paraId="7220B6C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联系电话：</w:t>
      </w:r>
    </w:p>
    <w:p w14:paraId="5EE5AB8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p>
    <w:p w14:paraId="11A8E37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根据</w:t>
      </w:r>
      <w:r>
        <w:rPr>
          <w:rFonts w:hint="eastAsia" w:ascii="仿宋" w:hAnsi="仿宋" w:eastAsia="仿宋" w:cs="仿宋"/>
          <w:smallCaps w:val="0"/>
          <w:sz w:val="24"/>
          <w:szCs w:val="24"/>
          <w:highlight w:val="none"/>
          <w:u w:val="single"/>
          <w:lang w:val="en-US" w:eastAsia="zh-CN"/>
        </w:rPr>
        <w:t xml:space="preserve"> 2026年深圳市公安局监所管理支队食材配送服务 </w:t>
      </w:r>
      <w:r>
        <w:rPr>
          <w:rFonts w:hint="eastAsia" w:ascii="仿宋" w:hAnsi="仿宋" w:eastAsia="仿宋" w:cs="仿宋"/>
          <w:smallCaps w:val="0"/>
          <w:sz w:val="24"/>
          <w:szCs w:val="24"/>
          <w:highlight w:val="none"/>
          <w:lang w:val="en-US" w:eastAsia="zh-CN"/>
        </w:rPr>
        <w:t>项目（项目编号</w:t>
      </w:r>
      <w:r>
        <w:rPr>
          <w:rFonts w:hint="eastAsia" w:ascii="仿宋" w:hAnsi="仿宋" w:eastAsia="仿宋" w:cs="仿宋"/>
          <w:smallCaps w:val="0"/>
          <w:sz w:val="24"/>
          <w:szCs w:val="24"/>
          <w:highlight w:val="none"/>
          <w:u w:val="single"/>
          <w:lang w:val="en-US" w:eastAsia="zh-CN"/>
        </w:rPr>
        <w:t xml:space="preserve">                 </w:t>
      </w:r>
      <w:r>
        <w:rPr>
          <w:rFonts w:hint="eastAsia" w:ascii="仿宋" w:hAnsi="仿宋" w:eastAsia="仿宋" w:cs="仿宋"/>
          <w:smallCaps w:val="0"/>
          <w:sz w:val="24"/>
          <w:szCs w:val="24"/>
          <w:highlight w:val="none"/>
          <w:lang w:val="en-US" w:eastAsia="zh-CN"/>
        </w:rPr>
        <w:t>）结果，</w:t>
      </w:r>
      <w:r>
        <w:rPr>
          <w:rFonts w:hint="eastAsia" w:ascii="仿宋" w:hAnsi="仿宋" w:eastAsia="仿宋" w:cs="仿宋"/>
          <w:smallCaps w:val="0"/>
          <w:sz w:val="24"/>
          <w:szCs w:val="24"/>
          <w:highlight w:val="none"/>
          <w:u w:val="single"/>
          <w:lang w:val="en-US" w:eastAsia="zh-CN"/>
        </w:rPr>
        <w:t xml:space="preserve">            </w:t>
      </w:r>
      <w:r>
        <w:rPr>
          <w:rFonts w:hint="eastAsia" w:ascii="仿宋" w:hAnsi="仿宋" w:eastAsia="仿宋" w:cs="仿宋"/>
          <w:smallCaps w:val="0"/>
          <w:sz w:val="24"/>
          <w:szCs w:val="24"/>
          <w:highlight w:val="none"/>
          <w:lang w:val="en-US" w:eastAsia="zh-CN"/>
        </w:rPr>
        <w:t>为成交乙方。按照《中华人民共和国民法典》（第三编 合同）和《深圳经济特区政府采购条例》，经深圳市公安局监所管理支队（以下简称甲方）和</w:t>
      </w:r>
      <w:r>
        <w:rPr>
          <w:rFonts w:hint="eastAsia" w:ascii="仿宋" w:hAnsi="仿宋" w:eastAsia="仿宋" w:cs="仿宋"/>
          <w:smallCaps w:val="0"/>
          <w:sz w:val="24"/>
          <w:szCs w:val="24"/>
          <w:highlight w:val="none"/>
          <w:u w:val="single"/>
          <w:lang w:val="en-US" w:eastAsia="zh-CN"/>
        </w:rPr>
        <w:t xml:space="preserve">                </w:t>
      </w:r>
      <w:r>
        <w:rPr>
          <w:rFonts w:hint="eastAsia" w:ascii="仿宋" w:hAnsi="仿宋" w:eastAsia="仿宋" w:cs="仿宋"/>
          <w:smallCaps w:val="0"/>
          <w:sz w:val="24"/>
          <w:szCs w:val="24"/>
          <w:highlight w:val="none"/>
          <w:lang w:val="en-US" w:eastAsia="zh-CN"/>
        </w:rPr>
        <w:t>（以下简称乙方）协商，就甲方委托乙方承担</w:t>
      </w:r>
      <w:r>
        <w:rPr>
          <w:rFonts w:hint="eastAsia" w:ascii="仿宋" w:hAnsi="仿宋" w:eastAsia="仿宋" w:cs="仿宋"/>
          <w:smallCaps w:val="0"/>
          <w:sz w:val="24"/>
          <w:szCs w:val="24"/>
          <w:highlight w:val="none"/>
          <w:u w:val="single"/>
          <w:lang w:val="en-US" w:eastAsia="zh-CN"/>
        </w:rPr>
        <w:t xml:space="preserve"> 2026年深圳市公安局监所管理支队食材配送服务  </w:t>
      </w:r>
      <w:r>
        <w:rPr>
          <w:rFonts w:hint="eastAsia" w:ascii="仿宋" w:hAnsi="仿宋" w:eastAsia="仿宋" w:cs="仿宋"/>
          <w:smallCaps w:val="0"/>
          <w:sz w:val="24"/>
          <w:szCs w:val="24"/>
          <w:highlight w:val="none"/>
          <w:lang w:val="en-US" w:eastAsia="zh-CN"/>
        </w:rPr>
        <w:t xml:space="preserve"> 项目，达成以下合同条款：</w:t>
      </w:r>
    </w:p>
    <w:p w14:paraId="13F6EEB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b w:val="0"/>
          <w:bCs w:val="0"/>
          <w:smallCaps w:val="0"/>
          <w:sz w:val="24"/>
          <w:szCs w:val="24"/>
          <w:highlight w:val="none"/>
          <w:lang w:val="en-US" w:eastAsia="zh-CN"/>
        </w:rPr>
      </w:pPr>
      <w:r>
        <w:rPr>
          <w:rFonts w:hint="eastAsia" w:ascii="仿宋" w:hAnsi="仿宋" w:eastAsia="仿宋" w:cs="仿宋"/>
          <w:b w:val="0"/>
          <w:bCs w:val="0"/>
          <w:smallCaps w:val="0"/>
          <w:sz w:val="24"/>
          <w:szCs w:val="24"/>
          <w:highlight w:val="none"/>
          <w:lang w:val="en-US" w:eastAsia="zh-CN"/>
        </w:rPr>
        <w:t>一、合同金额</w:t>
      </w:r>
    </w:p>
    <w:p w14:paraId="5D8CD90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合同支付上限为人民币12,984,240元（大写：壹仟贰佰玖拾捌万肆仟贰佰肆拾元）。</w:t>
      </w:r>
    </w:p>
    <w:p w14:paraId="1618A80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b w:val="0"/>
          <w:bCs w:val="0"/>
          <w:smallCaps w:val="0"/>
          <w:sz w:val="24"/>
          <w:szCs w:val="24"/>
          <w:highlight w:val="none"/>
          <w:lang w:val="en-US" w:eastAsia="zh-CN"/>
        </w:rPr>
      </w:pPr>
      <w:r>
        <w:rPr>
          <w:rFonts w:hint="eastAsia" w:ascii="仿宋" w:hAnsi="仿宋" w:eastAsia="仿宋" w:cs="仿宋"/>
          <w:b w:val="0"/>
          <w:bCs w:val="0"/>
          <w:smallCaps w:val="0"/>
          <w:sz w:val="24"/>
          <w:szCs w:val="24"/>
          <w:highlight w:val="none"/>
          <w:lang w:val="en-US" w:eastAsia="zh-CN"/>
        </w:rPr>
        <w:t>二、合同概况</w:t>
      </w:r>
    </w:p>
    <w:p w14:paraId="41155F3A">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甲方向乙方采购食堂食材配送服务，乙方按合同约定向甲方提供蔬菜类、肉类、干货类等食材配送全套服务。</w:t>
      </w:r>
    </w:p>
    <w:p w14:paraId="3D35D8C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b w:val="0"/>
          <w:bCs w:val="0"/>
          <w:smallCaps w:val="0"/>
          <w:sz w:val="24"/>
          <w:szCs w:val="24"/>
          <w:highlight w:val="none"/>
          <w:lang w:val="en-US" w:eastAsia="zh-CN"/>
        </w:rPr>
      </w:pPr>
      <w:r>
        <w:rPr>
          <w:rFonts w:hint="eastAsia" w:ascii="仿宋" w:hAnsi="仿宋" w:eastAsia="仿宋" w:cs="仿宋"/>
          <w:b w:val="0"/>
          <w:bCs w:val="0"/>
          <w:smallCaps w:val="0"/>
          <w:sz w:val="24"/>
          <w:szCs w:val="24"/>
          <w:highlight w:val="none"/>
          <w:lang w:val="en-US" w:eastAsia="zh-CN"/>
        </w:rPr>
        <w:t>三、服务事项</w:t>
      </w:r>
    </w:p>
    <w:p w14:paraId="6B57C599">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（一）总体质量要求</w:t>
      </w:r>
    </w:p>
    <w:p w14:paraId="70D7882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1.乙方配送</w:t>
      </w:r>
      <w:r>
        <w:rPr>
          <w:rFonts w:hint="eastAsia" w:ascii="仿宋" w:hAnsi="仿宋" w:eastAsia="仿宋" w:cs="仿宋"/>
          <w:smallCaps w:val="0"/>
          <w:sz w:val="24"/>
          <w:szCs w:val="24"/>
          <w:highlight w:val="none"/>
          <w:lang w:eastAsia="zh-CN"/>
        </w:rPr>
        <w:t>的肉类、蔬菜、干货等食材必须保证质量，符合《食品安全国家标准目录》相应要求，不得腐烂、变质等</w:t>
      </w:r>
      <w:r>
        <w:rPr>
          <w:rFonts w:hint="eastAsia" w:ascii="仿宋" w:hAnsi="仿宋" w:eastAsia="仿宋" w:cs="仿宋"/>
          <w:smallCaps w:val="0"/>
          <w:sz w:val="24"/>
          <w:szCs w:val="24"/>
          <w:highlight w:val="none"/>
          <w:lang w:val="en-US" w:eastAsia="zh-CN"/>
        </w:rPr>
        <w:t>。</w:t>
      </w:r>
    </w:p>
    <w:p w14:paraId="0F41701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w:t>
      </w:r>
      <w:r>
        <w:rPr>
          <w:rFonts w:hint="eastAsia" w:ascii="仿宋" w:hAnsi="仿宋" w:eastAsia="仿宋" w:cs="仿宋"/>
          <w:smallCaps w:val="0"/>
          <w:sz w:val="24"/>
          <w:szCs w:val="24"/>
          <w:highlight w:val="none"/>
          <w:lang w:eastAsia="zh-CN"/>
        </w:rPr>
        <w:t>乙方所送货品要求包装完整、无外漏。甲方每日对乙方所送食材进行验收：对不符合质量要求的货品可作换货或退货处理；对缺斤短两的应按实际重量扣减货款或要求立即补足；对冻品等含冰量超标的，应按净含量计算货款或要求立即补送净含量达标的产品；凡属于质量问题的货品，乙方必须无条件负责退换。如双方对货品质量存在争议，在退货前应共同封存样品</w:t>
      </w:r>
      <w:r>
        <w:rPr>
          <w:rFonts w:hint="eastAsia" w:ascii="仿宋" w:hAnsi="仿宋" w:eastAsia="仿宋" w:cs="仿宋"/>
          <w:smallCaps w:val="0"/>
          <w:sz w:val="24"/>
          <w:szCs w:val="24"/>
          <w:highlight w:val="none"/>
          <w:lang w:val="en-US" w:eastAsia="zh-CN"/>
        </w:rPr>
        <w:t>备查</w:t>
      </w:r>
      <w:r>
        <w:rPr>
          <w:rFonts w:hint="eastAsia" w:ascii="仿宋" w:hAnsi="仿宋" w:eastAsia="仿宋" w:cs="仿宋"/>
          <w:smallCaps w:val="0"/>
          <w:sz w:val="24"/>
          <w:szCs w:val="24"/>
          <w:highlight w:val="none"/>
          <w:lang w:eastAsia="zh-CN"/>
        </w:rPr>
        <w:t>，</w:t>
      </w:r>
      <w:r>
        <w:rPr>
          <w:rFonts w:hint="eastAsia" w:ascii="仿宋" w:hAnsi="仿宋" w:eastAsia="仿宋" w:cs="仿宋"/>
          <w:smallCaps w:val="0"/>
          <w:sz w:val="24"/>
          <w:szCs w:val="24"/>
          <w:highlight w:val="none"/>
          <w:lang w:val="en-US" w:eastAsia="zh-CN"/>
        </w:rPr>
        <w:t>并</w:t>
      </w:r>
      <w:r>
        <w:rPr>
          <w:rFonts w:hint="eastAsia" w:ascii="仿宋" w:hAnsi="仿宋" w:eastAsia="仿宋" w:cs="仿宋"/>
          <w:smallCaps w:val="0"/>
          <w:sz w:val="24"/>
          <w:szCs w:val="24"/>
          <w:highlight w:val="none"/>
          <w:lang w:eastAsia="zh-CN"/>
        </w:rPr>
        <w:t>送深圳市或用户所在地地级市以上质监部门检测。</w:t>
      </w:r>
    </w:p>
    <w:p w14:paraId="03C4D2A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3.如乙方配送的食材不符合要求，一次甲方提出口头警告并要求乙方进行退换货并做出书面保证，二次甲方约谈乙方</w:t>
      </w:r>
      <w:r>
        <w:rPr>
          <w:rFonts w:hint="eastAsia" w:ascii="仿宋" w:hAnsi="仿宋" w:eastAsia="仿宋" w:cs="仿宋"/>
          <w:smallCaps w:val="0"/>
          <w:sz w:val="24"/>
          <w:szCs w:val="24"/>
          <w:highlight w:val="none"/>
          <w:lang w:eastAsia="zh-CN"/>
        </w:rPr>
        <w:t>并在次月结算予以扣减</w:t>
      </w:r>
      <w:r>
        <w:rPr>
          <w:rFonts w:hint="eastAsia" w:ascii="仿宋" w:hAnsi="仿宋" w:eastAsia="仿宋" w:cs="仿宋"/>
          <w:smallCaps w:val="0"/>
          <w:sz w:val="24"/>
          <w:szCs w:val="24"/>
          <w:highlight w:val="none"/>
          <w:lang w:val="en-US" w:eastAsia="zh-CN"/>
        </w:rPr>
        <w:t>食材不符合要求</w:t>
      </w:r>
      <w:r>
        <w:rPr>
          <w:rFonts w:hint="eastAsia" w:ascii="仿宋" w:hAnsi="仿宋" w:eastAsia="仿宋" w:cs="仿宋"/>
          <w:smallCaps w:val="0"/>
          <w:sz w:val="24"/>
          <w:szCs w:val="24"/>
          <w:highlight w:val="none"/>
          <w:lang w:eastAsia="zh-CN"/>
        </w:rPr>
        <w:t>当日货款</w:t>
      </w:r>
      <w:r>
        <w:rPr>
          <w:rFonts w:hint="eastAsia" w:ascii="仿宋" w:hAnsi="仿宋" w:eastAsia="仿宋" w:cs="仿宋"/>
          <w:smallCaps w:val="0"/>
          <w:sz w:val="24"/>
          <w:szCs w:val="24"/>
          <w:highlight w:val="none"/>
          <w:lang w:val="en-US" w:eastAsia="zh-CN"/>
        </w:rPr>
        <w:t>的</w:t>
      </w:r>
      <w:r>
        <w:rPr>
          <w:rFonts w:hint="eastAsia" w:ascii="仿宋" w:hAnsi="仿宋" w:eastAsia="仿宋" w:cs="仿宋"/>
          <w:smallCaps w:val="0"/>
          <w:sz w:val="24"/>
          <w:szCs w:val="24"/>
          <w:highlight w:val="none"/>
          <w:lang w:eastAsia="zh-CN"/>
        </w:rPr>
        <w:t>10%</w:t>
      </w:r>
      <w:r>
        <w:rPr>
          <w:rFonts w:hint="eastAsia" w:ascii="仿宋" w:hAnsi="仿宋" w:eastAsia="仿宋" w:cs="仿宋"/>
          <w:smallCaps w:val="0"/>
          <w:sz w:val="24"/>
          <w:szCs w:val="24"/>
          <w:highlight w:val="none"/>
          <w:lang w:val="en-US" w:eastAsia="zh-CN"/>
        </w:rPr>
        <w:t>，不符合要求达到三次的，甲方可上报上级部门对乙方进行相应处罚，并要求乙方承担违约责任。</w:t>
      </w:r>
    </w:p>
    <w:p w14:paraId="723E95F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4.乙方应从未出现配送食品安全事故。若因乙方配送食材、食品导致甲方出现食品安全事故时，经卫生防疫相关部门检验，证明确属于乙方造成的，乙方必须承担经济与法律上的全部责任。</w:t>
      </w:r>
    </w:p>
    <w:p w14:paraId="41AB7A6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5.乙方提供中农数据“天天采配”食堂采配应用平台（www.chinaap.com）网上采购系统账号供甲方单独使用，并承担由此发生的一切相关费用，甲方对此无须支付任何费用。</w:t>
      </w:r>
      <w:r>
        <w:rPr>
          <w:rFonts w:hint="eastAsia" w:ascii="仿宋" w:hAnsi="仿宋" w:eastAsia="仿宋" w:cs="仿宋"/>
          <w:smallCaps w:val="0"/>
          <w:sz w:val="24"/>
          <w:szCs w:val="24"/>
          <w:highlight w:val="none"/>
          <w:lang w:val="en-US" w:eastAsia="zh-CN"/>
        </w:rPr>
        <w:br w:type="textWrapping"/>
      </w:r>
      <w:r>
        <w:rPr>
          <w:rFonts w:hint="eastAsia" w:ascii="仿宋" w:hAnsi="仿宋" w:eastAsia="仿宋" w:cs="仿宋"/>
          <w:smallCaps w:val="0"/>
          <w:sz w:val="24"/>
          <w:szCs w:val="24"/>
          <w:highlight w:val="none"/>
          <w:lang w:val="en-US" w:eastAsia="zh-CN"/>
        </w:rPr>
        <w:t xml:space="preserve">    6.项目依据及标准：《中华人民共和国食品安全法》产品国家标准等，项目履约过程中国家标准有更新的，依据最新的标准执行。</w:t>
      </w:r>
    </w:p>
    <w:p w14:paraId="2AFD6356">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（二）数量要求</w:t>
      </w:r>
    </w:p>
    <w:p w14:paraId="073C3E2E">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乙方配送食材不得“短斤少两”。以甲方的验货数量为准，乙方每次随货送上一式两份的送货清单，供甲方验货后签字确认，双方各持一份，作为送、收货的凭证。</w:t>
      </w:r>
    </w:p>
    <w:p w14:paraId="1FCA4A61">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（三）时间要求</w:t>
      </w:r>
    </w:p>
    <w:p w14:paraId="3706E758">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1.乙方</w:t>
      </w:r>
      <w:r>
        <w:rPr>
          <w:rFonts w:hint="eastAsia" w:ascii="仿宋" w:hAnsi="仿宋" w:eastAsia="仿宋" w:cs="仿宋"/>
          <w:smallCaps w:val="0"/>
          <w:sz w:val="24"/>
          <w:szCs w:val="24"/>
          <w:highlight w:val="none"/>
          <w:lang w:eastAsia="zh-CN"/>
        </w:rPr>
        <w:t>须保证</w:t>
      </w:r>
      <w:r>
        <w:rPr>
          <w:rFonts w:hint="eastAsia" w:ascii="仿宋" w:hAnsi="仿宋" w:eastAsia="仿宋" w:cs="仿宋"/>
          <w:smallCaps w:val="0"/>
          <w:sz w:val="24"/>
          <w:szCs w:val="24"/>
          <w:highlight w:val="none"/>
          <w:lang w:val="en-US" w:eastAsia="zh-CN"/>
        </w:rPr>
        <w:t>服务期内每一个自然日</w:t>
      </w:r>
      <w:r>
        <w:rPr>
          <w:rFonts w:hint="eastAsia" w:ascii="仿宋" w:hAnsi="仿宋" w:eastAsia="仿宋" w:cs="仿宋"/>
          <w:smallCaps w:val="0"/>
          <w:sz w:val="24"/>
          <w:szCs w:val="24"/>
          <w:highlight w:val="none"/>
          <w:lang w:eastAsia="zh-CN"/>
        </w:rPr>
        <w:t>均能送货。</w:t>
      </w:r>
    </w:p>
    <w:p w14:paraId="54E8FE75">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2.乙方</w:t>
      </w:r>
      <w:r>
        <w:rPr>
          <w:rFonts w:hint="eastAsia" w:ascii="仿宋" w:hAnsi="仿宋" w:eastAsia="仿宋" w:cs="仿宋"/>
          <w:smallCaps w:val="0"/>
          <w:sz w:val="24"/>
          <w:szCs w:val="24"/>
          <w:highlight w:val="none"/>
          <w:lang w:eastAsia="zh-CN"/>
        </w:rPr>
        <w:t>必须在每天早上6：00前把当日所配送的食材按质按量送达</w:t>
      </w:r>
      <w:r>
        <w:rPr>
          <w:rFonts w:hint="eastAsia" w:ascii="仿宋" w:hAnsi="仿宋" w:eastAsia="仿宋" w:cs="仿宋"/>
          <w:smallCaps w:val="0"/>
          <w:sz w:val="24"/>
          <w:szCs w:val="24"/>
          <w:highlight w:val="none"/>
          <w:lang w:val="en-US" w:eastAsia="zh-CN"/>
        </w:rPr>
        <w:t>甲方</w:t>
      </w:r>
      <w:r>
        <w:rPr>
          <w:rFonts w:hint="eastAsia" w:ascii="仿宋" w:hAnsi="仿宋" w:eastAsia="仿宋" w:cs="仿宋"/>
          <w:smallCaps w:val="0"/>
          <w:sz w:val="24"/>
          <w:szCs w:val="24"/>
          <w:highlight w:val="none"/>
          <w:lang w:eastAsia="zh-CN"/>
        </w:rPr>
        <w:t>指定地点，由甲方工作人员验收核对后入库。乙方送货无故超出约定时间30分钟，则将在次月结算予以扣减</w:t>
      </w:r>
      <w:r>
        <w:rPr>
          <w:rFonts w:hint="eastAsia" w:ascii="仿宋" w:hAnsi="仿宋" w:eastAsia="仿宋" w:cs="仿宋"/>
          <w:smallCaps w:val="0"/>
          <w:sz w:val="24"/>
          <w:szCs w:val="24"/>
          <w:highlight w:val="none"/>
          <w:lang w:val="en-US" w:eastAsia="zh-CN"/>
        </w:rPr>
        <w:t>超时配送</w:t>
      </w:r>
      <w:r>
        <w:rPr>
          <w:rFonts w:hint="eastAsia" w:ascii="仿宋" w:hAnsi="仿宋" w:eastAsia="仿宋" w:cs="仿宋"/>
          <w:smallCaps w:val="0"/>
          <w:sz w:val="24"/>
          <w:szCs w:val="24"/>
          <w:highlight w:val="none"/>
          <w:lang w:eastAsia="zh-CN"/>
        </w:rPr>
        <w:t>当日货款</w:t>
      </w:r>
      <w:r>
        <w:rPr>
          <w:rFonts w:hint="eastAsia" w:ascii="仿宋" w:hAnsi="仿宋" w:eastAsia="仿宋" w:cs="仿宋"/>
          <w:smallCaps w:val="0"/>
          <w:sz w:val="24"/>
          <w:szCs w:val="24"/>
          <w:highlight w:val="none"/>
          <w:lang w:val="en-US" w:eastAsia="zh-CN"/>
        </w:rPr>
        <w:t>的</w:t>
      </w:r>
      <w:r>
        <w:rPr>
          <w:rFonts w:hint="eastAsia" w:ascii="仿宋" w:hAnsi="仿宋" w:eastAsia="仿宋" w:cs="仿宋"/>
          <w:smallCaps w:val="0"/>
          <w:sz w:val="24"/>
          <w:szCs w:val="24"/>
          <w:highlight w:val="none"/>
          <w:lang w:eastAsia="zh-CN"/>
        </w:rPr>
        <w:t>10%。如甲方对货物验收不合格导致退换货的，退补货品需在1小时内补给，不能影响甲方正常供餐。乙方如有特殊情况延迟送货的，需提前通知甲方；在通知甲方后，乙方配送到达时间不得超过约定时间1小时。</w:t>
      </w:r>
    </w:p>
    <w:p w14:paraId="7B7EA831">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w:t>
      </w:r>
      <w:r>
        <w:rPr>
          <w:rFonts w:hint="eastAsia" w:ascii="仿宋" w:hAnsi="仿宋" w:eastAsia="仿宋" w:cs="仿宋"/>
          <w:smallCaps w:val="0"/>
          <w:sz w:val="24"/>
          <w:szCs w:val="24"/>
          <w:highlight w:val="none"/>
          <w:lang w:eastAsia="zh-CN"/>
        </w:rPr>
        <w:t>甲方每天早餐需濑粉、河粉、面条，乙方须在当天早上6:00前送到甲方食堂。</w:t>
      </w:r>
    </w:p>
    <w:p w14:paraId="45FE4F18">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4.</w:t>
      </w:r>
      <w:r>
        <w:rPr>
          <w:rFonts w:hint="eastAsia" w:ascii="仿宋" w:hAnsi="仿宋" w:eastAsia="仿宋" w:cs="仿宋"/>
          <w:smallCaps w:val="0"/>
          <w:sz w:val="24"/>
          <w:szCs w:val="24"/>
          <w:highlight w:val="none"/>
          <w:lang w:eastAsia="zh-CN"/>
        </w:rPr>
        <w:t>甲方如需临时加送菜品（提前3小时通知乙方），乙方必须无条件</w:t>
      </w:r>
      <w:r>
        <w:rPr>
          <w:rFonts w:hint="eastAsia" w:ascii="仿宋" w:hAnsi="仿宋" w:eastAsia="仿宋" w:cs="仿宋"/>
          <w:smallCaps w:val="0"/>
          <w:sz w:val="24"/>
          <w:szCs w:val="24"/>
          <w:highlight w:val="none"/>
          <w:lang w:val="en-US" w:eastAsia="zh-CN"/>
        </w:rPr>
        <w:t>在甲方指定的时间内</w:t>
      </w:r>
      <w:r>
        <w:rPr>
          <w:rFonts w:hint="eastAsia" w:ascii="仿宋" w:hAnsi="仿宋" w:eastAsia="仿宋" w:cs="仿宋"/>
          <w:smallCaps w:val="0"/>
          <w:sz w:val="24"/>
          <w:szCs w:val="24"/>
          <w:highlight w:val="none"/>
          <w:lang w:eastAsia="zh-CN"/>
        </w:rPr>
        <w:t>送达。</w:t>
      </w:r>
    </w:p>
    <w:p w14:paraId="6AFBA946">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（四）品牌及品种调整</w:t>
      </w:r>
    </w:p>
    <w:p w14:paraId="424F5FFD">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w:t>
      </w:r>
      <w:r>
        <w:rPr>
          <w:rFonts w:hint="eastAsia" w:ascii="仿宋" w:hAnsi="仿宋" w:eastAsia="仿宋" w:cs="仿宋"/>
          <w:smallCaps w:val="0"/>
          <w:sz w:val="24"/>
          <w:szCs w:val="24"/>
          <w:highlight w:val="none"/>
          <w:lang w:eastAsia="zh-CN"/>
        </w:rPr>
        <w:t>如遇食材品牌或品种停止生产经营，或产地发生台风、海啸等不可抗力的自然灾害导致无法配送的，</w:t>
      </w:r>
      <w:r>
        <w:rPr>
          <w:rFonts w:hint="eastAsia" w:ascii="仿宋" w:hAnsi="仿宋" w:eastAsia="仿宋" w:cs="仿宋"/>
          <w:smallCaps w:val="0"/>
          <w:sz w:val="24"/>
          <w:szCs w:val="24"/>
          <w:highlight w:val="none"/>
          <w:lang w:val="en-US" w:eastAsia="zh-CN"/>
        </w:rPr>
        <w:t>乙方</w:t>
      </w:r>
      <w:r>
        <w:rPr>
          <w:rFonts w:hint="eastAsia" w:ascii="仿宋" w:hAnsi="仿宋" w:eastAsia="仿宋" w:cs="仿宋"/>
          <w:smallCaps w:val="0"/>
          <w:sz w:val="24"/>
          <w:szCs w:val="24"/>
          <w:highlight w:val="none"/>
          <w:lang w:eastAsia="zh-CN"/>
        </w:rPr>
        <w:t>负责举证并提出书面申请和相应的解决方案，</w:t>
      </w:r>
      <w:r>
        <w:rPr>
          <w:rFonts w:hint="eastAsia" w:ascii="仿宋" w:hAnsi="仿宋" w:eastAsia="仿宋" w:cs="仿宋"/>
          <w:smallCaps w:val="0"/>
          <w:sz w:val="24"/>
          <w:szCs w:val="24"/>
          <w:highlight w:val="none"/>
          <w:lang w:val="en-US" w:eastAsia="zh-CN"/>
        </w:rPr>
        <w:t>甲方</w:t>
      </w:r>
      <w:r>
        <w:rPr>
          <w:rFonts w:hint="eastAsia" w:ascii="仿宋" w:hAnsi="仿宋" w:eastAsia="仿宋" w:cs="仿宋"/>
          <w:smallCaps w:val="0"/>
          <w:sz w:val="24"/>
          <w:szCs w:val="24"/>
          <w:highlight w:val="none"/>
          <w:lang w:eastAsia="zh-CN"/>
        </w:rPr>
        <w:t>应当成立讨论小组商决应对方案。</w:t>
      </w:r>
    </w:p>
    <w:p w14:paraId="540EEEA7">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2.甲方</w:t>
      </w:r>
      <w:r>
        <w:rPr>
          <w:rFonts w:hint="eastAsia" w:ascii="仿宋" w:hAnsi="仿宋" w:eastAsia="仿宋" w:cs="仿宋"/>
          <w:smallCaps w:val="0"/>
          <w:sz w:val="24"/>
          <w:szCs w:val="24"/>
          <w:highlight w:val="none"/>
          <w:lang w:eastAsia="zh-CN"/>
        </w:rPr>
        <w:t>如需增加采购货品清单以外货物的，由</w:t>
      </w:r>
      <w:r>
        <w:rPr>
          <w:rFonts w:hint="eastAsia" w:ascii="仿宋" w:hAnsi="仿宋" w:eastAsia="仿宋" w:cs="仿宋"/>
          <w:smallCaps w:val="0"/>
          <w:sz w:val="24"/>
          <w:szCs w:val="24"/>
          <w:highlight w:val="none"/>
          <w:lang w:val="en-US" w:eastAsia="zh-CN"/>
        </w:rPr>
        <w:t>乙方</w:t>
      </w:r>
      <w:r>
        <w:rPr>
          <w:rFonts w:hint="eastAsia" w:ascii="仿宋" w:hAnsi="仿宋" w:eastAsia="仿宋" w:cs="仿宋"/>
          <w:smallCaps w:val="0"/>
          <w:sz w:val="24"/>
          <w:szCs w:val="24"/>
          <w:highlight w:val="none"/>
          <w:lang w:eastAsia="zh-CN"/>
        </w:rPr>
        <w:t>报价，报价不高于中农数据网该货物当天价格乘以</w:t>
      </w:r>
      <w:r>
        <w:rPr>
          <w:rFonts w:hint="eastAsia" w:ascii="仿宋" w:hAnsi="仿宋" w:eastAsia="仿宋" w:cs="仿宋"/>
          <w:smallCaps w:val="0"/>
          <w:sz w:val="24"/>
          <w:szCs w:val="24"/>
          <w:highlight w:val="none"/>
          <w:lang w:val="en-US" w:eastAsia="zh-CN"/>
        </w:rPr>
        <w:t>中标</w:t>
      </w:r>
      <w:r>
        <w:rPr>
          <w:rFonts w:hint="eastAsia" w:ascii="仿宋" w:hAnsi="仿宋" w:eastAsia="仿宋" w:cs="仿宋"/>
          <w:smallCaps w:val="0"/>
          <w:sz w:val="24"/>
          <w:szCs w:val="24"/>
          <w:highlight w:val="none"/>
          <w:lang w:eastAsia="zh-CN"/>
        </w:rPr>
        <w:t>折扣率。如遇中农数据网无相关报价的，由</w:t>
      </w:r>
      <w:r>
        <w:rPr>
          <w:rFonts w:hint="eastAsia" w:ascii="仿宋" w:hAnsi="仿宋" w:eastAsia="仿宋" w:cs="仿宋"/>
          <w:smallCaps w:val="0"/>
          <w:sz w:val="24"/>
          <w:szCs w:val="24"/>
          <w:highlight w:val="none"/>
          <w:lang w:val="en-US" w:eastAsia="zh-CN"/>
        </w:rPr>
        <w:t>甲方</w:t>
      </w:r>
      <w:r>
        <w:rPr>
          <w:rFonts w:hint="eastAsia" w:ascii="仿宋" w:hAnsi="仿宋" w:eastAsia="仿宋" w:cs="仿宋"/>
          <w:smallCaps w:val="0"/>
          <w:sz w:val="24"/>
          <w:szCs w:val="24"/>
          <w:highlight w:val="none"/>
          <w:lang w:eastAsia="zh-CN"/>
        </w:rPr>
        <w:t>组织人员到大型超市或农贸市场进行考察确定</w:t>
      </w:r>
      <w:r>
        <w:rPr>
          <w:rFonts w:hint="eastAsia" w:ascii="仿宋" w:hAnsi="仿宋" w:eastAsia="仿宋" w:cs="仿宋"/>
          <w:smallCaps w:val="0"/>
          <w:sz w:val="24"/>
          <w:szCs w:val="24"/>
          <w:highlight w:val="none"/>
          <w:lang w:val="en-US" w:eastAsia="zh-CN"/>
        </w:rPr>
        <w:t>报价</w:t>
      </w:r>
      <w:r>
        <w:rPr>
          <w:rFonts w:hint="eastAsia" w:ascii="仿宋" w:hAnsi="仿宋" w:eastAsia="仿宋" w:cs="仿宋"/>
          <w:smallCaps w:val="0"/>
          <w:sz w:val="24"/>
          <w:szCs w:val="24"/>
          <w:highlight w:val="none"/>
          <w:lang w:eastAsia="zh-CN"/>
        </w:rPr>
        <w:t>的合理性。</w:t>
      </w:r>
    </w:p>
    <w:p w14:paraId="283973B2">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（五）责任界定</w:t>
      </w:r>
    </w:p>
    <w:p w14:paraId="1E135597">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1.乙方提供的食材必须符合国家有关部门规定的食品安全标准，如果因乙方所供货的食材造成甲方就餐人员食物中毒的，经卫生防疫部门鉴定确属乙方责任的，乙方须承担全部法律责任并作出经济赔偿。</w:t>
      </w:r>
    </w:p>
    <w:p w14:paraId="3215B7CE">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2.乙方应加强对员工的安全教育与培训，乙方的粗加工人员和配送人员在服务过程中如遇到人员伤亡事故由乙方负全部责任，与甲方无关。</w:t>
      </w:r>
    </w:p>
    <w:p w14:paraId="4DB89694">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（六）其他要求</w:t>
      </w:r>
    </w:p>
    <w:p w14:paraId="7B8C5820">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1.乙方须提供1名或以上专业管理人员为本项目服务，由甲方调配。</w:t>
      </w:r>
    </w:p>
    <w:p w14:paraId="70590938">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乙方所有员工凭健康证上岗，同时应成立食堂配送项目专项服务小组，负责相关工作及提供各种服务。乙方须提供总计不少于6名的专业服务人员（包括粗加工人员和配送人员）为本项目服务，乙方根据要求对肉类、禽类等进行分割、粗加工处理后配送到甲方食堂。专业服务人员应为乙方的正式在职员工，持有健康证，服从甲方的食堂管理和工作调配。如食堂用餐人数和每日订菜数量发生变化，甲方有权对配送员人数提出增减需求，乙方应对专职配送员安排人数进行增减调配。</w:t>
      </w:r>
    </w:p>
    <w:p w14:paraId="5FF7274A">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3.乙方须根据实际情况为甲方提供温馨提示，如哪些食材价格涨幅大等信息。</w:t>
      </w:r>
    </w:p>
    <w:p w14:paraId="41ECF302">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4.如突发食品安全事件、公共卫生事件等，乙方须无条件配合甲方或相关部门的调查、无条件按照甲方要求执行配送服务。</w:t>
      </w:r>
    </w:p>
    <w:p w14:paraId="24895031">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5.因实际工作需要，该项目配送要求乙方可根据甲方需求提供“专车专送”配送服务。</w:t>
      </w:r>
    </w:p>
    <w:p w14:paraId="421F2DEF">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6.乙方须确保所有采购食材供应链可追溯，未经允许不得提供进口产品作为供货食材。如因食材问题导致后果，乙方须承担相应法律及经济责任。</w:t>
      </w:r>
    </w:p>
    <w:p w14:paraId="3DB8605A">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7.乙方严禁提供境外冷链食品或活禽，尽量不提供冷冻食品。</w:t>
      </w:r>
    </w:p>
    <w:p w14:paraId="395ED773">
      <w:pPr>
        <w:keepNext w:val="0"/>
        <w:keepLines w:val="0"/>
        <w:pageBreakBefore w:val="0"/>
        <w:widowControl w:val="0"/>
        <w:kinsoku/>
        <w:wordWrap/>
        <w:overflowPunct/>
        <w:topLinePunct w:val="0"/>
        <w:autoSpaceDE/>
        <w:autoSpaceDN/>
        <w:bidi w:val="0"/>
        <w:adjustRightInd/>
        <w:snapToGrid/>
        <w:spacing w:line="560" w:lineRule="exact"/>
        <w:ind w:firstLine="464"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（七）分类具体要求</w:t>
      </w:r>
    </w:p>
    <w:p w14:paraId="5D018A45">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w:t>
      </w:r>
      <w:r>
        <w:rPr>
          <w:rFonts w:hint="eastAsia" w:ascii="仿宋" w:hAnsi="仿宋" w:eastAsia="仿宋" w:cs="仿宋"/>
          <w:smallCaps w:val="0"/>
          <w:sz w:val="24"/>
          <w:szCs w:val="24"/>
          <w:highlight w:val="none"/>
          <w:lang w:eastAsia="zh-CN"/>
        </w:rPr>
        <w:t>肉类（含生鲜猪、牛肉类、冻品、鱼类、肉制品、熟食等）</w:t>
      </w:r>
    </w:p>
    <w:p w14:paraId="433B598C">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w:t>
      </w:r>
      <w:r>
        <w:rPr>
          <w:rFonts w:hint="eastAsia" w:ascii="仿宋" w:hAnsi="仿宋" w:eastAsia="仿宋" w:cs="仿宋"/>
          <w:smallCaps w:val="0"/>
          <w:sz w:val="24"/>
          <w:szCs w:val="24"/>
          <w:highlight w:val="none"/>
          <w:lang w:eastAsia="zh-CN"/>
        </w:rPr>
        <w:t>质量要求：</w:t>
      </w:r>
    </w:p>
    <w:p w14:paraId="1E063ECA">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1.1.1</w:t>
      </w:r>
      <w:r>
        <w:rPr>
          <w:rFonts w:hint="eastAsia" w:ascii="仿宋" w:hAnsi="仿宋" w:eastAsia="仿宋" w:cs="仿宋"/>
          <w:smallCaps w:val="0"/>
          <w:sz w:val="24"/>
          <w:szCs w:val="24"/>
          <w:highlight w:val="none"/>
          <w:lang w:eastAsia="zh-CN"/>
        </w:rPr>
        <w:t>乙方提供肉类及肉制品应有《卫生检疫报告》、《产品合格证》。</w:t>
      </w:r>
    </w:p>
    <w:p w14:paraId="2FE8E028">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1.1.2</w:t>
      </w:r>
      <w:r>
        <w:rPr>
          <w:rFonts w:hint="eastAsia" w:ascii="仿宋" w:hAnsi="仿宋" w:eastAsia="仿宋" w:cs="仿宋"/>
          <w:smallCaps w:val="0"/>
          <w:sz w:val="24"/>
          <w:szCs w:val="24"/>
          <w:highlight w:val="none"/>
          <w:lang w:eastAsia="zh-CN"/>
        </w:rPr>
        <w:t xml:space="preserve">所供肉类应保持较好的外观和质量等级，必须符合食品卫生要求及国家有关标准和行业规范，保证无异味、无霉烂、无变质，保证来源于具有合法屠宰资质和检验检疫证明的屠宰场，供货时须提交当批次有效的动物检疫合格证复印件（原件备查）。  </w:t>
      </w:r>
    </w:p>
    <w:p w14:paraId="62D4F3E3">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1.1.3确保每日供应新鲜肉品。</w:t>
      </w:r>
      <w:r>
        <w:rPr>
          <w:rFonts w:hint="eastAsia" w:ascii="仿宋" w:hAnsi="仿宋" w:eastAsia="仿宋" w:cs="仿宋"/>
          <w:smallCaps w:val="0"/>
          <w:sz w:val="24"/>
          <w:szCs w:val="24"/>
          <w:highlight w:val="none"/>
          <w:lang w:eastAsia="zh-CN"/>
        </w:rPr>
        <w:t>肉品须表皮洁净，膘厚适中、色泽鲜亮、纹理清晰、肉质细腻、无异味，来源明确，并随货提供当批次有效的检验检疫合格证明。严禁含有毒有害物质、虫及混有异物，严禁有腐烂变质、酸败、霉变情况。</w:t>
      </w:r>
    </w:p>
    <w:p w14:paraId="0DA48636">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1.1.4</w:t>
      </w:r>
      <w:r>
        <w:rPr>
          <w:rFonts w:hint="eastAsia" w:ascii="仿宋" w:hAnsi="仿宋" w:eastAsia="仿宋" w:cs="仿宋"/>
          <w:smallCaps w:val="0"/>
          <w:sz w:val="24"/>
          <w:szCs w:val="24"/>
          <w:highlight w:val="none"/>
          <w:lang w:eastAsia="zh-CN"/>
        </w:rPr>
        <w:t>冷冻肉要求肉体冻实而坚硬，无化冻现象，肉质紧密而有弹性，色泽均匀，不粘手，交货时干净、新鲜、无异味；禁止采购超过保质期限的冻肉类食品；冻肉类包装必须符合国家规范，不得存放在有毒、有害的容器和承载物内。</w:t>
      </w:r>
    </w:p>
    <w:p w14:paraId="4581C6A1">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1.1.5</w:t>
      </w:r>
      <w:r>
        <w:rPr>
          <w:rFonts w:hint="eastAsia" w:ascii="仿宋" w:hAnsi="仿宋" w:eastAsia="仿宋" w:cs="仿宋"/>
          <w:smallCaps w:val="0"/>
          <w:sz w:val="24"/>
          <w:szCs w:val="24"/>
          <w:highlight w:val="none"/>
          <w:lang w:eastAsia="zh-CN"/>
        </w:rPr>
        <w:t>熟食包括烧鸡、烧鸭、烧鹅等。熟食的保质期较短，保鲜要求高，供应的熟食需保证产品的品质。</w:t>
      </w:r>
    </w:p>
    <w:p w14:paraId="075918B8">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1.2</w:t>
      </w:r>
      <w:r>
        <w:rPr>
          <w:rFonts w:hint="eastAsia" w:ascii="仿宋" w:hAnsi="仿宋" w:eastAsia="仿宋" w:cs="仿宋"/>
          <w:smallCaps w:val="0"/>
          <w:sz w:val="24"/>
          <w:szCs w:val="24"/>
          <w:highlight w:val="none"/>
          <w:lang w:eastAsia="zh-CN"/>
        </w:rPr>
        <w:t>供应和管理要求：</w:t>
      </w:r>
    </w:p>
    <w:p w14:paraId="7DCE11AB">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1.2.1</w:t>
      </w:r>
      <w:r>
        <w:rPr>
          <w:rFonts w:hint="eastAsia" w:ascii="仿宋" w:hAnsi="仿宋" w:eastAsia="仿宋" w:cs="仿宋"/>
          <w:smallCaps w:val="0"/>
          <w:sz w:val="24"/>
          <w:szCs w:val="24"/>
          <w:highlight w:val="none"/>
          <w:lang w:eastAsia="zh-CN"/>
        </w:rPr>
        <w:t>配送要求：运输必须采用符合卫生要求的外包装和运载工具，并且要保持送货车辆的清洁卫生及性能稳定，定期进行消毒，运输车厢的内仓，包括地面、墙面和顶，应为抗腐蚀、防潮，防虫、防鼠的设计，车厢内无不良气味、异味。运输过程应科学合理，冷藏、冷冻食材必须用专用冷藏、冷冻载具运输，应当有必要的保温设备并在整个运输过程中保持安全、合适的冷藏、冷冻温度，并保证运输过程冷链不中断。食材到达目的地时外包装箱干爽，无软化现象。</w:t>
      </w:r>
    </w:p>
    <w:p w14:paraId="6CC106D7">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1.2.2</w:t>
      </w:r>
      <w:r>
        <w:rPr>
          <w:rFonts w:hint="eastAsia" w:ascii="仿宋" w:hAnsi="仿宋" w:eastAsia="仿宋" w:cs="仿宋"/>
          <w:smallCaps w:val="0"/>
          <w:sz w:val="24"/>
          <w:szCs w:val="24"/>
          <w:highlight w:val="none"/>
          <w:lang w:eastAsia="zh-CN"/>
        </w:rPr>
        <w:t>卸货要求：卸货时食材堆放科学合理，避免造成食材串味、交叉污染；在卸货环节中应保证冷藏食品脱离冷链时间不得超过20分钟，冷冻食品脱离冷链时间不得超过30分钟。</w:t>
      </w:r>
    </w:p>
    <w:p w14:paraId="06CE2ED8">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1.3</w:t>
      </w:r>
      <w:r>
        <w:rPr>
          <w:rFonts w:hint="eastAsia" w:ascii="仿宋" w:hAnsi="仿宋" w:eastAsia="仿宋" w:cs="仿宋"/>
          <w:smallCaps w:val="0"/>
          <w:sz w:val="24"/>
          <w:szCs w:val="24"/>
          <w:highlight w:val="none"/>
          <w:lang w:eastAsia="zh-CN"/>
        </w:rPr>
        <w:t>肉类抽查发现问题的处理：</w:t>
      </w:r>
    </w:p>
    <w:p w14:paraId="20909111">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1.3.1</w:t>
      </w:r>
      <w:r>
        <w:rPr>
          <w:rFonts w:hint="eastAsia" w:ascii="仿宋" w:hAnsi="仿宋" w:eastAsia="仿宋" w:cs="仿宋"/>
          <w:smallCaps w:val="0"/>
          <w:sz w:val="24"/>
          <w:szCs w:val="24"/>
          <w:highlight w:val="none"/>
          <w:lang w:eastAsia="zh-CN"/>
        </w:rPr>
        <w:t>如甲方或甲方邀请、聘请的第三方部门、机构对肉类检验发现严重质量问题，经相关部门调查确属于乙方责任的，甲方可将相关情况上报主管部门，并追究乙方相应的法律、经济责任。</w:t>
      </w:r>
    </w:p>
    <w:p w14:paraId="48DA58C2">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1.3.2</w:t>
      </w:r>
      <w:r>
        <w:rPr>
          <w:rFonts w:hint="eastAsia" w:ascii="仿宋" w:hAnsi="仿宋" w:eastAsia="仿宋" w:cs="仿宋"/>
          <w:smallCaps w:val="0"/>
          <w:sz w:val="24"/>
          <w:szCs w:val="24"/>
          <w:highlight w:val="none"/>
          <w:lang w:eastAsia="zh-CN"/>
        </w:rPr>
        <w:t>整批肉类无正规部门出具的动植物检疫合格证明的全部退货；</w:t>
      </w:r>
    </w:p>
    <w:p w14:paraId="16BFBA05">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1.3.3</w:t>
      </w:r>
      <w:r>
        <w:rPr>
          <w:rFonts w:hint="eastAsia" w:ascii="仿宋" w:hAnsi="仿宋" w:eastAsia="仿宋" w:cs="仿宋"/>
          <w:smallCaps w:val="0"/>
          <w:sz w:val="24"/>
          <w:szCs w:val="24"/>
          <w:highlight w:val="none"/>
          <w:lang w:eastAsia="zh-CN"/>
        </w:rPr>
        <w:t>抽查发现部分肉类无政府部门出具的动植物检疫合格证明，加抽15%（即在原抽查数量基础上增加15%进行第二次抽查），两次抽查数50%以上没有动植物检疫合格证明的，全部退货；50%以下没有动植物检疫合格证明的，将无动植物检疫合格证明的货物退货；</w:t>
      </w:r>
    </w:p>
    <w:p w14:paraId="3B27E73C">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1.3.4</w:t>
      </w:r>
      <w:r>
        <w:rPr>
          <w:rFonts w:hint="eastAsia" w:ascii="仿宋" w:hAnsi="仿宋" w:eastAsia="仿宋" w:cs="仿宋"/>
          <w:smallCaps w:val="0"/>
          <w:sz w:val="24"/>
          <w:szCs w:val="24"/>
          <w:highlight w:val="none"/>
          <w:lang w:eastAsia="zh-CN"/>
        </w:rPr>
        <w:t>整批肉类有省地市出具的动植物检疫合格证明，随箱产品合格证不齐全的，加抽15%（即在原抽查数量基础上增加15%进行第二次抽查），两次抽查数50%以上没有产品合格证的，全部退货；50%以下没有产品合格证明的，将无产品合格证明的货物退货。</w:t>
      </w:r>
    </w:p>
    <w:p w14:paraId="32A82CF8">
      <w:pPr>
        <w:keepNext w:val="0"/>
        <w:keepLines w:val="0"/>
        <w:pageBreakBefore w:val="0"/>
        <w:widowControl w:val="0"/>
        <w:numPr>
          <w:ilvl w:val="0"/>
          <w:numId w:val="0"/>
        </w:numPr>
        <w:kinsoku/>
        <w:wordWrap/>
        <w:overflowPunct/>
        <w:topLinePunct w:val="0"/>
        <w:autoSpaceDE/>
        <w:autoSpaceDN/>
        <w:bidi w:val="0"/>
        <w:snapToGrid/>
        <w:spacing w:beforeLines="0" w:afterLines="0" w:line="560" w:lineRule="exact"/>
        <w:ind w:firstLine="464" w:firstLineChars="200"/>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1.4</w:t>
      </w:r>
      <w:r>
        <w:rPr>
          <w:rFonts w:hint="eastAsia" w:ascii="仿宋" w:hAnsi="仿宋" w:eastAsia="仿宋" w:cs="仿宋"/>
          <w:smallCaps w:val="0"/>
          <w:sz w:val="24"/>
          <w:szCs w:val="24"/>
          <w:highlight w:val="none"/>
          <w:lang w:eastAsia="zh-CN"/>
        </w:rPr>
        <w:t>几种主要肉类具体质量要求（见下表）：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753"/>
        <w:gridCol w:w="1012"/>
        <w:gridCol w:w="705"/>
        <w:gridCol w:w="6324"/>
      </w:tblGrid>
      <w:tr w14:paraId="4F71F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79490C0E">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序号</w:t>
            </w:r>
          </w:p>
        </w:tc>
        <w:tc>
          <w:tcPr>
            <w:tcW w:w="1012" w:type="dxa"/>
            <w:shd w:val="clear" w:color="auto" w:fill="FFFFFF"/>
            <w:noWrap w:val="0"/>
            <w:vAlign w:val="center"/>
          </w:tcPr>
          <w:p w14:paraId="2F73342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品名</w:t>
            </w:r>
          </w:p>
        </w:tc>
        <w:tc>
          <w:tcPr>
            <w:tcW w:w="705" w:type="dxa"/>
            <w:shd w:val="clear" w:color="auto" w:fill="FFFFFF"/>
            <w:noWrap w:val="0"/>
            <w:vAlign w:val="center"/>
          </w:tcPr>
          <w:p w14:paraId="4AD1B030">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规格</w:t>
            </w:r>
          </w:p>
        </w:tc>
        <w:tc>
          <w:tcPr>
            <w:tcW w:w="6324" w:type="dxa"/>
            <w:shd w:val="clear" w:color="auto" w:fill="FFFFFF"/>
            <w:noWrap w:val="0"/>
            <w:vAlign w:val="center"/>
          </w:tcPr>
          <w:p w14:paraId="3C0088C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质量要求</w:t>
            </w:r>
          </w:p>
        </w:tc>
      </w:tr>
      <w:tr w14:paraId="57589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2A6C240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1</w:t>
            </w:r>
          </w:p>
        </w:tc>
        <w:tc>
          <w:tcPr>
            <w:tcW w:w="1012" w:type="dxa"/>
            <w:shd w:val="clear" w:color="auto" w:fill="FFFFFF"/>
            <w:noWrap w:val="0"/>
            <w:vAlign w:val="center"/>
          </w:tcPr>
          <w:p w14:paraId="17277788">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鲜猪肉</w:t>
            </w:r>
          </w:p>
        </w:tc>
        <w:tc>
          <w:tcPr>
            <w:tcW w:w="705" w:type="dxa"/>
            <w:shd w:val="clear" w:color="auto" w:fill="FFFFFF"/>
            <w:noWrap w:val="0"/>
            <w:vAlign w:val="center"/>
          </w:tcPr>
          <w:p w14:paraId="434D0D87">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48C8F01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表皮白净，脂肪洁白无霉点，肉呈鲜红色或枚红色，弹性好，表面不黏手，有正常的猪肉气味。</w:t>
            </w:r>
          </w:p>
        </w:tc>
      </w:tr>
      <w:tr w14:paraId="752EF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0B55A98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2</w:t>
            </w:r>
          </w:p>
        </w:tc>
        <w:tc>
          <w:tcPr>
            <w:tcW w:w="1012" w:type="dxa"/>
            <w:shd w:val="clear" w:color="auto" w:fill="FFFFFF"/>
            <w:noWrap w:val="0"/>
            <w:vAlign w:val="center"/>
          </w:tcPr>
          <w:p w14:paraId="6E88A15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鲜牛肉</w:t>
            </w:r>
          </w:p>
        </w:tc>
        <w:tc>
          <w:tcPr>
            <w:tcW w:w="705" w:type="dxa"/>
            <w:shd w:val="clear" w:color="auto" w:fill="FFFFFF"/>
            <w:noWrap w:val="0"/>
            <w:vAlign w:val="center"/>
          </w:tcPr>
          <w:p w14:paraId="36AFA0B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45DF31A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肉呈均匀的红色，有光泽，脂肪呈白色或微黄色，不黏手，结构紧密，用手指按压凹陷后会立即复原，有正常牛肉气味。</w:t>
            </w:r>
          </w:p>
        </w:tc>
      </w:tr>
      <w:tr w14:paraId="1E68A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53" w:type="dxa"/>
            <w:shd w:val="clear" w:color="auto" w:fill="FFFFFF"/>
            <w:noWrap w:val="0"/>
            <w:vAlign w:val="center"/>
          </w:tcPr>
          <w:p w14:paraId="19CC1D8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3</w:t>
            </w:r>
          </w:p>
        </w:tc>
        <w:tc>
          <w:tcPr>
            <w:tcW w:w="1012" w:type="dxa"/>
            <w:shd w:val="clear" w:color="auto" w:fill="FFFFFF"/>
            <w:noWrap w:val="0"/>
            <w:vAlign w:val="center"/>
          </w:tcPr>
          <w:p w14:paraId="7217ED3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CN"/>
              </w:rPr>
              <w:t>鲜羊肉</w:t>
            </w:r>
          </w:p>
        </w:tc>
        <w:tc>
          <w:tcPr>
            <w:tcW w:w="705" w:type="dxa"/>
            <w:shd w:val="clear" w:color="auto" w:fill="FFFFFF"/>
            <w:noWrap w:val="0"/>
            <w:vAlign w:val="center"/>
          </w:tcPr>
          <w:p w14:paraId="3CAFDE3F">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18F5BBC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颜色深红色或淡红色，有光泽，脂肪洁白或乳白，弹性好，肉质纤维细软，有正常羊肉的膻气。</w:t>
            </w:r>
          </w:p>
        </w:tc>
      </w:tr>
      <w:tr w14:paraId="5B95B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1654A915">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en-US" w:eastAsia="zh-CN"/>
              </w:rPr>
              <w:t>4</w:t>
            </w:r>
          </w:p>
        </w:tc>
        <w:tc>
          <w:tcPr>
            <w:tcW w:w="1012" w:type="dxa"/>
            <w:shd w:val="clear" w:color="auto" w:fill="FFFFFF"/>
            <w:noWrap w:val="0"/>
            <w:vAlign w:val="center"/>
          </w:tcPr>
          <w:p w14:paraId="415F3E39">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新鲜鸡</w:t>
            </w:r>
          </w:p>
        </w:tc>
        <w:tc>
          <w:tcPr>
            <w:tcW w:w="705" w:type="dxa"/>
            <w:shd w:val="clear" w:color="auto" w:fill="FFFFFF"/>
            <w:noWrap w:val="0"/>
            <w:vAlign w:val="center"/>
          </w:tcPr>
          <w:p w14:paraId="6423FBE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7AE98306">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整鸡表皮光滑，新鲜肥嫩，皮肤有光泽，无内脏，</w:t>
            </w:r>
            <w:r>
              <w:rPr>
                <w:rFonts w:hint="eastAsia" w:ascii="仿宋" w:hAnsi="仿宋" w:eastAsia="仿宋" w:cs="仿宋"/>
                <w:smallCaps w:val="0"/>
                <w:sz w:val="24"/>
                <w:szCs w:val="24"/>
                <w:highlight w:val="none"/>
                <w:lang w:val="en-US" w:eastAsia="zh-CN"/>
              </w:rPr>
              <w:t>因</w:t>
            </w:r>
            <w:r>
              <w:rPr>
                <w:rFonts w:hint="eastAsia" w:ascii="仿宋" w:hAnsi="仿宋" w:eastAsia="仿宋" w:cs="仿宋"/>
                <w:smallCaps w:val="0"/>
                <w:sz w:val="24"/>
                <w:szCs w:val="24"/>
                <w:highlight w:val="none"/>
                <w:lang w:val="zh-TW" w:eastAsia="zh-CN"/>
              </w:rPr>
              <w:t>品种不同而呈黄、浅黄、 淡红、灰白等色，肌肉切面有光泽，外表微湿润，不粘手。有鸡的正常气味。</w:t>
            </w:r>
          </w:p>
        </w:tc>
      </w:tr>
      <w:tr w14:paraId="0F0EA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2F92E650">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en-US" w:eastAsia="zh-CN"/>
              </w:rPr>
              <w:t>5</w:t>
            </w:r>
          </w:p>
        </w:tc>
        <w:tc>
          <w:tcPr>
            <w:tcW w:w="1012" w:type="dxa"/>
            <w:shd w:val="clear" w:color="auto" w:fill="FFFFFF"/>
            <w:noWrap w:val="0"/>
            <w:vAlign w:val="center"/>
          </w:tcPr>
          <w:p w14:paraId="29EE036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新鲜鸭</w:t>
            </w:r>
          </w:p>
        </w:tc>
        <w:tc>
          <w:tcPr>
            <w:tcW w:w="705" w:type="dxa"/>
            <w:shd w:val="clear" w:color="auto" w:fill="FFFFFF"/>
            <w:noWrap w:val="0"/>
            <w:vAlign w:val="center"/>
          </w:tcPr>
          <w:p w14:paraId="700C8B8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48488B78">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整鸭表皮光滑，新鲜肥嫩，皮肤有光泽，无内脏，</w:t>
            </w:r>
            <w:r>
              <w:rPr>
                <w:rFonts w:hint="eastAsia" w:ascii="仿宋" w:hAnsi="仿宋" w:eastAsia="仿宋" w:cs="仿宋"/>
                <w:smallCaps w:val="0"/>
                <w:sz w:val="24"/>
                <w:szCs w:val="24"/>
                <w:highlight w:val="none"/>
                <w:lang w:val="en-US" w:eastAsia="zh-CN"/>
              </w:rPr>
              <w:t>因</w:t>
            </w:r>
            <w:r>
              <w:rPr>
                <w:rFonts w:hint="eastAsia" w:ascii="仿宋" w:hAnsi="仿宋" w:eastAsia="仿宋" w:cs="仿宋"/>
                <w:smallCaps w:val="0"/>
                <w:sz w:val="24"/>
                <w:szCs w:val="24"/>
                <w:highlight w:val="none"/>
                <w:lang w:val="zh-TW" w:eastAsia="zh-CN"/>
              </w:rPr>
              <w:t>品种不同</w:t>
            </w:r>
            <w:r>
              <w:rPr>
                <w:rFonts w:hint="eastAsia" w:ascii="仿宋" w:hAnsi="仿宋" w:eastAsia="仿宋" w:cs="仿宋"/>
                <w:smallCaps w:val="0"/>
                <w:sz w:val="24"/>
                <w:szCs w:val="24"/>
                <w:highlight w:val="none"/>
                <w:lang w:val="en-US" w:eastAsia="zh-CN"/>
              </w:rPr>
              <w:t>而</w:t>
            </w:r>
            <w:r>
              <w:rPr>
                <w:rFonts w:hint="eastAsia" w:ascii="仿宋" w:hAnsi="仿宋" w:eastAsia="仿宋" w:cs="仿宋"/>
                <w:smallCaps w:val="0"/>
                <w:sz w:val="24"/>
                <w:szCs w:val="24"/>
                <w:highlight w:val="none"/>
                <w:lang w:val="zh-TW" w:eastAsia="zh-CN"/>
              </w:rPr>
              <w:t>呈黄、浅黄、淡红等色，肌肉切面有光泽，外表微湿润，不粘手。具有鸭的正常气味。</w:t>
            </w:r>
          </w:p>
        </w:tc>
      </w:tr>
      <w:tr w14:paraId="10386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jc w:val="center"/>
        </w:trPr>
        <w:tc>
          <w:tcPr>
            <w:tcW w:w="753" w:type="dxa"/>
            <w:shd w:val="clear" w:color="auto" w:fill="FFFFFF"/>
            <w:noWrap w:val="0"/>
            <w:vAlign w:val="center"/>
          </w:tcPr>
          <w:p w14:paraId="2C75E3B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w:t>
            </w:r>
          </w:p>
        </w:tc>
        <w:tc>
          <w:tcPr>
            <w:tcW w:w="1012" w:type="dxa"/>
            <w:shd w:val="clear" w:color="auto" w:fill="FFFFFF"/>
            <w:noWrap w:val="0"/>
            <w:vAlign w:val="center"/>
          </w:tcPr>
          <w:p w14:paraId="44FC277E">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鱼</w:t>
            </w:r>
          </w:p>
        </w:tc>
        <w:tc>
          <w:tcPr>
            <w:tcW w:w="705" w:type="dxa"/>
            <w:shd w:val="clear" w:color="auto" w:fill="FFFFFF"/>
            <w:noWrap w:val="0"/>
            <w:vAlign w:val="center"/>
          </w:tcPr>
          <w:p w14:paraId="2CE03358">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斤</w:t>
            </w:r>
          </w:p>
        </w:tc>
        <w:tc>
          <w:tcPr>
            <w:tcW w:w="6324" w:type="dxa"/>
            <w:shd w:val="clear" w:color="auto" w:fill="FFFFFF"/>
            <w:noWrap w:val="0"/>
            <w:vAlign w:val="center"/>
          </w:tcPr>
          <w:p w14:paraId="1CBAEC51">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鲜鱼眼睛凸起，澄清有光泽，腮紧闭，腮片呈鲜红色或红色，无粘液和污物，鳞片整齐，排列紧密，有正常鱼腥味。</w:t>
            </w:r>
          </w:p>
        </w:tc>
      </w:tr>
      <w:tr w14:paraId="426DB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653" w:hRule="atLeast"/>
          <w:jc w:val="center"/>
        </w:trPr>
        <w:tc>
          <w:tcPr>
            <w:tcW w:w="753" w:type="dxa"/>
            <w:shd w:val="clear" w:color="auto" w:fill="FFFFFF"/>
            <w:noWrap w:val="0"/>
            <w:vAlign w:val="center"/>
          </w:tcPr>
          <w:p w14:paraId="2663EC35">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en-US" w:eastAsia="zh-CN"/>
              </w:rPr>
              <w:t>7</w:t>
            </w:r>
          </w:p>
        </w:tc>
        <w:tc>
          <w:tcPr>
            <w:tcW w:w="1012" w:type="dxa"/>
            <w:shd w:val="clear" w:color="auto" w:fill="FFFFFF"/>
            <w:noWrap w:val="0"/>
            <w:vAlign w:val="center"/>
          </w:tcPr>
          <w:p w14:paraId="4D5B66E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冻鸡腿</w:t>
            </w:r>
          </w:p>
        </w:tc>
        <w:tc>
          <w:tcPr>
            <w:tcW w:w="705" w:type="dxa"/>
            <w:shd w:val="clear" w:color="auto" w:fill="FFFFFF"/>
            <w:noWrap w:val="0"/>
            <w:vAlign w:val="center"/>
          </w:tcPr>
          <w:p w14:paraId="4A5612E6">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13096DFB">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个体完整、大小均匀、</w:t>
            </w:r>
            <w:r>
              <w:rPr>
                <w:rFonts w:hint="eastAsia" w:ascii="仿宋" w:hAnsi="仿宋" w:eastAsia="仿宋" w:cs="仿宋"/>
                <w:smallCaps w:val="0"/>
                <w:sz w:val="24"/>
                <w:szCs w:val="24"/>
                <w:highlight w:val="none"/>
                <w:lang w:val="en-US" w:eastAsia="zh-CN"/>
              </w:rPr>
              <w:t>外表干净、</w:t>
            </w:r>
            <w:r>
              <w:rPr>
                <w:rFonts w:hint="eastAsia" w:ascii="仿宋" w:hAnsi="仿宋" w:eastAsia="仿宋" w:cs="仿宋"/>
                <w:smallCaps w:val="0"/>
                <w:sz w:val="24"/>
                <w:szCs w:val="24"/>
                <w:highlight w:val="none"/>
                <w:lang w:val="zh-TW" w:eastAsia="zh-CN"/>
              </w:rPr>
              <w:t>色泽均匀、无异味</w:t>
            </w:r>
          </w:p>
        </w:tc>
      </w:tr>
      <w:tr w14:paraId="5C2E9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039" w:hRule="atLeast"/>
          <w:jc w:val="center"/>
        </w:trPr>
        <w:tc>
          <w:tcPr>
            <w:tcW w:w="753" w:type="dxa"/>
            <w:shd w:val="clear" w:color="auto" w:fill="FFFFFF"/>
            <w:noWrap w:val="0"/>
            <w:vAlign w:val="center"/>
          </w:tcPr>
          <w:p w14:paraId="0587F227">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en-US" w:eastAsia="zh-CN"/>
              </w:rPr>
              <w:t>8</w:t>
            </w:r>
          </w:p>
        </w:tc>
        <w:tc>
          <w:tcPr>
            <w:tcW w:w="1012" w:type="dxa"/>
            <w:shd w:val="clear" w:color="auto" w:fill="FFFFFF"/>
            <w:noWrap w:val="0"/>
            <w:vAlign w:val="center"/>
          </w:tcPr>
          <w:p w14:paraId="416B6A31">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肉</w:t>
            </w:r>
            <w:r>
              <w:rPr>
                <w:rFonts w:hint="eastAsia" w:ascii="仿宋" w:hAnsi="仿宋" w:eastAsia="仿宋" w:cs="仿宋"/>
                <w:smallCaps w:val="0"/>
                <w:sz w:val="24"/>
                <w:szCs w:val="24"/>
                <w:highlight w:val="none"/>
                <w:lang w:val="zh-TW" w:eastAsia="zh-TW"/>
              </w:rPr>
              <w:t>丸</w:t>
            </w:r>
            <w:r>
              <w:rPr>
                <w:rFonts w:hint="eastAsia" w:ascii="仿宋" w:hAnsi="仿宋" w:eastAsia="仿宋" w:cs="仿宋"/>
                <w:smallCaps w:val="0"/>
                <w:sz w:val="24"/>
                <w:szCs w:val="24"/>
                <w:highlight w:val="none"/>
                <w:lang w:val="zh-TW" w:eastAsia="zh-CN"/>
              </w:rPr>
              <w:t>类</w:t>
            </w:r>
          </w:p>
        </w:tc>
        <w:tc>
          <w:tcPr>
            <w:tcW w:w="705" w:type="dxa"/>
            <w:shd w:val="clear" w:color="auto" w:fill="FFFFFF"/>
            <w:noWrap w:val="0"/>
            <w:vAlign w:val="center"/>
          </w:tcPr>
          <w:p w14:paraId="31CB638E">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TW"/>
              </w:rPr>
            </w:pPr>
            <w:r>
              <w:rPr>
                <w:rFonts w:hint="eastAsia" w:ascii="仿宋" w:hAnsi="仿宋" w:eastAsia="仿宋" w:cs="仿宋"/>
                <w:smallCaps w:val="0"/>
                <w:sz w:val="24"/>
                <w:szCs w:val="24"/>
                <w:highlight w:val="none"/>
                <w:lang w:val="zh-TW" w:eastAsia="zh-TW"/>
              </w:rPr>
              <w:t>斤</w:t>
            </w:r>
          </w:p>
        </w:tc>
        <w:tc>
          <w:tcPr>
            <w:tcW w:w="6324" w:type="dxa"/>
            <w:shd w:val="clear" w:color="auto" w:fill="FFFFFF"/>
            <w:noWrap w:val="0"/>
            <w:vAlign w:val="center"/>
          </w:tcPr>
          <w:p w14:paraId="058A4DB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具有良好的弹性，水煮后用手捏应不轻易破裂。切开丸体其剖面应比较平整，不能有明显的冰晶状物。</w:t>
            </w:r>
          </w:p>
        </w:tc>
      </w:tr>
      <w:tr w14:paraId="1CDE1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3" w:hRule="atLeast"/>
          <w:jc w:val="center"/>
        </w:trPr>
        <w:tc>
          <w:tcPr>
            <w:tcW w:w="8794" w:type="dxa"/>
            <w:gridSpan w:val="4"/>
            <w:shd w:val="clear" w:color="auto" w:fill="FFFFFF"/>
            <w:noWrap w:val="0"/>
            <w:vAlign w:val="center"/>
          </w:tcPr>
          <w:p w14:paraId="01F8308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备注：表中未列明的项目，应甲方需要由乙方供给。</w:t>
            </w:r>
          </w:p>
        </w:tc>
      </w:tr>
    </w:tbl>
    <w:p w14:paraId="679E105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2.蔬菜类</w:t>
      </w:r>
    </w:p>
    <w:p w14:paraId="4FDF489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2.1</w:t>
      </w:r>
      <w:r>
        <w:rPr>
          <w:rFonts w:hint="eastAsia" w:ascii="仿宋" w:hAnsi="仿宋" w:eastAsia="仿宋" w:cs="仿宋"/>
          <w:smallCaps w:val="0"/>
          <w:sz w:val="24"/>
          <w:szCs w:val="24"/>
          <w:highlight w:val="none"/>
          <w:lang w:eastAsia="zh-CN"/>
        </w:rPr>
        <w:t>质量要求：</w:t>
      </w:r>
    </w:p>
    <w:p w14:paraId="1153571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eastAsia="zh-CN"/>
        </w:rPr>
        <w:t>蔬菜质量应符合《食品安全国家标准目录》中相应要求；卫生指标应符合《食品安全国家标准食品中农药最大残留限量》（GB</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lang w:eastAsia="zh-CN"/>
        </w:rPr>
        <w:t>2763-2021</w:t>
      </w:r>
      <w:r>
        <w:rPr>
          <w:rFonts w:hint="eastAsia" w:ascii="仿宋" w:hAnsi="仿宋" w:eastAsia="仿宋" w:cs="仿宋"/>
          <w:smallCaps w:val="0"/>
          <w:sz w:val="24"/>
          <w:szCs w:val="24"/>
          <w:highlight w:val="none"/>
          <w:lang w:val="en-US" w:eastAsia="zh-CN"/>
        </w:rPr>
        <w:t>及GB 2763.1-2022</w:t>
      </w:r>
      <w:r>
        <w:rPr>
          <w:rFonts w:hint="eastAsia" w:ascii="仿宋" w:hAnsi="仿宋" w:eastAsia="仿宋" w:cs="仿宋"/>
          <w:smallCaps w:val="0"/>
          <w:sz w:val="24"/>
          <w:szCs w:val="24"/>
          <w:highlight w:val="none"/>
          <w:lang w:eastAsia="zh-CN"/>
        </w:rPr>
        <w:t>）的要求。从蔬菜色泽看，各种蔬菜都应具有本品种固有的颜色，大多数有发亮的光泽；从蔬菜气味看，不允许有腐烂变质的亚硝酸盐味和其他异常气味；从蔬菜形态看，应尽量避免萎蔫、枯塌、损伤、病变、虫害侵蚀等引起的形态异常。</w:t>
      </w:r>
    </w:p>
    <w:p w14:paraId="6EA8B4F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w:t>
      </w:r>
      <w:r>
        <w:rPr>
          <w:rFonts w:hint="eastAsia" w:ascii="仿宋" w:hAnsi="仿宋" w:eastAsia="仿宋" w:cs="仿宋"/>
          <w:smallCaps w:val="0"/>
          <w:sz w:val="24"/>
          <w:szCs w:val="24"/>
          <w:highlight w:val="none"/>
          <w:lang w:eastAsia="zh-CN"/>
        </w:rPr>
        <w:t>供应和管理要求：</w:t>
      </w:r>
    </w:p>
    <w:p w14:paraId="76265BD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2.2.1</w:t>
      </w:r>
      <w:r>
        <w:rPr>
          <w:rFonts w:hint="eastAsia" w:ascii="仿宋" w:hAnsi="仿宋" w:eastAsia="仿宋" w:cs="仿宋"/>
          <w:smallCaps w:val="0"/>
          <w:sz w:val="24"/>
          <w:szCs w:val="24"/>
          <w:highlight w:val="none"/>
          <w:lang w:eastAsia="zh-CN"/>
        </w:rPr>
        <w:t>蔬菜供应的品种安排要分主菜和配菜。主菜品种由供求双方根据季节安排，但要确保每周有3个品种以上。配菜品种按甲方计划和要求的品种供应。</w:t>
      </w:r>
    </w:p>
    <w:p w14:paraId="03E18C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2.2.2</w:t>
      </w:r>
      <w:r>
        <w:rPr>
          <w:rFonts w:hint="eastAsia" w:ascii="仿宋" w:hAnsi="仿宋" w:eastAsia="仿宋" w:cs="仿宋"/>
          <w:smallCaps w:val="0"/>
          <w:sz w:val="24"/>
          <w:szCs w:val="24"/>
          <w:highlight w:val="none"/>
          <w:lang w:eastAsia="zh-CN"/>
        </w:rPr>
        <w:t>蔬菜包装要求：包装容器(框、箱、袋)要求清洁、干燥、牢固、透气，无污染、无异味、无霉变现象。</w:t>
      </w:r>
    </w:p>
    <w:p w14:paraId="150492F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2.2.3</w:t>
      </w:r>
      <w:r>
        <w:rPr>
          <w:rFonts w:hint="eastAsia" w:ascii="仿宋" w:hAnsi="仿宋" w:eastAsia="仿宋" w:cs="仿宋"/>
          <w:smallCaps w:val="0"/>
          <w:sz w:val="24"/>
          <w:szCs w:val="24"/>
          <w:highlight w:val="none"/>
          <w:lang w:eastAsia="zh-CN"/>
        </w:rPr>
        <w:t>蔬菜供应链要求：所有蔬菜来源必须清晰，须为自有基地</w:t>
      </w:r>
      <w:r>
        <w:rPr>
          <w:rFonts w:hint="eastAsia" w:ascii="仿宋" w:hAnsi="仿宋" w:eastAsia="仿宋" w:cs="仿宋"/>
          <w:smallCaps w:val="0"/>
          <w:sz w:val="24"/>
          <w:szCs w:val="24"/>
          <w:highlight w:val="none"/>
          <w:lang w:val="en-US" w:eastAsia="zh-CN"/>
        </w:rPr>
        <w:t>或</w:t>
      </w:r>
      <w:r>
        <w:rPr>
          <w:rFonts w:hint="eastAsia" w:ascii="仿宋" w:hAnsi="仿宋" w:eastAsia="仿宋" w:cs="仿宋"/>
          <w:smallCaps w:val="0"/>
          <w:sz w:val="24"/>
          <w:szCs w:val="24"/>
          <w:highlight w:val="none"/>
          <w:lang w:eastAsia="zh-CN"/>
        </w:rPr>
        <w:t>商品菜基地或蔬菜专业流通市场。</w:t>
      </w:r>
    </w:p>
    <w:p w14:paraId="4EF856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2.2.4</w:t>
      </w:r>
      <w:r>
        <w:rPr>
          <w:rFonts w:hint="eastAsia" w:ascii="仿宋" w:hAnsi="仿宋" w:eastAsia="仿宋" w:cs="仿宋"/>
          <w:smallCaps w:val="0"/>
          <w:sz w:val="24"/>
          <w:szCs w:val="24"/>
          <w:highlight w:val="none"/>
          <w:lang w:eastAsia="zh-CN"/>
        </w:rPr>
        <w:t>运输要求：运输工具应清洁卫生无污染，必须采用符合卫生标准的外包装和运载工具，并且要保持清洁和定期消毒。运输车厢的内仓，包括地面、墙面和顶，应采用抗腐蚀、防潮、易清洁消毒的材料。车厢内无不良气味、异味；运输途中严防过度日晒，注意通风散热；蔬菜应小心轻卸，严防机械损伤。堆放科学合理，避免造成交叉污染。</w:t>
      </w:r>
    </w:p>
    <w:p w14:paraId="5795185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2.2.5</w:t>
      </w:r>
      <w:r>
        <w:rPr>
          <w:rFonts w:hint="eastAsia" w:ascii="仿宋" w:hAnsi="仿宋" w:eastAsia="仿宋" w:cs="仿宋"/>
          <w:smallCaps w:val="0"/>
          <w:sz w:val="24"/>
          <w:szCs w:val="24"/>
          <w:highlight w:val="none"/>
          <w:lang w:eastAsia="zh-CN"/>
        </w:rPr>
        <w:t>菜地管理要求：菜地设有固定的农资存放场所，配有专用的农药喷洒用具及其他农用器具，施用农药有详尽记录，规定施药间隔期后采收；蔬菜采收后需用清洁、无污染的运输工具运抵加工地点。</w:t>
      </w:r>
    </w:p>
    <w:p w14:paraId="2EF1E0A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2.2.6</w:t>
      </w:r>
      <w:r>
        <w:rPr>
          <w:rFonts w:hint="eastAsia" w:ascii="仿宋" w:hAnsi="仿宋" w:eastAsia="仿宋" w:cs="仿宋"/>
          <w:smallCaps w:val="0"/>
          <w:sz w:val="24"/>
          <w:szCs w:val="24"/>
          <w:highlight w:val="none"/>
          <w:lang w:eastAsia="zh-CN"/>
        </w:rPr>
        <w:t>菜地环境要求：菜地周围需设有隔离网、隔离带或其他有效的隔离措施，确保不受临近农田施肥和用药污染；菜地周围无养殖场、化工厂、垃圾处理场、医院以及污水排放管道等污染源。</w:t>
      </w:r>
    </w:p>
    <w:p w14:paraId="6327F36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2.2.7</w:t>
      </w:r>
      <w:r>
        <w:rPr>
          <w:rFonts w:hint="eastAsia" w:ascii="仿宋" w:hAnsi="仿宋" w:eastAsia="仿宋" w:cs="仿宋"/>
          <w:smallCaps w:val="0"/>
          <w:sz w:val="24"/>
          <w:szCs w:val="24"/>
          <w:highlight w:val="none"/>
          <w:lang w:eastAsia="zh-CN"/>
        </w:rPr>
        <w:t>菜地水源要求：菜地应有清洁无污染的灌溉水源；灌溉水井设有防护设施。灌溉水源需经检测验证符合规定要求。</w:t>
      </w:r>
    </w:p>
    <w:p w14:paraId="0837FCF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2.2.8</w:t>
      </w:r>
      <w:r>
        <w:rPr>
          <w:rFonts w:hint="eastAsia" w:ascii="仿宋" w:hAnsi="仿宋" w:eastAsia="仿宋" w:cs="仿宋"/>
          <w:smallCaps w:val="0"/>
          <w:sz w:val="24"/>
          <w:szCs w:val="24"/>
          <w:highlight w:val="none"/>
          <w:lang w:eastAsia="zh-CN"/>
        </w:rPr>
        <w:t>农药要求：种植使用的农药必须符合食品安全管理部门的规定，严禁使用违禁药物；农药的采购、保管、发放、使用必须建立记录；蔬菜生产使用农药的间隔期必须符合行业规定，并且采收前乙方应从种植地取样检测农残项目，合格后方可供应。</w:t>
      </w:r>
    </w:p>
    <w:p w14:paraId="2E0721F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2.3</w:t>
      </w:r>
      <w:r>
        <w:rPr>
          <w:rFonts w:hint="eastAsia" w:ascii="仿宋" w:hAnsi="仿宋" w:eastAsia="仿宋" w:cs="仿宋"/>
          <w:smallCaps w:val="0"/>
          <w:sz w:val="24"/>
          <w:szCs w:val="24"/>
          <w:highlight w:val="none"/>
          <w:lang w:eastAsia="zh-CN"/>
        </w:rPr>
        <w:t>蔬菜抽查发现问题的处理：如甲方或甲方邀请、聘请的第三方部门、机构对蔬菜检验发现严重问题，如发现农药残留严重超标，发现腐败变质蔬菜等。经相关部门调查确属于乙方责任的，甲方可将相关情况上报主管部门，并追究乙方相应的法律、经济责任。</w:t>
      </w:r>
    </w:p>
    <w:p w14:paraId="287B71E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w:t>
      </w:r>
      <w:r>
        <w:rPr>
          <w:rFonts w:hint="eastAsia" w:ascii="仿宋" w:hAnsi="仿宋" w:eastAsia="仿宋" w:cs="仿宋"/>
          <w:smallCaps w:val="0"/>
          <w:sz w:val="24"/>
          <w:szCs w:val="24"/>
          <w:highlight w:val="none"/>
          <w:lang w:eastAsia="zh-CN"/>
        </w:rPr>
        <w:t>干货类</w:t>
      </w:r>
    </w:p>
    <w:p w14:paraId="397B3A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3.1</w:t>
      </w:r>
      <w:r>
        <w:rPr>
          <w:rFonts w:hint="eastAsia" w:ascii="仿宋" w:hAnsi="仿宋" w:eastAsia="仿宋" w:cs="仿宋"/>
          <w:smallCaps w:val="0"/>
          <w:sz w:val="24"/>
          <w:szCs w:val="24"/>
          <w:highlight w:val="none"/>
          <w:lang w:eastAsia="zh-CN"/>
        </w:rPr>
        <w:t>质量要求：</w:t>
      </w:r>
    </w:p>
    <w:p w14:paraId="0EC961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eastAsia="zh-CN"/>
        </w:rPr>
        <w:t>干货制品的质量要求符合《食品安全国家标准目录》及国家相关行业标准，干爽，不霉烂、整齐、均匀、完整，无虫蛀、无杂质，保持应有的色泽。</w:t>
      </w:r>
    </w:p>
    <w:p w14:paraId="5FEA6A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3.2</w:t>
      </w:r>
      <w:r>
        <w:rPr>
          <w:rFonts w:hint="eastAsia" w:ascii="仿宋" w:hAnsi="仿宋" w:eastAsia="仿宋" w:cs="仿宋"/>
          <w:smallCaps w:val="0"/>
          <w:sz w:val="24"/>
          <w:szCs w:val="24"/>
          <w:highlight w:val="none"/>
          <w:lang w:eastAsia="zh-CN"/>
        </w:rPr>
        <w:t>供应和管理要求：</w:t>
      </w:r>
    </w:p>
    <w:p w14:paraId="34C34D6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3.2.1</w:t>
      </w:r>
      <w:r>
        <w:rPr>
          <w:rFonts w:hint="eastAsia" w:ascii="仿宋" w:hAnsi="仿宋" w:eastAsia="仿宋" w:cs="仿宋"/>
          <w:smallCaps w:val="0"/>
          <w:sz w:val="24"/>
          <w:szCs w:val="24"/>
          <w:highlight w:val="none"/>
          <w:lang w:eastAsia="zh-CN"/>
        </w:rPr>
        <w:t>乙方所提供产品质量必须要符合行业标准要求，不得有掺假、变质、变味、过期等现象出现，严禁伪劣、假冒、无证不合格物品进入仓库。</w:t>
      </w:r>
    </w:p>
    <w:p w14:paraId="1B08E9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3.2.2</w:t>
      </w:r>
      <w:r>
        <w:rPr>
          <w:rFonts w:hint="eastAsia" w:ascii="仿宋" w:hAnsi="仿宋" w:eastAsia="仿宋" w:cs="仿宋"/>
          <w:smallCaps w:val="0"/>
          <w:sz w:val="24"/>
          <w:szCs w:val="24"/>
          <w:highlight w:val="none"/>
          <w:lang w:eastAsia="zh-CN"/>
        </w:rPr>
        <w:t>乙方在供应过程中，如果发生出现质量问题或造成食物中毒，如变质等情况，经查实后确属供方责任，乙方应承担全部责任，主要包括食物中毒人员医疗费、误工费、事故处理费等，直至追究刑事责任。</w:t>
      </w:r>
    </w:p>
    <w:p w14:paraId="7818D75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3.3</w:t>
      </w:r>
      <w:r>
        <w:rPr>
          <w:rFonts w:hint="eastAsia" w:ascii="仿宋" w:hAnsi="仿宋" w:eastAsia="仿宋" w:cs="仿宋"/>
          <w:smallCaps w:val="0"/>
          <w:sz w:val="24"/>
          <w:szCs w:val="24"/>
          <w:highlight w:val="none"/>
          <w:lang w:eastAsia="zh-CN"/>
        </w:rPr>
        <w:t>干货类抽检发现问题的处理：</w:t>
      </w:r>
    </w:p>
    <w:p w14:paraId="55D5B41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eastAsia="zh-CN"/>
        </w:rPr>
        <w:t>甲方可根据实际情况自行或要求第三方对需要的干货制品进行品质抽检，如质量未达到国家标准，情况严重的，甲方可将相关情况上报主管部门，并追究乙方相应的法律、经济责任。</w:t>
      </w:r>
    </w:p>
    <w:p w14:paraId="3B192B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eastAsia="zh-CN"/>
        </w:rPr>
        <w:t>几种主要干货制品的质量标准（见下表）：</w:t>
      </w:r>
    </w:p>
    <w:tbl>
      <w:tblPr>
        <w:tblStyle w:val="16"/>
        <w:tblW w:w="0" w:type="auto"/>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16"/>
        <w:gridCol w:w="6234"/>
      </w:tblGrid>
      <w:tr w14:paraId="1659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noWrap w:val="0"/>
            <w:vAlign w:val="center"/>
          </w:tcPr>
          <w:p w14:paraId="65D8DC8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序号</w:t>
            </w:r>
          </w:p>
        </w:tc>
        <w:tc>
          <w:tcPr>
            <w:tcW w:w="1216" w:type="dxa"/>
            <w:noWrap w:val="0"/>
            <w:vAlign w:val="center"/>
          </w:tcPr>
          <w:p w14:paraId="577D245F">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品名</w:t>
            </w:r>
          </w:p>
        </w:tc>
        <w:tc>
          <w:tcPr>
            <w:tcW w:w="6234" w:type="dxa"/>
            <w:noWrap w:val="0"/>
            <w:vAlign w:val="center"/>
          </w:tcPr>
          <w:p w14:paraId="2ADBF52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质量要求</w:t>
            </w:r>
          </w:p>
        </w:tc>
      </w:tr>
      <w:tr w14:paraId="3D8A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737" w:type="dxa"/>
            <w:noWrap w:val="0"/>
            <w:vAlign w:val="center"/>
          </w:tcPr>
          <w:p w14:paraId="2B4DDDA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w:t>
            </w:r>
          </w:p>
        </w:tc>
        <w:tc>
          <w:tcPr>
            <w:tcW w:w="1216" w:type="dxa"/>
            <w:noWrap w:val="0"/>
            <w:vAlign w:val="center"/>
          </w:tcPr>
          <w:p w14:paraId="660B954E">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肉皮</w:t>
            </w:r>
          </w:p>
        </w:tc>
        <w:tc>
          <w:tcPr>
            <w:tcW w:w="6234" w:type="dxa"/>
            <w:noWrap w:val="0"/>
            <w:vAlign w:val="center"/>
          </w:tcPr>
          <w:p w14:paraId="7B22980E">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洁净无毛，无虫蛀，干爽。</w:t>
            </w:r>
          </w:p>
        </w:tc>
      </w:tr>
      <w:tr w14:paraId="31EA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37" w:type="dxa"/>
            <w:noWrap w:val="0"/>
            <w:vAlign w:val="center"/>
          </w:tcPr>
          <w:p w14:paraId="0106ABDF">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w:t>
            </w:r>
          </w:p>
        </w:tc>
        <w:tc>
          <w:tcPr>
            <w:tcW w:w="1216" w:type="dxa"/>
            <w:noWrap w:val="0"/>
            <w:vAlign w:val="center"/>
          </w:tcPr>
          <w:p w14:paraId="37312125">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玉兰片</w:t>
            </w:r>
          </w:p>
        </w:tc>
        <w:tc>
          <w:tcPr>
            <w:tcW w:w="6234" w:type="dxa"/>
            <w:noWrap w:val="0"/>
            <w:vAlign w:val="center"/>
          </w:tcPr>
          <w:p w14:paraId="6C77D86F">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色泽黄白、洁净、肉厚、纤维少、节较密。</w:t>
            </w:r>
          </w:p>
        </w:tc>
      </w:tr>
      <w:tr w14:paraId="5153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737" w:type="dxa"/>
            <w:noWrap w:val="0"/>
            <w:vAlign w:val="center"/>
          </w:tcPr>
          <w:p w14:paraId="0B722500">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w:t>
            </w:r>
          </w:p>
        </w:tc>
        <w:tc>
          <w:tcPr>
            <w:tcW w:w="1216" w:type="dxa"/>
            <w:noWrap w:val="0"/>
            <w:vAlign w:val="center"/>
          </w:tcPr>
          <w:p w14:paraId="3074F454">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黄花菜</w:t>
            </w:r>
          </w:p>
        </w:tc>
        <w:tc>
          <w:tcPr>
            <w:tcW w:w="6234" w:type="dxa"/>
            <w:noWrap w:val="0"/>
            <w:vAlign w:val="center"/>
          </w:tcPr>
          <w:p w14:paraId="78ADD348">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干燥、有清香味，菜色黄亮、身条长而粗壮、条杆粗细均匀。</w:t>
            </w:r>
          </w:p>
        </w:tc>
      </w:tr>
      <w:tr w14:paraId="0BA9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737" w:type="dxa"/>
            <w:noWrap w:val="0"/>
            <w:vAlign w:val="center"/>
          </w:tcPr>
          <w:p w14:paraId="1151F47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w:t>
            </w:r>
          </w:p>
        </w:tc>
        <w:tc>
          <w:tcPr>
            <w:tcW w:w="1216" w:type="dxa"/>
            <w:noWrap w:val="0"/>
            <w:vAlign w:val="center"/>
          </w:tcPr>
          <w:p w14:paraId="70E62BEB">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黑木耳</w:t>
            </w:r>
          </w:p>
        </w:tc>
        <w:tc>
          <w:tcPr>
            <w:tcW w:w="6234" w:type="dxa"/>
            <w:noWrap w:val="0"/>
            <w:vAlign w:val="center"/>
          </w:tcPr>
          <w:p w14:paraId="30619045">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条形大而完整，耳瓣舒展少卷曲，内厚黑，富于光泽，体干不霉，无杂质。</w:t>
            </w:r>
          </w:p>
          <w:p w14:paraId="276266E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p>
        </w:tc>
      </w:tr>
      <w:tr w14:paraId="6B78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737" w:type="dxa"/>
            <w:noWrap w:val="0"/>
            <w:vAlign w:val="center"/>
          </w:tcPr>
          <w:p w14:paraId="390B0BC6">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w:t>
            </w:r>
          </w:p>
        </w:tc>
        <w:tc>
          <w:tcPr>
            <w:tcW w:w="1216" w:type="dxa"/>
            <w:noWrap w:val="0"/>
            <w:vAlign w:val="center"/>
          </w:tcPr>
          <w:p w14:paraId="7E065F2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银耳</w:t>
            </w:r>
          </w:p>
        </w:tc>
        <w:tc>
          <w:tcPr>
            <w:tcW w:w="6234" w:type="dxa"/>
            <w:noWrap w:val="0"/>
            <w:vAlign w:val="center"/>
          </w:tcPr>
          <w:p w14:paraId="05D3B428">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朵大、色洁微黄或白、有光泽、无杂质，根小、干度足。</w:t>
            </w:r>
          </w:p>
        </w:tc>
      </w:tr>
      <w:tr w14:paraId="69C8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737" w:type="dxa"/>
            <w:noWrap w:val="0"/>
            <w:vAlign w:val="center"/>
          </w:tcPr>
          <w:p w14:paraId="5393FA3B">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w:t>
            </w:r>
          </w:p>
        </w:tc>
        <w:tc>
          <w:tcPr>
            <w:tcW w:w="1216" w:type="dxa"/>
            <w:noWrap w:val="0"/>
            <w:vAlign w:val="center"/>
          </w:tcPr>
          <w:p w14:paraId="6712BE3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香菇</w:t>
            </w:r>
          </w:p>
        </w:tc>
        <w:tc>
          <w:tcPr>
            <w:tcW w:w="6234" w:type="dxa"/>
            <w:noWrap w:val="0"/>
            <w:vAlign w:val="center"/>
          </w:tcPr>
          <w:p w14:paraId="2F2C89CB">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肉厚、干爽，有正常香菇的香气。</w:t>
            </w:r>
          </w:p>
        </w:tc>
      </w:tr>
      <w:tr w14:paraId="7653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737" w:type="dxa"/>
            <w:noWrap w:val="0"/>
            <w:vAlign w:val="center"/>
          </w:tcPr>
          <w:p w14:paraId="131DFA0B">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7</w:t>
            </w:r>
          </w:p>
        </w:tc>
        <w:tc>
          <w:tcPr>
            <w:tcW w:w="1216" w:type="dxa"/>
            <w:noWrap w:val="0"/>
            <w:vAlign w:val="center"/>
          </w:tcPr>
          <w:p w14:paraId="1B48D0D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腐竹</w:t>
            </w:r>
          </w:p>
        </w:tc>
        <w:tc>
          <w:tcPr>
            <w:tcW w:w="6234" w:type="dxa"/>
            <w:noWrap w:val="0"/>
            <w:vAlign w:val="center"/>
          </w:tcPr>
          <w:p w14:paraId="7CD80150">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色泽黄亮、干燥筋韧、无碎块。</w:t>
            </w:r>
          </w:p>
        </w:tc>
      </w:tr>
      <w:tr w14:paraId="7E25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737" w:type="dxa"/>
            <w:noWrap w:val="0"/>
            <w:vAlign w:val="center"/>
          </w:tcPr>
          <w:p w14:paraId="54DE125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8</w:t>
            </w:r>
          </w:p>
        </w:tc>
        <w:tc>
          <w:tcPr>
            <w:tcW w:w="1216" w:type="dxa"/>
            <w:noWrap w:val="0"/>
            <w:vAlign w:val="center"/>
          </w:tcPr>
          <w:p w14:paraId="588848A4">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粉丝</w:t>
            </w:r>
          </w:p>
        </w:tc>
        <w:tc>
          <w:tcPr>
            <w:tcW w:w="6234" w:type="dxa"/>
            <w:noWrap w:val="0"/>
            <w:vAlign w:val="center"/>
          </w:tcPr>
          <w:p w14:paraId="191B943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粉条细长、白净、晶莹透明、丝条均匀、整齐、干燥，不易折断，无斑点、黑迹，无霉变。</w:t>
            </w:r>
          </w:p>
        </w:tc>
      </w:tr>
      <w:tr w14:paraId="2D4D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737" w:type="dxa"/>
            <w:noWrap w:val="0"/>
            <w:vAlign w:val="center"/>
          </w:tcPr>
          <w:p w14:paraId="50F8D67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9</w:t>
            </w:r>
          </w:p>
        </w:tc>
        <w:tc>
          <w:tcPr>
            <w:tcW w:w="1216" w:type="dxa"/>
            <w:noWrap w:val="0"/>
            <w:vAlign w:val="center"/>
          </w:tcPr>
          <w:p w14:paraId="328D1173">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蹄筋</w:t>
            </w:r>
          </w:p>
        </w:tc>
        <w:tc>
          <w:tcPr>
            <w:tcW w:w="6234" w:type="dxa"/>
            <w:noWrap w:val="0"/>
            <w:vAlign w:val="center"/>
          </w:tcPr>
          <w:p w14:paraId="4AC8885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呈白色、无杂质，干、硬度高。</w:t>
            </w:r>
          </w:p>
        </w:tc>
      </w:tr>
      <w:tr w14:paraId="3B23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737" w:type="dxa"/>
            <w:noWrap w:val="0"/>
            <w:vAlign w:val="center"/>
          </w:tcPr>
          <w:p w14:paraId="202EC761">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10</w:t>
            </w:r>
          </w:p>
        </w:tc>
        <w:tc>
          <w:tcPr>
            <w:tcW w:w="1216" w:type="dxa"/>
            <w:noWrap w:val="0"/>
            <w:vAlign w:val="center"/>
          </w:tcPr>
          <w:p w14:paraId="3C4E5B1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干鱿鱼</w:t>
            </w:r>
          </w:p>
        </w:tc>
        <w:tc>
          <w:tcPr>
            <w:tcW w:w="6234" w:type="dxa"/>
            <w:noWrap w:val="0"/>
            <w:vAlign w:val="center"/>
          </w:tcPr>
          <w:p w14:paraId="4E5B5BC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体干、体形完整、光亮洁净、淡粉红色、片大头小、肉厚。</w:t>
            </w:r>
          </w:p>
        </w:tc>
      </w:tr>
      <w:tr w14:paraId="2557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737" w:type="dxa"/>
            <w:noWrap w:val="0"/>
            <w:vAlign w:val="center"/>
          </w:tcPr>
          <w:p w14:paraId="344C4BA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11</w:t>
            </w:r>
          </w:p>
        </w:tc>
        <w:tc>
          <w:tcPr>
            <w:tcW w:w="1216" w:type="dxa"/>
            <w:noWrap w:val="0"/>
            <w:vAlign w:val="center"/>
          </w:tcPr>
          <w:p w14:paraId="1B60D96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干海蛰</w:t>
            </w:r>
          </w:p>
        </w:tc>
        <w:tc>
          <w:tcPr>
            <w:tcW w:w="6234" w:type="dxa"/>
            <w:noWrap w:val="0"/>
            <w:vAlign w:val="center"/>
          </w:tcPr>
          <w:p w14:paraId="03BE254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乳白色或淡黄色、气味清新、质厚均匀、个体完整。</w:t>
            </w:r>
          </w:p>
        </w:tc>
      </w:tr>
      <w:tr w14:paraId="1BB5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7" w:type="dxa"/>
            <w:noWrap w:val="0"/>
            <w:vAlign w:val="center"/>
          </w:tcPr>
          <w:p w14:paraId="6935687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12</w:t>
            </w:r>
          </w:p>
        </w:tc>
        <w:tc>
          <w:tcPr>
            <w:tcW w:w="1216" w:type="dxa"/>
            <w:noWrap w:val="0"/>
            <w:vAlign w:val="center"/>
          </w:tcPr>
          <w:p w14:paraId="6CB3840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紫菜</w:t>
            </w:r>
          </w:p>
        </w:tc>
        <w:tc>
          <w:tcPr>
            <w:tcW w:w="6234" w:type="dxa"/>
            <w:noWrap w:val="0"/>
            <w:vAlign w:val="center"/>
          </w:tcPr>
          <w:p w14:paraId="0CFAEB0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叶薄、色紫、有清香。</w:t>
            </w:r>
          </w:p>
        </w:tc>
      </w:tr>
      <w:tr w14:paraId="6D71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7" w:type="dxa"/>
            <w:noWrap w:val="0"/>
            <w:vAlign w:val="center"/>
          </w:tcPr>
          <w:p w14:paraId="7BC49BAC">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13</w:t>
            </w:r>
          </w:p>
        </w:tc>
        <w:tc>
          <w:tcPr>
            <w:tcW w:w="1216" w:type="dxa"/>
            <w:noWrap w:val="0"/>
            <w:vAlign w:val="center"/>
          </w:tcPr>
          <w:p w14:paraId="2F7A1C2F">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发菜</w:t>
            </w:r>
          </w:p>
        </w:tc>
        <w:tc>
          <w:tcPr>
            <w:tcW w:w="6234" w:type="dxa"/>
            <w:noWrap w:val="0"/>
            <w:vAlign w:val="center"/>
          </w:tcPr>
          <w:p w14:paraId="6FBF5FCD">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zh-TW" w:eastAsia="zh-CN"/>
              </w:rPr>
            </w:pPr>
            <w:r>
              <w:rPr>
                <w:rFonts w:hint="eastAsia" w:ascii="仿宋" w:hAnsi="仿宋" w:eastAsia="仿宋" w:cs="仿宋"/>
                <w:smallCaps w:val="0"/>
                <w:sz w:val="24"/>
                <w:szCs w:val="24"/>
                <w:highlight w:val="none"/>
                <w:lang w:val="zh-TW" w:eastAsia="zh-CN"/>
              </w:rPr>
              <w:t>藻体细长、绿黑色、柔软爽滑、干燥、无杂质。</w:t>
            </w:r>
          </w:p>
        </w:tc>
      </w:tr>
      <w:tr w14:paraId="327B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87" w:type="dxa"/>
            <w:gridSpan w:val="3"/>
            <w:noWrap w:val="0"/>
            <w:vAlign w:val="center"/>
          </w:tcPr>
          <w:p w14:paraId="2B205911">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备注：表中未列明的项目，应甲方需要由乙方供给。</w:t>
            </w:r>
          </w:p>
        </w:tc>
      </w:tr>
    </w:tbl>
    <w:p w14:paraId="071A700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smallCaps w:val="0"/>
          <w:kern w:val="2"/>
          <w:sz w:val="24"/>
          <w:szCs w:val="24"/>
          <w:highlight w:val="none"/>
          <w:lang w:val="en-US" w:eastAsia="zh-CN" w:bidi="ar-SA"/>
        </w:rPr>
      </w:pPr>
    </w:p>
    <w:p w14:paraId="3031C6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3.4其他类别的食材，乙方应根据甲方要求，依据《食品安全国家标准目录》及国家相关行业标准提供。</w:t>
      </w:r>
    </w:p>
    <w:p w14:paraId="10AEC8A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（八）乙方管理要求</w:t>
      </w:r>
    </w:p>
    <w:p w14:paraId="39F31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1.投标乙方</w:t>
      </w:r>
      <w:r>
        <w:rPr>
          <w:rFonts w:hint="eastAsia" w:ascii="仿宋" w:hAnsi="仿宋" w:eastAsia="仿宋" w:cs="仿宋"/>
          <w:smallCaps w:val="0"/>
          <w:sz w:val="24"/>
          <w:szCs w:val="24"/>
          <w:highlight w:val="none"/>
          <w:lang w:eastAsia="zh-CN"/>
        </w:rPr>
        <w:t>必须依据国家有关法律法规要求建立健全各项管理制度，保证食品安全，有明确的食品安全责任人。投标文件中必须明确各类食品产品质量安全的责任人（须已在投标人单位购买社保，相关资料复印件在投标文件中提供）。因所供货物质量原因导致发生食品安全事故，甲方除上报主管部门对乙方进行解除合同等处罚外，乙方还需赔偿甲方救治</w:t>
      </w:r>
      <w:r>
        <w:rPr>
          <w:rFonts w:hint="eastAsia" w:ascii="仿宋" w:hAnsi="仿宋" w:eastAsia="仿宋" w:cs="仿宋"/>
          <w:smallCaps w:val="0"/>
          <w:sz w:val="24"/>
          <w:szCs w:val="24"/>
          <w:highlight w:val="none"/>
          <w:lang w:val="en-US" w:eastAsia="zh-CN"/>
        </w:rPr>
        <w:t>费用</w:t>
      </w:r>
      <w:r>
        <w:rPr>
          <w:rFonts w:hint="eastAsia" w:ascii="仿宋" w:hAnsi="仿宋" w:eastAsia="仿宋" w:cs="仿宋"/>
          <w:smallCaps w:val="0"/>
          <w:sz w:val="24"/>
          <w:szCs w:val="24"/>
          <w:highlight w:val="none"/>
          <w:lang w:eastAsia="zh-CN"/>
        </w:rPr>
        <w:t>及误工损失。</w:t>
      </w:r>
    </w:p>
    <w:p w14:paraId="08546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乙方应该按照甲方的要求，建立完整的各类物品追踪溯源体系，需建立专门台账，按深圳市食品进货索证和台账登记要求，按格式如实记录配送给甲方的各类物品，留存相关检验合格证明、资质证明、营业执照等有效资料，并可追踪溯源，甲方有权定期检查。</w:t>
      </w:r>
    </w:p>
    <w:p w14:paraId="62DDD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3.</w:t>
      </w:r>
      <w:r>
        <w:rPr>
          <w:rFonts w:hint="eastAsia" w:ascii="仿宋" w:hAnsi="仿宋" w:eastAsia="仿宋" w:cs="仿宋"/>
          <w:smallCaps w:val="0"/>
          <w:sz w:val="24"/>
          <w:szCs w:val="24"/>
          <w:highlight w:val="none"/>
          <w:lang w:eastAsia="zh-CN"/>
        </w:rPr>
        <w:t>乙方应做好本单位工作人员的教育工作，为甲方提供服务的人员应遵守甲方出入门岗和物品携带、保密等各项规定。乙方应特别加强对员工的保密教育（如签订保密承诺书），为甲方提供服务的人员要遵守保密法律、法规和规章制度，履行保密义务，自愿接受保密检查；不违规接触、记录、存储、复制工作中可能接触到的涉及国家机密和警务工作秘密信息，不违规留存国家秘密载体；不对外发表涉及相关工作内容的文章、信息；对确需接触的本项目招标信息，未经甲方同意前，不得擅自对外发布；如违反保密要求，乙方及其工作人员承担一切不利后果。</w:t>
      </w:r>
    </w:p>
    <w:p w14:paraId="342FCF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4.</w:t>
      </w:r>
      <w:r>
        <w:rPr>
          <w:rFonts w:hint="eastAsia" w:ascii="仿宋" w:hAnsi="仿宋" w:eastAsia="仿宋" w:cs="仿宋"/>
          <w:smallCaps w:val="0"/>
          <w:sz w:val="24"/>
          <w:szCs w:val="24"/>
          <w:highlight w:val="none"/>
          <w:lang w:eastAsia="zh-CN"/>
        </w:rPr>
        <w:t>乙方应严格按甲方要求（含名称、产地、规格和重量等）供应，所有食材品种、规格符合甲方提交的日采购计划中明确的具体需求。不得擅自变更</w:t>
      </w:r>
      <w:r>
        <w:rPr>
          <w:rFonts w:hint="eastAsia" w:ascii="仿宋" w:hAnsi="仿宋" w:eastAsia="仿宋" w:cs="仿宋"/>
          <w:smallCaps w:val="0"/>
          <w:sz w:val="24"/>
          <w:szCs w:val="24"/>
          <w:highlight w:val="none"/>
          <w:lang w:val="en-US" w:eastAsia="zh-CN"/>
        </w:rPr>
        <w:t>供应商</w:t>
      </w:r>
      <w:r>
        <w:rPr>
          <w:rFonts w:hint="eastAsia" w:ascii="仿宋" w:hAnsi="仿宋" w:eastAsia="仿宋" w:cs="仿宋"/>
          <w:smallCaps w:val="0"/>
          <w:sz w:val="24"/>
          <w:szCs w:val="24"/>
          <w:highlight w:val="none"/>
          <w:lang w:eastAsia="zh-CN"/>
        </w:rPr>
        <w:t>品，否则甲方有权拒收。若因特殊情况（如商家停产或天气因素等）确实需要变更的个别商品，经甲方同意，必须以同品质或质量更高的同类商品代替。</w:t>
      </w:r>
    </w:p>
    <w:p w14:paraId="15FAA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5.</w:t>
      </w:r>
      <w:r>
        <w:rPr>
          <w:rFonts w:hint="eastAsia" w:ascii="仿宋" w:hAnsi="仿宋" w:eastAsia="仿宋" w:cs="仿宋"/>
          <w:smallCaps w:val="0"/>
          <w:sz w:val="24"/>
          <w:szCs w:val="24"/>
          <w:highlight w:val="none"/>
          <w:lang w:eastAsia="zh-CN"/>
        </w:rPr>
        <w:t>乙方在接到通知后备齐货物，按时送抵交货地点。乙方不能按时、保质、保量供货，由甲方自行采购，乙方须承担甲方由此造成的经济损失，并接受合同约定的违约处罚。乙方除不可抗力，不得因其他任何理由延迟送货。甲方如遇特殊情况需推迟送货，应提前通知乙方。因乙方原因延误交货日期的（甲方要求推迟的除外），甲方有权自行采购，并由乙方承担由此产生的一切损失和费用。</w:t>
      </w:r>
    </w:p>
    <w:p w14:paraId="6B8F6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6.</w:t>
      </w:r>
      <w:r>
        <w:rPr>
          <w:rFonts w:hint="eastAsia" w:ascii="仿宋" w:hAnsi="仿宋" w:eastAsia="仿宋" w:cs="仿宋"/>
          <w:smallCaps w:val="0"/>
          <w:sz w:val="24"/>
          <w:szCs w:val="24"/>
          <w:highlight w:val="none"/>
          <w:lang w:eastAsia="zh-CN"/>
        </w:rPr>
        <w:t>甲方对货物进行认真验收，对不符合规格要求的商品，乙方必须无条件退货。乙方未能履行招标文件和合同所定事项，或供应不合格的、假冒伪劣、以次充好的商品、或供货时的商品与中标时的样板不符，甲方退货后将记录在案，并对乙方予以处罚，除要承担因此产生的一切损失和费用外，情节严重的，甲方将相关情况上报上级主管部门进行相应处理。</w:t>
      </w:r>
    </w:p>
    <w:p w14:paraId="3540A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7.</w:t>
      </w:r>
      <w:r>
        <w:rPr>
          <w:rFonts w:hint="eastAsia" w:ascii="仿宋" w:hAnsi="仿宋" w:eastAsia="仿宋" w:cs="仿宋"/>
          <w:smallCaps w:val="0"/>
          <w:sz w:val="24"/>
          <w:szCs w:val="24"/>
          <w:highlight w:val="none"/>
          <w:lang w:eastAsia="zh-CN"/>
        </w:rPr>
        <w:t>乙方须开具国家正式增值税发票（含餐饮发票）。</w:t>
      </w:r>
    </w:p>
    <w:p w14:paraId="489CA1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64" w:firstLineChars="200"/>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8.</w:t>
      </w:r>
      <w:r>
        <w:rPr>
          <w:rFonts w:hint="eastAsia" w:ascii="仿宋" w:hAnsi="仿宋" w:eastAsia="仿宋" w:cs="仿宋"/>
          <w:smallCaps w:val="0"/>
          <w:sz w:val="24"/>
          <w:szCs w:val="24"/>
          <w:highlight w:val="none"/>
          <w:lang w:eastAsia="zh-CN"/>
        </w:rPr>
        <w:t>食品溯源要求：对食品供应链进行明确，所有食品的来源必须清晰，尽量使用知名品牌，包装食品必须获得产品生产许可证（</w:t>
      </w:r>
      <w:r>
        <w:rPr>
          <w:rFonts w:hint="eastAsia" w:ascii="仿宋" w:hAnsi="仿宋" w:eastAsia="仿宋" w:cs="仿宋"/>
          <w:smallCaps w:val="0"/>
          <w:sz w:val="24"/>
          <w:szCs w:val="24"/>
          <w:highlight w:val="none"/>
          <w:lang w:val="en-US" w:eastAsia="zh-CN"/>
        </w:rPr>
        <w:t>SC</w:t>
      </w:r>
      <w:r>
        <w:rPr>
          <w:rFonts w:hint="eastAsia" w:ascii="仿宋" w:hAnsi="仿宋" w:eastAsia="仿宋" w:cs="仿宋"/>
          <w:smallCaps w:val="0"/>
          <w:sz w:val="24"/>
          <w:szCs w:val="24"/>
          <w:highlight w:val="none"/>
          <w:lang w:eastAsia="zh-CN"/>
        </w:rPr>
        <w:t>），来源应当是受到地方政府部门监管的业流通市场或具有相关资质的厂家生产。</w:t>
      </w:r>
    </w:p>
    <w:p w14:paraId="68D4FCEA">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9.</w:t>
      </w:r>
      <w:r>
        <w:rPr>
          <w:rFonts w:hint="eastAsia" w:ascii="仿宋" w:hAnsi="仿宋" w:eastAsia="仿宋" w:cs="仿宋"/>
          <w:smallCaps w:val="0"/>
          <w:sz w:val="24"/>
          <w:szCs w:val="24"/>
          <w:highlight w:val="none"/>
          <w:lang w:eastAsia="zh-CN"/>
        </w:rPr>
        <w:t>乙方应保存以下资料：乙方与生产企业的销售合同、生产企业的送货单和销售发票等，以备查验。</w:t>
      </w:r>
      <w:r>
        <w:rPr>
          <w:rFonts w:hint="eastAsia" w:ascii="仿宋" w:hAnsi="仿宋" w:eastAsia="仿宋" w:cs="仿宋"/>
          <w:smallCaps w:val="0"/>
          <w:sz w:val="24"/>
          <w:szCs w:val="24"/>
          <w:highlight w:val="none"/>
          <w:lang w:eastAsia="zh-CN"/>
        </w:rPr>
        <w:br w:type="textWrapping"/>
      </w:r>
      <w:r>
        <w:rPr>
          <w:rFonts w:hint="eastAsia" w:ascii="仿宋" w:hAnsi="仿宋" w:eastAsia="仿宋" w:cs="仿宋"/>
          <w:smallCaps w:val="0"/>
          <w:sz w:val="24"/>
          <w:szCs w:val="24"/>
          <w:highlight w:val="none"/>
          <w:lang w:val="en-US" w:eastAsia="zh-CN"/>
        </w:rPr>
        <w:t xml:space="preserve">    10.乙方</w:t>
      </w:r>
      <w:r>
        <w:rPr>
          <w:rFonts w:hint="eastAsia" w:ascii="仿宋" w:hAnsi="仿宋" w:eastAsia="仿宋" w:cs="仿宋"/>
          <w:smallCaps w:val="0"/>
          <w:sz w:val="24"/>
          <w:szCs w:val="24"/>
          <w:highlight w:val="none"/>
          <w:lang w:eastAsia="zh-CN"/>
        </w:rPr>
        <w:t>应购买涵盖本项目服务期限的食品安全责任保险和公众责任保险，</w:t>
      </w:r>
      <w:r>
        <w:rPr>
          <w:rFonts w:hint="eastAsia" w:ascii="仿宋" w:hAnsi="仿宋" w:eastAsia="仿宋" w:cs="仿宋"/>
          <w:smallCaps w:val="0"/>
          <w:sz w:val="24"/>
          <w:szCs w:val="24"/>
          <w:highlight w:val="none"/>
          <w:lang w:val="en-US" w:eastAsia="zh-CN"/>
        </w:rPr>
        <w:t>否则甲方有权解除本合同。</w:t>
      </w:r>
    </w:p>
    <w:p w14:paraId="1093B1B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11.乙方</w:t>
      </w:r>
      <w:r>
        <w:rPr>
          <w:rFonts w:hint="eastAsia" w:ascii="仿宋" w:hAnsi="仿宋" w:eastAsia="仿宋" w:cs="仿宋"/>
          <w:smallCaps w:val="0"/>
          <w:sz w:val="24"/>
          <w:szCs w:val="24"/>
          <w:highlight w:val="none"/>
          <w:lang w:eastAsia="zh-CN"/>
        </w:rPr>
        <w:t>应就本项目情况制定应急预案，并严格按照预案内容执行，以应对项目的各种突发情况。</w:t>
      </w:r>
    </w:p>
    <w:p w14:paraId="51A1FE91">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eastAsia="zh-CN"/>
        </w:rPr>
      </w:pPr>
      <w:r>
        <w:rPr>
          <w:rFonts w:hint="eastAsia" w:ascii="仿宋" w:hAnsi="仿宋" w:eastAsia="仿宋" w:cs="仿宋"/>
          <w:smallCaps w:val="0"/>
          <w:sz w:val="24"/>
          <w:szCs w:val="24"/>
          <w:highlight w:val="none"/>
          <w:lang w:val="en-US" w:eastAsia="zh-CN"/>
        </w:rPr>
        <w:t>12.乙方</w:t>
      </w:r>
      <w:r>
        <w:rPr>
          <w:rFonts w:hint="eastAsia" w:ascii="仿宋" w:hAnsi="仿宋" w:eastAsia="仿宋" w:cs="仿宋"/>
          <w:smallCaps w:val="0"/>
          <w:sz w:val="24"/>
          <w:szCs w:val="24"/>
          <w:highlight w:val="none"/>
          <w:lang w:eastAsia="zh-CN"/>
        </w:rPr>
        <w:t>应针对本项目提出售后服务方案，并严格按照服务方案内容执行。</w:t>
      </w:r>
    </w:p>
    <w:p w14:paraId="58F8042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（九）实施要求及监督管理</w:t>
      </w:r>
    </w:p>
    <w:p w14:paraId="275D2F6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1.乙方应按照招标要求、投标承诺及合同约定全面真实履约，接受甲方和社会各界的监督。</w:t>
      </w:r>
    </w:p>
    <w:p w14:paraId="09A93F8A">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2.乙方应将所承接的采购项目材料整理归档，妥善保管，以备查用。甲方负责对乙方提供的服务进行验收和履约评价。</w:t>
      </w:r>
    </w:p>
    <w:p w14:paraId="7C25E03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3.监管部门组织对乙方合同履约情况进行定期或不定期的监督检查，必要时可邀请权威专业机构协助检查，乙方应积极配合，并按照要求如实反映情况，提供材料。</w:t>
      </w:r>
    </w:p>
    <w:p w14:paraId="48A28D8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四、合同期限</w:t>
      </w:r>
    </w:p>
    <w:p w14:paraId="10054E3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本项目服务期限为一年，即2026年1月1日至2026年12月31日。考虑该项目属长期服务类项目，甲方可根据项目需求和乙方履约情况确定是否延长合同期限，服务期限最长不超过36个月。</w:t>
      </w:r>
    </w:p>
    <w:p w14:paraId="7ED41D7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五、付款方式</w:t>
      </w:r>
    </w:p>
    <w:p w14:paraId="6E3862A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1.本项目支付上限为人民币12,984,240元（大写：壹仟贰佰玖拾捌万肆仟贰佰肆拾元）。</w:t>
      </w:r>
    </w:p>
    <w:p w14:paraId="54DE414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2.中农数据网中有价格的产品，以中农数据网（网址：www.chinaap.com）上一个月5、15、25号（遇法定节假日顺延）公布的价格（非含费价）取平均值作为该项物资的基准价根据乙方提供的折扣率</w:t>
      </w:r>
      <w:r>
        <w:rPr>
          <w:rFonts w:hint="eastAsia" w:ascii="仿宋" w:hAnsi="仿宋" w:eastAsia="仿宋" w:cs="仿宋"/>
          <w:smallCaps w:val="0"/>
          <w:sz w:val="24"/>
          <w:szCs w:val="24"/>
          <w:highlight w:val="none"/>
          <w:u w:val="single"/>
          <w:lang w:val="en-US" w:eastAsia="zh-CN"/>
        </w:rPr>
        <w:t xml:space="preserve">      </w:t>
      </w:r>
      <w:r>
        <w:rPr>
          <w:rFonts w:hint="eastAsia" w:ascii="仿宋" w:hAnsi="仿宋" w:eastAsia="仿宋" w:cs="仿宋"/>
          <w:smallCaps w:val="0"/>
          <w:sz w:val="24"/>
          <w:szCs w:val="24"/>
          <w:highlight w:val="none"/>
          <w:lang w:val="en-US" w:eastAsia="zh-CN"/>
        </w:rPr>
        <w:t>进行结算，款项每月结算一次。甲方按现行有关规定，凭采购合同、乙方提供的足额有效发票、送货清单、验收报告等和合同约定条款按进度拨付合同款项。</w:t>
      </w:r>
      <w:r>
        <w:rPr>
          <w:rFonts w:hint="eastAsia" w:ascii="仿宋" w:hAnsi="仿宋" w:eastAsia="仿宋" w:cs="仿宋"/>
          <w:b/>
          <w:bCs/>
          <w:smallCaps w:val="0"/>
          <w:sz w:val="24"/>
          <w:szCs w:val="24"/>
          <w:highlight w:val="none"/>
          <w:lang w:val="en-US" w:eastAsia="zh-CN"/>
        </w:rPr>
        <w:t>甲方按照相关程序提交财政支付申办手续即为已履行支付义务，如因政府有关部门超期审批等原因造成甲方付款迟延的，不视为甲方违约。</w:t>
      </w:r>
    </w:p>
    <w:p w14:paraId="4BD4310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3.深圳市中农数据有限公司（天天采购平台）中无价格的产品，则结算时价格=折扣率*市场价（市场价由甲方组织调查小组到大型超市或农贸市场进行考察确定价格的合理性）。</w:t>
      </w:r>
    </w:p>
    <w:p w14:paraId="2CE5809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所有食材的报价包括供应食材和食材运输到甲方的服务费、运费、装卸费、检测费、人工费、管理费、保险、税金等一切将可能发生的费用。以人民币为报价和结算单位，并开具国家正规发票。每次付款前，乙方应开具符合国家规定的当次支付金额的全额发票给甲方，否则甲方有权延迟付款。</w:t>
      </w:r>
    </w:p>
    <w:p w14:paraId="2C4658B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每年12月16日至12月31日款项，由采购人与供应商提前协商确定该时间段的送货清单并根据采购人实际财政情况协商提前结算或正常按月结算。若双方协商决定选择提前结算，供应商应开具履约保函，保函标的为本合同提前结算部分的食材配送服务金额，保函有效期应不少于项目合同期结束后一个月，保函具体金额由采购人与供应商协商确定。</w:t>
      </w:r>
    </w:p>
    <w:p w14:paraId="7355A14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6.乙方收款信息：</w:t>
      </w:r>
    </w:p>
    <w:p w14:paraId="10B1AD0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户名：                                    </w:t>
      </w:r>
    </w:p>
    <w:p w14:paraId="4E94821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收款账号：                             </w:t>
      </w:r>
    </w:p>
    <w:p w14:paraId="06433FC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开户银行：                                 </w:t>
      </w:r>
    </w:p>
    <w:p w14:paraId="48C6E277">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六、违约责任</w:t>
      </w:r>
    </w:p>
    <w:p w14:paraId="68BBC3D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乙方应按照招标要求、投标承诺及合同约定全面真实履约，接受甲方和社会各界的监督。乙方应将所承接的采购项目材料整理归档，妥善保管，以备查用。使用单位负责对服务乙方提供的服务进行验收和履约评价。监管部门组织对乙方合同履约情况进行定期或不定期的监督检查，必要时可邀请权威专业机构协助检查，乙方应积极配合，并按照要求如实反映情况，提供材料。</w:t>
      </w:r>
    </w:p>
    <w:p w14:paraId="16802B6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（一）发生以下情形，经调查属实的，次月结算予以扣除乙方当月货款费的5%作为违约金：</w:t>
      </w:r>
    </w:p>
    <w:p w14:paraId="7BC2C21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1.未按要求随货提供相关票证；</w:t>
      </w:r>
    </w:p>
    <w:p w14:paraId="0A9A6F1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2.货物质量验收不合格；</w:t>
      </w:r>
    </w:p>
    <w:p w14:paraId="4430454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3.未按甲方采购计划的时间供货（提前一天与甲方协商除外）；</w:t>
      </w:r>
    </w:p>
    <w:p w14:paraId="262C0BC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4.供货数量仅为甲方采购计划数量的80%-90%；</w:t>
      </w:r>
    </w:p>
    <w:p w14:paraId="3E44E67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5.未按甲方指定秩序卸货；</w:t>
      </w:r>
    </w:p>
    <w:p w14:paraId="57E15BB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6.货物出现质量问题，乙方不积极配合查找原因，不及时反馈处理结果；</w:t>
      </w:r>
    </w:p>
    <w:p w14:paraId="3FA7FDDE">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7.乙方的工作人员不遵守甲方管理规定。</w:t>
      </w:r>
    </w:p>
    <w:p w14:paraId="1F01422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（二）发生以下情形，经调查属实的，次月结算予以扣除当月货款费的10%作为违约金：</w:t>
      </w:r>
    </w:p>
    <w:p w14:paraId="591322F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1.供应货物品种、品牌、规格或质量等级与合同不符；</w:t>
      </w:r>
    </w:p>
    <w:p w14:paraId="35AFDD1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2.提供虚假检验报告等相关票证；</w:t>
      </w:r>
    </w:p>
    <w:p w14:paraId="76E2DD77">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3.供货数量低于甲方采购计划数量的80%；</w:t>
      </w:r>
    </w:p>
    <w:p w14:paraId="1EA0D78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4.同一品种货物连续两次验收发现质量不合格产品并退货；</w:t>
      </w:r>
    </w:p>
    <w:p w14:paraId="733326D1">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5.把甲方验收不合格退货的货物重新配送给甲方；</w:t>
      </w:r>
    </w:p>
    <w:p w14:paraId="20CB2AF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6.在包装、运输、装卸等环节不符合食品安全要求；</w:t>
      </w:r>
    </w:p>
    <w:p w14:paraId="0261B97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7.组织机构发生调整，或经营场所、联系人、联系方式变更，未及时通知甲方，造成无法及时联系；</w:t>
      </w:r>
    </w:p>
    <w:p w14:paraId="6025363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8.食品溯源管理制度不落实，进货查验记录不全。</w:t>
      </w:r>
    </w:p>
    <w:p w14:paraId="38B1C97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（三）发生以下情形，经调查属实的，次月结算予以扣除当月货款费的20%作为违约金：</w:t>
      </w:r>
    </w:p>
    <w:p w14:paraId="1E31694E">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1.乙方的工作人员不遵守甲方的管理规定，对甲方工作造成一定负面影响的；</w:t>
      </w:r>
    </w:p>
    <w:p w14:paraId="6B81645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2.乙方提供假冒伪劣、以次充好、过期产品的。</w:t>
      </w:r>
    </w:p>
    <w:p w14:paraId="28AA739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（四）乙方在合同执行期间，有下列情况之一的，经查属实，甲方有权上报主管部门进行解约等处理，并追究相关法律和经济责任：</w:t>
      </w:r>
    </w:p>
    <w:p w14:paraId="55A3A08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1.弄虚作假、隐瞒真实情况骗取入围乙方资格的；</w:t>
      </w:r>
    </w:p>
    <w:p w14:paraId="762C164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2.非法手段排斥其他乙方参与竞争的；</w:t>
      </w:r>
    </w:p>
    <w:p w14:paraId="7DA1A5F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3.违反规定、约定的，或者挂靠的；</w:t>
      </w:r>
    </w:p>
    <w:p w14:paraId="1F3AE31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4.恶意质疑投诉的；</w:t>
      </w:r>
    </w:p>
    <w:p w14:paraId="47F2899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5.因其公司资质降低达不到入围乙方资质条件的，或被行业主管部门责令停业或取消资质的；</w:t>
      </w:r>
    </w:p>
    <w:p w14:paraId="04D2D2B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6.拖欠工人工资、经劳动或其他政府部门催告或通报仍不清偿的；</w:t>
      </w:r>
    </w:p>
    <w:p w14:paraId="4508889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7.拒绝有关部门检查或者不如实反映情况，提供材料的；</w:t>
      </w:r>
    </w:p>
    <w:p w14:paraId="0C2A7DE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8.向采购项目相关人行贿或者提供其他不正当利益的；</w:t>
      </w:r>
    </w:p>
    <w:p w14:paraId="42F012C0">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9.选定后无正当理由不与甲方签订合同的；</w:t>
      </w:r>
    </w:p>
    <w:p w14:paraId="186ED1C7">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10.擅自变更或者中止采购服务合同的；</w:t>
      </w:r>
    </w:p>
    <w:p w14:paraId="3E212EE0">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11.不按采购需求、投标文件以及采购服务合同要求全面履约，履约情况评价不合格的；</w:t>
      </w:r>
    </w:p>
    <w:p w14:paraId="296E00F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12.未按规定出具检测报告或相关承诺书等资料达到二次的；</w:t>
      </w:r>
    </w:p>
    <w:p w14:paraId="3DB0B4C1">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13.经核实配送物资不符合甲方要求达到三次的；</w:t>
      </w:r>
    </w:p>
    <w:p w14:paraId="499A47A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14.不按要求提供报价达到三次的；</w:t>
      </w:r>
    </w:p>
    <w:p w14:paraId="79D43E9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15.虚高报价达到三次的；</w:t>
      </w:r>
    </w:p>
    <w:p w14:paraId="59FC0187">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16.物资或服务以次充好，存在严重质量问题的；</w:t>
      </w:r>
    </w:p>
    <w:p w14:paraId="1AD64B4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17.因供应的货物质量达不到国家有关食品安全标准而造成食物中毒或其它后果，经公安单位或卫生防疫部门鉴定属于供货方（配送单位）责任的；</w:t>
      </w:r>
    </w:p>
    <w:p w14:paraId="20AE3A6A">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18.经2次以上（含2次）的有效投诉处理仍不纠正的，有效投诉指的是乙方被投诉内容经查实确定为违反服务合同或其他协议规定的事实；</w:t>
      </w:r>
    </w:p>
    <w:p w14:paraId="7E09C0D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19.乙方工作人员不遵守甲方管理规定，特别是保密规定，造成严重后果或恶劣影响的。</w:t>
      </w:r>
    </w:p>
    <w:p w14:paraId="05C70F6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20.其他违反法律、法规、协议规定的行为，造成严重后果的。</w:t>
      </w:r>
    </w:p>
    <w:p w14:paraId="72943A8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七、履约验收方案</w:t>
      </w:r>
    </w:p>
    <w:p w14:paraId="73FE2387">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zh-CN" w:eastAsia="zh-CN"/>
        </w:rPr>
      </w:pPr>
      <w:r>
        <w:rPr>
          <w:rFonts w:hint="eastAsia" w:ascii="仿宋" w:hAnsi="仿宋" w:eastAsia="仿宋" w:cs="仿宋"/>
          <w:smallCaps w:val="0"/>
          <w:sz w:val="24"/>
          <w:szCs w:val="24"/>
          <w:highlight w:val="none"/>
          <w:lang w:val="en-US" w:eastAsia="zh-CN"/>
        </w:rPr>
        <w:t>4.1</w:t>
      </w:r>
      <w:r>
        <w:rPr>
          <w:rFonts w:hint="eastAsia" w:ascii="仿宋" w:hAnsi="仿宋" w:eastAsia="仿宋" w:cs="仿宋"/>
          <w:smallCaps w:val="0"/>
          <w:sz w:val="24"/>
          <w:szCs w:val="24"/>
          <w:highlight w:val="none"/>
          <w:lang w:val="zh-CN" w:eastAsia="zh-CN"/>
        </w:rPr>
        <w:t>履约验收主体：</w:t>
      </w:r>
      <w:r>
        <w:rPr>
          <w:rFonts w:hint="eastAsia" w:ascii="仿宋" w:hAnsi="仿宋" w:eastAsia="仿宋" w:cs="仿宋"/>
          <w:smallCaps w:val="0"/>
          <w:sz w:val="24"/>
          <w:szCs w:val="24"/>
          <w:highlight w:val="none"/>
          <w:lang w:val="en-US" w:eastAsia="zh-CN"/>
        </w:rPr>
        <w:t>深圳市公安局监所管理支队、深圳市第一、第二看守所</w:t>
      </w:r>
      <w:r>
        <w:rPr>
          <w:rFonts w:hint="eastAsia" w:ascii="仿宋" w:hAnsi="仿宋" w:eastAsia="仿宋" w:cs="仿宋"/>
          <w:smallCaps w:val="0"/>
          <w:sz w:val="24"/>
          <w:szCs w:val="24"/>
          <w:highlight w:val="none"/>
          <w:lang w:val="zh-CN" w:eastAsia="zh-CN"/>
        </w:rPr>
        <w:t>。</w:t>
      </w:r>
    </w:p>
    <w:p w14:paraId="35AC306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zh-CN" w:eastAsia="zh-CN"/>
        </w:rPr>
      </w:pPr>
      <w:r>
        <w:rPr>
          <w:rFonts w:hint="eastAsia" w:ascii="仿宋" w:hAnsi="仿宋" w:eastAsia="仿宋" w:cs="仿宋"/>
          <w:smallCaps w:val="0"/>
          <w:sz w:val="24"/>
          <w:szCs w:val="24"/>
          <w:highlight w:val="none"/>
          <w:lang w:val="en-US" w:eastAsia="zh-CN"/>
        </w:rPr>
        <w:t>4.2</w:t>
      </w:r>
      <w:r>
        <w:rPr>
          <w:rFonts w:hint="eastAsia" w:ascii="仿宋" w:hAnsi="仿宋" w:eastAsia="仿宋" w:cs="仿宋"/>
          <w:smallCaps w:val="0"/>
          <w:sz w:val="24"/>
          <w:szCs w:val="24"/>
          <w:highlight w:val="none"/>
          <w:lang w:val="zh-CN" w:eastAsia="zh-CN"/>
        </w:rPr>
        <w:t>履约验收方式：本项目包含民警饭堂和在押人员伙房。</w:t>
      </w:r>
      <w:r>
        <w:rPr>
          <w:rFonts w:hint="eastAsia" w:ascii="仿宋" w:hAnsi="仿宋" w:eastAsia="仿宋" w:cs="仿宋"/>
          <w:smallCaps w:val="0"/>
          <w:sz w:val="24"/>
          <w:szCs w:val="24"/>
          <w:highlight w:val="none"/>
          <w:lang w:val="en-US" w:eastAsia="zh-CN"/>
        </w:rPr>
        <w:t>甲方</w:t>
      </w:r>
      <w:r>
        <w:rPr>
          <w:rFonts w:hint="eastAsia" w:ascii="仿宋" w:hAnsi="仿宋" w:eastAsia="仿宋" w:cs="仿宋"/>
          <w:smallCaps w:val="0"/>
          <w:sz w:val="24"/>
          <w:szCs w:val="24"/>
          <w:highlight w:val="none"/>
          <w:lang w:val="zh-CN" w:eastAsia="zh-CN"/>
        </w:rPr>
        <w:t>根据项目情况成立两个验收小组：民警饭堂验收小组和在押人员伙房验收小组。验收小组根据职责分别对</w:t>
      </w:r>
      <w:r>
        <w:rPr>
          <w:rFonts w:hint="eastAsia" w:ascii="仿宋" w:hAnsi="仿宋" w:eastAsia="仿宋" w:cs="仿宋"/>
          <w:smallCaps w:val="0"/>
          <w:sz w:val="24"/>
          <w:szCs w:val="24"/>
          <w:highlight w:val="none"/>
          <w:lang w:val="en-US" w:eastAsia="zh-CN"/>
        </w:rPr>
        <w:t>乙方</w:t>
      </w:r>
      <w:r>
        <w:rPr>
          <w:rFonts w:hint="eastAsia" w:ascii="仿宋" w:hAnsi="仿宋" w:eastAsia="仿宋" w:cs="仿宋"/>
          <w:smallCaps w:val="0"/>
          <w:sz w:val="24"/>
          <w:szCs w:val="24"/>
          <w:highlight w:val="none"/>
          <w:lang w:val="zh-CN" w:eastAsia="zh-CN"/>
        </w:rPr>
        <w:t>在民警饭堂和在押人员伙房提供的食材配送服务履行日常考核、月度考核及年度考核的动态考核评价机制。</w:t>
      </w:r>
    </w:p>
    <w:p w14:paraId="0EC9584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4.3</w:t>
      </w:r>
      <w:r>
        <w:rPr>
          <w:rFonts w:hint="eastAsia" w:ascii="仿宋" w:hAnsi="仿宋" w:eastAsia="仿宋" w:cs="仿宋"/>
          <w:smallCaps w:val="0"/>
          <w:sz w:val="24"/>
          <w:szCs w:val="24"/>
          <w:highlight w:val="none"/>
          <w:lang w:val="zh-CN" w:eastAsia="zh-CN"/>
        </w:rPr>
        <w:t>履约验收程序：</w:t>
      </w:r>
      <w:r>
        <w:rPr>
          <w:rFonts w:hint="eastAsia" w:ascii="仿宋" w:hAnsi="仿宋" w:eastAsia="仿宋" w:cs="仿宋"/>
          <w:smallCaps w:val="0"/>
          <w:sz w:val="24"/>
          <w:szCs w:val="24"/>
          <w:highlight w:val="none"/>
          <w:lang w:val="en-US" w:eastAsia="zh-CN"/>
        </w:rPr>
        <w:t>（1）日常考核要求：乙方应保证所供货物品种和数量、重量的准确性，乙方应建立采购和供应台账，确定专人负责验收和送货。每日食材验收由甲方当天的值班民警和值班食堂工作人员两人共同现场进行，核验配送食材的质量和数量。验收以甲方的验货数量为准，乙方每次随货送上一式两份的送货清单，供甲方值班民警和食堂工作人员共同核验无误后签字确认，甲乙双方各持一份，作为送、收货及结算数量的凭证。如有供货异常情况，则进行登记（见附件2）。对于出现质量、数量不符合要求等现象，甲方有权要求乙方及时退换，并按合同约定作出相应罚款处罚，乙方必须无条件退换，并保证正常就餐。日常考核将作为月度考核和年度考核的重要依据。</w:t>
      </w:r>
    </w:p>
    <w:p w14:paraId="4E0F88F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月度考核要求：在进行月度款项支付前，根据所支付月度内的食材配送日常考核情况，结合月度内用餐人员数据（提供民警饭堂用餐人员名单和在押人员每日押量数据）与人员食材标准落实情况，依照《供应商月度履约评价表》（见附件3）进行月度评分考核，出具《深圳市公安局政府采购项目履约验收报告》。</w:t>
      </w:r>
    </w:p>
    <w:p w14:paraId="33126D4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（3）合同期考核：考评小组参考日常考核及月度考核的结果，按照《深圳市公安局政府采购项目履约验收报告》对乙方总合同期服务进行一次总评，履约评价为差的上报主管部门。</w:t>
      </w:r>
    </w:p>
    <w:p w14:paraId="25CD0A5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zh-CN" w:eastAsia="zh-CN"/>
        </w:rPr>
      </w:pPr>
      <w:r>
        <w:rPr>
          <w:rFonts w:hint="eastAsia" w:ascii="仿宋" w:hAnsi="仿宋" w:eastAsia="仿宋" w:cs="仿宋"/>
          <w:smallCaps w:val="0"/>
          <w:sz w:val="24"/>
          <w:szCs w:val="24"/>
          <w:highlight w:val="none"/>
          <w:lang w:val="en-US" w:eastAsia="zh-CN"/>
        </w:rPr>
        <w:t>4.5</w:t>
      </w:r>
      <w:r>
        <w:rPr>
          <w:rFonts w:hint="eastAsia" w:ascii="仿宋" w:hAnsi="仿宋" w:eastAsia="仿宋" w:cs="仿宋"/>
          <w:smallCaps w:val="0"/>
          <w:sz w:val="24"/>
          <w:szCs w:val="24"/>
          <w:highlight w:val="none"/>
          <w:lang w:val="zh-CN" w:eastAsia="zh-CN"/>
        </w:rPr>
        <w:t>履约验收内容：包括招标文件、投标文件及本合同约定的内容。</w:t>
      </w:r>
    </w:p>
    <w:p w14:paraId="3A99537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4.6</w:t>
      </w:r>
      <w:r>
        <w:rPr>
          <w:rFonts w:hint="eastAsia" w:ascii="仿宋" w:hAnsi="仿宋" w:eastAsia="仿宋" w:cs="仿宋"/>
          <w:smallCaps w:val="0"/>
          <w:sz w:val="24"/>
          <w:szCs w:val="24"/>
          <w:highlight w:val="none"/>
          <w:lang w:val="zh-CN" w:eastAsia="zh-CN"/>
        </w:rPr>
        <w:t>验收标准：</w:t>
      </w:r>
      <w:r>
        <w:rPr>
          <w:rFonts w:hint="eastAsia" w:ascii="仿宋" w:hAnsi="仿宋" w:eastAsia="仿宋" w:cs="仿宋"/>
          <w:smallCaps w:val="0"/>
          <w:sz w:val="24"/>
          <w:szCs w:val="24"/>
          <w:highlight w:val="none"/>
          <w:lang w:val="en-US" w:eastAsia="zh-CN"/>
        </w:rPr>
        <w:t>乙方</w:t>
      </w:r>
      <w:r>
        <w:rPr>
          <w:rFonts w:hint="eastAsia" w:ascii="仿宋" w:hAnsi="仿宋" w:eastAsia="仿宋" w:cs="仿宋"/>
          <w:smallCaps w:val="0"/>
          <w:sz w:val="24"/>
          <w:szCs w:val="24"/>
          <w:highlight w:val="none"/>
          <w:lang w:val="zh-CN" w:eastAsia="zh-CN"/>
        </w:rPr>
        <w:t>已按照合同约定提供了全部服务和完整的验收资料，且经过双方检验认可后，可签署验收报告。</w:t>
      </w:r>
    </w:p>
    <w:p w14:paraId="6BCB1C6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八、保密要求</w:t>
      </w:r>
    </w:p>
    <w:p w14:paraId="4FB0059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由甲方提供的与本项目有关的所有资料在提供给乙方时，均被视为保密的，乙方不得将其泄漏给除甲方或其指定的代表之外的任何人、企业或公司，不管本合同因何种原因终止，本条款一直约束乙方，本保密条款具有永久效力。</w:t>
      </w:r>
    </w:p>
    <w:p w14:paraId="1907947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2.乙方在履行合同过程中所获得或接触到的任何内部数据资料，未经甲方同意，不得向第三方透露。</w:t>
      </w:r>
    </w:p>
    <w:p w14:paraId="261EDA2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3.乙方实施项目的一切程序都应符合国家安全、保密的有关规定和标准。</w:t>
      </w:r>
    </w:p>
    <w:p w14:paraId="3B59E34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甲方需与乙方签订项目保密协议（见附件1），乙方应对项目服务人员进行岗前保密培训并与项目服务人员签订保密协议，工作期间定期开展保密培训教育会议加强工作人员保密意识。如乙方或乙方委派人员违反保密要求并造成重大损失的，乙方应承担全部损失，并依法承担相关法律责任。</w:t>
      </w:r>
    </w:p>
    <w:p w14:paraId="5F173560">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5.甲方场地的建筑结构、周边环境、安防技防设施、警力部署等都属于警务工作秘密，乙方及其工作人员不得以任何方式对外泄露。</w:t>
      </w:r>
    </w:p>
    <w:p w14:paraId="5F13547C">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6.合同履行完毕，未经甲方的书面同意，乙方不得保存在履行合同过程中所获得或接触到的任何内部数据资料。</w:t>
      </w:r>
    </w:p>
    <w:p w14:paraId="32C2F4F9">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7.乙方不得依据本合同所形成的法律关系，在对外公开业绩宣传、宣讲、展示活动中擅自使用甲方单位名称。如乙方确需使用，应事先向甲方提交书面申请，明确使用场合、受众范围、用途情况等必要事项，以及拟公开的相关书面稿件、图片等；未经甲方书面批准，禁止在上述活动中使用甲方单位名称。</w:t>
      </w:r>
    </w:p>
    <w:p w14:paraId="3E0739B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8.保密期限自本合同签订生效之日起至保密信息被依法公开披露或成为公开信息之日止。合同变更、中止、终止或者解除不视为免除保密义务，乙方仍应当承担保密义务。</w:t>
      </w:r>
    </w:p>
    <w:p w14:paraId="1CB1D08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九、争议的解决</w:t>
      </w:r>
    </w:p>
    <w:p w14:paraId="56C46B5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 xml:space="preserve">合同执行过程中发生的任何争议，如双方不能通过友好协商解决，任何一方均可向甲方所在地人民法院提起诉讼。     </w:t>
      </w:r>
    </w:p>
    <w:p w14:paraId="319A827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十、不可抗力</w:t>
      </w:r>
    </w:p>
    <w:p w14:paraId="3092DA8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33AA0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十一、其他</w:t>
      </w:r>
    </w:p>
    <w:p w14:paraId="78C85810">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1.乙方加工人员和配送人员在服务过程中如遇到人员伤亡事故或对第三人造成侵权的由乙方负处理并承担全部责任，与甲方无关。</w:t>
      </w:r>
    </w:p>
    <w:p w14:paraId="1121601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2.本合同所有附件、招标文件、投标文件、中标通知书均为合同的有效组成部分，与本合同具有同等法律效力，如有抵触的，实质性内容应以采购文件为准。</w:t>
      </w:r>
    </w:p>
    <w:p w14:paraId="718351F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3.在执行本合同的过程中，所有经双方签署确认的文件（包括会议纪要、补充协议、往来信函）即成为本合同的有效组成部分。</w:t>
      </w:r>
    </w:p>
    <w:p w14:paraId="5124516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4.除甲方事先书面同意外，乙方不得部分或全部转让其应履行的合同项下的义务。</w:t>
      </w:r>
    </w:p>
    <w:p w14:paraId="275F013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十二、合同生效</w:t>
      </w:r>
    </w:p>
    <w:p w14:paraId="1FE844F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1.本合同在甲乙双方法定代表人或其授权代表签字盖章后生效。</w:t>
      </w:r>
    </w:p>
    <w:p w14:paraId="414D3623">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2.合同一式伍份，甲方执叁份，乙方执贰份，具有同等法律效力。</w:t>
      </w:r>
    </w:p>
    <w:p w14:paraId="0CD0925A">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3.本合同未尽事宜，双方友好协商，达成解决方案，经双方签字后，可作为本合同的有效附件。</w:t>
      </w:r>
    </w:p>
    <w:p w14:paraId="5898B3CD">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4.双方确认位于协议首部的送达地址适用范围包括双方非诉时各类通知、协议等文件以及就合同发生纠纷时法律文书和相关文件的送达，同时包括在争议进入民事诉讼程序后的一审、二审、再审和执行程序。任何一方送达地址需要变更时应当提前3日书面通知对方，未履行通知义务，该地址仍视为有效送达地址。</w:t>
      </w:r>
    </w:p>
    <w:p w14:paraId="261206D0">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（以下无正文，为合同签署页）</w:t>
      </w:r>
    </w:p>
    <w:p w14:paraId="66E6CE5F">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mallCaps w:val="0"/>
          <w:sz w:val="24"/>
          <w:szCs w:val="24"/>
          <w:highlight w:val="none"/>
          <w:lang w:val="en-US" w:eastAsia="zh-CN"/>
        </w:rPr>
      </w:pPr>
    </w:p>
    <w:p w14:paraId="261A776D">
      <w:pPr>
        <w:keepNext w:val="0"/>
        <w:keepLines w:val="0"/>
        <w:pageBreakBefore w:val="0"/>
        <w:widowControl w:val="0"/>
        <w:kinsoku/>
        <w:wordWrap/>
        <w:overflowPunct/>
        <w:topLinePunct w:val="0"/>
        <w:bidi w:val="0"/>
        <w:snapToGrid/>
        <w:spacing w:line="560" w:lineRule="exact"/>
        <w:ind w:firstLine="480"/>
        <w:jc w:val="both"/>
        <w:textAlignment w:val="auto"/>
        <w:rPr>
          <w:rFonts w:hint="eastAsia" w:ascii="仿宋" w:hAnsi="仿宋" w:eastAsia="仿宋" w:cs="仿宋"/>
          <w:b/>
          <w:sz w:val="24"/>
          <w:szCs w:val="24"/>
          <w:highlight w:val="none"/>
          <w:shd w:val="clear" w:color="auto" w:fill="FFFFFF"/>
          <w:lang w:val="en-US" w:eastAsia="zh-Hans" w:bidi="ar-SA"/>
        </w:rPr>
      </w:pPr>
    </w:p>
    <w:p w14:paraId="144EFE76">
      <w:pPr>
        <w:keepNext w:val="0"/>
        <w:keepLines w:val="0"/>
        <w:pageBreakBefore w:val="0"/>
        <w:widowControl w:val="0"/>
        <w:kinsoku/>
        <w:wordWrap/>
        <w:overflowPunct/>
        <w:topLinePunct w:val="0"/>
        <w:bidi w:val="0"/>
        <w:snapToGrid/>
        <w:spacing w:line="560" w:lineRule="exact"/>
        <w:ind w:firstLine="0"/>
        <w:jc w:val="both"/>
        <w:textAlignment w:val="auto"/>
        <w:rPr>
          <w:rFonts w:hint="eastAsia" w:ascii="仿宋" w:hAnsi="仿宋" w:eastAsia="仿宋" w:cs="仿宋"/>
          <w:b/>
          <w:sz w:val="24"/>
          <w:szCs w:val="24"/>
          <w:highlight w:val="none"/>
          <w:shd w:val="clear" w:color="auto" w:fill="FFFFFF"/>
          <w:lang w:val="en-US" w:eastAsia="zh-Hans" w:bidi="ar-SA"/>
        </w:rPr>
      </w:pPr>
      <w:r>
        <w:rPr>
          <w:rFonts w:hint="eastAsia" w:ascii="仿宋" w:hAnsi="仿宋" w:eastAsia="仿宋" w:cs="仿宋"/>
          <w:b/>
          <w:sz w:val="24"/>
          <w:szCs w:val="24"/>
          <w:highlight w:val="none"/>
          <w:shd w:val="clear" w:color="auto" w:fill="FFFFFF"/>
          <w:lang w:val="en-US" w:eastAsia="zh-Hans" w:bidi="ar-SA"/>
        </w:rPr>
        <w:t xml:space="preserve">甲方（盖章）：   </w:t>
      </w:r>
      <w:r>
        <w:rPr>
          <w:rFonts w:hint="eastAsia" w:ascii="仿宋" w:hAnsi="仿宋" w:eastAsia="仿宋" w:cs="仿宋"/>
          <w:b/>
          <w:sz w:val="24"/>
          <w:szCs w:val="24"/>
          <w:highlight w:val="none"/>
          <w:shd w:val="clear" w:color="auto" w:fill="FFFFFF"/>
          <w:lang w:val="en-US" w:eastAsia="zh-CN" w:bidi="ar-SA"/>
        </w:rPr>
        <w:t xml:space="preserve">      </w:t>
      </w:r>
      <w:r>
        <w:rPr>
          <w:rFonts w:hint="eastAsia" w:ascii="仿宋" w:hAnsi="仿宋" w:eastAsia="仿宋" w:cs="仿宋"/>
          <w:b/>
          <w:sz w:val="24"/>
          <w:szCs w:val="24"/>
          <w:highlight w:val="none"/>
          <w:shd w:val="clear" w:color="auto" w:fill="FFFFFF"/>
          <w:lang w:val="en-US" w:eastAsia="zh-Hans" w:bidi="ar-SA"/>
        </w:rPr>
        <w:t xml:space="preserve">       乙方（盖章）：</w:t>
      </w:r>
    </w:p>
    <w:p w14:paraId="7B37F24D">
      <w:pPr>
        <w:keepNext w:val="0"/>
        <w:keepLines w:val="0"/>
        <w:pageBreakBefore w:val="0"/>
        <w:widowControl w:val="0"/>
        <w:kinsoku/>
        <w:wordWrap/>
        <w:overflowPunct/>
        <w:topLinePunct w:val="0"/>
        <w:bidi w:val="0"/>
        <w:snapToGrid/>
        <w:spacing w:line="560" w:lineRule="exact"/>
        <w:ind w:firstLine="480"/>
        <w:jc w:val="both"/>
        <w:textAlignment w:val="auto"/>
        <w:rPr>
          <w:rFonts w:hint="eastAsia" w:ascii="仿宋" w:hAnsi="仿宋" w:eastAsia="仿宋" w:cs="仿宋"/>
          <w:b/>
          <w:sz w:val="24"/>
          <w:szCs w:val="24"/>
          <w:highlight w:val="none"/>
          <w:shd w:val="clear" w:color="auto" w:fill="FFFFFF"/>
          <w:lang w:val="en-US" w:eastAsia="zh-Hans" w:bidi="ar-SA"/>
        </w:rPr>
      </w:pPr>
    </w:p>
    <w:p w14:paraId="7588D752">
      <w:pPr>
        <w:keepNext w:val="0"/>
        <w:keepLines w:val="0"/>
        <w:pageBreakBefore w:val="0"/>
        <w:widowControl w:val="0"/>
        <w:kinsoku/>
        <w:wordWrap/>
        <w:overflowPunct/>
        <w:topLinePunct w:val="0"/>
        <w:bidi w:val="0"/>
        <w:snapToGrid/>
        <w:spacing w:line="560" w:lineRule="exact"/>
        <w:ind w:firstLine="0"/>
        <w:jc w:val="both"/>
        <w:textAlignment w:val="auto"/>
        <w:rPr>
          <w:rFonts w:hint="eastAsia" w:ascii="仿宋" w:hAnsi="仿宋" w:eastAsia="仿宋" w:cs="仿宋"/>
          <w:b/>
          <w:sz w:val="24"/>
          <w:szCs w:val="24"/>
          <w:highlight w:val="none"/>
          <w:shd w:val="clear" w:color="auto" w:fill="FFFFFF"/>
          <w:lang w:val="en-US" w:eastAsia="zh-CN" w:bidi="ar-SA"/>
        </w:rPr>
      </w:pPr>
    </w:p>
    <w:p w14:paraId="3A13CDD5">
      <w:pPr>
        <w:keepNext w:val="0"/>
        <w:keepLines w:val="0"/>
        <w:pageBreakBefore w:val="0"/>
        <w:widowControl w:val="0"/>
        <w:kinsoku/>
        <w:wordWrap/>
        <w:overflowPunct/>
        <w:topLinePunct w:val="0"/>
        <w:bidi w:val="0"/>
        <w:snapToGrid/>
        <w:spacing w:line="560" w:lineRule="exact"/>
        <w:ind w:firstLine="0"/>
        <w:jc w:val="both"/>
        <w:textAlignment w:val="auto"/>
        <w:rPr>
          <w:rFonts w:hint="eastAsia" w:ascii="仿宋" w:hAnsi="仿宋" w:eastAsia="仿宋" w:cs="仿宋"/>
          <w:b/>
          <w:sz w:val="24"/>
          <w:szCs w:val="24"/>
          <w:highlight w:val="none"/>
          <w:shd w:val="clear" w:color="auto" w:fill="FFFFFF"/>
          <w:lang w:val="en-US" w:eastAsia="zh-CN" w:bidi="ar-SA"/>
        </w:rPr>
      </w:pPr>
      <w:r>
        <w:rPr>
          <w:rFonts w:hint="eastAsia" w:ascii="仿宋" w:hAnsi="仿宋" w:eastAsia="仿宋" w:cs="仿宋"/>
          <w:b/>
          <w:sz w:val="24"/>
          <w:szCs w:val="24"/>
          <w:highlight w:val="none"/>
          <w:shd w:val="clear" w:color="auto" w:fill="FFFFFF"/>
          <w:lang w:val="en-US" w:eastAsia="zh-CN" w:bidi="ar-SA"/>
        </w:rPr>
        <w:t>法定</w:t>
      </w:r>
      <w:r>
        <w:rPr>
          <w:rFonts w:hint="eastAsia" w:ascii="仿宋" w:hAnsi="仿宋" w:eastAsia="仿宋" w:cs="仿宋"/>
          <w:b/>
          <w:sz w:val="24"/>
          <w:szCs w:val="24"/>
          <w:highlight w:val="none"/>
          <w:shd w:val="clear" w:color="auto" w:fill="FFFFFF"/>
          <w:lang w:val="en-US" w:eastAsia="zh-Hans" w:bidi="ar-SA"/>
        </w:rPr>
        <w:t>代表</w:t>
      </w:r>
      <w:r>
        <w:rPr>
          <w:rFonts w:hint="eastAsia" w:ascii="仿宋" w:hAnsi="仿宋" w:eastAsia="仿宋" w:cs="仿宋"/>
          <w:b/>
          <w:sz w:val="24"/>
          <w:szCs w:val="24"/>
          <w:highlight w:val="none"/>
          <w:shd w:val="clear" w:color="auto" w:fill="FFFFFF"/>
          <w:lang w:val="en-US" w:eastAsia="zh-CN" w:bidi="ar-SA"/>
        </w:rPr>
        <w:t>人                   法定</w:t>
      </w:r>
      <w:r>
        <w:rPr>
          <w:rFonts w:hint="eastAsia" w:ascii="仿宋" w:hAnsi="仿宋" w:eastAsia="仿宋" w:cs="仿宋"/>
          <w:b/>
          <w:sz w:val="24"/>
          <w:szCs w:val="24"/>
          <w:highlight w:val="none"/>
          <w:shd w:val="clear" w:color="auto" w:fill="FFFFFF"/>
          <w:lang w:val="en-US" w:eastAsia="zh-Hans" w:bidi="ar-SA"/>
        </w:rPr>
        <w:t>代表</w:t>
      </w:r>
      <w:r>
        <w:rPr>
          <w:rFonts w:hint="eastAsia" w:ascii="仿宋" w:hAnsi="仿宋" w:eastAsia="仿宋" w:cs="仿宋"/>
          <w:b/>
          <w:sz w:val="24"/>
          <w:szCs w:val="24"/>
          <w:highlight w:val="none"/>
          <w:shd w:val="clear" w:color="auto" w:fill="FFFFFF"/>
          <w:lang w:val="en-US" w:eastAsia="zh-CN" w:bidi="ar-SA"/>
        </w:rPr>
        <w:t>人</w:t>
      </w:r>
    </w:p>
    <w:p w14:paraId="387CC1CB">
      <w:pPr>
        <w:keepNext w:val="0"/>
        <w:keepLines w:val="0"/>
        <w:pageBreakBefore w:val="0"/>
        <w:widowControl w:val="0"/>
        <w:kinsoku/>
        <w:wordWrap/>
        <w:overflowPunct/>
        <w:topLinePunct w:val="0"/>
        <w:bidi w:val="0"/>
        <w:snapToGrid/>
        <w:spacing w:line="560" w:lineRule="exact"/>
        <w:ind w:firstLine="0"/>
        <w:jc w:val="both"/>
        <w:textAlignment w:val="auto"/>
        <w:rPr>
          <w:rFonts w:hint="eastAsia" w:ascii="仿宋" w:hAnsi="仿宋" w:eastAsia="仿宋" w:cs="仿宋"/>
          <w:b/>
          <w:sz w:val="24"/>
          <w:szCs w:val="24"/>
          <w:highlight w:val="none"/>
          <w:shd w:val="clear" w:color="auto" w:fill="FFFFFF"/>
          <w:lang w:val="en-US" w:eastAsia="zh-CN" w:bidi="ar-SA"/>
        </w:rPr>
      </w:pPr>
    </w:p>
    <w:p w14:paraId="192C9886">
      <w:pPr>
        <w:keepNext w:val="0"/>
        <w:keepLines w:val="0"/>
        <w:pageBreakBefore w:val="0"/>
        <w:widowControl w:val="0"/>
        <w:kinsoku/>
        <w:wordWrap/>
        <w:overflowPunct/>
        <w:topLinePunct w:val="0"/>
        <w:bidi w:val="0"/>
        <w:snapToGrid/>
        <w:spacing w:line="560" w:lineRule="exact"/>
        <w:ind w:firstLine="0"/>
        <w:jc w:val="both"/>
        <w:textAlignment w:val="auto"/>
        <w:rPr>
          <w:rFonts w:hint="eastAsia" w:ascii="仿宋" w:hAnsi="仿宋" w:eastAsia="仿宋" w:cs="仿宋"/>
          <w:sz w:val="24"/>
          <w:szCs w:val="24"/>
          <w:highlight w:val="none"/>
          <w:lang w:val="en-US" w:eastAsia="zh-Hans" w:bidi="ar-SA"/>
        </w:rPr>
      </w:pPr>
      <w:r>
        <w:rPr>
          <w:rFonts w:hint="eastAsia" w:ascii="仿宋" w:hAnsi="仿宋" w:eastAsia="仿宋" w:cs="仿宋"/>
          <w:b/>
          <w:sz w:val="24"/>
          <w:szCs w:val="24"/>
          <w:highlight w:val="none"/>
          <w:shd w:val="clear" w:color="auto" w:fill="FFFFFF"/>
          <w:lang w:val="en-US" w:eastAsia="zh-CN" w:bidi="ar-SA"/>
        </w:rPr>
        <w:t>或授权代表</w:t>
      </w:r>
      <w:r>
        <w:rPr>
          <w:rFonts w:hint="eastAsia" w:ascii="仿宋" w:hAnsi="仿宋" w:eastAsia="仿宋" w:cs="仿宋"/>
          <w:b/>
          <w:sz w:val="24"/>
          <w:szCs w:val="24"/>
          <w:highlight w:val="none"/>
          <w:shd w:val="clear" w:color="auto" w:fill="FFFFFF"/>
          <w:lang w:val="en-US" w:eastAsia="zh-Hans" w:bidi="ar-SA"/>
        </w:rPr>
        <w:t xml:space="preserve">：           </w:t>
      </w:r>
      <w:r>
        <w:rPr>
          <w:rFonts w:hint="eastAsia" w:ascii="仿宋" w:hAnsi="仿宋" w:eastAsia="仿宋" w:cs="仿宋"/>
          <w:b/>
          <w:sz w:val="24"/>
          <w:szCs w:val="24"/>
          <w:highlight w:val="none"/>
          <w:shd w:val="clear" w:color="auto" w:fill="FFFFFF"/>
          <w:lang w:val="en-US" w:eastAsia="zh-CN" w:bidi="ar-SA"/>
        </w:rPr>
        <w:t xml:space="preserve">      或授权代表</w:t>
      </w:r>
      <w:r>
        <w:rPr>
          <w:rFonts w:hint="eastAsia" w:ascii="仿宋" w:hAnsi="仿宋" w:eastAsia="仿宋" w:cs="仿宋"/>
          <w:b/>
          <w:sz w:val="24"/>
          <w:szCs w:val="24"/>
          <w:highlight w:val="none"/>
          <w:shd w:val="clear" w:color="auto" w:fill="FFFFFF"/>
          <w:lang w:val="en-US" w:eastAsia="zh-Hans" w:bidi="ar-SA"/>
        </w:rPr>
        <w:t xml:space="preserve">：  </w:t>
      </w:r>
    </w:p>
    <w:p w14:paraId="7E3DC1BF">
      <w:pPr>
        <w:keepNext w:val="0"/>
        <w:keepLines w:val="0"/>
        <w:pageBreakBefore w:val="0"/>
        <w:widowControl w:val="0"/>
        <w:kinsoku/>
        <w:wordWrap/>
        <w:overflowPunct/>
        <w:topLinePunct w:val="0"/>
        <w:bidi w:val="0"/>
        <w:snapToGrid/>
        <w:spacing w:line="560" w:lineRule="exact"/>
        <w:ind w:firstLine="480"/>
        <w:jc w:val="both"/>
        <w:textAlignment w:val="auto"/>
        <w:rPr>
          <w:rFonts w:hint="eastAsia" w:ascii="仿宋" w:hAnsi="仿宋" w:eastAsia="仿宋" w:cs="仿宋"/>
          <w:sz w:val="24"/>
          <w:szCs w:val="24"/>
          <w:highlight w:val="none"/>
          <w:shd w:val="clear" w:color="auto" w:fill="FFFFFF"/>
          <w:lang w:val="en-US" w:eastAsia="zh-CN" w:bidi="ar-SA"/>
        </w:rPr>
      </w:pPr>
      <w:r>
        <w:rPr>
          <w:rFonts w:hint="eastAsia" w:ascii="仿宋" w:hAnsi="仿宋" w:eastAsia="仿宋" w:cs="仿宋"/>
          <w:sz w:val="24"/>
          <w:szCs w:val="24"/>
          <w:highlight w:val="none"/>
          <w:shd w:val="clear" w:color="auto" w:fill="FFFFFF"/>
          <w:lang w:val="en-US" w:eastAsia="zh-CN" w:bidi="ar-SA"/>
        </w:rPr>
        <w:t xml:space="preserve">  </w:t>
      </w:r>
    </w:p>
    <w:p w14:paraId="2E292868">
      <w:pPr>
        <w:keepNext w:val="0"/>
        <w:keepLines w:val="0"/>
        <w:pageBreakBefore w:val="0"/>
        <w:widowControl w:val="0"/>
        <w:kinsoku/>
        <w:wordWrap/>
        <w:overflowPunct/>
        <w:topLinePunct w:val="0"/>
        <w:bidi w:val="0"/>
        <w:snapToGrid/>
        <w:spacing w:line="560" w:lineRule="exact"/>
        <w:ind w:firstLine="480"/>
        <w:jc w:val="both"/>
        <w:textAlignment w:val="auto"/>
        <w:rPr>
          <w:rFonts w:hint="eastAsia" w:ascii="仿宋" w:hAnsi="仿宋" w:eastAsia="仿宋" w:cs="仿宋"/>
          <w:sz w:val="24"/>
          <w:szCs w:val="24"/>
          <w:highlight w:val="none"/>
          <w:shd w:val="clear" w:color="auto" w:fill="FFFFFF"/>
          <w:lang w:val="en-US" w:eastAsia="zh-Hans" w:bidi="ar-SA"/>
        </w:rPr>
      </w:pPr>
    </w:p>
    <w:p w14:paraId="54B08646">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签订日期：    年  月  日     签订日期：    年  月  日</w:t>
      </w:r>
    </w:p>
    <w:p w14:paraId="24DB562C">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b/>
          <w:bCs/>
          <w:smallCaps w:val="0"/>
          <w:sz w:val="24"/>
          <w:szCs w:val="24"/>
          <w:highlight w:val="none"/>
          <w:lang w:val="en-US" w:eastAsia="zh-CN"/>
        </w:rPr>
      </w:pPr>
      <w:r>
        <w:rPr>
          <w:rFonts w:hint="eastAsia" w:ascii="仿宋" w:hAnsi="仿宋" w:eastAsia="仿宋" w:cs="仿宋"/>
          <w:b/>
          <w:bCs/>
          <w:smallCaps w:val="0"/>
          <w:sz w:val="24"/>
          <w:szCs w:val="24"/>
          <w:highlight w:val="none"/>
          <w:lang w:val="en-US" w:eastAsia="zh-CN"/>
        </w:rPr>
        <w:br w:type="page"/>
      </w:r>
    </w:p>
    <w:p w14:paraId="63B9A68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 w:hAnsi="仿宋" w:eastAsia="仿宋" w:cs="仿宋"/>
          <w:b w:val="0"/>
          <w:bCs w:val="0"/>
          <w:smallCaps w:val="0"/>
          <w:sz w:val="24"/>
          <w:szCs w:val="24"/>
          <w:highlight w:val="none"/>
          <w:lang w:eastAsia="zh-CN"/>
        </w:rPr>
      </w:pPr>
      <w:r>
        <w:rPr>
          <w:rFonts w:hint="eastAsia" w:ascii="仿宋" w:hAnsi="仿宋" w:eastAsia="仿宋" w:cs="仿宋"/>
          <w:b w:val="0"/>
          <w:bCs w:val="0"/>
          <w:smallCaps w:val="0"/>
          <w:sz w:val="24"/>
          <w:szCs w:val="24"/>
          <w:highlight w:val="none"/>
          <w:lang w:val="en-US" w:eastAsia="zh-CN"/>
        </w:rPr>
        <w:t>附件一、</w:t>
      </w:r>
      <w:r>
        <w:rPr>
          <w:rFonts w:hint="eastAsia" w:ascii="仿宋" w:hAnsi="仿宋" w:eastAsia="仿宋" w:cs="仿宋"/>
          <w:b w:val="0"/>
          <w:bCs w:val="0"/>
          <w:smallCaps w:val="0"/>
          <w:sz w:val="24"/>
          <w:szCs w:val="24"/>
          <w:highlight w:val="none"/>
          <w:lang w:eastAsia="zh-CN"/>
        </w:rPr>
        <w:t>保密协议</w:t>
      </w:r>
    </w:p>
    <w:p w14:paraId="37218D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highlight w:val="none"/>
        </w:rPr>
      </w:pPr>
    </w:p>
    <w:p w14:paraId="33E01FE8">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甲方：深圳市公安局监所管理支队</w:t>
      </w:r>
    </w:p>
    <w:p w14:paraId="32E15F4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乙方：</w:t>
      </w:r>
    </w:p>
    <w:p w14:paraId="698BA62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为做好2026年深圳市公安局监所管理支队食材配送服务项目保密工作，甲、乙双方在平等、自愿的原则下，达成协议如下：</w:t>
      </w:r>
    </w:p>
    <w:p w14:paraId="156481AB">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第一条  乙方应做好本单位工作人员的教育工作，为甲方提供服务的人员应遵守甲方出入门岗和物品携带、保密等各项规定。乙方工作人员进入甲方营区后，应按照规定的配送路线、配送范围进行配送，不得在营区内乱逛、禁止拍摄，禁止通过微信、微博、抖音等平台发布甲方营区内照片以及在工作期间接触到的甲方全部信息；如有违反，乙方将承担全部不利责任。</w:t>
      </w:r>
    </w:p>
    <w:p w14:paraId="072DFBA2">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第二条  乙方应特别加强对员工的保密教育（如签订保密协议），为甲方提供服务的人员要遵守保密法律、法规和规章制度，履行保密义务，自愿接受保密检查。</w:t>
      </w:r>
    </w:p>
    <w:p w14:paraId="35198FB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第三条  乙方及其工作人员不违规接触、记录、存储、复制工作中可能接触到的甲方内部工作信息，不违规留存国家秘密载体。</w:t>
      </w:r>
    </w:p>
    <w:p w14:paraId="3DBD4F7E">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第四条  乙方及其工作人员不对外发表涉及相关工作内容的文章、信息。</w:t>
      </w:r>
    </w:p>
    <w:p w14:paraId="4E62DFF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第五条  对确需接触的政府采购项目招标信息，未经甲方同意前，乙方不得擅自对外发布。</w:t>
      </w:r>
    </w:p>
    <w:p w14:paraId="21AA1D14">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第六条  如违反保密要求，乙方及其工作人员承担一切不利后果。</w:t>
      </w:r>
    </w:p>
    <w:p w14:paraId="6BC7889F">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第七条  本协议一式两份，甲乙双方各执一份。</w:t>
      </w:r>
    </w:p>
    <w:p w14:paraId="5F0838B5">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第八条  本协议经双方代表人签字及盖章后生效。</w:t>
      </w:r>
    </w:p>
    <w:p w14:paraId="06504671">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第九条  本协议未尽事宜，由甲乙双方协商解决。</w:t>
      </w:r>
    </w:p>
    <w:p w14:paraId="049E69B6">
      <w:pPr>
        <w:keepNext w:val="0"/>
        <w:keepLines w:val="0"/>
        <w:pageBreakBefore w:val="0"/>
        <w:widowControl w:val="0"/>
        <w:kinsoku/>
        <w:wordWrap/>
        <w:overflowPunct/>
        <w:topLinePunct w:val="0"/>
        <w:autoSpaceDE w:val="0"/>
        <w:autoSpaceDN w:val="0"/>
        <w:bidi w:val="0"/>
        <w:adjustRightInd w:val="0"/>
        <w:snapToGrid/>
        <w:spacing w:line="560" w:lineRule="exact"/>
        <w:ind w:firstLine="464" w:firstLineChars="200"/>
        <w:jc w:val="both"/>
        <w:textAlignment w:val="auto"/>
        <w:rPr>
          <w:rFonts w:hint="eastAsia" w:ascii="仿宋" w:hAnsi="仿宋" w:eastAsia="仿宋" w:cs="仿宋"/>
          <w:smallCaps w:val="0"/>
          <w:sz w:val="24"/>
          <w:szCs w:val="24"/>
          <w:highlight w:val="none"/>
          <w:lang w:val="en-US" w:eastAsia="zh-CN"/>
        </w:rPr>
      </w:pPr>
    </w:p>
    <w:p w14:paraId="0455FFB7">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甲方（盖章）：                 乙方（盖章）：</w:t>
      </w:r>
    </w:p>
    <w:p w14:paraId="4CA4735C">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甲方代表 ：                   乙方代表：</w:t>
      </w:r>
    </w:p>
    <w:p w14:paraId="1CA24092">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mallCaps w:val="0"/>
          <w:sz w:val="24"/>
          <w:szCs w:val="24"/>
          <w:highlight w:val="none"/>
          <w:lang w:val="en-US" w:eastAsia="zh-CN"/>
        </w:rPr>
      </w:pPr>
      <w:r>
        <w:rPr>
          <w:rFonts w:hint="eastAsia" w:ascii="仿宋" w:hAnsi="仿宋" w:eastAsia="仿宋" w:cs="仿宋"/>
          <w:smallCaps w:val="0"/>
          <w:sz w:val="24"/>
          <w:szCs w:val="24"/>
          <w:highlight w:val="none"/>
          <w:lang w:val="en-US" w:eastAsia="zh-CN"/>
        </w:rPr>
        <w:t>时间：                        时间：</w:t>
      </w:r>
    </w:p>
    <w:p w14:paraId="016F7597">
      <w:pPr>
        <w:keepNext w:val="0"/>
        <w:keepLines w:val="0"/>
        <w:pageBreakBefore w:val="0"/>
        <w:widowControl w:val="0"/>
        <w:kinsoku/>
        <w:wordWrap/>
        <w:overflowPunct/>
        <w:topLinePunct w:val="0"/>
        <w:autoSpaceDE/>
        <w:autoSpaceDN/>
        <w:bidi w:val="0"/>
        <w:adjustRightInd/>
        <w:snapToGrid/>
        <w:spacing w:line="360" w:lineRule="exact"/>
        <w:ind w:firstLine="425" w:firstLineChars="221"/>
        <w:textAlignment w:val="auto"/>
        <w:rPr>
          <w:rFonts w:hint="eastAsia" w:ascii="仿宋" w:hAnsi="仿宋" w:eastAsia="仿宋" w:cs="仿宋"/>
          <w:spacing w:val="-20"/>
          <w:sz w:val="24"/>
          <w:szCs w:val="24"/>
          <w:highlight w:val="none"/>
        </w:rPr>
      </w:pPr>
    </w:p>
    <w:p w14:paraId="69C8D33C">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b/>
          <w:bCs/>
          <w:smallCaps w:val="0"/>
          <w:sz w:val="24"/>
          <w:szCs w:val="24"/>
          <w:highlight w:val="none"/>
          <w:lang w:val="en-US" w:eastAsia="zh-CN"/>
        </w:rPr>
      </w:pPr>
      <w:r>
        <w:rPr>
          <w:rFonts w:hint="eastAsia" w:ascii="仿宋" w:hAnsi="仿宋" w:eastAsia="仿宋" w:cs="仿宋"/>
          <w:b/>
          <w:bCs/>
          <w:smallCaps w:val="0"/>
          <w:sz w:val="24"/>
          <w:szCs w:val="24"/>
          <w:highlight w:val="none"/>
          <w:lang w:val="en-US" w:eastAsia="zh-CN"/>
        </w:rPr>
        <w:br w:type="page"/>
      </w:r>
    </w:p>
    <w:p w14:paraId="7EF700AF">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 w:hAnsi="仿宋" w:eastAsia="仿宋" w:cs="仿宋"/>
          <w:b w:val="0"/>
          <w:bCs w:val="0"/>
          <w:smallCaps w:val="0"/>
          <w:sz w:val="24"/>
          <w:szCs w:val="24"/>
          <w:highlight w:val="none"/>
          <w:lang w:val="en-US" w:eastAsia="zh-CN"/>
        </w:rPr>
      </w:pPr>
      <w:r>
        <w:rPr>
          <w:rFonts w:hint="eastAsia" w:ascii="仿宋" w:hAnsi="仿宋" w:eastAsia="仿宋" w:cs="仿宋"/>
          <w:b w:val="0"/>
          <w:bCs w:val="0"/>
          <w:smallCaps w:val="0"/>
          <w:sz w:val="24"/>
          <w:szCs w:val="24"/>
          <w:highlight w:val="none"/>
          <w:lang w:val="en-US" w:eastAsia="zh-CN"/>
        </w:rPr>
        <w:t>附件二、食堂物资乙方供货异常情况登记表</w:t>
      </w:r>
    </w:p>
    <w:tbl>
      <w:tblPr>
        <w:tblStyle w:val="16"/>
        <w:tblW w:w="4998"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858"/>
        <w:gridCol w:w="2699"/>
        <w:gridCol w:w="2265"/>
        <w:gridCol w:w="2234"/>
      </w:tblGrid>
      <w:tr w14:paraId="48A397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026" w:type="pct"/>
            <w:tcBorders>
              <w:top w:val="single" w:color="auto" w:sz="8" w:space="0"/>
              <w:left w:val="single" w:color="auto" w:sz="8" w:space="0"/>
              <w:bottom w:val="single" w:color="auto" w:sz="6" w:space="0"/>
              <w:right w:val="single" w:color="auto" w:sz="6" w:space="0"/>
            </w:tcBorders>
            <w:noWrap w:val="0"/>
            <w:vAlign w:val="center"/>
          </w:tcPr>
          <w:p w14:paraId="2F9D2FF0">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lang w:eastAsia="zh-CN"/>
              </w:rPr>
              <w:t>乙方</w:t>
            </w:r>
            <w:r>
              <w:rPr>
                <w:rFonts w:hint="eastAsia" w:ascii="仿宋" w:hAnsi="仿宋" w:eastAsia="仿宋" w:cs="仿宋"/>
                <w:smallCaps w:val="0"/>
                <w:sz w:val="24"/>
                <w:szCs w:val="24"/>
                <w:highlight w:val="none"/>
              </w:rPr>
              <w:t>名称</w:t>
            </w:r>
          </w:p>
        </w:tc>
        <w:tc>
          <w:tcPr>
            <w:tcW w:w="1490" w:type="pct"/>
            <w:tcBorders>
              <w:top w:val="single" w:color="auto" w:sz="8" w:space="0"/>
              <w:left w:val="single" w:color="auto" w:sz="6" w:space="0"/>
              <w:bottom w:val="single" w:color="auto" w:sz="6" w:space="0"/>
              <w:right w:val="single" w:color="auto" w:sz="6" w:space="0"/>
            </w:tcBorders>
            <w:noWrap w:val="0"/>
            <w:vAlign w:val="center"/>
          </w:tcPr>
          <w:p w14:paraId="045F5C7E">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c>
          <w:tcPr>
            <w:tcW w:w="1250" w:type="pct"/>
            <w:tcBorders>
              <w:top w:val="single" w:color="auto" w:sz="8" w:space="0"/>
              <w:left w:val="single" w:color="auto" w:sz="6" w:space="0"/>
              <w:bottom w:val="single" w:color="auto" w:sz="6" w:space="0"/>
              <w:right w:val="single" w:color="auto" w:sz="6" w:space="0"/>
            </w:tcBorders>
            <w:noWrap w:val="0"/>
            <w:vAlign w:val="center"/>
          </w:tcPr>
          <w:p w14:paraId="1C38CBB1">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联系人及电话</w:t>
            </w:r>
          </w:p>
        </w:tc>
        <w:tc>
          <w:tcPr>
            <w:tcW w:w="1232" w:type="pct"/>
            <w:tcBorders>
              <w:top w:val="single" w:color="auto" w:sz="4" w:space="0"/>
              <w:left w:val="single" w:color="auto" w:sz="6" w:space="0"/>
              <w:bottom w:val="single" w:color="auto" w:sz="6" w:space="0"/>
              <w:right w:val="single" w:color="auto" w:sz="8" w:space="0"/>
            </w:tcBorders>
            <w:noWrap w:val="0"/>
            <w:vAlign w:val="center"/>
          </w:tcPr>
          <w:p w14:paraId="233B73D8">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r w14:paraId="6373D8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026" w:type="pct"/>
            <w:tcBorders>
              <w:top w:val="single" w:color="auto" w:sz="6" w:space="0"/>
              <w:left w:val="single" w:color="auto" w:sz="8" w:space="0"/>
              <w:bottom w:val="single" w:color="auto" w:sz="6" w:space="0"/>
              <w:right w:val="single" w:color="auto" w:sz="6" w:space="0"/>
            </w:tcBorders>
            <w:noWrap w:val="0"/>
            <w:vAlign w:val="center"/>
          </w:tcPr>
          <w:p w14:paraId="7AAC5B9D">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送货地点</w:t>
            </w:r>
          </w:p>
        </w:tc>
        <w:tc>
          <w:tcPr>
            <w:tcW w:w="1490" w:type="pct"/>
            <w:tcBorders>
              <w:top w:val="single" w:color="auto" w:sz="6" w:space="0"/>
              <w:left w:val="single" w:color="auto" w:sz="6" w:space="0"/>
              <w:bottom w:val="single" w:color="auto" w:sz="6" w:space="0"/>
              <w:right w:val="single" w:color="auto" w:sz="6" w:space="0"/>
            </w:tcBorders>
            <w:noWrap w:val="0"/>
            <w:vAlign w:val="center"/>
          </w:tcPr>
          <w:p w14:paraId="02EBB7A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 w:hAnsi="仿宋" w:eastAsia="仿宋" w:cs="仿宋"/>
                <w:smallCaps w:val="0"/>
                <w:sz w:val="24"/>
                <w:szCs w:val="24"/>
                <w:highlight w:val="none"/>
              </w:rPr>
            </w:pPr>
          </w:p>
        </w:tc>
        <w:tc>
          <w:tcPr>
            <w:tcW w:w="1250" w:type="pct"/>
            <w:tcBorders>
              <w:top w:val="single" w:color="auto" w:sz="6" w:space="0"/>
              <w:left w:val="single" w:color="auto" w:sz="6" w:space="0"/>
              <w:bottom w:val="single" w:color="auto" w:sz="6" w:space="0"/>
              <w:right w:val="single" w:color="auto" w:sz="6" w:space="0"/>
            </w:tcBorders>
            <w:noWrap w:val="0"/>
            <w:vAlign w:val="center"/>
          </w:tcPr>
          <w:p w14:paraId="57AF2FE5">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送货时间</w:t>
            </w:r>
          </w:p>
        </w:tc>
        <w:tc>
          <w:tcPr>
            <w:tcW w:w="1232" w:type="pct"/>
            <w:tcBorders>
              <w:top w:val="single" w:color="auto" w:sz="6" w:space="0"/>
              <w:left w:val="single" w:color="auto" w:sz="6" w:space="0"/>
              <w:bottom w:val="single" w:color="auto" w:sz="6" w:space="0"/>
              <w:right w:val="single" w:color="auto" w:sz="8" w:space="0"/>
            </w:tcBorders>
            <w:noWrap w:val="0"/>
            <w:vAlign w:val="center"/>
          </w:tcPr>
          <w:p w14:paraId="2C4981D0">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r w14:paraId="2C133B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pct"/>
            <w:tcBorders>
              <w:top w:val="single" w:color="auto" w:sz="6" w:space="0"/>
              <w:left w:val="single" w:color="auto" w:sz="8" w:space="0"/>
              <w:bottom w:val="single" w:color="auto" w:sz="6" w:space="0"/>
              <w:right w:val="single" w:color="auto" w:sz="6" w:space="0"/>
            </w:tcBorders>
            <w:noWrap w:val="0"/>
            <w:vAlign w:val="center"/>
          </w:tcPr>
          <w:p w14:paraId="613E5348">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异常情况类别</w:t>
            </w:r>
          </w:p>
        </w:tc>
        <w:tc>
          <w:tcPr>
            <w:tcW w:w="3973" w:type="pct"/>
            <w:gridSpan w:val="3"/>
            <w:tcBorders>
              <w:top w:val="single" w:color="auto" w:sz="6" w:space="0"/>
              <w:left w:val="single" w:color="auto" w:sz="6" w:space="0"/>
              <w:bottom w:val="single" w:color="auto" w:sz="6" w:space="0"/>
              <w:right w:val="single" w:color="auto" w:sz="8" w:space="0"/>
            </w:tcBorders>
            <w:noWrap w:val="0"/>
            <w:vAlign w:val="center"/>
          </w:tcPr>
          <w:p w14:paraId="037C81D2">
            <w:pPr>
              <w:keepNext w:val="0"/>
              <w:keepLines w:val="0"/>
              <w:pageBreakBefore w:val="0"/>
              <w:widowControl w:val="0"/>
              <w:kinsoku/>
              <w:wordWrap/>
              <w:overflowPunct/>
              <w:topLinePunct w:val="0"/>
              <w:autoSpaceDE/>
              <w:autoSpaceDN/>
              <w:bidi w:val="0"/>
              <w:adjustRightInd/>
              <w:spacing w:line="360" w:lineRule="exact"/>
              <w:ind w:firstLine="1624" w:firstLineChars="700"/>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fldChar w:fldCharType="begin"/>
            </w:r>
            <w:r>
              <w:rPr>
                <w:rFonts w:hint="eastAsia" w:ascii="仿宋" w:hAnsi="仿宋" w:eastAsia="仿宋" w:cs="仿宋"/>
                <w:smallCaps w:val="0"/>
                <w:sz w:val="24"/>
                <w:szCs w:val="24"/>
                <w:highlight w:val="none"/>
              </w:rPr>
              <w:instrText xml:space="preserve"> INCLUDEPICTURE "http://mail.qq.com/cgi-bin/%20" \* MERGEFORMATINET </w:instrText>
            </w:r>
            <w:r>
              <w:rPr>
                <w:rFonts w:hint="eastAsia" w:ascii="仿宋" w:hAnsi="仿宋" w:eastAsia="仿宋" w:cs="仿宋"/>
                <w:smallCaps w:val="0"/>
                <w:sz w:val="24"/>
                <w:szCs w:val="24"/>
                <w:highlight w:val="none"/>
              </w:rPr>
              <w:fldChar w:fldCharType="separate"/>
            </w:r>
            <w:r>
              <w:rPr>
                <w:rFonts w:hint="eastAsia" w:ascii="仿宋" w:hAnsi="仿宋" w:eastAsia="仿宋" w:cs="仿宋"/>
                <w:smallCaps w:val="0"/>
                <w:sz w:val="24"/>
                <w:szCs w:val="24"/>
                <w:highlight w:val="none"/>
              </w:rPr>
              <w:fldChar w:fldCharType="end"/>
            </w:r>
            <w:r>
              <w:rPr>
                <w:rFonts w:hint="eastAsia" w:ascii="仿宋" w:hAnsi="仿宋" w:eastAsia="仿宋" w:cs="仿宋"/>
                <w:smallCaps w:val="0"/>
                <w:sz w:val="24"/>
                <w:szCs w:val="24"/>
                <w:highlight w:val="none"/>
              </w:rPr>
              <w:fldChar w:fldCharType="begin"/>
            </w:r>
            <w:r>
              <w:rPr>
                <w:rFonts w:hint="eastAsia" w:ascii="仿宋" w:hAnsi="仿宋" w:eastAsia="仿宋" w:cs="仿宋"/>
                <w:smallCaps w:val="0"/>
                <w:sz w:val="24"/>
                <w:szCs w:val="24"/>
                <w:highlight w:val="none"/>
              </w:rPr>
              <w:instrText xml:space="preserve"> INCLUDEPICTURE "http://mail.qq.com/cgi-bin/%20" \* MERGEFORMATINET </w:instrText>
            </w:r>
            <w:r>
              <w:rPr>
                <w:rFonts w:hint="eastAsia" w:ascii="仿宋" w:hAnsi="仿宋" w:eastAsia="仿宋" w:cs="仿宋"/>
                <w:smallCaps w:val="0"/>
                <w:sz w:val="24"/>
                <w:szCs w:val="24"/>
                <w:highlight w:val="none"/>
              </w:rPr>
              <w:fldChar w:fldCharType="separate"/>
            </w:r>
            <w:r>
              <w:rPr>
                <w:rFonts w:hint="eastAsia" w:ascii="仿宋" w:hAnsi="仿宋" w:eastAsia="仿宋" w:cs="仿宋"/>
                <w:smallCaps w:val="0"/>
                <w:sz w:val="24"/>
                <w:szCs w:val="24"/>
                <w:highlight w:val="none"/>
              </w:rPr>
              <w:fldChar w:fldCharType="end"/>
            </w:r>
            <w:r>
              <w:rPr>
                <w:rFonts w:hint="eastAsia" w:ascii="仿宋" w:hAnsi="仿宋" w:eastAsia="仿宋" w:cs="仿宋"/>
                <w:smallCaps w:val="0"/>
                <w:sz w:val="24"/>
                <w:szCs w:val="24"/>
                <w:highlight w:val="none"/>
              </w:rPr>
              <w:t>质量</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时间</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服务</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价格</w:t>
            </w:r>
            <w:r>
              <w:rPr>
                <w:rFonts w:hint="eastAsia" w:ascii="仿宋" w:hAnsi="仿宋" w:eastAsia="仿宋" w:cs="仿宋"/>
                <w:smallCaps w:val="0"/>
                <w:sz w:val="24"/>
                <w:szCs w:val="24"/>
                <w:highlight w:val="none"/>
                <w:lang w:val="en-US" w:eastAsia="zh-CN"/>
              </w:rPr>
              <w:t xml:space="preserve">   </w:t>
            </w:r>
            <w:r>
              <w:rPr>
                <w:rFonts w:hint="eastAsia" w:ascii="仿宋" w:hAnsi="仿宋" w:eastAsia="仿宋" w:cs="仿宋"/>
                <w:smallCaps w:val="0"/>
                <w:sz w:val="24"/>
                <w:szCs w:val="24"/>
                <w:highlight w:val="none"/>
              </w:rPr>
              <w:sym w:font="Wingdings 2" w:char="00A3"/>
            </w:r>
            <w:r>
              <w:rPr>
                <w:rFonts w:hint="eastAsia" w:ascii="仿宋" w:hAnsi="仿宋" w:eastAsia="仿宋" w:cs="仿宋"/>
                <w:smallCaps w:val="0"/>
                <w:sz w:val="24"/>
                <w:szCs w:val="24"/>
                <w:highlight w:val="none"/>
              </w:rPr>
              <w:t>其他</w:t>
            </w:r>
          </w:p>
        </w:tc>
      </w:tr>
      <w:tr w14:paraId="2407881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561" w:hRule="atLeast"/>
          <w:jc w:val="center"/>
        </w:trPr>
        <w:tc>
          <w:tcPr>
            <w:tcW w:w="1026" w:type="pct"/>
            <w:tcBorders>
              <w:top w:val="single" w:color="auto" w:sz="6" w:space="0"/>
              <w:left w:val="single" w:color="auto" w:sz="8" w:space="0"/>
              <w:bottom w:val="single" w:color="auto" w:sz="6" w:space="0"/>
              <w:right w:val="single" w:color="auto" w:sz="6" w:space="0"/>
            </w:tcBorders>
            <w:noWrap w:val="0"/>
            <w:vAlign w:val="center"/>
          </w:tcPr>
          <w:p w14:paraId="1CCD296D">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具体情况</w:t>
            </w:r>
          </w:p>
        </w:tc>
        <w:tc>
          <w:tcPr>
            <w:tcW w:w="3973" w:type="pct"/>
            <w:gridSpan w:val="3"/>
            <w:tcBorders>
              <w:top w:val="single" w:color="auto" w:sz="6" w:space="0"/>
              <w:left w:val="single" w:color="auto" w:sz="6" w:space="0"/>
              <w:bottom w:val="single" w:color="auto" w:sz="6" w:space="0"/>
              <w:right w:val="single" w:color="auto" w:sz="8" w:space="0"/>
            </w:tcBorders>
            <w:noWrap w:val="0"/>
            <w:vAlign w:val="top"/>
          </w:tcPr>
          <w:p w14:paraId="1C3A48C7">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p w14:paraId="09878987">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p w14:paraId="12F1F381">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r w14:paraId="381054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026" w:type="pct"/>
            <w:tcBorders>
              <w:top w:val="single" w:color="auto" w:sz="4" w:space="0"/>
              <w:left w:val="single" w:color="auto" w:sz="8" w:space="0"/>
              <w:bottom w:val="single" w:color="auto" w:sz="8" w:space="0"/>
              <w:right w:val="single" w:color="auto" w:sz="6" w:space="0"/>
            </w:tcBorders>
            <w:noWrap w:val="0"/>
            <w:vAlign w:val="center"/>
          </w:tcPr>
          <w:p w14:paraId="689C36C3">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收货方签名</w:t>
            </w:r>
          </w:p>
        </w:tc>
        <w:tc>
          <w:tcPr>
            <w:tcW w:w="1490" w:type="pct"/>
            <w:tcBorders>
              <w:top w:val="single" w:color="auto" w:sz="4" w:space="0"/>
              <w:left w:val="single" w:color="auto" w:sz="6" w:space="0"/>
              <w:bottom w:val="single" w:color="auto" w:sz="8" w:space="0"/>
              <w:right w:val="single" w:color="auto" w:sz="4" w:space="0"/>
            </w:tcBorders>
            <w:noWrap w:val="0"/>
            <w:vAlign w:val="center"/>
          </w:tcPr>
          <w:p w14:paraId="71B454E5">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c>
          <w:tcPr>
            <w:tcW w:w="1250" w:type="pct"/>
            <w:tcBorders>
              <w:top w:val="single" w:color="auto" w:sz="4" w:space="0"/>
              <w:left w:val="single" w:color="auto" w:sz="4" w:space="0"/>
              <w:bottom w:val="single" w:color="auto" w:sz="8" w:space="0"/>
              <w:right w:val="single" w:color="auto" w:sz="4" w:space="0"/>
            </w:tcBorders>
            <w:noWrap w:val="0"/>
            <w:vAlign w:val="center"/>
          </w:tcPr>
          <w:p w14:paraId="259E57CC">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供货负责人确认签名</w:t>
            </w:r>
          </w:p>
        </w:tc>
        <w:tc>
          <w:tcPr>
            <w:tcW w:w="1232" w:type="pct"/>
            <w:tcBorders>
              <w:top w:val="single" w:color="auto" w:sz="4" w:space="0"/>
              <w:left w:val="single" w:color="auto" w:sz="4" w:space="0"/>
              <w:bottom w:val="single" w:color="auto" w:sz="8" w:space="0"/>
              <w:right w:val="single" w:color="auto" w:sz="8" w:space="0"/>
            </w:tcBorders>
            <w:noWrap w:val="0"/>
            <w:vAlign w:val="center"/>
          </w:tcPr>
          <w:p w14:paraId="058D93F2">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 w:hAnsi="仿宋" w:eastAsia="仿宋" w:cs="仿宋"/>
                <w:smallCaps w:val="0"/>
                <w:sz w:val="24"/>
                <w:szCs w:val="24"/>
                <w:highlight w:val="none"/>
              </w:rPr>
            </w:pPr>
          </w:p>
        </w:tc>
      </w:tr>
    </w:tbl>
    <w:p w14:paraId="3C730449">
      <w:pPr>
        <w:keepNext w:val="0"/>
        <w:keepLines w:val="0"/>
        <w:pageBreakBefore w:val="0"/>
        <w:widowControl w:val="0"/>
        <w:kinsoku/>
        <w:wordWrap/>
        <w:overflowPunct/>
        <w:topLinePunct w:val="0"/>
        <w:autoSpaceDE/>
        <w:autoSpaceDN/>
        <w:bidi w:val="0"/>
        <w:adjustRightInd/>
        <w:snapToGrid w:val="0"/>
        <w:spacing w:line="360" w:lineRule="exact"/>
        <w:ind w:firstLine="464" w:firstLineChars="200"/>
        <w:textAlignment w:val="auto"/>
        <w:rPr>
          <w:rFonts w:hint="eastAsia" w:ascii="仿宋" w:hAnsi="仿宋" w:eastAsia="仿宋" w:cs="仿宋"/>
          <w:smallCaps w:val="0"/>
          <w:sz w:val="24"/>
          <w:szCs w:val="24"/>
          <w:highlight w:val="none"/>
        </w:rPr>
      </w:pPr>
      <w:r>
        <w:rPr>
          <w:rFonts w:hint="eastAsia" w:ascii="仿宋" w:hAnsi="仿宋" w:eastAsia="仿宋" w:cs="仿宋"/>
          <w:smallCaps w:val="0"/>
          <w:sz w:val="24"/>
          <w:szCs w:val="24"/>
          <w:highlight w:val="none"/>
        </w:rPr>
        <w:t>说明：履约异常情况分为质量、时间、服务、价格、其他共五类，请首先在对应的类别前打“√”，然后在“具体情况”一栏详细说明情况。本表格一式两联，</w:t>
      </w:r>
      <w:r>
        <w:rPr>
          <w:rFonts w:hint="eastAsia" w:ascii="仿宋" w:hAnsi="仿宋" w:eastAsia="仿宋" w:cs="仿宋"/>
          <w:smallCaps w:val="0"/>
          <w:sz w:val="24"/>
          <w:szCs w:val="24"/>
          <w:highlight w:val="none"/>
          <w:lang w:eastAsia="zh-CN"/>
        </w:rPr>
        <w:t>乙方</w:t>
      </w:r>
      <w:r>
        <w:rPr>
          <w:rFonts w:hint="eastAsia" w:ascii="仿宋" w:hAnsi="仿宋" w:eastAsia="仿宋" w:cs="仿宋"/>
          <w:smallCaps w:val="0"/>
          <w:sz w:val="24"/>
          <w:szCs w:val="24"/>
          <w:highlight w:val="none"/>
        </w:rPr>
        <w:t>及收货方各执一联。</w:t>
      </w:r>
    </w:p>
    <w:p w14:paraId="190A3854">
      <w:pPr>
        <w:rPr>
          <w:rFonts w:hint="eastAsia" w:ascii="仿宋" w:hAnsi="仿宋" w:eastAsia="仿宋" w:cs="仿宋"/>
          <w:sz w:val="24"/>
          <w:szCs w:val="24"/>
          <w:highlight w:val="none"/>
          <w:lang w:val="en-US" w:eastAsia="zh-CN"/>
        </w:rPr>
        <w:sectPr>
          <w:type w:val="continuous"/>
          <w:pgSz w:w="11906" w:h="16838"/>
          <w:pgMar w:top="2098" w:right="1474" w:bottom="1984" w:left="1588" w:header="851" w:footer="1474" w:gutter="0"/>
          <w:pgNumType w:fmt="numberInDash"/>
          <w:cols w:space="720" w:num="1"/>
          <w:docGrid w:type="linesAndChars" w:linePitch="574" w:charSpace="-1683"/>
        </w:sectPr>
      </w:pPr>
    </w:p>
    <w:p w14:paraId="5C1ECDBE">
      <w:pPr>
        <w:jc w:val="center"/>
        <w:rPr>
          <w:rFonts w:hint="eastAsia" w:ascii="仿宋" w:hAnsi="仿宋" w:eastAsia="仿宋" w:cs="仿宋"/>
          <w:b/>
          <w:bCs/>
          <w:sz w:val="24"/>
          <w:szCs w:val="24"/>
          <w:highlight w:val="none"/>
        </w:rPr>
      </w:pPr>
      <w:r>
        <w:rPr>
          <w:rFonts w:hint="eastAsia" w:ascii="仿宋" w:hAnsi="仿宋" w:eastAsia="仿宋" w:cs="仿宋"/>
          <w:b w:val="0"/>
          <w:bCs w:val="0"/>
          <w:smallCaps w:val="0"/>
          <w:sz w:val="24"/>
          <w:szCs w:val="24"/>
          <w:highlight w:val="none"/>
          <w:lang w:val="en-US" w:eastAsia="zh-CN"/>
        </w:rPr>
        <w:t>附件三、供应商月度履约评价表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62"/>
        <w:gridCol w:w="2840"/>
        <w:gridCol w:w="1270"/>
        <w:gridCol w:w="895"/>
        <w:gridCol w:w="2355"/>
      </w:tblGrid>
      <w:tr w14:paraId="051F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6006455C">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271" w:type="pct"/>
            <w:tcBorders>
              <w:top w:val="single" w:color="auto" w:sz="4" w:space="0"/>
              <w:left w:val="single" w:color="auto" w:sz="4" w:space="0"/>
              <w:bottom w:val="single" w:color="auto" w:sz="4" w:space="0"/>
              <w:right w:val="single" w:color="auto" w:sz="4" w:space="0"/>
            </w:tcBorders>
            <w:vAlign w:val="center"/>
          </w:tcPr>
          <w:p w14:paraId="581FCE65">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151F2E92">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考核细则</w:t>
            </w:r>
          </w:p>
        </w:tc>
        <w:tc>
          <w:tcPr>
            <w:tcW w:w="525" w:type="pct"/>
            <w:tcBorders>
              <w:top w:val="single" w:color="auto" w:sz="4" w:space="0"/>
              <w:left w:val="single" w:color="auto" w:sz="4" w:space="0"/>
              <w:bottom w:val="single" w:color="auto" w:sz="4" w:space="0"/>
              <w:right w:val="single" w:color="auto" w:sz="4" w:space="0"/>
            </w:tcBorders>
            <w:vAlign w:val="center"/>
          </w:tcPr>
          <w:p w14:paraId="170B0A02">
            <w:pPr>
              <w:autoSpaceDE w:val="0"/>
              <w:autoSpaceDN w:val="0"/>
              <w:adjustRightIn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扣分值</w:t>
            </w:r>
          </w:p>
        </w:tc>
        <w:tc>
          <w:tcPr>
            <w:tcW w:w="1382" w:type="pct"/>
            <w:tcBorders>
              <w:top w:val="single" w:color="auto" w:sz="4" w:space="0"/>
              <w:left w:val="single" w:color="auto" w:sz="4" w:space="0"/>
              <w:bottom w:val="single" w:color="auto" w:sz="4" w:space="0"/>
              <w:right w:val="single" w:color="auto" w:sz="4" w:space="0"/>
            </w:tcBorders>
            <w:vAlign w:val="center"/>
          </w:tcPr>
          <w:p w14:paraId="354638A8">
            <w:pPr>
              <w:keepNext w:val="0"/>
              <w:keepLines w:val="0"/>
              <w:widowControl/>
              <w:suppressLineNumbers w:val="0"/>
              <w:jc w:val="center"/>
              <w:textAlignment w:val="center"/>
              <w:rPr>
                <w:rFonts w:hint="eastAsia" w:ascii="仿宋" w:hAnsi="仿宋" w:eastAsia="仿宋" w:cs="仿宋"/>
                <w:i w:val="0"/>
                <w:color w:val="FF0000"/>
                <w:kern w:val="2"/>
                <w:sz w:val="24"/>
                <w:szCs w:val="24"/>
                <w:highlight w:val="none"/>
                <w:u w:val="none"/>
                <w:lang w:val="en-US" w:eastAsia="zh-CN" w:bidi="ar-SA"/>
              </w:rPr>
            </w:pPr>
            <w:r>
              <w:rPr>
                <w:rFonts w:hint="eastAsia" w:ascii="仿宋" w:hAnsi="仿宋" w:eastAsia="仿宋" w:cs="仿宋"/>
                <w:b/>
                <w:sz w:val="24"/>
                <w:szCs w:val="24"/>
                <w:highlight w:val="none"/>
                <w:lang w:val="en-US" w:eastAsia="zh-CN"/>
              </w:rPr>
              <w:t>扣分情况</w:t>
            </w:r>
          </w:p>
        </w:tc>
      </w:tr>
      <w:tr w14:paraId="7231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restart"/>
            <w:tcBorders>
              <w:top w:val="single" w:color="auto" w:sz="4" w:space="0"/>
              <w:left w:val="single" w:color="auto" w:sz="4" w:space="0"/>
              <w:bottom w:val="single" w:color="auto" w:sz="4" w:space="0"/>
              <w:right w:val="single" w:color="auto" w:sz="4" w:space="0"/>
            </w:tcBorders>
            <w:vAlign w:val="center"/>
          </w:tcPr>
          <w:p w14:paraId="66B0E3EC">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p>
        </w:tc>
        <w:tc>
          <w:tcPr>
            <w:tcW w:w="271" w:type="pct"/>
            <w:tcBorders>
              <w:top w:val="single" w:color="auto" w:sz="4" w:space="0"/>
              <w:left w:val="single" w:color="auto" w:sz="4" w:space="0"/>
              <w:bottom w:val="single" w:color="auto" w:sz="4" w:space="0"/>
              <w:right w:val="single" w:color="auto" w:sz="4" w:space="0"/>
            </w:tcBorders>
            <w:vAlign w:val="center"/>
          </w:tcPr>
          <w:p w14:paraId="2D49973D">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5E96D9D9">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未按合同价格供货的，每发现一项次扣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1C0C43E9">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47D0F7B6">
            <w:pPr>
              <w:autoSpaceDE w:val="0"/>
              <w:autoSpaceDN w:val="0"/>
              <w:adjustRightInd w:val="0"/>
              <w:jc w:val="both"/>
              <w:rPr>
                <w:rFonts w:hint="eastAsia" w:ascii="仿宋" w:hAnsi="仿宋" w:eastAsia="仿宋" w:cs="仿宋"/>
                <w:sz w:val="24"/>
                <w:szCs w:val="24"/>
                <w:highlight w:val="none"/>
              </w:rPr>
            </w:pPr>
          </w:p>
        </w:tc>
      </w:tr>
      <w:tr w14:paraId="07F1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03FEDA17">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18056F20">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3B21A397">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未按合同约定时限，根据市场价格变化调整价格的，扣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2EBF57C4">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48611677">
            <w:pPr>
              <w:autoSpaceDE w:val="0"/>
              <w:autoSpaceDN w:val="0"/>
              <w:adjustRightInd w:val="0"/>
              <w:jc w:val="both"/>
              <w:rPr>
                <w:rFonts w:hint="eastAsia" w:ascii="仿宋" w:hAnsi="仿宋" w:eastAsia="仿宋" w:cs="仿宋"/>
                <w:sz w:val="24"/>
                <w:szCs w:val="24"/>
                <w:highlight w:val="none"/>
              </w:rPr>
            </w:pPr>
          </w:p>
        </w:tc>
      </w:tr>
      <w:tr w14:paraId="445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restart"/>
            <w:tcBorders>
              <w:top w:val="single" w:color="auto" w:sz="4" w:space="0"/>
              <w:left w:val="single" w:color="auto" w:sz="4" w:space="0"/>
              <w:bottom w:val="single" w:color="auto" w:sz="4" w:space="0"/>
              <w:right w:val="single" w:color="auto" w:sz="4" w:space="0"/>
            </w:tcBorders>
            <w:vAlign w:val="center"/>
          </w:tcPr>
          <w:p w14:paraId="6C560E38">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w:t>
            </w:r>
          </w:p>
        </w:tc>
        <w:tc>
          <w:tcPr>
            <w:tcW w:w="271" w:type="pct"/>
            <w:tcBorders>
              <w:top w:val="single" w:color="auto" w:sz="4" w:space="0"/>
              <w:left w:val="single" w:color="auto" w:sz="4" w:space="0"/>
              <w:bottom w:val="single" w:color="auto" w:sz="4" w:space="0"/>
              <w:right w:val="single" w:color="auto" w:sz="4" w:space="0"/>
            </w:tcBorders>
            <w:vAlign w:val="center"/>
          </w:tcPr>
          <w:p w14:paraId="5515D479">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30DFF4F1">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采购计划的品种、数量、时间供货的，每发生一次扣2分；</w:t>
            </w:r>
          </w:p>
        </w:tc>
        <w:tc>
          <w:tcPr>
            <w:tcW w:w="525" w:type="pct"/>
            <w:tcBorders>
              <w:top w:val="single" w:color="auto" w:sz="4" w:space="0"/>
              <w:left w:val="single" w:color="auto" w:sz="4" w:space="0"/>
              <w:bottom w:val="single" w:color="auto" w:sz="4" w:space="0"/>
              <w:right w:val="single" w:color="auto" w:sz="4" w:space="0"/>
            </w:tcBorders>
            <w:vAlign w:val="center"/>
          </w:tcPr>
          <w:p w14:paraId="32581940">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2A329E9E">
            <w:pPr>
              <w:autoSpaceDE w:val="0"/>
              <w:autoSpaceDN w:val="0"/>
              <w:adjustRightInd w:val="0"/>
              <w:jc w:val="both"/>
              <w:rPr>
                <w:rFonts w:hint="eastAsia" w:ascii="仿宋" w:hAnsi="仿宋" w:eastAsia="仿宋" w:cs="仿宋"/>
                <w:sz w:val="24"/>
                <w:szCs w:val="24"/>
                <w:highlight w:val="none"/>
              </w:rPr>
            </w:pPr>
          </w:p>
        </w:tc>
      </w:tr>
      <w:tr w14:paraId="5458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49813B14">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08956F57">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29B92677">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未及时按要求随货提供相关票证的，每项次扣2分；</w:t>
            </w:r>
          </w:p>
        </w:tc>
        <w:tc>
          <w:tcPr>
            <w:tcW w:w="525" w:type="pct"/>
            <w:tcBorders>
              <w:top w:val="single" w:color="auto" w:sz="4" w:space="0"/>
              <w:left w:val="single" w:color="auto" w:sz="4" w:space="0"/>
              <w:bottom w:val="single" w:color="auto" w:sz="4" w:space="0"/>
              <w:right w:val="single" w:color="auto" w:sz="4" w:space="0"/>
            </w:tcBorders>
            <w:vAlign w:val="center"/>
          </w:tcPr>
          <w:p w14:paraId="1A101F58">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6934F521">
            <w:pPr>
              <w:autoSpaceDE w:val="0"/>
              <w:autoSpaceDN w:val="0"/>
              <w:adjustRightInd w:val="0"/>
              <w:jc w:val="both"/>
              <w:rPr>
                <w:rFonts w:hint="eastAsia" w:ascii="仿宋" w:hAnsi="仿宋" w:eastAsia="仿宋" w:cs="仿宋"/>
                <w:sz w:val="24"/>
                <w:szCs w:val="24"/>
                <w:highlight w:val="none"/>
              </w:rPr>
            </w:pPr>
          </w:p>
        </w:tc>
      </w:tr>
      <w:tr w14:paraId="4047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14623499">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4DE4B414">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3C4BC736">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未按</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指定秩序卸货的，每次扣2分；</w:t>
            </w:r>
          </w:p>
        </w:tc>
        <w:tc>
          <w:tcPr>
            <w:tcW w:w="525" w:type="pct"/>
            <w:tcBorders>
              <w:top w:val="single" w:color="auto" w:sz="4" w:space="0"/>
              <w:left w:val="single" w:color="auto" w:sz="4" w:space="0"/>
              <w:bottom w:val="single" w:color="auto" w:sz="4" w:space="0"/>
              <w:right w:val="single" w:color="auto" w:sz="4" w:space="0"/>
            </w:tcBorders>
            <w:vAlign w:val="center"/>
          </w:tcPr>
          <w:p w14:paraId="3AF5F4BF">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514CA065">
            <w:pPr>
              <w:autoSpaceDE w:val="0"/>
              <w:autoSpaceDN w:val="0"/>
              <w:adjustRightInd w:val="0"/>
              <w:jc w:val="both"/>
              <w:rPr>
                <w:rFonts w:hint="eastAsia" w:ascii="仿宋" w:hAnsi="仿宋" w:eastAsia="仿宋" w:cs="仿宋"/>
                <w:sz w:val="24"/>
                <w:szCs w:val="24"/>
                <w:highlight w:val="none"/>
              </w:rPr>
            </w:pPr>
          </w:p>
        </w:tc>
      </w:tr>
      <w:tr w14:paraId="5E09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646B723D">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28F0C563">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2BF3B7DF">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产品验收不合格，</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每拒收一批次扣2分；</w:t>
            </w:r>
          </w:p>
        </w:tc>
        <w:tc>
          <w:tcPr>
            <w:tcW w:w="525" w:type="pct"/>
            <w:tcBorders>
              <w:top w:val="single" w:color="auto" w:sz="4" w:space="0"/>
              <w:left w:val="single" w:color="auto" w:sz="4" w:space="0"/>
              <w:bottom w:val="single" w:color="auto" w:sz="4" w:space="0"/>
              <w:right w:val="single" w:color="auto" w:sz="4" w:space="0"/>
            </w:tcBorders>
            <w:vAlign w:val="center"/>
          </w:tcPr>
          <w:p w14:paraId="043E7F8F">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7CFF5123">
            <w:pPr>
              <w:autoSpaceDE w:val="0"/>
              <w:autoSpaceDN w:val="0"/>
              <w:adjustRightInd w:val="0"/>
              <w:jc w:val="both"/>
              <w:rPr>
                <w:rFonts w:hint="eastAsia" w:ascii="仿宋" w:hAnsi="仿宋" w:eastAsia="仿宋" w:cs="仿宋"/>
                <w:sz w:val="24"/>
                <w:szCs w:val="24"/>
                <w:highlight w:val="none"/>
              </w:rPr>
            </w:pPr>
          </w:p>
        </w:tc>
      </w:tr>
      <w:tr w14:paraId="0E1D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6B886972">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7D193323">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286F3B1C">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货物出现质量问题，</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不积极配合查找原因，不及时反馈处理结果的，每次扣2分；</w:t>
            </w:r>
          </w:p>
        </w:tc>
        <w:tc>
          <w:tcPr>
            <w:tcW w:w="525" w:type="pct"/>
            <w:tcBorders>
              <w:top w:val="single" w:color="auto" w:sz="4" w:space="0"/>
              <w:left w:val="single" w:color="auto" w:sz="4" w:space="0"/>
              <w:bottom w:val="single" w:color="auto" w:sz="4" w:space="0"/>
              <w:right w:val="single" w:color="auto" w:sz="4" w:space="0"/>
            </w:tcBorders>
            <w:vAlign w:val="center"/>
          </w:tcPr>
          <w:p w14:paraId="0F31ED0C">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18BF55B5">
            <w:pPr>
              <w:autoSpaceDE w:val="0"/>
              <w:autoSpaceDN w:val="0"/>
              <w:adjustRightInd w:val="0"/>
              <w:jc w:val="both"/>
              <w:rPr>
                <w:rFonts w:hint="eastAsia" w:ascii="仿宋" w:hAnsi="仿宋" w:eastAsia="仿宋" w:cs="仿宋"/>
                <w:sz w:val="24"/>
                <w:szCs w:val="24"/>
                <w:highlight w:val="none"/>
              </w:rPr>
            </w:pPr>
          </w:p>
        </w:tc>
      </w:tr>
      <w:tr w14:paraId="217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6FA8427A">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132334F4">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323415BC">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乙方送货人员未持有效健康证上岗的</w:t>
            </w:r>
            <w:r>
              <w:rPr>
                <w:rFonts w:hint="eastAsia" w:ascii="仿宋" w:hAnsi="仿宋" w:eastAsia="仿宋" w:cs="仿宋"/>
                <w:sz w:val="24"/>
                <w:szCs w:val="24"/>
                <w:highlight w:val="none"/>
              </w:rPr>
              <w:t>，每次扣2分；</w:t>
            </w:r>
          </w:p>
        </w:tc>
        <w:tc>
          <w:tcPr>
            <w:tcW w:w="525" w:type="pct"/>
            <w:tcBorders>
              <w:top w:val="single" w:color="auto" w:sz="4" w:space="0"/>
              <w:left w:val="single" w:color="auto" w:sz="4" w:space="0"/>
              <w:bottom w:val="single" w:color="auto" w:sz="4" w:space="0"/>
              <w:right w:val="single" w:color="auto" w:sz="4" w:space="0"/>
            </w:tcBorders>
            <w:vAlign w:val="center"/>
          </w:tcPr>
          <w:p w14:paraId="522B9D6B">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35E2A3EF">
            <w:pPr>
              <w:autoSpaceDE w:val="0"/>
              <w:autoSpaceDN w:val="0"/>
              <w:adjustRightInd w:val="0"/>
              <w:jc w:val="both"/>
              <w:rPr>
                <w:rFonts w:hint="eastAsia" w:ascii="仿宋" w:hAnsi="仿宋" w:eastAsia="仿宋" w:cs="仿宋"/>
                <w:sz w:val="24"/>
                <w:szCs w:val="24"/>
                <w:highlight w:val="none"/>
              </w:rPr>
            </w:pPr>
          </w:p>
        </w:tc>
      </w:tr>
      <w:tr w14:paraId="6942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restart"/>
            <w:tcBorders>
              <w:top w:val="single" w:color="auto" w:sz="4" w:space="0"/>
              <w:left w:val="single" w:color="auto" w:sz="4" w:space="0"/>
              <w:right w:val="single" w:color="auto" w:sz="4" w:space="0"/>
            </w:tcBorders>
            <w:vAlign w:val="center"/>
          </w:tcPr>
          <w:p w14:paraId="1F8C019F">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w:t>
            </w:r>
          </w:p>
        </w:tc>
        <w:tc>
          <w:tcPr>
            <w:tcW w:w="271" w:type="pct"/>
            <w:tcBorders>
              <w:top w:val="single" w:color="auto" w:sz="4" w:space="0"/>
              <w:left w:val="single" w:color="auto" w:sz="4" w:space="0"/>
              <w:bottom w:val="single" w:color="auto" w:sz="4" w:space="0"/>
              <w:right w:val="single" w:color="auto" w:sz="4" w:space="0"/>
            </w:tcBorders>
            <w:vAlign w:val="center"/>
          </w:tcPr>
          <w:p w14:paraId="4B4B6F5E">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6BA0722F">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组织机构发生调整，或经营场所、联系人、联系方式变更，未及时通知</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后勤部门，造成无法及时联系的，每次扣2分；</w:t>
            </w:r>
          </w:p>
        </w:tc>
        <w:tc>
          <w:tcPr>
            <w:tcW w:w="525" w:type="pct"/>
            <w:tcBorders>
              <w:top w:val="single" w:color="auto" w:sz="4" w:space="0"/>
              <w:left w:val="single" w:color="auto" w:sz="4" w:space="0"/>
              <w:bottom w:val="single" w:color="auto" w:sz="4" w:space="0"/>
              <w:right w:val="single" w:color="auto" w:sz="4" w:space="0"/>
            </w:tcBorders>
            <w:vAlign w:val="center"/>
          </w:tcPr>
          <w:p w14:paraId="2CE8DD20">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27B5D45F">
            <w:pPr>
              <w:autoSpaceDE w:val="0"/>
              <w:autoSpaceDN w:val="0"/>
              <w:adjustRightInd w:val="0"/>
              <w:jc w:val="both"/>
              <w:rPr>
                <w:rFonts w:hint="eastAsia" w:ascii="仿宋" w:hAnsi="仿宋" w:eastAsia="仿宋" w:cs="仿宋"/>
                <w:sz w:val="24"/>
                <w:szCs w:val="24"/>
                <w:highlight w:val="none"/>
              </w:rPr>
            </w:pPr>
          </w:p>
        </w:tc>
      </w:tr>
      <w:tr w14:paraId="5281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left w:val="single" w:color="auto" w:sz="4" w:space="0"/>
              <w:right w:val="single" w:color="auto" w:sz="4" w:space="0"/>
            </w:tcBorders>
            <w:vAlign w:val="center"/>
          </w:tcPr>
          <w:p w14:paraId="00CB2E4A">
            <w:pPr>
              <w:autoSpaceDE w:val="0"/>
              <w:autoSpaceDN w:val="0"/>
              <w:adjustRightInd w:val="0"/>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1059A8B2">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5766734A">
            <w:pPr>
              <w:autoSpaceDE w:val="0"/>
              <w:autoSpaceDN w:val="0"/>
              <w:adjustRightInd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违反招投标文件和合同的规定，擅自更改供应货物品牌、规格和质量的，每项次扣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42AE0511">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04CAB5BE">
            <w:pPr>
              <w:autoSpaceDE w:val="0"/>
              <w:autoSpaceDN w:val="0"/>
              <w:adjustRightInd w:val="0"/>
              <w:jc w:val="both"/>
              <w:rPr>
                <w:rFonts w:hint="eastAsia" w:ascii="仿宋" w:hAnsi="仿宋" w:eastAsia="仿宋" w:cs="仿宋"/>
                <w:sz w:val="24"/>
                <w:szCs w:val="24"/>
                <w:highlight w:val="none"/>
              </w:rPr>
            </w:pPr>
          </w:p>
        </w:tc>
      </w:tr>
      <w:tr w14:paraId="336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left w:val="single" w:color="auto" w:sz="4" w:space="0"/>
              <w:right w:val="single" w:color="auto" w:sz="4" w:space="0"/>
            </w:tcBorders>
            <w:vAlign w:val="center"/>
          </w:tcPr>
          <w:p w14:paraId="5C4AE83A">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7197C2A1">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756061D0">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提供虚假检验报告等相关票证的，每发现一项次扣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0DBC8364">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5B5E28B8">
            <w:pPr>
              <w:autoSpaceDE w:val="0"/>
              <w:autoSpaceDN w:val="0"/>
              <w:adjustRightInd w:val="0"/>
              <w:jc w:val="both"/>
              <w:rPr>
                <w:rFonts w:hint="eastAsia" w:ascii="仿宋" w:hAnsi="仿宋" w:eastAsia="仿宋" w:cs="仿宋"/>
                <w:sz w:val="24"/>
                <w:szCs w:val="24"/>
                <w:highlight w:val="none"/>
              </w:rPr>
            </w:pPr>
          </w:p>
        </w:tc>
      </w:tr>
      <w:tr w14:paraId="2334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left w:val="single" w:color="auto" w:sz="4" w:space="0"/>
              <w:right w:val="single" w:color="auto" w:sz="4" w:space="0"/>
            </w:tcBorders>
            <w:vAlign w:val="center"/>
          </w:tcPr>
          <w:p w14:paraId="78BA3383">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0A866504">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1B77F138">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lang w:eastAsia="zh-CN"/>
              </w:rPr>
              <w:t>食品溯源管理制度不落实，进货查验记录不全的，每次扣</w:t>
            </w:r>
            <w:r>
              <w:rPr>
                <w:rFonts w:hint="eastAsia" w:ascii="仿宋" w:hAnsi="仿宋" w:eastAsia="仿宋" w:cs="仿宋"/>
                <w:sz w:val="24"/>
                <w:szCs w:val="24"/>
                <w:highlight w:val="none"/>
                <w:lang w:val="en-US" w:eastAsia="zh-CN"/>
              </w:rPr>
              <w:t>4分；</w:t>
            </w:r>
          </w:p>
        </w:tc>
        <w:tc>
          <w:tcPr>
            <w:tcW w:w="525" w:type="pct"/>
            <w:tcBorders>
              <w:top w:val="single" w:color="auto" w:sz="4" w:space="0"/>
              <w:left w:val="single" w:color="auto" w:sz="4" w:space="0"/>
              <w:bottom w:val="single" w:color="auto" w:sz="4" w:space="0"/>
              <w:right w:val="single" w:color="auto" w:sz="4" w:space="0"/>
            </w:tcBorders>
            <w:vAlign w:val="center"/>
          </w:tcPr>
          <w:p w14:paraId="55948D78">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020F26A3">
            <w:pPr>
              <w:autoSpaceDE w:val="0"/>
              <w:autoSpaceDN w:val="0"/>
              <w:adjustRightInd w:val="0"/>
              <w:jc w:val="both"/>
              <w:rPr>
                <w:rFonts w:hint="eastAsia" w:ascii="仿宋" w:hAnsi="仿宋" w:eastAsia="仿宋" w:cs="仿宋"/>
                <w:sz w:val="24"/>
                <w:szCs w:val="24"/>
                <w:highlight w:val="none"/>
              </w:rPr>
            </w:pPr>
          </w:p>
        </w:tc>
      </w:tr>
      <w:tr w14:paraId="430E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left w:val="single" w:color="auto" w:sz="4" w:space="0"/>
              <w:right w:val="single" w:color="auto" w:sz="4" w:space="0"/>
            </w:tcBorders>
            <w:vAlign w:val="center"/>
          </w:tcPr>
          <w:p w14:paraId="51806B9E">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2DF898FD">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0D67C435">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在包装、运输、装卸等环节不符合食品卫生要求的，每发现一次扣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7559C0D1">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74382C81">
            <w:pPr>
              <w:autoSpaceDE w:val="0"/>
              <w:autoSpaceDN w:val="0"/>
              <w:adjustRightInd w:val="0"/>
              <w:jc w:val="both"/>
              <w:rPr>
                <w:rFonts w:hint="eastAsia" w:ascii="仿宋" w:hAnsi="仿宋" w:eastAsia="仿宋" w:cs="仿宋"/>
                <w:sz w:val="24"/>
                <w:szCs w:val="24"/>
                <w:highlight w:val="none"/>
              </w:rPr>
            </w:pPr>
          </w:p>
        </w:tc>
      </w:tr>
      <w:tr w14:paraId="41D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left w:val="single" w:color="auto" w:sz="4" w:space="0"/>
              <w:right w:val="single" w:color="auto" w:sz="4" w:space="0"/>
            </w:tcBorders>
            <w:vAlign w:val="center"/>
          </w:tcPr>
          <w:p w14:paraId="3D3821F5">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6993B789">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03C938A6">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把</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验收不合格退货的货物重新配送给</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的，每发现一次扣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792D84E7">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7D78C997">
            <w:pPr>
              <w:autoSpaceDE w:val="0"/>
              <w:autoSpaceDN w:val="0"/>
              <w:adjustRightInd w:val="0"/>
              <w:jc w:val="both"/>
              <w:rPr>
                <w:rFonts w:hint="eastAsia" w:ascii="仿宋" w:hAnsi="仿宋" w:eastAsia="仿宋" w:cs="仿宋"/>
                <w:sz w:val="24"/>
                <w:szCs w:val="24"/>
                <w:highlight w:val="none"/>
              </w:rPr>
            </w:pPr>
          </w:p>
        </w:tc>
      </w:tr>
      <w:tr w14:paraId="651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left w:val="single" w:color="auto" w:sz="4" w:space="0"/>
              <w:right w:val="single" w:color="auto" w:sz="4" w:space="0"/>
            </w:tcBorders>
            <w:vAlign w:val="center"/>
          </w:tcPr>
          <w:p w14:paraId="322C1BC3">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218F3409">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6EF3AF63">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lang w:eastAsia="zh-CN"/>
              </w:rPr>
              <w:t>提供假冒伪劣、以次充好、过期产品的，每次扣</w:t>
            </w:r>
            <w:r>
              <w:rPr>
                <w:rFonts w:hint="eastAsia" w:ascii="仿宋" w:hAnsi="仿宋" w:eastAsia="仿宋" w:cs="仿宋"/>
                <w:sz w:val="24"/>
                <w:szCs w:val="24"/>
                <w:highlight w:val="none"/>
                <w:lang w:val="en-US" w:eastAsia="zh-CN"/>
              </w:rPr>
              <w:t>4分；</w:t>
            </w:r>
          </w:p>
        </w:tc>
        <w:tc>
          <w:tcPr>
            <w:tcW w:w="525" w:type="pct"/>
            <w:tcBorders>
              <w:top w:val="single" w:color="auto" w:sz="4" w:space="0"/>
              <w:left w:val="single" w:color="auto" w:sz="4" w:space="0"/>
              <w:bottom w:val="single" w:color="auto" w:sz="4" w:space="0"/>
              <w:right w:val="single" w:color="auto" w:sz="4" w:space="0"/>
            </w:tcBorders>
            <w:vAlign w:val="center"/>
          </w:tcPr>
          <w:p w14:paraId="33CDE086">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2A685CC8">
            <w:pPr>
              <w:autoSpaceDE w:val="0"/>
              <w:autoSpaceDN w:val="0"/>
              <w:adjustRightInd w:val="0"/>
              <w:jc w:val="both"/>
              <w:rPr>
                <w:rFonts w:hint="eastAsia" w:ascii="仿宋" w:hAnsi="仿宋" w:eastAsia="仿宋" w:cs="仿宋"/>
                <w:sz w:val="24"/>
                <w:szCs w:val="24"/>
                <w:highlight w:val="none"/>
              </w:rPr>
            </w:pPr>
          </w:p>
        </w:tc>
      </w:tr>
      <w:tr w14:paraId="122A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restart"/>
            <w:tcBorders>
              <w:top w:val="single" w:color="auto" w:sz="4" w:space="0"/>
              <w:left w:val="single" w:color="auto" w:sz="4" w:space="0"/>
              <w:bottom w:val="single" w:color="auto" w:sz="4" w:space="0"/>
              <w:right w:val="single" w:color="auto" w:sz="4" w:space="0"/>
            </w:tcBorders>
            <w:vAlign w:val="center"/>
          </w:tcPr>
          <w:p w14:paraId="7854E8D2">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271" w:type="pct"/>
            <w:tcBorders>
              <w:top w:val="single" w:color="auto" w:sz="4" w:space="0"/>
              <w:left w:val="single" w:color="auto" w:sz="4" w:space="0"/>
              <w:bottom w:val="single" w:color="auto" w:sz="4" w:space="0"/>
              <w:right w:val="single" w:color="auto" w:sz="4" w:space="0"/>
            </w:tcBorders>
            <w:vAlign w:val="center"/>
          </w:tcPr>
          <w:p w14:paraId="50338707">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4C0339CA">
            <w:pPr>
              <w:autoSpaceDE w:val="0"/>
              <w:autoSpaceDN w:val="0"/>
              <w:adjustRightIn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工作人员不遵守</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各项管理规定或</w:t>
            </w:r>
            <w:r>
              <w:rPr>
                <w:rFonts w:hint="eastAsia" w:ascii="仿宋" w:hAnsi="仿宋" w:eastAsia="仿宋" w:cs="仿宋"/>
                <w:sz w:val="24"/>
                <w:szCs w:val="24"/>
                <w:highlight w:val="none"/>
                <w:lang w:eastAsia="zh-CN"/>
              </w:rPr>
              <w:t>不配合</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工作，每次扣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tc>
        <w:tc>
          <w:tcPr>
            <w:tcW w:w="525" w:type="pct"/>
            <w:tcBorders>
              <w:top w:val="single" w:color="auto" w:sz="4" w:space="0"/>
              <w:left w:val="single" w:color="auto" w:sz="4" w:space="0"/>
              <w:bottom w:val="single" w:color="auto" w:sz="4" w:space="0"/>
              <w:right w:val="single" w:color="auto" w:sz="4" w:space="0"/>
            </w:tcBorders>
            <w:vAlign w:val="center"/>
          </w:tcPr>
          <w:p w14:paraId="587367EF">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65329DA3">
            <w:pPr>
              <w:autoSpaceDE w:val="0"/>
              <w:autoSpaceDN w:val="0"/>
              <w:adjustRightInd w:val="0"/>
              <w:jc w:val="both"/>
              <w:rPr>
                <w:rFonts w:hint="eastAsia" w:ascii="仿宋" w:hAnsi="仿宋" w:eastAsia="仿宋" w:cs="仿宋"/>
                <w:sz w:val="24"/>
                <w:szCs w:val="24"/>
                <w:highlight w:val="none"/>
              </w:rPr>
            </w:pPr>
          </w:p>
        </w:tc>
      </w:tr>
      <w:tr w14:paraId="16A4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683EB8DE">
            <w:pPr>
              <w:widowControl/>
              <w:jc w:val="center"/>
              <w:rPr>
                <w:rFonts w:hint="eastAsia" w:ascii="仿宋" w:hAnsi="仿宋" w:eastAsia="仿宋" w:cs="仿宋"/>
                <w:sz w:val="24"/>
                <w:szCs w:val="24"/>
                <w:highlight w:val="none"/>
              </w:rPr>
            </w:pPr>
          </w:p>
        </w:tc>
        <w:tc>
          <w:tcPr>
            <w:tcW w:w="271" w:type="pct"/>
            <w:tcBorders>
              <w:top w:val="single" w:color="auto" w:sz="4" w:space="0"/>
              <w:left w:val="single" w:color="auto" w:sz="4" w:space="0"/>
              <w:bottom w:val="single" w:color="auto" w:sz="4" w:space="0"/>
              <w:right w:val="single" w:color="auto" w:sz="4" w:space="0"/>
            </w:tcBorders>
            <w:vAlign w:val="center"/>
          </w:tcPr>
          <w:p w14:paraId="1999EF3B">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2411" w:type="pct"/>
            <w:gridSpan w:val="2"/>
            <w:tcBorders>
              <w:top w:val="single" w:color="auto" w:sz="4" w:space="0"/>
              <w:left w:val="single" w:color="auto" w:sz="4" w:space="0"/>
              <w:bottom w:val="single" w:color="auto" w:sz="4" w:space="0"/>
              <w:right w:val="single" w:color="auto" w:sz="4" w:space="0"/>
            </w:tcBorders>
            <w:vAlign w:val="center"/>
          </w:tcPr>
          <w:p w14:paraId="7D8700DC">
            <w:pPr>
              <w:autoSpaceDE w:val="0"/>
              <w:autoSpaceDN w:val="0"/>
              <w:adjustRightInd w:val="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认为应当对</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进行</w:t>
            </w:r>
            <w:r>
              <w:rPr>
                <w:rFonts w:hint="eastAsia" w:ascii="仿宋" w:hAnsi="仿宋" w:eastAsia="仿宋" w:cs="仿宋"/>
                <w:sz w:val="24"/>
                <w:szCs w:val="24"/>
                <w:highlight w:val="none"/>
                <w:lang w:eastAsia="zh-CN"/>
              </w:rPr>
              <w:t>考核扣分</w:t>
            </w:r>
            <w:r>
              <w:rPr>
                <w:rFonts w:hint="eastAsia" w:ascii="仿宋" w:hAnsi="仿宋" w:eastAsia="仿宋" w:cs="仿宋"/>
                <w:sz w:val="24"/>
                <w:szCs w:val="24"/>
                <w:highlight w:val="none"/>
              </w:rPr>
              <w:t>的其他内容</w:t>
            </w:r>
            <w:r>
              <w:rPr>
                <w:rFonts w:hint="eastAsia" w:ascii="仿宋" w:hAnsi="仿宋" w:eastAsia="仿宋" w:cs="仿宋"/>
                <w:sz w:val="24"/>
                <w:szCs w:val="24"/>
                <w:highlight w:val="none"/>
                <w:lang w:eastAsia="zh-CN"/>
              </w:rPr>
              <w:t>。</w:t>
            </w:r>
          </w:p>
        </w:tc>
        <w:tc>
          <w:tcPr>
            <w:tcW w:w="525" w:type="pct"/>
            <w:tcBorders>
              <w:top w:val="single" w:color="auto" w:sz="4" w:space="0"/>
              <w:left w:val="single" w:color="auto" w:sz="4" w:space="0"/>
              <w:bottom w:val="single" w:color="auto" w:sz="4" w:space="0"/>
              <w:right w:val="single" w:color="auto" w:sz="4" w:space="0"/>
            </w:tcBorders>
            <w:vAlign w:val="center"/>
          </w:tcPr>
          <w:p w14:paraId="2DCF8CB6">
            <w:pPr>
              <w:autoSpaceDE w:val="0"/>
              <w:autoSpaceDN w:val="0"/>
              <w:adjustRightInd w:val="0"/>
              <w:jc w:val="both"/>
              <w:rPr>
                <w:rFonts w:hint="eastAsia" w:ascii="仿宋" w:hAnsi="仿宋" w:eastAsia="仿宋" w:cs="仿宋"/>
                <w:sz w:val="24"/>
                <w:szCs w:val="24"/>
                <w:highlight w:val="none"/>
              </w:rPr>
            </w:pPr>
          </w:p>
        </w:tc>
        <w:tc>
          <w:tcPr>
            <w:tcW w:w="1382" w:type="pct"/>
            <w:tcBorders>
              <w:top w:val="single" w:color="auto" w:sz="4" w:space="0"/>
              <w:left w:val="single" w:color="auto" w:sz="4" w:space="0"/>
              <w:bottom w:val="single" w:color="auto" w:sz="4" w:space="0"/>
              <w:right w:val="single" w:color="auto" w:sz="4" w:space="0"/>
            </w:tcBorders>
            <w:vAlign w:val="center"/>
          </w:tcPr>
          <w:p w14:paraId="5575B53D">
            <w:pPr>
              <w:autoSpaceDE w:val="0"/>
              <w:autoSpaceDN w:val="0"/>
              <w:adjustRightInd w:val="0"/>
              <w:jc w:val="both"/>
              <w:rPr>
                <w:rFonts w:hint="eastAsia" w:ascii="仿宋" w:hAnsi="仿宋" w:eastAsia="仿宋" w:cs="仿宋"/>
                <w:sz w:val="24"/>
                <w:szCs w:val="24"/>
                <w:highlight w:val="none"/>
              </w:rPr>
            </w:pPr>
          </w:p>
        </w:tc>
      </w:tr>
      <w:tr w14:paraId="442E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pct"/>
            <w:gridSpan w:val="2"/>
            <w:tcBorders>
              <w:top w:val="single" w:color="auto" w:sz="4" w:space="0"/>
              <w:left w:val="single" w:color="auto" w:sz="4" w:space="0"/>
              <w:bottom w:val="single" w:color="auto" w:sz="4" w:space="0"/>
              <w:right w:val="single" w:color="auto" w:sz="4" w:space="0"/>
            </w:tcBorders>
            <w:vAlign w:val="center"/>
          </w:tcPr>
          <w:p w14:paraId="7639846B">
            <w:pPr>
              <w:autoSpaceDE w:val="0"/>
              <w:autoSpaceDN w:val="0"/>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扣分合计</w:t>
            </w:r>
          </w:p>
        </w:tc>
        <w:tc>
          <w:tcPr>
            <w:tcW w:w="1666" w:type="pct"/>
            <w:tcBorders>
              <w:top w:val="single" w:color="auto" w:sz="4" w:space="0"/>
              <w:left w:val="single" w:color="auto" w:sz="4" w:space="0"/>
              <w:bottom w:val="single" w:color="auto" w:sz="4" w:space="0"/>
              <w:right w:val="single" w:color="auto" w:sz="4" w:space="0"/>
            </w:tcBorders>
            <w:vAlign w:val="center"/>
          </w:tcPr>
          <w:p w14:paraId="43EC4736">
            <w:pPr>
              <w:autoSpaceDE w:val="0"/>
              <w:autoSpaceDN w:val="0"/>
              <w:adjustRightInd w:val="0"/>
              <w:jc w:val="center"/>
              <w:rPr>
                <w:rFonts w:hint="eastAsia" w:ascii="仿宋" w:hAnsi="仿宋" w:eastAsia="仿宋" w:cs="仿宋"/>
                <w:sz w:val="24"/>
                <w:szCs w:val="24"/>
                <w:highlight w:val="none"/>
              </w:rPr>
            </w:pPr>
          </w:p>
        </w:tc>
        <w:tc>
          <w:tcPr>
            <w:tcW w:w="1270" w:type="pct"/>
            <w:gridSpan w:val="2"/>
            <w:tcBorders>
              <w:top w:val="single" w:color="auto" w:sz="4" w:space="0"/>
              <w:left w:val="single" w:color="auto" w:sz="4" w:space="0"/>
              <w:bottom w:val="single" w:color="auto" w:sz="4" w:space="0"/>
              <w:right w:val="single" w:color="auto" w:sz="4" w:space="0"/>
            </w:tcBorders>
            <w:vAlign w:val="center"/>
          </w:tcPr>
          <w:p w14:paraId="47D9D348">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总分（100分制）</w:t>
            </w:r>
          </w:p>
        </w:tc>
        <w:tc>
          <w:tcPr>
            <w:tcW w:w="1382" w:type="pct"/>
            <w:tcBorders>
              <w:top w:val="single" w:color="auto" w:sz="4" w:space="0"/>
              <w:left w:val="single" w:color="auto" w:sz="4" w:space="0"/>
              <w:bottom w:val="single" w:color="auto" w:sz="4" w:space="0"/>
              <w:right w:val="single" w:color="auto" w:sz="4" w:space="0"/>
            </w:tcBorders>
            <w:vAlign w:val="center"/>
          </w:tcPr>
          <w:p w14:paraId="3A461687">
            <w:pPr>
              <w:autoSpaceDE w:val="0"/>
              <w:autoSpaceDN w:val="0"/>
              <w:adjustRightInd w:val="0"/>
              <w:jc w:val="center"/>
              <w:rPr>
                <w:rFonts w:hint="eastAsia" w:ascii="仿宋" w:hAnsi="仿宋" w:eastAsia="仿宋" w:cs="仿宋"/>
                <w:sz w:val="24"/>
                <w:szCs w:val="24"/>
                <w:highlight w:val="none"/>
              </w:rPr>
            </w:pPr>
          </w:p>
        </w:tc>
      </w:tr>
      <w:tr w14:paraId="11A9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80" w:type="pct"/>
            <w:gridSpan w:val="2"/>
            <w:tcBorders>
              <w:top w:val="single" w:color="auto" w:sz="4" w:space="0"/>
              <w:left w:val="single" w:color="auto" w:sz="4" w:space="0"/>
              <w:bottom w:val="single" w:color="auto" w:sz="4" w:space="0"/>
              <w:right w:val="single" w:color="auto" w:sz="4" w:space="0"/>
            </w:tcBorders>
            <w:vAlign w:val="center"/>
          </w:tcPr>
          <w:p w14:paraId="523D2276">
            <w:pPr>
              <w:autoSpaceDE w:val="0"/>
              <w:autoSpaceDN w:val="0"/>
              <w:adjustRightIn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考核</w:t>
            </w:r>
            <w:r>
              <w:rPr>
                <w:rFonts w:hint="eastAsia" w:ascii="仿宋" w:hAnsi="仿宋" w:eastAsia="仿宋" w:cs="仿宋"/>
                <w:sz w:val="24"/>
                <w:szCs w:val="24"/>
                <w:highlight w:val="none"/>
                <w:lang w:val="en-US" w:eastAsia="zh-CN"/>
              </w:rPr>
              <w:t>月份</w:t>
            </w:r>
          </w:p>
        </w:tc>
        <w:tc>
          <w:tcPr>
            <w:tcW w:w="1666" w:type="pct"/>
            <w:tcBorders>
              <w:top w:val="single" w:color="auto" w:sz="4" w:space="0"/>
              <w:left w:val="single" w:color="auto" w:sz="4" w:space="0"/>
              <w:bottom w:val="single" w:color="auto" w:sz="4" w:space="0"/>
              <w:right w:val="single" w:color="auto" w:sz="4" w:space="0"/>
            </w:tcBorders>
            <w:vAlign w:val="center"/>
          </w:tcPr>
          <w:p w14:paraId="0560EE03">
            <w:pPr>
              <w:autoSpaceDE w:val="0"/>
              <w:autoSpaceDN w:val="0"/>
              <w:adjustRightInd w:val="0"/>
              <w:jc w:val="center"/>
              <w:rPr>
                <w:rFonts w:hint="eastAsia" w:ascii="仿宋" w:hAnsi="仿宋" w:eastAsia="仿宋" w:cs="仿宋"/>
                <w:sz w:val="24"/>
                <w:szCs w:val="24"/>
                <w:highlight w:val="none"/>
              </w:rPr>
            </w:pPr>
          </w:p>
        </w:tc>
        <w:tc>
          <w:tcPr>
            <w:tcW w:w="744" w:type="pct"/>
            <w:tcBorders>
              <w:top w:val="single" w:color="auto" w:sz="4" w:space="0"/>
              <w:left w:val="single" w:color="auto" w:sz="4" w:space="0"/>
              <w:bottom w:val="single" w:color="auto" w:sz="4" w:space="0"/>
              <w:right w:val="single" w:color="auto" w:sz="4" w:space="0"/>
            </w:tcBorders>
            <w:vAlign w:val="center"/>
          </w:tcPr>
          <w:p w14:paraId="66CEDA19">
            <w:pPr>
              <w:autoSpaceDE w:val="0"/>
              <w:autoSpaceDN w:val="0"/>
              <w:adjustRightInd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考核人签名</w:t>
            </w:r>
          </w:p>
        </w:tc>
        <w:tc>
          <w:tcPr>
            <w:tcW w:w="1907" w:type="pct"/>
            <w:gridSpan w:val="2"/>
            <w:tcBorders>
              <w:top w:val="single" w:color="auto" w:sz="4" w:space="0"/>
              <w:left w:val="single" w:color="auto" w:sz="4" w:space="0"/>
              <w:bottom w:val="single" w:color="auto" w:sz="4" w:space="0"/>
              <w:right w:val="single" w:color="auto" w:sz="4" w:space="0"/>
            </w:tcBorders>
            <w:vAlign w:val="center"/>
          </w:tcPr>
          <w:p w14:paraId="06D56265">
            <w:pPr>
              <w:autoSpaceDE w:val="0"/>
              <w:autoSpaceDN w:val="0"/>
              <w:adjustRightInd w:val="0"/>
              <w:jc w:val="center"/>
              <w:rPr>
                <w:rFonts w:hint="eastAsia" w:ascii="仿宋" w:hAnsi="仿宋" w:eastAsia="仿宋" w:cs="仿宋"/>
                <w:sz w:val="24"/>
                <w:szCs w:val="24"/>
                <w:highlight w:val="none"/>
              </w:rPr>
            </w:pPr>
          </w:p>
        </w:tc>
      </w:tr>
    </w:tbl>
    <w:p w14:paraId="361E56D6">
      <w:pPr>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val="en-US" w:eastAsia="zh-CN"/>
        </w:rPr>
        <w:t>备注：如存在扣分情况，请在“扣分值”一栏填写扣分分值，并在“扣分情况”一栏说明扣分情况发生的具体日期和具体情况，如表格无法简单概括可附情况说明。月度考核总分低于80分的，视作月度验收不通过，招标人有权上报主管部门并进行解约处理。</w:t>
      </w:r>
    </w:p>
    <w:p w14:paraId="5D4ACBDE">
      <w:pPr>
        <w:rPr>
          <w:sz w:val="24"/>
          <w:szCs w:val="24"/>
        </w:rPr>
      </w:pPr>
    </w:p>
    <w:p w14:paraId="11308FD5">
      <w:pPr>
        <w:pStyle w:val="6"/>
        <w:rPr>
          <w:sz w:val="24"/>
          <w:szCs w:val="24"/>
        </w:rPr>
      </w:pPr>
    </w:p>
    <w:p w14:paraId="5EA63E1D">
      <w:pPr>
        <w:rPr>
          <w:sz w:val="24"/>
          <w:szCs w:val="24"/>
        </w:rPr>
      </w:pPr>
    </w:p>
    <w:p w14:paraId="0AFF9F13">
      <w:pPr>
        <w:pStyle w:val="6"/>
        <w:rPr>
          <w:sz w:val="24"/>
          <w:szCs w:val="24"/>
        </w:rPr>
      </w:pPr>
    </w:p>
    <w:p w14:paraId="50E312C7">
      <w:pPr>
        <w:rPr>
          <w:sz w:val="24"/>
          <w:szCs w:val="24"/>
        </w:rPr>
      </w:pPr>
    </w:p>
    <w:p w14:paraId="566F6A55">
      <w:pPr>
        <w:pStyle w:val="6"/>
        <w:rPr>
          <w:sz w:val="24"/>
          <w:szCs w:val="24"/>
        </w:rPr>
      </w:pPr>
    </w:p>
    <w:p w14:paraId="565DF6C7">
      <w:pPr>
        <w:rPr>
          <w:sz w:val="24"/>
          <w:szCs w:val="24"/>
        </w:rPr>
      </w:pPr>
    </w:p>
    <w:p w14:paraId="4F77CCEA">
      <w:pPr>
        <w:pStyle w:val="6"/>
      </w:pPr>
    </w:p>
    <w:p w14:paraId="2CAC9E2D"/>
    <w:p w14:paraId="5DCDF5F7"/>
    <w:p w14:paraId="240ED4E0">
      <w:pPr>
        <w:pStyle w:val="6"/>
      </w:pPr>
    </w:p>
    <w:p w14:paraId="25F3F4A9">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br w:type="page"/>
      </w:r>
    </w:p>
    <w:p w14:paraId="5E22618C">
      <w:pPr>
        <w:pStyle w:val="2"/>
        <w:spacing w:before="120" w:beforeLines="50" w:after="120" w:afterLines="50"/>
        <w:ind w:left="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第二册  通用条款（公开招标）</w:t>
      </w:r>
    </w:p>
    <w:p w14:paraId="47AA8544">
      <w:pPr>
        <w:pStyle w:val="2"/>
        <w:numPr>
          <w:ilvl w:val="0"/>
          <w:numId w:val="2"/>
        </w:numPr>
        <w:spacing w:before="120" w:beforeLines="50" w:after="120" w:afterLines="50"/>
        <w:ind w:left="562" w:hanging="562"/>
        <w:rPr>
          <w:color w:val="000000" w:themeColor="text1"/>
          <w:sz w:val="28"/>
          <w:szCs w:val="28"/>
          <w14:textFill>
            <w14:solidFill>
              <w14:schemeClr w14:val="tx1"/>
            </w14:solidFill>
          </w14:textFill>
        </w:rPr>
      </w:pPr>
      <w:bookmarkStart w:id="44" w:name="_Hlk72399513"/>
      <w:r>
        <w:rPr>
          <w:rFonts w:hint="eastAsia"/>
          <w:color w:val="000000" w:themeColor="text1"/>
          <w:sz w:val="28"/>
          <w:szCs w:val="28"/>
          <w14:textFill>
            <w14:solidFill>
              <w14:schemeClr w14:val="tx1"/>
            </w14:solidFill>
          </w14:textFill>
        </w:rPr>
        <w:t>总则</w:t>
      </w:r>
    </w:p>
    <w:bookmarkEnd w:id="44"/>
    <w:p w14:paraId="48AB94A7">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 通用条款说明</w:t>
      </w:r>
    </w:p>
    <w:p w14:paraId="3AA1228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bookmarkStart w:id="45" w:name="_Hlk72399729"/>
      <w:r>
        <w:rPr>
          <w:rFonts w:hint="eastAsia" w:ascii="宋体" w:hAnsi="宋体"/>
          <w:color w:val="000000" w:themeColor="text1"/>
          <w:szCs w:val="21"/>
          <w14:textFill>
            <w14:solidFill>
              <w14:schemeClr w14:val="tx1"/>
            </w14:solidFill>
          </w14:textFill>
        </w:rPr>
        <w:t>采购机构可以对通用条款的内容进行补充。</w:t>
      </w:r>
      <w:bookmarkEnd w:id="45"/>
    </w:p>
    <w:p w14:paraId="68D053E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1.2招标文件分为第一册“专用条款”和第二册“通用条款”。</w:t>
      </w:r>
    </w:p>
    <w:p w14:paraId="6C586D58">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1.3“专用条款”是对本次采购项目的具体要求，包含招标公告、对通用条款的补充内容及其他关键信息、用户需求书、投标文件格式及附件、合同条款及格式等内容。</w:t>
      </w:r>
    </w:p>
    <w:p w14:paraId="227B9C1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1.4“通用条款”是适用于政府采购公开招标项目的基础性条款，具有普遍性和通用性。</w:t>
      </w:r>
    </w:p>
    <w:p w14:paraId="337B0FA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 “专用条款”和“通用条款”表述不一致或有冲突时，以“专用条款”为准。</w:t>
      </w:r>
    </w:p>
    <w:p w14:paraId="7811B801">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w:t>
      </w:r>
      <w:r>
        <w:rPr>
          <w:rFonts w:ascii="黑体" w:hAnsi="宋体" w:eastAsia="黑体"/>
          <w:color w:val="000000" w:themeColor="text1"/>
          <w14:textFill>
            <w14:solidFill>
              <w14:schemeClr w14:val="tx1"/>
            </w14:solidFill>
          </w14:textFill>
        </w:rPr>
        <w:t>．</w:t>
      </w:r>
      <w:r>
        <w:rPr>
          <w:rFonts w:hint="eastAsia" w:ascii="黑体" w:hAnsi="宋体" w:eastAsia="黑体"/>
          <w:color w:val="000000" w:themeColor="text1"/>
          <w14:textFill>
            <w14:solidFill>
              <w14:schemeClr w14:val="tx1"/>
            </w14:solidFill>
          </w14:textFill>
        </w:rPr>
        <w:t>招标说明</w:t>
      </w:r>
    </w:p>
    <w:p w14:paraId="190D423D">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本项目按照《深圳经济特区政府采购条例》、《深圳经济特区政府采购条例实施细则》及政府采购其他法律法规，通过公开招标方式确定中标供应商。</w:t>
      </w:r>
    </w:p>
    <w:p w14:paraId="7564C70A">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3．定义</w:t>
      </w:r>
    </w:p>
    <w:p w14:paraId="731ABF15">
      <w:pPr>
        <w:ind w:firstLine="48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招标文件中下列术语应解释为：</w:t>
      </w:r>
    </w:p>
    <w:p w14:paraId="735F7F36">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“采购人”：指利用财政性资金依法进行政府采购的国家机关、事业单位、团体组织；</w:t>
      </w:r>
    </w:p>
    <w:p w14:paraId="667F61FD">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”系指根据采购人的委托，代理政府采购事宜的机构，在此特指拥有采购代理资格的</w:t>
      </w:r>
      <w:r>
        <w:rPr>
          <w:rFonts w:hint="eastAsia" w:ascii="宋体" w:hAnsi="宋体"/>
          <w:b/>
          <w:bCs/>
          <w:color w:val="000000" w:themeColor="text1"/>
          <w:szCs w:val="21"/>
          <w14:textFill>
            <w14:solidFill>
              <w14:schemeClr w14:val="tx1"/>
            </w14:solidFill>
          </w14:textFill>
        </w:rPr>
        <w:t>友和保险经纪有限公司</w:t>
      </w:r>
      <w:r>
        <w:rPr>
          <w:rFonts w:hint="eastAsia" w:ascii="宋体" w:hAnsi="宋体"/>
          <w:color w:val="000000" w:themeColor="text1"/>
          <w:szCs w:val="21"/>
          <w14:textFill>
            <w14:solidFill>
              <w14:schemeClr w14:val="tx1"/>
            </w14:solidFill>
          </w14:textFill>
        </w:rPr>
        <w:t>；</w:t>
      </w:r>
    </w:p>
    <w:p w14:paraId="4389C77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3.3“投标人”，即供应商，指参加投标竞争并愿意按照招标文件要求向采购人提供货物、工程或者服务的依法成立的法人、其他组织或者自然人；</w:t>
      </w:r>
    </w:p>
    <w:p w14:paraId="27A7F413">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3.4“评审委员会”是依据《深圳经济特区政府采购条例》、《深圳经济特区政府采购条例实施细则》等有关规定组建的专门负责本次招标其评审工作的临时性机构；</w:t>
      </w:r>
    </w:p>
    <w:p w14:paraId="49E13AA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3.5“日期”</w:t>
      </w:r>
      <w:r>
        <w:rPr>
          <w:rFonts w:ascii="宋体" w:hAnsi="宋体"/>
          <w:color w:val="000000" w:themeColor="text1"/>
          <w:szCs w:val="21"/>
          <w14:textFill>
            <w14:solidFill>
              <w14:schemeClr w14:val="tx1"/>
            </w14:solidFill>
          </w14:textFill>
        </w:rPr>
        <w:t>指</w:t>
      </w:r>
      <w:r>
        <w:rPr>
          <w:rFonts w:hint="eastAsia" w:ascii="宋体" w:hAnsi="宋体"/>
          <w:color w:val="000000" w:themeColor="text1"/>
          <w:szCs w:val="21"/>
          <w14:textFill>
            <w14:solidFill>
              <w14:schemeClr w14:val="tx1"/>
            </w14:solidFill>
          </w14:textFill>
        </w:rPr>
        <w:t>公历日；</w:t>
      </w:r>
    </w:p>
    <w:p w14:paraId="01B489B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3.6“合同”指由本次招标所产生的合同或合约文件；</w:t>
      </w:r>
    </w:p>
    <w:p w14:paraId="018052B4">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3.7“电子投标文件”指利用</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color w:val="000000" w:themeColor="text1"/>
          <w:szCs w:val="21"/>
          <w14:textFill>
            <w14:solidFill>
              <w14:schemeClr w14:val="tx1"/>
            </w14:solidFill>
          </w14:textFill>
        </w:rPr>
        <w:t>网站提供的</w:t>
      </w:r>
      <w:r>
        <w:rPr>
          <w:rFonts w:hint="eastAsia" w:ascii="宋体" w:hAnsi="宋体"/>
          <w:color w:val="000000" w:themeColor="text1"/>
          <w14:textFill>
            <w14:solidFill>
              <w14:schemeClr w14:val="tx1"/>
            </w14:solidFill>
          </w14:textFill>
        </w:rPr>
        <w:t>深圳智慧采购平台投标文件制作专用软件（以下简称：投标文件制作软件）制作并</w:t>
      </w:r>
      <w:r>
        <w:rPr>
          <w:rFonts w:hint="eastAsia" w:ascii="宋体" w:hAnsi="宋体"/>
          <w:color w:val="000000" w:themeColor="text1"/>
          <w:szCs w:val="21"/>
          <w14:textFill>
            <w14:solidFill>
              <w14:schemeClr w14:val="tx1"/>
            </w14:solidFill>
          </w14:textFill>
        </w:rPr>
        <w:t>加密的投标文件,适用于网上投标；（投标文件制作软件可从</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下载地址：</w:t>
      </w:r>
      <w:r>
        <w:rPr>
          <w:rFonts w:hint="eastAsia" w:ascii="宋体" w:hAnsi="宋体"/>
          <w:color w:val="000000" w:themeColor="text1"/>
          <w:highlight w:val="yellow"/>
          <w14:textFill>
            <w14:solidFill>
              <w14:schemeClr w14:val="tx1"/>
            </w14:solidFill>
          </w14:textFill>
        </w:rPr>
        <w:t>http://zfcg.szggzy.com:8081/cgxy/013002/20210923/173e0b2c-7a4c-4246-a0c7-e0ea75d84dd6.html</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下载）；</w:t>
      </w:r>
    </w:p>
    <w:p w14:paraId="4319E98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3.8“网上投标”指通过</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color w:val="000000" w:themeColor="text1"/>
          <w:szCs w:val="21"/>
          <w14:textFill>
            <w14:solidFill>
              <w14:schemeClr w14:val="tx1"/>
            </w14:solidFill>
          </w14:textFill>
        </w:rPr>
        <w:t>网站上传电子投标文件；</w:t>
      </w:r>
    </w:p>
    <w:p w14:paraId="710336F6">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3.9招标文件中的标题或题名仅起引导作用，而不应视为对招标文件内容的理解和解释。</w:t>
      </w:r>
    </w:p>
    <w:p w14:paraId="44359940">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 xml:space="preserve">4. </w:t>
      </w:r>
      <w:bookmarkStart w:id="46" w:name="_Hlk72398643"/>
      <w:r>
        <w:rPr>
          <w:rFonts w:hint="eastAsia" w:ascii="黑体" w:hAnsi="宋体" w:eastAsia="黑体"/>
          <w:color w:val="000000" w:themeColor="text1"/>
          <w14:textFill>
            <w14:solidFill>
              <w14:schemeClr w14:val="tx1"/>
            </w14:solidFill>
          </w14:textFill>
        </w:rPr>
        <w:t>政府采购供应商责任</w:t>
      </w:r>
    </w:p>
    <w:p w14:paraId="3882713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4.1欢迎诚信、有实力和有社会责任心的供应商参与政府采购事业。</w:t>
      </w:r>
    </w:p>
    <w:p w14:paraId="01A4FB94">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4.2投标人应当遵循公平竞争的原则，不得恶意串通，不得妨碍其他投标人的竞争行为，不得损害采购人或者其他投标人的合法权益。如违反上述要求，经核实后，供应商的投标无效。</w:t>
      </w:r>
    </w:p>
    <w:p w14:paraId="5D20059E">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5．投标人参加政府采购的条件</w:t>
      </w:r>
    </w:p>
    <w:p w14:paraId="30349B4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5.1投标人应在投标前到</w:t>
      </w:r>
      <w:r>
        <w:rPr>
          <w:rFonts w:hint="eastAsia" w:ascii="宋体" w:hAnsi="宋体"/>
          <w:b/>
          <w:bCs/>
          <w:color w:val="000000" w:themeColor="text1"/>
          <w:szCs w:val="21"/>
          <w14:textFill>
            <w14:solidFill>
              <w14:schemeClr w14:val="tx1"/>
            </w14:solidFill>
          </w14:textFill>
        </w:rPr>
        <w:t>深圳公共资源交易中心（具体在深圳交易集团有限公司政府采购业务分公司进行办理）</w:t>
      </w:r>
      <w:r>
        <w:rPr>
          <w:rFonts w:hint="eastAsia" w:ascii="宋体" w:hAnsi="宋体"/>
          <w:color w:val="000000" w:themeColor="text1"/>
          <w:szCs w:val="21"/>
          <w14:textFill>
            <w14:solidFill>
              <w14:schemeClr w14:val="tx1"/>
            </w14:solidFill>
          </w14:textFill>
        </w:rPr>
        <w:t>进行注册并办理电子密钥。《</w:t>
      </w:r>
      <w:r>
        <w:fldChar w:fldCharType="begin"/>
      </w:r>
      <w:r>
        <w:instrText xml:space="preserve"> HYPERLINK "http://www.szzfcg.cn/viewer.do?id=2455258" \t "documentViewer2455258" </w:instrText>
      </w:r>
      <w:r>
        <w:fldChar w:fldCharType="separate"/>
      </w:r>
      <w:r>
        <w:rPr>
          <w:rFonts w:ascii="宋体" w:hAnsi="宋体"/>
          <w:color w:val="000000" w:themeColor="text1"/>
          <w:szCs w:val="21"/>
          <w14:textFill>
            <w14:solidFill>
              <w14:schemeClr w14:val="tx1"/>
            </w14:solidFill>
          </w14:textFill>
        </w:rPr>
        <w:t>供应商注册及电子密钥新申请指引</w: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》详见http://zfcg.szggzy.com:8081/。</w:t>
      </w:r>
    </w:p>
    <w:p w14:paraId="0217A4BD">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5.2投标人资格要求</w:t>
      </w:r>
    </w:p>
    <w:p w14:paraId="053E9E0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参加本项目的投标人应具备的资格条件详见本项目招标公告中 “投标人资格要求”（即申请人的资格要求）的内容。</w:t>
      </w:r>
    </w:p>
    <w:p w14:paraId="46FB4D76">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5.3联合体投标</w:t>
      </w:r>
    </w:p>
    <w:p w14:paraId="42F2762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5.3.1以下有关联合体投标的条款仅适用于允许投标人组成联合体投标的项目。</w:t>
      </w:r>
    </w:p>
    <w:p w14:paraId="410ED08B">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5.3.2由两个或两个以上的自然人、法人或者其他组织可以组成一个联合体，以一个供应商的身份共同投标时，应符合以下原则：</w:t>
      </w:r>
    </w:p>
    <w:p w14:paraId="7B238D7C">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（1）投标联合体各方参加政府采购活动应当具备下列条件：</w:t>
      </w:r>
    </w:p>
    <w:p w14:paraId="438CE802">
      <w:pPr>
        <w:ind w:left="480" w:leftChars="2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1、具有独立承担民事责任的能力；</w:t>
      </w:r>
    </w:p>
    <w:p w14:paraId="19E1141E">
      <w:pPr>
        <w:ind w:left="480" w:leftChars="2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2、有良好的商业信誉和健全的财务会计制度；</w:t>
      </w:r>
    </w:p>
    <w:p w14:paraId="1F453AF5">
      <w:pPr>
        <w:ind w:left="480" w:leftChars="2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3、具有履行合同所必需的设备和专业技术能力；</w:t>
      </w:r>
    </w:p>
    <w:p w14:paraId="4FCB4722">
      <w:pPr>
        <w:ind w:left="480" w:leftChars="2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4、有依法缴纳税收和社会保障资金的良好记录；</w:t>
      </w:r>
    </w:p>
    <w:p w14:paraId="4660856D">
      <w:pPr>
        <w:ind w:left="480" w:leftChars="2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5、参加政府采购活动前三年内，在经营活动中没有重大违法记录；</w:t>
      </w:r>
    </w:p>
    <w:p w14:paraId="5DB85EFD">
      <w:pPr>
        <w:ind w:left="480" w:leftChars="2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6、法律、行政法规规定的其他条件。</w:t>
      </w:r>
    </w:p>
    <w:p w14:paraId="76444CE4">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（2）在投标截止前，投标联合体各方均应注册成</w:t>
      </w:r>
      <w:r>
        <w:rPr>
          <w:rFonts w:hint="eastAsia" w:ascii="宋体" w:hAnsi="宋体" w:eastAsia="宋体"/>
          <w:color w:val="000000" w:themeColor="text1"/>
          <w14:textFill>
            <w14:solidFill>
              <w14:schemeClr w14:val="tx1"/>
            </w14:solidFill>
          </w14:textFill>
        </w:rPr>
        <w:t>政府采购</w:t>
      </w:r>
      <w:r>
        <w:rPr>
          <w:rFonts w:hint="eastAsia" w:ascii="宋体" w:hAnsi="宋体"/>
          <w:color w:val="000000" w:themeColor="text1"/>
          <w14:textFill>
            <w14:solidFill>
              <w14:schemeClr w14:val="tx1"/>
            </w14:solidFill>
          </w14:textFill>
        </w:rPr>
        <w:t>供应商；</w:t>
      </w:r>
    </w:p>
    <w:p w14:paraId="777A3376">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（3）联合体中有同类资质的供应商按照联合体分工承担相同工作的，应当按照资质等级较低的供应商确定资质等级；</w:t>
      </w:r>
    </w:p>
    <w:p w14:paraId="27FFC200">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（4）是否允许联合体参加投标，应当由采购人和采购代理机构根据项目的实际情况和潜在供应商的数量自主决定，如果决定接受联合体投标则应当在招标公告中明示；</w:t>
      </w:r>
    </w:p>
    <w:p w14:paraId="57ED9C2F">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（5）投标人的投标文件及中标后签署的合同协议对联合体各方均具法律约束力；</w:t>
      </w:r>
    </w:p>
    <w:p w14:paraId="71F2A12E">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（6）联合体各方应当签订联合体投标协议，明确约定各方拟承担的工作和责任，并将该协议随投标文件一并递交给</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w:t>
      </w:r>
    </w:p>
    <w:p w14:paraId="190F160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（7）联合体中标后，联合体各方应当共同与采购人签订合同，就中标项目向采购人承担连带责任；</w:t>
      </w:r>
    </w:p>
    <w:p w14:paraId="778DBBC2">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47052B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（9）本通用条款中“投标人”一词亦指联合体各方，专用条款另有规定或说明的除外。</w:t>
      </w:r>
    </w:p>
    <w:p w14:paraId="17EC279C">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6．政策导向</w:t>
      </w:r>
    </w:p>
    <w:p w14:paraId="019D7C43">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6.1政府采购扶持贫困地区、中小企业、监狱企业和残疾人福利性单位发展，支持节能减排、环境保护。</w:t>
      </w:r>
    </w:p>
    <w:p w14:paraId="45F69561">
      <w:pPr>
        <w:ind w:firstLine="405"/>
        <w:rPr>
          <w:color w:val="000000" w:themeColor="text1"/>
          <w:shd w:val="clear" w:color="auto" w:fill="FFFFFF"/>
          <w14:textFill>
            <w14:solidFill>
              <w14:schemeClr w14:val="tx1"/>
            </w14:solidFill>
          </w14:textFill>
        </w:rPr>
      </w:pPr>
      <w:r>
        <w:rPr>
          <w:rFonts w:hint="eastAsia" w:ascii="宋体" w:hAnsi="宋体"/>
          <w:color w:val="000000" w:themeColor="text1"/>
          <w14:textFill>
            <w14:solidFill>
              <w14:schemeClr w14:val="tx1"/>
            </w14:solidFill>
          </w14:textFill>
        </w:rPr>
        <w:t>6.2本项目落实深圳市政府采购供应商诚信管理政策要求。</w:t>
      </w:r>
    </w:p>
    <w:p w14:paraId="4B2BE897">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7. 本项目若涉及采购货物，则合格的货物及相应服务应满足以下要求：</w:t>
      </w:r>
    </w:p>
    <w:p w14:paraId="2CEE6EB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必须是全新、未使用过的原装合格正品（包括零部件），如安装或配置了软件的，须为正版软件。</w:t>
      </w:r>
    </w:p>
    <w:p w14:paraId="30D91E29">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7.2国产的货物及其有关服务必须符合中华人民共和国的设计、制造生产标准及行业标准。招标公告有其他要求的，亦应符合其要求。</w:t>
      </w:r>
    </w:p>
    <w:p w14:paraId="1C0F2066">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F1BA84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4投标人</w:t>
      </w:r>
      <w:bookmarkStart w:id="47" w:name="_Hlk72152753"/>
      <w:r>
        <w:rPr>
          <w:rFonts w:hint="eastAsia" w:ascii="宋体" w:hAnsi="宋体"/>
          <w:color w:val="000000" w:themeColor="text1"/>
          <w14:textFill>
            <w14:solidFill>
              <w14:schemeClr w14:val="tx1"/>
            </w14:solidFill>
          </w14:textFill>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2672F96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AAF8051">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7.6工期要求：投标人在投标时对其所投项目应提交交货进度、交货计划等，在合同规定的时间内完成项目实施工作。</w:t>
      </w:r>
    </w:p>
    <w:p w14:paraId="5E027241">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7.7投标人必须承担的设备运输、安装调试、验收检测和提供设备操作说明书、图纸等其他相关及类似的义务。</w:t>
      </w:r>
    </w:p>
    <w:p w14:paraId="0C54C884">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8．投标费用</w:t>
      </w:r>
    </w:p>
    <w:p w14:paraId="19B5BD4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不论投标结果如何，投标人应承担其编制投标文件与递交投标文件所涉及的一切费用。</w:t>
      </w:r>
    </w:p>
    <w:p w14:paraId="2BEEB0AC">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9．踏勘现场</w:t>
      </w:r>
    </w:p>
    <w:p w14:paraId="421EEB3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9.1如有需要（详见专用条款），采购人或</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5BBDD1ED">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9.2投标人及其人员经过采购人的允许，可以进入采购人的项目现场踏勘。若招标文件要求投标人于统一时间地点踏勘现场的，投标人应当按时前往。</w:t>
      </w:r>
    </w:p>
    <w:p w14:paraId="686CB90E">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9.3采购人应当通过</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向投标人提供有关现场的书面资料和数据。</w:t>
      </w:r>
    </w:p>
    <w:p w14:paraId="1E7EFC50">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9.4任何人或任何组织在踏勘现场时向投标人提供的任何书面资料或口头承诺，未经</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在网上发布或书面通知，均作无效处理。</w:t>
      </w:r>
    </w:p>
    <w:p w14:paraId="46547A83">
      <w:pPr>
        <w:ind w:firstLine="470" w:firstLineChars="196"/>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未参与踏勘现场不作为否定投标人资格的理由。</w:t>
      </w:r>
    </w:p>
    <w:p w14:paraId="2D8A5684">
      <w:pPr>
        <w:rPr>
          <w:rFonts w:ascii="宋体" w:hAnsi="宋体"/>
          <w:color w:val="000000" w:themeColor="text1"/>
          <w:szCs w:val="21"/>
          <w14:textFill>
            <w14:solidFill>
              <w14:schemeClr w14:val="tx1"/>
            </w14:solidFill>
          </w14:textFill>
        </w:rPr>
      </w:pPr>
      <w:r>
        <w:rPr>
          <w:rFonts w:hint="eastAsia" w:ascii="黑体" w:hAnsi="宋体" w:eastAsia="黑体"/>
          <w:color w:val="000000" w:themeColor="text1"/>
          <w14:textFill>
            <w14:solidFill>
              <w14:schemeClr w14:val="tx1"/>
            </w14:solidFill>
          </w14:textFill>
        </w:rPr>
        <w:t>1</w:t>
      </w:r>
      <w:r>
        <w:rPr>
          <w:rFonts w:ascii="黑体" w:hAnsi="宋体" w:eastAsia="黑体"/>
          <w:color w:val="000000" w:themeColor="text1"/>
          <w14:textFill>
            <w14:solidFill>
              <w14:schemeClr w14:val="tx1"/>
            </w14:solidFill>
          </w14:textFill>
        </w:rPr>
        <w:t>0</w:t>
      </w:r>
      <w:r>
        <w:rPr>
          <w:rFonts w:hint="eastAsia" w:ascii="黑体" w:hAnsi="宋体" w:eastAsia="黑体"/>
          <w:color w:val="000000" w:themeColor="text1"/>
          <w14:textFill>
            <w14:solidFill>
              <w14:schemeClr w14:val="tx1"/>
            </w14:solidFill>
          </w14:textFill>
        </w:rPr>
        <w:t>．标前会议</w:t>
      </w:r>
    </w:p>
    <w:p w14:paraId="4306B71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如采购人或</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认为有必要组织标前会议，投标人应按照招标文件规定的时间或</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另行书面通知（包括</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网站发布方式，如更正公告等）的时间和地点，参与标前会议。</w:t>
      </w:r>
    </w:p>
    <w:p w14:paraId="057BB20F">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10</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任何人或任何组织在标前会议时向投标人提供的任何书面资料或口头承诺，未经</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在网上发布或书面通知，均作无效处理。</w:t>
      </w:r>
    </w:p>
    <w:p w14:paraId="6F3CA5F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未参与标前会议不作为否定投标人资格的理由。</w:t>
      </w:r>
    </w:p>
    <w:p w14:paraId="3CEDA76A">
      <w:pPr>
        <w:pStyle w:val="6"/>
      </w:pPr>
    </w:p>
    <w:p w14:paraId="69A984A3"/>
    <w:bookmarkEnd w:id="46"/>
    <w:p w14:paraId="4352FE5E">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招标文件</w:t>
      </w:r>
    </w:p>
    <w:p w14:paraId="2EF4F22A">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w:t>
      </w:r>
      <w:r>
        <w:rPr>
          <w:rFonts w:ascii="黑体" w:hAnsi="宋体" w:eastAsia="黑体"/>
          <w:color w:val="000000" w:themeColor="text1"/>
          <w14:textFill>
            <w14:solidFill>
              <w14:schemeClr w14:val="tx1"/>
            </w14:solidFill>
          </w14:textFill>
        </w:rPr>
        <w:t>1</w:t>
      </w:r>
      <w:r>
        <w:rPr>
          <w:rFonts w:hint="eastAsia" w:ascii="黑体" w:hAnsi="宋体" w:eastAsia="黑体"/>
          <w:color w:val="000000" w:themeColor="text1"/>
          <w14:textFill>
            <w14:solidFill>
              <w14:schemeClr w14:val="tx1"/>
            </w14:solidFill>
          </w14:textFill>
        </w:rPr>
        <w:t>．</w:t>
      </w:r>
      <w:bookmarkStart w:id="48" w:name="_Hlk72399819"/>
      <w:r>
        <w:rPr>
          <w:rFonts w:hint="eastAsia" w:ascii="黑体" w:hAnsi="宋体" w:eastAsia="黑体"/>
          <w:color w:val="000000" w:themeColor="text1"/>
          <w14:textFill>
            <w14:solidFill>
              <w14:schemeClr w14:val="tx1"/>
            </w14:solidFill>
          </w14:textFill>
        </w:rPr>
        <w:t>招标文件的编制与组成</w:t>
      </w:r>
    </w:p>
    <w:p w14:paraId="11578B51">
      <w:pPr>
        <w:snapToGrid w:val="0"/>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.1招标文件除以下内容外，</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在招标期间发出的澄清或修改等相关公告或通知内容，均是招标文件的组成部分，对投标人起约束作用；</w:t>
      </w:r>
    </w:p>
    <w:p w14:paraId="1A3358F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招标文件包括下列内容：</w:t>
      </w:r>
    </w:p>
    <w:p w14:paraId="2E19F332">
      <w:pPr>
        <w:ind w:left="480" w:leftChars="200" w:firstLine="471" w:firstLineChars="196"/>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第一册  专用条款</w:t>
      </w:r>
    </w:p>
    <w:p w14:paraId="236FB2CE">
      <w:pPr>
        <w:ind w:left="1234" w:leftChars="514"/>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关键信息</w:t>
      </w:r>
    </w:p>
    <w:p w14:paraId="277EE64F">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  招标公告</w:t>
      </w:r>
    </w:p>
    <w:p w14:paraId="6161FAF7">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  对通用条款的补充内容及其他关键信息</w:t>
      </w:r>
    </w:p>
    <w:p w14:paraId="03937D1D">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  用户需求书</w:t>
      </w:r>
    </w:p>
    <w:p w14:paraId="1A35A0A1">
      <w:pPr>
        <w:ind w:left="720" w:leftChars="300" w:firstLine="470" w:firstLineChars="196"/>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第四章 投标文件格式及附件</w:t>
      </w:r>
    </w:p>
    <w:p w14:paraId="173B44E7">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  合同条款及格式</w:t>
      </w:r>
    </w:p>
    <w:p w14:paraId="285462C4">
      <w:pPr>
        <w:ind w:left="480" w:leftChars="200" w:firstLine="471" w:firstLineChars="196"/>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第二册  通用条款</w:t>
      </w:r>
    </w:p>
    <w:p w14:paraId="747F4754">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  总则</w:t>
      </w:r>
    </w:p>
    <w:p w14:paraId="2092403D">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  招标文件</w:t>
      </w:r>
    </w:p>
    <w:p w14:paraId="458573A7">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  投标文件的编制</w:t>
      </w:r>
    </w:p>
    <w:p w14:paraId="61B44E0A">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  投标文件的递交</w:t>
      </w:r>
    </w:p>
    <w:p w14:paraId="71CAC96F">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  开标</w:t>
      </w:r>
    </w:p>
    <w:p w14:paraId="34A9E59D">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  评审要求</w:t>
      </w:r>
    </w:p>
    <w:p w14:paraId="45306729">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  评审程序及评审方法</w:t>
      </w:r>
    </w:p>
    <w:p w14:paraId="00439AAA">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第八章  定标及公示</w:t>
      </w:r>
    </w:p>
    <w:p w14:paraId="46A50D4C">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第九章  公开招标失败的后续处理</w:t>
      </w:r>
    </w:p>
    <w:p w14:paraId="7511AA07">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第十章  合同的授予与备案</w:t>
      </w:r>
    </w:p>
    <w:p w14:paraId="1ACD68B6">
      <w:pPr>
        <w:ind w:left="720" w:leftChars="300"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第十一章  质疑处理</w:t>
      </w:r>
    </w:p>
    <w:p w14:paraId="0D94ED4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.2投标人下载招标文件后，应仔细检查招标文件的所有内容，如有疑问应在答疑截止时间之前向</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18D395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14:textFill>
            <w14:solidFill>
              <w14:schemeClr w14:val="tx1"/>
            </w14:solidFill>
          </w14:textFill>
        </w:rPr>
        <w:t>任何人或任何组织向投标人提交的任何书面或口头资料，未经</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在网上发布或书面通知，均作无效处理，不得作为招标文件的组成部分。</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对投标人由此而做出的推论、理解和结论概不负责。</w:t>
      </w:r>
    </w:p>
    <w:p w14:paraId="4F80F7A3">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w:t>
      </w:r>
      <w:r>
        <w:rPr>
          <w:rFonts w:ascii="黑体" w:hAnsi="宋体" w:eastAsia="黑体"/>
          <w:color w:val="000000" w:themeColor="text1"/>
          <w14:textFill>
            <w14:solidFill>
              <w14:schemeClr w14:val="tx1"/>
            </w14:solidFill>
          </w14:textFill>
        </w:rPr>
        <w:t>2</w:t>
      </w:r>
      <w:r>
        <w:rPr>
          <w:rFonts w:hint="eastAsia" w:ascii="黑体" w:hAnsi="宋体" w:eastAsia="黑体"/>
          <w:color w:val="000000" w:themeColor="text1"/>
          <w14:textFill>
            <w14:solidFill>
              <w14:schemeClr w14:val="tx1"/>
            </w14:solidFill>
          </w14:textFill>
        </w:rPr>
        <w:t>．招标文件的澄清</w:t>
      </w:r>
    </w:p>
    <w:p w14:paraId="28020721">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.1招标文件澄清的目的是澄清、解答投标人在查阅招标文件后或现场踏勘中可能提出的与投标有关的疑问或询问。</w:t>
      </w:r>
    </w:p>
    <w:p w14:paraId="1964A95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.2投标人如对招标文件内容有疑问，应当在招标公告规定的澄清（提问）截止时间前以网上提问的形式通过网上政府采购系统提交</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w:t>
      </w:r>
    </w:p>
    <w:p w14:paraId="3F3F46A1">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3不论是招标机构根据需要主动对招标文件进行必要的澄清或是根据投标人的要求对招标文件做出澄清，招标机构都将在投标截止日期前以书面形式（包括招标机构网站发布方式）答复或发送给所有投标人。答复内容是招标文件的组成部分，对投标人起约束作用，其有效性按照本通用条款第1</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3.4</w:t>
      </w:r>
      <w:r>
        <w:rPr>
          <w:rFonts w:hint="eastAsia" w:ascii="宋体" w:hAnsi="宋体"/>
          <w:color w:val="000000" w:themeColor="text1"/>
          <w:szCs w:val="21"/>
          <w14:textFill>
            <w14:solidFill>
              <w14:schemeClr w14:val="tx1"/>
            </w14:solidFill>
          </w14:textFill>
        </w:rPr>
        <w:t>款规定执行。</w:t>
      </w:r>
    </w:p>
    <w:p w14:paraId="148C5AC9">
      <w:pPr>
        <w:rPr>
          <w:rFonts w:ascii="黑体" w:hAnsi="宋体" w:eastAsia="黑体"/>
          <w:color w:val="000000" w:themeColor="text1"/>
          <w14:textFill>
            <w14:solidFill>
              <w14:schemeClr w14:val="tx1"/>
            </w14:solidFill>
          </w14:textFill>
        </w:rPr>
      </w:pPr>
      <w:r>
        <w:rPr>
          <w:rFonts w:ascii="黑体" w:hAnsi="宋体" w:eastAsia="黑体"/>
          <w:color w:val="000000" w:themeColor="text1"/>
          <w14:textFill>
            <w14:solidFill>
              <w14:schemeClr w14:val="tx1"/>
            </w14:solidFill>
          </w14:textFill>
        </w:rPr>
        <w:t>1</w:t>
      </w:r>
      <w:r>
        <w:rPr>
          <w:rFonts w:hint="eastAsia" w:ascii="黑体" w:hAnsi="宋体" w:eastAsia="黑体"/>
          <w:color w:val="000000" w:themeColor="text1"/>
          <w14:textFill>
            <w14:solidFill>
              <w14:schemeClr w14:val="tx1"/>
            </w14:solidFill>
          </w14:textFill>
        </w:rPr>
        <w:t>3．招标文件的修改</w:t>
      </w:r>
    </w:p>
    <w:p w14:paraId="5EB41E2B">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3.1招标文件发出后，在投标截止日期前任何时候，确需要变更招标文件内容的，招标机构可主动或在解答投标人提出的澄清问题时对招标文件进行修改。</w:t>
      </w:r>
    </w:p>
    <w:p w14:paraId="7B4EAA2F">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3.2招标文件的修改以书面形式（包括招标机构网站发布方式，如更正公告等）发送给所有投标人，招标文件的修改内容作为招标文件的组成部分，并具有约束力。</w:t>
      </w:r>
    </w:p>
    <w:p w14:paraId="3B1329B0">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3.3招标文件、招标文件澄清答复内容、招标文件修改补充内容均以书面形式（包括招标机构网站公开发布方式，如更正公告等）明确的内容为准。当招标文件、修改补充通知、招标文件澄清答复内容相互矛盾时，以最后发出的内容为准。</w:t>
      </w:r>
    </w:p>
    <w:p w14:paraId="36F1A37A">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3.4招标机构保证招标文件澄清答复内容和招标文件修改补充内容在投标截止时间前以书面形式（包括招标机构网站发布方式，如更正公告等）发送给所有投标人。为使投标人在编制投标文件时有充分时间对招标文件的修改部分进行研究，招标机构可以酌情延长递交投标文件的截止日期。</w:t>
      </w:r>
      <w:bookmarkEnd w:id="48"/>
    </w:p>
    <w:p w14:paraId="3CF3818E">
      <w:pPr>
        <w:pStyle w:val="6"/>
      </w:pPr>
    </w:p>
    <w:p w14:paraId="0ACC2087">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投标文件的编制</w:t>
      </w:r>
    </w:p>
    <w:p w14:paraId="677894B5">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14．</w:t>
      </w:r>
      <w:bookmarkStart w:id="49" w:name="_Hlk72400236"/>
      <w:r>
        <w:rPr>
          <w:rFonts w:hint="eastAsia" w:ascii="黑体" w:hAnsi="宋体" w:eastAsia="黑体"/>
          <w:color w:val="000000" w:themeColor="text1"/>
          <w14:textFill>
            <w14:solidFill>
              <w14:schemeClr w14:val="tx1"/>
            </w14:solidFill>
          </w14:textFill>
        </w:rPr>
        <w:t>投标文件的语言及度量单位</w:t>
      </w:r>
    </w:p>
    <w:p w14:paraId="576C66A3">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投标人与招标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42AC52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14.2除技术规范另有规定外，投标文件使用的度量单位，均采用中华人民共和国法定计量单位。</w:t>
      </w:r>
    </w:p>
    <w:bookmarkEnd w:id="49"/>
    <w:p w14:paraId="2AF6909F">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15．</w:t>
      </w:r>
      <w:bookmarkStart w:id="50" w:name="_Hlk72401567"/>
      <w:r>
        <w:rPr>
          <w:rFonts w:hint="eastAsia" w:ascii="黑体" w:hAnsi="宋体" w:eastAsia="黑体"/>
          <w:color w:val="000000" w:themeColor="text1"/>
          <w14:textFill>
            <w14:solidFill>
              <w14:schemeClr w14:val="tx1"/>
            </w14:solidFill>
          </w14:textFill>
        </w:rPr>
        <w:t>投标文件的组成</w:t>
      </w:r>
    </w:p>
    <w:p w14:paraId="06555E6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具体内容在招标文件专用条款中进行规定。</w:t>
      </w:r>
    </w:p>
    <w:p w14:paraId="533A361A">
      <w:pPr>
        <w:rPr>
          <w:rFonts w:ascii="黑体" w:hAnsi="宋体" w:eastAsia="黑体"/>
          <w:color w:val="000000" w:themeColor="text1"/>
          <w14:textFill>
            <w14:solidFill>
              <w14:schemeClr w14:val="tx1"/>
            </w14:solidFill>
          </w14:textFill>
        </w:rPr>
      </w:pPr>
      <w:r>
        <w:rPr>
          <w:rFonts w:ascii="黑体" w:hAnsi="宋体" w:eastAsia="黑体"/>
          <w:color w:val="000000" w:themeColor="text1"/>
          <w14:textFill>
            <w14:solidFill>
              <w14:schemeClr w14:val="tx1"/>
            </w14:solidFill>
          </w14:textFill>
        </w:rPr>
        <w:t>16．投标文件格式</w:t>
      </w:r>
    </w:p>
    <w:p w14:paraId="5E8709D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投标文件包括本通用条款第</w:t>
      </w:r>
      <w:r>
        <w:rPr>
          <w:rFonts w:ascii="宋体" w:hAnsi="宋体"/>
          <w:color w:val="000000" w:themeColor="text1"/>
          <w:szCs w:val="21"/>
          <w14:textFill>
            <w14:solidFill>
              <w14:schemeClr w14:val="tx1"/>
            </w14:solidFill>
          </w14:textFill>
        </w:rPr>
        <w:t>15条中规定的内容。如招标文件提供了投标文件格式，则</w:t>
      </w:r>
      <w:r>
        <w:rPr>
          <w:rFonts w:hint="eastAsia" w:ascii="宋体" w:hAnsi="宋体"/>
          <w:b/>
          <w:bCs/>
          <w:color w:val="000000" w:themeColor="text1"/>
          <w:szCs w:val="21"/>
          <w14:textFill>
            <w14:solidFill>
              <w14:schemeClr w14:val="tx1"/>
            </w14:solidFill>
          </w14:textFill>
        </w:rPr>
        <w:t>投标人提交的投标文件应毫无例外地使用招标文件所提供的相应格式</w:t>
      </w:r>
      <w:r>
        <w:rPr>
          <w:rFonts w:hint="eastAsia" w:ascii="宋体" w:hAnsi="宋体"/>
          <w:color w:val="000000" w:themeColor="text1"/>
          <w:szCs w:val="21"/>
          <w14:textFill>
            <w14:solidFill>
              <w14:schemeClr w14:val="tx1"/>
            </w14:solidFill>
          </w14:textFill>
        </w:rPr>
        <w:t>（表格均可按同样格式扩展）。</w:t>
      </w:r>
    </w:p>
    <w:p w14:paraId="7848022F">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17．投标货币</w:t>
      </w:r>
    </w:p>
    <w:p w14:paraId="3F334CA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本项目的投标报价应以人民币计。</w:t>
      </w:r>
    </w:p>
    <w:bookmarkEnd w:id="50"/>
    <w:p w14:paraId="0C7322D1">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18．</w:t>
      </w:r>
      <w:bookmarkStart w:id="51" w:name="_Hlk72401735"/>
      <w:r>
        <w:rPr>
          <w:rFonts w:hint="eastAsia" w:ascii="黑体" w:hAnsi="宋体" w:eastAsia="黑体"/>
          <w:color w:val="000000" w:themeColor="text1"/>
          <w14:textFill>
            <w14:solidFill>
              <w14:schemeClr w14:val="tx1"/>
            </w14:solidFill>
          </w14:textFill>
        </w:rPr>
        <w:t>证明投标文件投标技术方案的合格性和符合招标文件规定的文件要求</w:t>
      </w:r>
    </w:p>
    <w:p w14:paraId="62608C6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投标人应提交证明文件，证明其投标技术方案项下的货物和服务的合格性符合招标文件规定。该投标技术方案及其证明文件均作为投标文件组成部分。</w:t>
      </w:r>
    </w:p>
    <w:p w14:paraId="4225DA35">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036B9F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18.2.1主要技术指标和性能的详细说明。</w:t>
      </w:r>
    </w:p>
    <w:p w14:paraId="488A81B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投标产品从采购人开始使用至招标文件中规定的周期内正常、连续地使用所必须的备件和专用工具清单，包括备件和专用工具的货源及现行价格。</w:t>
      </w:r>
    </w:p>
    <w:p w14:paraId="453C75A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873DAE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000000" w:themeColor="text1"/>
          <w14:textFill>
            <w14:solidFill>
              <w14:schemeClr w14:val="tx1"/>
            </w14:solidFill>
          </w14:textFill>
        </w:rPr>
        <w:t>清晰度要求能够使用电脑阅读、识别和判断</w:t>
      </w:r>
      <w:r>
        <w:rPr>
          <w:rFonts w:hint="eastAsia" w:ascii="宋体" w:hAnsi="宋体"/>
          <w:color w:val="000000" w:themeColor="text1"/>
          <w:szCs w:val="21"/>
          <w14:textFill>
            <w14:solidFill>
              <w14:schemeClr w14:val="tx1"/>
            </w14:solidFill>
          </w14:textFill>
        </w:rPr>
        <w:t>；</w:t>
      </w:r>
    </w:p>
    <w:p w14:paraId="644636E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18.2.5我国政府机构出具的产品检验和核准证件应为证件正面、背面和附件标注的全部具体内容；产品检验和核准证件的尺寸和清晰度应该能够在电脑上被阅读、识别和判断，提供原件扫描件。</w:t>
      </w:r>
    </w:p>
    <w:p w14:paraId="41EFC01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18.3相关资料不符合18.2款要求的，评审委员会有权认定为投标技术方案不合格响应，其相关分数予以扣减或作投标无效处理。</w:t>
      </w:r>
    </w:p>
    <w:p w14:paraId="377B7E13">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000000" w:themeColor="text1"/>
          <w14:textFill>
            <w14:solidFill>
              <w14:schemeClr w14:val="tx1"/>
            </w14:solidFill>
          </w14:textFill>
        </w:rPr>
        <w:t>满足要求</w:t>
      </w:r>
      <w:r>
        <w:rPr>
          <w:rFonts w:hint="eastAsia" w:ascii="宋体" w:hAnsi="宋体"/>
          <w:color w:val="000000" w:themeColor="text1"/>
          <w:szCs w:val="21"/>
          <w14:textFill>
            <w14:solidFill>
              <w14:schemeClr w14:val="tx1"/>
            </w14:solidFill>
          </w14:textFill>
        </w:rPr>
        <w:t>，由评审委员会来评判。</w:t>
      </w:r>
    </w:p>
    <w:p w14:paraId="140890C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18.5除非另有规定或说明，投标人对同一项目投标时，不得同时提供两套或两套以上的投标方案。</w:t>
      </w:r>
    </w:p>
    <w:bookmarkEnd w:id="51"/>
    <w:p w14:paraId="1483F6BD">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19．</w:t>
      </w:r>
      <w:bookmarkStart w:id="52" w:name="_Hlk72402034"/>
      <w:r>
        <w:rPr>
          <w:rFonts w:hint="eastAsia" w:ascii="黑体" w:hAnsi="宋体" w:eastAsia="黑体"/>
          <w:color w:val="000000" w:themeColor="text1"/>
          <w14:textFill>
            <w14:solidFill>
              <w14:schemeClr w14:val="tx1"/>
            </w14:solidFill>
          </w14:textFill>
        </w:rPr>
        <w:t>投标文件其他证明文件的要求</w:t>
      </w:r>
    </w:p>
    <w:p w14:paraId="75A1904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3" w:name="_Hlk71407299"/>
    </w:p>
    <w:bookmarkEnd w:id="53"/>
    <w:p w14:paraId="6B9D9D7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94759E9">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20．投标有效期</w:t>
      </w:r>
    </w:p>
    <w:bookmarkEnd w:id="52"/>
    <w:p w14:paraId="368BCAE5">
      <w:pPr>
        <w:ind w:firstLine="470" w:firstLineChars="196"/>
        <w:rPr>
          <w:rFonts w:ascii="宋体" w:hAnsi="宋体"/>
          <w:color w:val="000000" w:themeColor="text1"/>
          <w:szCs w:val="21"/>
          <w14:textFill>
            <w14:solidFill>
              <w14:schemeClr w14:val="tx1"/>
            </w14:solidFill>
          </w14:textFill>
        </w:rPr>
      </w:pPr>
      <w:bookmarkStart w:id="54" w:name="_Hlk72402214"/>
      <w:r>
        <w:rPr>
          <w:rFonts w:hint="eastAsia" w:ascii="宋体" w:hAnsi="宋体"/>
          <w:color w:val="000000" w:themeColor="text1"/>
          <w:szCs w:val="21"/>
          <w14:textFill>
            <w14:solidFill>
              <w14:schemeClr w14:val="tx1"/>
            </w14:solidFill>
          </w14:textFill>
        </w:rPr>
        <w:t>20.1投标有效期为从投标截止之日算起的日历天数。在此期限内，所有投标文件均保持有效。</w:t>
      </w:r>
    </w:p>
    <w:p w14:paraId="20EF2C3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 在特殊情况下，</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在原定的投标有效期满之前，</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可以根据需要以书面形式（包括</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网站公开发布方式）向投标人提出延长投标有效期的要求，对此要求投标人须以书面形式予以答复，投标人可以拒绝</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此项要求，其投标在原投标有效期满后不再有效。同意延长投标有效期的投标人不能要求也不允许修改其投标文件。</w:t>
      </w:r>
    </w:p>
    <w:p w14:paraId="497FD5AB">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中标供应商的投标文件有效期，截止于完成本招标文件规定的全部项目内容，并通过竣工验收及保修期结束。</w:t>
      </w:r>
    </w:p>
    <w:bookmarkEnd w:id="54"/>
    <w:p w14:paraId="0EFD749D">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21．</w:t>
      </w:r>
      <w:bookmarkStart w:id="55" w:name="_Hlk72402325"/>
      <w:r>
        <w:rPr>
          <w:rFonts w:hint="eastAsia" w:ascii="黑体" w:hAnsi="宋体" w:eastAsia="黑体"/>
          <w:color w:val="000000" w:themeColor="text1"/>
          <w14:textFill>
            <w14:solidFill>
              <w14:schemeClr w14:val="tx1"/>
            </w14:solidFill>
          </w14:textFill>
        </w:rPr>
        <w:t xml:space="preserve">关于投标保证金 </w:t>
      </w:r>
    </w:p>
    <w:p w14:paraId="6A5FBD48">
      <w:pPr>
        <w:rPr>
          <w:rFonts w:ascii="宋体" w:hAnsi="宋体" w:eastAsia="宋体"/>
          <w:szCs w:val="21"/>
        </w:rPr>
      </w:pPr>
      <w:r>
        <w:rPr>
          <w:rFonts w:hint="eastAsia" w:ascii="宋体" w:hAnsi="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szCs w:val="21"/>
        </w:rPr>
        <w:t xml:space="preserve">21.1 </w:t>
      </w:r>
      <w:r>
        <w:rPr>
          <w:rFonts w:hint="eastAsia" w:ascii="宋体" w:hAnsi="宋体" w:eastAsia="宋体"/>
        </w:rPr>
        <w:t>根据《深圳市财政局关于明确政府采购保证金管理工作的通知》（深财购</w:t>
      </w:r>
      <w:r>
        <w:rPr>
          <w:rFonts w:ascii="宋体" w:hAnsi="宋体" w:eastAsia="宋体"/>
        </w:rPr>
        <w:t>[2019]42</w:t>
      </w:r>
      <w:r>
        <w:rPr>
          <w:rFonts w:hint="eastAsia" w:ascii="宋体" w:hAnsi="宋体" w:eastAsia="宋体"/>
        </w:rPr>
        <w:t>号）文的规定，本项目不收取投标保证金。</w:t>
      </w:r>
    </w:p>
    <w:p w14:paraId="0BEFBDF2">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22．投标人的替代方案</w:t>
      </w:r>
    </w:p>
    <w:p w14:paraId="405C0EB1">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F1B6A7F">
      <w:pPr>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2E05A773">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23．</w:t>
      </w:r>
      <w:bookmarkStart w:id="56" w:name="_Hlk72402860"/>
      <w:r>
        <w:rPr>
          <w:rFonts w:ascii="黑体" w:hAnsi="宋体" w:eastAsia="黑体"/>
          <w:color w:val="000000" w:themeColor="text1"/>
          <w14:textFill>
            <w14:solidFill>
              <w14:schemeClr w14:val="tx1"/>
            </w14:solidFill>
          </w14:textFill>
        </w:rPr>
        <w:t>投标文件的</w:t>
      </w:r>
      <w:r>
        <w:rPr>
          <w:rFonts w:hint="eastAsia" w:ascii="黑体" w:hAnsi="宋体" w:eastAsia="黑体"/>
          <w:color w:val="000000" w:themeColor="text1"/>
          <w14:textFill>
            <w14:solidFill>
              <w14:schemeClr w14:val="tx1"/>
            </w14:solidFill>
          </w14:textFill>
        </w:rPr>
        <w:t>制作</w:t>
      </w:r>
      <w:r>
        <w:rPr>
          <w:rFonts w:ascii="黑体" w:hAnsi="宋体" w:eastAsia="黑体"/>
          <w:color w:val="000000" w:themeColor="text1"/>
          <w14:textFill>
            <w14:solidFill>
              <w14:schemeClr w14:val="tx1"/>
            </w14:solidFill>
          </w14:textFill>
        </w:rPr>
        <w:t>要求</w:t>
      </w:r>
    </w:p>
    <w:p w14:paraId="78873973">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23.1投标人应准备所投项目的电子投标文件一份。此电子投标文件须由投标人根据</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提供的后缀名为.szczf的电子招标文件，下载并使用相应的深圳智慧采购平台投标文件制作专用软件打开招标文件（.szczf格式）【下载地址：</w:t>
      </w:r>
      <w:r>
        <w:rPr>
          <w:rFonts w:hint="eastAsia" w:ascii="宋体" w:hAnsi="宋体"/>
          <w:color w:val="000000" w:themeColor="text1"/>
          <w:highlight w:val="yellow"/>
          <w14:textFill>
            <w14:solidFill>
              <w14:schemeClr w14:val="tx1"/>
            </w14:solidFill>
          </w14:textFill>
        </w:rPr>
        <w:t>http://zfcg.szggzy.com:8081/cgxy/013002/20210923/173e0b2c-7a4c-4246-a0c7-e0ea75d84dd6.html</w:t>
      </w:r>
      <w:r>
        <w:rPr>
          <w:rFonts w:hint="eastAsia" w:ascii="宋体" w:hAnsi="宋体"/>
          <w:color w:val="000000" w:themeColor="text1"/>
          <w14:textFill>
            <w14:solidFill>
              <w14:schemeClr w14:val="tx1"/>
            </w14:solidFill>
          </w14:textFill>
        </w:rPr>
        <w:t>】。</w:t>
      </w:r>
    </w:p>
    <w:p w14:paraId="730B4DDB">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23.2投标人在使用《投标文件制作软件》编制投标书时须注意：</w:t>
      </w:r>
    </w:p>
    <w:p w14:paraId="75CD5C65">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23.2.1导入《投标文件制作软件》的招标文件项目编号、包号应与以此制作的投标文件项目编号、包号一致。例如，不能将甲项目A包的招标书导入《投标文件制作软件》，制作乙项目B包的投标书。</w:t>
      </w:r>
    </w:p>
    <w:p w14:paraId="6F2AB6F1">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23.2.2不能用非本公司的电子密钥加密本公司的投标文件，或者用其它公司的登录用户上传本公司的投标文件。</w:t>
      </w:r>
    </w:p>
    <w:p w14:paraId="16889CD3">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23.2.3要求用《投标文件制作软件》编制投标书的包，不能用其它方式编制投标书。编制投标文件时，电脑须连通互联网。</w:t>
      </w:r>
    </w:p>
    <w:p w14:paraId="0BC6D992">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23.2.4投标文件不能带病毒。招标机构将用专业杀毒软件对投标文件进行病毒检测，如果这两种软件均报告发现病毒，则招标机构认为该投标文件带病毒。</w:t>
      </w:r>
    </w:p>
    <w:p w14:paraId="0FF0B3D3">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23.2.5完整填写“投标关键信息”，如下图所示：</w:t>
      </w:r>
    </w:p>
    <w:p w14:paraId="7003F781">
      <w:pPr>
        <w:ind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0" distR="0">
            <wp:extent cx="5278755" cy="2721610"/>
            <wp:effectExtent l="0" t="0" r="0" b="2540"/>
            <wp:docPr id="9"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08704255">
      <w:pPr>
        <w:ind w:firstLine="471" w:firstLineChars="196"/>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备注：上述“开标一览表”中的“投标总价”将作为价格分计算依据；其它信息仅是对投标文件相关内容的概括性表述，不作为评审依据。</w:t>
      </w:r>
    </w:p>
    <w:p w14:paraId="4FF3650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23.2.6投标人在编辑投标文件时，</w:t>
      </w:r>
      <w:r>
        <w:rPr>
          <w:rFonts w:hint="eastAsia" w:ascii="宋体" w:hAnsi="宋体"/>
          <w:b/>
          <w:color w:val="000000" w:themeColor="text1"/>
          <w14:textFill>
            <w14:solidFill>
              <w14:schemeClr w14:val="tx1"/>
            </w14:solidFill>
          </w14:textFill>
        </w:rPr>
        <w:t>在投标文件目录中属于本节点内容的必须在本节点中填写，填写到其他节点或附件，</w:t>
      </w:r>
      <w:r>
        <w:rPr>
          <w:rFonts w:hint="eastAsia" w:ascii="宋体" w:hAnsi="宋体"/>
          <w:color w:val="000000" w:themeColor="text1"/>
          <w14:textFill>
            <w14:solidFill>
              <w14:schemeClr w14:val="tx1"/>
            </w14:solidFill>
          </w14:textFill>
        </w:rPr>
        <w:t>一切后果由供应商自行承担。</w:t>
      </w:r>
    </w:p>
    <w:p w14:paraId="7AE8103D">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23.2.7投标文件编写完成后，</w:t>
      </w:r>
      <w:r>
        <w:rPr>
          <w:rFonts w:hint="eastAsia" w:ascii="宋体" w:hAnsi="宋体"/>
          <w:b/>
          <w:color w:val="000000" w:themeColor="text1"/>
          <w14:textFill>
            <w14:solidFill>
              <w14:schemeClr w14:val="tx1"/>
            </w14:solidFill>
          </w14:textFill>
        </w:rPr>
        <w:t>必须用属于投标人的电子密钥进行加密，否则视同未盖公章，将导致投标文件无效。</w:t>
      </w:r>
    </w:p>
    <w:p w14:paraId="2E3ECB4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23.2.8招标机构不接受投标截止时间后递交的纸质、电子、传真等所有形式的投标文件。由于对网上政府采购系统操作不熟悉或自身电脑、网络等原因导致不能在投标截止时间之前上传投标文件，招标机构概不负责。建议于开标前一个工作日完成投标文件的制作与上传，如上传确有困难，请及时咨询。</w:t>
      </w:r>
    </w:p>
    <w:p w14:paraId="471CA10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23.2.9如果开标时出现网络故障、技术故障，影响了政府采购活动，招标机构有权采取措施如延期、接受无法从网上上传的投标书等，以保障政府采购活动的公开、公平和公正。</w:t>
      </w:r>
    </w:p>
    <w:p w14:paraId="7BED26C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23.3电报、电话、传真形式的投标概不接受。</w:t>
      </w:r>
    </w:p>
    <w:p w14:paraId="67D7EF8C">
      <w:pPr>
        <w:ind w:firstLine="471" w:firstLineChars="196"/>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23.4经投标人电子密钥加密的投标文件无须盖章或签字，</w:t>
      </w:r>
      <w:r>
        <w:rPr>
          <w:rFonts w:hint="eastAsia" w:ascii="宋体" w:hAnsi="宋体"/>
          <w:color w:val="000000" w:themeColor="text1"/>
          <w14:textFill>
            <w14:solidFill>
              <w14:schemeClr w14:val="tx1"/>
            </w14:solidFill>
          </w14:textFill>
        </w:rPr>
        <w:t>专用条款另有要求的除外。</w:t>
      </w:r>
    </w:p>
    <w:p w14:paraId="5A770061">
      <w:pPr>
        <w:ind w:firstLine="471" w:firstLineChars="196"/>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23.5</w:t>
      </w:r>
      <w:r>
        <w:rPr>
          <w:rFonts w:hint="eastAsia" w:ascii="宋体" w:hAnsi="宋体"/>
          <w:color w:val="000000" w:themeColor="text1"/>
          <w14:textFill>
            <w14:solidFill>
              <w14:schemeClr w14:val="tx1"/>
            </w14:solidFill>
          </w14:textFill>
        </w:rPr>
        <w:t xml:space="preserve"> 各类资格（资质）文件提供扫描件，专用条款另有要求的除外。</w:t>
      </w:r>
      <w:bookmarkEnd w:id="56"/>
    </w:p>
    <w:p w14:paraId="599E34D7">
      <w:pPr>
        <w:pStyle w:val="6"/>
      </w:pPr>
    </w:p>
    <w:p w14:paraId="79BF5BA5"/>
    <w:p w14:paraId="631C0D96">
      <w:pPr>
        <w:pStyle w:val="6"/>
      </w:pPr>
    </w:p>
    <w:p w14:paraId="046D4962"/>
    <w:p w14:paraId="275A987A">
      <w:pPr>
        <w:pStyle w:val="6"/>
      </w:pPr>
    </w:p>
    <w:p w14:paraId="0BF52872"/>
    <w:p w14:paraId="456A2E96">
      <w:pPr>
        <w:pStyle w:val="6"/>
      </w:pPr>
    </w:p>
    <w:p w14:paraId="17C5926A"/>
    <w:p w14:paraId="4348CD4D">
      <w:pPr>
        <w:pStyle w:val="6"/>
      </w:pPr>
    </w:p>
    <w:p w14:paraId="0F0C2D61"/>
    <w:p w14:paraId="6DA20D3A">
      <w:pPr>
        <w:pStyle w:val="6"/>
      </w:pPr>
    </w:p>
    <w:p w14:paraId="0D20093F"/>
    <w:p w14:paraId="3F0FE6CC">
      <w:pPr>
        <w:pStyle w:val="6"/>
      </w:pPr>
    </w:p>
    <w:p w14:paraId="54934DE1">
      <w:pPr>
        <w:pStyle w:val="6"/>
      </w:pPr>
    </w:p>
    <w:p w14:paraId="45FFD046">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投标文件的递交</w:t>
      </w:r>
      <w:bookmarkStart w:id="57" w:name="_Hlk72405459"/>
    </w:p>
    <w:p w14:paraId="152D459C">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24．投标书的保密</w:t>
      </w:r>
    </w:p>
    <w:p w14:paraId="78F37C71">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作界面如下图所示：</w:t>
      </w:r>
    </w:p>
    <w:p w14:paraId="41E94030">
      <w:pPr>
        <w:ind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0" distR="0">
            <wp:extent cx="5278755" cy="2721610"/>
            <wp:effectExtent l="0" t="0" r="0" b="2540"/>
            <wp:docPr id="7"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1CF7E8E1">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在投标文件制作软件点击【生成标书】按钮进入【填写开标一览表界面】界面，在该界面填写完开标一览表信息后点击【确定】，进入投标文件生成环节。</w:t>
      </w:r>
      <w:r>
        <w:rPr>
          <w:rFonts w:ascii="宋体" w:hAnsi="宋体"/>
          <w:color w:val="000000" w:themeColor="text1"/>
          <w14:textFill>
            <w14:solidFill>
              <w14:schemeClr w14:val="tx1"/>
            </w14:solidFill>
          </w14:textFill>
        </w:rPr>
        <w:drawing>
          <wp:inline distT="0" distB="0" distL="0" distR="0">
            <wp:extent cx="5278755" cy="2732405"/>
            <wp:effectExtent l="0" t="0" r="0" b="0"/>
            <wp:docPr id="8"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4E6C41A3">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投标文件制作软件会在投标文件生成过程中，提示用户输入密码，输入密码后对标文件自动进行加密。</w:t>
      </w:r>
    </w:p>
    <w:p w14:paraId="00D52664">
      <w:pPr>
        <w:ind w:firstLine="480"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24.2若采购项目出现延期情况：</w:t>
      </w:r>
    </w:p>
    <w:p w14:paraId="54FA125B">
      <w:pPr>
        <w:ind w:firstLine="480" w:firstLineChars="200"/>
        <w:rPr>
          <w:rFonts w:ascii="宋体" w:hAnsi="宋体" w:eastAsia="宋体" w:cs="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如果供下载的招标文件（后缀名为.</w:t>
      </w:r>
      <w:r>
        <w:rPr>
          <w:rFonts w:ascii="宋体" w:hAnsi="宋体"/>
          <w:b/>
          <w:color w:val="000000" w:themeColor="text1"/>
          <w14:textFill>
            <w14:solidFill>
              <w14:schemeClr w14:val="tx1"/>
            </w14:solidFill>
          </w14:textFill>
        </w:rPr>
        <w:t>szczf</w:t>
      </w:r>
      <w:r>
        <w:rPr>
          <w:rFonts w:hint="eastAsia" w:ascii="宋体" w:hAnsi="宋体"/>
          <w:b/>
          <w:color w:val="000000" w:themeColor="text1"/>
          <w14:textFill>
            <w14:solidFill>
              <w14:schemeClr w14:val="tx1"/>
            </w14:solidFill>
          </w14:textFill>
        </w:rPr>
        <w:t>）有更新，投标人必须重新下载招标文件、重新制作投标文件、重新加密投标文件、重新上传投标文件；如果供下载的招标文件（后缀名为.</w:t>
      </w:r>
      <w:r>
        <w:rPr>
          <w:rFonts w:ascii="宋体" w:hAnsi="宋体"/>
          <w:b/>
          <w:color w:val="000000" w:themeColor="text1"/>
          <w14:textFill>
            <w14:solidFill>
              <w14:schemeClr w14:val="tx1"/>
            </w14:solidFill>
          </w14:textFill>
        </w:rPr>
        <w:t>szczf</w:t>
      </w:r>
      <w:r>
        <w:rPr>
          <w:rFonts w:hint="eastAsia" w:ascii="宋体" w:hAnsi="宋体"/>
          <w:b/>
          <w:color w:val="000000" w:themeColor="text1"/>
          <w14:textFill>
            <w14:solidFill>
              <w14:schemeClr w14:val="tx1"/>
            </w14:solidFill>
          </w14:textFill>
        </w:rPr>
        <w:t>）没有更新，投标人必须重新加密投标文件、重新上传投标文件（是否重新制作投标文件根据项目实际情况定）。否则，投标人自行承担投标文件无法解密导致投标无效的后果。</w:t>
      </w:r>
    </w:p>
    <w:p w14:paraId="3B0DEE66">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25．上传投标文件及投标截止日期</w:t>
      </w:r>
    </w:p>
    <w:p w14:paraId="2BA2FF35">
      <w:pPr>
        <w:ind w:firstLine="480" w:firstLineChars="2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25.1实行网上投标，投标人必须在招标文件规定的投标截止时间前用电子密钥登录“深圳政府采购智慧平台用户网上办事子系统（</w:t>
      </w:r>
      <w:r>
        <w:rPr>
          <w:rFonts w:hint="eastAsia" w:ascii="宋体" w:hAnsi="宋体" w:eastAsia="宋体" w:cs="宋体"/>
          <w:bCs/>
          <w:color w:val="000000" w:themeColor="text1"/>
          <w:highlight w:val="yellow"/>
          <w14:textFill>
            <w14:solidFill>
              <w14:schemeClr w14:val="tx1"/>
            </w14:solidFill>
          </w14:textFill>
        </w:rPr>
        <w:t>http://zfcg.szggzy.com:8081/TPBidder/memberLogin</w:t>
      </w:r>
      <w:r>
        <w:rPr>
          <w:rFonts w:hint="eastAsia" w:ascii="宋体" w:hAnsi="宋体" w:eastAsia="宋体" w:cs="宋体"/>
          <w:bCs/>
          <w:color w:val="000000" w:themeColor="text1"/>
          <w14:textFill>
            <w14:solidFill>
              <w14:schemeClr w14:val="tx1"/>
            </w14:solidFill>
          </w14:textFill>
        </w:rPr>
        <w:t>）”，用“【我的项目】→【项目流程】→【递交投标(应答)文件】”功能点上传投标文件。如上传过程中遇到问题，可拨打技术支持电话，联系方式：</w:t>
      </w:r>
      <w:r>
        <w:rPr>
          <w:rFonts w:hint="eastAsia" w:ascii="宋体" w:hAnsi="宋体"/>
          <w:highlight w:val="yellow"/>
        </w:rPr>
        <w:t>0755-88653300-6</w:t>
      </w:r>
      <w:r>
        <w:rPr>
          <w:rFonts w:hint="eastAsia" w:ascii="宋体" w:hAnsi="宋体" w:eastAsia="宋体" w:cs="宋体"/>
          <w:bCs/>
          <w:color w:val="000000" w:themeColor="text1"/>
          <w14:textFill>
            <w14:solidFill>
              <w14:schemeClr w14:val="tx1"/>
            </w14:solidFill>
          </w14:textFill>
        </w:rPr>
        <w:t>。</w:t>
      </w:r>
    </w:p>
    <w:p w14:paraId="08DE91B4">
      <w:pPr>
        <w:ind w:firstLine="480" w:firstLineChars="2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25.2招标机构可以按本通用条款第13条规定，通过修改招标文件自行决定酌情延长投标截止期。在此情况下，招标机构、采购人和投标人受投标截止期制约的所有权利和义务均应延长至新的截止期。</w:t>
      </w:r>
    </w:p>
    <w:p w14:paraId="5A930295">
      <w:pPr>
        <w:ind w:firstLine="480" w:firstLineChars="2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25</w:t>
      </w:r>
      <w:r>
        <w:rPr>
          <w:rFonts w:ascii="宋体" w:hAnsi="宋体" w:eastAsia="宋体" w:cs="宋体"/>
          <w:bCs/>
          <w:color w:val="000000" w:themeColor="text1"/>
          <w14:textFill>
            <w14:solidFill>
              <w14:schemeClr w14:val="tx1"/>
            </w14:solidFill>
          </w14:textFill>
        </w:rPr>
        <w:t>.</w:t>
      </w:r>
      <w:r>
        <w:rPr>
          <w:rFonts w:hint="eastAsia" w:ascii="宋体" w:hAnsi="宋体" w:eastAsia="宋体" w:cs="宋体"/>
          <w:bCs/>
          <w:color w:val="000000" w:themeColor="text1"/>
          <w14:textFill>
            <w14:solidFill>
              <w14:schemeClr w14:val="tx1"/>
            </w14:solidFill>
          </w14:textFill>
        </w:rPr>
        <w:t>3投标截止时间以后不得上传投标文件。</w:t>
      </w:r>
    </w:p>
    <w:p w14:paraId="3AFB3478">
      <w:pPr>
        <w:ind w:firstLine="480" w:firstLineChars="2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25.4.投标人须在开标当日的开标时间至解密截止时间内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bookmarkEnd w:id="57"/>
    <w:p w14:paraId="6EF759EF">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26. 样品、现场演示、方案讲解</w:t>
      </w:r>
    </w:p>
    <w:p w14:paraId="24B7C0D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样品、现场演示、方案讲解等事项在招标文件专用条款中进行规定。</w:t>
      </w:r>
    </w:p>
    <w:p w14:paraId="0789FB9B">
      <w:pPr>
        <w:rPr>
          <w:rFonts w:ascii="黑体" w:hAnsi="宋体" w:eastAsia="黑体"/>
          <w:color w:val="000000" w:themeColor="text1"/>
          <w14:textFill>
            <w14:solidFill>
              <w14:schemeClr w14:val="tx1"/>
            </w14:solidFill>
          </w14:textFill>
        </w:rPr>
      </w:pPr>
      <w:bookmarkStart w:id="58" w:name="_Hlk72428346"/>
      <w:r>
        <w:rPr>
          <w:rFonts w:ascii="黑体" w:hAnsi="宋体" w:eastAsia="黑体"/>
          <w:color w:val="000000" w:themeColor="text1"/>
          <w14:textFill>
            <w14:solidFill>
              <w14:schemeClr w14:val="tx1"/>
            </w14:solidFill>
          </w14:textFill>
        </w:rPr>
        <w:t>2</w:t>
      </w:r>
      <w:r>
        <w:rPr>
          <w:rFonts w:hint="eastAsia" w:ascii="黑体" w:hAnsi="宋体" w:eastAsia="黑体"/>
          <w:color w:val="000000" w:themeColor="text1"/>
          <w14:textFill>
            <w14:solidFill>
              <w14:schemeClr w14:val="tx1"/>
            </w14:solidFill>
          </w14:textFill>
        </w:rPr>
        <w:t>7．</w:t>
      </w:r>
      <w:r>
        <w:rPr>
          <w:rFonts w:ascii="黑体" w:hAnsi="宋体" w:eastAsia="黑体"/>
          <w:color w:val="000000" w:themeColor="text1"/>
          <w14:textFill>
            <w14:solidFill>
              <w14:schemeClr w14:val="tx1"/>
            </w14:solidFill>
          </w14:textFill>
        </w:rPr>
        <w:t>投标文件的修改和撤销</w:t>
      </w:r>
    </w:p>
    <w:p w14:paraId="5714B110">
      <w:pPr>
        <w:ind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投标方在提交投标文件后可对其投标文件进行修改</w:t>
      </w:r>
      <w:r>
        <w:rPr>
          <w:rFonts w:hint="eastAsia" w:ascii="宋体" w:hAnsi="宋体"/>
          <w:color w:val="000000" w:themeColor="text1"/>
          <w14:textFill>
            <w14:solidFill>
              <w14:schemeClr w14:val="tx1"/>
            </w14:solidFill>
          </w14:textFill>
        </w:rPr>
        <w:t>并重新上传投标文件</w:t>
      </w:r>
      <w:r>
        <w:rPr>
          <w:rFonts w:ascii="宋体" w:hAnsi="宋体"/>
          <w:color w:val="000000" w:themeColor="text1"/>
          <w14:textFill>
            <w14:solidFill>
              <w14:schemeClr w14:val="tx1"/>
            </w14:solidFill>
          </w14:textFill>
        </w:rPr>
        <w:t>或</w:t>
      </w:r>
      <w:r>
        <w:rPr>
          <w:rFonts w:hint="eastAsia" w:ascii="宋体" w:hAnsi="宋体"/>
          <w:color w:val="000000" w:themeColor="text1"/>
          <w14:textFill>
            <w14:solidFill>
              <w14:schemeClr w14:val="tx1"/>
            </w14:solidFill>
          </w14:textFill>
        </w:rPr>
        <w:t>在网上进行</w:t>
      </w:r>
      <w:r>
        <w:rPr>
          <w:rFonts w:ascii="宋体" w:hAnsi="宋体"/>
          <w:color w:val="000000" w:themeColor="text1"/>
          <w14:textFill>
            <w14:solidFill>
              <w14:schemeClr w14:val="tx1"/>
            </w14:solidFill>
          </w14:textFill>
        </w:rPr>
        <w:t>撤销</w:t>
      </w:r>
      <w:r>
        <w:rPr>
          <w:rFonts w:hint="eastAsia" w:ascii="宋体" w:hAnsi="宋体"/>
          <w:color w:val="000000" w:themeColor="text1"/>
          <w14:textFill>
            <w14:solidFill>
              <w14:schemeClr w14:val="tx1"/>
            </w14:solidFill>
          </w14:textFill>
        </w:rPr>
        <w:t>投标的操作</w:t>
      </w:r>
      <w:r>
        <w:rPr>
          <w:rFonts w:ascii="宋体" w:hAnsi="宋体"/>
          <w:color w:val="000000" w:themeColor="text1"/>
          <w14:textFill>
            <w14:solidFill>
              <w14:schemeClr w14:val="tx1"/>
            </w14:solidFill>
          </w14:textFill>
        </w:rPr>
        <w:t>。</w:t>
      </w:r>
    </w:p>
    <w:p w14:paraId="33035BC1">
      <w:pPr>
        <w:ind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投标截止时间以后不得修改投标文件。</w:t>
      </w:r>
    </w:p>
    <w:p w14:paraId="092E920D">
      <w:pPr>
        <w:ind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3从投标截止期至投标人在投标文件中确定的投标有效期之间的这段时间内，投标人不得撤回其投标。</w:t>
      </w:r>
    </w:p>
    <w:p w14:paraId="18D2A5D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27.4</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不退还投标文件，专用条款另有规定的除外。</w:t>
      </w:r>
    </w:p>
    <w:bookmarkEnd w:id="58"/>
    <w:p w14:paraId="38968421">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开标</w:t>
      </w:r>
    </w:p>
    <w:p w14:paraId="29E14C72">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28．开标</w:t>
      </w:r>
    </w:p>
    <w:p w14:paraId="2561C704">
      <w:pPr>
        <w:ind w:firstLine="480" w:firstLineChars="200"/>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14:textFill>
            <w14:solidFill>
              <w14:schemeClr w14:val="tx1"/>
            </w14:solidFill>
          </w14:textFill>
        </w:rPr>
        <w:t>投标人须在开标当日的开标时间至解密截止时间内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14:paraId="6C9B8380">
      <w:pPr>
        <w:ind w:firstLine="410" w:firstLine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 xml:space="preserve">8.2 </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将在满足开标条件（</w:t>
      </w:r>
      <w:r>
        <w:rPr>
          <w:rFonts w:hint="eastAsia" w:ascii="宋体" w:hAnsi="宋体" w:cs="宋体"/>
          <w:color w:val="000000" w:themeColor="text1"/>
          <w:sz w:val="20"/>
          <w:szCs w:val="20"/>
          <w:shd w:val="clear" w:color="auto" w:fill="FFFFFF"/>
          <w14:textFill>
            <w14:solidFill>
              <w14:schemeClr w14:val="tx1"/>
            </w14:solidFill>
          </w14:textFill>
        </w:rPr>
        <w:t>①</w:t>
      </w:r>
      <w:r>
        <w:rPr>
          <w:rFonts w:hint="eastAsia" w:ascii="宋体" w:hAnsi="宋体"/>
          <w:color w:val="000000" w:themeColor="text1"/>
          <w:szCs w:val="21"/>
          <w14:textFill>
            <w14:solidFill>
              <w14:schemeClr w14:val="tx1"/>
            </w14:solidFill>
          </w14:textFill>
        </w:rPr>
        <w:t>解密时间结束，解密后的投标供应商数量满足开标要求或</w:t>
      </w:r>
      <w:r>
        <w:rPr>
          <w:rFonts w:hint="eastAsia" w:ascii="宋体" w:hAnsi="宋体" w:cs="宋体"/>
          <w:color w:val="000000" w:themeColor="text1"/>
          <w:sz w:val="20"/>
          <w:szCs w:val="20"/>
          <w:shd w:val="clear" w:color="auto" w:fill="FFFFFF"/>
          <w14:textFill>
            <w14:solidFill>
              <w14:schemeClr w14:val="tx1"/>
            </w14:solidFill>
          </w14:textFill>
        </w:rPr>
        <w:t>②</w:t>
      </w:r>
      <w:r>
        <w:rPr>
          <w:rFonts w:hint="eastAsia" w:ascii="宋体" w:hAnsi="宋体"/>
          <w:color w:val="000000" w:themeColor="text1"/>
          <w:szCs w:val="21"/>
          <w14:textFill>
            <w14:solidFill>
              <w14:schemeClr w14:val="tx1"/>
            </w14:solidFill>
          </w14:textFill>
        </w:rPr>
        <w:t>解密时间结束前所有投标供应商均完成投标文件解密）后，对投标文件进行开标，并在网上公布开标结果。</w:t>
      </w:r>
    </w:p>
    <w:p w14:paraId="2CD97EB4">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评审要求</w:t>
      </w:r>
    </w:p>
    <w:p w14:paraId="159C0943">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29．评审委员会组成</w:t>
      </w:r>
    </w:p>
    <w:p w14:paraId="74FF260D">
      <w:pPr>
        <w:ind w:firstLine="470" w:firstLineChars="196"/>
        <w:rPr>
          <w:rFonts w:ascii="宋体" w:hAnsi="宋体" w:eastAsia="宋体"/>
        </w:rPr>
      </w:pPr>
      <w:r>
        <w:rPr>
          <w:rFonts w:hint="eastAsia" w:ascii="宋体" w:hAnsi="宋体" w:eastAsia="宋体"/>
        </w:rPr>
        <w:t>29.1网上开标结束后召开评审会议，</w:t>
      </w:r>
      <w:r>
        <w:rPr>
          <w:rFonts w:hint="eastAsia" w:ascii="宋体" w:hAnsi="宋体" w:eastAsia="宋体"/>
          <w:szCs w:val="21"/>
        </w:rPr>
        <w:t>评审委员会</w:t>
      </w:r>
      <w:r>
        <w:rPr>
          <w:rFonts w:hint="eastAsia" w:ascii="宋体" w:hAnsi="宋体" w:eastAsia="宋体"/>
        </w:rPr>
        <w:t>由政府采购代理机构依法组建，负责评审活动。</w:t>
      </w:r>
    </w:p>
    <w:p w14:paraId="4F907982">
      <w:pPr>
        <w:ind w:firstLine="470" w:firstLineChars="196"/>
        <w:rPr>
          <w:rFonts w:ascii="宋体" w:hAnsi="宋体" w:eastAsia="宋体"/>
        </w:rPr>
      </w:pPr>
      <w:bookmarkStart w:id="59"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59"/>
      <w:r>
        <w:rPr>
          <w:rFonts w:hint="eastAsia" w:ascii="宋体" w:hAnsi="宋体" w:eastAsia="宋体"/>
        </w:rPr>
        <w:t>评定</w:t>
      </w:r>
      <w:r>
        <w:rPr>
          <w:rFonts w:hint="eastAsia" w:eastAsia="宋体"/>
        </w:rPr>
        <w:t>分离项目评审专家均由评审专家组成。</w:t>
      </w:r>
      <w:r>
        <w:rPr>
          <w:rFonts w:hint="eastAsia" w:ascii="宋体" w:hAnsi="宋体" w:eastAsia="宋体"/>
          <w:szCs w:val="21"/>
        </w:rPr>
        <w:t>评审专家一般是</w:t>
      </w:r>
      <w:r>
        <w:rPr>
          <w:rFonts w:hint="eastAsia" w:ascii="宋体" w:hAnsi="宋体" w:eastAsia="宋体"/>
        </w:rPr>
        <w:t>从深圳市政府采购评审专家库中随机抽取。采购人代表须持本单位签发的《评审授权书》参加评审。</w:t>
      </w:r>
    </w:p>
    <w:p w14:paraId="6B2E3977">
      <w:pPr>
        <w:ind w:firstLine="470" w:firstLineChars="196"/>
        <w:rPr>
          <w:rFonts w:ascii="宋体" w:hAnsi="宋体" w:eastAsia="宋体"/>
        </w:rPr>
      </w:pPr>
      <w:r>
        <w:rPr>
          <w:rFonts w:hint="eastAsia" w:ascii="宋体" w:hAnsi="宋体" w:eastAsia="宋体"/>
        </w:rPr>
        <w:t>29.2评审定标应当遵循公平、公正、科学、择优的原则。</w:t>
      </w:r>
    </w:p>
    <w:p w14:paraId="6F67716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0736FC45">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59810F8">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175E805">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30．向评审委员会提供的资料</w:t>
      </w:r>
    </w:p>
    <w:p w14:paraId="092A692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30.1公开发布的招标文件，包括图纸、服务清单、答疑文件等；</w:t>
      </w:r>
    </w:p>
    <w:p w14:paraId="0DA0DE6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30.2其他评标必须的资料。</w:t>
      </w:r>
    </w:p>
    <w:p w14:paraId="7DD0DC93">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30.3</w:t>
      </w:r>
      <w:r>
        <w:rPr>
          <w:rFonts w:hint="eastAsia" w:ascii="宋体" w:hAnsi="宋体"/>
          <w:color w:val="000000" w:themeColor="text1"/>
          <w:szCs w:val="21"/>
          <w14:textFill>
            <w14:solidFill>
              <w14:schemeClr w14:val="tx1"/>
            </w14:solidFill>
          </w14:textFill>
        </w:rPr>
        <w:t>评审委员会</w:t>
      </w:r>
      <w:r>
        <w:rPr>
          <w:rFonts w:hint="eastAsia" w:ascii="宋体" w:hAnsi="宋体"/>
          <w:color w:val="000000" w:themeColor="text1"/>
          <w14:textFill>
            <w14:solidFill>
              <w14:schemeClr w14:val="tx1"/>
            </w14:solidFill>
          </w14:textFill>
        </w:rPr>
        <w:t>应当认真研究招标文件，至少应了解熟悉以下内容：</w:t>
      </w:r>
    </w:p>
    <w:p w14:paraId="7D53FF8A">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（1）招标的目的；</w:t>
      </w:r>
    </w:p>
    <w:p w14:paraId="5D2EFB7A">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（2）招标项目需求的范围和性质；</w:t>
      </w:r>
    </w:p>
    <w:p w14:paraId="73D7C39C">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（3）招标文件规定的投标人的资格、财政预算限额、商务条款；</w:t>
      </w:r>
    </w:p>
    <w:p w14:paraId="2808491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（4）招标文件规定的评标程序、评标方法和评标因素；</w:t>
      </w:r>
    </w:p>
    <w:p w14:paraId="73270F4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（5）招标文件所列示的资格性审查表及符合性审查表。</w:t>
      </w:r>
    </w:p>
    <w:p w14:paraId="2D12D4E0">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31．独立评审</w:t>
      </w:r>
    </w:p>
    <w:p w14:paraId="0B482BD7">
      <w:pPr>
        <w:ind w:firstLine="470"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.1</w:t>
      </w:r>
      <w:r>
        <w:rPr>
          <w:rFonts w:hint="eastAsia" w:ascii="宋体" w:hAnsi="宋体"/>
          <w:color w:val="000000" w:themeColor="text1"/>
          <w:szCs w:val="21"/>
          <w14:textFill>
            <w14:solidFill>
              <w14:schemeClr w14:val="tx1"/>
            </w14:solidFill>
          </w14:textFill>
        </w:rPr>
        <w:t>评审委员会</w:t>
      </w:r>
      <w:r>
        <w:rPr>
          <w:rFonts w:hint="eastAsia" w:ascii="宋体" w:hAnsi="宋体"/>
          <w:bCs/>
          <w:color w:val="000000" w:themeColor="text1"/>
          <w14:textFill>
            <w14:solidFill>
              <w14:schemeClr w14:val="tx1"/>
            </w14:solidFill>
          </w14:textFill>
        </w:rPr>
        <w:t>成员的评标活动应当独立进行，并应遵循投标文件初审、澄清有关问题、比较与评价、确定中标供应商、编写评审报告的工作程序。</w:t>
      </w:r>
    </w:p>
    <w:p w14:paraId="5D1551F0">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评审程序及评审方法</w:t>
      </w:r>
    </w:p>
    <w:p w14:paraId="23546FC1">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32．投标文件初审</w:t>
      </w:r>
    </w:p>
    <w:p w14:paraId="5A3CF8EF">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32.1投标文件初审包括资格性审查和符合性审查。</w:t>
      </w:r>
    </w:p>
    <w:p w14:paraId="229BF202">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资格性审查：依据法律法规和招标文件的规定，对投标文件中的资格证明等进行审查，以确定投标供应商是否具备投标资格。</w:t>
      </w:r>
    </w:p>
    <w:p w14:paraId="00C157D5">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符合性审查：依据招标文件的规定，对投标文件的有效性、完整性和对招标文件的响应程度进行审查，以确定是否满足符合性审查的要求。</w:t>
      </w:r>
    </w:p>
    <w:p w14:paraId="3A9F856F">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32.2 投标文件初审内容请详见《资格性审查表》和《符合性审查表》部分。投标人若有一条审查不通过则按投标无效处理。</w:t>
      </w:r>
    </w:p>
    <w:p w14:paraId="3C4FB322">
      <w:pPr>
        <w:ind w:firstLine="470"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32.3 投标文件初审中关于供应商家数的计算:</w:t>
      </w:r>
    </w:p>
    <w:p w14:paraId="689E6F76">
      <w:pPr>
        <w:ind w:firstLine="470"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BD3A73F">
      <w:pPr>
        <w:ind w:firstLine="470"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color w:val="000000" w:themeColor="text1"/>
          <w:szCs w:val="21"/>
          <w14:textFill>
            <w14:solidFill>
              <w14:schemeClr w14:val="tx1"/>
            </w14:solidFill>
          </w14:textFill>
        </w:rPr>
        <w:t>评审委员会</w:t>
      </w:r>
      <w:r>
        <w:rPr>
          <w:rFonts w:hint="eastAsia" w:ascii="宋体" w:hAnsi="宋体"/>
          <w:bCs/>
          <w:color w:val="000000" w:themeColor="text1"/>
          <w14:textFill>
            <w14:solidFill>
              <w14:schemeClr w14:val="tx1"/>
            </w14:solidFill>
          </w14:textFill>
        </w:rPr>
        <w:t>按照招标文件规定的方式确定一个投标人获得中标人推荐资格，招标文件未规定的采取随机抽取方式确定，其他同品牌投标人不作为中标候选人。</w:t>
      </w:r>
    </w:p>
    <w:p w14:paraId="7B20B907">
      <w:pPr>
        <w:ind w:firstLine="470" w:firstLineChars="196"/>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32.3.3非单一产品采购项目，采购人应当根据采购项目技术构成、产品价格比重等合理确定核心产品，并在招标文件中载明。多家投标人提供的核心产品品牌相同的，按前两款规定处理。</w:t>
      </w:r>
    </w:p>
    <w:p w14:paraId="5C806E1C">
      <w:pPr>
        <w:ind w:firstLine="470" w:firstLineChars="196"/>
        <w:rPr>
          <w:rFonts w:ascii="宋体" w:hAnsi="宋体" w:eastAsia="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2.4投标人投标文件作无效处理的情形，具体包括但不限于以下：</w:t>
      </w:r>
    </w:p>
    <w:p w14:paraId="1092827C">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32.4.1不同投标人的投标文件由同一单位或者同一个人编制，或者由同一个人分阶段参与编制；</w:t>
      </w:r>
    </w:p>
    <w:p w14:paraId="5DDC6F5D">
      <w:pPr>
        <w:ind w:firstLine="470" w:firstLineChars="196"/>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32.4.</w:t>
      </w:r>
      <w:r>
        <w:rPr>
          <w:rFonts w:hint="eastAsia" w:ascii="宋体" w:hAnsi="宋体" w:eastAsia="宋体"/>
          <w:color w:val="000000" w:themeColor="text1"/>
          <w14:textFill>
            <w14:solidFill>
              <w14:schemeClr w14:val="tx1"/>
            </w14:solidFill>
          </w14:textFill>
        </w:rPr>
        <w:t>2不同投标人委托同一单位或者个人办理投标事宜；</w:t>
      </w:r>
    </w:p>
    <w:p w14:paraId="31B1497E">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32.4.3不同投标人的投标文件载明的项目管理成员或者联系人员为同一人；</w:t>
      </w:r>
    </w:p>
    <w:p w14:paraId="6893E8E6">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32.4.4不同投标人的投标文件异常一致或者投标报价呈规律性差异；</w:t>
      </w:r>
    </w:p>
    <w:p w14:paraId="42E7A149">
      <w:pPr>
        <w:ind w:firstLine="470" w:firstLineChars="19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32.4.5</w:t>
      </w:r>
      <w:r>
        <w:rPr>
          <w:rFonts w:ascii="宋体" w:hAnsi="宋体" w:eastAsia="宋体"/>
          <w:color w:val="000000" w:themeColor="text1"/>
          <w14:textFill>
            <w14:solidFill>
              <w14:schemeClr w14:val="tx1"/>
            </w14:solidFill>
          </w14:textFill>
        </w:rPr>
        <w:t>不同投标供应商的投标文件或部分投标文件相互混装</w:t>
      </w:r>
      <w:r>
        <w:rPr>
          <w:rFonts w:hint="eastAsia" w:ascii="宋体" w:hAnsi="宋体" w:eastAsia="宋体"/>
          <w:color w:val="000000" w:themeColor="text1"/>
          <w14:textFill>
            <w14:solidFill>
              <w14:schemeClr w14:val="tx1"/>
            </w14:solidFill>
          </w14:textFill>
        </w:rPr>
        <w:t>；</w:t>
      </w:r>
    </w:p>
    <w:p w14:paraId="1C157320">
      <w:pPr>
        <w:ind w:firstLine="470" w:firstLineChars="196"/>
        <w:rPr>
          <w:rFonts w:ascii="宋体" w:hAnsi="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32.4.6投标供应商之间相互约定给予未中标的供应商利</w:t>
      </w:r>
      <w:r>
        <w:rPr>
          <w:rFonts w:hint="eastAsia" w:ascii="宋体" w:hAnsi="宋体"/>
          <w:color w:val="000000" w:themeColor="text1"/>
          <w14:textFill>
            <w14:solidFill>
              <w14:schemeClr w14:val="tx1"/>
            </w14:solidFill>
          </w14:textFill>
        </w:rPr>
        <w:t>益补偿；</w:t>
      </w:r>
    </w:p>
    <w:p w14:paraId="1B90CEE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32.4.7不同投标供应商的法定代表人、主要经营负责人、项目投标授权代表人、项目负责人、主要技术人员为同一人、属同一单位或者同一单位缴纳社会保险；</w:t>
      </w:r>
    </w:p>
    <w:p w14:paraId="443F175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32.4.8不同投标供应商的投标文件内容存在非正常一致；</w:t>
      </w:r>
    </w:p>
    <w:p w14:paraId="31C67F72">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32.4.9在同一单位工作人员为两家以上（含两家）供应商进行同一项投标活动；</w:t>
      </w:r>
    </w:p>
    <w:p w14:paraId="7AE0A77B">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32.4.10主管部门依照法律、法规认定的其他情形。</w:t>
      </w:r>
    </w:p>
    <w:p w14:paraId="379ECD9D">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32.5对不属于《资格性审查表》和《符合性审查表》所列的其他情形，除专用条款另有规定和32.4条款所列情形外，不得作为投标无效的理由。</w:t>
      </w:r>
    </w:p>
    <w:p w14:paraId="36D08CE5">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33．澄清有关问题</w:t>
      </w:r>
    </w:p>
    <w:p w14:paraId="2D0EB177">
      <w:pPr>
        <w:ind w:firstLine="470" w:firstLineChars="196"/>
        <w:rPr>
          <w:rFonts w:ascii="宋体" w:hAnsi="宋体"/>
          <w:color w:val="000000" w:themeColor="text1"/>
          <w14:textFill>
            <w14:solidFill>
              <w14:schemeClr w14:val="tx1"/>
            </w14:solidFill>
          </w14:textFill>
        </w:rPr>
      </w:pPr>
      <w:bookmarkStart w:id="60" w:name="_Hlk71407321"/>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3.1</w:t>
      </w:r>
      <w:r>
        <w:rPr>
          <w:rFonts w:hint="eastAsia" w:ascii="宋体" w:hAnsi="宋体"/>
          <w:color w:val="000000" w:themeColor="text1"/>
          <w14:textFill>
            <w14:solidFill>
              <w14:schemeClr w14:val="tx1"/>
            </w14:solidFill>
          </w14:textFill>
        </w:rPr>
        <w:t>对招标文件中描述有歧义或前后不一致的地方（不含</w:t>
      </w:r>
      <w:r>
        <w:rPr>
          <w:color w:val="000000" w:themeColor="text1"/>
          <w:szCs w:val="21"/>
          <w14:textFill>
            <w14:solidFill>
              <w14:schemeClr w14:val="tx1"/>
            </w14:solidFill>
          </w14:textFill>
        </w:rPr>
        <w:t>招标文件存在歧义、重大缺陷导致评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工作无法进行</w:t>
      </w:r>
      <w:r>
        <w:rPr>
          <w:rFonts w:hint="eastAsia"/>
          <w:color w:val="000000" w:themeColor="text1"/>
          <w:szCs w:val="21"/>
          <w14:textFill>
            <w14:solidFill>
              <w14:schemeClr w14:val="tx1"/>
            </w14:solidFill>
          </w14:textFill>
        </w:rPr>
        <w:t>的情况）</w:t>
      </w:r>
      <w:r>
        <w:rPr>
          <w:rFonts w:hint="eastAsia" w:ascii="宋体" w:hAnsi="宋体"/>
          <w:color w:val="000000" w:themeColor="text1"/>
          <w14:textFill>
            <w14:solidFill>
              <w14:schemeClr w14:val="tx1"/>
            </w14:solidFill>
          </w14:textFill>
        </w:rPr>
        <w:t>，评审委员会有权进行评判，但对同一条款的评判应适用于每个投标人。</w:t>
      </w:r>
      <w:bookmarkEnd w:id="60"/>
    </w:p>
    <w:p w14:paraId="2559FDAE">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3.2</w:t>
      </w:r>
      <w:r>
        <w:rPr>
          <w:color w:val="000000" w:themeColor="text1"/>
          <w:szCs w:val="21"/>
          <w14:textFill>
            <w14:solidFill>
              <w14:schemeClr w14:val="tx1"/>
            </w14:solidFill>
          </w14:textFill>
        </w:rPr>
        <w:t>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委员会发现招标文件存在歧义、重大缺陷导致评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工作无法进行，或者招标文件内容违反国家有关强制性规定的，应当停止评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工作，与</w:t>
      </w:r>
      <w:r>
        <w:rPr>
          <w:rFonts w:hint="eastAsia" w:eastAsia="宋体"/>
          <w:color w:val="000000" w:themeColor="text1"/>
          <w:szCs w:val="21"/>
          <w14:textFill>
            <w14:solidFill>
              <w14:schemeClr w14:val="tx1"/>
            </w14:solidFill>
          </w14:textFill>
        </w:rPr>
        <w:t>招标机构</w:t>
      </w:r>
      <w:r>
        <w:rPr>
          <w:color w:val="000000" w:themeColor="text1"/>
          <w:szCs w:val="21"/>
          <w14:textFill>
            <w14:solidFill>
              <w14:schemeClr w14:val="tx1"/>
            </w14:solidFill>
          </w14:textFill>
        </w:rPr>
        <w:t>沟通并作书面记录。</w:t>
      </w:r>
      <w:r>
        <w:rPr>
          <w:rFonts w:hint="eastAsia"/>
          <w:color w:val="000000" w:themeColor="text1"/>
          <w:szCs w:val="21"/>
          <w14:textFill>
            <w14:solidFill>
              <w14:schemeClr w14:val="tx1"/>
            </w14:solidFill>
          </w14:textFill>
        </w:rPr>
        <w:t>经</w:t>
      </w:r>
      <w:r>
        <w:rPr>
          <w:color w:val="000000" w:themeColor="text1"/>
          <w:szCs w:val="21"/>
          <w14:textFill>
            <w14:solidFill>
              <w14:schemeClr w14:val="tx1"/>
            </w14:solidFill>
          </w14:textFill>
        </w:rPr>
        <w:t>确认后，</w:t>
      </w:r>
      <w:r>
        <w:rPr>
          <w:rFonts w:hint="eastAsia"/>
          <w:color w:val="000000" w:themeColor="text1"/>
          <w:szCs w:val="21"/>
          <w14:textFill>
            <w14:solidFill>
              <w14:schemeClr w14:val="tx1"/>
            </w14:solidFill>
          </w14:textFill>
        </w:rPr>
        <w:t>项目</w:t>
      </w:r>
      <w:r>
        <w:rPr>
          <w:color w:val="000000" w:themeColor="text1"/>
          <w:szCs w:val="21"/>
          <w14:textFill>
            <w14:solidFill>
              <w14:schemeClr w14:val="tx1"/>
            </w14:solidFill>
          </w14:textFill>
        </w:rPr>
        <w:t>应当修改招标文件，重新组织采购活动。</w:t>
      </w:r>
    </w:p>
    <w:p w14:paraId="25E5ACA1">
      <w:pPr>
        <w:ind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33.3</w:t>
      </w:r>
      <w:r>
        <w:rPr>
          <w:rFonts w:hint="eastAsia" w:ascii="宋体" w:hAnsi="宋体"/>
          <w:color w:val="000000" w:themeColor="text1"/>
          <w14:textFill>
            <w14:solidFill>
              <w14:schemeClr w14:val="tx1"/>
            </w14:solidFill>
          </w14:textFill>
        </w:rPr>
        <w:t>对于投标文件中含义不明确、同类问题表述不一致或者有明显文字和计算错误的内容，评审委员会应当以书面形式要求投标人作出必要的澄清、说明或者补正。</w:t>
      </w:r>
    </w:p>
    <w:p w14:paraId="03564D00">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07B945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根据本通用条款第34条，凡属于评审委员会在评审中发现的算术错误进行核实的修改不在此列。</w:t>
      </w:r>
    </w:p>
    <w:p w14:paraId="552D61EA">
      <w:pPr>
        <w:rPr>
          <w:rFonts w:ascii="黑体" w:hAnsi="宋体" w:eastAsia="黑体"/>
          <w:color w:val="000000" w:themeColor="text1"/>
          <w14:textFill>
            <w14:solidFill>
              <w14:schemeClr w14:val="tx1"/>
            </w14:solidFill>
          </w14:textFill>
        </w:rPr>
      </w:pPr>
      <w:bookmarkStart w:id="61" w:name="_Toc73518151"/>
      <w:bookmarkStart w:id="62" w:name="_Toc100052400"/>
      <w:bookmarkStart w:id="63" w:name="_Toc73517673"/>
      <w:bookmarkStart w:id="64" w:name="_Toc73521669"/>
      <w:bookmarkStart w:id="65" w:name="_Toc73521581"/>
      <w:r>
        <w:rPr>
          <w:rFonts w:hint="eastAsia" w:ascii="黑体" w:hAnsi="宋体" w:eastAsia="黑体"/>
          <w:color w:val="000000" w:themeColor="text1"/>
          <w14:textFill>
            <w14:solidFill>
              <w14:schemeClr w14:val="tx1"/>
            </w14:solidFill>
          </w14:textFill>
        </w:rPr>
        <w:t>34．错误的修正</w:t>
      </w:r>
      <w:bookmarkEnd w:id="61"/>
      <w:bookmarkEnd w:id="62"/>
      <w:bookmarkEnd w:id="63"/>
      <w:bookmarkEnd w:id="64"/>
      <w:bookmarkEnd w:id="65"/>
    </w:p>
    <w:p w14:paraId="2BC323FC">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投标文件报价出现前后不一致的，除专用条款另有规定外，按照下列规定修正：</w:t>
      </w:r>
    </w:p>
    <w:p w14:paraId="3D00067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34.1投标文件中开标一览表投标报价内容与投标文件中投标报价相应内容不一致的，以开标一览表为准；</w:t>
      </w:r>
    </w:p>
    <w:p w14:paraId="3292DEB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34.2大写金额和小写金额不一致的，以大写金额为准；</w:t>
      </w:r>
    </w:p>
    <w:p w14:paraId="0D43FF2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34.3单价金额小数点或者百分比有明显错位，以开标一览表的总价为准，并修改单价；</w:t>
      </w:r>
    </w:p>
    <w:p w14:paraId="32AA594B">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34.4总价金额与按单价汇总金额不一致的，以单价金额计算结果为准。</w:t>
      </w:r>
    </w:p>
    <w:p w14:paraId="1AB4A9D3">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34.5同时出现两种以上不一致的，按照前款规定的顺序修正。修正后的报价按照本通用条款33条的规定，经投标人确认后产生约束力，投标人不确认的，其投标无效。</w:t>
      </w:r>
    </w:p>
    <w:p w14:paraId="7C225471">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35．投标文件的比较与评价</w:t>
      </w:r>
    </w:p>
    <w:p w14:paraId="4848E6FE">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7C9898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评审委员会成员对需要共同认定的事项存在争议的，应当按照少数服从多数的原则作出结论。持不同意见的评审委员会成员应当书面作出说明，否则视为无异议。</w:t>
      </w:r>
    </w:p>
    <w:p w14:paraId="2445681E">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36. 实地考察或资料查验</w:t>
      </w:r>
    </w:p>
    <w:p w14:paraId="2BEC4DD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36.1在评审过程中，评审委员会有权决定是否对本项目投标人进行实地考察或资料查验（原件）。投标人应随时做好接受实地考察或资料查验的准备。</w:t>
      </w:r>
    </w:p>
    <w:p w14:paraId="264941CC">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37．评审方法</w:t>
      </w:r>
    </w:p>
    <w:p w14:paraId="5D75FDA1">
      <w:pPr>
        <w:ind w:firstLine="471"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37.1.1最低价法</w:t>
      </w:r>
    </w:p>
    <w:p w14:paraId="778FDBB1">
      <w:pPr>
        <w:ind w:firstLine="470" w:firstLineChars="196"/>
        <w:rPr>
          <w:rFonts w:ascii="ˎ̥" w:hAnsi="ˎ̥"/>
          <w:color w:val="000000" w:themeColor="text1"/>
          <w14:textFill>
            <w14:solidFill>
              <w14:schemeClr w14:val="tx1"/>
            </w14:solidFill>
          </w14:textFill>
        </w:rPr>
      </w:pPr>
      <w:bookmarkStart w:id="66" w:name="_Hlk72438142"/>
      <w:r>
        <w:rPr>
          <w:rFonts w:ascii="ˎ̥" w:hAnsi="ˎ̥"/>
          <w:color w:val="000000" w:themeColor="text1"/>
          <w14:textFill>
            <w14:solidFill>
              <w14:schemeClr w14:val="tx1"/>
            </w14:solidFill>
          </w14:textFill>
        </w:rPr>
        <w:t>最低价法，是指</w:t>
      </w:r>
      <w:r>
        <w:rPr>
          <w:rFonts w:hint="eastAsia" w:ascii="ˎ̥" w:hAnsi="ˎ̥"/>
          <w:color w:val="000000" w:themeColor="text1"/>
          <w14:textFill>
            <w14:solidFill>
              <w14:schemeClr w14:val="tx1"/>
            </w14:solidFill>
          </w14:textFill>
        </w:rPr>
        <w:t>完全</w:t>
      </w:r>
      <w:r>
        <w:rPr>
          <w:rFonts w:ascii="ˎ̥" w:hAnsi="ˎ̥"/>
          <w:color w:val="000000" w:themeColor="text1"/>
          <w14:textFill>
            <w14:solidFill>
              <w14:schemeClr w14:val="tx1"/>
            </w14:solidFill>
          </w14:textFill>
        </w:rPr>
        <w:t>满足招标文件实质性要求，</w:t>
      </w:r>
      <w:r>
        <w:rPr>
          <w:rFonts w:hint="eastAsia" w:ascii="ˎ̥" w:hAnsi="ˎ̥"/>
          <w:color w:val="000000" w:themeColor="text1"/>
          <w14:textFill>
            <w14:solidFill>
              <w14:schemeClr w14:val="tx1"/>
            </w14:solidFill>
          </w14:textFill>
        </w:rPr>
        <w:t>按照报价由低到高的顺序，依据招标文件中规定的数量或者比例推荐候选中标供应商。</w:t>
      </w:r>
    </w:p>
    <w:p w14:paraId="60EB029E">
      <w:pPr>
        <w:ind w:firstLine="471"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37.1.2综合评分法</w:t>
      </w:r>
    </w:p>
    <w:p w14:paraId="34BE0BEF">
      <w:pPr>
        <w:ind w:firstLine="470" w:firstLineChars="196"/>
        <w:rPr>
          <w:rFonts w:ascii="ˎ̥" w:hAnsi="ˎ̥"/>
          <w:color w:val="000000" w:themeColor="text1"/>
          <w14:textFill>
            <w14:solidFill>
              <w14:schemeClr w14:val="tx1"/>
            </w14:solidFill>
          </w14:textFill>
        </w:rPr>
      </w:pPr>
      <w:r>
        <w:rPr>
          <w:rFonts w:ascii="ˎ̥" w:hAnsi="ˎ̥"/>
          <w:color w:val="000000" w:themeColor="text1"/>
          <w14:textFill>
            <w14:solidFill>
              <w14:schemeClr w14:val="tx1"/>
            </w14:solidFill>
          </w14:textFill>
        </w:rPr>
        <w:t>综合评分法，是指</w:t>
      </w:r>
      <w:r>
        <w:rPr>
          <w:rFonts w:hint="eastAsia" w:ascii="ˎ̥" w:hAnsi="ˎ̥"/>
          <w:color w:val="000000" w:themeColor="text1"/>
          <w14:textFill>
            <w14:solidFill>
              <w14:schemeClr w14:val="tx1"/>
            </w14:solidFill>
          </w14:textFill>
        </w:rPr>
        <w:t>在</w:t>
      </w:r>
      <w:r>
        <w:rPr>
          <w:rFonts w:ascii="ˎ̥" w:hAnsi="ˎ̥"/>
          <w:color w:val="000000" w:themeColor="text1"/>
          <w14:textFill>
            <w14:solidFill>
              <w14:schemeClr w14:val="tx1"/>
            </w14:solidFill>
          </w14:textFill>
        </w:rPr>
        <w:t>满足招标文件全部实质性要求</w:t>
      </w:r>
      <w:r>
        <w:rPr>
          <w:rFonts w:hint="eastAsia" w:ascii="ˎ̥" w:hAnsi="ˎ̥"/>
          <w:color w:val="000000" w:themeColor="text1"/>
          <w14:textFill>
            <w14:solidFill>
              <w14:schemeClr w14:val="tx1"/>
            </w14:solidFill>
          </w14:textFill>
        </w:rPr>
        <w:t>的前提下</w:t>
      </w:r>
      <w:r>
        <w:rPr>
          <w:rFonts w:ascii="ˎ̥" w:hAnsi="ˎ̥"/>
          <w:color w:val="000000" w:themeColor="text1"/>
          <w14:textFill>
            <w14:solidFill>
              <w14:schemeClr w14:val="tx1"/>
            </w14:solidFill>
          </w14:textFill>
        </w:rPr>
        <w:t>，</w:t>
      </w:r>
      <w:r>
        <w:rPr>
          <w:rFonts w:hint="eastAsia" w:ascii="ˎ̥" w:hAnsi="ˎ̥"/>
          <w:color w:val="000000" w:themeColor="text1"/>
          <w14:textFill>
            <w14:solidFill>
              <w14:schemeClr w14:val="tx1"/>
            </w14:solidFill>
          </w14:textFill>
        </w:rPr>
        <w:t>按照招标文件中规定的各项因素进行综合评审，评审总得分排名前列的投标人，作为推荐的候选中标供应商。</w:t>
      </w:r>
      <w:bookmarkEnd w:id="66"/>
    </w:p>
    <w:p w14:paraId="7D79066A">
      <w:pPr>
        <w:ind w:firstLine="471"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37.2 本项目采用的评审方法见本项目招标文件第一册“专用条款”的相关内容。</w:t>
      </w:r>
    </w:p>
    <w:p w14:paraId="04D10AD4">
      <w:pPr>
        <w:ind w:firstLine="471"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37.3重新评审的情形</w:t>
      </w:r>
    </w:p>
    <w:p w14:paraId="454AC27C">
      <w:pPr>
        <w:ind w:firstLine="470" w:firstLineChars="196"/>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评审结果汇总完成后，除下列情形外，任何人不得修改评审结果：</w:t>
      </w:r>
    </w:p>
    <w:p w14:paraId="42524690">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37.3.1分值汇总计算错误的；</w:t>
      </w:r>
    </w:p>
    <w:p w14:paraId="36F6D0A0">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37.3.2分项评分超出评分标准范围的；</w:t>
      </w:r>
    </w:p>
    <w:p w14:paraId="3BE4D508">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37.3.3评审委员会成员对客观评审因素评分不一致的；</w:t>
      </w:r>
    </w:p>
    <w:p w14:paraId="1578A357">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37.3.4经评审委员会认定评分畸高、畸低的。</w:t>
      </w:r>
    </w:p>
    <w:p w14:paraId="639B25C8">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BFB1FD8">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投标人对本条第一款情形提出质疑的，采购人或者采购代理机构可以组织原评审委员会进行重新评审，重新评审改变评审结果的，应当书面报告本级财政部门。</w:t>
      </w:r>
    </w:p>
    <w:p w14:paraId="7396F028">
      <w:pPr>
        <w:ind w:firstLine="471"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 37.4重新组建评审委员会的情形</w:t>
      </w:r>
    </w:p>
    <w:p w14:paraId="09B616A2">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评审委员会或者其成员存在下列情形导致评审结果无效的，重新组建评审委员会进行评标，并书面报告本级财政部门：</w:t>
      </w:r>
    </w:p>
    <w:p w14:paraId="13BAD00C">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37.4.1评审委员会组成不符合《政府采购货物和服务招标投标管理办法》规定的；</w:t>
      </w:r>
    </w:p>
    <w:p w14:paraId="3A23D838">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37.4.2有《政府采购货物和服务招标投标管理办法》第六十二条第一至五项情形的；</w:t>
      </w:r>
    </w:p>
    <w:p w14:paraId="146EF9FC">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37.4.3评审委员会及其成员独立评标受到非法干预的；</w:t>
      </w:r>
    </w:p>
    <w:p w14:paraId="6E676CB6">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37.4.4有政府采购法实施条例第七十五条规定的违法行为的。</w:t>
      </w:r>
    </w:p>
    <w:p w14:paraId="2715A7D5">
      <w:pPr>
        <w:ind w:firstLine="470"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有违法违规行为的原评审委员会成员不得参加重新组建的评审委员会。</w:t>
      </w:r>
    </w:p>
    <w:p w14:paraId="0CF25EC6">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定标及公示</w:t>
      </w:r>
    </w:p>
    <w:p w14:paraId="22A9B881">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38．定标方法</w:t>
      </w:r>
    </w:p>
    <w:p w14:paraId="7BA7BBAC">
      <w:pPr>
        <w:ind w:firstLine="470" w:firstLineChars="196"/>
        <w:rPr>
          <w:rFonts w:ascii="宋体" w:hAnsi="宋体" w:eastAsia="宋体"/>
          <w:szCs w:val="21"/>
        </w:rPr>
      </w:pPr>
      <w:bookmarkStart w:id="67" w:name="_Hlk73782795"/>
      <w:r>
        <w:rPr>
          <w:rFonts w:hint="eastAsia" w:ascii="宋体" w:hAnsi="宋体" w:eastAsia="宋体"/>
          <w:szCs w:val="21"/>
        </w:rPr>
        <w:t>38.1非评定分离项目定标方法</w:t>
      </w:r>
    </w:p>
    <w:p w14:paraId="01BFC0D9">
      <w:pPr>
        <w:ind w:firstLine="470" w:firstLineChars="196"/>
        <w:rPr>
          <w:rFonts w:ascii="宋体" w:hAnsi="宋体" w:eastAsia="宋体"/>
          <w:szCs w:val="21"/>
        </w:rPr>
      </w:pPr>
      <w:r>
        <w:rPr>
          <w:rFonts w:hint="eastAsia" w:ascii="宋体" w:hAnsi="宋体" w:eastAsia="宋体"/>
          <w:szCs w:val="21"/>
        </w:rPr>
        <w:t>38.1.1评审委员会依据本项目招标文件所约定的评审方法进行评审和比较，向政府采购代理机构提交书面评审报告，并根据评审方法比较评价结果从优到劣进行排序，确定候选中标供应商。</w:t>
      </w:r>
    </w:p>
    <w:p w14:paraId="221EE5D4">
      <w:pPr>
        <w:ind w:firstLine="470" w:firstLineChars="196"/>
        <w:rPr>
          <w:rFonts w:hint="eastAsia" w:ascii="ˎ̥" w:hAnsi="ˎ̥" w:eastAsia="宋体"/>
        </w:rPr>
      </w:pPr>
      <w:r>
        <w:rPr>
          <w:rFonts w:hint="eastAsia" w:ascii="宋体" w:hAnsi="宋体" w:eastAsia="宋体"/>
          <w:szCs w:val="21"/>
        </w:rPr>
        <w:t>38.1.2</w:t>
      </w:r>
      <w:r>
        <w:rPr>
          <w:rFonts w:hint="eastAsia" w:ascii="ˎ̥" w:hAnsi="ˎ̥" w:eastAsia="宋体"/>
        </w:rPr>
        <w:t>采用最低价法的，评审结果按投标报价由低到高顺序排列。投标报价相同的并列。投标文件满足招标文件全部实质性要求且投标报价最低的投标人为</w:t>
      </w:r>
      <w:bookmarkStart w:id="68" w:name="_Hlk73821177"/>
      <w:r>
        <w:rPr>
          <w:rFonts w:hint="eastAsia" w:ascii="ˎ̥" w:hAnsi="ˎ̥" w:eastAsia="宋体"/>
        </w:rPr>
        <w:t>中标供应商（排名第二的投标人为第一替补中标候选人、排名第三的投标人为第二替补中标候选人</w:t>
      </w:r>
      <w:bookmarkEnd w:id="68"/>
      <w:r>
        <w:rPr>
          <w:rFonts w:hint="eastAsia" w:ascii="ˎ̥" w:hAnsi="ˎ̥" w:eastAsia="宋体"/>
        </w:rPr>
        <w:t>）。</w:t>
      </w:r>
    </w:p>
    <w:p w14:paraId="19C32BB3">
      <w:pPr>
        <w:ind w:firstLine="470" w:firstLineChars="196"/>
        <w:rPr>
          <w:rFonts w:hint="eastAsia" w:ascii="ˎ̥" w:hAnsi="ˎ̥" w:eastAsia="宋体"/>
        </w:rPr>
      </w:pPr>
      <w:r>
        <w:rPr>
          <w:rFonts w:hint="eastAsia" w:ascii="宋体" w:hAnsi="宋体" w:eastAsia="宋体"/>
          <w:szCs w:val="21"/>
        </w:rPr>
        <w:t>38.1.3采</w:t>
      </w:r>
      <w:r>
        <w:rPr>
          <w:rFonts w:hint="eastAsia"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p>
    <w:p w14:paraId="1528F5CC">
      <w:pPr>
        <w:ind w:firstLine="470" w:firstLineChars="196"/>
        <w:rPr>
          <w:rFonts w:ascii="宋体" w:hAnsi="宋体" w:eastAsia="宋体"/>
          <w:szCs w:val="21"/>
        </w:rPr>
      </w:pPr>
      <w:r>
        <w:rPr>
          <w:rFonts w:hint="eastAsia" w:ascii="宋体" w:hAnsi="宋体" w:eastAsia="宋体"/>
          <w:szCs w:val="21"/>
        </w:rPr>
        <w:t>38.2评定分离项目定标方法</w:t>
      </w:r>
    </w:p>
    <w:p w14:paraId="2A615E93">
      <w:pPr>
        <w:ind w:firstLine="470" w:firstLineChars="196"/>
        <w:rPr>
          <w:rFonts w:ascii="宋体" w:hAnsi="宋体" w:eastAsia="宋体"/>
          <w:szCs w:val="21"/>
        </w:rPr>
      </w:pPr>
      <w:r>
        <w:rPr>
          <w:rFonts w:hint="eastAsia" w:ascii="宋体" w:hAnsi="宋体" w:eastAsia="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EA11C54">
      <w:pPr>
        <w:ind w:firstLine="470" w:firstLineChars="196"/>
        <w:rPr>
          <w:rFonts w:ascii="宋体" w:hAnsi="宋体" w:eastAsia="宋体"/>
          <w:szCs w:val="21"/>
        </w:rPr>
      </w:pPr>
      <w:r>
        <w:rPr>
          <w:rFonts w:hint="eastAsia" w:ascii="宋体" w:hAnsi="宋体" w:eastAsia="宋体"/>
          <w:szCs w:val="21"/>
        </w:rPr>
        <w:t xml:space="preserve">38.2.2 </w:t>
      </w:r>
      <w:bookmarkStart w:id="69" w:name="_Hlk71469733"/>
      <w:r>
        <w:rPr>
          <w:rFonts w:hint="eastAsia" w:eastAsia="宋体"/>
        </w:rPr>
        <w:t>适用评定分离的政府采购项目，采用综合评分法评审。</w:t>
      </w:r>
      <w:r>
        <w:rPr>
          <w:rFonts w:hint="eastAsia" w:ascii="宋体" w:hAnsi="宋体" w:eastAsia="宋体"/>
          <w:szCs w:val="21"/>
        </w:rPr>
        <w:t>评审委员会按照评审结果，推荐</w:t>
      </w:r>
      <w:r>
        <w:rPr>
          <w:rFonts w:hint="eastAsia" w:eastAsia="宋体"/>
        </w:rPr>
        <w:t>三个合格的候选中标供应商。</w:t>
      </w:r>
    </w:p>
    <w:p w14:paraId="53C4D4F4">
      <w:pPr>
        <w:ind w:firstLine="470" w:firstLineChars="196"/>
        <w:rPr>
          <w:rFonts w:ascii="宋体" w:hAnsi="宋体" w:eastAsia="宋体"/>
          <w:szCs w:val="21"/>
        </w:rPr>
      </w:pPr>
      <w:r>
        <w:rPr>
          <w:rFonts w:hint="eastAsia" w:ascii="宋体" w:hAnsi="宋体" w:eastAsia="宋体"/>
          <w:szCs w:val="21"/>
        </w:rPr>
        <w:t>38.2.3</w:t>
      </w:r>
      <w:bookmarkStart w:id="70" w:name="_Hlk71469688"/>
      <w:r>
        <w:rPr>
          <w:rFonts w:hint="eastAsia" w:eastAsia="宋体"/>
        </w:rPr>
        <w:t>适用评定分离的政府采购项目，</w:t>
      </w:r>
      <w:r>
        <w:rPr>
          <w:rFonts w:hint="eastAsia" w:ascii="宋体" w:hAnsi="宋体" w:eastAsia="宋体"/>
          <w:szCs w:val="21"/>
        </w:rPr>
        <w:t>按照自定法确定中标供应商：自定法是指采购人组织定标委员会，由定标委员会在三家候选中标供应商中确定中标供应商。</w:t>
      </w:r>
      <w:bookmarkEnd w:id="69"/>
      <w:bookmarkEnd w:id="70"/>
    </w:p>
    <w:p w14:paraId="5804EEDD">
      <w:pPr>
        <w:ind w:firstLine="470" w:firstLineChars="196"/>
        <w:rPr>
          <w:rFonts w:ascii="宋体" w:hAnsi="宋体" w:eastAsia="宋体"/>
          <w:szCs w:val="21"/>
        </w:rPr>
      </w:pPr>
      <w:r>
        <w:rPr>
          <w:rFonts w:hint="eastAsia" w:ascii="宋体" w:hAnsi="宋体" w:eastAsia="宋体"/>
          <w:szCs w:val="21"/>
        </w:rPr>
        <w:t>38.2.4政府采购代理机构</w:t>
      </w:r>
      <w:r>
        <w:rPr>
          <w:rFonts w:hint="eastAsia" w:eastAsia="宋体"/>
        </w:rPr>
        <w:t>应当自评审结束之日起两个工作日内将候选中标供应商名单及其投标文件、评审报告送交采购人</w:t>
      </w:r>
      <w:r>
        <w:rPr>
          <w:rFonts w:hint="eastAsia" w:ascii="宋体" w:hAnsi="宋体" w:eastAsia="宋体"/>
          <w:szCs w:val="21"/>
        </w:rPr>
        <w:t>。</w:t>
      </w:r>
      <w:r>
        <w:rPr>
          <w:rFonts w:hint="eastAsia" w:eastAsia="宋体"/>
        </w:rPr>
        <w:t>采购人应当安排专人对定标过程进行书面记录，形成定标报告，作为采购文件的组成部分存档，并及时将定标结果反馈政府采购代理机构。具体定标程序及相关要求以按照《深圳市财政局关于印发</w:t>
      </w:r>
      <w:r>
        <w:rPr>
          <w:rFonts w:hint="eastAsia" w:ascii="宋体" w:hAnsi="宋体" w:eastAsia="宋体"/>
        </w:rPr>
        <w:t>〈</w:t>
      </w:r>
      <w:r>
        <w:rPr>
          <w:rFonts w:hint="eastAsia" w:eastAsia="宋体"/>
        </w:rPr>
        <w:t>深圳市政府采购评标定标分离管理办法</w:t>
      </w:r>
      <w:r>
        <w:rPr>
          <w:rFonts w:hint="eastAsia" w:ascii="宋体" w:hAnsi="宋体" w:eastAsia="宋体"/>
        </w:rPr>
        <w:t>〉</w:t>
      </w:r>
      <w:r>
        <w:rPr>
          <w:rFonts w:hint="eastAsia" w:eastAsia="宋体"/>
        </w:rPr>
        <w:t>的通知》（深财规【</w:t>
      </w:r>
      <w:r>
        <w:rPr>
          <w:rFonts w:eastAsia="宋体"/>
        </w:rPr>
        <w:t>2020</w:t>
      </w:r>
      <w:r>
        <w:rPr>
          <w:rFonts w:hint="eastAsia" w:eastAsia="宋体"/>
        </w:rPr>
        <w:t>】</w:t>
      </w:r>
      <w:r>
        <w:rPr>
          <w:rFonts w:eastAsia="宋体"/>
        </w:rPr>
        <w:t>1</w:t>
      </w:r>
      <w:r>
        <w:rPr>
          <w:rFonts w:hint="eastAsia" w:eastAsia="宋体"/>
        </w:rPr>
        <w:t>号）执行。</w:t>
      </w:r>
    </w:p>
    <w:p w14:paraId="6B5FDB61">
      <w:pPr>
        <w:ind w:firstLine="470" w:firstLineChars="196"/>
        <w:rPr>
          <w:rFonts w:ascii="宋体" w:hAnsi="宋体" w:eastAsia="宋体"/>
          <w:szCs w:val="21"/>
        </w:rPr>
      </w:pPr>
      <w:r>
        <w:rPr>
          <w:rFonts w:hint="eastAsia" w:ascii="宋体" w:hAnsi="宋体" w:eastAsia="宋体"/>
          <w:szCs w:val="21"/>
        </w:rPr>
        <w:t>说明：采购人及投标供应商应按照上述方法提前做好相关准备。</w:t>
      </w:r>
    </w:p>
    <w:p w14:paraId="1D848F7B">
      <w:pPr>
        <w:ind w:firstLine="470" w:firstLineChars="196"/>
        <w:rPr>
          <w:rFonts w:ascii="宋体" w:hAnsi="宋体" w:eastAsia="宋体"/>
          <w:szCs w:val="21"/>
        </w:rPr>
      </w:pPr>
      <w:r>
        <w:rPr>
          <w:rFonts w:hint="eastAsia" w:ascii="宋体" w:hAnsi="宋体" w:eastAsia="宋体"/>
          <w:szCs w:val="21"/>
        </w:rPr>
        <w:t>38.3专用条款另有规定的，按专用条款相关要求定标。</w:t>
      </w:r>
      <w:bookmarkEnd w:id="67"/>
    </w:p>
    <w:p w14:paraId="5CC78199">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39．编写评审报告</w:t>
      </w:r>
    </w:p>
    <w:p w14:paraId="32872F3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D88B786">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40．中标公告</w:t>
      </w:r>
    </w:p>
    <w:p w14:paraId="03DAE63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40.1</w:t>
      </w:r>
      <w:bookmarkStart w:id="71" w:name="_Hlk72438709"/>
      <w:r>
        <w:rPr>
          <w:rFonts w:hint="eastAsia" w:ascii="宋体" w:hAnsi="宋体"/>
          <w:color w:val="000000" w:themeColor="text1"/>
          <w:szCs w:val="21"/>
          <w14:textFill>
            <w14:solidFill>
              <w14:schemeClr w14:val="tx1"/>
            </w14:solidFill>
          </w14:textFill>
        </w:rPr>
        <w:t>为体现“公开、公平、公正”的原则，评审结束后经采购人确认（确定）评审结果，招标机构将在“深圳政府采购智慧平台（http://zfcg.szggzy.com:8081/）”上发布中标结果公告。</w:t>
      </w:r>
      <w:bookmarkEnd w:id="71"/>
      <w:bookmarkStart w:id="72" w:name="_Hlk72438751"/>
      <w:r>
        <w:rPr>
          <w:rFonts w:hint="eastAsia" w:ascii="宋体" w:hAnsi="宋体"/>
          <w:color w:val="000000" w:themeColor="text1"/>
          <w:szCs w:val="21"/>
          <w14:textFill>
            <w14:solidFill>
              <w14:schemeClr w14:val="tx1"/>
            </w14:solidFill>
          </w14:textFill>
        </w:rPr>
        <w:t>供应商如对评审结果有异议，</w:t>
      </w:r>
      <w:r>
        <w:rPr>
          <w:rFonts w:ascii="宋体" w:hAnsi="宋体"/>
          <w:color w:val="000000" w:themeColor="text1"/>
          <w:szCs w:val="21"/>
          <w14:textFill>
            <w14:solidFill>
              <w14:schemeClr w14:val="tx1"/>
            </w14:solidFill>
          </w14:textFill>
        </w:rPr>
        <w:t>可在发布公示日期起</w:t>
      </w:r>
      <w:r>
        <w:rPr>
          <w:rFonts w:hint="eastAsia" w:ascii="宋体" w:hAnsi="宋体"/>
          <w:color w:val="000000" w:themeColor="text1"/>
          <w:szCs w:val="21"/>
          <w14:textFill>
            <w14:solidFill>
              <w14:schemeClr w14:val="tx1"/>
            </w14:solidFill>
          </w14:textFill>
        </w:rPr>
        <w:t>七</w:t>
      </w:r>
      <w:r>
        <w:rPr>
          <w:rFonts w:ascii="宋体" w:hAnsi="宋体"/>
          <w:color w:val="000000" w:themeColor="text1"/>
          <w:szCs w:val="21"/>
          <w14:textFill>
            <w14:solidFill>
              <w14:schemeClr w14:val="tx1"/>
            </w14:solidFill>
          </w14:textFill>
        </w:rPr>
        <w:t>个工作日内向</w:t>
      </w:r>
      <w:r>
        <w:rPr>
          <w:rFonts w:hint="eastAsia" w:ascii="宋体" w:hAnsi="宋体"/>
          <w:color w:val="000000" w:themeColor="text1"/>
          <w:szCs w:val="21"/>
          <w14:textFill>
            <w14:solidFill>
              <w14:schemeClr w14:val="tx1"/>
            </w14:solidFill>
          </w14:textFill>
        </w:rPr>
        <w:t>招标机构</w:t>
      </w:r>
      <w:r>
        <w:rPr>
          <w:rFonts w:ascii="宋体" w:hAnsi="宋体"/>
          <w:color w:val="000000" w:themeColor="text1"/>
          <w:szCs w:val="21"/>
          <w14:textFill>
            <w14:solidFill>
              <w14:schemeClr w14:val="tx1"/>
            </w14:solidFill>
          </w14:textFill>
        </w:rPr>
        <w:t>提出。电话：0755</w:t>
      </w:r>
      <w:r>
        <w:rPr>
          <w:rFonts w:hint="eastAsia" w:ascii="宋体" w:hAnsi="宋体"/>
          <w:color w:val="000000" w:themeColor="text1"/>
          <w:szCs w:val="21"/>
          <w14:textFill>
            <w14:solidFill>
              <w14:schemeClr w14:val="tx1"/>
            </w14:solidFill>
          </w14:textFill>
        </w:rPr>
        <w:t>-8388</w:t>
      </w:r>
      <w:r>
        <w:rPr>
          <w:rFonts w:ascii="宋体" w:hAnsi="宋体"/>
          <w:color w:val="000000" w:themeColor="text1"/>
          <w:szCs w:val="21"/>
          <w14:textFill>
            <w14:solidFill>
              <w14:schemeClr w14:val="tx1"/>
            </w14:solidFill>
          </w14:textFill>
        </w:rPr>
        <w:t>1111。</w:t>
      </w:r>
      <w:r>
        <w:rPr>
          <w:rFonts w:hint="eastAsia" w:ascii="宋体" w:hAnsi="宋体"/>
          <w:color w:val="000000" w:themeColor="text1"/>
          <w:szCs w:val="21"/>
          <w14:textFill>
            <w14:solidFill>
              <w14:schemeClr w14:val="tx1"/>
            </w14:solidFill>
          </w14:textFill>
        </w:rPr>
        <w:t>若在公示期内未提出质疑，则视为认同该评审结果。</w:t>
      </w:r>
    </w:p>
    <w:bookmarkEnd w:id="72"/>
    <w:p w14:paraId="6682DCF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40.2质疑、投诉供应商应保证质疑、投诉内容的真实性和可靠性，并承担相应的法律责任。</w:t>
      </w:r>
    </w:p>
    <w:p w14:paraId="5EC7F4C9">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41．中标通知书、招标代理服务费</w:t>
      </w:r>
    </w:p>
    <w:p w14:paraId="41F2CBF3">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w:t>
      </w:r>
      <w:bookmarkStart w:id="73" w:name="_Hlk72438863"/>
      <w:r>
        <w:rPr>
          <w:rFonts w:ascii="宋体" w:hAnsi="宋体"/>
          <w:color w:val="000000" w:themeColor="text1"/>
          <w:szCs w:val="21"/>
          <w14:textFill>
            <w14:solidFill>
              <w14:schemeClr w14:val="tx1"/>
            </w14:solidFill>
          </w14:textFill>
        </w:rPr>
        <w:t>中标公告公布以后无异常的情况下,中标供应商和采购人可自行在“深圳政府采购智慧平台（</w:t>
      </w:r>
      <w:r>
        <w:rPr>
          <w:rFonts w:hint="eastAsia" w:ascii="宋体" w:hAnsi="宋体"/>
          <w:color w:val="000000" w:themeColor="text1"/>
          <w:szCs w:val="21"/>
          <w14:textFill>
            <w14:solidFill>
              <w14:schemeClr w14:val="tx1"/>
            </w14:solidFill>
          </w14:textFill>
        </w:rPr>
        <w:t>http://zfcg.szggzy.com:8081/</w:t>
      </w:r>
      <w:r>
        <w:rPr>
          <w:rFonts w:ascii="宋体" w:hAnsi="宋体"/>
          <w:color w:val="000000" w:themeColor="text1"/>
          <w:szCs w:val="21"/>
          <w14:textFill>
            <w14:solidFill>
              <w14:schemeClr w14:val="tx1"/>
            </w14:solidFill>
          </w14:textFill>
        </w:rPr>
        <w:t>）”上打印</w:t>
      </w:r>
      <w:r>
        <w:rPr>
          <w:rFonts w:ascii="宋体" w:hAnsi="宋体"/>
          <w:bCs/>
          <w:color w:val="000000" w:themeColor="text1"/>
          <w:szCs w:val="21"/>
          <w14:textFill>
            <w14:solidFill>
              <w14:schemeClr w14:val="tx1"/>
            </w14:solidFill>
          </w14:textFill>
        </w:rPr>
        <w:t>《数字中标通知书》</w:t>
      </w:r>
      <w:r>
        <w:rPr>
          <w:rFonts w:ascii="宋体" w:hAnsi="宋体"/>
          <w:b/>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咨询电话：</w:t>
      </w:r>
      <w:r>
        <w:rPr>
          <w:rFonts w:ascii="宋体" w:hAnsi="宋体"/>
          <w:b/>
          <w:bCs/>
          <w:color w:val="000000" w:themeColor="text1"/>
          <w:szCs w:val="21"/>
          <w14:textFill>
            <w14:solidFill>
              <w14:schemeClr w14:val="tx1"/>
            </w14:solidFill>
          </w14:textFill>
        </w:rPr>
        <w:t>0755-83881111</w:t>
      </w:r>
      <w:r>
        <w:rPr>
          <w:rFonts w:hint="eastAsia" w:ascii="宋体" w:hAnsi="宋体" w:eastAsia="宋体" w:cs="宋体"/>
          <w:b/>
          <w:bCs/>
          <w:color w:val="000000" w:themeColor="text1"/>
          <w:szCs w:val="21"/>
          <w14:textFill>
            <w14:solidFill>
              <w14:schemeClr w14:val="tx1"/>
            </w14:solidFill>
          </w14:textFill>
        </w:rPr>
        <w:t>、8</w:t>
      </w:r>
      <w:r>
        <w:rPr>
          <w:rFonts w:ascii="宋体" w:hAnsi="宋体" w:eastAsia="宋体" w:cs="宋体"/>
          <w:b/>
          <w:bCs/>
          <w:color w:val="000000" w:themeColor="text1"/>
          <w:szCs w:val="21"/>
          <w14:textFill>
            <w14:solidFill>
              <w14:schemeClr w14:val="tx1"/>
            </w14:solidFill>
          </w14:textFill>
        </w:rPr>
        <w:t>3881995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w:t>
      </w:r>
      <w:r>
        <w:rPr>
          <w:rFonts w:hint="eastAsia" w:ascii="宋体" w:hAnsi="宋体"/>
          <w:szCs w:val="21"/>
        </w:rPr>
        <w:t>中标人凭单位证明和本人身份证到友和保险经纪有限公司领取《中标通知书》</w:t>
      </w:r>
      <w:r>
        <w:rPr>
          <w:rFonts w:ascii="宋体" w:hAnsi="宋体"/>
          <w:color w:val="000000" w:themeColor="text1"/>
          <w:szCs w:val="21"/>
          <w14:textFill>
            <w14:solidFill>
              <w14:schemeClr w14:val="tx1"/>
            </w14:solidFill>
          </w14:textFill>
        </w:rPr>
        <w:t>。</w:t>
      </w:r>
      <w:bookmarkEnd w:id="73"/>
    </w:p>
    <w:p w14:paraId="75425CF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中标通知书是合同的重要组成部分。</w:t>
      </w:r>
    </w:p>
    <w:p w14:paraId="1C9F361F">
      <w:pPr>
        <w:ind w:firstLine="470" w:firstLineChars="196"/>
        <w:rPr>
          <w:rFonts w:ascii="宋体" w:hAnsi="宋体"/>
          <w:color w:val="000000" w:themeColor="text1"/>
          <w:szCs w:val="21"/>
          <w14:textFill>
            <w14:solidFill>
              <w14:schemeClr w14:val="tx1"/>
            </w14:solidFill>
          </w14:textFill>
        </w:rPr>
      </w:pPr>
      <w:bookmarkStart w:id="74" w:name="_Hlk71407340"/>
      <w:r>
        <w:rPr>
          <w:rFonts w:hint="eastAsia" w:ascii="宋体" w:hAnsi="宋体"/>
          <w:color w:val="000000" w:themeColor="text1"/>
          <w:szCs w:val="21"/>
          <w14:textFill>
            <w14:solidFill>
              <w14:schemeClr w14:val="tx1"/>
            </w14:solidFill>
          </w14:textFill>
        </w:rPr>
        <w:t>41.3因质疑投诉或其它原因导致项目结果变更或采购终止的，</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有权吊销中标通知书。</w:t>
      </w:r>
    </w:p>
    <w:p w14:paraId="6198AAE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41.4.1代理费由中标人支付，代理费收费标准按《深圳市财政委员会关于规范深圳市社会采购代理机构管理有关事项的补充通知》（深财购〔2018〕27号）执行，收费标准如下表所列。招标代理服务费以中标金额为基数，按差额定率累进法计算，不足人民币陆仟元的按照固定额陆仟元收取。具体计取费率标准如下表所示：</w:t>
      </w:r>
    </w:p>
    <w:tbl>
      <w:tblPr>
        <w:tblStyle w:val="16"/>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14:paraId="754A2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2447" w:type="dxa"/>
            <w:tcBorders>
              <w:tl2br w:val="single" w:color="auto" w:sz="8" w:space="0"/>
            </w:tcBorders>
            <w:vAlign w:val="center"/>
          </w:tcPr>
          <w:p w14:paraId="4CE18ED8">
            <w:pPr>
              <w:snapToGrid w:val="0"/>
              <w:spacing w:line="360" w:lineRule="auto"/>
              <w:ind w:firstLine="1200" w:firstLineChars="500"/>
              <w:jc w:val="center"/>
              <w:rPr>
                <w:rFonts w:ascii="宋体" w:hAnsi="宋体"/>
                <w:szCs w:val="21"/>
              </w:rPr>
            </w:pPr>
            <w:r>
              <w:rPr>
                <w:rFonts w:hint="eastAsia" w:ascii="宋体" w:hAnsi="宋体"/>
                <w:szCs w:val="21"/>
              </w:rPr>
              <w:t>服务类型</w:t>
            </w:r>
          </w:p>
          <w:p w14:paraId="37E16406">
            <w:pPr>
              <w:pStyle w:val="6"/>
              <w:ind w:firstLine="0"/>
              <w:jc w:val="both"/>
              <w:rPr>
                <w:rFonts w:ascii="宋体" w:hAnsi="宋体"/>
                <w:szCs w:val="21"/>
              </w:rPr>
            </w:pPr>
            <w:r>
              <w:rPr>
                <w:rFonts w:hint="eastAsia" w:ascii="宋体" w:hAnsi="宋体"/>
                <w:szCs w:val="21"/>
              </w:rPr>
              <w:t>中标金额</w:t>
            </w:r>
            <w:r>
              <w:rPr>
                <w:rFonts w:ascii="宋体" w:hAnsi="宋体"/>
                <w:szCs w:val="21"/>
              </w:rPr>
              <w:t>(</w:t>
            </w:r>
            <w:r>
              <w:rPr>
                <w:rFonts w:hint="eastAsia" w:ascii="宋体" w:hAnsi="宋体"/>
                <w:szCs w:val="21"/>
              </w:rPr>
              <w:t>万元</w:t>
            </w:r>
            <w:r>
              <w:rPr>
                <w:rFonts w:ascii="宋体" w:hAnsi="宋体"/>
                <w:szCs w:val="21"/>
              </w:rPr>
              <w:t>)</w:t>
            </w:r>
          </w:p>
        </w:tc>
        <w:tc>
          <w:tcPr>
            <w:tcW w:w="1788" w:type="dxa"/>
            <w:vAlign w:val="center"/>
          </w:tcPr>
          <w:p w14:paraId="687CC8E9">
            <w:pPr>
              <w:snapToGrid w:val="0"/>
              <w:spacing w:line="360" w:lineRule="auto"/>
              <w:jc w:val="center"/>
              <w:rPr>
                <w:rFonts w:ascii="宋体" w:hAnsi="宋体"/>
                <w:szCs w:val="21"/>
              </w:rPr>
            </w:pPr>
            <w:r>
              <w:rPr>
                <w:rFonts w:hint="eastAsia" w:ascii="宋体" w:hAnsi="宋体"/>
                <w:szCs w:val="21"/>
              </w:rPr>
              <w:t>货物招标</w:t>
            </w:r>
          </w:p>
        </w:tc>
        <w:tc>
          <w:tcPr>
            <w:tcW w:w="1788" w:type="dxa"/>
            <w:vAlign w:val="center"/>
          </w:tcPr>
          <w:p w14:paraId="3CC9576C">
            <w:pPr>
              <w:snapToGrid w:val="0"/>
              <w:spacing w:line="360" w:lineRule="auto"/>
              <w:jc w:val="center"/>
              <w:rPr>
                <w:rFonts w:ascii="宋体" w:hAnsi="宋体"/>
                <w:szCs w:val="21"/>
              </w:rPr>
            </w:pPr>
            <w:r>
              <w:rPr>
                <w:rFonts w:hint="eastAsia" w:ascii="宋体" w:hAnsi="宋体"/>
                <w:szCs w:val="21"/>
              </w:rPr>
              <w:t>服务招标</w:t>
            </w:r>
          </w:p>
        </w:tc>
        <w:tc>
          <w:tcPr>
            <w:tcW w:w="1788" w:type="dxa"/>
            <w:vAlign w:val="center"/>
          </w:tcPr>
          <w:p w14:paraId="04EB338F">
            <w:pPr>
              <w:snapToGrid w:val="0"/>
              <w:spacing w:line="360" w:lineRule="auto"/>
              <w:jc w:val="center"/>
              <w:rPr>
                <w:rFonts w:ascii="宋体" w:hAnsi="宋体"/>
                <w:szCs w:val="21"/>
              </w:rPr>
            </w:pPr>
            <w:r>
              <w:rPr>
                <w:rFonts w:hint="eastAsia" w:ascii="宋体" w:hAnsi="宋体"/>
                <w:szCs w:val="21"/>
              </w:rPr>
              <w:t>工程招标</w:t>
            </w:r>
          </w:p>
        </w:tc>
      </w:tr>
      <w:tr w14:paraId="558B9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42B01243">
            <w:pPr>
              <w:snapToGrid w:val="0"/>
              <w:spacing w:line="360" w:lineRule="auto"/>
              <w:jc w:val="center"/>
              <w:rPr>
                <w:rFonts w:ascii="宋体" w:hAnsi="宋体"/>
                <w:szCs w:val="21"/>
              </w:rPr>
            </w:pPr>
            <w:r>
              <w:rPr>
                <w:rFonts w:ascii="宋体" w:hAnsi="宋体"/>
                <w:szCs w:val="21"/>
              </w:rPr>
              <w:t>100</w:t>
            </w:r>
            <w:r>
              <w:rPr>
                <w:rFonts w:hint="eastAsia" w:ascii="宋体" w:hAnsi="宋体"/>
                <w:szCs w:val="21"/>
              </w:rPr>
              <w:t>以下</w:t>
            </w:r>
          </w:p>
        </w:tc>
        <w:tc>
          <w:tcPr>
            <w:tcW w:w="1788" w:type="dxa"/>
          </w:tcPr>
          <w:p w14:paraId="411267DF">
            <w:pPr>
              <w:spacing w:line="360" w:lineRule="auto"/>
              <w:jc w:val="center"/>
              <w:rPr>
                <w:rFonts w:ascii="宋体" w:hAnsi="宋体"/>
              </w:rPr>
            </w:pPr>
            <w:r>
              <w:rPr>
                <w:rFonts w:ascii="宋体" w:hAnsi="宋体"/>
              </w:rPr>
              <w:t>1.50%</w:t>
            </w:r>
          </w:p>
        </w:tc>
        <w:tc>
          <w:tcPr>
            <w:tcW w:w="1788" w:type="dxa"/>
          </w:tcPr>
          <w:p w14:paraId="3103540F">
            <w:pPr>
              <w:spacing w:line="360" w:lineRule="auto"/>
              <w:jc w:val="center"/>
              <w:rPr>
                <w:rFonts w:ascii="宋体" w:hAnsi="宋体"/>
              </w:rPr>
            </w:pPr>
            <w:r>
              <w:rPr>
                <w:rFonts w:ascii="宋体" w:hAnsi="宋体"/>
              </w:rPr>
              <w:t>1.50%</w:t>
            </w:r>
          </w:p>
        </w:tc>
        <w:tc>
          <w:tcPr>
            <w:tcW w:w="1788" w:type="dxa"/>
          </w:tcPr>
          <w:p w14:paraId="4C973A59">
            <w:pPr>
              <w:spacing w:line="360" w:lineRule="auto"/>
              <w:jc w:val="center"/>
              <w:rPr>
                <w:rFonts w:ascii="宋体" w:hAnsi="宋体"/>
              </w:rPr>
            </w:pPr>
            <w:r>
              <w:rPr>
                <w:rFonts w:ascii="宋体" w:hAnsi="宋体"/>
              </w:rPr>
              <w:t>1.00%</w:t>
            </w:r>
          </w:p>
        </w:tc>
      </w:tr>
      <w:tr w14:paraId="306D9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3E0D2163">
            <w:pPr>
              <w:snapToGrid w:val="0"/>
              <w:spacing w:line="360" w:lineRule="auto"/>
              <w:jc w:val="center"/>
              <w:rPr>
                <w:rFonts w:ascii="宋体" w:hAnsi="宋体"/>
                <w:szCs w:val="21"/>
              </w:rPr>
            </w:pPr>
            <w:r>
              <w:rPr>
                <w:rFonts w:ascii="宋体" w:hAnsi="宋体"/>
                <w:szCs w:val="21"/>
              </w:rPr>
              <w:t>100-500</w:t>
            </w:r>
          </w:p>
        </w:tc>
        <w:tc>
          <w:tcPr>
            <w:tcW w:w="1788" w:type="dxa"/>
          </w:tcPr>
          <w:p w14:paraId="3F1A58EE">
            <w:pPr>
              <w:spacing w:line="360" w:lineRule="auto"/>
              <w:jc w:val="center"/>
              <w:rPr>
                <w:rFonts w:ascii="宋体" w:hAnsi="宋体"/>
              </w:rPr>
            </w:pPr>
            <w:r>
              <w:rPr>
                <w:rFonts w:ascii="宋体" w:hAnsi="宋体"/>
              </w:rPr>
              <w:t>1.10%</w:t>
            </w:r>
          </w:p>
        </w:tc>
        <w:tc>
          <w:tcPr>
            <w:tcW w:w="1788" w:type="dxa"/>
          </w:tcPr>
          <w:p w14:paraId="7804202C">
            <w:pPr>
              <w:spacing w:line="360" w:lineRule="auto"/>
              <w:jc w:val="center"/>
              <w:rPr>
                <w:rFonts w:ascii="宋体" w:hAnsi="宋体"/>
              </w:rPr>
            </w:pPr>
            <w:r>
              <w:rPr>
                <w:rFonts w:ascii="宋体" w:hAnsi="宋体"/>
              </w:rPr>
              <w:t>0.80%</w:t>
            </w:r>
          </w:p>
        </w:tc>
        <w:tc>
          <w:tcPr>
            <w:tcW w:w="1788" w:type="dxa"/>
          </w:tcPr>
          <w:p w14:paraId="4A01937F">
            <w:pPr>
              <w:spacing w:line="360" w:lineRule="auto"/>
              <w:jc w:val="center"/>
              <w:rPr>
                <w:rFonts w:ascii="宋体" w:hAnsi="宋体"/>
              </w:rPr>
            </w:pPr>
            <w:r>
              <w:rPr>
                <w:rFonts w:ascii="宋体" w:hAnsi="宋体"/>
              </w:rPr>
              <w:t>0.70%</w:t>
            </w:r>
          </w:p>
        </w:tc>
      </w:tr>
      <w:tr w14:paraId="37C83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2CFBDB0B">
            <w:pPr>
              <w:snapToGrid w:val="0"/>
              <w:spacing w:line="360" w:lineRule="auto"/>
              <w:jc w:val="center"/>
              <w:rPr>
                <w:rFonts w:ascii="宋体" w:hAnsi="宋体"/>
                <w:szCs w:val="21"/>
              </w:rPr>
            </w:pPr>
            <w:r>
              <w:rPr>
                <w:rFonts w:ascii="宋体" w:hAnsi="宋体"/>
                <w:szCs w:val="21"/>
              </w:rPr>
              <w:t>500-1000</w:t>
            </w:r>
          </w:p>
        </w:tc>
        <w:tc>
          <w:tcPr>
            <w:tcW w:w="1788" w:type="dxa"/>
          </w:tcPr>
          <w:p w14:paraId="16C41A0F">
            <w:pPr>
              <w:spacing w:line="360" w:lineRule="auto"/>
              <w:jc w:val="center"/>
              <w:rPr>
                <w:rFonts w:ascii="宋体" w:hAnsi="宋体"/>
              </w:rPr>
            </w:pPr>
            <w:r>
              <w:rPr>
                <w:rFonts w:ascii="宋体" w:hAnsi="宋体"/>
              </w:rPr>
              <w:t>0.80%</w:t>
            </w:r>
          </w:p>
        </w:tc>
        <w:tc>
          <w:tcPr>
            <w:tcW w:w="1788" w:type="dxa"/>
          </w:tcPr>
          <w:p w14:paraId="1AEF6710">
            <w:pPr>
              <w:spacing w:line="360" w:lineRule="auto"/>
              <w:jc w:val="center"/>
              <w:rPr>
                <w:rFonts w:ascii="宋体" w:hAnsi="宋体"/>
              </w:rPr>
            </w:pPr>
            <w:r>
              <w:rPr>
                <w:rFonts w:ascii="宋体" w:hAnsi="宋体"/>
              </w:rPr>
              <w:t>0.45%</w:t>
            </w:r>
          </w:p>
        </w:tc>
        <w:tc>
          <w:tcPr>
            <w:tcW w:w="1788" w:type="dxa"/>
          </w:tcPr>
          <w:p w14:paraId="4FC9329B">
            <w:pPr>
              <w:spacing w:line="360" w:lineRule="auto"/>
              <w:jc w:val="center"/>
              <w:rPr>
                <w:rFonts w:ascii="宋体" w:hAnsi="宋体"/>
              </w:rPr>
            </w:pPr>
            <w:r>
              <w:rPr>
                <w:rFonts w:ascii="宋体" w:hAnsi="宋体"/>
              </w:rPr>
              <w:t>0.55%</w:t>
            </w:r>
          </w:p>
        </w:tc>
      </w:tr>
      <w:tr w14:paraId="05B835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0D466EBE">
            <w:pPr>
              <w:snapToGrid w:val="0"/>
              <w:spacing w:line="360" w:lineRule="auto"/>
              <w:jc w:val="center"/>
              <w:rPr>
                <w:rFonts w:ascii="宋体" w:hAnsi="宋体"/>
                <w:szCs w:val="21"/>
              </w:rPr>
            </w:pPr>
            <w:r>
              <w:rPr>
                <w:rFonts w:ascii="宋体" w:hAnsi="宋体"/>
                <w:szCs w:val="21"/>
              </w:rPr>
              <w:t>1000-5000</w:t>
            </w:r>
          </w:p>
        </w:tc>
        <w:tc>
          <w:tcPr>
            <w:tcW w:w="1788" w:type="dxa"/>
          </w:tcPr>
          <w:p w14:paraId="735507D6">
            <w:pPr>
              <w:spacing w:line="360" w:lineRule="auto"/>
              <w:jc w:val="center"/>
              <w:rPr>
                <w:rFonts w:ascii="宋体" w:hAnsi="宋体"/>
              </w:rPr>
            </w:pPr>
            <w:r>
              <w:rPr>
                <w:rFonts w:ascii="宋体" w:hAnsi="宋体"/>
              </w:rPr>
              <w:t>0.50%</w:t>
            </w:r>
          </w:p>
        </w:tc>
        <w:tc>
          <w:tcPr>
            <w:tcW w:w="1788" w:type="dxa"/>
          </w:tcPr>
          <w:p w14:paraId="2A458F1E">
            <w:pPr>
              <w:spacing w:line="360" w:lineRule="auto"/>
              <w:jc w:val="center"/>
              <w:rPr>
                <w:rFonts w:ascii="宋体" w:hAnsi="宋体"/>
              </w:rPr>
            </w:pPr>
            <w:r>
              <w:rPr>
                <w:rFonts w:ascii="宋体" w:hAnsi="宋体"/>
              </w:rPr>
              <w:t>0.25%</w:t>
            </w:r>
          </w:p>
        </w:tc>
        <w:tc>
          <w:tcPr>
            <w:tcW w:w="1788" w:type="dxa"/>
          </w:tcPr>
          <w:p w14:paraId="0BAFFF6A">
            <w:pPr>
              <w:spacing w:line="360" w:lineRule="auto"/>
              <w:jc w:val="center"/>
              <w:rPr>
                <w:rFonts w:ascii="宋体" w:hAnsi="宋体"/>
              </w:rPr>
            </w:pPr>
            <w:r>
              <w:rPr>
                <w:rFonts w:ascii="宋体" w:hAnsi="宋体"/>
              </w:rPr>
              <w:t>0.35%</w:t>
            </w:r>
          </w:p>
        </w:tc>
      </w:tr>
      <w:tr w14:paraId="73949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6E7DB765">
            <w:pPr>
              <w:snapToGrid w:val="0"/>
              <w:spacing w:line="360" w:lineRule="auto"/>
              <w:jc w:val="center"/>
              <w:rPr>
                <w:rFonts w:ascii="宋体" w:hAnsi="宋体"/>
                <w:szCs w:val="21"/>
              </w:rPr>
            </w:pPr>
            <w:r>
              <w:rPr>
                <w:rFonts w:ascii="宋体" w:hAnsi="宋体"/>
                <w:szCs w:val="21"/>
              </w:rPr>
              <w:t>5000-10000</w:t>
            </w:r>
          </w:p>
        </w:tc>
        <w:tc>
          <w:tcPr>
            <w:tcW w:w="1788" w:type="dxa"/>
          </w:tcPr>
          <w:p w14:paraId="038D5E6D">
            <w:pPr>
              <w:spacing w:line="360" w:lineRule="auto"/>
              <w:jc w:val="center"/>
              <w:rPr>
                <w:rFonts w:ascii="宋体" w:hAnsi="宋体"/>
              </w:rPr>
            </w:pPr>
            <w:r>
              <w:rPr>
                <w:rFonts w:ascii="宋体" w:hAnsi="宋体"/>
              </w:rPr>
              <w:t>0.25%</w:t>
            </w:r>
          </w:p>
        </w:tc>
        <w:tc>
          <w:tcPr>
            <w:tcW w:w="1788" w:type="dxa"/>
          </w:tcPr>
          <w:p w14:paraId="1E2E1A9A">
            <w:pPr>
              <w:spacing w:line="360" w:lineRule="auto"/>
              <w:jc w:val="center"/>
              <w:rPr>
                <w:rFonts w:ascii="宋体" w:hAnsi="宋体"/>
              </w:rPr>
            </w:pPr>
            <w:r>
              <w:rPr>
                <w:rFonts w:ascii="宋体" w:hAnsi="宋体"/>
              </w:rPr>
              <w:t>0.10%</w:t>
            </w:r>
          </w:p>
        </w:tc>
        <w:tc>
          <w:tcPr>
            <w:tcW w:w="1788" w:type="dxa"/>
          </w:tcPr>
          <w:p w14:paraId="61F4AD67">
            <w:pPr>
              <w:spacing w:line="360" w:lineRule="auto"/>
              <w:jc w:val="center"/>
              <w:rPr>
                <w:rFonts w:ascii="宋体" w:hAnsi="宋体"/>
              </w:rPr>
            </w:pPr>
            <w:r>
              <w:rPr>
                <w:rFonts w:ascii="宋体" w:hAnsi="宋体"/>
              </w:rPr>
              <w:t>0.20%</w:t>
            </w:r>
          </w:p>
        </w:tc>
      </w:tr>
      <w:tr w14:paraId="6E3A6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7645ECDE">
            <w:pPr>
              <w:snapToGrid w:val="0"/>
              <w:spacing w:line="360" w:lineRule="auto"/>
              <w:jc w:val="center"/>
              <w:rPr>
                <w:rFonts w:ascii="宋体" w:hAnsi="宋体"/>
                <w:szCs w:val="21"/>
              </w:rPr>
            </w:pPr>
            <w:r>
              <w:rPr>
                <w:rFonts w:ascii="宋体" w:hAnsi="宋体"/>
                <w:szCs w:val="21"/>
              </w:rPr>
              <w:t>10000-100000</w:t>
            </w:r>
          </w:p>
        </w:tc>
        <w:tc>
          <w:tcPr>
            <w:tcW w:w="1788" w:type="dxa"/>
          </w:tcPr>
          <w:p w14:paraId="383A46C6">
            <w:pPr>
              <w:spacing w:line="360" w:lineRule="auto"/>
              <w:jc w:val="center"/>
              <w:rPr>
                <w:rFonts w:ascii="宋体" w:hAnsi="宋体"/>
              </w:rPr>
            </w:pPr>
            <w:r>
              <w:rPr>
                <w:rFonts w:ascii="宋体" w:hAnsi="宋体"/>
              </w:rPr>
              <w:t>0.05%</w:t>
            </w:r>
          </w:p>
        </w:tc>
        <w:tc>
          <w:tcPr>
            <w:tcW w:w="1788" w:type="dxa"/>
          </w:tcPr>
          <w:p w14:paraId="1BBB4E14">
            <w:pPr>
              <w:spacing w:line="360" w:lineRule="auto"/>
              <w:jc w:val="center"/>
              <w:rPr>
                <w:rFonts w:ascii="宋体" w:hAnsi="宋体"/>
              </w:rPr>
            </w:pPr>
            <w:r>
              <w:rPr>
                <w:rFonts w:ascii="宋体" w:hAnsi="宋体"/>
              </w:rPr>
              <w:t>0.05%</w:t>
            </w:r>
          </w:p>
        </w:tc>
        <w:tc>
          <w:tcPr>
            <w:tcW w:w="1788" w:type="dxa"/>
          </w:tcPr>
          <w:p w14:paraId="116345C9">
            <w:pPr>
              <w:spacing w:line="360" w:lineRule="auto"/>
              <w:jc w:val="center"/>
              <w:rPr>
                <w:rFonts w:ascii="宋体" w:hAnsi="宋体"/>
              </w:rPr>
            </w:pPr>
            <w:r>
              <w:rPr>
                <w:rFonts w:ascii="宋体" w:hAnsi="宋体"/>
              </w:rPr>
              <w:t>0.05%</w:t>
            </w:r>
          </w:p>
        </w:tc>
      </w:tr>
      <w:tr w14:paraId="25BC9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14:paraId="0062C301">
            <w:pPr>
              <w:snapToGrid w:val="0"/>
              <w:spacing w:line="360" w:lineRule="auto"/>
              <w:jc w:val="center"/>
              <w:rPr>
                <w:rFonts w:ascii="宋体" w:hAnsi="宋体"/>
                <w:szCs w:val="21"/>
              </w:rPr>
            </w:pPr>
            <w:r>
              <w:rPr>
                <w:rFonts w:ascii="宋体" w:hAnsi="宋体"/>
                <w:szCs w:val="21"/>
              </w:rPr>
              <w:t>1000000</w:t>
            </w:r>
            <w:r>
              <w:rPr>
                <w:rFonts w:hint="eastAsia" w:ascii="宋体" w:hAnsi="宋体"/>
                <w:szCs w:val="21"/>
              </w:rPr>
              <w:t>以上</w:t>
            </w:r>
          </w:p>
        </w:tc>
        <w:tc>
          <w:tcPr>
            <w:tcW w:w="1788" w:type="dxa"/>
          </w:tcPr>
          <w:p w14:paraId="42649719">
            <w:pPr>
              <w:spacing w:line="360" w:lineRule="auto"/>
              <w:jc w:val="center"/>
              <w:rPr>
                <w:rFonts w:ascii="宋体" w:hAnsi="宋体"/>
              </w:rPr>
            </w:pPr>
            <w:r>
              <w:rPr>
                <w:rFonts w:ascii="宋体" w:hAnsi="宋体"/>
              </w:rPr>
              <w:t>0.01%</w:t>
            </w:r>
          </w:p>
        </w:tc>
        <w:tc>
          <w:tcPr>
            <w:tcW w:w="1788" w:type="dxa"/>
          </w:tcPr>
          <w:p w14:paraId="70077C93">
            <w:pPr>
              <w:spacing w:line="360" w:lineRule="auto"/>
              <w:jc w:val="center"/>
              <w:rPr>
                <w:rFonts w:ascii="宋体" w:hAnsi="宋体"/>
              </w:rPr>
            </w:pPr>
            <w:r>
              <w:rPr>
                <w:rFonts w:ascii="宋体" w:hAnsi="宋体"/>
              </w:rPr>
              <w:t>0.01%</w:t>
            </w:r>
          </w:p>
        </w:tc>
        <w:tc>
          <w:tcPr>
            <w:tcW w:w="1788" w:type="dxa"/>
          </w:tcPr>
          <w:p w14:paraId="7E554AEB">
            <w:pPr>
              <w:spacing w:line="360" w:lineRule="auto"/>
              <w:jc w:val="center"/>
              <w:rPr>
                <w:rFonts w:ascii="宋体" w:hAnsi="宋体"/>
              </w:rPr>
            </w:pPr>
            <w:r>
              <w:rPr>
                <w:rFonts w:ascii="宋体" w:hAnsi="宋体"/>
              </w:rPr>
              <w:t>0.01%</w:t>
            </w:r>
          </w:p>
        </w:tc>
      </w:tr>
    </w:tbl>
    <w:p w14:paraId="08ED96C8">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例如：某服务招标代理业务中标金额为600万元，计算招标代理服务收费额如下：</w:t>
      </w:r>
    </w:p>
    <w:p w14:paraId="5DCA9A87">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100万元×1.5%=1.5万元</w:t>
      </w:r>
    </w:p>
    <w:p w14:paraId="266E785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（500-100）万元×0.8%=3.2万元</w:t>
      </w:r>
    </w:p>
    <w:p w14:paraId="5E8850B6">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（600-500）万元×0.45%=0.45万元</w:t>
      </w:r>
    </w:p>
    <w:p w14:paraId="35E4CC44">
      <w:pPr>
        <w:ind w:firstLine="470" w:firstLineChars="196"/>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合计收费=1.5+3.2+0.45=5.15万元：</w:t>
      </w:r>
    </w:p>
    <w:p w14:paraId="2C93950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中标人须在中标公告公示期结束后，领取《中标通知书》前，向招标代理机构缴纳中标服务费。</w:t>
      </w:r>
    </w:p>
    <w:p w14:paraId="29C4936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41.4.2 招标代理服务费以转账、现金形式交付。</w:t>
      </w:r>
    </w:p>
    <w:p w14:paraId="18BFBB3E"/>
    <w:bookmarkEnd w:id="74"/>
    <w:p w14:paraId="59AE0DB9">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公开招标失败的后续处理</w:t>
      </w:r>
    </w:p>
    <w:p w14:paraId="327641BA">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42．公开招标失败的处理</w:t>
      </w:r>
    </w:p>
    <w:p w14:paraId="6EB66F8D">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42.1本项目公开招标过程中若由于投标截止后</w:t>
      </w:r>
      <w:r>
        <w:rPr>
          <w:rFonts w:hint="eastAsia" w:ascii="宋体" w:hAnsi="宋体"/>
          <w:color w:val="000000" w:themeColor="text1"/>
          <w14:textFill>
            <w14:solidFill>
              <w14:schemeClr w14:val="tx1"/>
            </w14:solidFill>
          </w14:textFill>
        </w:rPr>
        <w:t>实际递交</w:t>
      </w:r>
      <w:r>
        <w:rPr>
          <w:rFonts w:ascii="宋体" w:hAnsi="宋体"/>
          <w:color w:val="000000" w:themeColor="text1"/>
          <w14:textFill>
            <w14:solidFill>
              <w14:schemeClr w14:val="tx1"/>
            </w14:solidFill>
          </w14:textFill>
        </w:rPr>
        <w:t>投标</w:t>
      </w:r>
      <w:r>
        <w:rPr>
          <w:rFonts w:hint="eastAsia" w:ascii="宋体" w:hAnsi="宋体"/>
          <w:color w:val="000000" w:themeColor="text1"/>
          <w14:textFill>
            <w14:solidFill>
              <w14:schemeClr w14:val="tx1"/>
            </w14:solidFill>
          </w14:textFill>
        </w:rPr>
        <w:t>文件的供应商数量不足、经</w:t>
      </w:r>
      <w:r>
        <w:rPr>
          <w:rFonts w:hint="eastAsia" w:ascii="宋体" w:hAnsi="宋体"/>
          <w:color w:val="000000" w:themeColor="text1"/>
          <w:szCs w:val="21"/>
          <w14:textFill>
            <w14:solidFill>
              <w14:schemeClr w14:val="tx1"/>
            </w14:solidFill>
          </w14:textFill>
        </w:rPr>
        <w:t>评审委员会</w:t>
      </w:r>
      <w:r>
        <w:rPr>
          <w:rFonts w:hint="eastAsia" w:ascii="宋体" w:hAnsi="宋体"/>
          <w:color w:val="000000" w:themeColor="text1"/>
          <w14:textFill>
            <w14:solidFill>
              <w14:schemeClr w14:val="tx1"/>
            </w14:solidFill>
          </w14:textFill>
        </w:rPr>
        <w:t>评审对招标文件作实质响应的供应商不足等原因造成公开招标失败，可由</w:t>
      </w:r>
      <w:r>
        <w:rPr>
          <w:rFonts w:hint="eastAsia" w:ascii="宋体" w:hAnsi="宋体" w:eastAsia="宋体" w:cs="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重新组织采购。</w:t>
      </w:r>
    </w:p>
    <w:p w14:paraId="7804CDE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42.2对公开招标失败的项目，评审委员会在出具该项目招标失败结论的同时，可以提出重新采购组织形式的建议，以及进一步完善招标文件的资格、技术、商务要求的修改建议。</w:t>
      </w:r>
    </w:p>
    <w:p w14:paraId="09A1D8C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42.3重新组织采购有以下两种组织形式：</w:t>
      </w:r>
    </w:p>
    <w:p w14:paraId="44D3C0D8">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（1）由</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重新组织公开招标；</w:t>
      </w:r>
    </w:p>
    <w:p w14:paraId="7183C694">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（2）根据实际情况需要向同级财政部门提出非公开招标方式申请，经同级财政部门批准，公开招标失败采购项目可转为竞争性谈判或单一来源谈判方式采购。</w:t>
      </w:r>
    </w:p>
    <w:p w14:paraId="664E11D7">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42.4公开招标失败的采购项目重新组织公开招标，由</w:t>
      </w:r>
      <w:r>
        <w:rPr>
          <w:rFonts w:hint="eastAsia" w:ascii="宋体" w:hAnsi="宋体" w:eastAsia="宋体"/>
          <w:color w:val="000000" w:themeColor="text1"/>
          <w14:textFill>
            <w14:solidFill>
              <w14:schemeClr w14:val="tx1"/>
            </w14:solidFill>
          </w14:textFill>
        </w:rPr>
        <w:t>招标机构</w:t>
      </w:r>
      <w:r>
        <w:rPr>
          <w:rFonts w:hint="eastAsia" w:ascii="宋体" w:hAnsi="宋体"/>
          <w:color w:val="000000" w:themeColor="text1"/>
          <w14:textFill>
            <w14:solidFill>
              <w14:schemeClr w14:val="tx1"/>
            </w14:solidFill>
          </w14:textFill>
        </w:rPr>
        <w:t>重新按公开招标流程组织采购活动。</w:t>
      </w:r>
    </w:p>
    <w:p w14:paraId="33FCA1CE">
      <w:pPr>
        <w:ind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42.5公开招标失败的采购项目经同级财政部门批准转为竞争性谈判或单一来源谈判方式采购的，按规定要求组织政府采购工作。</w:t>
      </w:r>
    </w:p>
    <w:p w14:paraId="4B84F013">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bookmarkStart w:id="75" w:name="_Hlk72439043"/>
      <w:r>
        <w:rPr>
          <w:rFonts w:hint="eastAsia"/>
          <w:color w:val="000000" w:themeColor="text1"/>
          <w:sz w:val="28"/>
          <w:szCs w:val="28"/>
          <w14:textFill>
            <w14:solidFill>
              <w14:schemeClr w14:val="tx1"/>
            </w14:solidFill>
          </w14:textFill>
        </w:rPr>
        <w:t>合同的授予与备案</w:t>
      </w:r>
      <w:bookmarkEnd w:id="75"/>
    </w:p>
    <w:p w14:paraId="77C3684C">
      <w:pPr>
        <w:rPr>
          <w:rFonts w:ascii="黑体" w:hAnsi="宋体" w:eastAsia="黑体"/>
          <w:color w:val="000000" w:themeColor="text1"/>
          <w14:textFill>
            <w14:solidFill>
              <w14:schemeClr w14:val="tx1"/>
            </w14:solidFill>
          </w14:textFill>
        </w:rPr>
      </w:pPr>
      <w:bookmarkStart w:id="76" w:name="_Toc100052408"/>
      <w:bookmarkStart w:id="77" w:name="_Toc73518157"/>
      <w:bookmarkStart w:id="78" w:name="_Toc73521674"/>
      <w:bookmarkStart w:id="79" w:name="_Toc73521586"/>
      <w:bookmarkStart w:id="80" w:name="_Toc73517679"/>
      <w:bookmarkStart w:id="81" w:name="_Hlk72439088"/>
      <w:r>
        <w:rPr>
          <w:rFonts w:hint="eastAsia" w:ascii="黑体" w:hAnsi="宋体" w:eastAsia="黑体"/>
          <w:color w:val="000000" w:themeColor="text1"/>
          <w14:textFill>
            <w14:solidFill>
              <w14:schemeClr w14:val="tx1"/>
            </w14:solidFill>
          </w14:textFill>
        </w:rPr>
        <w:t>43．合同授予标准</w:t>
      </w:r>
      <w:bookmarkEnd w:id="76"/>
      <w:bookmarkEnd w:id="77"/>
      <w:bookmarkEnd w:id="78"/>
      <w:bookmarkEnd w:id="79"/>
      <w:bookmarkEnd w:id="80"/>
    </w:p>
    <w:p w14:paraId="0BED35F6">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本项目的合同将授予经本招标文件规定评审确定的中标供应商。</w:t>
      </w:r>
    </w:p>
    <w:p w14:paraId="009A0053">
      <w:pPr>
        <w:rPr>
          <w:rFonts w:ascii="黑体" w:hAnsi="宋体" w:eastAsia="黑体"/>
          <w:color w:val="000000" w:themeColor="text1"/>
          <w14:textFill>
            <w14:solidFill>
              <w14:schemeClr w14:val="tx1"/>
            </w14:solidFill>
          </w14:textFill>
        </w:rPr>
      </w:pPr>
      <w:bookmarkStart w:id="82" w:name="_Toc73517680"/>
      <w:bookmarkStart w:id="83" w:name="_Toc73521675"/>
      <w:bookmarkStart w:id="84" w:name="_Toc100052409"/>
      <w:bookmarkStart w:id="85" w:name="_Toc73518158"/>
      <w:bookmarkStart w:id="86" w:name="_Toc73521587"/>
      <w:r>
        <w:rPr>
          <w:rFonts w:hint="eastAsia" w:ascii="黑体" w:hAnsi="宋体" w:eastAsia="黑体"/>
          <w:color w:val="000000" w:themeColor="text1"/>
          <w14:textFill>
            <w14:solidFill>
              <w14:schemeClr w14:val="tx1"/>
            </w14:solidFill>
          </w14:textFill>
        </w:rPr>
        <w:t>44．</w:t>
      </w:r>
      <w:bookmarkEnd w:id="82"/>
      <w:bookmarkEnd w:id="83"/>
      <w:bookmarkEnd w:id="84"/>
      <w:bookmarkEnd w:id="85"/>
      <w:bookmarkEnd w:id="86"/>
      <w:r>
        <w:rPr>
          <w:rFonts w:hint="eastAsia" w:ascii="黑体" w:hAnsi="宋体" w:eastAsia="黑体"/>
          <w:color w:val="000000" w:themeColor="text1"/>
          <w14:textFill>
            <w14:solidFill>
              <w14:schemeClr w14:val="tx1"/>
            </w14:solidFill>
          </w14:textFill>
        </w:rPr>
        <w:t>接受和拒绝任何或所有投标的权力</w:t>
      </w:r>
    </w:p>
    <w:p w14:paraId="21A4B895">
      <w:pPr>
        <w:ind w:firstLine="470" w:firstLineChars="196"/>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和采购人保留在投标之前任何时候接受或拒绝任何投标或所有投标，以及宣布招标无效的权力，对受影响的投标人不承担任何责任，也无义务向受影响的投标人解释采取这一行动的理由。</w:t>
      </w:r>
    </w:p>
    <w:p w14:paraId="026FFB07">
      <w:pPr>
        <w:rPr>
          <w:rFonts w:ascii="黑体" w:hAnsi="宋体" w:eastAsia="黑体"/>
          <w:color w:val="000000" w:themeColor="text1"/>
          <w14:textFill>
            <w14:solidFill>
              <w14:schemeClr w14:val="tx1"/>
            </w14:solidFill>
          </w14:textFill>
        </w:rPr>
      </w:pPr>
      <w:bookmarkStart w:id="87" w:name="_Toc73521677"/>
      <w:bookmarkStart w:id="88" w:name="_Toc73517682"/>
      <w:bookmarkStart w:id="89" w:name="_Toc100052410"/>
      <w:bookmarkStart w:id="90" w:name="_Toc73518160"/>
      <w:bookmarkStart w:id="91" w:name="_Toc73521589"/>
      <w:r>
        <w:rPr>
          <w:rFonts w:hint="eastAsia" w:ascii="黑体" w:hAnsi="宋体" w:eastAsia="黑体"/>
          <w:color w:val="000000" w:themeColor="text1"/>
          <w14:textFill>
            <w14:solidFill>
              <w14:schemeClr w14:val="tx1"/>
            </w14:solidFill>
          </w14:textFill>
        </w:rPr>
        <w:t>45．合同的签订</w:t>
      </w:r>
      <w:bookmarkEnd w:id="87"/>
      <w:bookmarkEnd w:id="88"/>
      <w:bookmarkEnd w:id="89"/>
      <w:bookmarkEnd w:id="90"/>
      <w:bookmarkEnd w:id="91"/>
    </w:p>
    <w:p w14:paraId="08F6F5D1">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45.1中标人将于中标通知书发出之日起十个工作日内，按照采购文件（招标文件和投标文件等）内容与采购人签订政府采购合同；合同的实质性内容应当符合招标文件的规定；</w:t>
      </w:r>
    </w:p>
    <w:p w14:paraId="2FC0812D">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45.2中标人如不按本通用条款第45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款的规定与采购人签订合同，</w:t>
      </w:r>
      <w:r>
        <w:rPr>
          <w:rFonts w:ascii="宋体" w:hAnsi="宋体" w:cs="宋体"/>
          <w:color w:val="000000" w:themeColor="text1"/>
          <w:szCs w:val="21"/>
          <w14:textFill>
            <w14:solidFill>
              <w14:schemeClr w14:val="tx1"/>
            </w14:solidFill>
          </w14:textFill>
        </w:rPr>
        <w:t>情节严重的，由</w:t>
      </w:r>
      <w:r>
        <w:rPr>
          <w:rFonts w:hint="eastAsia" w:ascii="宋体" w:hAnsi="宋体" w:cs="宋体"/>
          <w:color w:val="000000" w:themeColor="text1"/>
          <w:szCs w:val="21"/>
          <w14:textFill>
            <w14:solidFill>
              <w14:schemeClr w14:val="tx1"/>
            </w14:solidFill>
          </w14:textFill>
        </w:rPr>
        <w:t>同级财政</w:t>
      </w:r>
      <w:r>
        <w:rPr>
          <w:rFonts w:ascii="宋体" w:hAnsi="宋体" w:cs="宋体"/>
          <w:color w:val="000000" w:themeColor="text1"/>
          <w:szCs w:val="21"/>
          <w14:textFill>
            <w14:solidFill>
              <w14:schemeClr w14:val="tx1"/>
            </w14:solidFill>
          </w14:textFill>
        </w:rPr>
        <w:t>部门记入供应商诚信档案，予以通报</w:t>
      </w:r>
      <w:r>
        <w:rPr>
          <w:rFonts w:hint="eastAsia" w:ascii="宋体" w:hAnsi="宋体"/>
          <w:color w:val="000000" w:themeColor="text1"/>
          <w:szCs w:val="21"/>
          <w14:textFill>
            <w14:solidFill>
              <w14:schemeClr w14:val="tx1"/>
            </w14:solidFill>
          </w14:textFill>
        </w:rPr>
        <w:t>；</w:t>
      </w:r>
    </w:p>
    <w:p w14:paraId="0B658D38">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45.3中标人应当按照合同约定履行义务，完成中标项目，不得将中标项目转让（转包）给他人。</w:t>
      </w:r>
    </w:p>
    <w:p w14:paraId="3CBB7B30">
      <w:pPr>
        <w:rPr>
          <w:rFonts w:ascii="黑体" w:hAnsi="宋体" w:eastAsia="黑体"/>
          <w:color w:val="000000" w:themeColor="text1"/>
          <w14:textFill>
            <w14:solidFill>
              <w14:schemeClr w14:val="tx1"/>
            </w14:solidFill>
          </w14:textFill>
        </w:rPr>
      </w:pPr>
      <w:bookmarkStart w:id="92" w:name="_Toc73518161"/>
      <w:bookmarkStart w:id="93" w:name="_Toc73521678"/>
      <w:bookmarkStart w:id="94" w:name="_Toc100052411"/>
      <w:bookmarkStart w:id="95" w:name="_Toc73521590"/>
      <w:bookmarkStart w:id="96" w:name="_Toc73517683"/>
      <w:r>
        <w:rPr>
          <w:rFonts w:hint="eastAsia" w:ascii="黑体" w:hAnsi="宋体" w:eastAsia="黑体"/>
          <w:color w:val="000000" w:themeColor="text1"/>
          <w14:textFill>
            <w14:solidFill>
              <w14:schemeClr w14:val="tx1"/>
            </w14:solidFill>
          </w14:textFill>
        </w:rPr>
        <w:t>46．履约担保</w:t>
      </w:r>
      <w:bookmarkEnd w:id="92"/>
      <w:bookmarkEnd w:id="93"/>
      <w:bookmarkEnd w:id="94"/>
      <w:bookmarkEnd w:id="95"/>
      <w:bookmarkEnd w:id="96"/>
    </w:p>
    <w:p w14:paraId="75ABA5A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46.1在签订项目合同的同时，中标人应按“对通用条款的补充内容”中规定的金额向采购人提交履约担保；</w:t>
      </w:r>
    </w:p>
    <w:p w14:paraId="084088EF">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46.2允许供应商自主选择以支票、汇票、本票、保函等非现金方式提交履约担保；</w:t>
      </w:r>
      <w:r>
        <w:rPr>
          <w:color w:val="000000" w:themeColor="text1"/>
          <w14:textFill>
            <w14:solidFill>
              <w14:schemeClr w14:val="tx1"/>
            </w14:solidFill>
          </w14:textFill>
        </w:rPr>
        <w:t>中标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提交履约</w:t>
      </w:r>
      <w:r>
        <w:rPr>
          <w:rFonts w:hint="eastAsia"/>
          <w:color w:val="000000" w:themeColor="text1"/>
          <w14:textFill>
            <w14:solidFill>
              <w14:schemeClr w14:val="tx1"/>
            </w14:solidFill>
          </w14:textFill>
        </w:rPr>
        <w:t>担保不是</w:t>
      </w:r>
      <w:r>
        <w:rPr>
          <w:color w:val="000000" w:themeColor="text1"/>
          <w14:textFill>
            <w14:solidFill>
              <w14:schemeClr w14:val="tx1"/>
            </w14:solidFill>
          </w14:textFill>
        </w:rPr>
        <w:t>合同签订的</w:t>
      </w:r>
      <w:r>
        <w:rPr>
          <w:rFonts w:hint="eastAsia"/>
          <w:color w:val="000000" w:themeColor="text1"/>
          <w14:textFill>
            <w14:solidFill>
              <w14:schemeClr w14:val="tx1"/>
            </w14:solidFill>
          </w14:textFill>
        </w:rPr>
        <w:t>前提</w:t>
      </w:r>
      <w:r>
        <w:rPr>
          <w:color w:val="000000" w:themeColor="text1"/>
          <w14:textFill>
            <w14:solidFill>
              <w14:schemeClr w14:val="tx1"/>
            </w14:solidFill>
          </w14:textFill>
        </w:rPr>
        <w:t>条件，不要求中标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提供除法律、法规明确规定外的其他担保</w:t>
      </w:r>
      <w:r>
        <w:rPr>
          <w:rFonts w:hint="eastAsia"/>
          <w:color w:val="000000" w:themeColor="text1"/>
          <w14:textFill>
            <w14:solidFill>
              <w14:schemeClr w14:val="tx1"/>
            </w14:solidFill>
          </w14:textFill>
        </w:rPr>
        <w:t>。</w:t>
      </w:r>
    </w:p>
    <w:p w14:paraId="06120B0B">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47. 合同备案</w:t>
      </w:r>
    </w:p>
    <w:p w14:paraId="6FE27BC3">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采购人与中标人应于合同签订之日起2个工作日内进行合同公告和备案。</w:t>
      </w:r>
    </w:p>
    <w:p w14:paraId="3B931E50">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48. 合同变更</w:t>
      </w:r>
    </w:p>
    <w:p w14:paraId="4A2EDA33">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合同变更事宜按《深圳市财政局 深圳市政府采购中心关于进一步加强市本级政府采购合同备案管理工作的通知》（深财购〔2019〕43号）相关规定执行。</w:t>
      </w:r>
    </w:p>
    <w:p w14:paraId="511FA6CE">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49. 项目验收</w:t>
      </w:r>
    </w:p>
    <w:p w14:paraId="7E504CB4">
      <w:pPr>
        <w:ind w:right="176"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49.1采购人应当按照招标文件和合同规定的标准和方法，及时组织验收。</w:t>
      </w:r>
    </w:p>
    <w:p w14:paraId="4499D0B2">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50. 宣传</w:t>
      </w:r>
    </w:p>
    <w:p w14:paraId="64002DD2">
      <w:pPr>
        <w:ind w:left="240" w:leftChars="1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凡与政府采购活动有关的宣传或广告，若当中提及政府采购，</w:t>
      </w:r>
      <w:r>
        <w:rPr>
          <w:rFonts w:ascii="宋体" w:hAnsi="宋体"/>
          <w:color w:val="000000" w:themeColor="text1"/>
          <w14:textFill>
            <w14:solidFill>
              <w14:schemeClr w14:val="tx1"/>
            </w14:solidFill>
          </w14:textFill>
        </w:rPr>
        <w:t>必须事先将具体对外宣传方案报</w:t>
      </w:r>
      <w:r>
        <w:rPr>
          <w:rFonts w:hint="eastAsia" w:ascii="宋体" w:hAnsi="宋体"/>
          <w:color w:val="000000" w:themeColor="text1"/>
          <w14:textFill>
            <w14:solidFill>
              <w14:schemeClr w14:val="tx1"/>
            </w14:solidFill>
          </w14:textFill>
        </w:rPr>
        <w:t>同级财政部门</w:t>
      </w:r>
      <w:r>
        <w:rPr>
          <w:rFonts w:ascii="宋体" w:hAnsi="宋体"/>
          <w:color w:val="000000" w:themeColor="text1"/>
          <w14:textFill>
            <w14:solidFill>
              <w14:schemeClr w14:val="tx1"/>
            </w14:solidFill>
          </w14:textFill>
        </w:rPr>
        <w:t>和</w:t>
      </w:r>
      <w:r>
        <w:rPr>
          <w:rFonts w:hint="eastAsia" w:ascii="宋体" w:hAnsi="宋体" w:eastAsia="宋体"/>
          <w:color w:val="000000" w:themeColor="text1"/>
          <w14:textFill>
            <w14:solidFill>
              <w14:schemeClr w14:val="tx1"/>
            </w14:solidFill>
          </w14:textFill>
        </w:rPr>
        <w:t>招标机构</w:t>
      </w:r>
      <w:r>
        <w:rPr>
          <w:rFonts w:ascii="宋体" w:hAnsi="宋体"/>
          <w:color w:val="000000" w:themeColor="text1"/>
          <w14:textFill>
            <w14:solidFill>
              <w14:schemeClr w14:val="tx1"/>
            </w14:solidFill>
          </w14:textFill>
        </w:rPr>
        <w:t>，并征得其同意。对外市场宣传包括但不限于以下形式：</w:t>
      </w:r>
    </w:p>
    <w:p w14:paraId="46C7AD4A">
      <w:pPr>
        <w:ind w:left="240" w:leftChars="100"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a.名片、宣传册、广告标语等；</w:t>
      </w:r>
    </w:p>
    <w:p w14:paraId="19AFBC73">
      <w:pPr>
        <w:ind w:left="240" w:leftChars="100" w:firstLine="470" w:firstLineChars="196"/>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b.案例介绍、推广等；</w:t>
      </w:r>
    </w:p>
    <w:p w14:paraId="146CBC59">
      <w:pPr>
        <w:ind w:left="240" w:leftChars="100" w:firstLine="470" w:firstLineChars="19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c.工作</w:t>
      </w:r>
      <w:r>
        <w:rPr>
          <w:rFonts w:ascii="宋体" w:hAnsi="宋体"/>
          <w:color w:val="000000" w:themeColor="text1"/>
          <w14:textFill>
            <w14:solidFill>
              <w14:schemeClr w14:val="tx1"/>
            </w14:solidFill>
          </w14:textFill>
        </w:rPr>
        <w:t>人员向其他消费群体宣传。</w:t>
      </w:r>
    </w:p>
    <w:p w14:paraId="7361EF15">
      <w:pPr>
        <w:rPr>
          <w:rFonts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51. 供应商违法责任</w:t>
      </w:r>
    </w:p>
    <w:p w14:paraId="7F5D4CD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0AD94E2">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（1）在采购活动中应当回避而未回避的；</w:t>
      </w:r>
    </w:p>
    <w:p w14:paraId="7D9A0F5D">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（2）未按本条例规定签订、履行采购合同，造成严重后果的；</w:t>
      </w:r>
    </w:p>
    <w:p w14:paraId="7BE6080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（3）隐瞒真实情况，提供虚假资料的；</w:t>
      </w:r>
    </w:p>
    <w:p w14:paraId="3974ECF0">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（4）以非法手段排斥其他供应商参与竞争的；</w:t>
      </w:r>
    </w:p>
    <w:p w14:paraId="46F6C7E5">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（5）与其他采购参加人串通投标的；</w:t>
      </w:r>
    </w:p>
    <w:p w14:paraId="11BD6C59">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（6）恶意投诉的；</w:t>
      </w:r>
    </w:p>
    <w:p w14:paraId="55B73F9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（7）向采购项目相关人行贿或者提供其他不当利益的；</w:t>
      </w:r>
    </w:p>
    <w:p w14:paraId="7AD7657A">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（8）阻碍、抗拒主管部门监督检查的；</w:t>
      </w:r>
    </w:p>
    <w:p w14:paraId="5CAF2BC6">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（9）其他违反本条例规定的行为。</w:t>
      </w:r>
    </w:p>
    <w:p w14:paraId="01720F4B">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 xml:space="preserve">1.2 </w:t>
      </w:r>
      <w:r>
        <w:rPr>
          <w:rFonts w:hint="eastAsia" w:ascii="宋体" w:hAnsi="宋体"/>
          <w:color w:val="000000" w:themeColor="text1"/>
          <w:szCs w:val="21"/>
          <w14:textFill>
            <w14:solidFill>
              <w14:schemeClr w14:val="tx1"/>
            </w14:solidFill>
          </w14:textFill>
        </w:rPr>
        <w:t>根据《深圳市财政局关于明确政府采购保证金管理工作的通知》（深财购[2019]42号）的要求，供应商在政府采购活动中出现《深圳经济特区政府采购条例实施细则》第八十条所列情形的，</w:t>
      </w:r>
      <w:bookmarkStart w:id="97" w:name="_Hlk72440769"/>
      <w:r>
        <w:rPr>
          <w:rFonts w:hint="eastAsia" w:ascii="宋体" w:hAnsi="宋体"/>
          <w:color w:val="000000" w:themeColor="text1"/>
          <w:szCs w:val="21"/>
          <w14:textFill>
            <w14:solidFill>
              <w14:schemeClr w14:val="tx1"/>
            </w14:solidFill>
          </w14:textFill>
        </w:rPr>
        <w:t>采购人或</w:t>
      </w:r>
      <w:bookmarkEnd w:id="97"/>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可将有关情况报同级财政部门，由财政部门根据实际情况记入供应商诚信档案，予以通报：</w:t>
      </w:r>
    </w:p>
    <w:p w14:paraId="7632D491">
      <w:pPr>
        <w:ind w:firstLine="470"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）投标截止后，撤销投标的；</w:t>
      </w:r>
    </w:p>
    <w:p w14:paraId="5C801B17">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）中标后无正当理由未在规定期限内签订合同的；</w:t>
      </w:r>
    </w:p>
    <w:p w14:paraId="2678F446">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）将中标项目转让给他人、或者在投标文件中未说明且未经采购人、采购招标机构同意，将中标项目分包给他人的；</w:t>
      </w:r>
    </w:p>
    <w:p w14:paraId="49686A83">
      <w:pPr>
        <w:ind w:firstLine="470" w:firstLineChars="19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）拒绝履行合同义务的</w:t>
      </w:r>
      <w:r>
        <w:rPr>
          <w:rFonts w:hint="eastAsia" w:ascii="宋体" w:hAnsi="宋体"/>
          <w:color w:val="000000" w:themeColor="text1"/>
          <w:szCs w:val="21"/>
          <w14:textFill>
            <w14:solidFill>
              <w14:schemeClr w14:val="tx1"/>
            </w14:solidFill>
          </w14:textFill>
        </w:rPr>
        <w:t>。</w:t>
      </w:r>
    </w:p>
    <w:bookmarkEnd w:id="81"/>
    <w:p w14:paraId="5E7C7A31">
      <w:pPr>
        <w:pStyle w:val="2"/>
        <w:numPr>
          <w:ilvl w:val="0"/>
          <w:numId w:val="2"/>
        </w:numPr>
        <w:tabs>
          <w:tab w:val="left" w:pos="360"/>
          <w:tab w:val="clear" w:pos="720"/>
        </w:tabs>
        <w:spacing w:before="120" w:beforeLines="50" w:after="120" w:afterLines="50"/>
        <w:ind w:left="562" w:hanging="562"/>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质疑处理</w:t>
      </w:r>
    </w:p>
    <w:p w14:paraId="71CFE306">
      <w:pPr>
        <w:rPr>
          <w:rFonts w:ascii="黑体" w:hAnsi="宋体" w:eastAsia="黑体"/>
          <w:color w:val="000000" w:themeColor="text1"/>
          <w14:textFill>
            <w14:solidFill>
              <w14:schemeClr w14:val="tx1"/>
            </w14:solidFill>
          </w14:textFill>
        </w:rPr>
      </w:pPr>
      <w:bookmarkStart w:id="98" w:name="_Hlk72439706"/>
      <w:r>
        <w:rPr>
          <w:rFonts w:hint="eastAsia" w:ascii="黑体" w:hAnsi="宋体" w:eastAsia="黑体"/>
          <w:color w:val="000000" w:themeColor="text1"/>
          <w14:textFill>
            <w14:solidFill>
              <w14:schemeClr w14:val="tx1"/>
            </w14:solidFill>
          </w14:textFill>
        </w:rPr>
        <w:t>52.质疑提出与答复</w:t>
      </w:r>
    </w:p>
    <w:p w14:paraId="4B90A28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52.1提出质疑</w:t>
      </w:r>
    </w:p>
    <w:p w14:paraId="0C7D06BA">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参与政府采购活动的供应商认为自己的权益在采购活动中受到损害的，应当自知道或者应当知道其权益受到损害之日起七个工作日内向采购人、</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以书面形式提出质疑。</w:t>
      </w:r>
    </w:p>
    <w:p w14:paraId="275661A8">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52.2</w:t>
      </w:r>
      <w:r>
        <w:rPr>
          <w:rFonts w:ascii="宋体" w:hAnsi="宋体"/>
          <w:color w:val="000000" w:themeColor="text1"/>
          <w:szCs w:val="21"/>
          <w14:textFill>
            <w14:solidFill>
              <w14:schemeClr w14:val="tx1"/>
            </w14:solidFill>
          </w14:textFill>
        </w:rPr>
        <w:t>法律依据</w:t>
      </w:r>
    </w:p>
    <w:p w14:paraId="77658C0E">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《中华人民共和国政府采购法》、《中华人民共和国政府采购法实施条例》、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深圳经济特区政府采购</w:t>
      </w:r>
      <w:r>
        <w:rPr>
          <w:rFonts w:ascii="宋体" w:hAnsi="宋体"/>
          <w:color w:val="000000" w:themeColor="text1"/>
          <w:szCs w:val="21"/>
          <w14:textFill>
            <w14:solidFill>
              <w14:schemeClr w14:val="tx1"/>
            </w14:solidFill>
          </w14:textFill>
        </w:rPr>
        <w:t>条例</w:t>
      </w:r>
      <w:r>
        <w:rPr>
          <w:rFonts w:hint="eastAsia" w:ascii="宋体" w:hAnsi="宋体"/>
          <w:color w:val="000000" w:themeColor="text1"/>
          <w:szCs w:val="21"/>
          <w14:textFill>
            <w14:solidFill>
              <w14:schemeClr w14:val="tx1"/>
            </w14:solidFill>
          </w14:textFill>
        </w:rPr>
        <w:t>》、《深圳经济特区政府采购条例实施细则》、《政府采购质疑和投诉办法》（财政部令第94号）和其他有关法律法规规定。</w:t>
      </w:r>
    </w:p>
    <w:p w14:paraId="2000ACA8">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52.3质疑条件</w:t>
      </w:r>
    </w:p>
    <w:p w14:paraId="0AEC5401">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52.3.1提出质疑的供应商应当是参与所质疑项目采购活动的供应商；</w:t>
      </w:r>
      <w:bookmarkStart w:id="99" w:name="_Hlk75374941"/>
      <w:r>
        <w:rPr>
          <w:rFonts w:hint="eastAsia" w:ascii="宋体" w:hAnsi="宋体"/>
          <w:color w:val="000000" w:themeColor="text1"/>
          <w:szCs w:val="21"/>
          <w14:textFill>
            <w14:solidFill>
              <w14:schemeClr w14:val="tx1"/>
            </w14:solidFill>
          </w14:textFill>
        </w:rPr>
        <w:t>以联合体形式参与的，质疑应当由组成联合体的所有成员共同提出</w:t>
      </w:r>
      <w:bookmarkEnd w:id="99"/>
      <w:r>
        <w:rPr>
          <w:rFonts w:hint="eastAsia" w:ascii="宋体" w:hAnsi="宋体"/>
          <w:color w:val="000000" w:themeColor="text1"/>
          <w:szCs w:val="21"/>
          <w14:textFill>
            <w14:solidFill>
              <w14:schemeClr w14:val="tx1"/>
            </w14:solidFill>
          </w14:textFill>
        </w:rPr>
        <w:t>；</w:t>
      </w:r>
    </w:p>
    <w:p w14:paraId="17D69257">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503152">
      <w:pPr>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52.3.3应提交书面质疑函，质疑函应当包括以下内容：</w:t>
      </w:r>
    </w:p>
    <w:p w14:paraId="3A7DEB6C">
      <w:pPr>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（1）供应商的名称（或者姓名）、地址、邮编、邮箱、联系人及联系电话；</w:t>
      </w:r>
    </w:p>
    <w:p w14:paraId="326FD76C">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（2）质疑项目的名称、编号；</w:t>
      </w:r>
    </w:p>
    <w:p w14:paraId="1F381E4C">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（3）具体、明确的质疑对象、质疑事项和质疑请求；</w:t>
      </w:r>
    </w:p>
    <w:p w14:paraId="60E2B689">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（4）因质疑事项而受损害的权益；</w:t>
      </w:r>
    </w:p>
    <w:p w14:paraId="797A95B6">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（5）事实依据；</w:t>
      </w:r>
    </w:p>
    <w:p w14:paraId="6CD62A2C">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（6）必要的法律依据；</w:t>
      </w:r>
    </w:p>
    <w:p w14:paraId="2674BBE0">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（7）提出质疑的日期。</w:t>
      </w:r>
    </w:p>
    <w:p w14:paraId="660501A0">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供应商为自然人的，应当由本人签字；供应商为法人或者其他组织的，应当由法定代表人（负责人），或者其授权代理人签字或者盖章，并加盖公章。</w:t>
      </w:r>
    </w:p>
    <w:p w14:paraId="3FA2F9E4">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52.4提交</w:t>
      </w:r>
      <w:r>
        <w:rPr>
          <w:rFonts w:ascii="宋体" w:hAnsi="宋体"/>
          <w:color w:val="000000" w:themeColor="text1"/>
          <w:szCs w:val="21"/>
          <w14:textFill>
            <w14:solidFill>
              <w14:schemeClr w14:val="tx1"/>
            </w14:solidFill>
          </w14:textFill>
        </w:rPr>
        <w:t>材料</w:t>
      </w:r>
    </w:p>
    <w:p w14:paraId="20E26025">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供应商质疑实行实名制。供应商为自然人的，应当提交本人身份证复印件；供应商为法人或者其他组织的，应当根据自身性质提交营业执照复印件或者其他证明文件（如事业单位法人证书等）复印件。</w:t>
      </w:r>
    </w:p>
    <w:p w14:paraId="51EEEB45">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供应商可以委托代理人进行质疑。</w:t>
      </w:r>
      <w:r>
        <w:rPr>
          <w:rFonts w:ascii="宋体" w:hAnsi="宋体"/>
          <w:color w:val="000000" w:themeColor="text1"/>
          <w:szCs w:val="21"/>
          <w14:textFill>
            <w14:solidFill>
              <w14:schemeClr w14:val="tx1"/>
            </w14:solidFill>
          </w14:textFill>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AB6E9B3">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52.5提交方式</w:t>
      </w:r>
    </w:p>
    <w:p w14:paraId="2AE82C0F">
      <w:pPr>
        <w:ind w:firstLine="4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52.5.1供应商登录“深圳政府采购智慧平台用户网上办事子系统（</w:t>
      </w:r>
      <w:r>
        <w:rPr>
          <w:rFonts w:hint="eastAsia" w:ascii="宋体" w:hAnsi="宋体"/>
          <w:color w:val="000000" w:themeColor="text1"/>
          <w:szCs w:val="21"/>
          <w14:textFill>
            <w14:solidFill>
              <w14:schemeClr w14:val="tx1"/>
            </w14:solidFill>
          </w14:textFill>
        </w:rPr>
        <w:t>http://zfcg.szggzy.com:8081/TPBidder/memberLogin</w:t>
      </w:r>
      <w:r>
        <w:rPr>
          <w:rFonts w:ascii="宋体" w:hAnsi="宋体"/>
          <w:color w:val="000000" w:themeColor="text1"/>
          <w:szCs w:val="21"/>
          <w14:textFill>
            <w14:solidFill>
              <w14:schemeClr w14:val="tx1"/>
            </w14:solidFill>
          </w14:textFill>
        </w:rPr>
        <w:t>）”，在“【我的项目】→【项目流程】→【质疑】”中提出质疑。</w:t>
      </w:r>
    </w:p>
    <w:p w14:paraId="02D7EFD6">
      <w:pPr>
        <w:ind w:firstLine="48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52.5.2请质疑供应商根据深圳政府采购智慧平台（</w:t>
      </w:r>
      <w:r>
        <w:rPr>
          <w:rFonts w:hint="eastAsia" w:ascii="宋体" w:hAnsi="宋体"/>
          <w:color w:val="000000" w:themeColor="text1"/>
          <w:szCs w:val="21"/>
          <w14:textFill>
            <w14:solidFill>
              <w14:schemeClr w14:val="tx1"/>
            </w14:solidFill>
          </w14:textFill>
        </w:rPr>
        <w:t>http://zfcg.szggzy.com:8081/</w:t>
      </w:r>
      <w:r>
        <w:rPr>
          <w:rFonts w:ascii="宋体" w:hAnsi="宋体"/>
          <w:color w:val="000000" w:themeColor="text1"/>
          <w:szCs w:val="21"/>
          <w14:textFill>
            <w14:solidFill>
              <w14:schemeClr w14:val="tx1"/>
            </w14:solidFill>
          </w14:textFill>
        </w:rPr>
        <w:t>）所发布的质疑指引、质疑函模板填写质疑函并提交质疑材料。</w:t>
      </w:r>
      <w:r>
        <w:rPr>
          <w:rFonts w:ascii="宋体" w:hAnsi="宋体"/>
          <w:b/>
          <w:bCs/>
          <w:color w:val="000000" w:themeColor="text1"/>
          <w:szCs w:val="21"/>
          <w14:textFill>
            <w14:solidFill>
              <w14:schemeClr w14:val="tx1"/>
            </w14:solidFill>
          </w14:textFill>
        </w:rPr>
        <w:t>地址：</w:t>
      </w:r>
      <w:r>
        <w:rPr>
          <w:rFonts w:hint="eastAsia" w:ascii="宋体" w:hAnsi="宋体"/>
          <w:b/>
          <w:bCs/>
          <w:color w:val="000000" w:themeColor="text1"/>
          <w:szCs w:val="21"/>
          <w14:textFill>
            <w14:solidFill>
              <w14:schemeClr w14:val="tx1"/>
            </w14:solidFill>
          </w14:textFill>
        </w:rPr>
        <w:t>深圳市福田区福田体育公园西北角友和招标代理服务中心（靠近北门）</w:t>
      </w:r>
      <w:r>
        <w:rPr>
          <w:rFonts w:ascii="宋体" w:hAnsi="宋体"/>
          <w:b/>
          <w:bCs/>
          <w:color w:val="000000" w:themeColor="text1"/>
          <w:szCs w:val="21"/>
          <w14:textFill>
            <w14:solidFill>
              <w14:schemeClr w14:val="tx1"/>
            </w14:solidFill>
          </w14:textFill>
        </w:rPr>
        <w:t>，质疑咨询电话：0755-8388</w:t>
      </w:r>
      <w:r>
        <w:rPr>
          <w:rFonts w:hint="eastAsia" w:ascii="宋体" w:hAnsi="宋体" w:eastAsia="宋体"/>
          <w:b/>
          <w:bCs/>
          <w:color w:val="000000" w:themeColor="text1"/>
          <w:szCs w:val="21"/>
          <w:lang w:val="en-US" w:eastAsia="zh-CN"/>
          <w14:textFill>
            <w14:solidFill>
              <w14:schemeClr w14:val="tx1"/>
            </w14:solidFill>
          </w14:textFill>
        </w:rPr>
        <w:t>1282</w:t>
      </w:r>
      <w:r>
        <w:rPr>
          <w:rFonts w:ascii="宋体" w:hAnsi="宋体"/>
          <w:b/>
          <w:bCs/>
          <w:color w:val="000000" w:themeColor="text1"/>
          <w:szCs w:val="21"/>
          <w14:textFill>
            <w14:solidFill>
              <w14:schemeClr w14:val="tx1"/>
            </w14:solidFill>
          </w14:textFill>
        </w:rPr>
        <w:t>。</w:t>
      </w:r>
    </w:p>
    <w:p w14:paraId="7F9BDAE3">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52.6收文办理</w:t>
      </w:r>
      <w:r>
        <w:rPr>
          <w:rFonts w:ascii="宋体" w:hAnsi="宋体"/>
          <w:color w:val="000000" w:themeColor="text1"/>
          <w:szCs w:val="21"/>
          <w14:textFill>
            <w14:solidFill>
              <w14:schemeClr w14:val="tx1"/>
            </w14:solidFill>
          </w14:textFill>
        </w:rPr>
        <w:t>程序</w:t>
      </w:r>
    </w:p>
    <w:p w14:paraId="12E0FD7B">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52.6.1供应商提交的质疑符合受理条件的，</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自收到质疑材料之日起即为受理，应当向供应商出具质疑函收文回执并可以要求其递交质疑的法定代表人（负责人）或者授权代理人签署质疑文书送达地址确认书。</w:t>
      </w:r>
    </w:p>
    <w:p w14:paraId="0C8E27A1">
      <w:pPr>
        <w:ind w:firstLine="480" w:firstLineChars="200"/>
        <w:rPr>
          <w:rFonts w:ascii="仿宋" w:hAnsi="仿宋" w:eastAsia="仿宋"/>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52.6.2供应商提交的质疑材料不符合质疑条件的，视情况处理：</w:t>
      </w:r>
    </w:p>
    <w:p w14:paraId="068D17E2">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供应商提交的质疑材料不全或者未按要求签字或者盖章的，</w:t>
      </w:r>
      <w:r>
        <w:rPr>
          <w:rFonts w:hint="eastAsia" w:ascii="宋体" w:hAnsi="宋体" w:eastAsia="宋体"/>
          <w:color w:val="000000" w:themeColor="text1"/>
          <w:szCs w:val="21"/>
          <w14:textFill>
            <w14:solidFill>
              <w14:schemeClr w14:val="tx1"/>
            </w14:solidFill>
          </w14:textFill>
        </w:rPr>
        <w:t>招标机构</w:t>
      </w:r>
      <w:r>
        <w:rPr>
          <w:rFonts w:hint="eastAsia" w:ascii="宋体" w:hAnsi="宋体"/>
          <w:color w:val="000000" w:themeColor="text1"/>
          <w:szCs w:val="21"/>
          <w14:textFill>
            <w14:solidFill>
              <w14:schemeClr w14:val="tx1"/>
            </w14:solidFill>
          </w14:textFill>
        </w:rPr>
        <w:t>应当一次性告知供应商需补正的内容和补正期限。</w:t>
      </w:r>
    </w:p>
    <w:p w14:paraId="167B847F">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供应商提交的质疑存在下列情形之一的，不予受理：</w:t>
      </w:r>
    </w:p>
    <w:p w14:paraId="3689ED28">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（1）质疑主体不满足要求的；</w:t>
      </w:r>
    </w:p>
    <w:p w14:paraId="6CA5E9A4">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（2）供应商自身权益未受到损害的；</w:t>
      </w:r>
    </w:p>
    <w:p w14:paraId="30EB9932">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（3）供应商未在法定质疑期限内提出质疑的；</w:t>
      </w:r>
    </w:p>
    <w:p w14:paraId="4015275A">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（4）质疑材料不全或者未按要求签字或者盖章的情况下，要求补正后，逾期未补正或者补正后仍不符合规定的；</w:t>
      </w:r>
    </w:p>
    <w:p w14:paraId="1BAD1F1C">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（5）其他不符合受理条件情形的。</w:t>
      </w:r>
    </w:p>
    <w:p w14:paraId="3E8D3947">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质疑事项不予受理的，招标机构应当向供应商出具不符合质疑条件告知书。</w:t>
      </w:r>
    </w:p>
    <w:p w14:paraId="38BA00CF">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52.7质疑答复时限</w:t>
      </w:r>
    </w:p>
    <w:p w14:paraId="468E66F9">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自收文之日起七个工作日内。</w:t>
      </w:r>
    </w:p>
    <w:p w14:paraId="7149A5F7">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52.8投诉</w:t>
      </w:r>
    </w:p>
    <w:p w14:paraId="16D02917">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对质疑答复不满意或者未在规定时间内答复的，提出质疑的供应商可以在答复期满后15个工作日内向同级财政部门投诉。</w:t>
      </w:r>
    </w:p>
    <w:p w14:paraId="1F24C6BC">
      <w:pPr>
        <w:ind w:firstLine="480"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53. 质疑后续处理   </w:t>
      </w:r>
    </w:p>
    <w:p w14:paraId="3FE7425B">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53.1供应商质疑不成立，或者成立但未对中标、成交结果构成影响的，继续开展采购活动。</w:t>
      </w:r>
    </w:p>
    <w:p w14:paraId="6A444B07">
      <w:pPr>
        <w:ind w:firstLine="480" w:firstLineChars="200"/>
        <w:rPr>
          <w:rFonts w:ascii="宋体" w:hAnsi="宋体" w:eastAsia="宋体" w:cs="宋体"/>
        </w:rPr>
      </w:pPr>
      <w:r>
        <w:rPr>
          <w:rFonts w:hint="eastAsia" w:ascii="宋体" w:hAnsi="宋体"/>
          <w:color w:val="000000" w:themeColor="text1"/>
          <w:szCs w:val="21"/>
          <w14:textFill>
            <w14:solidFill>
              <w14:schemeClr w14:val="tx1"/>
            </w14:solidFill>
          </w14:textFill>
        </w:rPr>
        <w:t>53.2供</w:t>
      </w:r>
      <w:r>
        <w:rPr>
          <w:rFonts w:hint="eastAsia" w:ascii="宋体" w:hAnsi="宋体" w:eastAsia="宋体" w:cs="宋体"/>
        </w:rPr>
        <w:t>应商质疑成立且影响或者可能影响中标、成交结果的，按照下列情况处理：（</w:t>
      </w:r>
      <w:r>
        <w:rPr>
          <w:rFonts w:hint="eastAsia"/>
        </w:rPr>
        <w:t>1</w:t>
      </w:r>
      <w:r>
        <w:rPr>
          <w:rFonts w:hint="eastAsia" w:ascii="宋体" w:hAnsi="宋体" w:eastAsia="宋体" w:cs="宋体"/>
        </w:rPr>
        <w:t>）对采购文件提出的质疑，依法通过澄清或者修改可以继续开展采购活动的，澄清或者修改采购文件后继续开展采购活动；否则应当修改采购文件后重新开展采购活动。（</w:t>
      </w:r>
      <w:r>
        <w:rPr>
          <w:rFonts w:hint="eastAsia"/>
        </w:rPr>
        <w:t>2</w:t>
      </w:r>
      <w:r>
        <w:rPr>
          <w:rFonts w:hint="eastAsia" w:ascii="宋体" w:hAnsi="宋体" w:eastAsia="宋体" w:cs="宋体"/>
        </w:rPr>
        <w:t>）对采购过程、中标或者成交结果提出的质疑，如果合格供应商符合法定数量，依法从合格的中标或者成交候选人中另行确定中标、成交供应商；如果合格供应商不符合法定数量，应当重新开展采购活动。</w:t>
      </w:r>
    </w:p>
    <w:p w14:paraId="5CB580F7">
      <w:pPr>
        <w:ind w:firstLine="480" w:firstLineChars="200"/>
        <w:rPr>
          <w:rFonts w:ascii="宋体" w:hAnsi="宋体" w:eastAsia="宋体"/>
          <w:color w:val="FF0000"/>
          <w:szCs w:val="21"/>
        </w:rPr>
      </w:pPr>
      <w:r>
        <w:rPr>
          <w:rFonts w:hint="eastAsia" w:ascii="宋体" w:hAnsi="宋体" w:eastAsia="宋体"/>
          <w:color w:val="FF0000"/>
          <w:szCs w:val="21"/>
        </w:rPr>
        <w:t>54违约责任</w:t>
      </w:r>
    </w:p>
    <w:p w14:paraId="3CDC685C">
      <w:pPr>
        <w:ind w:firstLine="480" w:firstLineChars="200"/>
        <w:rPr>
          <w:rFonts w:ascii="宋体" w:hAnsi="宋体" w:eastAsia="宋体"/>
          <w:color w:val="FF0000"/>
          <w:szCs w:val="21"/>
        </w:rPr>
      </w:pPr>
      <w:r>
        <w:rPr>
          <w:rFonts w:hint="eastAsia" w:ascii="宋体" w:hAnsi="宋体" w:eastAsia="宋体"/>
          <w:color w:val="FF0000"/>
          <w:szCs w:val="21"/>
        </w:rPr>
        <w:t>54.1供应商若在政府采购活动存在下列违法行为，给采购人、采购代理机造成损失的，应当承担赔偿责任。</w:t>
      </w:r>
    </w:p>
    <w:p w14:paraId="4D4217C6">
      <w:pPr>
        <w:pStyle w:val="6"/>
        <w:rPr>
          <w:color w:val="FF0000"/>
        </w:rPr>
      </w:pPr>
      <w:r>
        <w:rPr>
          <w:color w:val="FF0000"/>
        </w:rPr>
        <w:t>（</w:t>
      </w:r>
      <w:r>
        <w:rPr>
          <w:rFonts w:hint="eastAsia"/>
          <w:color w:val="FF0000"/>
        </w:rPr>
        <w:t>1</w:t>
      </w:r>
      <w:r>
        <w:rPr>
          <w:color w:val="FF0000"/>
        </w:rPr>
        <w:t>）</w:t>
      </w:r>
      <w:r>
        <w:rPr>
          <w:rFonts w:hint="eastAsia"/>
          <w:color w:val="FF0000"/>
        </w:rPr>
        <w:t>未</w:t>
      </w:r>
      <w:r>
        <w:rPr>
          <w:color w:val="FF0000"/>
        </w:rPr>
        <w:t>按照规定签订、履行采购合同</w:t>
      </w:r>
      <w:r>
        <w:rPr>
          <w:rFonts w:hint="eastAsia"/>
          <w:color w:val="FF0000"/>
        </w:rPr>
        <w:t>；</w:t>
      </w:r>
    </w:p>
    <w:p w14:paraId="0C6DA090">
      <w:pPr>
        <w:pStyle w:val="6"/>
        <w:rPr>
          <w:color w:val="FF0000"/>
        </w:rPr>
      </w:pPr>
      <w:r>
        <w:rPr>
          <w:rFonts w:hint="eastAsia"/>
          <w:color w:val="FF0000"/>
        </w:rPr>
        <w:t>（2）</w:t>
      </w:r>
      <w:r>
        <w:rPr>
          <w:color w:val="FF0000"/>
        </w:rPr>
        <w:t>提供虚假材料谋取中标、成交的；</w:t>
      </w:r>
    </w:p>
    <w:p w14:paraId="004BDBC6">
      <w:pPr>
        <w:pStyle w:val="6"/>
        <w:rPr>
          <w:color w:val="FF0000"/>
        </w:rPr>
      </w:pPr>
      <w:r>
        <w:rPr>
          <w:color w:val="FF0000"/>
        </w:rPr>
        <w:t>（</w:t>
      </w:r>
      <w:r>
        <w:rPr>
          <w:rFonts w:hint="eastAsia"/>
          <w:color w:val="FF0000"/>
        </w:rPr>
        <w:t>3</w:t>
      </w:r>
      <w:r>
        <w:rPr>
          <w:color w:val="FF0000"/>
        </w:rPr>
        <w:t>）采取不正当手段诋毁、排挤其他供应商的；</w:t>
      </w:r>
    </w:p>
    <w:p w14:paraId="1DED2F7F">
      <w:pPr>
        <w:pStyle w:val="6"/>
        <w:rPr>
          <w:color w:val="FF0000"/>
        </w:rPr>
      </w:pPr>
      <w:r>
        <w:rPr>
          <w:color w:val="FF0000"/>
        </w:rPr>
        <w:t>（</w:t>
      </w:r>
      <w:r>
        <w:rPr>
          <w:rFonts w:hint="eastAsia"/>
          <w:color w:val="FF0000"/>
        </w:rPr>
        <w:t>4</w:t>
      </w:r>
      <w:r>
        <w:rPr>
          <w:color w:val="FF0000"/>
        </w:rPr>
        <w:t>）与其他供应商恶意串通的；</w:t>
      </w:r>
    </w:p>
    <w:p w14:paraId="5474CA79">
      <w:pPr>
        <w:pStyle w:val="6"/>
        <w:rPr>
          <w:color w:val="FF0000"/>
        </w:rPr>
      </w:pPr>
      <w:r>
        <w:rPr>
          <w:color w:val="FF0000"/>
        </w:rPr>
        <w:t>（</w:t>
      </w:r>
      <w:r>
        <w:rPr>
          <w:rFonts w:hint="eastAsia"/>
          <w:color w:val="FF0000"/>
        </w:rPr>
        <w:t>5</w:t>
      </w:r>
      <w:r>
        <w:rPr>
          <w:color w:val="FF0000"/>
        </w:rPr>
        <w:t>）拒绝有关部门监督检查或者提供虚假情况的</w:t>
      </w:r>
      <w:r>
        <w:rPr>
          <w:rFonts w:hint="eastAsia"/>
          <w:color w:val="FF0000"/>
        </w:rPr>
        <w:t>；</w:t>
      </w:r>
    </w:p>
    <w:p w14:paraId="39F215A3">
      <w:pPr>
        <w:pStyle w:val="6"/>
        <w:rPr>
          <w:color w:val="FF0000"/>
        </w:rPr>
      </w:pPr>
      <w:r>
        <w:rPr>
          <w:rFonts w:hint="eastAsia"/>
          <w:color w:val="FF0000"/>
        </w:rPr>
        <w:t>（6）经主管部门认定的其他违法采购相关法律法规的行为。</w:t>
      </w:r>
    </w:p>
    <w:p w14:paraId="62176045">
      <w:pPr>
        <w:ind w:firstLine="480" w:firstLineChars="200"/>
        <w:rPr>
          <w:rFonts w:ascii="宋体" w:hAnsi="宋体" w:eastAsia="宋体"/>
          <w:color w:val="FF0000"/>
          <w:szCs w:val="21"/>
        </w:rPr>
      </w:pPr>
      <w:r>
        <w:rPr>
          <w:rFonts w:hint="eastAsia" w:ascii="宋体" w:hAnsi="宋体" w:eastAsia="宋体"/>
          <w:color w:val="FF0000"/>
          <w:szCs w:val="21"/>
        </w:rPr>
        <w:t>54.2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46848D75">
      <w:pPr>
        <w:pStyle w:val="6"/>
      </w:pPr>
    </w:p>
    <w:p w14:paraId="4069EB3B">
      <w:pPr>
        <w:jc w:val="center"/>
        <w:rPr>
          <w:color w:val="000000" w:themeColor="text1"/>
          <w14:textFill>
            <w14:solidFill>
              <w14:schemeClr w14:val="tx1"/>
            </w14:solidFill>
          </w14:textFill>
        </w:rPr>
      </w:pPr>
      <w:r>
        <w:rPr>
          <w:color w:val="000000" w:themeColor="text1"/>
          <w14:textFill>
            <w14:solidFill>
              <w14:schemeClr w14:val="tx1"/>
            </w14:solidFill>
          </w14:textFill>
        </w:rPr>
        <w:t>---- END ----</w:t>
      </w:r>
      <w:bookmarkEnd w:id="98"/>
    </w:p>
    <w:p w14:paraId="76EBDEE6">
      <w:pPr>
        <w:rPr>
          <w:rFonts w:ascii="宋体" w:hAnsi="宋体"/>
          <w:color w:val="000000" w:themeColor="text1"/>
          <w:szCs w:val="21"/>
          <w14:textFill>
            <w14:solidFill>
              <w14:schemeClr w14:val="tx1"/>
            </w14:solidFill>
          </w14:textFill>
        </w:rPr>
      </w:pPr>
    </w:p>
    <w:p w14:paraId="4C5C35B7"/>
    <w:p w14:paraId="23BE859E"/>
    <w:sectPr>
      <w:footerReference r:id="rId4" w:type="default"/>
      <w:type w:val="continuous"/>
      <w:pgSz w:w="11906" w:h="16838"/>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H Yb 2gj">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altName w:val="DejaVu Sans"/>
    <w:panose1 w:val="020B0604020202020204"/>
    <w:charset w:val="86"/>
    <w:family w:val="auto"/>
    <w:pitch w:val="default"/>
    <w:sig w:usb0="00000000" w:usb1="00000000" w:usb2="0000003F" w:usb3="00000000" w:csb0="603F01FF" w:csb1="FFFF0000"/>
  </w:font>
  <w:font w:name="ˎ̥">
    <w:altName w:val="国标仿宋"/>
    <w:panose1 w:val="00000000000000000000"/>
    <w:charset w:val="00"/>
    <w:family w:val="roman"/>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64D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D77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DF5C0">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BDF5C0">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DE796C2"/>
    <w:multiLevelType w:val="singleLevel"/>
    <w:tmpl w:val="0DE796C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FmMDE1ZTIyYjFjZmVjNzA2YTBiYTRmNDVkYzEifQ=="/>
  </w:docVars>
  <w:rsids>
    <w:rsidRoot w:val="001A1BBA"/>
    <w:rsid w:val="001A1BBA"/>
    <w:rsid w:val="008138EF"/>
    <w:rsid w:val="00B96C44"/>
    <w:rsid w:val="00F942E2"/>
    <w:rsid w:val="013473C7"/>
    <w:rsid w:val="01B6221C"/>
    <w:rsid w:val="026673DD"/>
    <w:rsid w:val="02922F6E"/>
    <w:rsid w:val="037B2C82"/>
    <w:rsid w:val="03FB7597"/>
    <w:rsid w:val="04180F6C"/>
    <w:rsid w:val="045D1075"/>
    <w:rsid w:val="04BA4D02"/>
    <w:rsid w:val="04C64E6C"/>
    <w:rsid w:val="055C30DB"/>
    <w:rsid w:val="060327CF"/>
    <w:rsid w:val="061152F9"/>
    <w:rsid w:val="071E4898"/>
    <w:rsid w:val="07F817E1"/>
    <w:rsid w:val="084367D4"/>
    <w:rsid w:val="08D15B8E"/>
    <w:rsid w:val="08D31906"/>
    <w:rsid w:val="08F24482"/>
    <w:rsid w:val="0A2166A1"/>
    <w:rsid w:val="0A9D041D"/>
    <w:rsid w:val="0AD56800"/>
    <w:rsid w:val="0B856A33"/>
    <w:rsid w:val="0BFBDFF8"/>
    <w:rsid w:val="0C594818"/>
    <w:rsid w:val="0C7F0980"/>
    <w:rsid w:val="0C825B1D"/>
    <w:rsid w:val="0D200E92"/>
    <w:rsid w:val="0D9D1464"/>
    <w:rsid w:val="0DDD78CC"/>
    <w:rsid w:val="0DE11D81"/>
    <w:rsid w:val="0DE71001"/>
    <w:rsid w:val="0DF577ED"/>
    <w:rsid w:val="0EF9D533"/>
    <w:rsid w:val="0FB07C1F"/>
    <w:rsid w:val="0FBD9290"/>
    <w:rsid w:val="0FD06B9F"/>
    <w:rsid w:val="0FF521BC"/>
    <w:rsid w:val="0FF87EA4"/>
    <w:rsid w:val="10042CED"/>
    <w:rsid w:val="10046849"/>
    <w:rsid w:val="101F18D4"/>
    <w:rsid w:val="112C6522"/>
    <w:rsid w:val="11B83122"/>
    <w:rsid w:val="11E46830"/>
    <w:rsid w:val="1343435B"/>
    <w:rsid w:val="135F3B8C"/>
    <w:rsid w:val="137D703E"/>
    <w:rsid w:val="13D70930"/>
    <w:rsid w:val="13EE4FAF"/>
    <w:rsid w:val="13F034AE"/>
    <w:rsid w:val="14926B19"/>
    <w:rsid w:val="149C7544"/>
    <w:rsid w:val="14FB56DC"/>
    <w:rsid w:val="152C512F"/>
    <w:rsid w:val="1545782E"/>
    <w:rsid w:val="1682220C"/>
    <w:rsid w:val="16D84B75"/>
    <w:rsid w:val="16EA2C3C"/>
    <w:rsid w:val="17226E2D"/>
    <w:rsid w:val="17800EAB"/>
    <w:rsid w:val="17DF21CE"/>
    <w:rsid w:val="17FE1EDE"/>
    <w:rsid w:val="18E35B95"/>
    <w:rsid w:val="18FD8A23"/>
    <w:rsid w:val="1942287E"/>
    <w:rsid w:val="19781CCC"/>
    <w:rsid w:val="1A361D35"/>
    <w:rsid w:val="1B43798F"/>
    <w:rsid w:val="1B50482E"/>
    <w:rsid w:val="1BD77D60"/>
    <w:rsid w:val="1CF57C45"/>
    <w:rsid w:val="1DD59A87"/>
    <w:rsid w:val="1DDE32DE"/>
    <w:rsid w:val="1DE121E6"/>
    <w:rsid w:val="1DFF8310"/>
    <w:rsid w:val="1EBCF568"/>
    <w:rsid w:val="1EEB57A3"/>
    <w:rsid w:val="1F0E1492"/>
    <w:rsid w:val="1F1F369F"/>
    <w:rsid w:val="1F260856"/>
    <w:rsid w:val="1F5C0633"/>
    <w:rsid w:val="1F6368EB"/>
    <w:rsid w:val="1F9217FE"/>
    <w:rsid w:val="1FBF2455"/>
    <w:rsid w:val="1FDFFFF3"/>
    <w:rsid w:val="1FE360F4"/>
    <w:rsid w:val="2040567B"/>
    <w:rsid w:val="20BF3E64"/>
    <w:rsid w:val="211C3B31"/>
    <w:rsid w:val="21336F8E"/>
    <w:rsid w:val="21771570"/>
    <w:rsid w:val="221D7EC9"/>
    <w:rsid w:val="22C94D0D"/>
    <w:rsid w:val="235F29CF"/>
    <w:rsid w:val="243472A5"/>
    <w:rsid w:val="25390075"/>
    <w:rsid w:val="2597179C"/>
    <w:rsid w:val="25FD4251"/>
    <w:rsid w:val="26511AD7"/>
    <w:rsid w:val="265C2AE3"/>
    <w:rsid w:val="26D11145"/>
    <w:rsid w:val="27455C6D"/>
    <w:rsid w:val="27D71F29"/>
    <w:rsid w:val="27F732D5"/>
    <w:rsid w:val="281D62A2"/>
    <w:rsid w:val="28C8445F"/>
    <w:rsid w:val="298C7710"/>
    <w:rsid w:val="2A7F4110"/>
    <w:rsid w:val="2AA61238"/>
    <w:rsid w:val="2AD215C5"/>
    <w:rsid w:val="2ADF4FA0"/>
    <w:rsid w:val="2BBE2F6F"/>
    <w:rsid w:val="2BD7D156"/>
    <w:rsid w:val="2BE07D12"/>
    <w:rsid w:val="2BF74188"/>
    <w:rsid w:val="2CC6515A"/>
    <w:rsid w:val="2CE13D42"/>
    <w:rsid w:val="2CF250E1"/>
    <w:rsid w:val="2D834DF9"/>
    <w:rsid w:val="2DB7A0FA"/>
    <w:rsid w:val="2DBE9216"/>
    <w:rsid w:val="2DF93C31"/>
    <w:rsid w:val="2F076A67"/>
    <w:rsid w:val="2F8BC02E"/>
    <w:rsid w:val="2FA65A4E"/>
    <w:rsid w:val="2FAA1F7E"/>
    <w:rsid w:val="2FB76FDC"/>
    <w:rsid w:val="30002840"/>
    <w:rsid w:val="30EEF887"/>
    <w:rsid w:val="31E7004C"/>
    <w:rsid w:val="321E678F"/>
    <w:rsid w:val="3291620A"/>
    <w:rsid w:val="32A47CEB"/>
    <w:rsid w:val="32DC12ED"/>
    <w:rsid w:val="33550FE6"/>
    <w:rsid w:val="355462D6"/>
    <w:rsid w:val="35650626"/>
    <w:rsid w:val="35F504FD"/>
    <w:rsid w:val="362A0508"/>
    <w:rsid w:val="362B66CF"/>
    <w:rsid w:val="365F65D3"/>
    <w:rsid w:val="36CC15BF"/>
    <w:rsid w:val="36F90D26"/>
    <w:rsid w:val="37282F06"/>
    <w:rsid w:val="373158C6"/>
    <w:rsid w:val="3757883D"/>
    <w:rsid w:val="376782A6"/>
    <w:rsid w:val="377FB668"/>
    <w:rsid w:val="37AF33BA"/>
    <w:rsid w:val="38043F1B"/>
    <w:rsid w:val="38593326"/>
    <w:rsid w:val="38A55FF8"/>
    <w:rsid w:val="393D2C48"/>
    <w:rsid w:val="3A193B4A"/>
    <w:rsid w:val="3A2223F3"/>
    <w:rsid w:val="3A4B5F0C"/>
    <w:rsid w:val="3ABB4946"/>
    <w:rsid w:val="3AEA64B7"/>
    <w:rsid w:val="3B2B7D91"/>
    <w:rsid w:val="3B4953BB"/>
    <w:rsid w:val="3B54248D"/>
    <w:rsid w:val="3B572A86"/>
    <w:rsid w:val="3BBE0670"/>
    <w:rsid w:val="3BBF4B27"/>
    <w:rsid w:val="3BBF7E33"/>
    <w:rsid w:val="3BCC5093"/>
    <w:rsid w:val="3BE54277"/>
    <w:rsid w:val="3BEBD39A"/>
    <w:rsid w:val="3BFF0576"/>
    <w:rsid w:val="3C0435A9"/>
    <w:rsid w:val="3C11319F"/>
    <w:rsid w:val="3C5F0860"/>
    <w:rsid w:val="3D073351"/>
    <w:rsid w:val="3D1E351A"/>
    <w:rsid w:val="3D532D90"/>
    <w:rsid w:val="3D5C6BB7"/>
    <w:rsid w:val="3D70539A"/>
    <w:rsid w:val="3EEEDA16"/>
    <w:rsid w:val="3EFD4A2B"/>
    <w:rsid w:val="3EFF0AF0"/>
    <w:rsid w:val="3F1F3B22"/>
    <w:rsid w:val="3F2D1E3F"/>
    <w:rsid w:val="3F92ED06"/>
    <w:rsid w:val="3FD93D12"/>
    <w:rsid w:val="3FF76E2C"/>
    <w:rsid w:val="40D20119"/>
    <w:rsid w:val="41253F5D"/>
    <w:rsid w:val="41466BF8"/>
    <w:rsid w:val="420460B1"/>
    <w:rsid w:val="420A0825"/>
    <w:rsid w:val="420C1409"/>
    <w:rsid w:val="437E6286"/>
    <w:rsid w:val="43D61CCF"/>
    <w:rsid w:val="43D9356D"/>
    <w:rsid w:val="4441183E"/>
    <w:rsid w:val="44586B88"/>
    <w:rsid w:val="44B946CE"/>
    <w:rsid w:val="44D37FBC"/>
    <w:rsid w:val="45E3DAAF"/>
    <w:rsid w:val="46AB4245"/>
    <w:rsid w:val="46EC3316"/>
    <w:rsid w:val="46FF153C"/>
    <w:rsid w:val="474156B1"/>
    <w:rsid w:val="47CF53B3"/>
    <w:rsid w:val="48494E29"/>
    <w:rsid w:val="48517B76"/>
    <w:rsid w:val="486F26F2"/>
    <w:rsid w:val="48886652"/>
    <w:rsid w:val="48B95124"/>
    <w:rsid w:val="48DA400F"/>
    <w:rsid w:val="48E24BBA"/>
    <w:rsid w:val="48EC61D3"/>
    <w:rsid w:val="48ED127B"/>
    <w:rsid w:val="49287E75"/>
    <w:rsid w:val="493A767E"/>
    <w:rsid w:val="496120EC"/>
    <w:rsid w:val="496A5904"/>
    <w:rsid w:val="49DC7913"/>
    <w:rsid w:val="4A201EF6"/>
    <w:rsid w:val="4BAE1108"/>
    <w:rsid w:val="4CA06BB3"/>
    <w:rsid w:val="4D470A71"/>
    <w:rsid w:val="4D710BC6"/>
    <w:rsid w:val="4DB7491F"/>
    <w:rsid w:val="4DDD3C5A"/>
    <w:rsid w:val="4DDE1331"/>
    <w:rsid w:val="4E157897"/>
    <w:rsid w:val="4E9B418C"/>
    <w:rsid w:val="4EB8094F"/>
    <w:rsid w:val="4EBC4D5B"/>
    <w:rsid w:val="4F4E38B6"/>
    <w:rsid w:val="4FABCC6C"/>
    <w:rsid w:val="4FBE7E66"/>
    <w:rsid w:val="4FDA48F5"/>
    <w:rsid w:val="4FFA361F"/>
    <w:rsid w:val="50507FFF"/>
    <w:rsid w:val="50746AF7"/>
    <w:rsid w:val="50812BDB"/>
    <w:rsid w:val="50884351"/>
    <w:rsid w:val="50D92DFE"/>
    <w:rsid w:val="511B6F73"/>
    <w:rsid w:val="51493AE0"/>
    <w:rsid w:val="520365B2"/>
    <w:rsid w:val="535C77D7"/>
    <w:rsid w:val="536C1D08"/>
    <w:rsid w:val="53B3F211"/>
    <w:rsid w:val="53D44A1B"/>
    <w:rsid w:val="543C0C58"/>
    <w:rsid w:val="54624EB9"/>
    <w:rsid w:val="5476C868"/>
    <w:rsid w:val="54FE1C62"/>
    <w:rsid w:val="55456CB4"/>
    <w:rsid w:val="554F5D9E"/>
    <w:rsid w:val="55705126"/>
    <w:rsid w:val="557627DA"/>
    <w:rsid w:val="55EF2FA9"/>
    <w:rsid w:val="573B690D"/>
    <w:rsid w:val="573CDFE3"/>
    <w:rsid w:val="598E2878"/>
    <w:rsid w:val="5A820063"/>
    <w:rsid w:val="5ABA15AB"/>
    <w:rsid w:val="5B1B5FAE"/>
    <w:rsid w:val="5B4D6434"/>
    <w:rsid w:val="5BED62A9"/>
    <w:rsid w:val="5C413F10"/>
    <w:rsid w:val="5C61311E"/>
    <w:rsid w:val="5C7F0CFE"/>
    <w:rsid w:val="5CC97046"/>
    <w:rsid w:val="5D2F4993"/>
    <w:rsid w:val="5D6F0C9E"/>
    <w:rsid w:val="5DB756C5"/>
    <w:rsid w:val="5DDFF1AB"/>
    <w:rsid w:val="5E327FF5"/>
    <w:rsid w:val="5E7F93FF"/>
    <w:rsid w:val="5F3E9C8C"/>
    <w:rsid w:val="5F7B37FF"/>
    <w:rsid w:val="5FA58ACF"/>
    <w:rsid w:val="5FBD03F3"/>
    <w:rsid w:val="5FCBA643"/>
    <w:rsid w:val="5FE3818C"/>
    <w:rsid w:val="5FEF182D"/>
    <w:rsid w:val="5FFA4D47"/>
    <w:rsid w:val="5FFEEA56"/>
    <w:rsid w:val="603832A2"/>
    <w:rsid w:val="60867BFE"/>
    <w:rsid w:val="609E3187"/>
    <w:rsid w:val="60B6404A"/>
    <w:rsid w:val="60F6595A"/>
    <w:rsid w:val="61113278"/>
    <w:rsid w:val="61585DF6"/>
    <w:rsid w:val="618F63D5"/>
    <w:rsid w:val="61C807BC"/>
    <w:rsid w:val="61D2367E"/>
    <w:rsid w:val="621A6328"/>
    <w:rsid w:val="62620EA5"/>
    <w:rsid w:val="626C66A6"/>
    <w:rsid w:val="62D022B3"/>
    <w:rsid w:val="637644DD"/>
    <w:rsid w:val="63FB15B8"/>
    <w:rsid w:val="63FFF813"/>
    <w:rsid w:val="644675FE"/>
    <w:rsid w:val="651932EC"/>
    <w:rsid w:val="655820EC"/>
    <w:rsid w:val="656211BC"/>
    <w:rsid w:val="6583539F"/>
    <w:rsid w:val="66187ACD"/>
    <w:rsid w:val="662B2F3B"/>
    <w:rsid w:val="665BD454"/>
    <w:rsid w:val="66D439F4"/>
    <w:rsid w:val="67346B89"/>
    <w:rsid w:val="677551D7"/>
    <w:rsid w:val="67C57F21"/>
    <w:rsid w:val="67DBB0F7"/>
    <w:rsid w:val="67FD3AAF"/>
    <w:rsid w:val="689FFB18"/>
    <w:rsid w:val="68BE2865"/>
    <w:rsid w:val="69126A56"/>
    <w:rsid w:val="69CE3994"/>
    <w:rsid w:val="69E564CD"/>
    <w:rsid w:val="6A5B4AFE"/>
    <w:rsid w:val="6AF325B5"/>
    <w:rsid w:val="6AFB053E"/>
    <w:rsid w:val="6B685053"/>
    <w:rsid w:val="6B735479"/>
    <w:rsid w:val="6B9D614F"/>
    <w:rsid w:val="6BBBA999"/>
    <w:rsid w:val="6C50049C"/>
    <w:rsid w:val="6CBF3A75"/>
    <w:rsid w:val="6D10521A"/>
    <w:rsid w:val="6D1C7EA3"/>
    <w:rsid w:val="6D31A917"/>
    <w:rsid w:val="6D703A9E"/>
    <w:rsid w:val="6D774FB8"/>
    <w:rsid w:val="6D943EDD"/>
    <w:rsid w:val="6DD1A0A0"/>
    <w:rsid w:val="6DDBBD24"/>
    <w:rsid w:val="6DFFD92A"/>
    <w:rsid w:val="6DFFE970"/>
    <w:rsid w:val="6EA90247"/>
    <w:rsid w:val="6EDF22D9"/>
    <w:rsid w:val="6EED3261"/>
    <w:rsid w:val="6EEE8A40"/>
    <w:rsid w:val="6EF3A29F"/>
    <w:rsid w:val="6F175B2C"/>
    <w:rsid w:val="6F260085"/>
    <w:rsid w:val="6F3C491F"/>
    <w:rsid w:val="6F541B76"/>
    <w:rsid w:val="6FAFAD8D"/>
    <w:rsid w:val="6FB7DE55"/>
    <w:rsid w:val="6FCB6223"/>
    <w:rsid w:val="6FDE97E4"/>
    <w:rsid w:val="6FDECCB7"/>
    <w:rsid w:val="6FDF7254"/>
    <w:rsid w:val="6FFB97C3"/>
    <w:rsid w:val="6FFD3FBC"/>
    <w:rsid w:val="6FFD5156"/>
    <w:rsid w:val="6FFF8FC4"/>
    <w:rsid w:val="6FFFA228"/>
    <w:rsid w:val="71DE4044"/>
    <w:rsid w:val="723864FB"/>
    <w:rsid w:val="724D0317"/>
    <w:rsid w:val="724F4877"/>
    <w:rsid w:val="727128B9"/>
    <w:rsid w:val="72A11576"/>
    <w:rsid w:val="72D0142B"/>
    <w:rsid w:val="73BC143D"/>
    <w:rsid w:val="73D3FF3F"/>
    <w:rsid w:val="73DE7D66"/>
    <w:rsid w:val="73E060CE"/>
    <w:rsid w:val="73FBB386"/>
    <w:rsid w:val="73FBB6FF"/>
    <w:rsid w:val="7400407A"/>
    <w:rsid w:val="740565DF"/>
    <w:rsid w:val="74FFE71C"/>
    <w:rsid w:val="751A5610"/>
    <w:rsid w:val="759E7FEF"/>
    <w:rsid w:val="75DF74B7"/>
    <w:rsid w:val="75F213CF"/>
    <w:rsid w:val="766C59F7"/>
    <w:rsid w:val="769C5088"/>
    <w:rsid w:val="771F4E41"/>
    <w:rsid w:val="77275EB9"/>
    <w:rsid w:val="777F7BA3"/>
    <w:rsid w:val="77B51869"/>
    <w:rsid w:val="77C333E2"/>
    <w:rsid w:val="77ED2CDA"/>
    <w:rsid w:val="77EF04E9"/>
    <w:rsid w:val="77F7351B"/>
    <w:rsid w:val="77FDEA21"/>
    <w:rsid w:val="782D7408"/>
    <w:rsid w:val="785C7CED"/>
    <w:rsid w:val="786C6FE0"/>
    <w:rsid w:val="78C80EDF"/>
    <w:rsid w:val="78D2231F"/>
    <w:rsid w:val="78FECA90"/>
    <w:rsid w:val="792C3B64"/>
    <w:rsid w:val="797B769E"/>
    <w:rsid w:val="79AB9492"/>
    <w:rsid w:val="79C1605A"/>
    <w:rsid w:val="79FB41D3"/>
    <w:rsid w:val="79FF4FF1"/>
    <w:rsid w:val="7A9419C0"/>
    <w:rsid w:val="7AC64070"/>
    <w:rsid w:val="7AFFCFA2"/>
    <w:rsid w:val="7B6E72E9"/>
    <w:rsid w:val="7B7D68A4"/>
    <w:rsid w:val="7B7DF36F"/>
    <w:rsid w:val="7B875677"/>
    <w:rsid w:val="7BAEB59E"/>
    <w:rsid w:val="7BBC4254"/>
    <w:rsid w:val="7BBF61A3"/>
    <w:rsid w:val="7BCCD993"/>
    <w:rsid w:val="7BCE8069"/>
    <w:rsid w:val="7BDB3FD9"/>
    <w:rsid w:val="7BE76072"/>
    <w:rsid w:val="7BEB4301"/>
    <w:rsid w:val="7BF53F5C"/>
    <w:rsid w:val="7BFB3F65"/>
    <w:rsid w:val="7BFF34CE"/>
    <w:rsid w:val="7BFFB382"/>
    <w:rsid w:val="7C16658C"/>
    <w:rsid w:val="7CBF8909"/>
    <w:rsid w:val="7CC3658D"/>
    <w:rsid w:val="7D2B13BD"/>
    <w:rsid w:val="7D368B19"/>
    <w:rsid w:val="7D39C0B7"/>
    <w:rsid w:val="7D9D45CA"/>
    <w:rsid w:val="7DBF9F67"/>
    <w:rsid w:val="7DEBD509"/>
    <w:rsid w:val="7DFD44B7"/>
    <w:rsid w:val="7DFF719A"/>
    <w:rsid w:val="7EBDDD3C"/>
    <w:rsid w:val="7EC601B8"/>
    <w:rsid w:val="7EDB4524"/>
    <w:rsid w:val="7EDF4846"/>
    <w:rsid w:val="7EF59F89"/>
    <w:rsid w:val="7EFEAD24"/>
    <w:rsid w:val="7F1B920F"/>
    <w:rsid w:val="7F261DDE"/>
    <w:rsid w:val="7F2A46A1"/>
    <w:rsid w:val="7F2FE706"/>
    <w:rsid w:val="7F3BEA42"/>
    <w:rsid w:val="7F3F65DA"/>
    <w:rsid w:val="7F537A23"/>
    <w:rsid w:val="7F551CA7"/>
    <w:rsid w:val="7F6E6CDE"/>
    <w:rsid w:val="7F78F194"/>
    <w:rsid w:val="7F7B42CE"/>
    <w:rsid w:val="7F87108E"/>
    <w:rsid w:val="7F8DBD8D"/>
    <w:rsid w:val="7F98457D"/>
    <w:rsid w:val="7F9DB2A0"/>
    <w:rsid w:val="7FB7D4FB"/>
    <w:rsid w:val="7FBBA37C"/>
    <w:rsid w:val="7FBD3CC4"/>
    <w:rsid w:val="7FD72282"/>
    <w:rsid w:val="7FDF123A"/>
    <w:rsid w:val="7FEE3AF2"/>
    <w:rsid w:val="7FEE95DE"/>
    <w:rsid w:val="7FEF87F2"/>
    <w:rsid w:val="7FF27DF8"/>
    <w:rsid w:val="7FF72AC8"/>
    <w:rsid w:val="7FF76150"/>
    <w:rsid w:val="7FFB603E"/>
    <w:rsid w:val="7FFD09B2"/>
    <w:rsid w:val="7FFF25EB"/>
    <w:rsid w:val="7FFFAD11"/>
    <w:rsid w:val="7FFFFA4B"/>
    <w:rsid w:val="85EBA235"/>
    <w:rsid w:val="8FD73265"/>
    <w:rsid w:val="8FF814FD"/>
    <w:rsid w:val="8FFE3734"/>
    <w:rsid w:val="9B7C81EB"/>
    <w:rsid w:val="9BAF7D9E"/>
    <w:rsid w:val="9D7BC4C4"/>
    <w:rsid w:val="9EF73358"/>
    <w:rsid w:val="9FDF4CF6"/>
    <w:rsid w:val="9FFBD574"/>
    <w:rsid w:val="AA6D2674"/>
    <w:rsid w:val="AD7F9FA1"/>
    <w:rsid w:val="AE9FF938"/>
    <w:rsid w:val="AEB444B3"/>
    <w:rsid w:val="AEEADC3A"/>
    <w:rsid w:val="AF46C5C1"/>
    <w:rsid w:val="AF5D38E6"/>
    <w:rsid w:val="AFA981CA"/>
    <w:rsid w:val="AFFF201B"/>
    <w:rsid w:val="B5E52824"/>
    <w:rsid w:val="B75B47BF"/>
    <w:rsid w:val="B7CEC804"/>
    <w:rsid w:val="B7FF36AD"/>
    <w:rsid w:val="B9A7F47E"/>
    <w:rsid w:val="B9EFF91A"/>
    <w:rsid w:val="BBD3722C"/>
    <w:rsid w:val="BC54B5E4"/>
    <w:rsid w:val="BC7AE1CA"/>
    <w:rsid w:val="BCF15F57"/>
    <w:rsid w:val="BE263285"/>
    <w:rsid w:val="BE7B0A0F"/>
    <w:rsid w:val="BE9B5557"/>
    <w:rsid w:val="BED6EFF7"/>
    <w:rsid w:val="BEDB0D15"/>
    <w:rsid w:val="BEF720F6"/>
    <w:rsid w:val="BF3B0A92"/>
    <w:rsid w:val="BF5B7A86"/>
    <w:rsid w:val="BF6FE2C6"/>
    <w:rsid w:val="BFEDD1CB"/>
    <w:rsid w:val="BFF698F4"/>
    <w:rsid w:val="BFF7566E"/>
    <w:rsid w:val="C7BF26C1"/>
    <w:rsid w:val="C7DFFED0"/>
    <w:rsid w:val="CAAB0721"/>
    <w:rsid w:val="CADD2D8A"/>
    <w:rsid w:val="CBBDA67C"/>
    <w:rsid w:val="CDC73CA4"/>
    <w:rsid w:val="CECF10EB"/>
    <w:rsid w:val="CEF1D92D"/>
    <w:rsid w:val="CEFFC849"/>
    <w:rsid w:val="CF5EB890"/>
    <w:rsid w:val="CFB724A9"/>
    <w:rsid w:val="CFFD4E52"/>
    <w:rsid w:val="D3FF069D"/>
    <w:rsid w:val="D4EF3783"/>
    <w:rsid w:val="D56FD284"/>
    <w:rsid w:val="D63F7F95"/>
    <w:rsid w:val="D773E17D"/>
    <w:rsid w:val="D7762D02"/>
    <w:rsid w:val="D7C72551"/>
    <w:rsid w:val="D7FFBF91"/>
    <w:rsid w:val="D9FED04E"/>
    <w:rsid w:val="DA7FD648"/>
    <w:rsid w:val="DAE7B37C"/>
    <w:rsid w:val="DB5BA0C8"/>
    <w:rsid w:val="DB7FCB4E"/>
    <w:rsid w:val="DC3943C2"/>
    <w:rsid w:val="DCDB3222"/>
    <w:rsid w:val="DD979BFF"/>
    <w:rsid w:val="DDFD6302"/>
    <w:rsid w:val="DECBDF0B"/>
    <w:rsid w:val="DEDACE26"/>
    <w:rsid w:val="DEFFD149"/>
    <w:rsid w:val="DFBE42E8"/>
    <w:rsid w:val="DFEF0D3F"/>
    <w:rsid w:val="DFFB988B"/>
    <w:rsid w:val="E1B7A4A7"/>
    <w:rsid w:val="E3F69279"/>
    <w:rsid w:val="E5F511AC"/>
    <w:rsid w:val="E5FEBCEB"/>
    <w:rsid w:val="E6CAFABD"/>
    <w:rsid w:val="E6EF97EE"/>
    <w:rsid w:val="E7BFF73A"/>
    <w:rsid w:val="E7CCE9ED"/>
    <w:rsid w:val="E7DB35E5"/>
    <w:rsid w:val="E7FF8564"/>
    <w:rsid w:val="EABBF57C"/>
    <w:rsid w:val="EAE7D325"/>
    <w:rsid w:val="EB7B475D"/>
    <w:rsid w:val="EBDBF717"/>
    <w:rsid w:val="EBFFB141"/>
    <w:rsid w:val="EDFDEBE9"/>
    <w:rsid w:val="EDFFE8D2"/>
    <w:rsid w:val="EE634ED9"/>
    <w:rsid w:val="EE6FEBF1"/>
    <w:rsid w:val="EF6D8B2F"/>
    <w:rsid w:val="EF7A2ECE"/>
    <w:rsid w:val="EF9E28D6"/>
    <w:rsid w:val="EFED5E2F"/>
    <w:rsid w:val="EFEFEA0E"/>
    <w:rsid w:val="EFFB3931"/>
    <w:rsid w:val="EFFD6268"/>
    <w:rsid w:val="EFFD9253"/>
    <w:rsid w:val="EFFE41A7"/>
    <w:rsid w:val="EFFF59BF"/>
    <w:rsid w:val="F35885EE"/>
    <w:rsid w:val="F376F2F9"/>
    <w:rsid w:val="F382BAA3"/>
    <w:rsid w:val="F3A65F26"/>
    <w:rsid w:val="F3B5007D"/>
    <w:rsid w:val="F3DF550E"/>
    <w:rsid w:val="F3FF1844"/>
    <w:rsid w:val="F5BEC9FF"/>
    <w:rsid w:val="F5DFCBED"/>
    <w:rsid w:val="F5EBC3F8"/>
    <w:rsid w:val="F733969B"/>
    <w:rsid w:val="F75FE128"/>
    <w:rsid w:val="F7778C2B"/>
    <w:rsid w:val="F7CF981F"/>
    <w:rsid w:val="F7EF5A01"/>
    <w:rsid w:val="F7EF6637"/>
    <w:rsid w:val="F7FDA0B7"/>
    <w:rsid w:val="F7FFE533"/>
    <w:rsid w:val="F8FDCC7F"/>
    <w:rsid w:val="F96FF749"/>
    <w:rsid w:val="FA6D524C"/>
    <w:rsid w:val="FAFB6997"/>
    <w:rsid w:val="FAFE9E36"/>
    <w:rsid w:val="FB6B4FC7"/>
    <w:rsid w:val="FB6F667C"/>
    <w:rsid w:val="FB79574A"/>
    <w:rsid w:val="FB7FFD4A"/>
    <w:rsid w:val="FB8EC337"/>
    <w:rsid w:val="FB9D7BE3"/>
    <w:rsid w:val="FBBFB0AA"/>
    <w:rsid w:val="FBDF0FA8"/>
    <w:rsid w:val="FBDF41DA"/>
    <w:rsid w:val="FBEF7C66"/>
    <w:rsid w:val="FBFEFBCB"/>
    <w:rsid w:val="FBFF632E"/>
    <w:rsid w:val="FC7602FD"/>
    <w:rsid w:val="FC7E1B29"/>
    <w:rsid w:val="FCDF3CE7"/>
    <w:rsid w:val="FD179C71"/>
    <w:rsid w:val="FD9B94F6"/>
    <w:rsid w:val="FDC998F2"/>
    <w:rsid w:val="FDDB6E8C"/>
    <w:rsid w:val="FDDFE653"/>
    <w:rsid w:val="FDF51177"/>
    <w:rsid w:val="FE30C46C"/>
    <w:rsid w:val="FE752A66"/>
    <w:rsid w:val="FE7B2B82"/>
    <w:rsid w:val="FE7F8447"/>
    <w:rsid w:val="FEBD9B89"/>
    <w:rsid w:val="FEE73605"/>
    <w:rsid w:val="FEFE44AB"/>
    <w:rsid w:val="FEFE4630"/>
    <w:rsid w:val="FEFFDF82"/>
    <w:rsid w:val="FF3F55DE"/>
    <w:rsid w:val="FF6F4CEC"/>
    <w:rsid w:val="FF77643D"/>
    <w:rsid w:val="FF8B8174"/>
    <w:rsid w:val="FFAE6BF4"/>
    <w:rsid w:val="FFB93D68"/>
    <w:rsid w:val="FFBF8381"/>
    <w:rsid w:val="FFDA69F7"/>
    <w:rsid w:val="FFDC929F"/>
    <w:rsid w:val="FFDE553E"/>
    <w:rsid w:val="FFEE3BEE"/>
    <w:rsid w:val="FFEF565B"/>
    <w:rsid w:val="FFEFFA66"/>
    <w:rsid w:val="FFF30B9C"/>
    <w:rsid w:val="FFF71E19"/>
    <w:rsid w:val="FFFB0B4D"/>
    <w:rsid w:val="FFFD5368"/>
    <w:rsid w:val="FFFF014D"/>
    <w:rsid w:val="FFFF5FD2"/>
    <w:rsid w:val="FFFFA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zh-CN" w:bidi="ar-SA"/>
    </w:rPr>
  </w:style>
  <w:style w:type="paragraph" w:styleId="4">
    <w:name w:val="heading 1"/>
    <w:basedOn w:val="5"/>
    <w:next w:val="1"/>
    <w:link w:val="28"/>
    <w:qFormat/>
    <w:uiPriority w:val="0"/>
    <w:pPr>
      <w:spacing w:before="340" w:after="330" w:line="360" w:lineRule="auto"/>
      <w:jc w:val="center"/>
      <w:outlineLvl w:val="0"/>
    </w:pPr>
    <w:rPr>
      <w:rFonts w:eastAsia="黑体"/>
      <w:kern w:val="44"/>
      <w:szCs w:val="44"/>
    </w:rPr>
  </w:style>
  <w:style w:type="paragraph" w:styleId="2">
    <w:name w:val="heading 2"/>
    <w:basedOn w:val="1"/>
    <w:next w:val="3"/>
    <w:link w:val="29"/>
    <w:qFormat/>
    <w:uiPriority w:val="0"/>
    <w:pPr>
      <w:adjustRightInd w:val="0"/>
      <w:jc w:val="center"/>
      <w:textAlignment w:val="baseline"/>
      <w:outlineLvl w:val="1"/>
    </w:pPr>
    <w:rPr>
      <w:sz w:val="24"/>
      <w:szCs w:val="20"/>
    </w:rPr>
  </w:style>
  <w:style w:type="paragraph" w:styleId="5">
    <w:name w:val="heading 3"/>
    <w:basedOn w:val="3"/>
    <w:next w:val="1"/>
    <w:link w:val="27"/>
    <w:qFormat/>
    <w:uiPriority w:val="9"/>
    <w:pPr>
      <w:spacing w:before="260" w:after="260" w:line="240" w:lineRule="auto"/>
      <w:outlineLvl w:val="2"/>
    </w:pPr>
    <w:rPr>
      <w:rFonts w:ascii="宋体" w:hAnsi="宋体" w:eastAsia="宋体"/>
      <w:szCs w:val="32"/>
    </w:rPr>
  </w:style>
  <w:style w:type="paragraph" w:styleId="3">
    <w:name w:val="heading 4"/>
    <w:basedOn w:val="1"/>
    <w:next w:val="1"/>
    <w:link w:val="26"/>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5"/>
    <w:qFormat/>
    <w:uiPriority w:val="0"/>
    <w:pPr>
      <w:ind w:firstLine="420"/>
    </w:pPr>
    <w:rPr>
      <w:szCs w:val="20"/>
    </w:rPr>
  </w:style>
  <w:style w:type="paragraph" w:styleId="7">
    <w:name w:val="annotation text"/>
    <w:basedOn w:val="1"/>
    <w:link w:val="30"/>
    <w:unhideWhenUsed/>
    <w:qFormat/>
    <w:uiPriority w:val="0"/>
  </w:style>
  <w:style w:type="paragraph" w:styleId="8">
    <w:name w:val="Body Text"/>
    <w:basedOn w:val="1"/>
    <w:next w:val="9"/>
    <w:link w:val="31"/>
    <w:qFormat/>
    <w:uiPriority w:val="0"/>
    <w:pPr>
      <w:spacing w:line="360" w:lineRule="auto"/>
    </w:pPr>
    <w:rPr>
      <w:b/>
      <w:bCs/>
    </w:rPr>
  </w:style>
  <w:style w:type="paragraph" w:styleId="9">
    <w:name w:val="Body Text 2"/>
    <w:basedOn w:val="1"/>
    <w:qFormat/>
    <w:uiPriority w:val="0"/>
    <w:pPr>
      <w:spacing w:line="360" w:lineRule="auto"/>
    </w:pPr>
  </w:style>
  <w:style w:type="paragraph" w:styleId="10">
    <w:name w:val="Body Text Indent"/>
    <w:basedOn w:val="1"/>
    <w:qFormat/>
    <w:uiPriority w:val="99"/>
    <w:pPr>
      <w:spacing w:after="120"/>
      <w:ind w:left="420" w:leftChars="200"/>
    </w:pPr>
    <w:rPr>
      <w:rFonts w:eastAsia="宋体"/>
      <w:sz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link w:val="23"/>
    <w:qFormat/>
    <w:uiPriority w:val="99"/>
  </w:style>
  <w:style w:type="paragraph" w:styleId="15">
    <w:name w:val="Body Text First Indent 2"/>
    <w:basedOn w:val="10"/>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普通(网站) Char"/>
    <w:link w:val="14"/>
    <w:qFormat/>
    <w:uiPriority w:val="0"/>
    <w:rPr>
      <w:kern w:val="2"/>
      <w:sz w:val="24"/>
      <w:szCs w:val="24"/>
    </w:rPr>
  </w:style>
  <w:style w:type="paragraph" w:customStyle="1" w:styleId="24">
    <w:name w:val="Table Paragraph"/>
    <w:basedOn w:val="1"/>
    <w:qFormat/>
    <w:uiPriority w:val="1"/>
    <w:rPr>
      <w:rFonts w:ascii="宋体" w:hAnsi="宋体" w:cs="宋体"/>
      <w:lang w:val="zh-CN" w:bidi="zh-CN"/>
    </w:rPr>
  </w:style>
  <w:style w:type="character" w:customStyle="1" w:styleId="25">
    <w:name w:val="正文缩进 Char"/>
    <w:link w:val="6"/>
    <w:qFormat/>
    <w:uiPriority w:val="0"/>
    <w:rPr>
      <w:rFonts w:eastAsia="宋体"/>
      <w:kern w:val="2"/>
      <w:sz w:val="21"/>
      <w:lang w:val="en-US" w:eastAsia="zh-CN" w:bidi="ar-SA"/>
    </w:rPr>
  </w:style>
  <w:style w:type="character" w:customStyle="1" w:styleId="26">
    <w:name w:val="标题 4 Char"/>
    <w:link w:val="3"/>
    <w:qFormat/>
    <w:uiPriority w:val="9"/>
    <w:rPr>
      <w:rFonts w:ascii="Arial" w:hAnsi="Arial" w:eastAsia="黑体"/>
      <w:b/>
      <w:bCs/>
      <w:kern w:val="2"/>
      <w:sz w:val="28"/>
      <w:szCs w:val="28"/>
      <w:lang w:val="en-US" w:eastAsia="zh-CN" w:bidi="ar-SA"/>
    </w:rPr>
  </w:style>
  <w:style w:type="character" w:customStyle="1" w:styleId="27">
    <w:name w:val="标题 3 Char1"/>
    <w:link w:val="5"/>
    <w:qFormat/>
    <w:uiPriority w:val="9"/>
    <w:rPr>
      <w:rFonts w:ascii="宋体" w:hAnsi="宋体" w:eastAsia="宋体"/>
      <w:b/>
      <w:bCs/>
      <w:kern w:val="2"/>
      <w:sz w:val="28"/>
      <w:szCs w:val="32"/>
      <w:lang w:val="en-US" w:eastAsia="zh-CN" w:bidi="ar-SA"/>
    </w:rPr>
  </w:style>
  <w:style w:type="character" w:customStyle="1" w:styleId="28">
    <w:name w:val="标题 1 Char"/>
    <w:link w:val="4"/>
    <w:qFormat/>
    <w:uiPriority w:val="0"/>
    <w:rPr>
      <w:rFonts w:ascii="宋体" w:hAnsi="宋体" w:eastAsia="黑体"/>
      <w:b/>
      <w:bCs/>
      <w:kern w:val="44"/>
      <w:sz w:val="28"/>
      <w:szCs w:val="44"/>
      <w:lang w:val="en-US" w:eastAsia="zh-CN" w:bidi="ar-SA"/>
    </w:rPr>
  </w:style>
  <w:style w:type="character" w:customStyle="1" w:styleId="29">
    <w:name w:val="标题 2 Char"/>
    <w:link w:val="2"/>
    <w:qFormat/>
    <w:uiPriority w:val="0"/>
    <w:rPr>
      <w:rFonts w:ascii="宋体" w:hAnsi="宋体" w:eastAsia="宋体"/>
      <w:b/>
      <w:bCs/>
      <w:sz w:val="24"/>
      <w:lang w:val="en-US" w:eastAsia="zh-CN" w:bidi="ar-SA"/>
    </w:rPr>
  </w:style>
  <w:style w:type="character" w:customStyle="1" w:styleId="30">
    <w:name w:val="批注文字 Char"/>
    <w:basedOn w:val="18"/>
    <w:link w:val="7"/>
    <w:qFormat/>
    <w:uiPriority w:val="0"/>
    <w:rPr>
      <w:sz w:val="24"/>
      <w:szCs w:val="24"/>
    </w:rPr>
  </w:style>
  <w:style w:type="character" w:customStyle="1" w:styleId="31">
    <w:name w:val="正文文本 Char"/>
    <w:link w:val="8"/>
    <w:qFormat/>
    <w:uiPriority w:val="0"/>
    <w:rPr>
      <w:rFonts w:eastAsia="宋体"/>
      <w:b/>
      <w:bCs/>
      <w:kern w:val="2"/>
      <w:sz w:val="24"/>
      <w:szCs w:val="24"/>
      <w:lang w:val="en-US" w:eastAsia="zh-CN" w:bidi="ar-SA"/>
    </w:rPr>
  </w:style>
  <w:style w:type="character" w:customStyle="1" w:styleId="32">
    <w:name w:val="标题 3 Char"/>
    <w:qFormat/>
    <w:uiPriority w:val="0"/>
    <w:rPr>
      <w:rFonts w:ascii="黑体" w:eastAsia="黑体"/>
      <w:bCs/>
      <w:sz w:val="30"/>
    </w:rPr>
  </w:style>
  <w:style w:type="paragraph" w:customStyle="1" w:styleId="33">
    <w:name w:val="正文1"/>
    <w:basedOn w:val="1"/>
    <w:qFormat/>
    <w:uiPriority w:val="0"/>
    <w:pPr>
      <w:tabs>
        <w:tab w:val="left" w:pos="4"/>
      </w:tabs>
    </w:pPr>
    <w:rPr>
      <w:rFonts w:ascii="宋体" w:hAnsi="宋体"/>
      <w:sz w:val="18"/>
    </w:rPr>
  </w:style>
  <w:style w:type="paragraph" w:customStyle="1" w:styleId="34">
    <w:name w:val="彩色列表 - 强调文字颜色 111"/>
    <w:basedOn w:val="1"/>
    <w:qFormat/>
    <w:uiPriority w:val="0"/>
    <w:pPr>
      <w:ind w:firstLine="420" w:firstLineChars="200"/>
    </w:pPr>
  </w:style>
  <w:style w:type="paragraph" w:customStyle="1" w:styleId="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table" w:customStyle="1" w:styleId="36">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142</Pages>
  <Words>8096</Words>
  <Characters>8575</Characters>
  <Lines>349</Lines>
  <Paragraphs>98</Paragraphs>
  <TotalTime>53</TotalTime>
  <ScaleCrop>false</ScaleCrop>
  <LinksUpToDate>false</LinksUpToDate>
  <CharactersWithSpaces>8598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2022-05-22T00:55:00Z</dcterms:created>
  <dc:creator>lenovo01</dc:creator>
  <cp:lastModifiedBy>秦佳涛</cp:lastModifiedBy>
  <dcterms:modified xsi:type="dcterms:W3CDTF">2025-12-05T19:55:31Z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7D34427D1498442AB2A267E8E30E04A9_13</vt:lpwstr>
  </property>
  <property fmtid="{D5CDD505-2E9C-101B-9397-08002B2CF9AE}" pid="4" name="KSOTemplateDocerSaveRecord">
    <vt:lpwstr>eyJoZGlkIjoiYmQ2OGYzMGFlMjY3OWE3MzBiMzg5N2Q2MThlYzk4MWMiLCJ1c2VySWQiOiI5ODg2MDAyMjEifQ==</vt:lpwstr>
  </property>
</Properties>
</file>