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3"/>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ascii="方正小标宋简体" w:hAnsi="方正小标宋简体" w:eastAsia="方正小标宋简体" w:cs="方正小标宋简体"/>
          <w:spacing w:val="0"/>
          <w:sz w:val="44"/>
          <w:szCs w:val="44"/>
          <w:lang w:val="en-US" w:eastAsia="zh-CN"/>
        </w:rPr>
        <w:t>本地化</w:t>
      </w:r>
      <w:r>
        <w:rPr>
          <w:rFonts w:hint="eastAsia" w:ascii="方正小标宋简体" w:hAnsi="方正小标宋简体" w:eastAsia="方正小标宋简体" w:cs="方正小标宋简体"/>
          <w:sz w:val="44"/>
          <w:szCs w:val="44"/>
          <w:lang w:val="en-US" w:eastAsia="zh-CN"/>
        </w:rPr>
        <w:t>DeepSeek</w:t>
      </w:r>
      <w:r>
        <w:rPr>
          <w:rFonts w:hint="eastAsia" w:ascii="方正小标宋简体" w:hAnsi="方正小标宋简体" w:eastAsia="方正小标宋简体" w:cs="方正小标宋简体"/>
          <w:spacing w:val="0"/>
          <w:sz w:val="44"/>
          <w:szCs w:val="44"/>
          <w:lang w:val="en-US" w:eastAsia="zh-CN"/>
        </w:rPr>
        <w:t>大模型建设</w:t>
      </w:r>
      <w:r>
        <w:rPr>
          <w:rFonts w:hint="eastAsia"/>
          <w:lang w:val="en-US" w:eastAsia="zh-CN"/>
        </w:rPr>
        <w:t>项目</w:t>
      </w:r>
      <w:r>
        <w:rPr>
          <w:rFonts w:hint="eastAsia"/>
          <w:lang w:val="en-US" w:eastAsia="zh-CN"/>
        </w:rPr>
        <w:br w:type="textWrapping"/>
      </w:r>
      <w:r>
        <w:rPr>
          <w:rFonts w:hint="eastAsia"/>
          <w:lang w:val="en-US" w:eastAsia="zh-CN"/>
        </w:rPr>
        <w:t>采购预询价公告</w:t>
      </w:r>
    </w:p>
    <w:p w14:paraId="20D5C79C">
      <w:pPr>
        <w:bidi w:val="0"/>
      </w:pPr>
      <w:bookmarkStart w:id="3" w:name="_GoBack"/>
      <w:r>
        <w:rPr>
          <w:rFonts w:hint="eastAsia"/>
        </w:rPr>
        <w:t>深圳市深水生态环境技术有限公司</w:t>
      </w:r>
      <w:bookmarkEnd w:id="0"/>
      <w:r>
        <w:rPr>
          <w:rFonts w:hint="eastAsia"/>
        </w:rPr>
        <w:t>就</w:t>
      </w:r>
      <w:r>
        <w:rPr>
          <w:rFonts w:hint="eastAsia"/>
          <w:u w:val="single"/>
          <w:lang w:eastAsia="zh-CN"/>
        </w:rPr>
        <w:t>本地化DeepSeek大模型建设</w:t>
      </w:r>
      <w:r>
        <w:rPr>
          <w:rFonts w:hint="eastAsia"/>
          <w:u w:val="single"/>
        </w:rPr>
        <w:t>项目</w:t>
      </w:r>
      <w:r>
        <w:rPr>
          <w:rFonts w:hint="eastAsia"/>
          <w:lang w:val="en-US" w:eastAsia="zh-CN"/>
        </w:rPr>
        <w:t>采购</w:t>
      </w:r>
      <w:r>
        <w:rPr>
          <w:rFonts w:hint="eastAsia"/>
        </w:rPr>
        <w:t>进行预询价，欢迎有意向的供应商提交预询价报价，有关事项如下：</w:t>
      </w:r>
    </w:p>
    <w:p w14:paraId="56418C04">
      <w:pPr>
        <w:pStyle w:val="3"/>
        <w:bidi w:val="0"/>
      </w:pPr>
      <w:r>
        <w:rPr>
          <w:rFonts w:hint="eastAsia"/>
        </w:rPr>
        <w:t>预询价方</w:t>
      </w:r>
      <w:bookmarkStart w:id="1" w:name="_Hlk45207260"/>
      <w:r>
        <w:rPr>
          <w:rFonts w:hint="eastAsia"/>
        </w:rPr>
        <w:t>：深圳市深水生态环境技术有限公司</w:t>
      </w:r>
      <w:bookmarkEnd w:id="1"/>
    </w:p>
    <w:p w14:paraId="2ED9ECBD">
      <w:pPr>
        <w:pStyle w:val="3"/>
        <w:bidi w:val="0"/>
      </w:pPr>
      <w:r>
        <w:rPr>
          <w:rFonts w:hint="eastAsia"/>
        </w:rPr>
        <w:t>项目名称：</w:t>
      </w:r>
      <w:r>
        <w:rPr>
          <w:rFonts w:hint="eastAsia"/>
          <w:lang w:eastAsia="zh-CN"/>
        </w:rPr>
        <w:t>本地化DeepSeek大模型建设</w:t>
      </w:r>
      <w:r>
        <w:rPr>
          <w:rFonts w:hint="eastAsia"/>
          <w:b w:val="0"/>
          <w:bCs w:val="0"/>
          <w:lang w:val="en-US" w:eastAsia="zh-CN"/>
        </w:rPr>
        <w:t>项目</w:t>
      </w:r>
    </w:p>
    <w:p w14:paraId="5C93FACE">
      <w:pPr>
        <w:pStyle w:val="3"/>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3"/>
        <w:bidi w:val="0"/>
      </w:pPr>
      <w:r>
        <w:rPr>
          <w:rFonts w:hint="eastAsia"/>
        </w:rPr>
        <w:t>采购需求</w:t>
      </w:r>
    </w:p>
    <w:p w14:paraId="7F09F30D">
      <w:pPr>
        <w:rPr>
          <w:rFonts w:hint="eastAsia"/>
          <w:lang w:val="en-US" w:eastAsia="zh-CN"/>
        </w:rPr>
      </w:pPr>
      <w:r>
        <w:rPr>
          <w:rFonts w:hint="eastAsia"/>
          <w:lang w:val="en-US" w:eastAsia="zh-CN"/>
        </w:rPr>
        <w:t>根据项目需求，本次采购内容包括：</w:t>
      </w:r>
    </w:p>
    <w:p w14:paraId="0BE24B8D">
      <w:pPr>
        <w:numPr>
          <w:ilvl w:val="0"/>
          <w:numId w:val="3"/>
        </w:numPr>
        <w:rPr>
          <w:rFonts w:hint="default"/>
          <w:lang w:val="en-US" w:eastAsia="zh-CN"/>
        </w:rPr>
      </w:pPr>
      <w:r>
        <w:rPr>
          <w:rFonts w:hint="default"/>
          <w:lang w:val="en-US" w:eastAsia="zh-CN"/>
        </w:rPr>
        <w:t>采购本地化部署deepseek大模型的硬件。并对本地化部署的大模型进行性能调优。</w:t>
      </w:r>
    </w:p>
    <w:p w14:paraId="0C05812E">
      <w:pPr>
        <w:numPr>
          <w:ilvl w:val="0"/>
          <w:numId w:val="3"/>
        </w:numPr>
        <w:rPr>
          <w:rFonts w:hint="default"/>
          <w:lang w:val="en-US" w:eastAsia="zh-CN"/>
        </w:rPr>
      </w:pPr>
      <w:r>
        <w:rPr>
          <w:rFonts w:hint="default"/>
          <w:lang w:val="en-US" w:eastAsia="zh-CN"/>
        </w:rPr>
        <w:t>完成32B模型部署，验证核心功能（60天）。</w:t>
      </w:r>
    </w:p>
    <w:p w14:paraId="125CF1DF">
      <w:pPr>
        <w:pStyle w:val="3"/>
        <w:bidi w:val="0"/>
      </w:pPr>
      <w:r>
        <w:rPr>
          <w:rFonts w:hint="eastAsia"/>
          <w:lang w:val="en-US" w:eastAsia="zh-CN"/>
        </w:rPr>
        <w:t>采购清单</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427"/>
        <w:gridCol w:w="4609"/>
        <w:gridCol w:w="545"/>
        <w:gridCol w:w="545"/>
        <w:gridCol w:w="851"/>
      </w:tblGrid>
      <w:tr w14:paraId="73DE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4A6">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val="0"/>
                <w:bCs/>
                <w:color w:val="auto"/>
                <w:spacing w:val="0"/>
                <w:kern w:val="2"/>
                <w:sz w:val="24"/>
                <w:szCs w:val="24"/>
                <w:u w:val="none"/>
                <w:lang w:val="en-US" w:eastAsia="zh-CN" w:bidi="ar-SA"/>
              </w:rPr>
              <w:t>本地化</w:t>
            </w:r>
            <w:r>
              <w:rPr>
                <w:rFonts w:hint="eastAsia" w:ascii="仿宋_GB2312" w:hAnsi="仿宋_GB2312" w:eastAsia="仿宋_GB2312" w:cs="仿宋_GB2312"/>
                <w:b w:val="0"/>
                <w:bCs/>
                <w:color w:val="auto"/>
                <w:kern w:val="2"/>
                <w:sz w:val="24"/>
                <w:szCs w:val="24"/>
                <w:u w:val="none"/>
                <w:lang w:val="en-US" w:eastAsia="zh-CN" w:bidi="ar-SA"/>
              </w:rPr>
              <w:t>DeepSeek</w:t>
            </w:r>
            <w:r>
              <w:rPr>
                <w:rFonts w:hint="eastAsia" w:ascii="仿宋_GB2312" w:hAnsi="仿宋_GB2312" w:eastAsia="仿宋_GB2312" w:cs="仿宋_GB2312"/>
                <w:b w:val="0"/>
                <w:bCs/>
                <w:color w:val="auto"/>
                <w:spacing w:val="0"/>
                <w:kern w:val="2"/>
                <w:sz w:val="24"/>
                <w:szCs w:val="24"/>
                <w:u w:val="none"/>
                <w:lang w:val="en-US" w:eastAsia="zh-CN" w:bidi="ar-SA"/>
              </w:rPr>
              <w:t>大模型建设</w:t>
            </w:r>
            <w:r>
              <w:rPr>
                <w:rFonts w:hint="eastAsia" w:ascii="仿宋_GB2312" w:hAnsi="仿宋_GB2312" w:eastAsia="仿宋_GB2312" w:cs="仿宋_GB2312"/>
                <w:b w:val="0"/>
                <w:bCs/>
                <w:color w:val="auto"/>
                <w:kern w:val="2"/>
                <w:sz w:val="24"/>
                <w:szCs w:val="24"/>
                <w:u w:val="none"/>
                <w:lang w:bidi="ar-SA"/>
              </w:rPr>
              <w:t>项目</w:t>
            </w:r>
            <w:r>
              <w:rPr>
                <w:rFonts w:hint="eastAsia" w:ascii="仿宋_GB2312" w:hAnsi="仿宋_GB2312" w:eastAsia="仿宋_GB2312" w:cs="仿宋_GB2312"/>
                <w:b w:val="0"/>
                <w:bCs/>
                <w:i w:val="0"/>
                <w:iCs w:val="0"/>
                <w:color w:val="auto"/>
                <w:kern w:val="2"/>
                <w:sz w:val="24"/>
                <w:szCs w:val="24"/>
                <w:u w:val="none"/>
                <w:lang w:val="en-US" w:eastAsia="zh-CN" w:bidi="ar-SA"/>
              </w:rPr>
              <w:t>设备清单</w:t>
            </w:r>
          </w:p>
        </w:tc>
      </w:tr>
      <w:tr w14:paraId="229B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320" w:type="pct"/>
            <w:tcBorders>
              <w:top w:val="single" w:color="000000" w:sz="4" w:space="0"/>
              <w:left w:val="single" w:color="000000" w:sz="4" w:space="0"/>
              <w:bottom w:val="single" w:color="auto" w:sz="4" w:space="0"/>
              <w:right w:val="single" w:color="000000" w:sz="4" w:space="0"/>
            </w:tcBorders>
            <w:shd w:val="clear" w:color="auto" w:fill="auto"/>
            <w:vAlign w:val="center"/>
          </w:tcPr>
          <w:p w14:paraId="632BF960">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lang w:val="en-US" w:eastAsia="zh-CN"/>
              </w:rPr>
            </w:pPr>
            <w:r>
              <w:rPr>
                <w:rFonts w:hint="eastAsia" w:ascii="仿宋_GB2312" w:hAnsi="仿宋_GB2312" w:eastAsia="仿宋_GB2312" w:cs="仿宋_GB2312"/>
                <w:b w:val="0"/>
                <w:bCs/>
                <w:i w:val="0"/>
                <w:iCs w:val="0"/>
                <w:color w:val="auto"/>
                <w:sz w:val="24"/>
                <w:szCs w:val="24"/>
                <w:u w:val="none"/>
                <w:lang w:val="en-US" w:eastAsia="zh-CN"/>
              </w:rPr>
              <w:t>序号</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6E58">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rPr>
            </w:pPr>
            <w:r>
              <w:rPr>
                <w:rFonts w:hint="eastAsia" w:ascii="仿宋_GB2312" w:hAnsi="仿宋_GB2312" w:eastAsia="仿宋_GB2312" w:cs="仿宋_GB2312"/>
                <w:b w:val="0"/>
                <w:bCs/>
                <w:i w:val="0"/>
                <w:iCs w:val="0"/>
                <w:color w:val="auto"/>
                <w:kern w:val="2"/>
                <w:sz w:val="24"/>
                <w:szCs w:val="24"/>
                <w:u w:val="none"/>
                <w:lang w:val="en-US" w:eastAsia="zh-CN" w:bidi="ar-SA"/>
              </w:rPr>
              <w:t>名称</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DE73">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rPr>
            </w:pPr>
            <w:r>
              <w:rPr>
                <w:rFonts w:hint="eastAsia" w:ascii="仿宋_GB2312" w:hAnsi="仿宋_GB2312" w:eastAsia="仿宋_GB2312" w:cs="仿宋_GB2312"/>
                <w:b w:val="0"/>
                <w:bCs/>
                <w:i w:val="0"/>
                <w:iCs w:val="0"/>
                <w:color w:val="auto"/>
                <w:kern w:val="2"/>
                <w:sz w:val="24"/>
                <w:szCs w:val="24"/>
                <w:u w:val="none"/>
                <w:lang w:val="en-US" w:eastAsia="zh-CN" w:bidi="ar-SA"/>
              </w:rPr>
              <w:t>规格性能</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F382">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rPr>
            </w:pPr>
            <w:r>
              <w:rPr>
                <w:rFonts w:hint="eastAsia" w:ascii="仿宋_GB2312" w:hAnsi="仿宋_GB2312" w:eastAsia="仿宋_GB2312" w:cs="仿宋_GB2312"/>
                <w:b w:val="0"/>
                <w:bCs/>
                <w:i w:val="0"/>
                <w:iCs w:val="0"/>
                <w:color w:val="auto"/>
                <w:kern w:val="2"/>
                <w:sz w:val="24"/>
                <w:szCs w:val="24"/>
                <w:u w:val="none"/>
                <w:lang w:val="en-US" w:eastAsia="zh-CN" w:bidi="ar-SA"/>
              </w:rPr>
              <w:t>单位</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EB3A">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rPr>
            </w:pPr>
            <w:r>
              <w:rPr>
                <w:rFonts w:hint="eastAsia" w:ascii="仿宋_GB2312" w:hAnsi="仿宋_GB2312" w:eastAsia="仿宋_GB2312" w:cs="仿宋_GB2312"/>
                <w:b w:val="0"/>
                <w:bCs/>
                <w:i w:val="0"/>
                <w:iCs w:val="0"/>
                <w:color w:val="auto"/>
                <w:kern w:val="2"/>
                <w:sz w:val="24"/>
                <w:szCs w:val="24"/>
                <w:u w:val="none"/>
                <w:lang w:val="en-US" w:eastAsia="zh-CN" w:bidi="ar-SA"/>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F7F7">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 w:val="0"/>
                <w:bCs/>
                <w:i w:val="0"/>
                <w:iCs w:val="0"/>
                <w:color w:val="auto"/>
                <w:sz w:val="24"/>
                <w:szCs w:val="24"/>
                <w:u w:val="none"/>
              </w:rPr>
            </w:pPr>
            <w:r>
              <w:rPr>
                <w:rFonts w:hint="eastAsia" w:ascii="仿宋_GB2312" w:hAnsi="仿宋_GB2312" w:eastAsia="仿宋_GB2312" w:cs="仿宋_GB2312"/>
                <w:b w:val="0"/>
                <w:bCs/>
                <w:i w:val="0"/>
                <w:iCs w:val="0"/>
                <w:color w:val="auto"/>
                <w:kern w:val="2"/>
                <w:sz w:val="24"/>
                <w:szCs w:val="24"/>
                <w:u w:val="none"/>
                <w:lang w:val="en-US" w:eastAsia="zh-CN" w:bidi="ar-SA"/>
              </w:rPr>
              <w:t>品牌</w:t>
            </w:r>
          </w:p>
        </w:tc>
      </w:tr>
      <w:tr w14:paraId="13AC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C2B773">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lang w:val="en-US" w:eastAsia="zh-CN"/>
              </w:rPr>
            </w:pPr>
            <w:r>
              <w:rPr>
                <w:rFonts w:hint="eastAsia" w:ascii="仿宋_GB2312" w:hAnsi="仿宋_GB2312" w:eastAsia="仿宋_GB2312" w:cs="仿宋_GB2312"/>
                <w:bCs/>
                <w:i w:val="0"/>
                <w:iCs w:val="0"/>
                <w:color w:val="auto"/>
                <w:sz w:val="24"/>
                <w:szCs w:val="24"/>
                <w:u w:val="none"/>
                <w:lang w:val="en-US" w:eastAsia="zh-CN"/>
              </w:rPr>
              <w:t>1</w:t>
            </w:r>
          </w:p>
        </w:tc>
        <w:tc>
          <w:tcPr>
            <w:tcW w:w="837" w:type="pct"/>
            <w:tcBorders>
              <w:top w:val="single" w:color="000000" w:sz="4" w:space="0"/>
              <w:left w:val="single" w:color="000000" w:sz="4" w:space="0"/>
              <w:bottom w:val="single" w:color="auto" w:sz="4" w:space="0"/>
              <w:right w:val="single" w:color="000000" w:sz="4" w:space="0"/>
            </w:tcBorders>
            <w:shd w:val="clear" w:color="auto" w:fill="auto"/>
            <w:vAlign w:val="center"/>
          </w:tcPr>
          <w:p w14:paraId="25A7991C">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lang w:eastAsia="zh-CN"/>
              </w:rPr>
            </w:pPr>
            <w:r>
              <w:rPr>
                <w:rFonts w:hint="eastAsia" w:ascii="仿宋_GB2312" w:hAnsi="仿宋" w:eastAsia="仿宋_GB2312" w:cs="仿宋"/>
                <w:bCs w:val="0"/>
                <w:kern w:val="2"/>
                <w:sz w:val="24"/>
                <w:szCs w:val="24"/>
              </w:rPr>
              <w:t>DeepSeek - R1</w:t>
            </w:r>
            <w:r>
              <w:rPr>
                <w:rFonts w:hint="eastAsia" w:ascii="仿宋_GB2312" w:hAnsi="仿宋" w:eastAsia="仿宋_GB2312" w:cs="仿宋"/>
                <w:bCs w:val="0"/>
                <w:kern w:val="2"/>
                <w:sz w:val="24"/>
                <w:szCs w:val="24"/>
                <w:lang w:eastAsia="zh-CN"/>
              </w:rPr>
              <w:t>（</w:t>
            </w:r>
            <w:r>
              <w:rPr>
                <w:rFonts w:hint="eastAsia" w:ascii="仿宋_GB2312" w:hAnsi="仿宋" w:eastAsia="仿宋_GB2312" w:cs="仿宋"/>
                <w:bCs w:val="0"/>
                <w:kern w:val="2"/>
                <w:sz w:val="24"/>
                <w:szCs w:val="24"/>
                <w:lang w:val="en-US" w:eastAsia="zh-CN"/>
              </w:rPr>
              <w:t>硬件</w:t>
            </w:r>
            <w:r>
              <w:rPr>
                <w:rFonts w:hint="eastAsia" w:ascii="仿宋_GB2312" w:hAnsi="仿宋" w:eastAsia="仿宋_GB2312" w:cs="仿宋"/>
                <w:bCs w:val="0"/>
                <w:kern w:val="2"/>
                <w:sz w:val="24"/>
                <w:szCs w:val="24"/>
                <w:lang w:eastAsia="zh-CN"/>
              </w:rPr>
              <w:t>）</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8F18">
            <w:pPr>
              <w:widowControl w:val="0"/>
              <w:snapToGrid w:val="0"/>
              <w:spacing w:after="0" w:line="240" w:lineRule="auto"/>
              <w:ind w:left="0" w:leftChars="0" w:firstLine="0" w:firstLineChars="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1.CPU：</w:t>
            </w:r>
            <w:r>
              <w:rPr>
                <w:rFonts w:hint="eastAsia" w:ascii="仿宋_GB2312" w:hAnsi="仿宋_GB2312" w:eastAsia="仿宋_GB2312" w:cs="仿宋_GB2312"/>
                <w:bCs/>
                <w:kern w:val="2"/>
                <w:sz w:val="24"/>
                <w:szCs w:val="24"/>
                <w:lang w:val="en-US" w:eastAsia="zh-CN" w:bidi="ar-SA"/>
              </w:rPr>
              <w:t>16核，32线程</w:t>
            </w:r>
          </w:p>
          <w:p w14:paraId="09B3405F">
            <w:pPr>
              <w:widowControl w:val="0"/>
              <w:snapToGrid w:val="0"/>
              <w:spacing w:after="0" w:line="240" w:lineRule="auto"/>
              <w:ind w:left="0" w:leftChars="0" w:firstLine="0" w:firstLineChars="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2.内存：</w:t>
            </w:r>
            <w:r>
              <w:rPr>
                <w:rFonts w:hint="eastAsia" w:ascii="仿宋_GB2312" w:hAnsi="仿宋_GB2312" w:eastAsia="仿宋_GB2312" w:cs="仿宋_GB2312"/>
                <w:bCs/>
                <w:kern w:val="2"/>
                <w:sz w:val="24"/>
                <w:szCs w:val="24"/>
                <w:lang w:val="en-US" w:eastAsia="zh-CN" w:bidi="ar-SA"/>
              </w:rPr>
              <w:t>2*64GB DDR5 5600，128GB总容量</w:t>
            </w:r>
          </w:p>
          <w:p w14:paraId="4B7A4EDA">
            <w:pPr>
              <w:widowControl w:val="0"/>
              <w:snapToGrid w:val="0"/>
              <w:spacing w:after="0" w:line="240" w:lineRule="auto"/>
              <w:ind w:left="0" w:leftChars="0" w:firstLine="0" w:firstLineChars="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3.硬盘：</w:t>
            </w:r>
            <w:r>
              <w:rPr>
                <w:rFonts w:hint="eastAsia" w:ascii="仿宋_GB2312" w:hAnsi="仿宋_GB2312" w:eastAsia="仿宋_GB2312" w:cs="仿宋_GB2312"/>
                <w:b w:val="0"/>
                <w:bCs/>
                <w:kern w:val="2"/>
                <w:sz w:val="24"/>
                <w:szCs w:val="24"/>
                <w:lang w:val="en-US" w:eastAsia="zh-CN" w:bidi="ar-SA"/>
              </w:rPr>
              <w:t>1*2TB_SSD</w:t>
            </w:r>
          </w:p>
          <w:p w14:paraId="303FC500">
            <w:pPr>
              <w:widowControl w:val="0"/>
              <w:snapToGrid w:val="0"/>
              <w:spacing w:after="0" w:line="240" w:lineRule="auto"/>
              <w:ind w:left="0" w:leftChars="0" w:firstLine="0" w:firstLineChars="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4.显卡：</w:t>
            </w:r>
            <w:r>
              <w:rPr>
                <w:rFonts w:hint="eastAsia" w:ascii="仿宋_GB2312" w:hAnsi="仿宋_GB2312" w:eastAsia="仿宋_GB2312" w:cs="仿宋_GB2312"/>
                <w:bCs/>
                <w:color w:val="404040"/>
                <w:kern w:val="2"/>
                <w:sz w:val="24"/>
                <w:szCs w:val="24"/>
                <w:u w:val="none"/>
                <w:lang w:val="en-US" w:eastAsia="zh-CN" w:bidi="ar"/>
              </w:rPr>
              <w:t>高性价比NV_48GB（涡轮大显存定制版）</w:t>
            </w:r>
          </w:p>
          <w:p w14:paraId="1A946C3B">
            <w:pPr>
              <w:widowControl w:val="0"/>
              <w:snapToGrid w:val="0"/>
              <w:spacing w:after="0" w:line="240" w:lineRule="auto"/>
              <w:ind w:left="0" w:leftChars="0" w:firstLine="0" w:firstLineChars="0"/>
              <w:jc w:val="both"/>
              <w:rPr>
                <w:rFonts w:hint="eastAsia" w:ascii="仿宋_GB2312" w:hAnsi="仿宋_GB2312" w:eastAsia="仿宋_GB2312" w:cs="仿宋_GB2312"/>
                <w:bCs/>
                <w:i w:val="0"/>
                <w:iCs w:val="0"/>
                <w:color w:val="auto"/>
                <w:kern w:val="2"/>
                <w:sz w:val="24"/>
                <w:szCs w:val="24"/>
                <w:u w:val="none"/>
                <w:lang w:val="en-US" w:eastAsia="zh-CN" w:bidi="ar-SA"/>
              </w:rPr>
            </w:pPr>
            <w:r>
              <w:rPr>
                <w:rFonts w:hint="eastAsia" w:ascii="仿宋_GB2312" w:hAnsi="仿宋_GB2312" w:eastAsia="仿宋_GB2312" w:cs="仿宋_GB2312"/>
                <w:bCs/>
                <w:kern w:val="2"/>
                <w:sz w:val="24"/>
                <w:szCs w:val="24"/>
                <w:lang w:val="en-US" w:eastAsia="zh-CN" w:bidi="ar-SA"/>
              </w:rPr>
              <w:t>5.另含主板、机箱、水冷散热系统</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39A8">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SA"/>
              </w:rPr>
              <w:t>项</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8815">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SA"/>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46A7">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SA"/>
              </w:rPr>
              <w:t>定制</w:t>
            </w:r>
          </w:p>
        </w:tc>
      </w:tr>
      <w:tr w14:paraId="50FA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75D757D">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_GB2312" w:eastAsia="仿宋_GB2312" w:cs="仿宋_GB2312"/>
                <w:bCs/>
                <w:i w:val="0"/>
                <w:iCs w:val="0"/>
                <w:color w:val="auto"/>
                <w:sz w:val="24"/>
                <w:szCs w:val="24"/>
                <w:u w:val="none"/>
                <w:lang w:val="en-US" w:eastAsia="zh-CN"/>
              </w:rPr>
            </w:pPr>
            <w:r>
              <w:rPr>
                <w:rFonts w:hint="eastAsia" w:ascii="仿宋_GB2312" w:hAnsi="仿宋_GB2312" w:eastAsia="仿宋_GB2312" w:cs="仿宋_GB2312"/>
                <w:bCs/>
                <w:i w:val="0"/>
                <w:iCs w:val="0"/>
                <w:color w:val="auto"/>
                <w:sz w:val="24"/>
                <w:szCs w:val="24"/>
                <w:u w:val="none"/>
                <w:lang w:val="en-US" w:eastAsia="zh-CN"/>
              </w:rPr>
              <w:t>2</w:t>
            </w:r>
          </w:p>
        </w:tc>
        <w:tc>
          <w:tcPr>
            <w:tcW w:w="837" w:type="pct"/>
            <w:tcBorders>
              <w:top w:val="single" w:color="000000" w:sz="4" w:space="0"/>
              <w:left w:val="single" w:color="000000" w:sz="4" w:space="0"/>
              <w:bottom w:val="single" w:color="auto" w:sz="4" w:space="0"/>
              <w:right w:val="single" w:color="000000" w:sz="4" w:space="0"/>
            </w:tcBorders>
            <w:shd w:val="clear" w:color="auto" w:fill="auto"/>
            <w:vAlign w:val="center"/>
          </w:tcPr>
          <w:p w14:paraId="6E2332F0">
            <w:pPr>
              <w:keepNext w:val="0"/>
              <w:keepLines w:val="0"/>
              <w:widowControl/>
              <w:suppressLineNumbers w:val="0"/>
              <w:adjustRightInd/>
              <w:snapToGrid w:val="0"/>
              <w:spacing w:line="240" w:lineRule="auto"/>
              <w:ind w:firstLine="0" w:firstLineChars="0"/>
              <w:jc w:val="center"/>
              <w:textAlignment w:val="center"/>
              <w:rPr>
                <w:rFonts w:hint="eastAsia" w:ascii="仿宋_GB2312" w:hAnsi="仿宋" w:eastAsia="仿宋_GB2312" w:cs="仿宋"/>
                <w:bCs w:val="0"/>
                <w:kern w:val="2"/>
                <w:sz w:val="24"/>
                <w:szCs w:val="24"/>
              </w:rPr>
            </w:pPr>
            <w:r>
              <w:rPr>
                <w:rFonts w:hint="eastAsia" w:ascii="仿宋_GB2312" w:hAnsi="仿宋_GB2312" w:eastAsia="仿宋_GB2312" w:cs="仿宋_GB2312"/>
                <w:bCs/>
                <w:i w:val="0"/>
                <w:iCs w:val="0"/>
                <w:kern w:val="2"/>
                <w:sz w:val="24"/>
                <w:szCs w:val="24"/>
                <w:u w:val="none"/>
                <w:lang w:val="en-US" w:eastAsia="zh-CN" w:bidi="ar"/>
              </w:rPr>
              <w:t>定制开发软件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32A6">
            <w:pPr>
              <w:keepNext w:val="0"/>
              <w:keepLines w:val="0"/>
              <w:widowControl/>
              <w:numPr>
                <w:ilvl w:val="-1"/>
                <w:numId w:val="0"/>
              </w:numPr>
              <w:suppressLineNumbers w:val="0"/>
              <w:snapToGrid w:val="0"/>
              <w:spacing w:before="0" w:after="0" w:line="240" w:lineRule="auto"/>
              <w:ind w:left="0" w:leftChars="0" w:firstLine="0" w:firstLineChars="0"/>
              <w:jc w:val="left"/>
              <w:textAlignment w:val="auto"/>
              <w:rPr>
                <w:rFonts w:hint="eastAsia" w:ascii="仿宋_GB2312" w:hAnsi="仿宋_GB2312" w:eastAsia="仿宋_GB2312" w:cs="仿宋_GB2312"/>
                <w:bCs/>
                <w:i w:val="0"/>
                <w:iCs w:val="0"/>
                <w:sz w:val="24"/>
                <w:szCs w:val="24"/>
                <w:u w:val="none"/>
                <w:lang w:val="en-US" w:eastAsia="zh-CN"/>
              </w:rPr>
            </w:pPr>
            <w:r>
              <w:rPr>
                <w:rFonts w:hint="eastAsia" w:ascii="仿宋_GB2312" w:hAnsi="仿宋_GB2312" w:eastAsia="仿宋_GB2312" w:cs="仿宋_GB2312"/>
                <w:bCs/>
                <w:i w:val="0"/>
                <w:iCs w:val="0"/>
                <w:sz w:val="24"/>
                <w:szCs w:val="24"/>
                <w:u w:val="none"/>
                <w:lang w:val="en-US" w:eastAsia="zh-CN"/>
              </w:rPr>
              <w:t>构建多用户管理系统和大模型工作平台，部署本地知识库构建工具和智能体开发工具部署。</w:t>
            </w:r>
          </w:p>
          <w:p w14:paraId="42566B20">
            <w:pPr>
              <w:numPr>
                <w:ilvl w:val="-1"/>
                <w:numId w:val="0"/>
              </w:numPr>
              <w:snapToGrid w:val="0"/>
              <w:spacing w:before="0" w:after="0" w:line="240" w:lineRule="auto"/>
              <w:ind w:left="0" w:leftChars="0" w:firstLine="0" w:firstLineChars="0"/>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系统需支持至少</w:t>
            </w:r>
            <w:r>
              <w:rPr>
                <w:rFonts w:hint="eastAsia" w:ascii="仿宋_GB2312" w:hAnsi="仿宋_GB2312" w:eastAsia="仿宋_GB2312" w:cs="仿宋_GB2312"/>
                <w:bCs/>
                <w:sz w:val="24"/>
                <w:szCs w:val="24"/>
                <w:lang w:val="en-US" w:eastAsia="zh-CN"/>
              </w:rPr>
              <w:t>40</w:t>
            </w:r>
            <w:r>
              <w:rPr>
                <w:rFonts w:hint="eastAsia" w:ascii="仿宋_GB2312" w:hAnsi="仿宋_GB2312" w:eastAsia="仿宋_GB2312" w:cs="仿宋_GB2312"/>
                <w:bCs/>
                <w:sz w:val="24"/>
                <w:szCs w:val="24"/>
              </w:rPr>
              <w:t>个并发用户访问，响应时间不超过</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秒，确保系统稳定运行</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提供</w:t>
            </w:r>
            <w:r>
              <w:rPr>
                <w:rFonts w:hint="eastAsia" w:ascii="仿宋_GB2312" w:hAnsi="仿宋_GB2312" w:eastAsia="仿宋_GB2312" w:cs="仿宋_GB2312"/>
                <w:bCs/>
                <w:sz w:val="24"/>
                <w:szCs w:val="24"/>
              </w:rPr>
              <w:t>DeepSeek 大模型接入接口，支持模型的快速部署和调用，具备模型版本管理功能，可方便切换不同版本的模型</w:t>
            </w:r>
            <w:r>
              <w:rPr>
                <w:rFonts w:hint="eastAsia" w:ascii="仿宋_GB2312" w:hAnsi="仿宋_GB2312" w:eastAsia="仿宋_GB2312" w:cs="仿宋_GB2312"/>
                <w:bCs/>
                <w:sz w:val="24"/>
                <w:szCs w:val="24"/>
                <w:lang w:eastAsia="zh-CN"/>
              </w:rPr>
              <w:t>。</w:t>
            </w:r>
          </w:p>
          <w:p w14:paraId="53A150EA">
            <w:pPr>
              <w:numPr>
                <w:ilvl w:val="-1"/>
                <w:numId w:val="0"/>
              </w:numPr>
              <w:snapToGrid w:val="0"/>
              <w:spacing w:before="0" w:after="0" w:line="240" w:lineRule="auto"/>
              <w:ind w:left="0" w:leftChars="0" w:firstLine="0" w:firstLineChars="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支持多种文件格式（如 PDF、Word、Excel、PPT 等）的知识文档导入，能够自动提取文档关键信息，进行分类和索引，构建结构化的知识库。</w:t>
            </w:r>
          </w:p>
          <w:p w14:paraId="1965F920">
            <w:pPr>
              <w:widowControl w:val="0"/>
              <w:snapToGrid w:val="0"/>
              <w:spacing w:after="0" w:line="240" w:lineRule="auto"/>
              <w:ind w:left="0" w:leftChars="0" w:firstLine="0" w:firstLineChars="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具备知识检索功能，支持全文检索、关键词检索、语义检索等多种检索方式，检索结果准确率不低于 90%。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265A">
            <w:pPr>
              <w:keepNext w:val="0"/>
              <w:keepLines w:val="0"/>
              <w:widowControl/>
              <w:numPr>
                <w:ilvl w:val="0"/>
                <w:numId w:val="0"/>
              </w:numPr>
              <w:suppressLineNumbers w:val="0"/>
              <w:adjustRightInd/>
              <w:snapToGrid w:val="0"/>
              <w:spacing w:line="240" w:lineRule="auto"/>
              <w:ind w:left="0" w:leftChars="0" w:firstLine="0" w:firstLineChars="0"/>
              <w:jc w:val="left"/>
              <w:textAlignment w:val="auto"/>
              <w:rPr>
                <w:rFonts w:hint="eastAsia" w:ascii="仿宋_GB2312" w:hAnsi="仿宋_GB2312" w:eastAsia="仿宋_GB2312" w:cs="仿宋_GB2312"/>
                <w:bCs/>
                <w:i w:val="0"/>
                <w:iCs w:val="0"/>
                <w:color w:val="auto"/>
                <w:kern w:val="2"/>
                <w:sz w:val="24"/>
                <w:szCs w:val="24"/>
                <w:u w:val="none"/>
                <w:lang w:val="en-US" w:eastAsia="zh-CN" w:bidi="ar-SA"/>
              </w:rPr>
            </w:pPr>
            <w:r>
              <w:rPr>
                <w:rFonts w:hint="eastAsia" w:ascii="仿宋_GB2312" w:hAnsi="仿宋_GB2312" w:eastAsia="仿宋_GB2312" w:cs="仿宋_GB2312"/>
                <w:bCs/>
                <w:i w:val="0"/>
                <w:iCs w:val="0"/>
                <w:color w:val="auto"/>
                <w:kern w:val="2"/>
                <w:sz w:val="24"/>
                <w:szCs w:val="24"/>
                <w:u w:val="none"/>
                <w:lang w:val="en-US" w:eastAsia="zh-CN" w:bidi="ar"/>
              </w:rPr>
              <w:t>项</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08C8">
            <w:pPr>
              <w:keepNext w:val="0"/>
              <w:keepLines w:val="0"/>
              <w:widowControl/>
              <w:numPr>
                <w:ilvl w:val="0"/>
                <w:numId w:val="0"/>
              </w:numPr>
              <w:suppressLineNumbers w:val="0"/>
              <w:adjustRightInd/>
              <w:snapToGrid w:val="0"/>
              <w:spacing w:line="240" w:lineRule="auto"/>
              <w:ind w:left="0" w:leftChars="0" w:firstLine="0" w:firstLineChars="0"/>
              <w:jc w:val="left"/>
              <w:textAlignment w:val="auto"/>
              <w:rPr>
                <w:rFonts w:hint="eastAsia" w:ascii="仿宋_GB2312" w:hAnsi="仿宋_GB2312" w:eastAsia="仿宋_GB2312" w:cs="仿宋_GB2312"/>
                <w:bCs/>
                <w:i w:val="0"/>
                <w:iCs w:val="0"/>
                <w:color w:val="auto"/>
                <w:kern w:val="2"/>
                <w:sz w:val="24"/>
                <w:szCs w:val="24"/>
                <w:u w:val="none"/>
                <w:lang w:val="en-US" w:eastAsia="zh-CN" w:bidi="ar-SA"/>
              </w:rPr>
            </w:pPr>
            <w:r>
              <w:rPr>
                <w:rFonts w:hint="eastAsia" w:ascii="仿宋_GB2312" w:hAnsi="仿宋_GB2312" w:eastAsia="仿宋_GB2312" w:cs="仿宋_GB2312"/>
                <w:bCs/>
                <w:i w:val="0"/>
                <w:iCs w:val="0"/>
                <w:color w:val="auto"/>
                <w:kern w:val="2"/>
                <w:sz w:val="24"/>
                <w:szCs w:val="24"/>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6B95">
            <w:pPr>
              <w:keepNext w:val="0"/>
              <w:keepLines w:val="0"/>
              <w:widowControl/>
              <w:numPr>
                <w:ilvl w:val="0"/>
                <w:numId w:val="0"/>
              </w:numPr>
              <w:suppressLineNumbers w:val="0"/>
              <w:adjustRightInd/>
              <w:snapToGrid w:val="0"/>
              <w:spacing w:line="240" w:lineRule="auto"/>
              <w:ind w:left="0" w:leftChars="0" w:firstLine="0" w:firstLineChars="0"/>
              <w:jc w:val="left"/>
              <w:textAlignment w:val="auto"/>
              <w:rPr>
                <w:rFonts w:hint="eastAsia" w:ascii="仿宋_GB2312" w:hAnsi="仿宋_GB2312" w:eastAsia="仿宋_GB2312" w:cs="仿宋_GB2312"/>
                <w:bCs/>
                <w:i w:val="0"/>
                <w:iCs w:val="0"/>
                <w:color w:val="auto"/>
                <w:kern w:val="2"/>
                <w:sz w:val="24"/>
                <w:szCs w:val="24"/>
                <w:u w:val="none"/>
                <w:lang w:val="en-US" w:eastAsia="zh-CN" w:bidi="ar-SA"/>
              </w:rPr>
            </w:pPr>
            <w:r>
              <w:rPr>
                <w:rFonts w:hint="eastAsia" w:ascii="仿宋_GB2312" w:hAnsi="仿宋_GB2312" w:eastAsia="仿宋_GB2312" w:cs="仿宋_GB2312"/>
                <w:bCs/>
                <w:i w:val="0"/>
                <w:iCs w:val="0"/>
                <w:color w:val="auto"/>
                <w:kern w:val="2"/>
                <w:sz w:val="24"/>
                <w:szCs w:val="24"/>
                <w:u w:val="none"/>
                <w:lang w:val="en-US" w:eastAsia="zh-CN" w:bidi="ar"/>
              </w:rPr>
              <w:t>国产</w:t>
            </w:r>
          </w:p>
        </w:tc>
      </w:tr>
      <w:tr w14:paraId="4671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32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8EBE68">
            <w:pPr>
              <w:keepNext w:val="0"/>
              <w:keepLines w:val="0"/>
              <w:widowControl/>
              <w:numPr>
                <w:ilvl w:val="0"/>
                <w:numId w:val="0"/>
              </w:numPr>
              <w:suppressLineNumbers w:val="0"/>
              <w:adjustRightInd/>
              <w:snapToGrid w:val="0"/>
              <w:spacing w:line="240" w:lineRule="auto"/>
              <w:ind w:firstLine="0" w:firstLineChars="0"/>
              <w:jc w:val="center"/>
              <w:textAlignment w:val="auto"/>
              <w:rPr>
                <w:rFonts w:hint="eastAsia" w:ascii="仿宋_GB2312" w:hAnsi="仿宋_GB2312" w:eastAsia="仿宋_GB2312" w:cs="仿宋_GB2312"/>
                <w:bCs/>
                <w:i w:val="0"/>
                <w:iCs w:val="0"/>
                <w:color w:val="auto"/>
                <w:sz w:val="24"/>
                <w:szCs w:val="24"/>
                <w:u w:val="none"/>
                <w:lang w:val="en-US" w:eastAsia="zh-CN"/>
              </w:rPr>
            </w:pPr>
            <w:r>
              <w:rPr>
                <w:rFonts w:hint="eastAsia" w:ascii="仿宋_GB2312" w:hAnsi="仿宋_GB2312" w:eastAsia="仿宋_GB2312" w:cs="仿宋_GB2312"/>
                <w:bCs/>
                <w:i w:val="0"/>
                <w:iCs w:val="0"/>
                <w:color w:val="auto"/>
                <w:sz w:val="24"/>
                <w:szCs w:val="24"/>
                <w:u w:val="none"/>
                <w:lang w:val="en-US" w:eastAsia="zh-CN"/>
              </w:rPr>
              <w:t>3</w:t>
            </w:r>
          </w:p>
        </w:tc>
        <w:tc>
          <w:tcPr>
            <w:tcW w:w="837" w:type="pct"/>
            <w:tcBorders>
              <w:top w:val="single" w:color="auto" w:sz="4" w:space="0"/>
              <w:left w:val="single" w:color="000000" w:sz="4" w:space="0"/>
              <w:bottom w:val="single" w:color="000000" w:sz="4" w:space="0"/>
              <w:right w:val="single" w:color="000000" w:sz="4" w:space="0"/>
            </w:tcBorders>
            <w:shd w:val="clear" w:color="auto" w:fill="auto"/>
            <w:vAlign w:val="center"/>
          </w:tcPr>
          <w:p w14:paraId="2295B5FB">
            <w:pPr>
              <w:keepNext w:val="0"/>
              <w:keepLines w:val="0"/>
              <w:widowControl/>
              <w:numPr>
                <w:ilvl w:val="0"/>
                <w:numId w:val="0"/>
              </w:numPr>
              <w:suppressLineNumbers w:val="0"/>
              <w:adjustRightInd/>
              <w:snapToGrid w:val="0"/>
              <w:spacing w:line="240" w:lineRule="auto"/>
              <w:ind w:firstLine="0" w:firstLineChars="0"/>
              <w:jc w:val="center"/>
              <w:textAlignment w:val="auto"/>
              <w:rPr>
                <w:rFonts w:hint="default" w:ascii="仿宋_GB2312" w:hAnsi="仿宋_GB2312" w:eastAsia="仿宋_GB2312" w:cs="仿宋_GB2312"/>
                <w:bCs/>
                <w:i w:val="0"/>
                <w:iCs w:val="0"/>
                <w:color w:val="auto"/>
                <w:sz w:val="24"/>
                <w:szCs w:val="24"/>
                <w:u w:val="none"/>
                <w:lang w:val="en-US"/>
              </w:rPr>
            </w:pPr>
            <w:r>
              <w:rPr>
                <w:rFonts w:hint="eastAsia" w:ascii="仿宋_GB2312" w:hAnsi="仿宋_GB2312" w:eastAsia="仿宋_GB2312" w:cs="仿宋_GB2312"/>
                <w:bCs/>
                <w:i w:val="0"/>
                <w:iCs w:val="0"/>
                <w:kern w:val="2"/>
                <w:sz w:val="24"/>
                <w:szCs w:val="24"/>
                <w:u w:val="none"/>
                <w:lang w:val="en-US" w:eastAsia="zh-CN" w:bidi="ar"/>
              </w:rPr>
              <w:t>授权技术服务</w:t>
            </w:r>
          </w:p>
        </w:tc>
        <w:tc>
          <w:tcPr>
            <w:tcW w:w="2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02C7">
            <w:pPr>
              <w:numPr>
                <w:ilvl w:val="-1"/>
                <w:numId w:val="0"/>
              </w:numPr>
              <w:snapToGrid w:val="0"/>
              <w:spacing w:before="0" w:after="0" w:line="240" w:lineRule="auto"/>
              <w:ind w:left="0" w:firstLine="0" w:firstLineChars="0"/>
              <w:jc w:val="left"/>
              <w:rPr>
                <w:rFonts w:hint="default" w:ascii="Arial" w:hAnsi="Arial" w:eastAsia="等线" w:cs="Arial"/>
                <w:sz w:val="20"/>
                <w:szCs w:val="20"/>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4ECE">
            <w:pPr>
              <w:keepNext w:val="0"/>
              <w:keepLines w:val="0"/>
              <w:widowControl/>
              <w:numPr>
                <w:ilvl w:val="0"/>
                <w:numId w:val="0"/>
              </w:numPr>
              <w:suppressLineNumbers w:val="0"/>
              <w:adjustRightInd/>
              <w:snapToGrid w:val="0"/>
              <w:spacing w:line="240" w:lineRule="auto"/>
              <w:ind w:firstLine="0" w:firstLineChars="0"/>
              <w:jc w:val="left"/>
              <w:textAlignment w:val="auto"/>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
              </w:rPr>
              <w:t>项</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2C6F">
            <w:pPr>
              <w:keepNext w:val="0"/>
              <w:keepLines w:val="0"/>
              <w:widowControl/>
              <w:numPr>
                <w:ilvl w:val="0"/>
                <w:numId w:val="0"/>
              </w:numPr>
              <w:suppressLineNumbers w:val="0"/>
              <w:adjustRightInd/>
              <w:snapToGrid w:val="0"/>
              <w:spacing w:line="240" w:lineRule="auto"/>
              <w:ind w:firstLine="0" w:firstLineChars="0"/>
              <w:jc w:val="left"/>
              <w:textAlignment w:val="auto"/>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6057">
            <w:pPr>
              <w:keepNext w:val="0"/>
              <w:keepLines w:val="0"/>
              <w:widowControl/>
              <w:numPr>
                <w:ilvl w:val="0"/>
                <w:numId w:val="0"/>
              </w:numPr>
              <w:suppressLineNumbers w:val="0"/>
              <w:adjustRightInd/>
              <w:snapToGrid w:val="0"/>
              <w:spacing w:line="240" w:lineRule="auto"/>
              <w:ind w:firstLine="0" w:firstLineChars="0"/>
              <w:jc w:val="left"/>
              <w:textAlignment w:val="auto"/>
              <w:rPr>
                <w:rFonts w:hint="eastAsia" w:ascii="仿宋_GB2312" w:hAnsi="仿宋_GB2312" w:eastAsia="仿宋_GB2312" w:cs="仿宋_GB2312"/>
                <w:bCs/>
                <w:i w:val="0"/>
                <w:iCs w:val="0"/>
                <w:color w:val="auto"/>
                <w:sz w:val="24"/>
                <w:szCs w:val="24"/>
                <w:u w:val="none"/>
              </w:rPr>
            </w:pPr>
            <w:r>
              <w:rPr>
                <w:rFonts w:hint="eastAsia" w:ascii="仿宋_GB2312" w:hAnsi="仿宋_GB2312" w:eastAsia="仿宋_GB2312" w:cs="仿宋_GB2312"/>
                <w:bCs/>
                <w:i w:val="0"/>
                <w:iCs w:val="0"/>
                <w:color w:val="auto"/>
                <w:kern w:val="2"/>
                <w:sz w:val="24"/>
                <w:szCs w:val="24"/>
                <w:u w:val="none"/>
                <w:lang w:val="en-US" w:eastAsia="zh-CN" w:bidi="ar"/>
              </w:rPr>
              <w:t>国产</w:t>
            </w:r>
          </w:p>
        </w:tc>
      </w:tr>
    </w:tbl>
    <w:p w14:paraId="77AC6EA1">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以上清单包</w:t>
      </w:r>
      <w:r>
        <w:rPr>
          <w:rFonts w:hint="eastAsia" w:cstheme="minorEastAsia"/>
          <w:sz w:val="24"/>
          <w:szCs w:val="24"/>
          <w:lang w:val="en-US" w:eastAsia="zh-CN"/>
        </w:rPr>
        <w:t>含辅材、</w:t>
      </w:r>
      <w:r>
        <w:rPr>
          <w:rFonts w:hint="eastAsia" w:asciiTheme="minorEastAsia" w:hAnsiTheme="minorEastAsia" w:eastAsiaTheme="minorEastAsia" w:cstheme="minorEastAsia"/>
          <w:sz w:val="24"/>
          <w:szCs w:val="24"/>
          <w:lang w:val="en-US" w:eastAsia="zh-CN"/>
        </w:rPr>
        <w:t>安装，</w:t>
      </w:r>
      <w:r>
        <w:rPr>
          <w:rFonts w:hint="eastAsia" w:cstheme="minorEastAsia"/>
          <w:sz w:val="24"/>
          <w:szCs w:val="24"/>
          <w:lang w:val="en-US" w:eastAsia="zh-CN"/>
        </w:rPr>
        <w:t>调试、测试以及其他满足交付使用前的必要相关工作</w:t>
      </w:r>
      <w:r>
        <w:rPr>
          <w:rFonts w:hint="eastAsia" w:asciiTheme="minorEastAsia" w:hAnsiTheme="minorEastAsia" w:eastAsiaTheme="minorEastAsia" w:cstheme="minorEastAsia"/>
          <w:sz w:val="24"/>
          <w:szCs w:val="24"/>
          <w:lang w:val="en-US" w:eastAsia="zh-CN"/>
        </w:rPr>
        <w:t>。</w:t>
      </w:r>
    </w:p>
    <w:p w14:paraId="39D32557">
      <w:pPr>
        <w:pStyle w:val="3"/>
        <w:bidi w:val="0"/>
        <w:rPr>
          <w:rFonts w:hint="eastAsia"/>
          <w:lang w:val="en-US" w:eastAsia="zh-CN"/>
        </w:rPr>
      </w:pPr>
      <w:r>
        <w:rPr>
          <w:rFonts w:hint="eastAsia"/>
        </w:rPr>
        <w:t>商务要求</w:t>
      </w:r>
    </w:p>
    <w:p w14:paraId="2FFF401D">
      <w:pPr>
        <w:pStyle w:val="5"/>
        <w:bidi w:val="0"/>
        <w:rPr>
          <w:rFonts w:hint="eastAsia"/>
        </w:rPr>
      </w:pPr>
      <w:r>
        <w:rPr>
          <w:rFonts w:hint="eastAsia"/>
          <w:lang w:eastAsia="zh-CN"/>
        </w:rPr>
        <w:t>交货期</w:t>
      </w:r>
      <w:r>
        <w:rPr>
          <w:rFonts w:hint="eastAsia"/>
          <w:lang w:val="en-US" w:eastAsia="zh-CN"/>
        </w:rPr>
        <w:t>/</w:t>
      </w:r>
      <w:r>
        <w:rPr>
          <w:rFonts w:hint="eastAsia"/>
        </w:rPr>
        <w:t>工期要求</w:t>
      </w:r>
    </w:p>
    <w:p w14:paraId="543FE7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应根据发包方的进度要求，并在遵守进度要求的前提下，按最有利的情况来制定其工作计划表。中标通知书发出后</w:t>
      </w:r>
      <w:r>
        <w:rPr>
          <w:rFonts w:hint="eastAsia" w:cstheme="minorEastAsia"/>
          <w:sz w:val="24"/>
          <w:szCs w:val="24"/>
          <w:lang w:val="en-US" w:eastAsia="zh-CN"/>
        </w:rPr>
        <w:t>30</w:t>
      </w:r>
      <w:r>
        <w:rPr>
          <w:rFonts w:hint="eastAsia" w:asciiTheme="minorEastAsia" w:hAnsiTheme="minorEastAsia" w:eastAsiaTheme="minorEastAsia" w:cstheme="minorEastAsia"/>
          <w:sz w:val="24"/>
          <w:szCs w:val="24"/>
        </w:rPr>
        <w:t>天内</w:t>
      </w:r>
      <w:r>
        <w:rPr>
          <w:rFonts w:hint="eastAsia" w:cstheme="minorEastAsia"/>
          <w:sz w:val="24"/>
          <w:szCs w:val="24"/>
          <w:lang w:val="en-US" w:eastAsia="zh-CN"/>
        </w:rPr>
        <w:t>完成设备供货、调试并部署使用</w:t>
      </w:r>
      <w:r>
        <w:rPr>
          <w:rFonts w:hint="eastAsia" w:asciiTheme="minorEastAsia" w:hAnsiTheme="minorEastAsia" w:eastAsiaTheme="minorEastAsia" w:cstheme="minorEastAsia"/>
          <w:sz w:val="24"/>
          <w:szCs w:val="24"/>
        </w:rPr>
        <w:t>。（交货期</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工期要求</w:t>
      </w:r>
      <w:r>
        <w:rPr>
          <w:rFonts w:hint="eastAsia" w:asciiTheme="minorEastAsia" w:hAnsiTheme="minorEastAsia" w:eastAsiaTheme="minorEastAsia" w:cstheme="minorEastAsia"/>
          <w:sz w:val="24"/>
          <w:szCs w:val="24"/>
        </w:rPr>
        <w:t>中所指时间为日历天）。</w:t>
      </w:r>
    </w:p>
    <w:p w14:paraId="3CAE53E6">
      <w:pPr>
        <w:pStyle w:val="5"/>
        <w:bidi w:val="0"/>
        <w:rPr>
          <w:rFonts w:hint="eastAsia"/>
        </w:rPr>
      </w:pPr>
      <w:r>
        <w:rPr>
          <w:rFonts w:hint="eastAsia"/>
        </w:rPr>
        <w:t>验收要求</w:t>
      </w:r>
    </w:p>
    <w:p w14:paraId="39348E7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已完成全部设备及对应场地的相关清洁工作</w:t>
      </w:r>
    </w:p>
    <w:p w14:paraId="2DD1D1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产品符合招标文件相关使用要求，性能满足技术要求，满足现场使用需求。所有指标验收必须由招标方确认。</w:t>
      </w:r>
    </w:p>
    <w:p w14:paraId="09BC478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中标方已按照招标文件规定提供了全部产品及完整的技术资料（如出厂检测报告、产品合格证等）。</w:t>
      </w:r>
    </w:p>
    <w:p w14:paraId="4DF42E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产品需要在我司现场</w:t>
      </w:r>
      <w:r>
        <w:rPr>
          <w:rFonts w:hint="eastAsia" w:cstheme="minorEastAsia"/>
          <w:sz w:val="24"/>
          <w:szCs w:val="24"/>
          <w:lang w:val="en-US" w:eastAsia="zh-CN"/>
        </w:rPr>
        <w:t>运行</w:t>
      </w:r>
      <w:r>
        <w:rPr>
          <w:rFonts w:hint="eastAsia" w:asciiTheme="minorEastAsia" w:hAnsiTheme="minorEastAsia" w:eastAsiaTheme="minorEastAsia" w:cstheme="minorEastAsia"/>
          <w:sz w:val="24"/>
          <w:szCs w:val="24"/>
          <w:lang w:val="en-US" w:eastAsia="zh-CN"/>
        </w:rPr>
        <w:t>条件下，满足招标文件技术要求稳定运行</w:t>
      </w:r>
      <w:r>
        <w:rPr>
          <w:rFonts w:hint="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个月及以上。</w:t>
      </w:r>
    </w:p>
    <w:p w14:paraId="60DC5B6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中标方应向招标方提供产品操作手册、维护保养手册等资料，在最终验收前对甲方现场人员进行操作维护培训。</w:t>
      </w:r>
    </w:p>
    <w:p w14:paraId="051F4881">
      <w:pPr>
        <w:pStyle w:val="5"/>
        <w:bidi w:val="0"/>
        <w:rPr>
          <w:rFonts w:hint="eastAsia"/>
        </w:rPr>
      </w:pPr>
      <w:r>
        <w:rPr>
          <w:rFonts w:hint="eastAsia"/>
        </w:rPr>
        <w:t>质保期要求</w:t>
      </w:r>
    </w:p>
    <w:p w14:paraId="38FAEDA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投标人保证向用户提供至少</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年（自验收合格之日起）的保修服务。质保期内，任何由</w:t>
      </w:r>
      <w:r>
        <w:rPr>
          <w:rFonts w:hint="eastAsia" w:asciiTheme="minorEastAsia" w:hAnsiTheme="minorEastAsia" w:eastAsiaTheme="minorEastAsia" w:cstheme="minorEastAsia"/>
          <w:sz w:val="24"/>
          <w:szCs w:val="24"/>
          <w:lang w:val="en-US" w:eastAsia="zh-CN"/>
        </w:rPr>
        <w:t>中标人导致</w:t>
      </w:r>
      <w:r>
        <w:rPr>
          <w:rFonts w:hint="eastAsia" w:asciiTheme="minorEastAsia" w:hAnsiTheme="minorEastAsia" w:eastAsiaTheme="minorEastAsia" w:cstheme="minorEastAsia"/>
          <w:sz w:val="24"/>
          <w:szCs w:val="24"/>
        </w:rPr>
        <w:t>的质量问题，</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负责免费维修。</w:t>
      </w:r>
      <w:r>
        <w:rPr>
          <w:rFonts w:hint="eastAsia" w:asciiTheme="minorEastAsia" w:hAnsiTheme="minorEastAsia" w:eastAsiaTheme="minorEastAsia" w:cstheme="minorEastAsia"/>
          <w:sz w:val="24"/>
          <w:szCs w:val="24"/>
          <w:lang w:val="en-US" w:eastAsia="zh-CN"/>
        </w:rPr>
        <w:t xml:space="preserve"> </w:t>
      </w:r>
    </w:p>
    <w:p w14:paraId="727A5E01">
      <w:pPr>
        <w:pStyle w:val="5"/>
        <w:bidi w:val="0"/>
        <w:rPr>
          <w:rFonts w:hint="eastAsia"/>
        </w:rPr>
      </w:pPr>
      <w:r>
        <w:rPr>
          <w:rFonts w:hint="eastAsia"/>
        </w:rPr>
        <w:t>付款方式</w:t>
      </w:r>
    </w:p>
    <w:p w14:paraId="68ED2D3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预付款：在合同签订后，甲方在收到乙方提供的合同总金额30%开具的增值税专用发票后15个工作日内，甲方向乙方支付合同总金额30%的合同款作为预付款。</w:t>
      </w:r>
    </w:p>
    <w:p w14:paraId="02A713D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验收款：合同货物全部安装、</w:t>
      </w:r>
      <w:r>
        <w:rPr>
          <w:rFonts w:hint="eastAsia" w:asciiTheme="minorEastAsia" w:hAnsiTheme="minorEastAsia" w:eastAsiaTheme="minorEastAsia" w:cstheme="minorEastAsia"/>
          <w:sz w:val="24"/>
          <w:szCs w:val="24"/>
          <w:lang w:val="en-US" w:eastAsia="zh-CN"/>
        </w:rPr>
        <w:t>组装、调试完成</w:t>
      </w:r>
      <w:r>
        <w:rPr>
          <w:rFonts w:hint="eastAsia" w:asciiTheme="minorEastAsia" w:hAnsiTheme="minorEastAsia" w:eastAsiaTheme="minorEastAsia" w:cstheme="minorEastAsia"/>
          <w:sz w:val="24"/>
          <w:szCs w:val="24"/>
        </w:rPr>
        <w:t>、验证全部</w:t>
      </w:r>
      <w:r>
        <w:rPr>
          <w:rFonts w:hint="eastAsia" w:asciiTheme="minorEastAsia" w:hAnsiTheme="minorEastAsia" w:eastAsiaTheme="minorEastAsia" w:cstheme="minorEastAsia"/>
          <w:sz w:val="24"/>
          <w:szCs w:val="24"/>
          <w:lang w:val="en-US" w:eastAsia="zh-CN"/>
        </w:rPr>
        <w:t>技术参数、</w:t>
      </w:r>
      <w:r>
        <w:rPr>
          <w:rFonts w:hint="eastAsia" w:asciiTheme="minorEastAsia" w:hAnsiTheme="minorEastAsia" w:eastAsiaTheme="minorEastAsia" w:cstheme="minorEastAsia"/>
          <w:sz w:val="24"/>
          <w:szCs w:val="24"/>
        </w:rPr>
        <w:t>设备文件、并经甲方核查各项功能满足招标文件及合同要求且所有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在出厂性能测试、安装、</w:t>
      </w:r>
      <w:r>
        <w:rPr>
          <w:rFonts w:hint="eastAsia" w:asciiTheme="minorEastAsia" w:hAnsiTheme="minorEastAsia" w:eastAsiaTheme="minorEastAsia" w:cstheme="minorEastAsia"/>
          <w:sz w:val="24"/>
          <w:szCs w:val="24"/>
          <w:lang w:val="en-US" w:eastAsia="zh-CN"/>
        </w:rPr>
        <w:t>组装、</w:t>
      </w:r>
      <w:r>
        <w:rPr>
          <w:rFonts w:hint="eastAsia" w:asciiTheme="minorEastAsia" w:hAnsiTheme="minorEastAsia" w:eastAsiaTheme="minorEastAsia" w:cstheme="minorEastAsia"/>
          <w:sz w:val="24"/>
          <w:szCs w:val="24"/>
        </w:rPr>
        <w:t>调试中出现的问题均已圆满解决，设备验收合格的，</w:t>
      </w:r>
      <w:r>
        <w:rPr>
          <w:rFonts w:hint="eastAsia" w:asciiTheme="minorEastAsia" w:hAnsiTheme="minorEastAsia" w:eastAsiaTheme="minorEastAsia" w:cstheme="minorEastAsia"/>
          <w:sz w:val="24"/>
          <w:szCs w:val="24"/>
          <w:lang w:val="en-US" w:eastAsia="zh-CN"/>
        </w:rPr>
        <w:t>完成设备交付及交付培训的，</w:t>
      </w:r>
      <w:r>
        <w:rPr>
          <w:rFonts w:hint="eastAsia" w:asciiTheme="minorEastAsia" w:hAnsiTheme="minorEastAsia" w:eastAsiaTheme="minorEastAsia" w:cstheme="minorEastAsia"/>
          <w:sz w:val="24"/>
          <w:szCs w:val="24"/>
        </w:rPr>
        <w:t>甲方在收到乙方提供的按照合同总金额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5%开具的增值税专用发票后15个工作日内，甲方向乙方支付合同总金额</w:t>
      </w:r>
      <w:r>
        <w:rPr>
          <w:rFonts w:hint="eastAsia" w:cstheme="minorEastAsia"/>
          <w:sz w:val="24"/>
          <w:szCs w:val="24"/>
          <w:lang w:val="en-US" w:eastAsia="zh-CN"/>
        </w:rPr>
        <w:t>6</w:t>
      </w:r>
      <w:r>
        <w:rPr>
          <w:rFonts w:hint="eastAsia" w:asciiTheme="minorEastAsia" w:hAnsiTheme="minorEastAsia" w:eastAsiaTheme="minorEastAsia" w:cstheme="minorEastAsia"/>
          <w:sz w:val="24"/>
          <w:szCs w:val="24"/>
        </w:rPr>
        <w:t>5%作为验收款。</w:t>
      </w:r>
    </w:p>
    <w:p w14:paraId="1EBAC79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质保金：质保期届满后，经甲方确认已完成质保任务，并办理相关手续，甲方在收到乙方提供的合同总金额5%开具的增值税专用发票后15个工作日内，甲方向乙方支付合同总金额5%的合同款。</w:t>
      </w:r>
    </w:p>
    <w:p w14:paraId="43BDABC7">
      <w:pPr>
        <w:rPr>
          <w:rFonts w:hint="eastAsia"/>
          <w:lang w:val="en-US" w:eastAsia="zh-CN"/>
        </w:rPr>
      </w:pPr>
    </w:p>
    <w:p w14:paraId="56A0ED32">
      <w:pPr>
        <w:pStyle w:val="3"/>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429FAC13">
      <w:pPr>
        <w:rPr>
          <w:rFonts w:hint="eastAsia" w:asciiTheme="minorEastAsia" w:hAnsiTheme="minorEastAsia" w:eastAsiaTheme="minorEastAsia" w:cstheme="minorEastAsia"/>
          <w:sz w:val="24"/>
          <w:szCs w:val="24"/>
        </w:rPr>
      </w:pPr>
      <w:r>
        <w:rPr>
          <w:rFonts w:hint="eastAsia" w:cstheme="minorEastAsia"/>
          <w:sz w:val="24"/>
          <w:szCs w:val="24"/>
          <w:lang w:val="en-US" w:eastAsia="zh-CN"/>
        </w:rPr>
        <w:t>1、</w:t>
      </w:r>
      <w:r>
        <w:rPr>
          <w:rFonts w:hint="eastAsia" w:asciiTheme="minorEastAsia" w:hAnsiTheme="minorEastAsia" w:eastAsiaTheme="minorEastAsia" w:cstheme="minorEastAsia"/>
          <w:sz w:val="24"/>
          <w:szCs w:val="24"/>
        </w:rPr>
        <w:t>投标报价为包干价，是按照招标文件要求完成供货、安装、调试试运行所必须的一切成本和费用。包括但不限于货物的加工制造、深化设计费、设备费、工厂检验和试验费、出厂检验费、包装费、运输费、装卸费、拆除费、安装费、安装材料费、调试试运行费、保险费、培训费、税费、质保期、缺陷责任期的服务费等以及保险、管理费、利润、规费、税金、原材料价格变动及供货期变化等风险费用。</w:t>
      </w:r>
    </w:p>
    <w:p w14:paraId="308D230F">
      <w:pPr>
        <w:rPr>
          <w:rFonts w:hint="eastAsia" w:asciiTheme="minorEastAsia" w:hAnsiTheme="minorEastAsia" w:eastAsiaTheme="minorEastAsia" w:cstheme="minorEastAsia"/>
          <w:sz w:val="24"/>
          <w:szCs w:val="24"/>
        </w:rPr>
      </w:pPr>
      <w:r>
        <w:rPr>
          <w:rFonts w:hint="eastAsia" w:cstheme="minorEastAsia"/>
          <w:sz w:val="24"/>
          <w:szCs w:val="24"/>
          <w:lang w:val="en-US" w:eastAsia="zh-CN"/>
        </w:rPr>
        <w:t>2、</w:t>
      </w:r>
      <w:r>
        <w:rPr>
          <w:rFonts w:hint="eastAsia" w:asciiTheme="minorEastAsia" w:hAnsiTheme="minorEastAsia" w:eastAsiaTheme="minorEastAsia" w:cstheme="minorEastAsia"/>
          <w:sz w:val="24"/>
          <w:szCs w:val="24"/>
        </w:rPr>
        <w:t>投标报价为按照招标文件要求完成所有项目所必须的一切成本和费用，投标人应充分考虑停电、停水、施工场地不足、成品保护、交叉施工、扰民等所有因素对工期造成的影响，充分考到项目在实施过程中有可能发生的所有费用及不可预见费用，招标人不另外支付与本项目有关的其他费用。在安装、调试、验收过程中，如发现有漏项、缺件，投标人应无条件无偿补齐，所发生的一切费用，视为已全部包含在报价之中，且并不因此而影响交付</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使用的时间。</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cstheme="minorEastAsia"/>
          <w:sz w:val="24"/>
          <w:szCs w:val="24"/>
          <w:lang w:val="en-US" w:eastAsia="zh-CN"/>
        </w:rPr>
        <w:t>3、</w:t>
      </w:r>
      <w:r>
        <w:rPr>
          <w:rFonts w:hint="eastAsia" w:asciiTheme="minorEastAsia" w:hAnsiTheme="minorEastAsia" w:eastAsiaTheme="minorEastAsia" w:cstheme="minorEastAsia"/>
          <w:sz w:val="24"/>
          <w:szCs w:val="24"/>
        </w:rPr>
        <w:t>本项目施工过程中产生的废料垃圾由投标人负责清理外运</w:t>
      </w:r>
      <w:r>
        <w:rPr>
          <w:rFonts w:hint="eastAsia" w:ascii="宋体" w:hAnsi="宋体" w:eastAsia="宋体" w:cs="宋体"/>
          <w:color w:val="auto"/>
          <w:kern w:val="2"/>
          <w:sz w:val="24"/>
          <w:szCs w:val="24"/>
          <w:shd w:val="clear" w:color="auto" w:fill="FFFFFF"/>
          <w:lang w:val="en-US" w:eastAsia="zh-CN" w:bidi="ar-SA"/>
        </w:rPr>
        <w:t>。</w:t>
      </w:r>
    </w:p>
    <w:p w14:paraId="1636E76C">
      <w:pPr>
        <w:pStyle w:val="3"/>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8</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3"/>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8"/>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6日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p>
    <w:bookmarkEnd w:id="3"/>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5"/>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811D6B-62A4-4C82-8A96-653C2A9242E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D97B8394-9045-485B-B1D5-F430E1F4D42D}"/>
  </w:font>
  <w:font w:name="仿宋">
    <w:panose1 w:val="02010609060101010101"/>
    <w:charset w:val="86"/>
    <w:family w:val="auto"/>
    <w:pitch w:val="default"/>
    <w:sig w:usb0="800002BF" w:usb1="38CF7CFA" w:usb2="00000016" w:usb3="00000000" w:csb0="00040001" w:csb1="00000000"/>
    <w:embedRegular r:id="rId3" w:fontKey="{141059D0-A949-49D8-9B28-15763E1CD8B5}"/>
  </w:font>
  <w:font w:name="方正小标宋简体">
    <w:altName w:val="Arial Unicode MS"/>
    <w:panose1 w:val="02010601030101010101"/>
    <w:charset w:val="86"/>
    <w:family w:val="auto"/>
    <w:pitch w:val="default"/>
    <w:sig w:usb0="00000000" w:usb1="00000000" w:usb2="00000000" w:usb3="00000000" w:csb0="00040000" w:csb1="00000000"/>
    <w:embedRegular r:id="rId4" w:fontKey="{AFBDF5C9-BAB9-4F78-9B32-0439E23AADAF}"/>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等线">
    <w:panose1 w:val="02010600030101010101"/>
    <w:charset w:val="86"/>
    <w:family w:val="auto"/>
    <w:pitch w:val="default"/>
    <w:sig w:usb0="A00002BF" w:usb1="38CF7CFA" w:usb2="00000016" w:usb3="00000000" w:csb0="0004000F" w:csb1="00000000"/>
    <w:embedRegular r:id="rId5" w:fontKey="{19D47B72-43BE-4602-8AB1-041A8FEE4D37}"/>
  </w:font>
  <w:font w:name="仿宋_GB2312">
    <w:panose1 w:val="02010609030101010101"/>
    <w:charset w:val="86"/>
    <w:family w:val="auto"/>
    <w:pitch w:val="default"/>
    <w:sig w:usb0="00000001" w:usb1="080E0000" w:usb2="00000000" w:usb3="00000000" w:csb0="00040000" w:csb1="00000000"/>
    <w:embedRegular r:id="rId6" w:fontKey="{AAD287B9-D338-4841-9133-6308BA82263C}"/>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E433C601"/>
    <w:multiLevelType w:val="singleLevel"/>
    <w:tmpl w:val="E433C601"/>
    <w:lvl w:ilvl="0" w:tentative="0">
      <w:start w:val="1"/>
      <w:numFmt w:val="decimal"/>
      <w:suff w:val="nothing"/>
      <w:lvlText w:val="%1、"/>
      <w:lvlJc w:val="left"/>
    </w:lvl>
  </w:abstractNum>
  <w:abstractNum w:abstractNumId="2">
    <w:nsid w:val="F606A0C3"/>
    <w:multiLevelType w:val="multilevel"/>
    <w:tmpl w:val="F606A0C3"/>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9F90AEB"/>
    <w:rsid w:val="1F210ED2"/>
    <w:rsid w:val="1FD63642"/>
    <w:rsid w:val="201F2242"/>
    <w:rsid w:val="223573AF"/>
    <w:rsid w:val="22974748"/>
    <w:rsid w:val="22A5393D"/>
    <w:rsid w:val="255676EF"/>
    <w:rsid w:val="25932A28"/>
    <w:rsid w:val="268576F5"/>
    <w:rsid w:val="283E6825"/>
    <w:rsid w:val="2B5C5333"/>
    <w:rsid w:val="2BDA6D32"/>
    <w:rsid w:val="2CBD47AF"/>
    <w:rsid w:val="2E233988"/>
    <w:rsid w:val="2E41718E"/>
    <w:rsid w:val="2E6D1386"/>
    <w:rsid w:val="30752778"/>
    <w:rsid w:val="3099504D"/>
    <w:rsid w:val="309E1C29"/>
    <w:rsid w:val="31715D8A"/>
    <w:rsid w:val="337B2D15"/>
    <w:rsid w:val="35D942E6"/>
    <w:rsid w:val="3814754E"/>
    <w:rsid w:val="399F745E"/>
    <w:rsid w:val="3A1604DC"/>
    <w:rsid w:val="3BB42874"/>
    <w:rsid w:val="3DAF2161"/>
    <w:rsid w:val="3E9500FC"/>
    <w:rsid w:val="3F5566AA"/>
    <w:rsid w:val="3FD7398D"/>
    <w:rsid w:val="43B040A8"/>
    <w:rsid w:val="472C7B57"/>
    <w:rsid w:val="47A606DD"/>
    <w:rsid w:val="47C86806"/>
    <w:rsid w:val="4E17757C"/>
    <w:rsid w:val="4EC76443"/>
    <w:rsid w:val="530B42D4"/>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3">
    <w:name w:val="heading 1"/>
    <w:basedOn w:val="1"/>
    <w:next w:val="1"/>
    <w:link w:val="22"/>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4">
    <w:name w:val="heading 2"/>
    <w:basedOn w:val="1"/>
    <w:next w:val="1"/>
    <w:link w:val="23"/>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5">
    <w:name w:val="heading 3"/>
    <w:basedOn w:val="1"/>
    <w:next w:val="1"/>
    <w:link w:val="24"/>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6">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8">
    <w:name w:val="Normal Indent"/>
    <w:basedOn w:val="1"/>
    <w:qFormat/>
    <w:uiPriority w:val="0"/>
    <w:pPr>
      <w:adjustRightInd w:val="0"/>
      <w:spacing w:line="312" w:lineRule="atLeast"/>
      <w:ind w:firstLine="420"/>
      <w:textAlignment w:val="baseline"/>
    </w:pPr>
    <w:rPr>
      <w:kern w:val="0"/>
      <w:szCs w:val="20"/>
    </w:rPr>
  </w:style>
  <w:style w:type="paragraph" w:styleId="9">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10">
    <w:name w:val="Body Text Indent"/>
    <w:basedOn w:val="1"/>
    <w:autoRedefine/>
    <w:qFormat/>
    <w:uiPriority w:val="0"/>
    <w:pPr>
      <w:spacing w:after="120" w:afterLines="0" w:afterAutospacing="0"/>
      <w:ind w:left="420" w:leftChars="200"/>
    </w:pPr>
  </w:style>
  <w:style w:type="paragraph" w:styleId="11">
    <w:name w:val="Body Text Indent 2"/>
    <w:basedOn w:val="1"/>
    <w:autoRedefine/>
    <w:qFormat/>
    <w:uiPriority w:val="0"/>
    <w:pPr>
      <w:spacing w:after="120" w:afterLines="0" w:afterAutospacing="0" w:line="480" w:lineRule="auto"/>
      <w:ind w:left="420" w:leftChars="200"/>
    </w:p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4">
    <w:name w:val="Body Text First Indent"/>
    <w:basedOn w:val="2"/>
    <w:qFormat/>
    <w:uiPriority w:val="0"/>
    <w:pPr>
      <w:widowControl/>
      <w:ind w:firstLine="480" w:firstLineChars="200"/>
    </w:pPr>
  </w:style>
  <w:style w:type="paragraph" w:styleId="15">
    <w:name w:val="Body Text First Indent 2"/>
    <w:basedOn w:val="10"/>
    <w:autoRedefine/>
    <w:qFormat/>
    <w:uiPriority w:val="0"/>
    <w:pPr>
      <w:ind w:firstLine="420" w:firstLineChars="200"/>
    </w:pPr>
  </w:style>
  <w:style w:type="character" w:styleId="18">
    <w:name w:val="Hyperlink"/>
    <w:basedOn w:val="17"/>
    <w:qFormat/>
    <w:uiPriority w:val="0"/>
    <w:rPr>
      <w:color w:val="0000FF"/>
      <w:u w:val="single"/>
    </w:rPr>
  </w:style>
  <w:style w:type="paragraph" w:customStyle="1" w:styleId="19">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20">
    <w:name w:val="图表"/>
    <w:basedOn w:val="1"/>
    <w:autoRedefine/>
    <w:qFormat/>
    <w:uiPriority w:val="0"/>
    <w:pPr>
      <w:spacing w:line="240" w:lineRule="auto"/>
      <w:ind w:firstLine="0" w:firstLineChars="0"/>
      <w:jc w:val="center"/>
    </w:pPr>
    <w:rPr>
      <w:sz w:val="28"/>
    </w:rPr>
  </w:style>
  <w:style w:type="paragraph" w:customStyle="1" w:styleId="21">
    <w:name w:val="图片"/>
    <w:basedOn w:val="1"/>
    <w:next w:val="9"/>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2">
    <w:name w:val="标题 1 Char"/>
    <w:link w:val="3"/>
    <w:autoRedefine/>
    <w:qFormat/>
    <w:uiPriority w:val="0"/>
    <w:rPr>
      <w:rFonts w:ascii="黑体" w:hAnsi="黑体" w:eastAsia="黑体" w:cs="Times New Roman"/>
      <w:sz w:val="32"/>
      <w:szCs w:val="24"/>
      <w:lang w:bidi="hi-IN"/>
    </w:rPr>
  </w:style>
  <w:style w:type="character" w:customStyle="1" w:styleId="23">
    <w:name w:val="标题 2 Char"/>
    <w:link w:val="4"/>
    <w:autoRedefine/>
    <w:qFormat/>
    <w:uiPriority w:val="0"/>
    <w:rPr>
      <w:rFonts w:ascii="仿宋" w:hAnsi="仿宋" w:eastAsia="仿宋" w:cs="Times New Roman"/>
      <w:sz w:val="32"/>
      <w:lang w:bidi="hi-IN"/>
    </w:rPr>
  </w:style>
  <w:style w:type="character" w:customStyle="1" w:styleId="24">
    <w:name w:val="标题 3 Char"/>
    <w:link w:val="5"/>
    <w:autoRedefine/>
    <w:qFormat/>
    <w:uiPriority w:val="0"/>
    <w:rPr>
      <w:rFonts w:ascii="宋体" w:hAnsi="宋体" w:eastAsia="仿宋" w:cs="Times New Roman"/>
      <w:sz w:val="32"/>
      <w:lang w:bidi="hi-IN"/>
    </w:rPr>
  </w:style>
  <w:style w:type="paragraph" w:customStyle="1" w:styleId="25">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6">
    <w:name w:val="Body text|2"/>
    <w:basedOn w:val="1"/>
    <w:qFormat/>
    <w:uiPriority w:val="0"/>
    <w:pPr>
      <w:spacing w:line="434" w:lineRule="auto"/>
      <w:ind w:firstLine="400"/>
    </w:pPr>
    <w:rPr>
      <w:rFonts w:ascii="宋体" w:hAnsi="宋体" w:eastAsia="宋体" w:cs="宋体"/>
      <w:sz w:val="30"/>
      <w:szCs w:val="30"/>
    </w:rPr>
  </w:style>
  <w:style w:type="paragraph" w:styleId="27">
    <w:name w:val="List Paragraph"/>
    <w:basedOn w:val="1"/>
    <w:qFormat/>
    <w:uiPriority w:val="34"/>
    <w:pPr>
      <w:ind w:firstLine="420" w:firstLineChars="200"/>
    </w:pPr>
  </w:style>
  <w:style w:type="paragraph" w:customStyle="1" w:styleId="28">
    <w:name w:val="！正文"/>
    <w:basedOn w:val="1"/>
    <w:qFormat/>
    <w:uiPriority w:val="0"/>
    <w:pPr>
      <w:spacing w:line="360" w:lineRule="auto"/>
      <w:ind w:firstLine="480" w:firstLineChars="200"/>
    </w:pPr>
    <w:rPr>
      <w:rFonts w:ascii="Arial" w:hAnsi="Arial" w:eastAsia="宋体" w:cs="宋体"/>
      <w:sz w:val="24"/>
      <w:szCs w:val="24"/>
    </w:rPr>
  </w:style>
  <w:style w:type="paragraph" w:customStyle="1" w:styleId="29">
    <w:name w:val="样式5"/>
    <w:basedOn w:val="1"/>
    <w:qFormat/>
    <w:uiPriority w:val="0"/>
    <w:rPr>
      <w:rFonts w:ascii="宋体" w:hAnsi="宋体"/>
      <w:b/>
    </w:rPr>
  </w:style>
  <w:style w:type="paragraph" w:customStyle="1" w:styleId="30">
    <w:name w:val="列出段落1"/>
    <w:basedOn w:val="1"/>
    <w:qFormat/>
    <w:uiPriority w:val="34"/>
    <w:pPr>
      <w:ind w:firstLine="420" w:firstLineChars="200"/>
    </w:pPr>
    <w:rPr>
      <w:rFonts w:ascii="Calibri" w:hAnsi="Calibri" w:eastAsia="宋体" w:cs="黑体"/>
    </w:rPr>
  </w:style>
  <w:style w:type="character" w:customStyle="1" w:styleId="31">
    <w:name w:val="font11"/>
    <w:basedOn w:val="17"/>
    <w:qFormat/>
    <w:uiPriority w:val="0"/>
    <w:rPr>
      <w:rFonts w:hint="eastAsia" w:ascii="宋体" w:hAnsi="宋体" w:eastAsia="宋体" w:cs="宋体"/>
      <w:b/>
      <w:bCs/>
      <w:color w:val="000000"/>
      <w:sz w:val="30"/>
      <w:szCs w:val="30"/>
      <w:u w:val="none"/>
    </w:rPr>
  </w:style>
  <w:style w:type="character" w:customStyle="1" w:styleId="32">
    <w:name w:val="font31"/>
    <w:basedOn w:val="17"/>
    <w:qFormat/>
    <w:uiPriority w:val="0"/>
    <w:rPr>
      <w:rFonts w:hint="default" w:ascii="Segoe UI" w:hAnsi="Segoe UI" w:eastAsia="Segoe UI" w:cs="Segoe UI"/>
      <w:color w:val="404040"/>
      <w:sz w:val="24"/>
      <w:szCs w:val="24"/>
      <w:u w:val="none"/>
    </w:rPr>
  </w:style>
  <w:style w:type="paragraph" w:customStyle="1" w:styleId="33">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2540</Words>
  <Characters>2708</Characters>
  <Lines>0</Lines>
  <Paragraphs>0</Paragraphs>
  <TotalTime>9</TotalTime>
  <ScaleCrop>false</ScaleCrop>
  <LinksUpToDate>false</LinksUpToDate>
  <CharactersWithSpaces>2808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潘艺伟</cp:lastModifiedBy>
  <dcterms:modified xsi:type="dcterms:W3CDTF">2025-06-06T07:59:51Z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95C48C6622854E5EA58370DDFD4C00A0_13</vt:lpwstr>
  </property>
  <property fmtid="{D5CDD505-2E9C-101B-9397-08002B2CF9AE}" pid="4" name="KSOTemplateDocerSaveRecord">
    <vt:lpwstr>eyJoZGlkIjoiNzIxM2NkNWQ5MTEyZDU0YTlkM2VhMDE5OGI1ZmJkMWMiLCJ1c2VySWQiOiIxNzA3OTc3MDU2In0=</vt:lpwstr>
  </property>
</Properties>
</file>