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pPr>
        <w:jc w:val="both"/>
        <w:rPr>
          <w:rFonts w:ascii="宋体" w:eastAsia="宋体" w:hAnsi="宋体" w:cs="宋体"/>
          <w:b/>
          <w:spacing w:val="20"/>
          <w:sz w:val="28"/>
          <w:highlight w:val="none"/>
        </w:rPr>
        <w:sectPr>
          <w:pgSz w:w="11906" w:h="16838"/>
          <w:pgMar w:top="1440" w:right="1800" w:bottom="1440" w:left="1800" w:header="720" w:footer="720" w:gutter="0"/>
          <w:cols w:num="1" w:space="720"/>
        </w:sectPr>
      </w:pPr>
      <w:bookmarkStart w:id="0" w:name="_GoBack"/>
      <w:bookmarkEnd w:id="0"/>
    </w:p>
    <w:p>
      <w:pPr>
        <w:jc w:val="right"/>
        <w:rPr>
          <w:rFonts w:ascii="宋体" w:eastAsia="宋体" w:hAnsi="宋体" w:cs="宋体"/>
          <w:sz w:val="52"/>
          <w:szCs w:val="52"/>
          <w:highlight w:val="none"/>
        </w:rPr>
      </w:pPr>
      <w:r>
        <w:rPr>
          <w:rFonts w:ascii="宋体" w:eastAsia="宋体" w:hAnsi="宋体" w:cs="宋体" w:hint="eastAsia"/>
          <w:b/>
          <w:spacing w:val="20"/>
          <w:sz w:val="28"/>
          <w:highlight w:val="none"/>
        </w:rPr>
        <w:t>项目编号：</w:t>
      </w:r>
      <w:r>
        <w:rPr>
          <w:rFonts w:ascii="宋体" w:eastAsia="宋体" w:hAnsi="宋体" w:cs="宋体" w:hint="eastAsia"/>
          <w:b/>
          <w:spacing w:val="20"/>
          <w:sz w:val="28"/>
          <w:highlight w:val="none"/>
          <w:lang w:eastAsia="zh-CN"/>
        </w:rPr>
        <w:t>SZDL2024000581</w:t>
      </w:r>
      <w:r>
        <w:rPr>
          <w:rFonts w:ascii="宋体" w:eastAsia="宋体" w:hAnsi="宋体" w:cs="宋体" w:hint="eastAsia"/>
          <w:b/>
          <w:spacing w:val="20"/>
          <w:sz w:val="28"/>
          <w:highlight w:val="none"/>
        </w:rPr>
        <w:t xml:space="preserve"> </w:t>
      </w:r>
    </w:p>
    <w:p>
      <w:pPr>
        <w:pStyle w:val="BodyText"/>
        <w:rPr>
          <w:rFonts w:ascii="宋体" w:eastAsia="宋体" w:hAnsi="宋体" w:cs="宋体"/>
          <w:highlight w:val="none"/>
        </w:rPr>
      </w:pPr>
    </w:p>
    <w:p>
      <w:pPr>
        <w:pStyle w:val="BodyText"/>
        <w:rPr>
          <w:rFonts w:ascii="宋体" w:eastAsia="宋体" w:hAnsi="宋体" w:cs="宋体"/>
          <w:highlight w:val="none"/>
        </w:rPr>
      </w:pPr>
    </w:p>
    <w:p>
      <w:pPr>
        <w:pStyle w:val="BodyText2"/>
        <w:rPr>
          <w:rFonts w:ascii="宋体" w:eastAsia="宋体" w:hAnsi="宋体" w:cs="宋体"/>
          <w:highlight w:val="none"/>
        </w:rPr>
      </w:pPr>
    </w:p>
    <w:p>
      <w:pPr>
        <w:pStyle w:val="BodyText2"/>
        <w:rPr>
          <w:rFonts w:ascii="宋体" w:eastAsia="宋体" w:hAnsi="宋体" w:cs="宋体"/>
          <w:highlight w:val="none"/>
        </w:rPr>
      </w:pPr>
    </w:p>
    <w:p>
      <w:pPr>
        <w:jc w:val="center"/>
        <w:rPr>
          <w:rFonts w:ascii="宋体" w:eastAsia="宋体" w:hAnsi="宋体" w:cs="宋体"/>
          <w:sz w:val="52"/>
          <w:szCs w:val="52"/>
          <w:highlight w:val="none"/>
        </w:rPr>
      </w:pPr>
      <w:r>
        <w:rPr>
          <w:rFonts w:ascii="宋体" w:eastAsia="宋体" w:hAnsi="宋体" w:cs="宋体" w:hint="eastAsia"/>
          <w:sz w:val="52"/>
          <w:szCs w:val="52"/>
          <w:highlight w:val="none"/>
        </w:rPr>
        <w:t>【服务类】</w:t>
      </w:r>
    </w:p>
    <w:p>
      <w:pPr>
        <w:jc w:val="center"/>
        <w:rPr>
          <w:rFonts w:ascii="宋体" w:eastAsia="宋体" w:hAnsi="宋体" w:cs="宋体" w:hint="eastAsia"/>
          <w:sz w:val="52"/>
          <w:szCs w:val="52"/>
          <w:highlight w:val="none"/>
          <w:lang w:eastAsia="zh-CN"/>
        </w:rPr>
      </w:pPr>
      <w:r>
        <w:rPr>
          <w:rFonts w:ascii="宋体" w:eastAsia="宋体" w:hAnsi="宋体" w:cs="宋体" w:hint="eastAsia"/>
          <w:sz w:val="52"/>
          <w:szCs w:val="52"/>
          <w:highlight w:val="none"/>
          <w:lang w:eastAsia="zh-CN"/>
        </w:rPr>
        <w:t>外文数字资源年度在线使用权</w:t>
      </w: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widowControl w:val="0"/>
        <w:spacing w:after="96" w:afterLines="40"/>
        <w:jc w:val="center"/>
        <w:rPr>
          <w:rFonts w:ascii="宋体" w:eastAsia="宋体" w:hAnsi="宋体" w:cs="宋体"/>
          <w:color w:val="000000" w:themeColor="text1"/>
          <w:sz w:val="72"/>
          <w:szCs w:val="52"/>
          <w:highlight w:val="none"/>
          <w14:textFill>
            <w14:solidFill>
              <w14:schemeClr w14:val="tx1"/>
            </w14:solidFill>
          </w14:textFill>
        </w:rPr>
      </w:pPr>
      <w:r>
        <w:rPr>
          <w:rFonts w:ascii="宋体" w:eastAsia="宋体" w:hAnsi="宋体" w:cs="宋体" w:hint="eastAsia"/>
          <w:color w:val="000000" w:themeColor="text1"/>
          <w:sz w:val="72"/>
          <w:szCs w:val="52"/>
          <w:highlight w:val="none"/>
          <w14:textFill>
            <w14:solidFill>
              <w14:schemeClr w14:val="tx1"/>
            </w14:solidFill>
          </w14:textFill>
        </w:rPr>
        <w:t>招 标 文 件</w:t>
      </w:r>
    </w:p>
    <w:p>
      <w:pPr>
        <w:pStyle w:val="BodyText2"/>
        <w:rPr>
          <w:rFonts w:ascii="宋体" w:eastAsia="宋体" w:hAnsi="宋体" w:cs="宋体"/>
          <w:highlight w:val="none"/>
        </w:rPr>
      </w:pPr>
    </w:p>
    <w:p>
      <w:pPr>
        <w:pStyle w:val="BodyText"/>
        <w:rPr>
          <w:rFonts w:ascii="宋体" w:eastAsia="宋体" w:hAnsi="宋体" w:cs="宋体"/>
          <w:highlight w:val="none"/>
        </w:rPr>
      </w:pPr>
    </w:p>
    <w:p>
      <w:pPr>
        <w:pStyle w:val="BodyText2"/>
        <w:rPr>
          <w:rFonts w:ascii="宋体" w:eastAsia="宋体" w:hAnsi="宋体" w:cs="宋体"/>
          <w:highlight w:val="none"/>
        </w:rPr>
      </w:pPr>
    </w:p>
    <w:p>
      <w:pPr>
        <w:pStyle w:val="BodyText2"/>
        <w:rPr>
          <w:rFonts w:ascii="宋体" w:eastAsia="宋体" w:hAnsi="宋体" w:cs="宋体"/>
          <w:highlight w:val="none"/>
        </w:rPr>
      </w:pPr>
    </w:p>
    <w:p>
      <w:pPr>
        <w:pStyle w:val="BodyText2"/>
        <w:rPr>
          <w:rFonts w:ascii="宋体" w:eastAsia="宋体" w:hAnsi="宋体" w:cs="宋体"/>
          <w:highlight w:val="none"/>
        </w:rPr>
      </w:pPr>
    </w:p>
    <w:p>
      <w:pPr>
        <w:pStyle w:val="BodyText2"/>
        <w:widowControl w:val="0"/>
        <w:jc w:val="center"/>
        <w:rPr>
          <w:rFonts w:ascii="宋体" w:eastAsia="宋体" w:hAnsi="宋体" w:cs="宋体"/>
          <w:highlight w:val="none"/>
        </w:rPr>
      </w:pPr>
      <w:r>
        <w:rPr>
          <w:rFonts w:ascii="宋体" w:eastAsia="宋体" w:hAnsi="宋体" w:cs="宋体" w:hint="eastAsia"/>
          <w:sz w:val="44"/>
          <w:highlight w:val="none"/>
        </w:rPr>
        <w:drawing>
          <wp:inline distT="0" distB="0" distL="114300" distR="114300">
            <wp:extent cx="1210945" cy="1210945"/>
            <wp:effectExtent l="0" t="0" r="8255" b="8255"/>
            <wp:docPr id="3" name="图片 3" descr="b6bbc1c3021ac190a7f1ff08bab79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6bbc1c3021ac190a7f1ff08bab79ef"/>
                    <pic:cNvPicPr>
                      <a:picLocks noChangeAspect="1"/>
                    </pic:cNvPicPr>
                  </pic:nvPicPr>
                  <pic:blipFill>
                    <a:blip xmlns:r="http://schemas.openxmlformats.org/officeDocument/2006/relationships" r:embed="rId5"/>
                    <a:stretch>
                      <a:fillRect/>
                    </a:stretch>
                  </pic:blipFill>
                  <pic:spPr>
                    <a:xfrm>
                      <a:off x="0" y="0"/>
                      <a:ext cx="1210945" cy="1210945"/>
                    </a:xfrm>
                    <a:prstGeom prst="rect">
                      <a:avLst/>
                    </a:prstGeom>
                  </pic:spPr>
                </pic:pic>
              </a:graphicData>
            </a:graphic>
          </wp:inline>
        </w:drawing>
      </w:r>
    </w:p>
    <w:p>
      <w:pPr>
        <w:pStyle w:val="BodyText2"/>
        <w:widowControl w:val="0"/>
        <w:rPr>
          <w:rFonts w:ascii="宋体" w:eastAsia="宋体" w:hAnsi="宋体" w:cs="宋体"/>
          <w:highlight w:val="none"/>
        </w:rPr>
      </w:pPr>
    </w:p>
    <w:p>
      <w:pPr>
        <w:pStyle w:val="BodyText2"/>
        <w:widowControl w:val="0"/>
        <w:rPr>
          <w:rFonts w:ascii="宋体" w:eastAsia="宋体" w:hAnsi="宋体" w:cs="宋体"/>
          <w:highlight w:val="none"/>
        </w:rPr>
      </w:pPr>
    </w:p>
    <w:p>
      <w:pPr>
        <w:snapToGrid w:val="0"/>
        <w:jc w:val="center"/>
        <w:rPr>
          <w:rFonts w:ascii="宋体" w:eastAsia="宋体" w:hAnsi="宋体" w:cs="宋体"/>
          <w:b/>
          <w:bCs/>
          <w:sz w:val="36"/>
          <w:szCs w:val="36"/>
          <w:highlight w:val="none"/>
        </w:rPr>
      </w:pPr>
      <w:r>
        <w:rPr>
          <w:rFonts w:ascii="宋体" w:eastAsia="宋体" w:hAnsi="宋体" w:cs="宋体" w:hint="eastAsia"/>
          <w:b/>
          <w:bCs/>
          <w:sz w:val="36"/>
          <w:szCs w:val="36"/>
          <w:highlight w:val="none"/>
        </w:rPr>
        <w:t>友和保险经纪有限公司</w:t>
      </w:r>
    </w:p>
    <w:p>
      <w:pPr>
        <w:snapToGrid w:val="0"/>
        <w:jc w:val="center"/>
        <w:rPr>
          <w:rFonts w:ascii="宋体" w:eastAsia="宋体" w:hAnsi="宋体" w:cs="宋体"/>
          <w:b/>
          <w:bCs/>
          <w:sz w:val="21"/>
          <w:szCs w:val="21"/>
          <w:highlight w:val="none"/>
        </w:rPr>
      </w:pPr>
    </w:p>
    <w:p>
      <w:pPr>
        <w:jc w:val="center"/>
        <w:rPr>
          <w:rFonts w:ascii="宋体" w:eastAsia="宋体" w:hAnsi="宋体" w:cs="宋体"/>
          <w:b/>
          <w:bCs/>
          <w:color w:val="000000" w:themeColor="text1"/>
          <w:sz w:val="40"/>
          <w:szCs w:val="40"/>
          <w:highlight w:val="none"/>
          <w14:textFill>
            <w14:solidFill>
              <w14:schemeClr w14:val="tx1"/>
            </w14:solidFill>
          </w14:textFill>
        </w:rPr>
      </w:pPr>
      <w:r>
        <w:rPr>
          <w:rFonts w:ascii="宋体" w:eastAsia="宋体" w:hAnsi="宋体" w:cs="宋体" w:hint="eastAsia"/>
          <w:b/>
          <w:bCs/>
          <w:sz w:val="36"/>
          <w:szCs w:val="36"/>
          <w:highlight w:val="none"/>
        </w:rPr>
        <w:t>二〇二四年</w:t>
      </w:r>
      <w:r>
        <w:rPr>
          <w:rFonts w:ascii="宋体" w:eastAsia="宋体" w:hAnsi="宋体" w:cs="宋体" w:hint="eastAsia"/>
          <w:b/>
          <w:bCs/>
          <w:sz w:val="36"/>
          <w:szCs w:val="36"/>
          <w:highlight w:val="none"/>
          <w:lang w:val="en-US" w:eastAsia="zh-CN"/>
        </w:rPr>
        <w:t>四</w:t>
      </w:r>
      <w:r>
        <w:rPr>
          <w:rFonts w:ascii="宋体" w:eastAsia="宋体" w:hAnsi="宋体" w:cs="宋体" w:hint="eastAsia"/>
          <w:b/>
          <w:bCs/>
          <w:sz w:val="36"/>
          <w:szCs w:val="36"/>
          <w:highlight w:val="none"/>
        </w:rPr>
        <w:t>月</w:t>
      </w:r>
    </w:p>
    <w:p>
      <w:pPr>
        <w:spacing w:beforeAutospacing="1" w:afterAutospacing="1"/>
        <w:jc w:val="center"/>
        <w:outlineLvl w:val="1"/>
        <w:rPr>
          <w:rFonts w:ascii="宋体" w:eastAsia="宋体" w:hAnsi="宋体" w:cs="宋体"/>
          <w:b/>
          <w:bCs/>
          <w:color w:val="000000" w:themeColor="text1"/>
          <w:sz w:val="40"/>
          <w:szCs w:val="40"/>
          <w:highlight w:val="none"/>
          <w14:textFill>
            <w14:solidFill>
              <w14:schemeClr w14:val="tx1"/>
            </w14:solidFill>
          </w14:textFill>
        </w:rPr>
        <w:sectPr>
          <w:footerReference w:type="default" r:id="rId6"/>
          <w:type w:val="continuous"/>
          <w:pgSz w:w="11906" w:h="16838"/>
          <w:pgMar w:top="1440" w:right="1800" w:bottom="1440" w:left="1800" w:header="720" w:footer="720" w:gutter="0"/>
          <w:cols w:num="1" w:space="720"/>
        </w:sectPr>
      </w:pPr>
    </w:p>
    <w:p>
      <w:pPr>
        <w:spacing w:beforeAutospacing="1" w:afterAutospacing="1"/>
        <w:jc w:val="center"/>
        <w:outlineLvl w:val="1"/>
        <w:rPr>
          <w:rFonts w:ascii="宋体" w:eastAsia="宋体" w:hAnsi="宋体" w:cs="宋体"/>
          <w:color w:val="000000" w:themeColor="text1"/>
          <w:sz w:val="40"/>
          <w:szCs w:val="40"/>
          <w:highlight w:val="none"/>
          <w14:textFill>
            <w14:solidFill>
              <w14:schemeClr w14:val="tx1"/>
            </w14:solidFill>
          </w14:textFill>
        </w:rPr>
      </w:pPr>
      <w:r>
        <w:rPr>
          <w:rFonts w:ascii="宋体" w:eastAsia="宋体" w:hAnsi="宋体" w:cs="宋体" w:hint="eastAsia"/>
          <w:b/>
          <w:bCs/>
          <w:color w:val="000000" w:themeColor="text1"/>
          <w:sz w:val="40"/>
          <w:szCs w:val="40"/>
          <w:highlight w:val="none"/>
          <w14:textFill>
            <w14:solidFill>
              <w14:schemeClr w14:val="tx1"/>
            </w14:solidFill>
          </w14:textFill>
        </w:rPr>
        <w:t>招</w:t>
      </w:r>
      <w:r>
        <w:rPr>
          <w:rFonts w:ascii="宋体" w:eastAsia="宋体" w:hAnsi="宋体" w:cs="宋体" w:hint="eastAsia"/>
          <w:color w:val="000000" w:themeColor="text1"/>
          <w:sz w:val="40"/>
          <w:szCs w:val="40"/>
          <w:highlight w:val="none"/>
          <w14:textFill>
            <w14:solidFill>
              <w14:schemeClr w14:val="tx1"/>
            </w14:solidFill>
          </w14:textFill>
        </w:rPr>
        <w:t>标文件信息</w:t>
      </w:r>
    </w:p>
    <w:tbl>
      <w:tblPr>
        <w:tblStyle w:val="TableNormal"/>
        <w:tblW w:w="7943" w:type="dxa"/>
        <w:jc w:val="center"/>
        <w:tblCellSpacing w:w="0" w:type="dxa"/>
        <w:tblLayout w:type="fixed"/>
        <w:tblCellMar>
          <w:top w:w="45" w:type="dxa"/>
          <w:left w:w="45" w:type="dxa"/>
          <w:bottom w:w="45" w:type="dxa"/>
          <w:right w:w="45" w:type="dxa"/>
        </w:tblCellMar>
      </w:tblPr>
      <w:tblGrid>
        <w:gridCol w:w="2723"/>
        <w:gridCol w:w="5220"/>
      </w:tblGrid>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项目编号：</w:t>
            </w:r>
          </w:p>
        </w:tc>
        <w:tc>
          <w:tcPr>
            <w:tcW w:w="5220" w:type="dxa"/>
            <w:shd w:val="clear" w:color="auto" w:fill="auto"/>
            <w:vAlign w:val="center"/>
          </w:tcPr>
          <w:p>
            <w:pPr>
              <w:rPr>
                <w:rFonts w:ascii="宋体" w:eastAsia="宋体" w:hAnsi="宋体" w:cs="宋体" w:hint="eastAsia"/>
                <w:color w:val="000000" w:themeColor="text1"/>
                <w:sz w:val="30"/>
                <w:szCs w:val="30"/>
                <w:highlight w:val="none"/>
                <w:lang w:eastAsia="zh-CN"/>
                <w14:textFill>
                  <w14:solidFill>
                    <w14:schemeClr w14:val="tx1"/>
                  </w14:solidFill>
                </w14:textFill>
              </w:rPr>
            </w:pPr>
            <w:r>
              <w:rPr>
                <w:rFonts w:ascii="宋体" w:eastAsia="宋体" w:hAnsi="宋体" w:cs="宋体" w:hint="eastAsia"/>
                <w:color w:val="000000" w:themeColor="text1"/>
                <w:sz w:val="30"/>
                <w:szCs w:val="30"/>
                <w:highlight w:val="none"/>
                <w:lang w:eastAsia="zh-CN"/>
                <w14:textFill>
                  <w14:solidFill>
                    <w14:schemeClr w14:val="tx1"/>
                  </w14:solidFill>
                </w14:textFill>
              </w:rPr>
              <w:t>SZDL2024000581</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项目名称：</w:t>
            </w:r>
          </w:p>
        </w:tc>
        <w:tc>
          <w:tcPr>
            <w:tcW w:w="5220" w:type="dxa"/>
            <w:shd w:val="clear" w:color="auto" w:fill="auto"/>
            <w:vAlign w:val="center"/>
          </w:tcPr>
          <w:p>
            <w:pPr>
              <w:rPr>
                <w:rFonts w:ascii="宋体" w:eastAsia="宋体" w:hAnsi="宋体" w:cs="宋体" w:hint="eastAsia"/>
                <w:color w:val="000000" w:themeColor="text1"/>
                <w:sz w:val="30"/>
                <w:szCs w:val="30"/>
                <w:highlight w:val="none"/>
                <w:lang w:eastAsia="zh-CN"/>
                <w14:textFill>
                  <w14:solidFill>
                    <w14:schemeClr w14:val="tx1"/>
                  </w14:solidFill>
                </w14:textFill>
              </w:rPr>
            </w:pPr>
            <w:r>
              <w:rPr>
                <w:rFonts w:ascii="宋体" w:eastAsia="宋体" w:hAnsi="宋体" w:cs="宋体" w:hint="eastAsia"/>
                <w:color w:val="000000" w:themeColor="text1"/>
                <w:sz w:val="30"/>
                <w:szCs w:val="30"/>
                <w:highlight w:val="none"/>
                <w:lang w:eastAsia="zh-CN"/>
                <w14:textFill>
                  <w14:solidFill>
                    <w14:schemeClr w14:val="tx1"/>
                  </w14:solidFill>
                </w14:textFill>
              </w:rPr>
              <w:t>外文数字资源年度在线使用权</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包   号：</w:t>
            </w:r>
          </w:p>
        </w:tc>
        <w:tc>
          <w:tcPr>
            <w:tcW w:w="5220" w:type="dxa"/>
            <w:shd w:val="clear" w:color="auto" w:fill="auto"/>
            <w:vAlign w:val="center"/>
          </w:tcPr>
          <w:p>
            <w:pPr>
              <w:rPr>
                <w:rFonts w:ascii="宋体" w:eastAsia="宋体" w:hAnsi="宋体" w:cs="宋体"/>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A</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项目类型：</w:t>
            </w:r>
          </w:p>
        </w:tc>
        <w:tc>
          <w:tcPr>
            <w:tcW w:w="5220" w:type="dxa"/>
            <w:shd w:val="clear" w:color="auto" w:fill="auto"/>
            <w:vAlign w:val="center"/>
          </w:tcPr>
          <w:p>
            <w:pPr>
              <w:rPr>
                <w:rFonts w:ascii="宋体" w:eastAsia="宋体" w:hAnsi="宋体" w:cs="宋体"/>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服务类</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采购方式：</w:t>
            </w:r>
          </w:p>
        </w:tc>
        <w:tc>
          <w:tcPr>
            <w:tcW w:w="5220" w:type="dxa"/>
            <w:shd w:val="clear" w:color="auto" w:fill="auto"/>
            <w:vAlign w:val="center"/>
          </w:tcPr>
          <w:p>
            <w:pPr>
              <w:rPr>
                <w:rFonts w:ascii="宋体" w:eastAsia="宋体" w:hAnsi="宋体" w:cs="宋体"/>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公开招标</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货币类型：</w:t>
            </w:r>
          </w:p>
        </w:tc>
        <w:tc>
          <w:tcPr>
            <w:tcW w:w="5220" w:type="dxa"/>
            <w:shd w:val="clear" w:color="auto" w:fill="auto"/>
            <w:vAlign w:val="center"/>
          </w:tcPr>
          <w:p>
            <w:pPr>
              <w:rPr>
                <w:rFonts w:ascii="宋体" w:eastAsia="宋体" w:hAnsi="宋体" w:cs="宋体"/>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人民币</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评标方法：</w:t>
            </w:r>
          </w:p>
        </w:tc>
        <w:tc>
          <w:tcPr>
            <w:tcW w:w="5220" w:type="dxa"/>
            <w:shd w:val="clear" w:color="auto" w:fill="auto"/>
            <w:vAlign w:val="center"/>
          </w:tcPr>
          <w:p>
            <w:pPr>
              <w:rPr>
                <w:rFonts w:ascii="宋体" w:eastAsia="宋体" w:hAnsi="宋体" w:cs="宋体"/>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综合评分法（新价格分算法）</w:t>
            </w:r>
          </w:p>
        </w:tc>
      </w:tr>
    </w:tbl>
    <w:p>
      <w:pPr>
        <w:pStyle w:val="NormalWeb"/>
        <w:jc w:val="center"/>
        <w:outlineLvl w:val="1"/>
        <w:rPr>
          <w:rFonts w:ascii="宋体" w:eastAsia="宋体" w:hAnsi="宋体" w:cs="宋体"/>
          <w:color w:val="000000" w:themeColor="text1"/>
          <w:sz w:val="40"/>
          <w:szCs w:val="40"/>
          <w:highlight w:val="none"/>
          <w14:textFill>
            <w14:solidFill>
              <w14:schemeClr w14:val="tx1"/>
            </w14:solidFill>
          </w14:textFill>
        </w:rPr>
      </w:pPr>
      <w:r>
        <w:rPr>
          <w:rFonts w:ascii="宋体" w:eastAsia="宋体" w:hAnsi="宋体" w:cs="宋体" w:hint="eastAsia"/>
          <w:color w:val="000000" w:themeColor="text1"/>
          <w:sz w:val="40"/>
          <w:szCs w:val="40"/>
          <w:highlight w:val="none"/>
          <w14:textFill>
            <w14:solidFill>
              <w14:schemeClr w14:val="tx1"/>
            </w14:solidFill>
          </w14:textFill>
        </w:rPr>
        <w:t>资格性审查表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color w:val="000000" w:themeColor="text1"/>
                <w:sz w:val="28"/>
                <w:szCs w:val="28"/>
                <w:highlight w:val="none"/>
                <w14:textFill>
                  <w14:solidFill>
                    <w14:schemeClr w14:val="tx1"/>
                  </w14:solidFill>
                </w14:textFill>
              </w:rPr>
            </w:pPr>
            <w:r>
              <w:rPr>
                <w:rFonts w:ascii="宋体" w:eastAsia="宋体" w:hAnsi="宋体" w:cs="宋体" w:hint="eastAsia"/>
                <w:color w:val="000000" w:themeColor="text1"/>
                <w:sz w:val="28"/>
                <w:szCs w:val="28"/>
                <w:highlight w:val="none"/>
                <w14:textFill>
                  <w14:solidFill>
                    <w14:schemeClr w14:val="tx1"/>
                  </w14:solidFill>
                </w14:textFill>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color w:val="000000" w:themeColor="text1"/>
                <w:sz w:val="28"/>
                <w:szCs w:val="28"/>
                <w:highlight w:val="none"/>
                <w14:textFill>
                  <w14:solidFill>
                    <w14:schemeClr w14:val="tx1"/>
                  </w14:solidFill>
                </w14:textFill>
              </w:rPr>
            </w:pPr>
            <w:r>
              <w:rPr>
                <w:rFonts w:ascii="宋体" w:eastAsia="宋体" w:hAnsi="宋体" w:cs="宋体" w:hint="eastAsia"/>
                <w:color w:val="000000" w:themeColor="text1"/>
                <w:sz w:val="28"/>
                <w:szCs w:val="28"/>
                <w:highlight w:val="none"/>
                <w14:textFill>
                  <w14:solidFill>
                    <w14:schemeClr w14:val="tx1"/>
                  </w14:solidFill>
                </w14:textFill>
              </w:rPr>
              <w:t>内容</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投标人不符合资格要求，或未提交相应的资格证明资料（详见招标公告投标人资格要求，即申请人的资格要求）</w:t>
            </w:r>
          </w:p>
        </w:tc>
      </w:tr>
    </w:tbl>
    <w:p>
      <w:pPr>
        <w:pStyle w:val="NormalWeb"/>
        <w:spacing w:before="280"/>
        <w:jc w:val="center"/>
        <w:outlineLvl w:val="1"/>
        <w:rPr>
          <w:rFonts w:ascii="宋体" w:eastAsia="宋体" w:hAnsi="宋体" w:cs="宋体"/>
          <w:color w:val="000000" w:themeColor="text1"/>
          <w:sz w:val="40"/>
          <w:szCs w:val="40"/>
          <w:highlight w:val="none"/>
          <w14:textFill>
            <w14:solidFill>
              <w14:schemeClr w14:val="tx1"/>
            </w14:solidFill>
          </w14:textFill>
        </w:rPr>
      </w:pPr>
      <w:r>
        <w:rPr>
          <w:rFonts w:ascii="宋体" w:eastAsia="宋体" w:hAnsi="宋体" w:cs="宋体" w:hint="eastAsia"/>
          <w:color w:val="000000" w:themeColor="text1"/>
          <w:sz w:val="40"/>
          <w:szCs w:val="40"/>
          <w:highlight w:val="none"/>
          <w14:textFill>
            <w14:solidFill>
              <w14:schemeClr w14:val="tx1"/>
            </w14:solidFill>
          </w14:textFill>
        </w:rPr>
        <w:t>符合性审查表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color w:val="000000" w:themeColor="text1"/>
                <w:sz w:val="28"/>
                <w:szCs w:val="28"/>
                <w:highlight w:val="none"/>
                <w14:textFill>
                  <w14:solidFill>
                    <w14:schemeClr w14:val="tx1"/>
                  </w14:solidFill>
                </w14:textFill>
              </w:rPr>
            </w:pPr>
            <w:r>
              <w:rPr>
                <w:rFonts w:ascii="宋体" w:eastAsia="宋体" w:hAnsi="宋体" w:cs="宋体" w:hint="eastAsia"/>
                <w:color w:val="000000" w:themeColor="text1"/>
                <w:sz w:val="28"/>
                <w:szCs w:val="28"/>
                <w:highlight w:val="none"/>
                <w14:textFill>
                  <w14:solidFill>
                    <w14:schemeClr w14:val="tx1"/>
                  </w14:solidFill>
                </w14:textFill>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color w:val="000000" w:themeColor="text1"/>
                <w:sz w:val="28"/>
                <w:szCs w:val="28"/>
                <w:highlight w:val="none"/>
                <w14:textFill>
                  <w14:solidFill>
                    <w14:schemeClr w14:val="tx1"/>
                  </w14:solidFill>
                </w14:textFill>
              </w:rPr>
            </w:pPr>
            <w:r>
              <w:rPr>
                <w:rFonts w:ascii="宋体" w:eastAsia="宋体" w:hAnsi="宋体" w:cs="宋体" w:hint="eastAsia"/>
                <w:color w:val="000000" w:themeColor="text1"/>
                <w:sz w:val="28"/>
                <w:szCs w:val="28"/>
                <w:highlight w:val="none"/>
                <w14:textFill>
                  <w14:solidFill>
                    <w14:schemeClr w14:val="tx1"/>
                  </w14:solidFill>
                </w14:textFill>
              </w:rPr>
              <w:t>内容</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将一个包或一个标段的内容拆开投标；</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对同一项目投标时，提供两套以上的投标方案（招标文件另有规定的除外）；</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highlight w:val="none"/>
              </w:rPr>
              <w:t>分项报价或投标总价高于</w:t>
            </w:r>
            <w:bookmarkStart w:id="1" w:name="_Hlk71832186"/>
            <w:r>
              <w:rPr>
                <w:rFonts w:ascii="宋体" w:eastAsia="宋体" w:hAnsi="宋体" w:cs="宋体" w:hint="eastAsia"/>
                <w:highlight w:val="none"/>
              </w:rPr>
              <w:t>相应财政预算金额（或设定的财政预算金额下的最高限价）</w:t>
            </w:r>
            <w:bookmarkEnd w:id="1"/>
            <w:r>
              <w:rPr>
                <w:rFonts w:ascii="宋体" w:eastAsia="宋体" w:hAnsi="宋体" w:cs="宋体" w:hint="eastAsia"/>
                <w:highlight w:val="none"/>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highlight w:val="none"/>
              </w:rPr>
              <w:t>所投货物、服务在技术、商务等方面没有实质性满足招标文件要求的（是否实质性满足招标文件要求，由评审委员会根据《实质性条款响应情况表》做出评判）；</w:t>
            </w:r>
          </w:p>
        </w:tc>
      </w:tr>
      <w:tr>
        <w:tblPrEx>
          <w:tblW w:w="9072" w:type="dxa"/>
          <w:jc w:val="center"/>
          <w:tblLayout w:type="fixed"/>
          <w:tblCellMar>
            <w:top w:w="20" w:type="dxa"/>
            <w:left w:w="108" w:type="dxa"/>
            <w:bottom w:w="20" w:type="dxa"/>
            <w:right w:w="108" w:type="dxa"/>
          </w:tblCellMar>
        </w:tblPrEx>
        <w:trPr>
          <w:trHeight w:val="318"/>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6</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未按招标文件所提供的样式填写《投标函》；</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7</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未按招标文件所提供的《政府采购投标及履约承诺函》进行承诺；</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8</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未按招标文件对投标文件组成的要求提供投标文件；</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9</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投标报价有缺漏项目,或者对招标文件规定的项目需求内容或者需求数量进行修改，评审委员会判定投标响应不满足采购需求；</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10</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投标文件存在列放位置错误，导致属于信息公开情形的没有被公开；</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投标文件电子文档带病毒；</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12</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投标文件用不属于本公司的电子密钥进行加密的；</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13</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不同投标供应商投标文件“文件制作机器码”或“文件创建标识码”一致的；</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14</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法律、法规、规章、规范性文件规定的其他情形。</w:t>
            </w:r>
          </w:p>
        </w:tc>
      </w:tr>
    </w:tbl>
    <w:p>
      <w:pPr>
        <w:pStyle w:val="NormalWeb"/>
        <w:jc w:val="center"/>
        <w:outlineLvl w:val="1"/>
        <w:rPr>
          <w:rFonts w:ascii="宋体" w:eastAsia="宋体" w:hAnsi="宋体" w:cs="宋体"/>
          <w:color w:val="000000" w:themeColor="text1"/>
          <w:sz w:val="40"/>
          <w:szCs w:val="40"/>
          <w:highlight w:val="none"/>
          <w14:textFill>
            <w14:solidFill>
              <w14:schemeClr w14:val="tx1"/>
            </w14:solidFill>
          </w14:textFill>
        </w:rPr>
      </w:pPr>
      <w:r>
        <w:rPr>
          <w:rFonts w:ascii="宋体" w:eastAsia="宋体" w:hAnsi="宋体" w:cs="宋体" w:hint="eastAsia"/>
          <w:color w:val="000000" w:themeColor="text1"/>
          <w:sz w:val="40"/>
          <w:szCs w:val="40"/>
          <w:highlight w:val="none"/>
          <w14:textFill>
            <w14:solidFill>
              <w14:schemeClr w14:val="tx1"/>
            </w14:solidFill>
          </w14:textFill>
        </w:rPr>
        <w:t>评标信息</w:t>
      </w:r>
    </w:p>
    <w:tbl>
      <w:tblPr>
        <w:tblStyle w:val="TableNormal"/>
        <w:tblW w:w="9072" w:type="dxa"/>
        <w:jc w:val="center"/>
        <w:tblCellSpacing w:w="0" w:type="dxa"/>
        <w:tblLayout w:type="fixed"/>
        <w:tblCellMar>
          <w:top w:w="45" w:type="dxa"/>
          <w:left w:w="45" w:type="dxa"/>
          <w:bottom w:w="45" w:type="dxa"/>
          <w:right w:w="45" w:type="dxa"/>
        </w:tblCellMar>
      </w:tblPr>
      <w:tblGrid>
        <w:gridCol w:w="8867"/>
        <w:gridCol w:w="205"/>
      </w:tblGrid>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8867" w:type="dxa"/>
            <w:tcBorders>
              <w:top w:val="nil"/>
              <w:left w:val="nil"/>
              <w:bottom w:val="nil"/>
              <w:right w:val="nil"/>
            </w:tcBorders>
            <w:vAlign w:val="center"/>
          </w:tcPr>
          <w:p>
            <w:pPr>
              <w:spacing w:line="360" w:lineRule="auto"/>
              <w:rPr>
                <w:rFonts w:ascii="宋体" w:eastAsia="宋体" w:hAnsi="宋体" w:cs="宋体"/>
                <w:b/>
                <w:bCs/>
                <w:color w:val="000000" w:themeColor="text1"/>
                <w:highlight w:val="none"/>
                <w14:textFill>
                  <w14:solidFill>
                    <w14:schemeClr w14:val="tx1"/>
                  </w14:solidFill>
                </w14:textFill>
              </w:rPr>
            </w:pPr>
            <w:r>
              <w:rPr>
                <w:rFonts w:ascii="宋体" w:eastAsia="宋体" w:hAnsi="宋体" w:cs="宋体" w:hint="eastAsia"/>
                <w:b/>
                <w:bCs/>
                <w:color w:val="000000" w:themeColor="text1"/>
                <w:highlight w:val="none"/>
                <w14:textFill>
                  <w14:solidFill>
                    <w14:schemeClr w14:val="tx1"/>
                  </w14:solidFill>
                </w14:textFill>
              </w:rPr>
              <w:t>评标方法：最低价法/综合评分法（新价格分算法）</w:t>
            </w:r>
          </w:p>
        </w:tc>
        <w:tc>
          <w:tcPr>
            <w:tcW w:w="205" w:type="dxa"/>
            <w:tcBorders>
              <w:top w:val="nil"/>
              <w:left w:val="nil"/>
              <w:bottom w:val="nil"/>
              <w:right w:val="nil"/>
            </w:tcBorders>
            <w:vAlign w:val="center"/>
          </w:tcPr>
          <w:p>
            <w:pPr>
              <w:spacing w:line="360" w:lineRule="auto"/>
              <w:jc w:val="right"/>
              <w:rPr>
                <w:rFonts w:ascii="宋体" w:eastAsia="宋体" w:hAnsi="宋体" w:cs="宋体"/>
                <w:b/>
                <w:bCs/>
                <w:color w:val="000000" w:themeColor="text1"/>
                <w:highlight w:val="none"/>
                <w14:textFill>
                  <w14:solidFill>
                    <w14:schemeClr w14:val="tx1"/>
                  </w14:solidFill>
                </w14:textFill>
              </w:rPr>
            </w:pPr>
          </w:p>
        </w:tc>
      </w:tr>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9072" w:type="dxa"/>
            <w:gridSpan w:val="2"/>
            <w:tcBorders>
              <w:top w:val="nil"/>
              <w:left w:val="nil"/>
              <w:bottom w:val="nil"/>
              <w:right w:val="nil"/>
            </w:tcBorders>
            <w:vAlign w:val="center"/>
          </w:tcPr>
          <w:p>
            <w:pPr>
              <w:pStyle w:val="NormalWeb"/>
              <w:spacing w:line="360" w:lineRule="auto"/>
              <w:ind w:firstLine="42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 xml:space="preserve">综合评分法，是指投标文件满足招标文件全部实质性要求，且按照评审因素的量化指标评审得分最高的投标人为中标候选人的评标方法。 </w:t>
            </w:r>
          </w:p>
          <w:p>
            <w:pPr>
              <w:pStyle w:val="NormalWeb"/>
              <w:spacing w:line="360" w:lineRule="auto"/>
              <w:ind w:firstLine="42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价格分计算方法：</w:t>
            </w:r>
          </w:p>
          <w:p>
            <w:pPr>
              <w:pStyle w:val="NormalWeb"/>
              <w:spacing w:line="360" w:lineRule="auto"/>
              <w:ind w:left="42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 xml:space="preserve">采用低价优先法计算，即满足招标文件要求且投标价格最低的投标报价为评标基准价，其价格分为满分。其他投标人的价格分统一按照下列公式计算： </w:t>
            </w:r>
          </w:p>
          <w:p>
            <w:pPr>
              <w:pStyle w:val="NormalWeb"/>
              <w:spacing w:line="360" w:lineRule="auto"/>
              <w:ind w:left="42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 xml:space="preserve">投标报价得分=(评标基准价／投标报价)×100 </w:t>
            </w:r>
          </w:p>
          <w:p>
            <w:pPr>
              <w:pStyle w:val="NormalWeb"/>
              <w:spacing w:line="360" w:lineRule="auto"/>
              <w:ind w:left="42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 xml:space="preserve">评标总得分＝F1×A1＋F2×A2＋……＋Fn×An </w:t>
            </w:r>
          </w:p>
          <w:p>
            <w:pPr>
              <w:pStyle w:val="NormalWeb"/>
              <w:spacing w:line="360" w:lineRule="auto"/>
              <w:ind w:left="42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 xml:space="preserve">F1、F2……Fn分别为各项评审因素的得分； </w:t>
            </w:r>
          </w:p>
          <w:p>
            <w:pPr>
              <w:pStyle w:val="NormalWeb"/>
              <w:spacing w:line="360" w:lineRule="auto"/>
              <w:ind w:left="42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 xml:space="preserve">A1、A2、……An 分别为各项评审因素所占的权重(A1＋A2＋……＋An＝1)。 </w:t>
            </w:r>
          </w:p>
          <w:p>
            <w:pPr>
              <w:pStyle w:val="NormalWeb"/>
              <w:spacing w:line="360" w:lineRule="auto"/>
              <w:ind w:left="42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 xml:space="preserve">评标过程中，不得去掉报价中的最高报价和最低报价。 </w:t>
            </w:r>
          </w:p>
          <w:p>
            <w:pPr>
              <w:pStyle w:val="NormalWeb"/>
              <w:spacing w:line="360" w:lineRule="auto"/>
              <w:ind w:left="42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 xml:space="preserve">此方法适用于货物类、服务类、工程类项目。 </w:t>
            </w:r>
          </w:p>
        </w:tc>
      </w:tr>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9072" w:type="dxa"/>
            <w:gridSpan w:val="2"/>
            <w:tcBorders>
              <w:top w:val="nil"/>
              <w:left w:val="nil"/>
              <w:bottom w:val="nil"/>
              <w:right w:val="nil"/>
            </w:tcBorders>
            <w:vAlign w:val="center"/>
          </w:tcPr>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676"/>
              <w:gridCol w:w="675"/>
              <w:gridCol w:w="1295"/>
              <w:gridCol w:w="1030"/>
              <w:gridCol w:w="5396"/>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676"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b/>
                      <w:bCs/>
                      <w:highlight w:val="none"/>
                    </w:rPr>
                  </w:pPr>
                  <w:r>
                    <w:rPr>
                      <w:rFonts w:ascii="宋体" w:eastAsia="宋体" w:hAnsi="宋体" w:cs="宋体" w:hint="eastAsia"/>
                      <w:b/>
                      <w:bCs/>
                      <w:highlight w:val="none"/>
                    </w:rPr>
                    <w:t>序号</w:t>
                  </w:r>
                </w:p>
              </w:tc>
              <w:tc>
                <w:tcPr>
                  <w:tcW w:w="3000" w:type="dxa"/>
                  <w:gridSpan w:val="3"/>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b/>
                      <w:bCs/>
                      <w:highlight w:val="none"/>
                    </w:rPr>
                  </w:pPr>
                  <w:r>
                    <w:rPr>
                      <w:rFonts w:ascii="宋体" w:eastAsia="宋体" w:hAnsi="宋体" w:cs="宋体" w:hint="eastAsia"/>
                      <w:b/>
                      <w:bCs/>
                      <w:highlight w:val="none"/>
                    </w:rPr>
                    <w:t>评分项</w:t>
                  </w:r>
                </w:p>
              </w:tc>
              <w:tc>
                <w:tcPr>
                  <w:tcW w:w="5396"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b/>
                      <w:bCs/>
                      <w:highlight w:val="none"/>
                    </w:rPr>
                  </w:pPr>
                  <w:r>
                    <w:rPr>
                      <w:rFonts w:ascii="宋体" w:eastAsia="宋体" w:hAnsi="宋体" w:cs="宋体" w:hint="eastAsia"/>
                      <w:b/>
                      <w:bCs/>
                      <w:highlight w:val="none"/>
                    </w:rPr>
                    <w:t>权重(%)</w:t>
                  </w:r>
                </w:p>
              </w:tc>
            </w:tr>
            <w:tr>
              <w:tblPrEx>
                <w:tblW w:w="9072" w:type="dxa"/>
                <w:jc w:val="center"/>
                <w:tblLayout w:type="fixed"/>
                <w:tblCellMar>
                  <w:top w:w="20" w:type="dxa"/>
                  <w:left w:w="108" w:type="dxa"/>
                  <w:bottom w:w="20" w:type="dxa"/>
                  <w:right w:w="108" w:type="dxa"/>
                </w:tblCellMar>
              </w:tblPrEx>
              <w:trPr>
                <w:jc w:val="center"/>
              </w:trPr>
              <w:tc>
                <w:tcPr>
                  <w:tcW w:w="676"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b/>
                      <w:bCs/>
                      <w:highlight w:val="none"/>
                    </w:rPr>
                  </w:pPr>
                  <w:r>
                    <w:rPr>
                      <w:rFonts w:ascii="宋体" w:eastAsia="宋体" w:hAnsi="宋体" w:cs="宋体" w:hint="eastAsia"/>
                      <w:b/>
                      <w:bCs/>
                      <w:highlight w:val="none"/>
                    </w:rPr>
                    <w:t>1</w:t>
                  </w:r>
                </w:p>
              </w:tc>
              <w:tc>
                <w:tcPr>
                  <w:tcW w:w="3000" w:type="dxa"/>
                  <w:gridSpan w:val="3"/>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b/>
                      <w:bCs/>
                      <w:highlight w:val="none"/>
                    </w:rPr>
                  </w:pPr>
                  <w:r>
                    <w:rPr>
                      <w:rFonts w:ascii="宋体" w:eastAsia="宋体" w:hAnsi="宋体" w:cs="宋体" w:hint="eastAsia"/>
                      <w:b/>
                      <w:bCs/>
                      <w:highlight w:val="none"/>
                    </w:rPr>
                    <w:t>价格</w:t>
                  </w:r>
                </w:p>
              </w:tc>
              <w:tc>
                <w:tcPr>
                  <w:tcW w:w="5396"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b/>
                      <w:bCs/>
                      <w:highlight w:val="none"/>
                    </w:rPr>
                  </w:pPr>
                  <w:r>
                    <w:rPr>
                      <w:rFonts w:ascii="宋体" w:eastAsia="宋体" w:hAnsi="宋体" w:cs="宋体" w:hint="eastAsia"/>
                      <w:b/>
                      <w:bCs/>
                      <w:highlight w:val="none"/>
                    </w:rPr>
                    <w:t>10</w:t>
                  </w:r>
                </w:p>
              </w:tc>
            </w:tr>
            <w:tr>
              <w:tblPrEx>
                <w:tblW w:w="9072" w:type="dxa"/>
                <w:jc w:val="center"/>
                <w:tblLayout w:type="fixed"/>
                <w:tblCellMar>
                  <w:top w:w="20" w:type="dxa"/>
                  <w:left w:w="108" w:type="dxa"/>
                  <w:bottom w:w="20" w:type="dxa"/>
                  <w:right w:w="108" w:type="dxa"/>
                </w:tblCellMar>
              </w:tblPrEx>
              <w:trPr>
                <w:jc w:val="center"/>
              </w:trPr>
              <w:tc>
                <w:tcPr>
                  <w:tcW w:w="676" w:type="dxa"/>
                  <w:vMerge w:val="restart"/>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b/>
                      <w:bCs/>
                      <w:highlight w:val="none"/>
                    </w:rPr>
                  </w:pPr>
                  <w:r>
                    <w:rPr>
                      <w:rFonts w:ascii="宋体" w:eastAsia="宋体" w:hAnsi="宋体" w:cs="宋体" w:hint="eastAsia"/>
                      <w:b/>
                      <w:bCs/>
                      <w:highlight w:val="none"/>
                    </w:rPr>
                    <w:t>2</w:t>
                  </w:r>
                </w:p>
              </w:tc>
              <w:tc>
                <w:tcPr>
                  <w:tcW w:w="3000" w:type="dxa"/>
                  <w:gridSpan w:val="3"/>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b/>
                      <w:bCs/>
                      <w:highlight w:val="none"/>
                    </w:rPr>
                  </w:pPr>
                  <w:r>
                    <w:rPr>
                      <w:rFonts w:ascii="宋体" w:eastAsia="宋体" w:hAnsi="宋体" w:cs="宋体" w:hint="eastAsia"/>
                      <w:b/>
                      <w:bCs/>
                      <w:highlight w:val="none"/>
                    </w:rPr>
                    <w:t>技术部分</w:t>
                  </w:r>
                </w:p>
              </w:tc>
              <w:tc>
                <w:tcPr>
                  <w:tcW w:w="5396"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default"/>
                      <w:b/>
                      <w:bCs/>
                      <w:highlight w:val="none"/>
                      <w:lang w:val="en-US"/>
                    </w:rPr>
                  </w:pPr>
                  <w:r>
                    <w:rPr>
                      <w:rFonts w:ascii="宋体" w:eastAsia="宋体" w:hAnsi="宋体" w:cs="宋体" w:hint="eastAsia"/>
                      <w:b/>
                      <w:bCs/>
                      <w:highlight w:val="none"/>
                      <w:lang w:val="en-US" w:eastAsia="zh-CN"/>
                    </w:rPr>
                    <w:t>40</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pPr>
                    <w:rPr>
                      <w:rFonts w:ascii="宋体" w:eastAsia="宋体" w:hAnsi="宋体" w:cs="宋体"/>
                      <w:b/>
                      <w:bCs/>
                      <w:highlight w:val="none"/>
                    </w:rPr>
                  </w:pPr>
                </w:p>
              </w:tc>
              <w:tc>
                <w:tcPr>
                  <w:tcW w:w="675" w:type="dxa"/>
                  <w:tcBorders>
                    <w:top w:val="outset" w:sz="6" w:space="0" w:color="000000"/>
                    <w:left w:val="outset" w:sz="6" w:space="0" w:color="000000"/>
                    <w:bottom w:val="outset" w:sz="6" w:space="0" w:color="000000"/>
                    <w:right w:val="outset" w:sz="6" w:space="0" w:color="000000"/>
                  </w:tcBorders>
                  <w:shd w:val="clear" w:color="auto" w:fill="E6EFFA"/>
                  <w:vAlign w:val="center"/>
                </w:tcPr>
                <w:p>
                  <w:pPr>
                    <w:jc w:val="center"/>
                    <w:rPr>
                      <w:rFonts w:ascii="宋体" w:eastAsia="宋体" w:hAnsi="宋体" w:cs="宋体"/>
                      <w:highlight w:val="none"/>
                    </w:rPr>
                  </w:pPr>
                  <w:r>
                    <w:rPr>
                      <w:rFonts w:ascii="宋体" w:eastAsia="宋体" w:hAnsi="宋体" w:cs="宋体" w:hint="eastAsia"/>
                      <w:highlight w:val="none"/>
                    </w:rPr>
                    <w:t>序号</w:t>
                  </w:r>
                </w:p>
              </w:tc>
              <w:tc>
                <w:tcPr>
                  <w:tcW w:w="1295" w:type="dxa"/>
                  <w:tcBorders>
                    <w:top w:val="outset" w:sz="6" w:space="0" w:color="000000"/>
                    <w:left w:val="outset" w:sz="6" w:space="0" w:color="000000"/>
                    <w:bottom w:val="outset" w:sz="6" w:space="0" w:color="000000"/>
                    <w:right w:val="outset" w:sz="6" w:space="0" w:color="000000"/>
                  </w:tcBorders>
                  <w:shd w:val="clear" w:color="auto" w:fill="E6EFFA"/>
                  <w:vAlign w:val="center"/>
                </w:tcPr>
                <w:p>
                  <w:pPr>
                    <w:jc w:val="center"/>
                    <w:rPr>
                      <w:rFonts w:ascii="宋体" w:eastAsia="宋体" w:hAnsi="宋体" w:cs="宋体"/>
                      <w:highlight w:val="none"/>
                    </w:rPr>
                  </w:pPr>
                  <w:r>
                    <w:rPr>
                      <w:rFonts w:ascii="宋体" w:eastAsia="宋体" w:hAnsi="宋体" w:cs="宋体" w:hint="eastAsia"/>
                      <w:highlight w:val="none"/>
                    </w:rPr>
                    <w:t>评审因素</w:t>
                  </w:r>
                </w:p>
              </w:tc>
              <w:tc>
                <w:tcPr>
                  <w:tcW w:w="1030" w:type="dxa"/>
                  <w:tcBorders>
                    <w:top w:val="outset" w:sz="6" w:space="0" w:color="000000"/>
                    <w:left w:val="outset" w:sz="6" w:space="0" w:color="000000"/>
                    <w:bottom w:val="outset" w:sz="6" w:space="0" w:color="000000"/>
                    <w:right w:val="outset" w:sz="6" w:space="0" w:color="000000"/>
                  </w:tcBorders>
                  <w:shd w:val="clear" w:color="auto" w:fill="E6EFFA"/>
                  <w:vAlign w:val="center"/>
                </w:tcPr>
                <w:p>
                  <w:pPr>
                    <w:jc w:val="center"/>
                    <w:rPr>
                      <w:rFonts w:ascii="宋体" w:eastAsia="宋体" w:hAnsi="宋体" w:cs="宋体"/>
                      <w:highlight w:val="none"/>
                    </w:rPr>
                  </w:pPr>
                  <w:r>
                    <w:rPr>
                      <w:rFonts w:ascii="宋体" w:eastAsia="宋体" w:hAnsi="宋体" w:cs="宋体" w:hint="eastAsia"/>
                      <w:highlight w:val="none"/>
                    </w:rPr>
                    <w:t>权重(%)</w:t>
                  </w:r>
                </w:p>
              </w:tc>
              <w:tc>
                <w:tcPr>
                  <w:tcW w:w="5396" w:type="dxa"/>
                  <w:tcBorders>
                    <w:top w:val="outset" w:sz="6" w:space="0" w:color="000000"/>
                    <w:left w:val="outset" w:sz="6" w:space="0" w:color="000000"/>
                    <w:bottom w:val="outset" w:sz="6" w:space="0" w:color="000000"/>
                    <w:right w:val="outset" w:sz="6" w:space="0" w:color="000000"/>
                  </w:tcBorders>
                  <w:shd w:val="clear" w:color="auto" w:fill="E6EFFA"/>
                  <w:vAlign w:val="center"/>
                </w:tcPr>
                <w:p>
                  <w:pPr>
                    <w:jc w:val="center"/>
                    <w:rPr>
                      <w:rFonts w:ascii="宋体" w:eastAsia="宋体" w:hAnsi="宋体" w:cs="宋体"/>
                      <w:highlight w:val="none"/>
                    </w:rPr>
                  </w:pPr>
                  <w:r>
                    <w:rPr>
                      <w:rFonts w:ascii="宋体" w:eastAsia="宋体" w:hAnsi="宋体" w:cs="宋体" w:hint="eastAsia"/>
                      <w:highlight w:val="none"/>
                    </w:rPr>
                    <w:t>评分准则</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b/>
                      <w:bCs/>
                      <w:highlight w:val="none"/>
                    </w:rPr>
                  </w:pPr>
                </w:p>
              </w:tc>
              <w:tc>
                <w:tcPr>
                  <w:tcW w:w="67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1</w:t>
                  </w:r>
                </w:p>
              </w:tc>
              <w:tc>
                <w:tcPr>
                  <w:tcW w:w="1295" w:type="dxa"/>
                  <w:tcBorders>
                    <w:top w:val="single" w:sz="8" w:space="0" w:color="000000"/>
                    <w:left w:val="single" w:sz="8" w:space="0" w:color="000000"/>
                    <w:bottom w:val="single" w:sz="8" w:space="0" w:color="000000"/>
                    <w:right w:val="single" w:sz="8" w:space="0" w:color="000000"/>
                  </w:tcBorders>
                  <w:vAlign w:val="center"/>
                </w:tcPr>
                <w:p>
                  <w:pPr>
                    <w:spacing w:line="240" w:lineRule="exact"/>
                    <w:jc w:val="center"/>
                    <w:rPr>
                      <w:rFonts w:ascii="宋体" w:eastAsia="宋体" w:hAnsi="宋体" w:cs="宋体"/>
                      <w:highlight w:val="none"/>
                    </w:rPr>
                  </w:pPr>
                  <w:r>
                    <w:rPr>
                      <w:rFonts w:ascii="宋体" w:eastAsia="宋体" w:hAnsi="宋体" w:cs="宋体" w:hint="eastAsia"/>
                      <w:color w:val="000000"/>
                      <w:highlight w:val="none"/>
                      <w:lang w:val="en-US" w:eastAsia="zh-CN"/>
                    </w:rPr>
                    <w:t>服务条款</w:t>
                  </w:r>
                  <w:r>
                    <w:rPr>
                      <w:rFonts w:ascii="宋体" w:eastAsia="宋体" w:hAnsi="宋体" w:cs="宋体" w:hint="eastAsia"/>
                      <w:color w:val="000000"/>
                      <w:highlight w:val="none"/>
                    </w:rPr>
                    <w:t>响应情况</w:t>
                  </w:r>
                </w:p>
              </w:tc>
              <w:tc>
                <w:tcPr>
                  <w:tcW w:w="1030" w:type="dxa"/>
                  <w:tcBorders>
                    <w:top w:val="single" w:sz="8" w:space="0" w:color="000000"/>
                    <w:left w:val="single" w:sz="8" w:space="0" w:color="000000"/>
                    <w:bottom w:val="single" w:sz="8" w:space="0" w:color="000000"/>
                    <w:right w:val="single" w:sz="8" w:space="0" w:color="000000"/>
                  </w:tcBorders>
                  <w:vAlign w:val="center"/>
                </w:tcPr>
                <w:p>
                  <w:pPr>
                    <w:spacing w:line="240" w:lineRule="exact"/>
                    <w:jc w:val="center"/>
                    <w:rPr>
                      <w:rFonts w:ascii="宋体" w:eastAsia="宋体" w:hAnsi="宋体" w:cs="宋体"/>
                      <w:highlight w:val="none"/>
                    </w:rPr>
                  </w:pPr>
                  <w:r>
                    <w:rPr>
                      <w:rFonts w:ascii="宋体" w:eastAsia="宋体" w:hAnsi="宋体" w:cs="宋体" w:hint="eastAsia"/>
                      <w:color w:val="000000"/>
                      <w:highlight w:val="none"/>
                    </w:rPr>
                    <w:t>10</w:t>
                  </w:r>
                </w:p>
              </w:tc>
              <w:tc>
                <w:tcPr>
                  <w:tcW w:w="5396" w:type="dxa"/>
                  <w:tcBorders>
                    <w:top w:val="single" w:sz="8" w:space="0" w:color="000000"/>
                    <w:left w:val="single" w:sz="8" w:space="0" w:color="000000"/>
                    <w:bottom w:val="single" w:sz="8" w:space="0" w:color="000000"/>
                    <w:right w:val="single" w:sz="8" w:space="0" w:color="000000"/>
                  </w:tcBorders>
                  <w:vAlign w:val="center"/>
                </w:tcPr>
                <w:p>
                  <w:pPr>
                    <w:jc w:val="both"/>
                    <w:rPr>
                      <w:rFonts w:ascii="宋体" w:eastAsia="宋体" w:hAnsi="宋体" w:cs="宋体"/>
                      <w:highlight w:val="none"/>
                    </w:rPr>
                  </w:pPr>
                  <w:r>
                    <w:rPr>
                      <w:rFonts w:ascii="宋体" w:eastAsia="宋体" w:hAnsi="宋体" w:cs="宋体" w:hint="eastAsia"/>
                      <w:highlight w:val="none"/>
                    </w:rPr>
                    <w:t>评审内容：</w:t>
                  </w:r>
                </w:p>
                <w:p>
                  <w:pPr>
                    <w:jc w:val="both"/>
                    <w:rPr>
                      <w:rFonts w:ascii="宋体" w:eastAsia="宋体" w:hAnsi="宋体" w:cs="宋体"/>
                      <w:highlight w:val="none"/>
                    </w:rPr>
                  </w:pPr>
                  <w:r>
                    <w:rPr>
                      <w:rFonts w:ascii="宋体" w:eastAsia="宋体" w:hAnsi="宋体" w:cs="宋体" w:hint="eastAsia"/>
                      <w:szCs w:val="21"/>
                      <w:highlight w:val="none"/>
                    </w:rPr>
                    <w:t>投标人应如实填写《</w:t>
                  </w:r>
                  <w:r>
                    <w:rPr>
                      <w:rFonts w:ascii="宋体" w:eastAsia="宋体" w:hAnsi="宋体" w:cs="宋体" w:hint="eastAsia"/>
                      <w:szCs w:val="21"/>
                      <w:highlight w:val="none"/>
                      <w:lang w:val="en-US" w:eastAsia="zh-CN"/>
                    </w:rPr>
                    <w:t>服务</w:t>
                  </w:r>
                  <w:r>
                    <w:rPr>
                      <w:rFonts w:ascii="宋体" w:eastAsia="宋体" w:hAnsi="宋体" w:cs="宋体" w:hint="eastAsia"/>
                      <w:szCs w:val="21"/>
                      <w:highlight w:val="none"/>
                    </w:rPr>
                    <w:t>条款偏离情况》，评审委员会根据技术需求参数响应情况进行打分。</w:t>
                  </w:r>
                  <w:r>
                    <w:rPr>
                      <w:rFonts w:ascii="宋体" w:eastAsia="宋体" w:hAnsi="宋体" w:cs="宋体" w:hint="eastAsia"/>
                      <w:highlight w:val="none"/>
                    </w:rPr>
                    <w:t>完全满足招标文件要求得100分；若对带“▲”技术参数条款响应为负偏离，一项扣</w:t>
                  </w:r>
                  <w:r>
                    <w:rPr>
                      <w:rFonts w:ascii="宋体" w:eastAsia="宋体" w:hAnsi="宋体" w:cs="宋体" w:hint="eastAsia"/>
                      <w:highlight w:val="none"/>
                      <w:lang w:val="en-US" w:eastAsia="zh-CN"/>
                    </w:rPr>
                    <w:t>20</w:t>
                  </w:r>
                  <w:r>
                    <w:rPr>
                      <w:rFonts w:ascii="宋体" w:eastAsia="宋体" w:hAnsi="宋体" w:cs="宋体" w:hint="eastAsia"/>
                      <w:highlight w:val="none"/>
                    </w:rPr>
                    <w:t>分；对其他技术参数条款响应为负偏离的，一项扣</w:t>
                  </w:r>
                  <w:r>
                    <w:rPr>
                      <w:rFonts w:ascii="宋体" w:eastAsia="宋体" w:hAnsi="宋体" w:cs="宋体" w:hint="eastAsia"/>
                      <w:highlight w:val="none"/>
                      <w:lang w:val="en-US" w:eastAsia="zh-CN"/>
                    </w:rPr>
                    <w:t>10</w:t>
                  </w:r>
                  <w:r>
                    <w:rPr>
                      <w:rFonts w:ascii="宋体" w:eastAsia="宋体" w:hAnsi="宋体" w:cs="宋体" w:hint="eastAsia"/>
                      <w:highlight w:val="none"/>
                    </w:rPr>
                    <w:t>分，扣完为止。</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b/>
                      <w:bCs/>
                      <w:highlight w:val="none"/>
                    </w:rPr>
                  </w:pPr>
                </w:p>
              </w:tc>
              <w:tc>
                <w:tcPr>
                  <w:tcW w:w="67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2</w:t>
                  </w:r>
                </w:p>
              </w:tc>
              <w:tc>
                <w:tcPr>
                  <w:tcW w:w="129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实施方案</w:t>
                  </w:r>
                </w:p>
              </w:tc>
              <w:tc>
                <w:tcPr>
                  <w:tcW w:w="1030"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default"/>
                      <w:highlight w:val="none"/>
                      <w:lang w:val="en-US" w:eastAsia="zh-CN"/>
                    </w:rPr>
                  </w:pPr>
                  <w:r>
                    <w:rPr>
                      <w:rFonts w:ascii="宋体" w:eastAsia="宋体" w:hAnsi="宋体" w:cs="宋体" w:hint="eastAsia"/>
                      <w:highlight w:val="none"/>
                      <w:lang w:val="en-US" w:eastAsia="zh-CN"/>
                    </w:rPr>
                    <w:t>10</w:t>
                  </w:r>
                </w:p>
              </w:tc>
              <w:tc>
                <w:tcPr>
                  <w:tcW w:w="5396" w:type="dxa"/>
                  <w:tcBorders>
                    <w:top w:val="single" w:sz="8" w:space="0" w:color="000000"/>
                    <w:left w:val="single" w:sz="8" w:space="0" w:color="000000"/>
                    <w:bottom w:val="single" w:sz="8" w:space="0" w:color="000000"/>
                    <w:right w:val="single" w:sz="8" w:space="0" w:color="000000"/>
                  </w:tcBorders>
                  <w:vAlign w:val="top"/>
                </w:tcPr>
                <w:p>
                  <w:pPr>
                    <w:ind w:firstLine="480" w:firstLineChars="200"/>
                    <w:jc w:val="left"/>
                    <w:rPr>
                      <w:rFonts w:ascii="宋体" w:hAnsi="宋体" w:cs="宋体" w:hint="eastAsia"/>
                      <w:szCs w:val="21"/>
                    </w:rPr>
                  </w:pPr>
                  <w:r>
                    <w:rPr>
                      <w:rFonts w:ascii="宋体" w:hAnsi="宋体" w:cs="宋体" w:hint="eastAsia"/>
                      <w:szCs w:val="21"/>
                    </w:rPr>
                    <w:t xml:space="preserve">（一）评分内容： </w:t>
                  </w:r>
                </w:p>
                <w:p>
                  <w:pPr>
                    <w:ind w:firstLine="480" w:firstLineChars="200"/>
                    <w:jc w:val="left"/>
                    <w:rPr>
                      <w:rFonts w:ascii="宋体" w:hAnsi="宋体" w:cs="宋体" w:hint="eastAsia"/>
                      <w:szCs w:val="21"/>
                    </w:rPr>
                  </w:pPr>
                  <w:r>
                    <w:rPr>
                      <w:rFonts w:ascii="宋体" w:hAnsi="宋体" w:cs="宋体" w:hint="eastAsia"/>
                      <w:szCs w:val="21"/>
                    </w:rPr>
                    <w:t>考核投标单位对项目的实施方案内容的全面性、具体性、针对性、合理性、操作性以及突发事件应急处理措施等进行考核。具体考核以下十个方面：</w:t>
                  </w:r>
                </w:p>
                <w:p>
                  <w:pPr>
                    <w:ind w:firstLine="480" w:firstLineChars="200"/>
                    <w:jc w:val="left"/>
                    <w:rPr>
                      <w:rFonts w:ascii="宋体" w:hAnsi="宋体" w:cs="宋体" w:hint="eastAsia"/>
                      <w:szCs w:val="21"/>
                    </w:rPr>
                  </w:pPr>
                  <w:r>
                    <w:rPr>
                      <w:rFonts w:ascii="宋体" w:hAnsi="宋体" w:cs="宋体" w:hint="eastAsia"/>
                      <w:szCs w:val="21"/>
                    </w:rPr>
                    <w:t>1.访问内容和时间；</w:t>
                  </w:r>
                </w:p>
                <w:p>
                  <w:pPr>
                    <w:ind w:firstLine="480" w:firstLineChars="200"/>
                    <w:jc w:val="left"/>
                    <w:rPr>
                      <w:rFonts w:ascii="宋体" w:hAnsi="宋体" w:cs="宋体" w:hint="eastAsia"/>
                      <w:szCs w:val="21"/>
                    </w:rPr>
                  </w:pPr>
                  <w:r>
                    <w:rPr>
                      <w:rFonts w:ascii="宋体" w:hAnsi="宋体" w:cs="宋体" w:hint="eastAsia"/>
                      <w:szCs w:val="21"/>
                    </w:rPr>
                    <w:t>2.数字资源访问专线；</w:t>
                  </w:r>
                </w:p>
                <w:p>
                  <w:pPr>
                    <w:ind w:firstLine="480" w:firstLineChars="200"/>
                    <w:jc w:val="left"/>
                    <w:rPr>
                      <w:rFonts w:ascii="宋体" w:hAnsi="宋体" w:cs="宋体" w:hint="eastAsia"/>
                      <w:szCs w:val="21"/>
                    </w:rPr>
                  </w:pPr>
                  <w:r>
                    <w:rPr>
                      <w:rFonts w:ascii="宋体" w:hAnsi="宋体" w:cs="宋体" w:hint="eastAsia"/>
                      <w:szCs w:val="21"/>
                    </w:rPr>
                    <w:t>3.访问内容标准；</w:t>
                  </w:r>
                </w:p>
                <w:p>
                  <w:pPr>
                    <w:ind w:firstLine="480" w:firstLineChars="200"/>
                    <w:jc w:val="left"/>
                    <w:rPr>
                      <w:rFonts w:ascii="宋体" w:hAnsi="宋体" w:cs="宋体" w:hint="eastAsia"/>
                      <w:szCs w:val="21"/>
                    </w:rPr>
                  </w:pPr>
                  <w:r>
                    <w:rPr>
                      <w:rFonts w:ascii="宋体" w:hAnsi="宋体" w:cs="宋体" w:hint="eastAsia"/>
                      <w:szCs w:val="21"/>
                    </w:rPr>
                    <w:t>4.用户</w:t>
                  </w:r>
                  <w:r>
                    <w:rPr>
                      <w:rFonts w:ascii="宋体" w:hAnsi="宋体" w:hint="eastAsia"/>
                      <w:szCs w:val="21"/>
                    </w:rPr>
                    <w:t>访问方式</w:t>
                  </w:r>
                  <w:r>
                    <w:rPr>
                      <w:rFonts w:ascii="宋体" w:hAnsi="宋体" w:cs="宋体" w:hint="eastAsia"/>
                      <w:szCs w:val="21"/>
                    </w:rPr>
                    <w:t>；</w:t>
                  </w:r>
                </w:p>
                <w:p>
                  <w:pPr>
                    <w:ind w:firstLine="480" w:firstLineChars="200"/>
                    <w:jc w:val="left"/>
                    <w:rPr>
                      <w:rFonts w:ascii="宋体" w:hAnsi="宋体" w:cs="宋体" w:hint="eastAsia"/>
                      <w:szCs w:val="21"/>
                    </w:rPr>
                  </w:pPr>
                  <w:r>
                    <w:rPr>
                      <w:rFonts w:ascii="宋体" w:hAnsi="宋体" w:cs="宋体" w:hint="eastAsia"/>
                      <w:szCs w:val="21"/>
                    </w:rPr>
                    <w:t>5.数字资源访问数据；</w:t>
                  </w:r>
                </w:p>
                <w:p>
                  <w:pPr>
                    <w:ind w:firstLine="480" w:firstLineChars="200"/>
                    <w:jc w:val="left"/>
                    <w:rPr>
                      <w:rFonts w:ascii="宋体" w:hAnsi="宋体" w:cs="宋体" w:hint="eastAsia"/>
                      <w:szCs w:val="21"/>
                    </w:rPr>
                  </w:pPr>
                  <w:r>
                    <w:rPr>
                      <w:rFonts w:ascii="宋体" w:hAnsi="宋体" w:cs="宋体" w:hint="eastAsia"/>
                      <w:szCs w:val="21"/>
                    </w:rPr>
                    <w:t>6.知识产权要求；</w:t>
                  </w:r>
                </w:p>
                <w:p>
                  <w:pPr>
                    <w:ind w:firstLine="480" w:firstLineChars="200"/>
                    <w:jc w:val="left"/>
                    <w:rPr>
                      <w:rFonts w:ascii="宋体" w:hAnsi="宋体" w:cs="宋体" w:hint="eastAsia"/>
                      <w:szCs w:val="21"/>
                    </w:rPr>
                  </w:pPr>
                  <w:r>
                    <w:rPr>
                      <w:rFonts w:ascii="宋体" w:hAnsi="宋体" w:cs="宋体" w:hint="eastAsia"/>
                      <w:szCs w:val="21"/>
                    </w:rPr>
                    <w:t>7.验收标准；</w:t>
                  </w:r>
                </w:p>
                <w:p>
                  <w:pPr>
                    <w:ind w:firstLine="480" w:firstLineChars="200"/>
                    <w:jc w:val="left"/>
                    <w:rPr>
                      <w:rFonts w:ascii="宋体" w:hAnsi="宋体" w:cs="宋体" w:hint="eastAsia"/>
                      <w:szCs w:val="21"/>
                    </w:rPr>
                  </w:pPr>
                  <w:r>
                    <w:rPr>
                      <w:rFonts w:ascii="宋体" w:hAnsi="宋体" w:cs="宋体" w:hint="eastAsia"/>
                      <w:szCs w:val="21"/>
                    </w:rPr>
                    <w:t>8.项目进度安排；</w:t>
                  </w:r>
                </w:p>
                <w:p>
                  <w:pPr>
                    <w:ind w:firstLine="480" w:firstLineChars="200"/>
                    <w:jc w:val="left"/>
                    <w:rPr>
                      <w:rFonts w:ascii="宋体" w:hAnsi="宋体" w:cs="宋体" w:hint="eastAsia"/>
                      <w:szCs w:val="21"/>
                    </w:rPr>
                  </w:pPr>
                  <w:r>
                    <w:rPr>
                      <w:rFonts w:ascii="宋体" w:hAnsi="宋体" w:cs="宋体" w:hint="eastAsia"/>
                      <w:szCs w:val="21"/>
                    </w:rPr>
                    <w:t>9.技术培训；</w:t>
                  </w:r>
                </w:p>
                <w:p>
                  <w:pPr>
                    <w:ind w:firstLine="480" w:firstLineChars="200"/>
                    <w:jc w:val="left"/>
                    <w:rPr>
                      <w:rFonts w:ascii="宋体" w:hAnsi="宋体" w:cs="宋体" w:hint="eastAsia"/>
                      <w:szCs w:val="21"/>
                    </w:rPr>
                  </w:pPr>
                  <w:r>
                    <w:rPr>
                      <w:rFonts w:ascii="宋体" w:hAnsi="宋体" w:cs="宋体" w:hint="eastAsia"/>
                      <w:szCs w:val="21"/>
                    </w:rPr>
                    <w:t>10.售后服务。</w:t>
                  </w:r>
                </w:p>
                <w:p>
                  <w:pPr>
                    <w:ind w:firstLine="480" w:firstLineChars="200"/>
                    <w:jc w:val="left"/>
                    <w:rPr>
                      <w:rFonts w:ascii="宋体" w:hAnsi="宋体" w:cs="宋体" w:hint="eastAsia"/>
                      <w:szCs w:val="21"/>
                    </w:rPr>
                  </w:pPr>
                  <w:r>
                    <w:rPr>
                      <w:rFonts w:ascii="宋体" w:hAnsi="宋体" w:cs="宋体" w:hint="eastAsia"/>
                      <w:szCs w:val="21"/>
                    </w:rPr>
                    <w:t>（二）评分标准：</w:t>
                  </w:r>
                </w:p>
                <w:p>
                  <w:pPr>
                    <w:ind w:firstLine="480" w:firstLineChars="200"/>
                    <w:jc w:val="left"/>
                    <w:rPr>
                      <w:rFonts w:ascii="宋体" w:hAnsi="宋体" w:cs="宋体" w:hint="eastAsia"/>
                      <w:szCs w:val="21"/>
                    </w:rPr>
                  </w:pPr>
                  <w:r>
                    <w:rPr>
                      <w:rFonts w:ascii="宋体" w:hAnsi="宋体" w:cs="宋体" w:hint="eastAsia"/>
                      <w:szCs w:val="21"/>
                    </w:rPr>
                    <w:t>全部满足得7</w:t>
                  </w:r>
                  <w:r>
                    <w:rPr>
                      <w:rFonts w:ascii="宋体" w:eastAsia="宋体" w:hAnsi="宋体" w:cs="宋体" w:hint="eastAsia"/>
                      <w:szCs w:val="21"/>
                      <w:lang w:val="en-US" w:eastAsia="zh-CN"/>
                    </w:rPr>
                    <w:t>0</w:t>
                  </w:r>
                  <w:r>
                    <w:rPr>
                      <w:rFonts w:ascii="宋体" w:hAnsi="宋体" w:cs="宋体" w:hint="eastAsia"/>
                      <w:szCs w:val="21"/>
                    </w:rPr>
                    <w:t>分，满足任意8-9点得5</w:t>
                  </w:r>
                  <w:r>
                    <w:rPr>
                      <w:rFonts w:ascii="宋体" w:eastAsia="宋体" w:hAnsi="宋体" w:cs="宋体" w:hint="eastAsia"/>
                      <w:szCs w:val="21"/>
                      <w:lang w:val="en-US" w:eastAsia="zh-CN"/>
                    </w:rPr>
                    <w:t>0</w:t>
                  </w:r>
                  <w:r>
                    <w:rPr>
                      <w:rFonts w:ascii="宋体" w:hAnsi="宋体" w:cs="宋体" w:hint="eastAsia"/>
                      <w:szCs w:val="21"/>
                    </w:rPr>
                    <w:t>分，任意6-7点得3</w:t>
                  </w:r>
                  <w:r>
                    <w:rPr>
                      <w:rFonts w:ascii="宋体" w:eastAsia="宋体" w:hAnsi="宋体" w:cs="宋体" w:hint="eastAsia"/>
                      <w:szCs w:val="21"/>
                      <w:lang w:val="en-US" w:eastAsia="zh-CN"/>
                    </w:rPr>
                    <w:t>0</w:t>
                  </w:r>
                  <w:r>
                    <w:rPr>
                      <w:rFonts w:ascii="宋体" w:hAnsi="宋体" w:cs="宋体" w:hint="eastAsia"/>
                      <w:szCs w:val="21"/>
                    </w:rPr>
                    <w:t>分，满足任意4-5点得1</w:t>
                  </w:r>
                  <w:r>
                    <w:rPr>
                      <w:rFonts w:ascii="宋体" w:eastAsia="宋体" w:hAnsi="宋体" w:cs="宋体" w:hint="eastAsia"/>
                      <w:szCs w:val="21"/>
                      <w:lang w:val="en-US" w:eastAsia="zh-CN"/>
                    </w:rPr>
                    <w:t>0</w:t>
                  </w:r>
                  <w:r>
                    <w:rPr>
                      <w:rFonts w:ascii="宋体" w:hAnsi="宋体" w:cs="宋体" w:hint="eastAsia"/>
                      <w:szCs w:val="21"/>
                    </w:rPr>
                    <w:t>分,其他情况得0分。</w:t>
                  </w:r>
                </w:p>
                <w:p>
                  <w:pPr>
                    <w:ind w:firstLine="480" w:firstLineChars="200"/>
                    <w:jc w:val="left"/>
                    <w:rPr>
                      <w:rFonts w:ascii="宋体" w:hAnsi="宋体" w:cs="宋体" w:hint="eastAsia"/>
                      <w:szCs w:val="21"/>
                    </w:rPr>
                  </w:pPr>
                  <w:r>
                    <w:rPr>
                      <w:rFonts w:ascii="宋体" w:hAnsi="宋体" w:cs="宋体" w:hint="eastAsia"/>
                      <w:szCs w:val="21"/>
                    </w:rPr>
                    <w:t>在此基础上，专家根据各供应商的具体响应内容按照量化的评审因素指标进一步评审；</w:t>
                  </w:r>
                </w:p>
                <w:p>
                  <w:pPr>
                    <w:ind w:firstLine="480" w:firstLineChars="200"/>
                    <w:jc w:val="left"/>
                    <w:rPr>
                      <w:rFonts w:ascii="宋体" w:hAnsi="宋体" w:cs="宋体" w:hint="eastAsia"/>
                      <w:szCs w:val="21"/>
                    </w:rPr>
                  </w:pPr>
                  <w:r>
                    <w:rPr>
                      <w:rFonts w:ascii="宋体" w:hAnsi="宋体" w:cs="宋体" w:hint="eastAsia"/>
                      <w:szCs w:val="21"/>
                    </w:rPr>
                    <w:t>（1）实施方案可以充分满足采购单位需求，可操作性最好的为优，得3</w:t>
                  </w:r>
                  <w:r>
                    <w:rPr>
                      <w:rFonts w:ascii="宋体" w:eastAsia="宋体" w:hAnsi="宋体" w:cs="宋体" w:hint="eastAsia"/>
                      <w:szCs w:val="21"/>
                      <w:lang w:val="en-US" w:eastAsia="zh-CN"/>
                    </w:rPr>
                    <w:t>0</w:t>
                  </w:r>
                  <w:r>
                    <w:rPr>
                      <w:rFonts w:ascii="宋体" w:hAnsi="宋体" w:cs="宋体" w:hint="eastAsia"/>
                      <w:szCs w:val="21"/>
                    </w:rPr>
                    <w:t>分；</w:t>
                  </w:r>
                </w:p>
                <w:p>
                  <w:pPr>
                    <w:ind w:firstLine="480" w:firstLineChars="200"/>
                    <w:jc w:val="left"/>
                    <w:rPr>
                      <w:rFonts w:ascii="宋体" w:hAnsi="宋体" w:cs="宋体" w:hint="eastAsia"/>
                      <w:szCs w:val="21"/>
                    </w:rPr>
                  </w:pPr>
                  <w:r>
                    <w:rPr>
                      <w:rFonts w:ascii="宋体" w:hAnsi="宋体" w:cs="宋体" w:hint="eastAsia"/>
                      <w:szCs w:val="21"/>
                    </w:rPr>
                    <w:t>（2）实施方案可以充分满足采购单位需求，可操作性较好的为良，得2</w:t>
                  </w:r>
                  <w:r>
                    <w:rPr>
                      <w:rFonts w:ascii="宋体" w:eastAsia="宋体" w:hAnsi="宋体" w:cs="宋体" w:hint="eastAsia"/>
                      <w:szCs w:val="21"/>
                      <w:lang w:val="en-US" w:eastAsia="zh-CN"/>
                    </w:rPr>
                    <w:t>0</w:t>
                  </w:r>
                  <w:r>
                    <w:rPr>
                      <w:rFonts w:ascii="宋体" w:hAnsi="宋体" w:cs="宋体" w:hint="eastAsia"/>
                      <w:szCs w:val="21"/>
                    </w:rPr>
                    <w:t>分；</w:t>
                  </w:r>
                </w:p>
                <w:p>
                  <w:pPr>
                    <w:ind w:firstLine="480" w:firstLineChars="200"/>
                    <w:jc w:val="left"/>
                    <w:rPr>
                      <w:rFonts w:ascii="宋体" w:hAnsi="宋体" w:cs="宋体" w:hint="eastAsia"/>
                      <w:szCs w:val="21"/>
                    </w:rPr>
                  </w:pPr>
                  <w:r>
                    <w:rPr>
                      <w:rFonts w:ascii="宋体" w:hAnsi="宋体" w:cs="宋体" w:hint="eastAsia"/>
                      <w:szCs w:val="21"/>
                    </w:rPr>
                    <w:t>（3）实施方案较为满足采购单位需求，可操作性一般的为中，得</w:t>
                  </w:r>
                  <w:r>
                    <w:rPr>
                      <w:rFonts w:ascii="宋体" w:eastAsia="宋体" w:hAnsi="宋体" w:cs="宋体" w:hint="eastAsia"/>
                      <w:szCs w:val="21"/>
                      <w:lang w:val="en-US" w:eastAsia="zh-CN"/>
                    </w:rPr>
                    <w:t>10</w:t>
                  </w:r>
                  <w:r>
                    <w:rPr>
                      <w:rFonts w:ascii="宋体" w:hAnsi="宋体" w:cs="宋体" w:hint="eastAsia"/>
                      <w:szCs w:val="21"/>
                    </w:rPr>
                    <w:t>分；</w:t>
                  </w:r>
                </w:p>
                <w:p>
                  <w:pPr>
                    <w:ind w:firstLine="480" w:firstLineChars="200"/>
                    <w:jc w:val="left"/>
                    <w:rPr>
                      <w:rFonts w:eastAsia="宋体" w:hint="eastAsia"/>
                      <w:lang w:val="en-US" w:eastAsia="zh-CN"/>
                    </w:rPr>
                  </w:pPr>
                  <w:r>
                    <w:rPr>
                      <w:rFonts w:ascii="宋体" w:hAnsi="宋体" w:cs="宋体" w:hint="eastAsia"/>
                      <w:szCs w:val="21"/>
                    </w:rPr>
                    <w:t>（4）实施方案不能满足采购单位需求，可操作性差的为差或无提供方案的，得0分。</w:t>
                  </w:r>
                </w:p>
              </w:tc>
            </w:tr>
            <w:tr>
              <w:tblPrEx>
                <w:tblW w:w="9072" w:type="dxa"/>
                <w:jc w:val="center"/>
                <w:tblLayout w:type="fixed"/>
                <w:tblCellMar>
                  <w:top w:w="20" w:type="dxa"/>
                  <w:left w:w="108" w:type="dxa"/>
                  <w:bottom w:w="20" w:type="dxa"/>
                  <w:right w:w="108" w:type="dxa"/>
                </w:tblCellMar>
              </w:tblPrEx>
              <w:trPr>
                <w:trHeight w:val="1025"/>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b/>
                      <w:bCs/>
                      <w:highlight w:val="none"/>
                    </w:rPr>
                  </w:pPr>
                </w:p>
              </w:tc>
              <w:tc>
                <w:tcPr>
                  <w:tcW w:w="67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3</w:t>
                  </w:r>
                </w:p>
              </w:tc>
              <w:tc>
                <w:tcPr>
                  <w:tcW w:w="129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项目重点难点分析、应对措施及相关的合理化建议</w:t>
                  </w:r>
                </w:p>
              </w:tc>
              <w:tc>
                <w:tcPr>
                  <w:tcW w:w="1030"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default"/>
                      <w:highlight w:val="none"/>
                      <w:lang w:val="en-US" w:eastAsia="zh-CN"/>
                    </w:rPr>
                  </w:pPr>
                  <w:r>
                    <w:rPr>
                      <w:rFonts w:ascii="宋体" w:eastAsia="宋体" w:hAnsi="宋体" w:cs="宋体" w:hint="eastAsia"/>
                      <w:highlight w:val="none"/>
                      <w:lang w:val="en-US" w:eastAsia="zh-CN"/>
                    </w:rPr>
                    <w:t>10</w:t>
                  </w:r>
                </w:p>
              </w:tc>
              <w:tc>
                <w:tcPr>
                  <w:tcW w:w="5396" w:type="dxa"/>
                  <w:tcBorders>
                    <w:top w:val="single" w:sz="8" w:space="0" w:color="000000"/>
                    <w:left w:val="single" w:sz="8" w:space="0" w:color="000000"/>
                    <w:bottom w:val="single" w:sz="8" w:space="0" w:color="000000"/>
                    <w:right w:val="single" w:sz="8" w:space="0" w:color="000000"/>
                  </w:tcBorders>
                  <w:vAlign w:val="center"/>
                </w:tcPr>
                <w:p>
                  <w:pPr>
                    <w:ind w:firstLine="480" w:firstLineChars="200"/>
                    <w:rPr>
                      <w:rFonts w:ascii="宋体" w:hAnsi="宋体" w:hint="eastAsia"/>
                      <w:szCs w:val="21"/>
                    </w:rPr>
                  </w:pPr>
                  <w:r>
                    <w:rPr>
                      <w:rFonts w:ascii="宋体" w:hAnsi="宋体" w:hint="eastAsia"/>
                      <w:szCs w:val="21"/>
                    </w:rPr>
                    <w:t>（一）评分内容：</w:t>
                  </w:r>
                </w:p>
                <w:p>
                  <w:pPr>
                    <w:ind w:firstLine="480" w:firstLineChars="200"/>
                    <w:rPr>
                      <w:rFonts w:ascii="宋体" w:hAnsi="宋体" w:hint="eastAsia"/>
                      <w:szCs w:val="21"/>
                    </w:rPr>
                  </w:pPr>
                  <w:r>
                    <w:rPr>
                      <w:rFonts w:ascii="宋体" w:hAnsi="宋体" w:hint="eastAsia"/>
                      <w:szCs w:val="21"/>
                    </w:rPr>
                    <w:t>考核投标单位对项目的重点难点分析、应对措施及相关的合理化建议。具体考核以下三个方面：</w:t>
                  </w:r>
                </w:p>
                <w:p>
                  <w:pPr>
                    <w:ind w:firstLine="480" w:firstLineChars="200"/>
                    <w:jc w:val="left"/>
                    <w:rPr>
                      <w:rFonts w:ascii="宋体" w:hAnsi="宋体" w:cs="宋体" w:hint="eastAsia"/>
                      <w:szCs w:val="21"/>
                    </w:rPr>
                  </w:pPr>
                  <w:r>
                    <w:rPr>
                      <w:rFonts w:ascii="宋体" w:hAnsi="宋体" w:cs="宋体" w:hint="eastAsia"/>
                      <w:szCs w:val="21"/>
                    </w:rPr>
                    <w:t>1.针对本项目重点、难点分析；</w:t>
                  </w:r>
                </w:p>
                <w:p>
                  <w:pPr>
                    <w:ind w:firstLine="480" w:firstLineChars="200"/>
                    <w:jc w:val="left"/>
                    <w:rPr>
                      <w:rFonts w:ascii="宋体" w:hAnsi="宋体" w:cs="宋体" w:hint="eastAsia"/>
                      <w:szCs w:val="21"/>
                    </w:rPr>
                  </w:pPr>
                  <w:r>
                    <w:rPr>
                      <w:rFonts w:ascii="宋体" w:hAnsi="宋体" w:cs="宋体" w:hint="eastAsia"/>
                      <w:szCs w:val="21"/>
                    </w:rPr>
                    <w:t>2.针对本项目重点、难点应对措施分析；</w:t>
                  </w:r>
                </w:p>
                <w:p>
                  <w:pPr>
                    <w:ind w:firstLine="480" w:firstLineChars="200"/>
                    <w:jc w:val="left"/>
                    <w:rPr>
                      <w:rFonts w:ascii="宋体" w:hAnsi="宋体" w:cs="宋体" w:hint="eastAsia"/>
                      <w:szCs w:val="21"/>
                    </w:rPr>
                  </w:pPr>
                  <w:r>
                    <w:rPr>
                      <w:rFonts w:ascii="宋体" w:hAnsi="宋体" w:cs="宋体" w:hint="eastAsia"/>
                      <w:szCs w:val="21"/>
                    </w:rPr>
                    <w:t>3.针对本项目合理化建议。</w:t>
                  </w:r>
                </w:p>
                <w:p>
                  <w:pPr>
                    <w:ind w:firstLine="480" w:firstLineChars="200"/>
                    <w:rPr>
                      <w:rFonts w:ascii="宋体" w:hAnsi="宋体" w:hint="eastAsia"/>
                      <w:szCs w:val="21"/>
                    </w:rPr>
                  </w:pPr>
                  <w:r>
                    <w:rPr>
                      <w:rFonts w:ascii="宋体" w:hAnsi="宋体" w:hint="eastAsia"/>
                      <w:szCs w:val="21"/>
                    </w:rPr>
                    <w:t>（二）评分标准：</w:t>
                  </w:r>
                </w:p>
                <w:p>
                  <w:pPr>
                    <w:ind w:firstLine="480" w:firstLineChars="200"/>
                    <w:rPr>
                      <w:rFonts w:ascii="宋体" w:hAnsi="宋体" w:hint="eastAsia"/>
                      <w:szCs w:val="21"/>
                    </w:rPr>
                  </w:pPr>
                  <w:r>
                    <w:rPr>
                      <w:rFonts w:ascii="宋体" w:hAnsi="宋体" w:hint="eastAsia"/>
                      <w:szCs w:val="21"/>
                    </w:rPr>
                    <w:t>全部满足得5</w:t>
                  </w:r>
                  <w:r>
                    <w:rPr>
                      <w:rFonts w:ascii="宋体" w:eastAsia="宋体" w:hAnsi="宋体" w:hint="eastAsia"/>
                      <w:szCs w:val="21"/>
                      <w:lang w:val="en-US" w:eastAsia="zh-CN"/>
                    </w:rPr>
                    <w:t>0</w:t>
                  </w:r>
                  <w:r>
                    <w:rPr>
                      <w:rFonts w:ascii="宋体" w:hAnsi="宋体" w:hint="eastAsia"/>
                      <w:szCs w:val="21"/>
                    </w:rPr>
                    <w:t>分，满足任意两</w:t>
                  </w:r>
                  <w:r>
                    <w:rPr>
                      <w:rFonts w:ascii="宋体" w:hAnsi="宋体" w:cs="宋体" w:hint="eastAsia"/>
                      <w:szCs w:val="21"/>
                    </w:rPr>
                    <w:t>项</w:t>
                  </w:r>
                  <w:r>
                    <w:rPr>
                      <w:rFonts w:ascii="宋体" w:hAnsi="宋体" w:hint="eastAsia"/>
                      <w:szCs w:val="21"/>
                    </w:rPr>
                    <w:t>得3</w:t>
                  </w:r>
                  <w:r>
                    <w:rPr>
                      <w:rFonts w:ascii="宋体" w:eastAsia="宋体" w:hAnsi="宋体" w:hint="eastAsia"/>
                      <w:szCs w:val="21"/>
                      <w:lang w:val="en-US" w:eastAsia="zh-CN"/>
                    </w:rPr>
                    <w:t>0</w:t>
                  </w:r>
                  <w:r>
                    <w:rPr>
                      <w:rFonts w:ascii="宋体" w:hAnsi="宋体" w:hint="eastAsia"/>
                      <w:szCs w:val="21"/>
                    </w:rPr>
                    <w:t>分，任意一</w:t>
                  </w:r>
                  <w:r>
                    <w:rPr>
                      <w:rFonts w:ascii="宋体" w:hAnsi="宋体" w:cs="宋体" w:hint="eastAsia"/>
                      <w:szCs w:val="21"/>
                    </w:rPr>
                    <w:t>项</w:t>
                  </w:r>
                  <w:r>
                    <w:rPr>
                      <w:rFonts w:ascii="宋体" w:hAnsi="宋体" w:hint="eastAsia"/>
                      <w:szCs w:val="21"/>
                    </w:rPr>
                    <w:t>得1</w:t>
                  </w:r>
                  <w:r>
                    <w:rPr>
                      <w:rFonts w:ascii="宋体" w:eastAsia="宋体" w:hAnsi="宋体" w:hint="eastAsia"/>
                      <w:szCs w:val="21"/>
                      <w:lang w:val="en-US" w:eastAsia="zh-CN"/>
                    </w:rPr>
                    <w:t>0</w:t>
                  </w:r>
                  <w:r>
                    <w:rPr>
                      <w:rFonts w:ascii="宋体" w:hAnsi="宋体" w:hint="eastAsia"/>
                      <w:szCs w:val="21"/>
                    </w:rPr>
                    <w:t>分</w:t>
                  </w:r>
                  <w:r>
                    <w:rPr>
                      <w:rFonts w:ascii="宋体" w:hAnsi="宋体" w:cs="宋体" w:hint="eastAsia"/>
                      <w:szCs w:val="21"/>
                    </w:rPr>
                    <w:t>,其他情况得0分</w:t>
                  </w:r>
                  <w:r>
                    <w:rPr>
                      <w:rFonts w:ascii="宋体" w:hAnsi="宋体" w:hint="eastAsia"/>
                      <w:szCs w:val="21"/>
                    </w:rPr>
                    <w:t>。</w:t>
                  </w:r>
                </w:p>
                <w:p>
                  <w:pPr>
                    <w:ind w:firstLine="480" w:firstLineChars="200"/>
                    <w:rPr>
                      <w:rFonts w:ascii="宋体" w:hAnsi="宋体" w:hint="eastAsia"/>
                      <w:szCs w:val="21"/>
                    </w:rPr>
                  </w:pPr>
                  <w:r>
                    <w:rPr>
                      <w:rFonts w:ascii="宋体" w:hAnsi="宋体" w:hint="eastAsia"/>
                      <w:szCs w:val="21"/>
                    </w:rPr>
                    <w:t>在此基础上，专家根据各供应商的具体响应内容按照量化的评审因素指标进一步评审；</w:t>
                  </w:r>
                </w:p>
                <w:p>
                  <w:pPr>
                    <w:ind w:firstLine="480" w:firstLineChars="200"/>
                    <w:rPr>
                      <w:rFonts w:ascii="宋体" w:hAnsi="宋体" w:hint="eastAsia"/>
                      <w:szCs w:val="21"/>
                    </w:rPr>
                  </w:pPr>
                  <w:r>
                    <w:rPr>
                      <w:rFonts w:ascii="宋体" w:hAnsi="宋体" w:hint="eastAsia"/>
                      <w:szCs w:val="21"/>
                    </w:rPr>
                    <w:t>（1）具体保障举措，重点难点分析到位，包含全面的为优，得5</w:t>
                  </w:r>
                  <w:r>
                    <w:rPr>
                      <w:rFonts w:ascii="宋体" w:eastAsia="宋体" w:hAnsi="宋体" w:hint="eastAsia"/>
                      <w:szCs w:val="21"/>
                      <w:lang w:val="en-US" w:eastAsia="zh-CN"/>
                    </w:rPr>
                    <w:t>0</w:t>
                  </w:r>
                  <w:r>
                    <w:rPr>
                      <w:rFonts w:ascii="宋体" w:hAnsi="宋体" w:hint="eastAsia"/>
                      <w:szCs w:val="21"/>
                    </w:rPr>
                    <w:t>分；</w:t>
                  </w:r>
                </w:p>
                <w:p>
                  <w:pPr>
                    <w:ind w:firstLine="480" w:firstLineChars="200"/>
                    <w:rPr>
                      <w:rFonts w:ascii="宋体" w:hAnsi="宋体" w:hint="eastAsia"/>
                      <w:szCs w:val="21"/>
                    </w:rPr>
                  </w:pPr>
                  <w:r>
                    <w:rPr>
                      <w:rFonts w:ascii="宋体" w:hAnsi="宋体" w:hint="eastAsia"/>
                      <w:szCs w:val="21"/>
                    </w:rPr>
                    <w:t>（2）具体保障举措，重点难点分析较为到位，包含较为全面的为良，得3</w:t>
                  </w:r>
                  <w:r>
                    <w:rPr>
                      <w:rFonts w:ascii="宋体" w:eastAsia="宋体" w:hAnsi="宋体" w:hint="eastAsia"/>
                      <w:szCs w:val="21"/>
                      <w:lang w:val="en-US" w:eastAsia="zh-CN"/>
                    </w:rPr>
                    <w:t>0</w:t>
                  </w:r>
                  <w:r>
                    <w:rPr>
                      <w:rFonts w:ascii="宋体" w:hAnsi="宋体" w:hint="eastAsia"/>
                      <w:szCs w:val="21"/>
                    </w:rPr>
                    <w:t>分；</w:t>
                  </w:r>
                </w:p>
                <w:p>
                  <w:pPr>
                    <w:ind w:firstLine="480" w:firstLineChars="200"/>
                    <w:rPr>
                      <w:rFonts w:ascii="宋体" w:hAnsi="宋体" w:hint="eastAsia"/>
                      <w:szCs w:val="21"/>
                    </w:rPr>
                  </w:pPr>
                  <w:r>
                    <w:rPr>
                      <w:rFonts w:ascii="宋体" w:hAnsi="宋体" w:hint="eastAsia"/>
                      <w:szCs w:val="21"/>
                    </w:rPr>
                    <w:t>（3）具体保障举措，重点难点分析较为到位，包含的全面性一般的为中，得1</w:t>
                  </w:r>
                  <w:r>
                    <w:rPr>
                      <w:rFonts w:ascii="宋体" w:eastAsia="宋体" w:hAnsi="宋体" w:hint="eastAsia"/>
                      <w:szCs w:val="21"/>
                      <w:lang w:val="en-US" w:eastAsia="zh-CN"/>
                    </w:rPr>
                    <w:t>0</w:t>
                  </w:r>
                  <w:r>
                    <w:rPr>
                      <w:rFonts w:ascii="宋体" w:hAnsi="宋体" w:hint="eastAsia"/>
                      <w:szCs w:val="21"/>
                    </w:rPr>
                    <w:t>分；</w:t>
                  </w:r>
                </w:p>
                <w:p>
                  <w:pPr>
                    <w:ind w:firstLine="480" w:firstLineChars="200"/>
                    <w:rPr>
                      <w:rFonts w:hint="eastAsia"/>
                    </w:rPr>
                  </w:pPr>
                  <w:r>
                    <w:rPr>
                      <w:rFonts w:ascii="宋体" w:hAnsi="宋体" w:hint="eastAsia"/>
                      <w:szCs w:val="21"/>
                    </w:rPr>
                    <w:t>（4）具体保障举措，重点难点分析不到位，包含的全面性差的为差或无提供方案的，得0分。</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b/>
                      <w:bCs/>
                      <w:highlight w:val="none"/>
                    </w:rPr>
                  </w:pPr>
                </w:p>
              </w:tc>
              <w:tc>
                <w:tcPr>
                  <w:tcW w:w="67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4</w:t>
                  </w:r>
                </w:p>
              </w:tc>
              <w:tc>
                <w:tcPr>
                  <w:tcW w:w="129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质量（完成时间、安全、环保）保障措施及方案</w:t>
                  </w:r>
                </w:p>
              </w:tc>
              <w:tc>
                <w:tcPr>
                  <w:tcW w:w="1030"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10</w:t>
                  </w:r>
                </w:p>
              </w:tc>
              <w:tc>
                <w:tcPr>
                  <w:tcW w:w="5396" w:type="dxa"/>
                  <w:tcBorders>
                    <w:top w:val="single" w:sz="8" w:space="0" w:color="000000"/>
                    <w:left w:val="single" w:sz="8" w:space="0" w:color="000000"/>
                    <w:bottom w:val="single" w:sz="8" w:space="0" w:color="000000"/>
                    <w:right w:val="single" w:sz="8" w:space="0" w:color="000000"/>
                  </w:tcBorders>
                  <w:vAlign w:val="center"/>
                </w:tcPr>
                <w:p>
                  <w:pPr>
                    <w:ind w:firstLine="480" w:firstLineChars="200"/>
                    <w:rPr>
                      <w:rFonts w:ascii="宋体" w:hAnsi="宋体" w:hint="eastAsia"/>
                      <w:szCs w:val="21"/>
                    </w:rPr>
                  </w:pPr>
                  <w:r>
                    <w:rPr>
                      <w:rFonts w:ascii="宋体" w:hAnsi="宋体" w:hint="eastAsia"/>
                      <w:szCs w:val="21"/>
                    </w:rPr>
                    <w:t>（一）评审内容：</w:t>
                  </w:r>
                </w:p>
                <w:p>
                  <w:pPr>
                    <w:ind w:firstLine="480" w:firstLineChars="200"/>
                    <w:rPr>
                      <w:rFonts w:ascii="宋体" w:hAnsi="宋体" w:hint="eastAsia"/>
                      <w:szCs w:val="21"/>
                    </w:rPr>
                  </w:pPr>
                  <w:r>
                    <w:rPr>
                      <w:rFonts w:ascii="宋体" w:hAnsi="宋体" w:hint="eastAsia"/>
                      <w:szCs w:val="21"/>
                    </w:rPr>
                    <w:t>考核投标单位针对</w:t>
                  </w:r>
                  <w:r>
                    <w:rPr>
                      <w:rFonts w:ascii="宋体" w:hAnsi="宋体" w:cs="宋体" w:hint="eastAsia"/>
                      <w:szCs w:val="21"/>
                    </w:rPr>
                    <w:t>项目的</w:t>
                  </w:r>
                  <w:r>
                    <w:rPr>
                      <w:rFonts w:ascii="宋体" w:hAnsi="宋体" w:hint="eastAsia"/>
                      <w:szCs w:val="21"/>
                    </w:rPr>
                    <w:t>质量保证措施和质量管理制度及方案进行评审。</w:t>
                  </w:r>
                  <w:r>
                    <w:rPr>
                      <w:rFonts w:ascii="宋体" w:hAnsi="宋体" w:cs="宋体" w:hint="eastAsia"/>
                      <w:szCs w:val="21"/>
                    </w:rPr>
                    <w:t>具体考核以下两个方面：</w:t>
                  </w:r>
                </w:p>
                <w:p>
                  <w:pPr>
                    <w:ind w:firstLine="480" w:firstLineChars="200"/>
                    <w:rPr>
                      <w:rFonts w:ascii="宋体" w:hAnsi="宋体" w:hint="eastAsia"/>
                      <w:szCs w:val="21"/>
                    </w:rPr>
                  </w:pPr>
                  <w:r>
                    <w:rPr>
                      <w:rFonts w:ascii="宋体" w:hAnsi="宋体" w:hint="eastAsia"/>
                      <w:szCs w:val="21"/>
                    </w:rPr>
                    <w:t>1.服务流程整体相关应急方案及相应应急处理流程图；</w:t>
                  </w:r>
                </w:p>
                <w:p>
                  <w:pPr>
                    <w:ind w:firstLine="480" w:firstLineChars="200"/>
                    <w:rPr>
                      <w:rFonts w:ascii="宋体" w:hAnsi="宋体" w:hint="eastAsia"/>
                      <w:szCs w:val="21"/>
                    </w:rPr>
                  </w:pPr>
                  <w:r>
                    <w:rPr>
                      <w:rFonts w:ascii="宋体" w:hAnsi="宋体" w:hint="eastAsia"/>
                      <w:szCs w:val="21"/>
                    </w:rPr>
                    <w:t>2.针对项目的数字资源的访问内容和时间，数字资源的访问稳定性、访问内容标准、技术培训、售后服务等提出质量保障措施方案。</w:t>
                  </w:r>
                </w:p>
                <w:p>
                  <w:pPr>
                    <w:ind w:firstLine="480" w:firstLineChars="200"/>
                    <w:rPr>
                      <w:rFonts w:ascii="宋体" w:hAnsi="宋体" w:hint="eastAsia"/>
                      <w:szCs w:val="21"/>
                    </w:rPr>
                  </w:pPr>
                  <w:r>
                    <w:rPr>
                      <w:rFonts w:ascii="宋体" w:hAnsi="宋体" w:hint="eastAsia"/>
                      <w:szCs w:val="21"/>
                    </w:rPr>
                    <w:t>（二）评分</w:t>
                  </w:r>
                  <w:r>
                    <w:rPr>
                      <w:rFonts w:ascii="宋体" w:hAnsi="宋体" w:cs="宋体" w:hint="eastAsia"/>
                      <w:szCs w:val="21"/>
                    </w:rPr>
                    <w:t>标准</w:t>
                  </w:r>
                  <w:r>
                    <w:rPr>
                      <w:rFonts w:ascii="宋体" w:hAnsi="宋体" w:hint="eastAsia"/>
                      <w:szCs w:val="21"/>
                    </w:rPr>
                    <w:t>：</w:t>
                  </w:r>
                </w:p>
                <w:p>
                  <w:pPr>
                    <w:ind w:firstLine="480" w:firstLineChars="200"/>
                    <w:rPr>
                      <w:rFonts w:ascii="宋体" w:hAnsi="宋体" w:hint="eastAsia"/>
                      <w:szCs w:val="21"/>
                    </w:rPr>
                  </w:pPr>
                  <w:r>
                    <w:rPr>
                      <w:rFonts w:ascii="宋体" w:hAnsi="宋体" w:hint="eastAsia"/>
                      <w:szCs w:val="21"/>
                    </w:rPr>
                    <w:t>全部满足得6</w:t>
                  </w:r>
                  <w:r>
                    <w:rPr>
                      <w:rFonts w:ascii="宋体" w:eastAsia="宋体" w:hAnsi="宋体" w:hint="eastAsia"/>
                      <w:szCs w:val="21"/>
                      <w:lang w:val="en-US" w:eastAsia="zh-CN"/>
                    </w:rPr>
                    <w:t>0</w:t>
                  </w:r>
                  <w:r>
                    <w:rPr>
                      <w:rFonts w:ascii="宋体" w:hAnsi="宋体" w:hint="eastAsia"/>
                      <w:szCs w:val="21"/>
                    </w:rPr>
                    <w:t>分，满足任意一</w:t>
                  </w:r>
                  <w:r>
                    <w:rPr>
                      <w:rFonts w:ascii="宋体" w:hAnsi="宋体" w:cs="宋体" w:hint="eastAsia"/>
                      <w:szCs w:val="21"/>
                    </w:rPr>
                    <w:t>项</w:t>
                  </w:r>
                  <w:r>
                    <w:rPr>
                      <w:rFonts w:ascii="宋体" w:hAnsi="宋体" w:hint="eastAsia"/>
                      <w:szCs w:val="21"/>
                    </w:rPr>
                    <w:t>得3</w:t>
                  </w:r>
                  <w:r>
                    <w:rPr>
                      <w:rFonts w:ascii="宋体" w:eastAsia="宋体" w:hAnsi="宋体" w:hint="eastAsia"/>
                      <w:szCs w:val="21"/>
                      <w:lang w:val="en-US" w:eastAsia="zh-CN"/>
                    </w:rPr>
                    <w:t>0</w:t>
                  </w:r>
                  <w:r>
                    <w:rPr>
                      <w:rFonts w:ascii="宋体" w:hAnsi="宋体" w:hint="eastAsia"/>
                      <w:szCs w:val="21"/>
                    </w:rPr>
                    <w:t>分，</w:t>
                  </w:r>
                  <w:r>
                    <w:rPr>
                      <w:rFonts w:ascii="宋体" w:hAnsi="宋体" w:cs="宋体" w:hint="eastAsia"/>
                      <w:szCs w:val="21"/>
                    </w:rPr>
                    <w:t>其他情况得0分</w:t>
                  </w:r>
                  <w:r>
                    <w:rPr>
                      <w:rFonts w:ascii="宋体" w:hAnsi="宋体" w:hint="eastAsia"/>
                      <w:szCs w:val="21"/>
                    </w:rPr>
                    <w:t>。</w:t>
                  </w:r>
                </w:p>
                <w:p>
                  <w:pPr>
                    <w:ind w:firstLine="480" w:firstLineChars="200"/>
                    <w:rPr>
                      <w:rFonts w:ascii="宋体" w:hAnsi="宋体" w:hint="eastAsia"/>
                      <w:szCs w:val="21"/>
                    </w:rPr>
                  </w:pPr>
                  <w:r>
                    <w:rPr>
                      <w:rFonts w:ascii="宋体" w:hAnsi="宋体" w:hint="eastAsia"/>
                      <w:szCs w:val="21"/>
                    </w:rPr>
                    <w:t>在此基础上，专家根据各供应商的具体响应内容按照量化的评审因素指标进一步评审；</w:t>
                  </w:r>
                </w:p>
                <w:p>
                  <w:pPr>
                    <w:ind w:firstLine="480" w:firstLineChars="200"/>
                    <w:rPr>
                      <w:rFonts w:ascii="宋体" w:hAnsi="宋体" w:hint="eastAsia"/>
                      <w:szCs w:val="21"/>
                    </w:rPr>
                  </w:pPr>
                  <w:r>
                    <w:rPr>
                      <w:rFonts w:ascii="宋体" w:hAnsi="宋体" w:hint="eastAsia"/>
                      <w:szCs w:val="21"/>
                    </w:rPr>
                    <w:t>（1）服务流程、应急方案与保障措施可以充分满足采购单位需求，突发事件应急方案可操作性最好的为优，得4</w:t>
                  </w:r>
                  <w:r>
                    <w:rPr>
                      <w:rFonts w:ascii="宋体" w:eastAsia="宋体" w:hAnsi="宋体" w:hint="eastAsia"/>
                      <w:szCs w:val="21"/>
                      <w:lang w:val="en-US" w:eastAsia="zh-CN"/>
                    </w:rPr>
                    <w:t>0</w:t>
                  </w:r>
                  <w:r>
                    <w:rPr>
                      <w:rFonts w:ascii="宋体" w:hAnsi="宋体" w:hint="eastAsia"/>
                      <w:szCs w:val="21"/>
                    </w:rPr>
                    <w:t>分；</w:t>
                  </w:r>
                </w:p>
                <w:p>
                  <w:pPr>
                    <w:ind w:firstLine="480" w:firstLineChars="200"/>
                    <w:rPr>
                      <w:rFonts w:ascii="宋体" w:hAnsi="宋体" w:hint="eastAsia"/>
                      <w:szCs w:val="21"/>
                    </w:rPr>
                  </w:pPr>
                  <w:r>
                    <w:rPr>
                      <w:rFonts w:ascii="宋体" w:hAnsi="宋体" w:hint="eastAsia"/>
                      <w:szCs w:val="21"/>
                    </w:rPr>
                    <w:t>（2）服务流程、应急方案与保障措施可以充分满足采购单位需求，突发事件应急方案可操作性较好的为良，得2</w:t>
                  </w:r>
                  <w:r>
                    <w:rPr>
                      <w:rFonts w:ascii="宋体" w:eastAsia="宋体" w:hAnsi="宋体" w:hint="eastAsia"/>
                      <w:szCs w:val="21"/>
                      <w:lang w:val="en-US" w:eastAsia="zh-CN"/>
                    </w:rPr>
                    <w:t>0</w:t>
                  </w:r>
                  <w:r>
                    <w:rPr>
                      <w:rFonts w:ascii="宋体" w:hAnsi="宋体" w:hint="eastAsia"/>
                      <w:szCs w:val="21"/>
                    </w:rPr>
                    <w:t>分；</w:t>
                  </w:r>
                </w:p>
                <w:p>
                  <w:pPr>
                    <w:ind w:firstLine="480" w:firstLineChars="200"/>
                    <w:rPr>
                      <w:rFonts w:ascii="宋体" w:hAnsi="宋体" w:hint="eastAsia"/>
                      <w:szCs w:val="21"/>
                    </w:rPr>
                  </w:pPr>
                  <w:r>
                    <w:rPr>
                      <w:rFonts w:ascii="宋体" w:hAnsi="宋体" w:hint="eastAsia"/>
                      <w:szCs w:val="21"/>
                    </w:rPr>
                    <w:t>（3）服务流程、应急方案与保障措施较为满足采购单位需求，突发事件应急方案可操作性一般的为中，得1</w:t>
                  </w:r>
                  <w:r>
                    <w:rPr>
                      <w:rFonts w:ascii="宋体" w:eastAsia="宋体" w:hAnsi="宋体" w:hint="eastAsia"/>
                      <w:szCs w:val="21"/>
                      <w:lang w:val="en-US" w:eastAsia="zh-CN"/>
                    </w:rPr>
                    <w:t>0</w:t>
                  </w:r>
                  <w:r>
                    <w:rPr>
                      <w:rFonts w:ascii="宋体" w:hAnsi="宋体" w:hint="eastAsia"/>
                      <w:szCs w:val="21"/>
                    </w:rPr>
                    <w:t>分；</w:t>
                  </w:r>
                </w:p>
                <w:p>
                  <w:pPr>
                    <w:ind w:firstLine="480" w:firstLineChars="200"/>
                    <w:rPr>
                      <w:rFonts w:hint="eastAsia"/>
                    </w:rPr>
                  </w:pPr>
                  <w:r>
                    <w:rPr>
                      <w:rFonts w:ascii="宋体" w:hAnsi="宋体" w:hint="eastAsia"/>
                      <w:szCs w:val="21"/>
                    </w:rPr>
                    <w:t>（4）服务流程、应急方案与保障措施不能满足采购单位需求，突发事件应急方案可操作性差或无提供方案的，得0分。</w:t>
                  </w:r>
                </w:p>
              </w:tc>
            </w:tr>
            <w:tr>
              <w:tblPrEx>
                <w:tblW w:w="9072" w:type="dxa"/>
                <w:jc w:val="center"/>
                <w:tblLayout w:type="fixed"/>
                <w:tblCellMar>
                  <w:top w:w="20" w:type="dxa"/>
                  <w:left w:w="108" w:type="dxa"/>
                  <w:bottom w:w="20" w:type="dxa"/>
                  <w:right w:w="108" w:type="dxa"/>
                </w:tblCellMar>
              </w:tblPrEx>
              <w:trPr>
                <w:jc w:val="center"/>
              </w:trPr>
              <w:tc>
                <w:tcPr>
                  <w:tcW w:w="676" w:type="dxa"/>
                  <w:vMerge w:val="restart"/>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b/>
                      <w:bCs/>
                      <w:highlight w:val="none"/>
                    </w:rPr>
                  </w:pPr>
                  <w:r>
                    <w:rPr>
                      <w:rFonts w:ascii="宋体" w:eastAsia="宋体" w:hAnsi="宋体" w:cs="宋体" w:hint="eastAsia"/>
                      <w:b/>
                      <w:bCs/>
                      <w:highlight w:val="none"/>
                    </w:rPr>
                    <w:t>3</w:t>
                  </w:r>
                </w:p>
              </w:tc>
              <w:tc>
                <w:tcPr>
                  <w:tcW w:w="3000" w:type="dxa"/>
                  <w:gridSpan w:val="3"/>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b/>
                      <w:bCs/>
                      <w:highlight w:val="none"/>
                    </w:rPr>
                  </w:pPr>
                  <w:r>
                    <w:rPr>
                      <w:rFonts w:ascii="宋体" w:eastAsia="宋体" w:hAnsi="宋体" w:cs="宋体" w:hint="eastAsia"/>
                      <w:b/>
                      <w:bCs/>
                      <w:highlight w:val="none"/>
                    </w:rPr>
                    <w:t>综合实力</w:t>
                  </w:r>
                </w:p>
              </w:tc>
              <w:tc>
                <w:tcPr>
                  <w:tcW w:w="5396"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default"/>
                      <w:b/>
                      <w:bCs/>
                      <w:highlight w:val="none"/>
                      <w:lang w:val="en-US" w:eastAsia="zh-CN"/>
                    </w:rPr>
                  </w:pPr>
                  <w:r>
                    <w:rPr>
                      <w:rFonts w:ascii="宋体" w:eastAsia="宋体" w:hAnsi="宋体" w:cs="宋体" w:hint="eastAsia"/>
                      <w:b/>
                      <w:bCs/>
                      <w:highlight w:val="none"/>
                      <w:lang w:val="en-US" w:eastAsia="zh-CN"/>
                    </w:rPr>
                    <w:t>50</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pPr>
                    <w:rPr>
                      <w:rFonts w:ascii="宋体" w:eastAsia="宋体" w:hAnsi="宋体" w:cs="宋体"/>
                      <w:b/>
                      <w:bCs/>
                      <w:highlight w:val="none"/>
                    </w:rPr>
                  </w:pPr>
                </w:p>
              </w:tc>
              <w:tc>
                <w:tcPr>
                  <w:tcW w:w="675" w:type="dxa"/>
                  <w:tcBorders>
                    <w:top w:val="outset" w:sz="6" w:space="0" w:color="000000"/>
                    <w:left w:val="outset" w:sz="6" w:space="0" w:color="000000"/>
                    <w:bottom w:val="outset" w:sz="6" w:space="0" w:color="000000"/>
                    <w:right w:val="outset" w:sz="6" w:space="0" w:color="000000"/>
                  </w:tcBorders>
                  <w:shd w:val="clear" w:color="auto" w:fill="E6EFFA"/>
                  <w:vAlign w:val="center"/>
                </w:tcPr>
                <w:p>
                  <w:pPr>
                    <w:jc w:val="center"/>
                    <w:rPr>
                      <w:rFonts w:ascii="宋体" w:eastAsia="宋体" w:hAnsi="宋体" w:cs="宋体"/>
                      <w:highlight w:val="none"/>
                    </w:rPr>
                  </w:pPr>
                  <w:r>
                    <w:rPr>
                      <w:rFonts w:ascii="宋体" w:eastAsia="宋体" w:hAnsi="宋体" w:cs="宋体" w:hint="eastAsia"/>
                      <w:highlight w:val="none"/>
                    </w:rPr>
                    <w:t>序号</w:t>
                  </w:r>
                </w:p>
              </w:tc>
              <w:tc>
                <w:tcPr>
                  <w:tcW w:w="1295" w:type="dxa"/>
                  <w:tcBorders>
                    <w:top w:val="outset" w:sz="6" w:space="0" w:color="000000"/>
                    <w:left w:val="outset" w:sz="6" w:space="0" w:color="000000"/>
                    <w:bottom w:val="outset" w:sz="6" w:space="0" w:color="000000"/>
                    <w:right w:val="outset" w:sz="6" w:space="0" w:color="000000"/>
                  </w:tcBorders>
                  <w:shd w:val="clear" w:color="auto" w:fill="E6EFFA"/>
                  <w:vAlign w:val="center"/>
                </w:tcPr>
                <w:p>
                  <w:pPr>
                    <w:jc w:val="center"/>
                    <w:rPr>
                      <w:rFonts w:ascii="宋体" w:eastAsia="宋体" w:hAnsi="宋体" w:cs="宋体"/>
                      <w:highlight w:val="none"/>
                    </w:rPr>
                  </w:pPr>
                  <w:r>
                    <w:rPr>
                      <w:rFonts w:ascii="宋体" w:eastAsia="宋体" w:hAnsi="宋体" w:cs="宋体" w:hint="eastAsia"/>
                      <w:highlight w:val="none"/>
                    </w:rPr>
                    <w:t>评审因素</w:t>
                  </w:r>
                </w:p>
              </w:tc>
              <w:tc>
                <w:tcPr>
                  <w:tcW w:w="1030" w:type="dxa"/>
                  <w:tcBorders>
                    <w:top w:val="outset" w:sz="6" w:space="0" w:color="000000"/>
                    <w:left w:val="outset" w:sz="6" w:space="0" w:color="000000"/>
                    <w:bottom w:val="outset" w:sz="6" w:space="0" w:color="000000"/>
                    <w:right w:val="outset" w:sz="6" w:space="0" w:color="000000"/>
                  </w:tcBorders>
                  <w:shd w:val="clear" w:color="auto" w:fill="E6EFFA"/>
                  <w:vAlign w:val="center"/>
                </w:tcPr>
                <w:p>
                  <w:pPr>
                    <w:jc w:val="center"/>
                    <w:rPr>
                      <w:rFonts w:ascii="宋体" w:eastAsia="宋体" w:hAnsi="宋体" w:cs="宋体"/>
                      <w:highlight w:val="none"/>
                    </w:rPr>
                  </w:pPr>
                  <w:r>
                    <w:rPr>
                      <w:rFonts w:ascii="宋体" w:eastAsia="宋体" w:hAnsi="宋体" w:cs="宋体" w:hint="eastAsia"/>
                      <w:highlight w:val="none"/>
                    </w:rPr>
                    <w:t>权重(%)</w:t>
                  </w:r>
                </w:p>
              </w:tc>
              <w:tc>
                <w:tcPr>
                  <w:tcW w:w="5396" w:type="dxa"/>
                  <w:tcBorders>
                    <w:top w:val="outset" w:sz="6" w:space="0" w:color="000000"/>
                    <w:left w:val="outset" w:sz="6" w:space="0" w:color="000000"/>
                    <w:bottom w:val="outset" w:sz="6" w:space="0" w:color="000000"/>
                    <w:right w:val="outset" w:sz="6" w:space="0" w:color="000000"/>
                  </w:tcBorders>
                  <w:shd w:val="clear" w:color="auto" w:fill="E6EFFA"/>
                  <w:vAlign w:val="center"/>
                </w:tcPr>
                <w:p>
                  <w:pPr>
                    <w:jc w:val="center"/>
                    <w:rPr>
                      <w:rFonts w:ascii="宋体" w:eastAsia="宋体" w:hAnsi="宋体" w:cs="宋体"/>
                      <w:highlight w:val="none"/>
                    </w:rPr>
                  </w:pPr>
                  <w:r>
                    <w:rPr>
                      <w:rFonts w:ascii="宋体" w:eastAsia="宋体" w:hAnsi="宋体" w:cs="宋体" w:hint="eastAsia"/>
                      <w:highlight w:val="none"/>
                    </w:rPr>
                    <w:t>评分准则</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b/>
                      <w:bCs/>
                      <w:highlight w:val="none"/>
                    </w:rPr>
                  </w:pPr>
                </w:p>
              </w:tc>
              <w:tc>
                <w:tcPr>
                  <w:tcW w:w="67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1</w:t>
                  </w:r>
                </w:p>
              </w:tc>
              <w:tc>
                <w:tcPr>
                  <w:tcW w:w="129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商务条款响应情况</w:t>
                  </w:r>
                </w:p>
              </w:tc>
              <w:tc>
                <w:tcPr>
                  <w:tcW w:w="1030"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3</w:t>
                  </w:r>
                </w:p>
              </w:tc>
              <w:tc>
                <w:tcPr>
                  <w:tcW w:w="5396" w:type="dxa"/>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hint="eastAsia"/>
                      <w:szCs w:val="21"/>
                      <w:highlight w:val="none"/>
                    </w:rPr>
                  </w:pPr>
                  <w:r>
                    <w:rPr>
                      <w:rFonts w:ascii="宋体" w:eastAsia="宋体" w:hAnsi="宋体" w:cs="宋体" w:hint="eastAsia"/>
                      <w:szCs w:val="21"/>
                      <w:highlight w:val="none"/>
                    </w:rPr>
                    <w:t>投标人应如实填写《商务条款偏离情况》，评审委员会根据</w:t>
                  </w:r>
                  <w:r>
                    <w:rPr>
                      <w:rFonts w:ascii="宋体" w:eastAsia="宋体" w:hAnsi="宋体" w:cs="宋体" w:hint="eastAsia"/>
                      <w:szCs w:val="21"/>
                      <w:highlight w:val="none"/>
                      <w:lang w:val="en-US" w:eastAsia="zh-CN"/>
                    </w:rPr>
                    <w:t>商务</w:t>
                  </w:r>
                  <w:r>
                    <w:rPr>
                      <w:rFonts w:ascii="宋体" w:eastAsia="宋体" w:hAnsi="宋体" w:cs="宋体" w:hint="eastAsia"/>
                      <w:szCs w:val="21"/>
                      <w:highlight w:val="none"/>
                    </w:rPr>
                    <w:t>需求参数响应情况进行打分。完全满足招标文件要求得</w:t>
                  </w:r>
                  <w:r>
                    <w:rPr>
                      <w:rFonts w:ascii="宋体" w:eastAsia="宋体" w:hAnsi="宋体" w:cs="宋体" w:hint="eastAsia"/>
                      <w:szCs w:val="21"/>
                      <w:highlight w:val="none"/>
                      <w:lang w:val="en-US" w:eastAsia="zh-CN"/>
                    </w:rPr>
                    <w:t>满</w:t>
                  </w:r>
                  <w:r>
                    <w:rPr>
                      <w:rFonts w:ascii="宋体" w:eastAsia="宋体" w:hAnsi="宋体" w:cs="宋体" w:hint="eastAsia"/>
                      <w:szCs w:val="21"/>
                      <w:highlight w:val="none"/>
                    </w:rPr>
                    <w:t>分；</w:t>
                  </w:r>
                  <w:r>
                    <w:rPr>
                      <w:rFonts w:ascii="宋体" w:eastAsia="宋体" w:hAnsi="宋体" w:cs="宋体" w:hint="eastAsia"/>
                      <w:szCs w:val="21"/>
                      <w:highlight w:val="none"/>
                      <w:lang w:val="en-US" w:eastAsia="zh-CN"/>
                    </w:rPr>
                    <w:t>一般商务</w:t>
                  </w:r>
                  <w:r>
                    <w:rPr>
                      <w:rFonts w:ascii="宋体" w:eastAsia="宋体" w:hAnsi="宋体" w:cs="宋体" w:hint="eastAsia"/>
                      <w:szCs w:val="21"/>
                      <w:highlight w:val="none"/>
                    </w:rPr>
                    <w:t>参数条款响应为负偏离的，一项扣</w:t>
                  </w:r>
                  <w:r>
                    <w:rPr>
                      <w:rFonts w:ascii="宋体" w:eastAsia="宋体" w:hAnsi="宋体" w:cs="宋体" w:hint="eastAsia"/>
                      <w:szCs w:val="21"/>
                      <w:highlight w:val="none"/>
                      <w:lang w:val="en-US" w:eastAsia="zh-CN"/>
                    </w:rPr>
                    <w:t>5</w:t>
                  </w:r>
                  <w:r>
                    <w:rPr>
                      <w:rFonts w:ascii="宋体" w:eastAsia="宋体" w:hAnsi="宋体" w:cs="宋体" w:hint="eastAsia"/>
                      <w:szCs w:val="21"/>
                      <w:highlight w:val="none"/>
                    </w:rPr>
                    <w:t>分，扣完为止。</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b/>
                      <w:bCs/>
                      <w:highlight w:val="none"/>
                    </w:rPr>
                  </w:pPr>
                </w:p>
              </w:tc>
              <w:tc>
                <w:tcPr>
                  <w:tcW w:w="67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highlight w:val="none"/>
                      <w:lang w:eastAsia="zh-CN"/>
                    </w:rPr>
                  </w:pPr>
                  <w:r>
                    <w:rPr>
                      <w:rFonts w:ascii="宋体" w:eastAsia="宋体" w:hAnsi="宋体" w:cs="宋体" w:hint="eastAsia"/>
                      <w:highlight w:val="none"/>
                      <w:lang w:val="en-US" w:eastAsia="zh-CN"/>
                    </w:rPr>
                    <w:t>2</w:t>
                  </w:r>
                </w:p>
              </w:tc>
              <w:tc>
                <w:tcPr>
                  <w:tcW w:w="129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投标人同类项目业绩情况</w:t>
                  </w:r>
                </w:p>
              </w:tc>
              <w:tc>
                <w:tcPr>
                  <w:tcW w:w="1030"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default"/>
                      <w:highlight w:val="none"/>
                      <w:lang w:val="en-US" w:eastAsia="zh-CN"/>
                    </w:rPr>
                  </w:pPr>
                  <w:r>
                    <w:rPr>
                      <w:rFonts w:ascii="宋体" w:eastAsia="宋体" w:hAnsi="宋体" w:cs="宋体" w:hint="eastAsia"/>
                      <w:szCs w:val="21"/>
                      <w:highlight w:val="none"/>
                    </w:rPr>
                    <w:t>13</w:t>
                  </w:r>
                </w:p>
              </w:tc>
              <w:tc>
                <w:tcPr>
                  <w:tcW w:w="5396" w:type="dxa"/>
                  <w:tcBorders>
                    <w:top w:val="single" w:sz="8" w:space="0" w:color="000000"/>
                    <w:left w:val="single" w:sz="8" w:space="0" w:color="000000"/>
                    <w:bottom w:val="single" w:sz="8" w:space="0" w:color="000000"/>
                    <w:right w:val="single" w:sz="8" w:space="0" w:color="000000"/>
                  </w:tcBorders>
                  <w:vAlign w:val="top"/>
                </w:tcPr>
                <w:p>
                  <w:pPr>
                    <w:rPr>
                      <w:rFonts w:ascii="宋体" w:eastAsia="宋体" w:hAnsi="宋体" w:cs="宋体" w:hint="eastAsia"/>
                      <w:szCs w:val="21"/>
                      <w:highlight w:val="none"/>
                    </w:rPr>
                  </w:pPr>
                  <w:r>
                    <w:rPr>
                      <w:rFonts w:ascii="宋体" w:eastAsia="宋体" w:hAnsi="宋体" w:cs="宋体" w:hint="eastAsia"/>
                      <w:szCs w:val="21"/>
                      <w:highlight w:val="none"/>
                      <w:lang w:eastAsia="zh-CN"/>
                    </w:rPr>
                    <w:t>（</w:t>
                  </w:r>
                  <w:r>
                    <w:rPr>
                      <w:rFonts w:ascii="宋体" w:eastAsia="宋体" w:hAnsi="宋体" w:cs="宋体" w:hint="eastAsia"/>
                      <w:szCs w:val="21"/>
                      <w:highlight w:val="none"/>
                      <w:lang w:val="en-US" w:eastAsia="zh-CN"/>
                    </w:rPr>
                    <w:t>一</w:t>
                  </w:r>
                  <w:r>
                    <w:rPr>
                      <w:rFonts w:ascii="宋体" w:eastAsia="宋体" w:hAnsi="宋体" w:cs="宋体" w:hint="eastAsia"/>
                      <w:szCs w:val="21"/>
                      <w:highlight w:val="none"/>
                      <w:lang w:eastAsia="zh-CN"/>
                    </w:rPr>
                    <w:t>）</w:t>
                  </w:r>
                  <w:r>
                    <w:rPr>
                      <w:rFonts w:ascii="宋体" w:eastAsia="宋体" w:hAnsi="宋体" w:cs="宋体" w:hint="eastAsia"/>
                      <w:szCs w:val="21"/>
                      <w:highlight w:val="none"/>
                    </w:rPr>
                    <w:t>评分内容：</w:t>
                  </w:r>
                </w:p>
                <w:p>
                  <w:pPr>
                    <w:rPr>
                      <w:rFonts w:ascii="宋体" w:eastAsia="宋体" w:hAnsi="宋体" w:cs="宋体" w:hint="eastAsia"/>
                      <w:szCs w:val="21"/>
                      <w:highlight w:val="none"/>
                    </w:rPr>
                  </w:pPr>
                  <w:r>
                    <w:rPr>
                      <w:rFonts w:ascii="宋体" w:eastAsia="宋体" w:hAnsi="宋体" w:cs="宋体" w:hint="eastAsia"/>
                      <w:szCs w:val="21"/>
                      <w:highlight w:val="none"/>
                      <w:lang w:val="en-US" w:eastAsia="zh-CN"/>
                    </w:rPr>
                    <w:t>自</w:t>
                  </w:r>
                  <w:r>
                    <w:rPr>
                      <w:rFonts w:ascii="宋体" w:eastAsia="宋体" w:hAnsi="宋体" w:cs="宋体" w:hint="eastAsia"/>
                      <w:szCs w:val="21"/>
                      <w:highlight w:val="none"/>
                    </w:rPr>
                    <w:t>2019年</w:t>
                  </w:r>
                  <w:r>
                    <w:rPr>
                      <w:rFonts w:ascii="宋体" w:eastAsia="宋体" w:hAnsi="宋体" w:cs="宋体" w:hint="eastAsia"/>
                      <w:szCs w:val="21"/>
                      <w:highlight w:val="none"/>
                      <w:lang w:val="en-US" w:eastAsia="zh-CN"/>
                    </w:rPr>
                    <w:t>4</w:t>
                  </w:r>
                  <w:r>
                    <w:rPr>
                      <w:rFonts w:ascii="宋体" w:eastAsia="宋体" w:hAnsi="宋体" w:cs="宋体" w:hint="eastAsia"/>
                      <w:szCs w:val="21"/>
                      <w:highlight w:val="none"/>
                    </w:rPr>
                    <w:t>月1日至本项目开标之日（以合同签订日期为准）投标</w:t>
                  </w:r>
                  <w:r>
                    <w:rPr>
                      <w:rFonts w:ascii="宋体" w:eastAsia="宋体" w:hAnsi="宋体" w:cs="宋体" w:hint="eastAsia"/>
                      <w:szCs w:val="21"/>
                      <w:highlight w:val="none"/>
                      <w:lang w:eastAsia="zh-CN"/>
                    </w:rPr>
                    <w:t>人</w:t>
                  </w:r>
                  <w:r>
                    <w:rPr>
                      <w:rFonts w:ascii="宋体" w:eastAsia="宋体" w:hAnsi="宋体" w:cs="宋体" w:hint="eastAsia"/>
                      <w:szCs w:val="21"/>
                      <w:highlight w:val="none"/>
                    </w:rPr>
                    <w:t>具有外文数字资源服务业绩（服务内容涵盖即可，文字描述可以不完全一致）。每提供一项有效业绩得</w:t>
                  </w:r>
                  <w:r>
                    <w:rPr>
                      <w:rFonts w:ascii="宋体" w:eastAsia="宋体" w:hAnsi="宋体" w:cs="宋体" w:hint="eastAsia"/>
                      <w:szCs w:val="21"/>
                      <w:highlight w:val="none"/>
                      <w:lang w:val="en-US" w:eastAsia="zh-CN"/>
                    </w:rPr>
                    <w:t>8</w:t>
                  </w:r>
                  <w:r>
                    <w:rPr>
                      <w:rFonts w:ascii="宋体" w:eastAsia="宋体" w:hAnsi="宋体" w:cs="宋体" w:hint="eastAsia"/>
                      <w:szCs w:val="21"/>
                      <w:highlight w:val="none"/>
                    </w:rPr>
                    <w:t>分，本项最高得</w:t>
                  </w:r>
                  <w:r>
                    <w:rPr>
                      <w:rFonts w:ascii="宋体" w:eastAsia="宋体" w:hAnsi="宋体" w:cs="宋体" w:hint="eastAsia"/>
                      <w:szCs w:val="21"/>
                      <w:highlight w:val="none"/>
                      <w:lang w:val="en-US" w:eastAsia="zh-CN"/>
                    </w:rPr>
                    <w:t>满</w:t>
                  </w:r>
                  <w:r>
                    <w:rPr>
                      <w:rFonts w:ascii="宋体" w:eastAsia="宋体" w:hAnsi="宋体" w:cs="宋体" w:hint="eastAsia"/>
                      <w:szCs w:val="21"/>
                      <w:highlight w:val="none"/>
                    </w:rPr>
                    <w:t>分。</w:t>
                  </w:r>
                </w:p>
                <w:p>
                  <w:pPr>
                    <w:rPr>
                      <w:rFonts w:ascii="宋体" w:eastAsia="宋体" w:hAnsi="宋体" w:cs="宋体" w:hint="eastAsia"/>
                      <w:szCs w:val="21"/>
                      <w:highlight w:val="none"/>
                    </w:rPr>
                  </w:pPr>
                  <w:r>
                    <w:rPr>
                      <w:rFonts w:ascii="宋体" w:eastAsia="宋体" w:hAnsi="宋体" w:cs="宋体" w:hint="eastAsia"/>
                      <w:szCs w:val="21"/>
                      <w:highlight w:val="none"/>
                    </w:rPr>
                    <w:t>（二）评分依据：</w:t>
                  </w:r>
                </w:p>
                <w:p>
                  <w:pPr>
                    <w:rPr>
                      <w:rFonts w:ascii="宋体" w:eastAsia="宋体" w:hAnsi="宋体" w:cs="宋体" w:hint="eastAsia"/>
                      <w:szCs w:val="21"/>
                      <w:highlight w:val="none"/>
                    </w:rPr>
                  </w:pPr>
                  <w:r>
                    <w:rPr>
                      <w:rFonts w:ascii="宋体" w:eastAsia="宋体" w:hAnsi="宋体" w:cs="宋体" w:hint="eastAsia"/>
                      <w:szCs w:val="21"/>
                      <w:highlight w:val="none"/>
                    </w:rPr>
                    <w:t>1.要求同时提供合同关键信息和已完成履约评价合格</w:t>
                  </w:r>
                  <w:r>
                    <w:rPr>
                      <w:rFonts w:ascii="宋体" w:eastAsia="宋体" w:hAnsi="宋体" w:cs="宋体" w:hint="eastAsia"/>
                      <w:szCs w:val="21"/>
                      <w:highlight w:val="none"/>
                      <w:lang w:val="en-US" w:eastAsia="zh-CN"/>
                    </w:rPr>
                    <w:t>或以上评价</w:t>
                  </w:r>
                  <w:r>
                    <w:rPr>
                      <w:rFonts w:ascii="宋体" w:eastAsia="宋体" w:hAnsi="宋体" w:cs="宋体" w:hint="eastAsia"/>
                      <w:szCs w:val="21"/>
                      <w:highlight w:val="none"/>
                    </w:rPr>
                    <w:t>或者验收合格，且履约评价合格</w:t>
                  </w:r>
                  <w:r>
                    <w:rPr>
                      <w:rFonts w:ascii="宋体" w:eastAsia="宋体" w:hAnsi="宋体" w:cs="宋体" w:hint="eastAsia"/>
                      <w:szCs w:val="21"/>
                      <w:highlight w:val="none"/>
                      <w:lang w:val="en-US" w:eastAsia="zh-CN"/>
                    </w:rPr>
                    <w:t>或以上评价</w:t>
                  </w:r>
                  <w:r>
                    <w:rPr>
                      <w:rFonts w:ascii="宋体" w:eastAsia="宋体" w:hAnsi="宋体" w:cs="宋体" w:hint="eastAsia"/>
                      <w:szCs w:val="21"/>
                      <w:highlight w:val="none"/>
                    </w:rPr>
                    <w:t>或者验收合格证明文件作为得分依据，履约评价合格或者验收合格证明文件需加盖合同甲方公章（或甲方业务章）。</w:t>
                  </w:r>
                </w:p>
                <w:p>
                  <w:pPr>
                    <w:rPr>
                      <w:rFonts w:ascii="宋体" w:eastAsia="宋体" w:hAnsi="宋体" w:cs="宋体" w:hint="eastAsia"/>
                      <w:szCs w:val="21"/>
                      <w:highlight w:val="none"/>
                    </w:rPr>
                  </w:pPr>
                  <w:r>
                    <w:rPr>
                      <w:rFonts w:ascii="宋体" w:eastAsia="宋体" w:hAnsi="宋体" w:cs="宋体" w:hint="eastAsia"/>
                      <w:szCs w:val="21"/>
                      <w:highlight w:val="none"/>
                    </w:rPr>
                    <w:t>2.通过合同关键信息无法判断是否得分的，还须同时提供能证明得分的其它证明资料，如项目报告或合同甲方出具的证明文件等。</w:t>
                  </w:r>
                </w:p>
                <w:p>
                  <w:pPr>
                    <w:rPr>
                      <w:rFonts w:ascii="宋体" w:eastAsia="宋体" w:hAnsi="宋体" w:cs="宋体" w:hint="eastAsia"/>
                      <w:szCs w:val="21"/>
                      <w:highlight w:val="none"/>
                    </w:rPr>
                  </w:pPr>
                  <w:r>
                    <w:rPr>
                      <w:rFonts w:ascii="宋体" w:eastAsia="宋体" w:hAnsi="宋体" w:cs="宋体" w:hint="eastAsia"/>
                      <w:szCs w:val="21"/>
                      <w:highlight w:val="none"/>
                    </w:rPr>
                    <w:t>3.以上资料均要求提供扫描件，原件备查。评分中出现无证明资料或专家无法凭所提供资料判断是否得分的情况，一律作不得分处理。</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b/>
                      <w:bCs/>
                      <w:highlight w:val="none"/>
                    </w:rPr>
                  </w:pPr>
                </w:p>
              </w:tc>
              <w:tc>
                <w:tcPr>
                  <w:tcW w:w="67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default"/>
                      <w:highlight w:val="none"/>
                      <w:lang w:val="en-US" w:eastAsia="zh-CN"/>
                    </w:rPr>
                  </w:pPr>
                  <w:r>
                    <w:rPr>
                      <w:rFonts w:ascii="宋体" w:eastAsia="宋体" w:hAnsi="宋体" w:cs="宋体" w:hint="eastAsia"/>
                      <w:highlight w:val="none"/>
                      <w:lang w:val="en-US" w:eastAsia="zh-CN"/>
                    </w:rPr>
                    <w:t>3</w:t>
                  </w:r>
                </w:p>
              </w:tc>
              <w:tc>
                <w:tcPr>
                  <w:tcW w:w="129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highlight w:val="none"/>
                    </w:rPr>
                  </w:pPr>
                  <w:r>
                    <w:rPr>
                      <w:rFonts w:ascii="宋体" w:hAnsi="宋体" w:hint="eastAsia"/>
                      <w:szCs w:val="21"/>
                    </w:rPr>
                    <w:t>投标人获奖情况</w:t>
                  </w:r>
                </w:p>
              </w:tc>
              <w:tc>
                <w:tcPr>
                  <w:tcW w:w="1030"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highlight w:val="none"/>
                      <w:lang w:val="en-US" w:eastAsia="zh-CN"/>
                    </w:rPr>
                  </w:pPr>
                  <w:r>
                    <w:rPr>
                      <w:rFonts w:ascii="宋体" w:hAnsi="宋体"/>
                      <w:szCs w:val="21"/>
                    </w:rPr>
                    <w:t>5</w:t>
                  </w:r>
                </w:p>
              </w:tc>
              <w:tc>
                <w:tcPr>
                  <w:tcW w:w="5396" w:type="dxa"/>
                  <w:tcBorders>
                    <w:top w:val="single" w:sz="8" w:space="0" w:color="000000"/>
                    <w:left w:val="single" w:sz="8" w:space="0" w:color="000000"/>
                    <w:bottom w:val="single" w:sz="8" w:space="0" w:color="000000"/>
                    <w:right w:val="single" w:sz="8" w:space="0" w:color="000000"/>
                  </w:tcBorders>
                  <w:vAlign w:val="top"/>
                </w:tcPr>
                <w:p>
                  <w:pPr>
                    <w:rPr>
                      <w:rFonts w:ascii="宋体" w:eastAsia="宋体" w:hAnsi="宋体" w:cs="宋体" w:hint="eastAsia"/>
                      <w:szCs w:val="21"/>
                      <w:highlight w:val="none"/>
                    </w:rPr>
                  </w:pPr>
                  <w:r>
                    <w:rPr>
                      <w:rFonts w:ascii="宋体" w:eastAsia="宋体" w:hAnsi="宋体" w:cs="宋体" w:hint="eastAsia"/>
                      <w:szCs w:val="21"/>
                      <w:highlight w:val="none"/>
                    </w:rPr>
                    <w:t>（一）评分内容：</w:t>
                  </w:r>
                </w:p>
                <w:p>
                  <w:pPr>
                    <w:rPr>
                      <w:rFonts w:ascii="宋体" w:eastAsia="宋体" w:hAnsi="宋体" w:cs="宋体" w:hint="eastAsia"/>
                      <w:szCs w:val="21"/>
                      <w:highlight w:val="none"/>
                    </w:rPr>
                  </w:pPr>
                  <w:r>
                    <w:rPr>
                      <w:rFonts w:ascii="宋体" w:eastAsia="宋体" w:hAnsi="宋体" w:cs="宋体" w:hint="eastAsia"/>
                      <w:szCs w:val="21"/>
                      <w:highlight w:val="none"/>
                    </w:rPr>
                    <w:t>1. 近三年</w:t>
                  </w:r>
                  <w:r>
                    <w:rPr>
                      <w:rFonts w:ascii="宋体" w:eastAsia="宋体" w:hAnsi="宋体" w:cs="宋体" w:hint="eastAsia"/>
                      <w:szCs w:val="21"/>
                      <w:highlight w:val="none"/>
                      <w:lang w:eastAsia="zh-CN"/>
                    </w:rPr>
                    <w:t>（</w:t>
                  </w:r>
                  <w:r>
                    <w:rPr>
                      <w:rFonts w:ascii="宋体" w:eastAsia="宋体" w:hAnsi="宋体" w:cs="宋体" w:hint="eastAsia"/>
                      <w:szCs w:val="21"/>
                      <w:highlight w:val="none"/>
                      <w:lang w:val="en-US" w:eastAsia="zh-CN"/>
                    </w:rPr>
                    <w:t>2021年4月1日</w:t>
                  </w:r>
                  <w:r>
                    <w:rPr>
                      <w:rFonts w:ascii="宋体" w:eastAsia="宋体" w:hAnsi="宋体" w:cs="宋体" w:hint="eastAsia"/>
                      <w:szCs w:val="21"/>
                      <w:highlight w:val="none"/>
                    </w:rPr>
                    <w:t>至本项目开标之日</w:t>
                  </w:r>
                  <w:r>
                    <w:rPr>
                      <w:rFonts w:ascii="宋体" w:eastAsia="宋体" w:hAnsi="宋体" w:cs="宋体" w:hint="eastAsia"/>
                      <w:szCs w:val="21"/>
                      <w:highlight w:val="none"/>
                      <w:lang w:eastAsia="zh-CN"/>
                    </w:rPr>
                    <w:t>）</w:t>
                  </w:r>
                  <w:r>
                    <w:rPr>
                      <w:rFonts w:ascii="宋体" w:eastAsia="宋体" w:hAnsi="宋体" w:cs="宋体" w:hint="eastAsia"/>
                      <w:szCs w:val="21"/>
                      <w:highlight w:val="none"/>
                    </w:rPr>
                    <w:t>，获得出版相关奖项，奖项按照获奖级别进行评分。每获得一项国家级奖</w:t>
                  </w:r>
                  <w:r>
                    <w:rPr>
                      <w:rFonts w:ascii="宋体" w:eastAsia="宋体" w:hAnsi="宋体" w:cs="宋体" w:hint="eastAsia"/>
                      <w:szCs w:val="21"/>
                      <w:highlight w:val="none"/>
                      <w:lang w:val="en-US" w:eastAsia="zh-CN"/>
                    </w:rPr>
                    <w:t>60</w:t>
                  </w:r>
                  <w:r>
                    <w:rPr>
                      <w:rFonts w:ascii="宋体" w:eastAsia="宋体" w:hAnsi="宋体" w:cs="宋体" w:hint="eastAsia"/>
                      <w:szCs w:val="21"/>
                      <w:highlight w:val="none"/>
                    </w:rPr>
                    <w:t>分、省级</w:t>
                  </w:r>
                  <w:r>
                    <w:rPr>
                      <w:rFonts w:ascii="宋体" w:eastAsia="宋体" w:hAnsi="宋体" w:cs="宋体" w:hint="eastAsia"/>
                      <w:szCs w:val="21"/>
                      <w:highlight w:val="none"/>
                      <w:lang w:eastAsia="zh-CN"/>
                    </w:rPr>
                    <w:t>（</w:t>
                  </w:r>
                  <w:r>
                    <w:rPr>
                      <w:rFonts w:ascii="宋体" w:eastAsia="宋体" w:hAnsi="宋体" w:cs="宋体" w:hint="eastAsia"/>
                      <w:szCs w:val="21"/>
                      <w:highlight w:val="none"/>
                      <w:lang w:val="en-US" w:eastAsia="zh-CN"/>
                    </w:rPr>
                    <w:t>含副省级</w:t>
                  </w:r>
                  <w:r>
                    <w:rPr>
                      <w:rFonts w:ascii="宋体" w:eastAsia="宋体" w:hAnsi="宋体" w:cs="宋体" w:hint="eastAsia"/>
                      <w:szCs w:val="21"/>
                      <w:highlight w:val="none"/>
                      <w:lang w:eastAsia="zh-CN"/>
                    </w:rPr>
                    <w:t>）</w:t>
                  </w:r>
                  <w:r>
                    <w:rPr>
                      <w:rFonts w:ascii="宋体" w:eastAsia="宋体" w:hAnsi="宋体" w:cs="宋体" w:hint="eastAsia"/>
                      <w:szCs w:val="21"/>
                      <w:highlight w:val="none"/>
                    </w:rPr>
                    <w:t>奖</w:t>
                  </w:r>
                  <w:r>
                    <w:rPr>
                      <w:rFonts w:ascii="宋体" w:eastAsia="宋体" w:hAnsi="宋体" w:cs="宋体" w:hint="eastAsia"/>
                      <w:szCs w:val="21"/>
                      <w:highlight w:val="none"/>
                      <w:lang w:val="en-US" w:eastAsia="zh-CN"/>
                    </w:rPr>
                    <w:t>40</w:t>
                  </w:r>
                  <w:r>
                    <w:rPr>
                      <w:rFonts w:ascii="宋体" w:eastAsia="宋体" w:hAnsi="宋体" w:cs="宋体" w:hint="eastAsia"/>
                      <w:szCs w:val="21"/>
                      <w:highlight w:val="none"/>
                    </w:rPr>
                    <w:t>分、市级奖</w:t>
                  </w:r>
                  <w:r>
                    <w:rPr>
                      <w:rFonts w:ascii="宋体" w:eastAsia="宋体" w:hAnsi="宋体" w:cs="宋体" w:hint="eastAsia"/>
                      <w:szCs w:val="21"/>
                      <w:highlight w:val="none"/>
                      <w:lang w:val="en-US" w:eastAsia="zh-CN"/>
                    </w:rPr>
                    <w:t>20</w:t>
                  </w:r>
                  <w:r>
                    <w:rPr>
                      <w:rFonts w:ascii="宋体" w:eastAsia="宋体" w:hAnsi="宋体" w:cs="宋体" w:hint="eastAsia"/>
                      <w:szCs w:val="21"/>
                      <w:highlight w:val="none"/>
                    </w:rPr>
                    <w:t>分，没有不得分，本项最高得</w:t>
                  </w:r>
                  <w:r>
                    <w:rPr>
                      <w:rFonts w:ascii="宋体" w:eastAsia="宋体" w:hAnsi="宋体" w:cs="宋体" w:hint="eastAsia"/>
                      <w:szCs w:val="21"/>
                      <w:highlight w:val="none"/>
                      <w:lang w:val="en-US" w:eastAsia="zh-CN"/>
                    </w:rPr>
                    <w:t>满</w:t>
                  </w:r>
                  <w:r>
                    <w:rPr>
                      <w:rFonts w:ascii="宋体" w:eastAsia="宋体" w:hAnsi="宋体" w:cs="宋体" w:hint="eastAsia"/>
                      <w:szCs w:val="21"/>
                      <w:highlight w:val="none"/>
                    </w:rPr>
                    <w:t>分。</w:t>
                  </w:r>
                </w:p>
                <w:p>
                  <w:pPr>
                    <w:rPr>
                      <w:rFonts w:ascii="宋体" w:eastAsia="宋体" w:hAnsi="宋体" w:cs="宋体" w:hint="eastAsia"/>
                      <w:szCs w:val="21"/>
                      <w:highlight w:val="none"/>
                    </w:rPr>
                  </w:pPr>
                  <w:r>
                    <w:rPr>
                      <w:rFonts w:ascii="宋体" w:eastAsia="宋体" w:hAnsi="宋体" w:cs="宋体" w:hint="eastAsia"/>
                      <w:szCs w:val="21"/>
                      <w:highlight w:val="none"/>
                    </w:rPr>
                    <w:t>（二）评分标准：</w:t>
                  </w:r>
                </w:p>
                <w:p>
                  <w:pPr>
                    <w:rPr>
                      <w:rFonts w:ascii="宋体" w:eastAsia="宋体" w:hAnsi="宋体" w:cs="宋体" w:hint="eastAsia"/>
                      <w:szCs w:val="21"/>
                      <w:highlight w:val="none"/>
                    </w:rPr>
                  </w:pPr>
                  <w:r>
                    <w:rPr>
                      <w:rFonts w:ascii="宋体" w:eastAsia="宋体" w:hAnsi="宋体" w:cs="宋体" w:hint="eastAsia"/>
                      <w:szCs w:val="21"/>
                      <w:highlight w:val="none"/>
                    </w:rPr>
                    <w:t>1. 国家级要求颁发单位为国务院（或其直接所属的行政机关）；省级要求颁发单位为省（自治区、直辖市）人民政府（或其直接所属的行政机关）：市级要求颁发单位为市（地级，或以上级别）人民政府（或其直接所属的行政机关）。</w:t>
                  </w:r>
                </w:p>
                <w:p>
                  <w:pPr>
                    <w:rPr>
                      <w:rFonts w:ascii="宋体" w:eastAsia="宋体" w:hAnsi="宋体" w:cs="宋体" w:hint="eastAsia"/>
                      <w:szCs w:val="21"/>
                      <w:highlight w:val="none"/>
                      <w:lang w:val="en-US" w:eastAsia="zh-CN"/>
                    </w:rPr>
                  </w:pPr>
                  <w:r>
                    <w:rPr>
                      <w:rFonts w:ascii="宋体" w:eastAsia="宋体" w:hAnsi="宋体" w:cs="宋体" w:hint="eastAsia"/>
                      <w:szCs w:val="21"/>
                      <w:highlight w:val="none"/>
                    </w:rPr>
                    <w:t>2.以上资料均要求提供扫描件，原件备查。评分中出现无证明资料或专家无法凭所提供资料判断是否得分的情况，一律作不得分处理。</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b/>
                      <w:bCs/>
                      <w:highlight w:val="none"/>
                    </w:rPr>
                  </w:pPr>
                </w:p>
              </w:tc>
              <w:tc>
                <w:tcPr>
                  <w:tcW w:w="67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highlight w:val="none"/>
                      <w:lang w:eastAsia="zh-CN"/>
                    </w:rPr>
                  </w:pPr>
                  <w:r>
                    <w:rPr>
                      <w:rFonts w:ascii="宋体" w:eastAsia="宋体" w:hAnsi="宋体" w:cs="宋体" w:hint="eastAsia"/>
                      <w:highlight w:val="none"/>
                      <w:lang w:val="en-US" w:eastAsia="zh-CN"/>
                    </w:rPr>
                    <w:t>4</w:t>
                  </w:r>
                </w:p>
              </w:tc>
              <w:tc>
                <w:tcPr>
                  <w:tcW w:w="129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拟安排的项目负责人情况（仅限一人）</w:t>
                  </w:r>
                </w:p>
              </w:tc>
              <w:tc>
                <w:tcPr>
                  <w:tcW w:w="1030"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highlight w:val="none"/>
                      <w:lang w:eastAsia="zh-CN"/>
                    </w:rPr>
                  </w:pPr>
                  <w:r>
                    <w:rPr>
                      <w:rFonts w:ascii="宋体" w:eastAsia="宋体" w:hAnsi="宋体" w:cs="宋体" w:hint="eastAsia"/>
                      <w:highlight w:val="none"/>
                      <w:lang w:val="en-US" w:eastAsia="zh-CN"/>
                    </w:rPr>
                    <w:t>6</w:t>
                  </w:r>
                </w:p>
              </w:tc>
              <w:tc>
                <w:tcPr>
                  <w:tcW w:w="5396"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szCs w:val="21"/>
                      <w:highlight w:val="none"/>
                    </w:rPr>
                  </w:pPr>
                  <w:r>
                    <w:rPr>
                      <w:rFonts w:ascii="宋体" w:eastAsia="宋体" w:hAnsi="宋体" w:cs="宋体" w:hint="eastAsia"/>
                      <w:szCs w:val="21"/>
                      <w:highlight w:val="none"/>
                    </w:rPr>
                    <w:t>（一）评分内容：拟安排项目负责人为投标单位员工（以社保为准），否则本项不得分。</w:t>
                  </w:r>
                </w:p>
                <w:p>
                  <w:pPr>
                    <w:rPr>
                      <w:rFonts w:ascii="宋体" w:eastAsia="宋体" w:hAnsi="宋体" w:cs="宋体" w:hint="eastAsia"/>
                      <w:szCs w:val="21"/>
                      <w:highlight w:val="none"/>
                    </w:rPr>
                  </w:pPr>
                  <w:r>
                    <w:rPr>
                      <w:rFonts w:ascii="宋体" w:eastAsia="宋体" w:hAnsi="宋体" w:cs="宋体" w:hint="eastAsia"/>
                      <w:szCs w:val="21"/>
                      <w:highlight w:val="none"/>
                    </w:rPr>
                    <w:t>投标人拟安排的项目负责人，具备：</w:t>
                  </w:r>
                </w:p>
                <w:p>
                  <w:pPr>
                    <w:rPr>
                      <w:rFonts w:ascii="宋体" w:eastAsia="宋体" w:hAnsi="宋体" w:cs="宋体" w:hint="eastAsia"/>
                      <w:szCs w:val="21"/>
                      <w:highlight w:val="none"/>
                    </w:rPr>
                  </w:pPr>
                  <w:r>
                    <w:rPr>
                      <w:rFonts w:ascii="宋体" w:eastAsia="宋体" w:hAnsi="宋体" w:cs="宋体" w:hint="eastAsia"/>
                      <w:szCs w:val="21"/>
                      <w:highlight w:val="none"/>
                    </w:rPr>
                    <w:t>1</w:t>
                  </w:r>
                  <w:r>
                    <w:rPr>
                      <w:rFonts w:ascii="宋体" w:eastAsia="宋体" w:hAnsi="宋体" w:cs="宋体" w:hint="eastAsia"/>
                      <w:szCs w:val="21"/>
                      <w:highlight w:val="none"/>
                      <w:lang w:val="en-US" w:eastAsia="zh-CN"/>
                    </w:rPr>
                    <w:t>.</w:t>
                  </w:r>
                  <w:r>
                    <w:rPr>
                      <w:rFonts w:ascii="宋体" w:eastAsia="宋体" w:hAnsi="宋体" w:cs="宋体" w:hint="eastAsia"/>
                      <w:szCs w:val="21"/>
                      <w:highlight w:val="none"/>
                    </w:rPr>
                    <w:t>学历：有本科及以上学历得</w:t>
                  </w:r>
                  <w:r>
                    <w:rPr>
                      <w:rFonts w:ascii="宋体" w:eastAsia="宋体" w:hAnsi="宋体" w:cs="宋体" w:hint="eastAsia"/>
                      <w:szCs w:val="21"/>
                      <w:highlight w:val="none"/>
                      <w:lang w:val="en-US" w:eastAsia="zh-CN"/>
                    </w:rPr>
                    <w:t>80</w:t>
                  </w:r>
                  <w:r>
                    <w:rPr>
                      <w:rFonts w:ascii="宋体" w:eastAsia="宋体" w:hAnsi="宋体" w:cs="宋体" w:hint="eastAsia"/>
                      <w:szCs w:val="21"/>
                      <w:highlight w:val="none"/>
                    </w:rPr>
                    <w:t>分。本项最高得</w:t>
                  </w:r>
                  <w:r>
                    <w:rPr>
                      <w:rFonts w:ascii="宋体" w:eastAsia="宋体" w:hAnsi="宋体" w:cs="宋体" w:hint="eastAsia"/>
                      <w:szCs w:val="21"/>
                      <w:highlight w:val="none"/>
                      <w:lang w:val="en-US" w:eastAsia="zh-CN"/>
                    </w:rPr>
                    <w:t>80</w:t>
                  </w:r>
                  <w:r>
                    <w:rPr>
                      <w:rFonts w:ascii="宋体" w:eastAsia="宋体" w:hAnsi="宋体" w:cs="宋体" w:hint="eastAsia"/>
                      <w:szCs w:val="21"/>
                      <w:highlight w:val="none"/>
                    </w:rPr>
                    <w:t>分。</w:t>
                  </w:r>
                </w:p>
                <w:p>
                  <w:pPr>
                    <w:rPr>
                      <w:rFonts w:ascii="宋体" w:eastAsia="宋体" w:hAnsi="宋体" w:cs="宋体" w:hint="eastAsia"/>
                      <w:szCs w:val="21"/>
                      <w:highlight w:val="none"/>
                    </w:rPr>
                  </w:pPr>
                  <w:r>
                    <w:rPr>
                      <w:rFonts w:ascii="宋体" w:eastAsia="宋体" w:hAnsi="宋体" w:cs="宋体" w:hint="eastAsia"/>
                      <w:szCs w:val="21"/>
                      <w:highlight w:val="none"/>
                    </w:rPr>
                    <w:t>2.有外文资源代理类工作经验</w:t>
                  </w:r>
                  <w:r>
                    <w:rPr>
                      <w:rFonts w:ascii="宋体" w:eastAsia="宋体" w:hAnsi="宋体" w:cs="宋体" w:hint="eastAsia"/>
                      <w:szCs w:val="21"/>
                      <w:highlight w:val="none"/>
                      <w:lang w:eastAsia="zh-CN"/>
                    </w:rPr>
                    <w:t>的，</w:t>
                  </w:r>
                  <w:r>
                    <w:rPr>
                      <w:rFonts w:ascii="宋体" w:eastAsia="宋体" w:hAnsi="宋体" w:cs="宋体" w:hint="eastAsia"/>
                      <w:szCs w:val="21"/>
                      <w:highlight w:val="none"/>
                    </w:rPr>
                    <w:t>得</w:t>
                  </w:r>
                  <w:r>
                    <w:rPr>
                      <w:rFonts w:ascii="宋体" w:eastAsia="宋体" w:hAnsi="宋体" w:cs="宋体" w:hint="eastAsia"/>
                      <w:szCs w:val="21"/>
                      <w:highlight w:val="none"/>
                      <w:lang w:val="en-US" w:eastAsia="zh-CN"/>
                    </w:rPr>
                    <w:t>20</w:t>
                  </w:r>
                  <w:r>
                    <w:rPr>
                      <w:rFonts w:ascii="宋体" w:eastAsia="宋体" w:hAnsi="宋体" w:cs="宋体" w:hint="eastAsia"/>
                      <w:szCs w:val="21"/>
                      <w:highlight w:val="none"/>
                    </w:rPr>
                    <w:t>分，没有得0分，本项最高得</w:t>
                  </w:r>
                  <w:r>
                    <w:rPr>
                      <w:rFonts w:ascii="宋体" w:eastAsia="宋体" w:hAnsi="宋体" w:cs="宋体" w:hint="eastAsia"/>
                      <w:szCs w:val="21"/>
                      <w:highlight w:val="none"/>
                      <w:lang w:val="en-US" w:eastAsia="zh-CN"/>
                    </w:rPr>
                    <w:t>20</w:t>
                  </w:r>
                  <w:r>
                    <w:rPr>
                      <w:rFonts w:ascii="宋体" w:eastAsia="宋体" w:hAnsi="宋体" w:cs="宋体" w:hint="eastAsia"/>
                      <w:szCs w:val="21"/>
                      <w:highlight w:val="none"/>
                    </w:rPr>
                    <w:t>分。</w:t>
                  </w:r>
                </w:p>
                <w:p>
                  <w:pPr>
                    <w:rPr>
                      <w:rFonts w:ascii="宋体" w:eastAsia="宋体" w:hAnsi="宋体" w:cs="宋体" w:hint="eastAsia"/>
                      <w:szCs w:val="21"/>
                      <w:highlight w:val="none"/>
                    </w:rPr>
                  </w:pPr>
                  <w:r>
                    <w:rPr>
                      <w:rFonts w:ascii="宋体" w:eastAsia="宋体" w:hAnsi="宋体" w:cs="宋体" w:hint="eastAsia"/>
                      <w:szCs w:val="21"/>
                      <w:highlight w:val="none"/>
                    </w:rPr>
                    <w:t xml:space="preserve">（二）评分标准： </w:t>
                  </w:r>
                </w:p>
                <w:p>
                  <w:pPr>
                    <w:rPr>
                      <w:rFonts w:ascii="宋体" w:eastAsia="宋体" w:hAnsi="宋体" w:cs="宋体" w:hint="eastAsia"/>
                      <w:szCs w:val="21"/>
                      <w:highlight w:val="none"/>
                    </w:rPr>
                  </w:pPr>
                  <w:r>
                    <w:rPr>
                      <w:rFonts w:ascii="宋体" w:eastAsia="宋体" w:hAnsi="宋体" w:cs="宋体" w:hint="eastAsia"/>
                      <w:szCs w:val="21"/>
                      <w:highlight w:val="none"/>
                    </w:rPr>
                    <w:t>1.</w:t>
                  </w:r>
                  <w:r>
                    <w:rPr>
                      <w:rFonts w:ascii="宋体" w:hAnsi="宋体" w:hint="eastAsia"/>
                      <w:szCs w:val="21"/>
                    </w:rPr>
                    <w:t>要求提供通过投标人缴纳的近三个月（2024年1月至2024年3月，由于社保部门原因最近一个月的社保证明无法提供的可往前顺延一个月）的社保证明作为本单位员工的证明依据。</w:t>
                  </w:r>
                  <w:r>
                    <w:rPr>
                      <w:rFonts w:ascii="宋体" w:eastAsia="宋体" w:hAnsi="宋体" w:hint="eastAsia"/>
                      <w:szCs w:val="21"/>
                      <w:lang w:val="en-US" w:eastAsia="zh-CN"/>
                    </w:rPr>
                    <w:t>若</w:t>
                  </w:r>
                  <w:r>
                    <w:rPr>
                      <w:rFonts w:ascii="宋体" w:hAnsi="宋体" w:hint="eastAsia"/>
                      <w:szCs w:val="21"/>
                    </w:rPr>
                    <w:t>成立不足三个月的公司，按实际社保缴纳年限提供</w:t>
                  </w:r>
                  <w:r>
                    <w:rPr>
                      <w:rFonts w:ascii="宋体" w:eastAsia="宋体" w:hAnsi="宋体" w:hint="eastAsia"/>
                      <w:szCs w:val="21"/>
                      <w:lang w:val="en-US" w:eastAsia="zh-CN"/>
                    </w:rPr>
                    <w:t>或提供承诺函</w:t>
                  </w:r>
                  <w:r>
                    <w:rPr>
                      <w:rFonts w:ascii="宋体" w:hAnsi="宋体" w:hint="eastAsia"/>
                      <w:szCs w:val="21"/>
                    </w:rPr>
                    <w:t>。</w:t>
                  </w:r>
                </w:p>
                <w:p>
                  <w:pPr>
                    <w:rPr>
                      <w:rFonts w:ascii="宋体" w:eastAsia="宋体" w:hAnsi="宋体" w:cs="宋体" w:hint="eastAsia"/>
                      <w:szCs w:val="21"/>
                      <w:highlight w:val="none"/>
                    </w:rPr>
                  </w:pPr>
                  <w:r>
                    <w:rPr>
                      <w:rFonts w:ascii="宋体" w:eastAsia="宋体" w:hAnsi="宋体" w:cs="宋体" w:hint="eastAsia"/>
                      <w:szCs w:val="21"/>
                      <w:highlight w:val="none"/>
                      <w:lang w:val="en-US" w:eastAsia="zh-CN"/>
                    </w:rPr>
                    <w:t>2</w:t>
                  </w:r>
                  <w:r>
                    <w:rPr>
                      <w:rFonts w:ascii="宋体" w:eastAsia="宋体" w:hAnsi="宋体" w:cs="宋体" w:hint="eastAsia"/>
                      <w:szCs w:val="21"/>
                      <w:highlight w:val="none"/>
                    </w:rPr>
                    <w:t>.考察学历的，要求提供毕业证书及学信网查询记录。对于较早颁发的学历证书，学信网无法查询的，要求提供其他佐证材料（如毕业院校、人社部门等颁发机构或监管机构等单位出具的证明）作为可以得分的依据等证明文件作为得分依据。海外留学人员（含港澳台）学历无法通过学信网站查询，允许提供“教育部留学服务中心出具的国外学历认证证书以及教育部留学服务中心官网查询截图”。(以上证件均可提供</w:t>
                  </w:r>
                  <w:r>
                    <w:rPr>
                      <w:rFonts w:ascii="宋体" w:eastAsia="宋体" w:hAnsi="宋体" w:cs="宋体" w:hint="eastAsia"/>
                      <w:szCs w:val="21"/>
                      <w:highlight w:val="none"/>
                      <w:lang w:val="en-US" w:eastAsia="zh-CN"/>
                    </w:rPr>
                    <w:t>扫描件</w:t>
                  </w:r>
                  <w:r>
                    <w:rPr>
                      <w:rFonts w:ascii="宋体" w:eastAsia="宋体" w:hAnsi="宋体" w:cs="宋体" w:hint="eastAsia"/>
                      <w:szCs w:val="21"/>
                      <w:highlight w:val="none"/>
                    </w:rPr>
                    <w:t>，原件备查）。</w:t>
                  </w:r>
                </w:p>
                <w:p>
                  <w:pPr>
                    <w:rPr>
                      <w:rFonts w:ascii="宋体" w:eastAsia="宋体" w:hAnsi="宋体" w:cs="宋体" w:hint="eastAsia"/>
                      <w:szCs w:val="21"/>
                      <w:highlight w:val="none"/>
                    </w:rPr>
                  </w:pPr>
                  <w:r>
                    <w:rPr>
                      <w:rFonts w:ascii="宋体" w:eastAsia="宋体" w:hAnsi="宋体" w:cs="宋体" w:hint="eastAsia"/>
                      <w:szCs w:val="21"/>
                      <w:highlight w:val="none"/>
                      <w:lang w:val="en-US" w:eastAsia="zh-CN"/>
                    </w:rPr>
                    <w:t>3</w:t>
                  </w:r>
                  <w:r>
                    <w:rPr>
                      <w:rFonts w:ascii="宋体" w:eastAsia="宋体" w:hAnsi="宋体" w:cs="宋体" w:hint="eastAsia"/>
                      <w:szCs w:val="21"/>
                      <w:highlight w:val="none"/>
                    </w:rPr>
                    <w:t>.如涉及考察人员工作经验，要求提供项目合同关键信息作为得分依据，通过合同关键信息无法判断是否得分的，还须同时提供合同采购人出具的证明文件。</w:t>
                  </w:r>
                </w:p>
                <w:p>
                  <w:pPr>
                    <w:rPr>
                      <w:rFonts w:ascii="宋体" w:eastAsia="宋体" w:hAnsi="宋体" w:cs="宋体" w:hint="eastAsia"/>
                      <w:szCs w:val="21"/>
                      <w:highlight w:val="none"/>
                    </w:rPr>
                  </w:pPr>
                  <w:r>
                    <w:rPr>
                      <w:rFonts w:ascii="宋体" w:eastAsia="宋体" w:hAnsi="宋体" w:cs="宋体" w:hint="eastAsia"/>
                      <w:szCs w:val="21"/>
                      <w:highlight w:val="none"/>
                      <w:lang w:val="en-US" w:eastAsia="zh-CN"/>
                    </w:rPr>
                    <w:t>4</w:t>
                  </w:r>
                  <w:r>
                    <w:rPr>
                      <w:rFonts w:ascii="宋体" w:eastAsia="宋体" w:hAnsi="宋体" w:cs="宋体" w:hint="eastAsia"/>
                      <w:szCs w:val="21"/>
                      <w:highlight w:val="none"/>
                    </w:rPr>
                    <w:t>.以上资料均要求提供扫描件（或官方网站截图），原件备查。评分中出现无证明资料或专家无法凭所提供资料判断是否得分的情况，一律作不得分处理。</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b/>
                      <w:bCs/>
                      <w:highlight w:val="none"/>
                    </w:rPr>
                  </w:pPr>
                </w:p>
              </w:tc>
              <w:tc>
                <w:tcPr>
                  <w:tcW w:w="67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highlight w:val="none"/>
                      <w:lang w:eastAsia="zh-CN"/>
                    </w:rPr>
                  </w:pPr>
                  <w:r>
                    <w:rPr>
                      <w:rFonts w:ascii="宋体" w:eastAsia="宋体" w:hAnsi="宋体" w:cs="宋体" w:hint="eastAsia"/>
                      <w:highlight w:val="none"/>
                      <w:lang w:val="en-US" w:eastAsia="zh-CN"/>
                    </w:rPr>
                    <w:t>5</w:t>
                  </w:r>
                </w:p>
              </w:tc>
              <w:tc>
                <w:tcPr>
                  <w:tcW w:w="129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拟安排的项目主要团队成员（主要技术人员）情况（项目负责人除外）</w:t>
                  </w:r>
                </w:p>
              </w:tc>
              <w:tc>
                <w:tcPr>
                  <w:tcW w:w="1030"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default"/>
                      <w:highlight w:val="none"/>
                      <w:lang w:val="en-US" w:eastAsia="zh-CN"/>
                    </w:rPr>
                  </w:pPr>
                  <w:r>
                    <w:rPr>
                      <w:rFonts w:ascii="宋体" w:eastAsia="宋体" w:hAnsi="宋体" w:cs="宋体" w:hint="eastAsia"/>
                      <w:highlight w:val="none"/>
                      <w:lang w:val="en-US" w:eastAsia="zh-CN"/>
                    </w:rPr>
                    <w:t>12</w:t>
                  </w:r>
                </w:p>
              </w:tc>
              <w:tc>
                <w:tcPr>
                  <w:tcW w:w="5396" w:type="dxa"/>
                  <w:tcBorders>
                    <w:top w:val="single" w:sz="8" w:space="0" w:color="000000"/>
                    <w:left w:val="single" w:sz="8" w:space="0" w:color="000000"/>
                    <w:bottom w:val="single" w:sz="8" w:space="0" w:color="000000"/>
                    <w:right w:val="single" w:sz="8" w:space="0" w:color="000000"/>
                  </w:tcBorders>
                  <w:vAlign w:val="top"/>
                </w:tcPr>
                <w:p>
                  <w:pPr>
                    <w:rPr>
                      <w:rFonts w:ascii="宋体" w:eastAsia="宋体" w:hAnsi="宋体" w:cs="宋体" w:hint="eastAsia"/>
                      <w:szCs w:val="21"/>
                      <w:highlight w:val="none"/>
                    </w:rPr>
                  </w:pPr>
                  <w:r>
                    <w:rPr>
                      <w:rFonts w:ascii="宋体" w:eastAsia="宋体" w:hAnsi="宋体" w:cs="宋体" w:hint="eastAsia"/>
                      <w:szCs w:val="21"/>
                      <w:highlight w:val="none"/>
                    </w:rPr>
                    <w:t>（一）评分内容：</w:t>
                  </w:r>
                </w:p>
                <w:p>
                  <w:pPr>
                    <w:rPr>
                      <w:rFonts w:ascii="宋体" w:eastAsia="宋体" w:hAnsi="宋体" w:cs="宋体" w:hint="eastAsia"/>
                      <w:szCs w:val="21"/>
                      <w:highlight w:val="none"/>
                    </w:rPr>
                  </w:pPr>
                  <w:r>
                    <w:rPr>
                      <w:rFonts w:ascii="宋体" w:eastAsia="宋体" w:hAnsi="宋体" w:cs="宋体" w:hint="eastAsia"/>
                      <w:szCs w:val="21"/>
                      <w:highlight w:val="none"/>
                    </w:rPr>
                    <w:t>拟安排项目主要团队成员为投标单位员工（以社保为准），否则该人员情况不计分。团队成员（项目负责人除外）具备：</w:t>
                  </w:r>
                </w:p>
                <w:p>
                  <w:pPr>
                    <w:rPr>
                      <w:rFonts w:ascii="宋体" w:eastAsia="宋体" w:hAnsi="宋体" w:cs="宋体" w:hint="eastAsia"/>
                      <w:szCs w:val="21"/>
                      <w:highlight w:val="none"/>
                    </w:rPr>
                  </w:pPr>
                  <w:r>
                    <w:rPr>
                      <w:rFonts w:ascii="宋体" w:eastAsia="宋体" w:hAnsi="宋体" w:cs="宋体" w:hint="eastAsia"/>
                      <w:szCs w:val="21"/>
                      <w:highlight w:val="none"/>
                    </w:rPr>
                    <w:t>1．学历：要求本科</w:t>
                  </w:r>
                  <w:r>
                    <w:rPr>
                      <w:rFonts w:ascii="宋体" w:eastAsia="宋体" w:hAnsi="宋体" w:cs="宋体" w:hint="eastAsia"/>
                      <w:szCs w:val="21"/>
                      <w:highlight w:val="none"/>
                      <w:lang w:val="en-US" w:eastAsia="zh-CN"/>
                    </w:rPr>
                    <w:t>及</w:t>
                  </w:r>
                  <w:r>
                    <w:rPr>
                      <w:rFonts w:ascii="宋体" w:eastAsia="宋体" w:hAnsi="宋体" w:cs="宋体" w:hint="eastAsia"/>
                      <w:szCs w:val="21"/>
                      <w:highlight w:val="none"/>
                    </w:rPr>
                    <w:t>以上学历。每提供1名本科学历得</w:t>
                  </w:r>
                  <w:r>
                    <w:rPr>
                      <w:rFonts w:ascii="宋体" w:eastAsia="宋体" w:hAnsi="宋体" w:cs="宋体" w:hint="eastAsia"/>
                      <w:szCs w:val="21"/>
                      <w:highlight w:val="none"/>
                      <w:lang w:val="en-US" w:eastAsia="zh-CN"/>
                    </w:rPr>
                    <w:t>10</w:t>
                  </w:r>
                  <w:r>
                    <w:rPr>
                      <w:rFonts w:ascii="宋体" w:eastAsia="宋体" w:hAnsi="宋体" w:cs="宋体" w:hint="eastAsia"/>
                      <w:szCs w:val="21"/>
                      <w:highlight w:val="none"/>
                    </w:rPr>
                    <w:t>分，每提供1名硕士研究生学历得2</w:t>
                  </w:r>
                  <w:r>
                    <w:rPr>
                      <w:rFonts w:ascii="宋体" w:eastAsia="宋体" w:hAnsi="宋体" w:cs="宋体" w:hint="eastAsia"/>
                      <w:szCs w:val="21"/>
                      <w:highlight w:val="none"/>
                      <w:lang w:val="en-US" w:eastAsia="zh-CN"/>
                    </w:rPr>
                    <w:t>0</w:t>
                  </w:r>
                  <w:r>
                    <w:rPr>
                      <w:rFonts w:ascii="宋体" w:eastAsia="宋体" w:hAnsi="宋体" w:cs="宋体" w:hint="eastAsia"/>
                      <w:szCs w:val="21"/>
                      <w:highlight w:val="none"/>
                    </w:rPr>
                    <w:t>分，每提供1名博士研究生学历得3</w:t>
                  </w:r>
                  <w:r>
                    <w:rPr>
                      <w:rFonts w:ascii="宋体" w:eastAsia="宋体" w:hAnsi="宋体" w:cs="宋体" w:hint="eastAsia"/>
                      <w:szCs w:val="21"/>
                      <w:highlight w:val="none"/>
                      <w:lang w:val="en-US" w:eastAsia="zh-CN"/>
                    </w:rPr>
                    <w:t>0</w:t>
                  </w:r>
                  <w:r>
                    <w:rPr>
                      <w:rFonts w:ascii="宋体" w:eastAsia="宋体" w:hAnsi="宋体" w:cs="宋体" w:hint="eastAsia"/>
                      <w:szCs w:val="21"/>
                      <w:highlight w:val="none"/>
                    </w:rPr>
                    <w:t>分，本项最高得</w:t>
                  </w:r>
                  <w:r>
                    <w:rPr>
                      <w:rFonts w:ascii="宋体" w:eastAsia="宋体" w:hAnsi="宋体" w:cs="宋体" w:hint="eastAsia"/>
                      <w:szCs w:val="21"/>
                      <w:highlight w:val="none"/>
                      <w:lang w:val="en-US" w:eastAsia="zh-CN"/>
                    </w:rPr>
                    <w:t>80</w:t>
                  </w:r>
                  <w:r>
                    <w:rPr>
                      <w:rFonts w:ascii="宋体" w:eastAsia="宋体" w:hAnsi="宋体" w:cs="宋体" w:hint="eastAsia"/>
                      <w:szCs w:val="21"/>
                      <w:highlight w:val="none"/>
                    </w:rPr>
                    <w:t xml:space="preserve">分。 </w:t>
                  </w:r>
                </w:p>
                <w:p>
                  <w:pPr>
                    <w:rPr>
                      <w:rFonts w:ascii="宋体" w:eastAsia="宋体" w:hAnsi="宋体" w:cs="宋体" w:hint="eastAsia"/>
                      <w:szCs w:val="21"/>
                      <w:highlight w:val="none"/>
                    </w:rPr>
                  </w:pPr>
                  <w:r>
                    <w:rPr>
                      <w:rFonts w:ascii="宋体" w:eastAsia="宋体" w:hAnsi="宋体" w:cs="宋体" w:hint="eastAsia"/>
                      <w:szCs w:val="21"/>
                      <w:highlight w:val="none"/>
                    </w:rPr>
                    <w:t>2. 有固定项目团队成员跟踪服务，提供承诺函（格式自拟）承诺本项目安排固定项目团队成员跟踪服务。有相关承诺书得2</w:t>
                  </w:r>
                  <w:r>
                    <w:rPr>
                      <w:rFonts w:ascii="宋体" w:eastAsia="宋体" w:hAnsi="宋体" w:cs="宋体" w:hint="eastAsia"/>
                      <w:szCs w:val="21"/>
                      <w:highlight w:val="none"/>
                      <w:lang w:val="en-US" w:eastAsia="zh-CN"/>
                    </w:rPr>
                    <w:t>0</w:t>
                  </w:r>
                  <w:r>
                    <w:rPr>
                      <w:rFonts w:ascii="宋体" w:eastAsia="宋体" w:hAnsi="宋体" w:cs="宋体" w:hint="eastAsia"/>
                      <w:szCs w:val="21"/>
                      <w:highlight w:val="none"/>
                    </w:rPr>
                    <w:t>分，没有得0分，本项最高得2</w:t>
                  </w:r>
                  <w:r>
                    <w:rPr>
                      <w:rFonts w:ascii="宋体" w:eastAsia="宋体" w:hAnsi="宋体" w:cs="宋体" w:hint="eastAsia"/>
                      <w:szCs w:val="21"/>
                      <w:highlight w:val="none"/>
                      <w:lang w:val="en-US" w:eastAsia="zh-CN"/>
                    </w:rPr>
                    <w:t>0</w:t>
                  </w:r>
                  <w:r>
                    <w:rPr>
                      <w:rFonts w:ascii="宋体" w:eastAsia="宋体" w:hAnsi="宋体" w:cs="宋体" w:hint="eastAsia"/>
                      <w:szCs w:val="21"/>
                      <w:highlight w:val="none"/>
                    </w:rPr>
                    <w:t>分。</w:t>
                  </w:r>
                </w:p>
                <w:p>
                  <w:pPr>
                    <w:rPr>
                      <w:rFonts w:ascii="宋体" w:eastAsia="宋体" w:hAnsi="宋体" w:cs="宋体" w:hint="eastAsia"/>
                      <w:szCs w:val="21"/>
                      <w:highlight w:val="none"/>
                    </w:rPr>
                  </w:pPr>
                  <w:r>
                    <w:rPr>
                      <w:rFonts w:ascii="宋体" w:eastAsia="宋体" w:hAnsi="宋体" w:cs="宋体" w:hint="eastAsia"/>
                      <w:szCs w:val="21"/>
                      <w:highlight w:val="none"/>
                    </w:rPr>
                    <w:t>（二）评分依据：</w:t>
                  </w:r>
                </w:p>
                <w:p>
                  <w:pPr>
                    <w:rPr>
                      <w:rFonts w:ascii="宋体" w:eastAsia="宋体" w:hAnsi="宋体" w:cs="宋体" w:hint="eastAsia"/>
                      <w:szCs w:val="21"/>
                      <w:highlight w:val="none"/>
                    </w:rPr>
                  </w:pPr>
                  <w:r>
                    <w:rPr>
                      <w:rFonts w:ascii="宋体" w:eastAsia="宋体" w:hAnsi="宋体" w:cs="宋体" w:hint="eastAsia"/>
                      <w:szCs w:val="21"/>
                      <w:highlight w:val="none"/>
                    </w:rPr>
                    <w:t>1.要求提供通过投标人缴纳的近三个月（2024年1月至2024年3月，由于社保部门原因最近一个月的社保证明无法提供的可往前顺延一个月）的社保证明作为本单位员工的证明依据。</w:t>
                  </w:r>
                  <w:r>
                    <w:rPr>
                      <w:rFonts w:ascii="宋体" w:eastAsia="宋体" w:hAnsi="宋体" w:cs="宋体" w:hint="eastAsia"/>
                      <w:szCs w:val="21"/>
                      <w:highlight w:val="none"/>
                      <w:lang w:val="en-US" w:eastAsia="zh-CN"/>
                    </w:rPr>
                    <w:t>若</w:t>
                  </w:r>
                  <w:r>
                    <w:rPr>
                      <w:rFonts w:ascii="宋体" w:eastAsia="宋体" w:hAnsi="宋体" w:cs="宋体" w:hint="eastAsia"/>
                      <w:szCs w:val="21"/>
                      <w:highlight w:val="none"/>
                    </w:rPr>
                    <w:t>成立不足三个月的公司，按实际社保缴纳年限提供</w:t>
                  </w:r>
                  <w:r>
                    <w:rPr>
                      <w:rFonts w:ascii="宋体" w:eastAsia="宋体" w:hAnsi="宋体" w:cs="宋体" w:hint="eastAsia"/>
                      <w:szCs w:val="21"/>
                      <w:highlight w:val="none"/>
                      <w:lang w:val="en-US" w:eastAsia="zh-CN"/>
                    </w:rPr>
                    <w:t>或提供承诺函</w:t>
                  </w:r>
                  <w:r>
                    <w:rPr>
                      <w:rFonts w:ascii="宋体" w:eastAsia="宋体" w:hAnsi="宋体" w:cs="宋体" w:hint="eastAsia"/>
                      <w:szCs w:val="21"/>
                      <w:highlight w:val="none"/>
                    </w:rPr>
                    <w:t>。</w:t>
                  </w:r>
                </w:p>
                <w:p>
                  <w:pPr>
                    <w:rPr>
                      <w:rFonts w:ascii="宋体" w:eastAsia="宋体" w:hAnsi="宋体" w:cs="宋体" w:hint="eastAsia"/>
                      <w:szCs w:val="21"/>
                      <w:highlight w:val="none"/>
                    </w:rPr>
                  </w:pPr>
                  <w:r>
                    <w:rPr>
                      <w:rFonts w:ascii="宋体" w:eastAsia="宋体" w:hAnsi="宋体" w:cs="宋体" w:hint="eastAsia"/>
                      <w:szCs w:val="21"/>
                      <w:highlight w:val="none"/>
                      <w:lang w:val="en-US" w:eastAsia="zh-CN"/>
                    </w:rPr>
                    <w:t>2</w:t>
                  </w:r>
                  <w:r>
                    <w:rPr>
                      <w:rFonts w:ascii="宋体" w:eastAsia="宋体" w:hAnsi="宋体" w:cs="宋体" w:hint="eastAsia"/>
                      <w:szCs w:val="21"/>
                      <w:highlight w:val="none"/>
                    </w:rPr>
                    <w:t>.考察学历的，要求提供毕业证书及学信网查询记录。对于较早颁发的学历证书，学信网无法查询的，要求提供其他佐证材料（如毕业院校、人社部门等颁发机构或监管机构等单位出具的证明）作为可以得分的依据等证明文件作为得分依据。海外留学人员（含港澳台）学历无法通过学信网站查询，允许提供“教育部留学服务中心出具的国外学历认证证书以及教育部留学服务中心官网查询截图”。(以上证件均可提供复印件，原件备查）。</w:t>
                  </w:r>
                </w:p>
                <w:p>
                  <w:pPr>
                    <w:rPr>
                      <w:rFonts w:ascii="宋体" w:eastAsia="宋体" w:hAnsi="宋体" w:cs="宋体" w:hint="eastAsia"/>
                      <w:szCs w:val="21"/>
                      <w:highlight w:val="none"/>
                    </w:rPr>
                  </w:pPr>
                  <w:r>
                    <w:rPr>
                      <w:rFonts w:ascii="宋体" w:eastAsia="宋体" w:hAnsi="宋体" w:cs="宋体" w:hint="eastAsia"/>
                      <w:szCs w:val="21"/>
                      <w:highlight w:val="none"/>
                      <w:lang w:val="en-US" w:eastAsia="zh-CN"/>
                    </w:rPr>
                    <w:t>3</w:t>
                  </w:r>
                  <w:r>
                    <w:rPr>
                      <w:rFonts w:ascii="宋体" w:eastAsia="宋体" w:hAnsi="宋体" w:cs="宋体" w:hint="eastAsia"/>
                      <w:szCs w:val="21"/>
                      <w:highlight w:val="none"/>
                    </w:rPr>
                    <w:t>.如涉及考察人员工作经验，要求提供项目合同关键信息作为得分依据，通过合同关键信息无法判断是否得分的，还须同时提供合同采购人出具的证明文件。</w:t>
                  </w:r>
                </w:p>
                <w:p>
                  <w:pPr>
                    <w:rPr>
                      <w:rFonts w:ascii="宋体" w:eastAsia="宋体" w:hAnsi="宋体" w:cs="宋体" w:hint="eastAsia"/>
                      <w:szCs w:val="21"/>
                      <w:highlight w:val="none"/>
                    </w:rPr>
                  </w:pPr>
                  <w:r>
                    <w:rPr>
                      <w:rFonts w:ascii="宋体" w:eastAsia="宋体" w:hAnsi="宋体" w:cs="宋体" w:hint="eastAsia"/>
                      <w:szCs w:val="21"/>
                      <w:highlight w:val="none"/>
                      <w:lang w:val="en-US" w:eastAsia="zh-CN"/>
                    </w:rPr>
                    <w:t>4</w:t>
                  </w:r>
                  <w:r>
                    <w:rPr>
                      <w:rFonts w:ascii="宋体" w:eastAsia="宋体" w:hAnsi="宋体" w:cs="宋体" w:hint="eastAsia"/>
                      <w:szCs w:val="21"/>
                      <w:highlight w:val="none"/>
                    </w:rPr>
                    <w:t>.以上资料均要求提供扫描件（或官方网站截图），原件备查。评分中出现无证明资料或专家无法凭所提供资料判断是否得分的情况，一律作不得分处理。</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b/>
                      <w:bCs/>
                      <w:highlight w:val="none"/>
                    </w:rPr>
                  </w:pPr>
                </w:p>
              </w:tc>
              <w:tc>
                <w:tcPr>
                  <w:tcW w:w="67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default"/>
                      <w:highlight w:val="none"/>
                      <w:lang w:val="en-US" w:eastAsia="zh-CN"/>
                    </w:rPr>
                  </w:pPr>
                  <w:r>
                    <w:rPr>
                      <w:rFonts w:ascii="宋体" w:eastAsia="宋体" w:hAnsi="宋体" w:cs="宋体" w:hint="eastAsia"/>
                      <w:highlight w:val="none"/>
                      <w:lang w:val="en-US" w:eastAsia="zh-CN"/>
                    </w:rPr>
                    <w:t>6</w:t>
                  </w:r>
                </w:p>
              </w:tc>
              <w:tc>
                <w:tcPr>
                  <w:tcW w:w="129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highlight w:val="none"/>
                    </w:rPr>
                  </w:pPr>
                  <w:r>
                    <w:rPr>
                      <w:rFonts w:ascii="宋体" w:hAnsi="宋体" w:hint="eastAsia"/>
                      <w:szCs w:val="21"/>
                    </w:rPr>
                    <w:t>投标人自主知识产权产品（创新、设计）情况</w:t>
                  </w:r>
                </w:p>
              </w:tc>
              <w:tc>
                <w:tcPr>
                  <w:tcW w:w="1030"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highlight w:val="none"/>
                    </w:rPr>
                  </w:pPr>
                  <w:r>
                    <w:rPr>
                      <w:rFonts w:ascii="宋体" w:hAnsi="宋体"/>
                      <w:szCs w:val="21"/>
                    </w:rPr>
                    <w:t>6</w:t>
                  </w:r>
                </w:p>
              </w:tc>
              <w:tc>
                <w:tcPr>
                  <w:tcW w:w="5396" w:type="dxa"/>
                  <w:tcBorders>
                    <w:top w:val="single" w:sz="8" w:space="0" w:color="000000"/>
                    <w:left w:val="single" w:sz="8" w:space="0" w:color="000000"/>
                    <w:bottom w:val="single" w:sz="8" w:space="0" w:color="000000"/>
                    <w:right w:val="single" w:sz="8" w:space="0" w:color="000000"/>
                  </w:tcBorders>
                  <w:vAlign w:val="top"/>
                </w:tcPr>
                <w:p>
                  <w:pPr>
                    <w:rPr>
                      <w:rFonts w:ascii="宋体" w:eastAsia="宋体" w:hAnsi="宋体" w:cs="宋体" w:hint="eastAsia"/>
                      <w:szCs w:val="21"/>
                      <w:highlight w:val="none"/>
                    </w:rPr>
                  </w:pPr>
                  <w:r>
                    <w:rPr>
                      <w:rFonts w:ascii="宋体" w:eastAsia="宋体" w:hAnsi="宋体" w:cs="宋体" w:hint="eastAsia"/>
                      <w:szCs w:val="21"/>
                      <w:highlight w:val="none"/>
                    </w:rPr>
                    <w:t>（一）评分内容：</w:t>
                  </w:r>
                </w:p>
                <w:p>
                  <w:pPr>
                    <w:rPr>
                      <w:rFonts w:ascii="宋体" w:eastAsia="宋体" w:hAnsi="宋体" w:cs="宋体" w:hint="eastAsia"/>
                      <w:szCs w:val="21"/>
                      <w:highlight w:val="none"/>
                    </w:rPr>
                  </w:pPr>
                  <w:r>
                    <w:rPr>
                      <w:rFonts w:ascii="宋体" w:eastAsia="宋体" w:hAnsi="宋体" w:cs="宋体" w:hint="eastAsia"/>
                      <w:szCs w:val="21"/>
                      <w:highlight w:val="none"/>
                    </w:rPr>
                    <w:t>1.投标人应保证采购人在使用数据库时，免受第三方提出的侵犯其专利权、商标权、著作权或其他知识产权的起诉；保证提供正版且符合中华人民共和国相关法律法规的数据库，对所供应数据库的审读、版本、知识产权、来源负相应的法律责任的得</w:t>
                  </w:r>
                  <w:r>
                    <w:rPr>
                      <w:rFonts w:ascii="宋体" w:eastAsia="宋体" w:hAnsi="宋体" w:cs="宋体" w:hint="eastAsia"/>
                      <w:szCs w:val="21"/>
                      <w:highlight w:val="none"/>
                      <w:lang w:val="en-US" w:eastAsia="zh-CN"/>
                    </w:rPr>
                    <w:t>100</w:t>
                  </w:r>
                  <w:r>
                    <w:rPr>
                      <w:rFonts w:ascii="宋体" w:eastAsia="宋体" w:hAnsi="宋体" w:cs="宋体" w:hint="eastAsia"/>
                      <w:szCs w:val="21"/>
                      <w:highlight w:val="none"/>
                    </w:rPr>
                    <w:t>分，没有得0分。</w:t>
                  </w:r>
                </w:p>
                <w:p>
                  <w:pPr>
                    <w:rPr>
                      <w:rFonts w:ascii="宋体" w:eastAsia="宋体" w:hAnsi="宋体" w:cs="宋体" w:hint="eastAsia"/>
                      <w:szCs w:val="21"/>
                      <w:highlight w:val="none"/>
                    </w:rPr>
                  </w:pPr>
                  <w:r>
                    <w:rPr>
                      <w:rFonts w:ascii="宋体" w:eastAsia="宋体" w:hAnsi="宋体" w:cs="宋体" w:hint="eastAsia"/>
                      <w:szCs w:val="21"/>
                      <w:highlight w:val="none"/>
                    </w:rPr>
                    <w:t>（二）评分标准:</w:t>
                  </w:r>
                </w:p>
                <w:p>
                  <w:pPr>
                    <w:rPr>
                      <w:rFonts w:ascii="宋体" w:eastAsia="宋体" w:hAnsi="宋体" w:cs="宋体" w:hint="eastAsia"/>
                      <w:szCs w:val="21"/>
                      <w:highlight w:val="none"/>
                    </w:rPr>
                  </w:pPr>
                  <w:r>
                    <w:rPr>
                      <w:rFonts w:ascii="宋体" w:eastAsia="宋体" w:hAnsi="宋体" w:cs="宋体" w:hint="eastAsia"/>
                      <w:szCs w:val="21"/>
                      <w:highlight w:val="none"/>
                    </w:rPr>
                    <w:t>1.提供有相关资料证明或承诺书（格式自拟）；</w:t>
                  </w:r>
                </w:p>
                <w:p>
                  <w:pPr>
                    <w:rPr>
                      <w:rFonts w:ascii="宋体" w:eastAsia="宋体" w:hAnsi="宋体" w:cs="宋体" w:hint="eastAsia"/>
                      <w:szCs w:val="21"/>
                      <w:highlight w:val="none"/>
                    </w:rPr>
                  </w:pPr>
                  <w:r>
                    <w:rPr>
                      <w:rFonts w:ascii="宋体" w:eastAsia="宋体" w:hAnsi="宋体" w:cs="宋体" w:hint="eastAsia"/>
                      <w:szCs w:val="21"/>
                      <w:highlight w:val="none"/>
                    </w:rPr>
                    <w:t>2.以上资料均要求提供扫描件或者复印件并加盖投标人公章，原件备查。评分中出现无证明资料或专家无法凭所提供资料判断是否得分的情况，一律作不得分处理。</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b/>
                      <w:bCs/>
                      <w:highlight w:val="none"/>
                    </w:rPr>
                  </w:pPr>
                </w:p>
              </w:tc>
              <w:tc>
                <w:tcPr>
                  <w:tcW w:w="67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highlight w:val="none"/>
                      <w:lang w:eastAsia="zh-CN"/>
                    </w:rPr>
                  </w:pPr>
                  <w:r>
                    <w:rPr>
                      <w:rFonts w:ascii="宋体" w:eastAsia="宋体" w:hAnsi="宋体" w:cs="宋体" w:hint="eastAsia"/>
                      <w:highlight w:val="none"/>
                      <w:lang w:val="en-US" w:eastAsia="zh-CN"/>
                    </w:rPr>
                    <w:t>7</w:t>
                  </w:r>
                </w:p>
              </w:tc>
              <w:tc>
                <w:tcPr>
                  <w:tcW w:w="129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诚信情况</w:t>
                  </w:r>
                </w:p>
              </w:tc>
              <w:tc>
                <w:tcPr>
                  <w:tcW w:w="1030"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5</w:t>
                  </w:r>
                </w:p>
              </w:tc>
              <w:tc>
                <w:tcPr>
                  <w:tcW w:w="5396" w:type="dxa"/>
                  <w:tcBorders>
                    <w:top w:val="single" w:sz="8" w:space="0" w:color="000000"/>
                    <w:left w:val="single" w:sz="8" w:space="0" w:color="000000"/>
                    <w:bottom w:val="single" w:sz="8" w:space="0" w:color="000000"/>
                    <w:right w:val="single" w:sz="8" w:space="0" w:color="000000"/>
                  </w:tcBorders>
                </w:tcPr>
                <w:p>
                  <w:pPr>
                    <w:jc w:val="both"/>
                    <w:rPr>
                      <w:rFonts w:ascii="宋体" w:eastAsia="宋体" w:hAnsi="宋体" w:cs="宋体"/>
                      <w:highlight w:val="none"/>
                    </w:rPr>
                  </w:pPr>
                  <w:r>
                    <w:rPr>
                      <w:rFonts w:ascii="宋体" w:eastAsia="宋体" w:hAnsi="宋体" w:cs="宋体" w:hint="eastAsia"/>
                      <w:highlight w:val="none"/>
                    </w:rPr>
                    <w:t>（一）评分内容：</w:t>
                  </w:r>
                </w:p>
                <w:p>
                  <w:pPr>
                    <w:jc w:val="both"/>
                    <w:rPr>
                      <w:rFonts w:ascii="宋体" w:eastAsia="宋体" w:hAnsi="宋体" w:cs="宋体"/>
                      <w:highlight w:val="none"/>
                    </w:rPr>
                  </w:pPr>
                  <w:r>
                    <w:rPr>
                      <w:rFonts w:ascii="宋体" w:eastAsia="宋体" w:hAnsi="宋体" w:cs="宋体" w:hint="eastAsia"/>
                      <w:highlight w:val="none"/>
                    </w:rPr>
                    <w:t>根据《深圳市财政局关于印发&lt;深圳市财政局政府采购供应商信用信息管理办法&gt;的通知》（深财规〔2023〕3号）相关规定，如供应商在全国范围内存在因政府采购违法、违规行为受到财政部门罚款等一般行政处罚信息，或者存在该办法第十一条所称在本市集中采购活动中的一般违法失信行为记录信息，且在公示期内的，本项不得分，否则得满分。</w:t>
                  </w:r>
                </w:p>
                <w:p>
                  <w:pPr>
                    <w:jc w:val="both"/>
                    <w:rPr>
                      <w:rFonts w:ascii="宋体" w:eastAsia="宋体" w:hAnsi="宋体" w:cs="宋体"/>
                      <w:highlight w:val="none"/>
                    </w:rPr>
                  </w:pPr>
                  <w:r>
                    <w:rPr>
                      <w:rFonts w:ascii="宋体" w:eastAsia="宋体" w:hAnsi="宋体" w:cs="宋体" w:hint="eastAsia"/>
                      <w:highlight w:val="none"/>
                    </w:rPr>
                    <w:t>（二）评分依据:</w:t>
                  </w:r>
                </w:p>
                <w:p>
                  <w:pPr>
                    <w:rPr>
                      <w:rFonts w:ascii="宋体" w:eastAsia="宋体" w:hAnsi="宋体" w:cs="宋体"/>
                      <w:highlight w:val="none"/>
                    </w:rPr>
                  </w:pPr>
                  <w:r>
                    <w:rPr>
                      <w:rFonts w:ascii="宋体" w:eastAsia="宋体" w:hAnsi="宋体" w:cs="宋体" w:hint="eastAsia"/>
                      <w:highlight w:val="none"/>
                    </w:rPr>
                    <w:t>采购代理机构通过“信用中国”、“中国政府采购网”、“深圳市政府采购监管网”以及市、区财政部门认定的其他渠道查询供应商信用信息，投标人无需提供证明材料。</w:t>
                  </w:r>
                </w:p>
              </w:tc>
            </w:tr>
          </w:tbl>
          <w:p>
            <w:pPr>
              <w:pStyle w:val="NormalWeb"/>
              <w:ind w:left="420"/>
              <w:rPr>
                <w:rFonts w:ascii="宋体" w:eastAsia="宋体" w:hAnsi="宋体" w:cs="宋体"/>
                <w:color w:val="000000" w:themeColor="text1"/>
                <w:sz w:val="21"/>
                <w:szCs w:val="21"/>
                <w:highlight w:val="none"/>
                <w14:textFill>
                  <w14:solidFill>
                    <w14:schemeClr w14:val="tx1"/>
                  </w14:solidFill>
                </w14:textFill>
              </w:rPr>
            </w:pPr>
          </w:p>
        </w:tc>
      </w:tr>
    </w:tbl>
    <w:p>
      <w:pPr>
        <w:rPr>
          <w:rFonts w:ascii="宋体" w:eastAsia="宋体" w:hAnsi="宋体" w:cs="宋体"/>
          <w:highlight w:val="none"/>
        </w:rPr>
      </w:pPr>
    </w:p>
    <w:p>
      <w:pPr>
        <w:pStyle w:val="NormalWeb"/>
        <w:spacing w:line="360" w:lineRule="auto"/>
        <w:jc w:val="center"/>
        <w:outlineLvl w:val="1"/>
        <w:rPr>
          <w:rFonts w:ascii="宋体" w:eastAsia="宋体" w:hAnsi="宋体" w:cs="宋体"/>
          <w:color w:val="000000" w:themeColor="text1"/>
          <w:sz w:val="40"/>
          <w:szCs w:val="40"/>
          <w:highlight w:val="none"/>
          <w14:textFill>
            <w14:solidFill>
              <w14:schemeClr w14:val="tx1"/>
            </w14:solidFill>
          </w14:textFill>
        </w:rPr>
      </w:pPr>
      <w:r>
        <w:rPr>
          <w:rFonts w:ascii="宋体" w:eastAsia="宋体" w:hAnsi="宋体" w:cs="宋体" w:hint="eastAsia"/>
          <w:color w:val="000000" w:themeColor="text1"/>
          <w:sz w:val="40"/>
          <w:szCs w:val="40"/>
          <w:highlight w:val="none"/>
          <w14:textFill>
            <w14:solidFill>
              <w14:schemeClr w14:val="tx1"/>
            </w14:solidFill>
          </w14:textFill>
        </w:rPr>
        <w:t>投标书目录</w:t>
      </w:r>
    </w:p>
    <w:p>
      <w:pPr>
        <w:rPr>
          <w:rFonts w:ascii="宋体" w:eastAsia="宋体" w:hAnsi="宋体" w:cs="宋体"/>
          <w:b/>
          <w:bCs/>
          <w:color w:val="FF0000"/>
          <w:sz w:val="28"/>
          <w:szCs w:val="28"/>
          <w:highlight w:val="none"/>
        </w:rPr>
      </w:pPr>
    </w:p>
    <w:p>
      <w:pPr>
        <w:rPr>
          <w:rFonts w:ascii="宋体" w:eastAsia="宋体" w:hAnsi="宋体" w:cs="宋体"/>
          <w:b/>
          <w:bCs/>
          <w:color w:val="FF0000"/>
          <w:sz w:val="28"/>
          <w:szCs w:val="28"/>
          <w:highlight w:val="none"/>
        </w:rPr>
      </w:pPr>
      <w:r>
        <w:rPr>
          <w:rFonts w:ascii="宋体" w:eastAsia="宋体" w:hAnsi="宋体" w:cs="宋体" w:hint="eastAsia"/>
          <w:b/>
          <w:bCs/>
          <w:color w:val="FF0000"/>
          <w:sz w:val="28"/>
          <w:szCs w:val="28"/>
          <w:highlight w:val="none"/>
        </w:rPr>
        <w:t>1.投标文件正文（信息公开部分）：</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t>（1）投标函</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t>（2）政府采购投标及履约承诺函</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t>（3）投标人情况及资格证明文件</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t>（4）项目详细报价</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t>（</w:t>
      </w:r>
      <w:r>
        <w:rPr>
          <w:rFonts w:ascii="宋体" w:eastAsia="宋体" w:hAnsi="宋体" w:cs="宋体" w:hint="eastAsia"/>
          <w:sz w:val="28"/>
          <w:szCs w:val="28"/>
          <w:highlight w:val="none"/>
          <w:lang w:val="en-US" w:eastAsia="zh-CN"/>
        </w:rPr>
        <w:t>5</w:t>
      </w:r>
      <w:r>
        <w:rPr>
          <w:rFonts w:ascii="宋体" w:eastAsia="宋体" w:hAnsi="宋体" w:cs="宋体" w:hint="eastAsia"/>
          <w:sz w:val="28"/>
          <w:szCs w:val="28"/>
          <w:highlight w:val="none"/>
        </w:rPr>
        <w:t>）投标人同类项目业绩情况（格式自定）</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t>（</w:t>
      </w:r>
      <w:r>
        <w:rPr>
          <w:rFonts w:ascii="宋体" w:eastAsia="宋体" w:hAnsi="宋体" w:cs="宋体" w:hint="eastAsia"/>
          <w:sz w:val="28"/>
          <w:szCs w:val="28"/>
          <w:highlight w:val="none"/>
          <w:lang w:val="en-US" w:eastAsia="zh-CN"/>
        </w:rPr>
        <w:t>6</w:t>
      </w:r>
      <w:r>
        <w:rPr>
          <w:rFonts w:ascii="宋体" w:eastAsia="宋体" w:hAnsi="宋体" w:cs="宋体" w:hint="eastAsia"/>
          <w:sz w:val="28"/>
          <w:szCs w:val="28"/>
          <w:highlight w:val="none"/>
        </w:rPr>
        <w:t>）投标人获奖情况（格式自定）</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t>（</w:t>
      </w:r>
      <w:r>
        <w:rPr>
          <w:rFonts w:ascii="宋体" w:eastAsia="宋体" w:hAnsi="宋体" w:cs="宋体" w:hint="eastAsia"/>
          <w:sz w:val="28"/>
          <w:szCs w:val="28"/>
          <w:highlight w:val="none"/>
          <w:lang w:val="en-US" w:eastAsia="zh-CN"/>
        </w:rPr>
        <w:t>7</w:t>
      </w:r>
      <w:r>
        <w:rPr>
          <w:rFonts w:ascii="宋体" w:eastAsia="宋体" w:hAnsi="宋体" w:cs="宋体" w:hint="eastAsia"/>
          <w:sz w:val="28"/>
          <w:szCs w:val="28"/>
          <w:highlight w:val="none"/>
        </w:rPr>
        <w:t>）投标人自主知识产权产品（创新、设计）情况（格式自定）</w:t>
      </w:r>
    </w:p>
    <w:p>
      <w:pPr>
        <w:ind w:left="480" w:leftChars="200"/>
        <w:rPr>
          <w:rFonts w:ascii="宋体" w:eastAsia="宋体" w:hAnsi="宋体" w:cs="宋体" w:hint="default"/>
          <w:sz w:val="28"/>
          <w:szCs w:val="28"/>
          <w:highlight w:val="none"/>
          <w:lang w:val="en-US" w:eastAsia="zh-CN"/>
        </w:rPr>
      </w:pPr>
      <w:r>
        <w:rPr>
          <w:rFonts w:ascii="宋体" w:eastAsia="宋体" w:hAnsi="宋体" w:cs="宋体" w:hint="eastAsia"/>
          <w:sz w:val="28"/>
          <w:szCs w:val="28"/>
          <w:highlight w:val="none"/>
        </w:rPr>
        <w:t>（</w:t>
      </w:r>
      <w:r>
        <w:rPr>
          <w:rFonts w:ascii="宋体" w:eastAsia="宋体" w:hAnsi="宋体" w:cs="宋体" w:hint="eastAsia"/>
          <w:sz w:val="28"/>
          <w:szCs w:val="28"/>
          <w:highlight w:val="none"/>
          <w:lang w:val="en-US" w:eastAsia="zh-CN"/>
        </w:rPr>
        <w:t>8</w:t>
      </w:r>
      <w:r>
        <w:rPr>
          <w:rFonts w:ascii="宋体" w:eastAsia="宋体" w:hAnsi="宋体" w:cs="宋体" w:hint="eastAsia"/>
          <w:sz w:val="28"/>
          <w:szCs w:val="28"/>
          <w:highlight w:val="none"/>
        </w:rPr>
        <w:t>）</w:t>
      </w:r>
      <w:r>
        <w:rPr>
          <w:rFonts w:ascii="宋体" w:eastAsia="宋体" w:hAnsi="宋体" w:cs="宋体" w:hint="eastAsia"/>
          <w:sz w:val="28"/>
          <w:szCs w:val="28"/>
          <w:highlight w:val="none"/>
          <w:lang w:val="en-US" w:eastAsia="zh-CN"/>
        </w:rPr>
        <w:t>服务网点</w:t>
      </w:r>
      <w:r>
        <w:rPr>
          <w:rFonts w:ascii="宋体" w:eastAsia="宋体" w:hAnsi="宋体" w:cs="宋体" w:hint="eastAsia"/>
          <w:sz w:val="28"/>
          <w:szCs w:val="28"/>
          <w:highlight w:val="none"/>
        </w:rPr>
        <w:t>（格式自定）</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lang w:eastAsia="zh-CN"/>
        </w:rPr>
        <w:t>（</w:t>
      </w:r>
      <w:r>
        <w:rPr>
          <w:rFonts w:ascii="宋体" w:eastAsia="宋体" w:hAnsi="宋体" w:cs="宋体" w:hint="eastAsia"/>
          <w:sz w:val="28"/>
          <w:szCs w:val="28"/>
          <w:highlight w:val="none"/>
          <w:lang w:val="en-US" w:eastAsia="zh-CN"/>
        </w:rPr>
        <w:t>9</w:t>
      </w:r>
      <w:r>
        <w:rPr>
          <w:rFonts w:ascii="宋体" w:eastAsia="宋体" w:hAnsi="宋体" w:cs="宋体" w:hint="eastAsia"/>
          <w:sz w:val="28"/>
          <w:szCs w:val="28"/>
          <w:highlight w:val="none"/>
          <w:lang w:eastAsia="zh-CN"/>
        </w:rPr>
        <w:t>）</w:t>
      </w:r>
      <w:r>
        <w:rPr>
          <w:rFonts w:ascii="宋体" w:eastAsia="宋体" w:hAnsi="宋体" w:cs="宋体" w:hint="eastAsia"/>
          <w:sz w:val="28"/>
          <w:szCs w:val="28"/>
          <w:highlight w:val="none"/>
        </w:rPr>
        <w:t>投标人认为信息公开部分需要加以说明的其他内容（格式自定）</w:t>
      </w:r>
    </w:p>
    <w:p>
      <w:pPr>
        <w:rPr>
          <w:rFonts w:ascii="宋体" w:eastAsia="宋体" w:hAnsi="宋体" w:cs="宋体" w:hint="eastAsia"/>
          <w:b/>
          <w:bCs/>
          <w:color w:val="FF0000"/>
          <w:sz w:val="28"/>
          <w:szCs w:val="28"/>
          <w:highlight w:val="none"/>
        </w:rPr>
      </w:pPr>
      <w:r>
        <w:rPr>
          <w:rFonts w:ascii="宋体" w:eastAsia="宋体" w:hAnsi="宋体" w:cs="宋体" w:hint="eastAsia"/>
          <w:b/>
          <w:bCs/>
          <w:color w:val="FF0000"/>
          <w:sz w:val="28"/>
          <w:szCs w:val="28"/>
          <w:highlight w:val="none"/>
        </w:rPr>
        <w:t>2.投标文件附件（信息不公开部分）：</w:t>
      </w:r>
    </w:p>
    <w:p>
      <w:pPr>
        <w:ind w:left="480" w:leftChars="200"/>
        <w:rPr>
          <w:rFonts w:ascii="宋体" w:eastAsia="宋体" w:hAnsi="宋体" w:cs="宋体"/>
          <w:sz w:val="28"/>
          <w:szCs w:val="28"/>
          <w:highlight w:val="none"/>
        </w:rPr>
      </w:pPr>
      <w:r>
        <w:rPr>
          <w:rFonts w:ascii="宋体" w:eastAsia="宋体" w:hAnsi="宋体" w:cs="宋体" w:hint="eastAsia"/>
          <w:sz w:val="28"/>
          <w:szCs w:val="28"/>
          <w:highlight w:val="none"/>
        </w:rPr>
        <w:t>（1）法定代表人（负责人或执行事务合伙人）资格证明书</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t>（2）投标文件签署授权委托书</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t>（3）实质性条款响应情况表</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t>（4）</w:t>
      </w:r>
      <w:r>
        <w:rPr>
          <w:rFonts w:ascii="宋体" w:eastAsia="宋体" w:hAnsi="宋体" w:cs="宋体" w:hint="eastAsia"/>
          <w:sz w:val="28"/>
          <w:szCs w:val="28"/>
          <w:highlight w:val="none"/>
          <w:lang w:val="en-US" w:eastAsia="zh-CN"/>
        </w:rPr>
        <w:t>服务</w:t>
      </w:r>
      <w:r>
        <w:rPr>
          <w:rFonts w:ascii="宋体" w:eastAsia="宋体" w:hAnsi="宋体" w:cs="宋体" w:hint="eastAsia"/>
          <w:sz w:val="28"/>
          <w:szCs w:val="28"/>
          <w:highlight w:val="none"/>
        </w:rPr>
        <w:t>条款偏离表</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t>（5）商务条款偏离表</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t>（6）拟安排的项目负责人情况（仅限一人）</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t>（7）拟安排的项目主要团队成员（主要技术人员）情况（项目负责人除外）</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t>（8）</w:t>
      </w:r>
      <w:r>
        <w:rPr>
          <w:rFonts w:ascii="宋体" w:hAnsi="宋体" w:hint="eastAsia"/>
          <w:szCs w:val="21"/>
        </w:rPr>
        <w:t>实施方案</w:t>
      </w:r>
      <w:r>
        <w:rPr>
          <w:rFonts w:ascii="宋体" w:eastAsia="宋体" w:hAnsi="宋体" w:cs="宋体" w:hint="eastAsia"/>
          <w:sz w:val="28"/>
          <w:szCs w:val="28"/>
          <w:highlight w:val="none"/>
        </w:rPr>
        <w:t>（格式自定）</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t>（9）项目重点难点分析、应对措施及相关的合理化建议（格式自定）</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t>（10）质量（完成时间、安全、环保）保障措施及方案（格式自定）</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lang w:eastAsia="zh-CN"/>
        </w:rPr>
        <w:t>（</w:t>
      </w:r>
      <w:r>
        <w:rPr>
          <w:rFonts w:ascii="宋体" w:eastAsia="宋体" w:hAnsi="宋体" w:cs="宋体" w:hint="eastAsia"/>
          <w:sz w:val="28"/>
          <w:szCs w:val="28"/>
          <w:highlight w:val="none"/>
          <w:lang w:val="en-US" w:eastAsia="zh-CN"/>
        </w:rPr>
        <w:t>11</w:t>
      </w:r>
      <w:r>
        <w:rPr>
          <w:rFonts w:ascii="宋体" w:eastAsia="宋体" w:hAnsi="宋体" w:cs="宋体" w:hint="eastAsia"/>
          <w:sz w:val="28"/>
          <w:szCs w:val="28"/>
          <w:highlight w:val="none"/>
          <w:lang w:eastAsia="zh-CN"/>
        </w:rPr>
        <w:t>）</w:t>
      </w:r>
      <w:r>
        <w:rPr>
          <w:rFonts w:ascii="宋体" w:eastAsia="宋体" w:hAnsi="宋体" w:cs="宋体" w:hint="eastAsia"/>
          <w:sz w:val="28"/>
          <w:szCs w:val="28"/>
          <w:highlight w:val="none"/>
        </w:rPr>
        <w:t>投标人认为信息不公开部分需要加以说明的其他内容（格式自定）</w:t>
      </w:r>
    </w:p>
    <w:p>
      <w:pPr>
        <w:ind w:left="480" w:leftChars="200"/>
        <w:rPr>
          <w:rFonts w:ascii="宋体" w:eastAsia="宋体" w:hAnsi="宋体" w:cs="宋体" w:hint="eastAsia"/>
          <w:sz w:val="28"/>
          <w:szCs w:val="28"/>
          <w:highlight w:val="none"/>
        </w:rPr>
      </w:pP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br w:type="page"/>
      </w: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jc w:val="center"/>
        <w:rPr>
          <w:rFonts w:ascii="宋体" w:eastAsia="宋体" w:hAnsi="宋体" w:cs="宋体"/>
          <w:b/>
          <w:color w:val="000000" w:themeColor="text1"/>
          <w:sz w:val="120"/>
          <w:szCs w:val="120"/>
          <w:highlight w:val="none"/>
          <w14:textFill>
            <w14:solidFill>
              <w14:schemeClr w14:val="tx1"/>
            </w14:solidFill>
          </w14:textFill>
        </w:rPr>
      </w:pPr>
      <w:r>
        <w:rPr>
          <w:rFonts w:ascii="宋体" w:eastAsia="宋体" w:hAnsi="宋体" w:cs="宋体" w:hint="eastAsia"/>
          <w:b/>
          <w:color w:val="000000" w:themeColor="text1"/>
          <w:sz w:val="120"/>
          <w:szCs w:val="120"/>
          <w:highlight w:val="none"/>
          <w14:textFill>
            <w14:solidFill>
              <w14:schemeClr w14:val="tx1"/>
            </w14:solidFill>
          </w14:textFill>
        </w:rPr>
        <w:t>政府采购</w:t>
      </w:r>
    </w:p>
    <w:p>
      <w:pPr>
        <w:jc w:val="center"/>
        <w:rPr>
          <w:rFonts w:ascii="宋体" w:eastAsia="宋体" w:hAnsi="宋体" w:cs="宋体"/>
          <w:b/>
          <w:color w:val="000000" w:themeColor="text1"/>
          <w:sz w:val="120"/>
          <w:szCs w:val="120"/>
          <w:highlight w:val="none"/>
          <w14:textFill>
            <w14:solidFill>
              <w14:schemeClr w14:val="tx1"/>
            </w14:solidFill>
          </w14:textFill>
        </w:rPr>
      </w:pPr>
      <w:r>
        <w:rPr>
          <w:rFonts w:ascii="宋体" w:eastAsia="宋体" w:hAnsi="宋体" w:cs="宋体" w:hint="eastAsia"/>
          <w:b/>
          <w:color w:val="000000" w:themeColor="text1"/>
          <w:sz w:val="120"/>
          <w:szCs w:val="120"/>
          <w:highlight w:val="none"/>
          <w14:textFill>
            <w14:solidFill>
              <w14:schemeClr w14:val="tx1"/>
            </w14:solidFill>
          </w14:textFill>
        </w:rPr>
        <w:t>招标文件</w:t>
      </w:r>
    </w:p>
    <w:p>
      <w:pPr>
        <w:jc w:val="center"/>
        <w:rPr>
          <w:rFonts w:ascii="宋体" w:eastAsia="宋体" w:hAnsi="宋体" w:cs="宋体"/>
          <w:b/>
          <w:color w:val="000000" w:themeColor="text1"/>
          <w:sz w:val="52"/>
          <w:szCs w:val="52"/>
          <w:highlight w:val="none"/>
          <w14:textFill>
            <w14:solidFill>
              <w14:schemeClr w14:val="tx1"/>
            </w14:solidFill>
          </w14:textFill>
        </w:rPr>
      </w:pPr>
    </w:p>
    <w:p>
      <w:pPr>
        <w:jc w:val="center"/>
        <w:rPr>
          <w:rFonts w:ascii="宋体" w:eastAsia="宋体" w:hAnsi="宋体" w:cs="宋体"/>
          <w:b/>
          <w:color w:val="000000" w:themeColor="text1"/>
          <w:sz w:val="52"/>
          <w:szCs w:val="52"/>
          <w:highlight w:val="none"/>
          <w14:textFill>
            <w14:solidFill>
              <w14:schemeClr w14:val="tx1"/>
            </w14:solidFill>
          </w14:textFill>
        </w:rPr>
      </w:pPr>
    </w:p>
    <w:p>
      <w:pPr>
        <w:jc w:val="center"/>
        <w:rPr>
          <w:rFonts w:ascii="宋体" w:eastAsia="宋体" w:hAnsi="宋体" w:cs="宋体"/>
          <w:b/>
          <w:color w:val="000000" w:themeColor="text1"/>
          <w:sz w:val="52"/>
          <w:szCs w:val="52"/>
          <w:highlight w:val="none"/>
          <w14:textFill>
            <w14:solidFill>
              <w14:schemeClr w14:val="tx1"/>
            </w14:solidFill>
          </w14:textFill>
        </w:rPr>
      </w:pPr>
    </w:p>
    <w:p>
      <w:pPr>
        <w:jc w:val="center"/>
        <w:rPr>
          <w:rFonts w:ascii="宋体" w:eastAsia="宋体" w:hAnsi="宋体" w:cs="宋体"/>
          <w:b/>
          <w:color w:val="000000" w:themeColor="text1"/>
          <w:sz w:val="52"/>
          <w:szCs w:val="52"/>
          <w:highlight w:val="none"/>
          <w14:textFill>
            <w14:solidFill>
              <w14:schemeClr w14:val="tx1"/>
            </w14:solidFill>
          </w14:textFill>
        </w:rPr>
      </w:pPr>
      <w:r>
        <w:rPr>
          <w:rFonts w:ascii="宋体" w:eastAsia="宋体" w:hAnsi="宋体" w:cs="宋体" w:hint="eastAsia"/>
          <w:b/>
          <w:color w:val="000000" w:themeColor="text1"/>
          <w:sz w:val="52"/>
          <w:szCs w:val="52"/>
          <w:highlight w:val="none"/>
          <w14:textFill>
            <w14:solidFill>
              <w14:schemeClr w14:val="tx1"/>
            </w14:solidFill>
          </w14:textFill>
        </w:rPr>
        <w:t>（服务类）</w:t>
      </w:r>
    </w:p>
    <w:p>
      <w:pPr>
        <w:rPr>
          <w:rFonts w:ascii="宋体" w:eastAsia="宋体" w:hAnsi="宋体" w:cs="宋体"/>
          <w:color w:val="000000" w:themeColor="text1"/>
          <w:highlight w:val="none"/>
          <w14:textFill>
            <w14:solidFill>
              <w14:schemeClr w14:val="tx1"/>
            </w14:solidFill>
          </w14:textFill>
        </w:rPr>
      </w:pPr>
    </w:p>
    <w:p>
      <w:pPr>
        <w:rPr>
          <w:rFonts w:ascii="宋体" w:eastAsia="宋体" w:hAnsi="宋体" w:cs="宋体"/>
          <w:color w:val="000000" w:themeColor="text1"/>
          <w:highlight w:val="none"/>
          <w14:textFill>
            <w14:solidFill>
              <w14:schemeClr w14:val="tx1"/>
            </w14:solidFill>
          </w14:textFill>
        </w:rPr>
      </w:pPr>
    </w:p>
    <w:p>
      <w:pPr>
        <w:rPr>
          <w:rFonts w:ascii="宋体" w:eastAsia="宋体" w:hAnsi="宋体" w:cs="宋体"/>
          <w:color w:val="000000" w:themeColor="text1"/>
          <w:highlight w:val="none"/>
          <w14:textFill>
            <w14:solidFill>
              <w14:schemeClr w14:val="tx1"/>
            </w14:solidFill>
          </w14:textFill>
        </w:rPr>
      </w:pPr>
    </w:p>
    <w:p>
      <w:pPr>
        <w:rPr>
          <w:rFonts w:ascii="宋体" w:eastAsia="宋体" w:hAnsi="宋体" w:cs="宋体"/>
          <w:color w:val="000000" w:themeColor="text1"/>
          <w:highlight w:val="none"/>
          <w14:textFill>
            <w14:solidFill>
              <w14:schemeClr w14:val="tx1"/>
            </w14:solidFill>
          </w14:textFill>
        </w:rPr>
      </w:pPr>
    </w:p>
    <w:p>
      <w:pPr>
        <w:rPr>
          <w:rFonts w:ascii="宋体" w:eastAsia="宋体" w:hAnsi="宋体" w:cs="宋体"/>
          <w:color w:val="000000" w:themeColor="text1"/>
          <w:highlight w:val="none"/>
          <w14:textFill>
            <w14:solidFill>
              <w14:schemeClr w14:val="tx1"/>
            </w14:solidFill>
          </w14:textFill>
        </w:rPr>
      </w:pPr>
    </w:p>
    <w:p>
      <w:pPr>
        <w:rPr>
          <w:rFonts w:ascii="宋体" w:eastAsia="宋体" w:hAnsi="宋体" w:cs="宋体"/>
          <w:color w:val="000000" w:themeColor="text1"/>
          <w:highlight w:val="none"/>
          <w14:textFill>
            <w14:solidFill>
              <w14:schemeClr w14:val="tx1"/>
            </w14:solidFill>
          </w14:textFill>
        </w:rPr>
      </w:pPr>
    </w:p>
    <w:p>
      <w:pPr>
        <w:jc w:val="center"/>
        <w:rPr>
          <w:rFonts w:ascii="宋体" w:eastAsia="宋体" w:hAnsi="宋体" w:cs="宋体"/>
          <w:b/>
          <w:color w:val="000000" w:themeColor="text1"/>
          <w:sz w:val="44"/>
          <w:szCs w:val="44"/>
          <w:highlight w:val="none"/>
          <w14:textFill>
            <w14:solidFill>
              <w14:schemeClr w14:val="tx1"/>
            </w14:solidFill>
          </w14:textFill>
        </w:rPr>
      </w:pPr>
    </w:p>
    <w:p>
      <w:pPr>
        <w:jc w:val="center"/>
        <w:rPr>
          <w:rFonts w:ascii="宋体" w:eastAsia="宋体" w:hAnsi="宋体" w:cs="宋体"/>
          <w:b/>
          <w:color w:val="000000" w:themeColor="text1"/>
          <w:sz w:val="44"/>
          <w:szCs w:val="44"/>
          <w:highlight w:val="none"/>
          <w14:textFill>
            <w14:solidFill>
              <w14:schemeClr w14:val="tx1"/>
            </w14:solidFill>
          </w14:textFill>
        </w:rPr>
      </w:pPr>
    </w:p>
    <w:p>
      <w:pPr>
        <w:jc w:val="center"/>
        <w:rPr>
          <w:rFonts w:ascii="宋体" w:eastAsia="宋体" w:hAnsi="宋体" w:cs="宋体"/>
          <w:b/>
          <w:color w:val="000000" w:themeColor="text1"/>
          <w:sz w:val="44"/>
          <w:szCs w:val="44"/>
          <w:highlight w:val="none"/>
          <w14:textFill>
            <w14:solidFill>
              <w14:schemeClr w14:val="tx1"/>
            </w14:solidFill>
          </w14:textFill>
        </w:rPr>
      </w:pPr>
    </w:p>
    <w:p>
      <w:pPr>
        <w:jc w:val="center"/>
        <w:rPr>
          <w:rFonts w:ascii="宋体" w:eastAsia="宋体" w:hAnsi="宋体" w:cs="宋体"/>
          <w:b/>
          <w:color w:val="000000" w:themeColor="text1"/>
          <w:sz w:val="44"/>
          <w:szCs w:val="44"/>
          <w:highlight w:val="none"/>
          <w14:textFill>
            <w14:solidFill>
              <w14:schemeClr w14:val="tx1"/>
            </w14:solidFill>
          </w14:textFill>
        </w:rPr>
      </w:pPr>
      <w:bookmarkStart w:id="2" w:name="_Hlk71465316"/>
      <w:r>
        <w:rPr>
          <w:rFonts w:ascii="宋体" w:eastAsia="宋体" w:hAnsi="宋体" w:cs="宋体" w:hint="eastAsia"/>
          <w:b/>
          <w:color w:val="000000" w:themeColor="text1"/>
          <w:sz w:val="44"/>
          <w:szCs w:val="44"/>
          <w:highlight w:val="none"/>
          <w14:textFill>
            <w14:solidFill>
              <w14:schemeClr w14:val="tx1"/>
            </w14:solidFill>
          </w14:textFill>
        </w:rPr>
        <w:t>友和保险经纪有限公司</w:t>
      </w:r>
    </w:p>
    <w:p>
      <w:pPr>
        <w:spacing w:line="360" w:lineRule="auto"/>
        <w:ind w:firstLine="3600" w:firstLineChars="1500"/>
        <w:outlineLvl w:val="1"/>
        <w:rPr>
          <w:rFonts w:ascii="宋体" w:eastAsia="宋体" w:hAnsi="宋体" w:cs="宋体"/>
          <w:color w:val="FF0000"/>
          <w:sz w:val="30"/>
          <w:szCs w:val="30"/>
          <w:highlight w:val="none"/>
        </w:rPr>
      </w:pPr>
      <w:bookmarkEnd w:id="2"/>
      <w:r>
        <w:rPr>
          <w:rFonts w:ascii="宋体" w:eastAsia="宋体" w:hAnsi="宋体" w:cs="宋体" w:hint="eastAsia"/>
          <w:color w:val="000000" w:themeColor="text1"/>
          <w:highlight w:val="none"/>
          <w14:textFill>
            <w14:solidFill>
              <w14:schemeClr w14:val="tx1"/>
            </w14:solidFill>
          </w14:textFill>
        </w:rPr>
        <w:br w:type="page"/>
      </w:r>
      <w:r>
        <w:rPr>
          <w:rFonts w:ascii="宋体" w:eastAsia="宋体" w:hAnsi="宋体" w:cs="宋体" w:hint="eastAsia"/>
          <w:b/>
          <w:bCs/>
          <w:color w:val="FF0000"/>
          <w:kern w:val="44"/>
          <w:sz w:val="30"/>
          <w:szCs w:val="30"/>
          <w:highlight w:val="none"/>
        </w:rPr>
        <w:t>警示条款</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一、</w:t>
      </w:r>
      <w:r>
        <w:rPr>
          <w:rFonts w:ascii="宋体" w:eastAsia="宋体" w:hAnsi="宋体" w:cs="宋体" w:hint="eastAsia"/>
          <w:b/>
          <w:bCs/>
          <w:color w:val="000000" w:themeColor="text1"/>
          <w:highlight w:val="none"/>
          <w14:textFill>
            <w14:solidFill>
              <w14:schemeClr w14:val="tx1"/>
            </w14:solidFill>
          </w14:textFill>
        </w:rPr>
        <w:t>《深圳经济特区政府采购条例》第五十七条</w:t>
      </w:r>
      <w:r>
        <w:rPr>
          <w:rFonts w:ascii="宋体" w:eastAsia="宋体" w:hAnsi="宋体" w:cs="宋体" w:hint="eastAsia"/>
          <w:color w:val="000000" w:themeColor="text1"/>
          <w:highlight w:val="none"/>
          <w14:textFill>
            <w14:solidFill>
              <w14:schemeClr w14:val="tx1"/>
            </w14:solidFill>
          </w14:textFill>
        </w:rPr>
        <w:t xml:space="preserve">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（一）在采购活动中应当回避而未回避的；</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（二）未按本条例规定签订、履行采购合同，造成严重后果的；</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（三）隐瞒真实情况，提供虚假资料的；</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（四）以非法手段排斥其他供应商参与竞争的；</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（五）与其他采购参加人串通投标的；</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（六）恶意投诉的；</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（七）向采购项目相关人行贿或者提供其他不当利益的；</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（八）阻碍、抗拒主管部门监督检查的；</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（九）其他违反本条例规定的行为。</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b/>
          <w:bCs/>
          <w:color w:val="000000" w:themeColor="text1"/>
          <w:highlight w:val="none"/>
          <w14:textFill>
            <w14:solidFill>
              <w14:schemeClr w14:val="tx1"/>
            </w14:solidFill>
          </w14:textFill>
        </w:rPr>
        <w:t>二、《深圳经济特区政府采购条例实施细则》第七十五条 </w:t>
      </w:r>
      <w:r>
        <w:rPr>
          <w:rFonts w:ascii="宋体" w:eastAsia="宋体" w:hAnsi="宋体" w:cs="宋体" w:hint="eastAsia"/>
          <w:color w:val="000000" w:themeColor="text1"/>
          <w:highlight w:val="none"/>
          <w14:textFill>
            <w14:solidFill>
              <w14:schemeClr w14:val="tx1"/>
            </w14:solidFill>
          </w14:textFill>
        </w:rPr>
        <w:t>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b/>
          <w:bCs/>
          <w:color w:val="000000" w:themeColor="text1"/>
          <w:highlight w:val="none"/>
          <w14:textFill>
            <w14:solidFill>
              <w14:schemeClr w14:val="tx1"/>
            </w14:solidFill>
          </w14:textFill>
        </w:rPr>
        <w:t>三、《深圳经济特区政府采购条例实施细则》第七十七条 </w:t>
      </w:r>
      <w:r>
        <w:rPr>
          <w:rFonts w:ascii="宋体" w:eastAsia="宋体" w:hAnsi="宋体" w:cs="宋体" w:hint="eastAsia"/>
          <w:color w:val="000000" w:themeColor="text1"/>
          <w:highlight w:val="none"/>
          <w14:textFill>
            <w14:solidFill>
              <w14:schemeClr w14:val="tx1"/>
            </w14:solidFill>
          </w14:textFill>
        </w:rPr>
        <w:t>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投标供应商不能提供项目负责人或者主要技术人员的劳动合同、社会保险等劳动关系证明材料的，视为存在前款第（三）项规定的情形。</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四、请投标供应商阅读《政府采购违法行为风险知悉确认书》（内容详见“投标文件附件（信息不公开部分）”中“投标人认为需要加以说明的其他内容（格式自定）”），并经各投标供应商负责人或投标授权代表签字并加盖单位公章后，扫描上传至投标文件一并提交。</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注：该风险知悉确认书用于对供应商违法行为的警示，不作为供应商资格性审查及符合性审查条件。</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五、供应商在使用深圳政府采购智慧平台的投标文件制作工具创建投标文件时，该工具将自动在投标文件中记录文件创建标识码，同时提取投标文件制作电脑的网卡MAC地址、硬盘序列号、CPU 序列号、主板序列号和工具标识号，经加密生成文件制作机器码并在投标文件中记录。文件制作机器码一致表明不同供应商使用了同一设备编制投标文件，文件创建标识码一致表明不同供应商的投标文件为同一份文件，IP 地址一致表明上传投标文件时使用了相同的网络。</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六、为避免出现不同供应商投标文件的文件制作机器码、文件创建标识码、IP 地址一致的异常情况，建议各供应商编制、上传投标文件时不要使用公共电脑设备或公共网络。</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七、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的行政处罚，请各供应商独立编制、上传投标文件，妥善保管和使用电子秘钥。</w:t>
      </w:r>
    </w:p>
    <w:p>
      <w:pPr>
        <w:rPr>
          <w:rFonts w:ascii="宋体" w:eastAsia="宋体" w:hAnsi="宋体" w:cs="宋体"/>
          <w:color w:val="000000" w:themeColor="text1"/>
          <w:highlight w:val="none"/>
          <w14:textFill>
            <w14:solidFill>
              <w14:schemeClr w14:val="tx1"/>
            </w14:solidFill>
          </w14:textFill>
        </w:rPr>
      </w:pPr>
    </w:p>
    <w:p>
      <w:pPr>
        <w:pStyle w:val="Heading1"/>
        <w:rPr>
          <w:rFonts w:eastAsia="宋体" w:cs="宋体"/>
          <w:color w:val="000000" w:themeColor="text1"/>
          <w:highlight w:val="none"/>
          <w14:textFill>
            <w14:solidFill>
              <w14:schemeClr w14:val="tx1"/>
            </w14:solidFill>
          </w14:textFill>
        </w:rPr>
      </w:pPr>
      <w:r>
        <w:rPr>
          <w:rFonts w:eastAsia="宋体" w:cs="宋体" w:hint="eastAsia"/>
          <w:color w:val="000000" w:themeColor="text1"/>
          <w:highlight w:val="none"/>
          <w14:textFill>
            <w14:solidFill>
              <w14:schemeClr w14:val="tx1"/>
            </w14:solidFill>
          </w14:textFill>
        </w:rPr>
        <w:br w:type="page"/>
      </w:r>
      <w:r>
        <w:rPr>
          <w:rFonts w:eastAsia="宋体" w:cs="宋体" w:hint="eastAsia"/>
          <w:color w:val="000000" w:themeColor="text1"/>
          <w:highlight w:val="none"/>
          <w14:textFill>
            <w14:solidFill>
              <w14:schemeClr w14:val="tx1"/>
            </w14:solidFill>
          </w14:textFill>
        </w:rPr>
        <w:t>目   录</w:t>
      </w:r>
    </w:p>
    <w:p>
      <w:pPr>
        <w:spacing w:line="360" w:lineRule="auto"/>
        <w:outlineLvl w:val="1"/>
        <w:rPr>
          <w:rFonts w:ascii="宋体" w:eastAsia="宋体" w:hAnsi="宋体" w:cs="宋体"/>
          <w:b/>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第一册  专用条款</w:t>
      </w:r>
    </w:p>
    <w:p>
      <w:pPr>
        <w:spacing w:line="360" w:lineRule="auto"/>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第一章  招标公告</w:t>
      </w:r>
    </w:p>
    <w:p>
      <w:pPr>
        <w:spacing w:line="360" w:lineRule="auto"/>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 xml:space="preserve">第二章  </w:t>
      </w:r>
      <w:bookmarkStart w:id="3" w:name="_Hlk71994379"/>
      <w:r>
        <w:rPr>
          <w:rFonts w:ascii="宋体" w:eastAsia="宋体" w:hAnsi="宋体" w:cs="宋体" w:hint="eastAsia"/>
          <w:color w:val="000000" w:themeColor="text1"/>
          <w:szCs w:val="21"/>
          <w:highlight w:val="none"/>
          <w14:textFill>
            <w14:solidFill>
              <w14:schemeClr w14:val="tx1"/>
            </w14:solidFill>
          </w14:textFill>
        </w:rPr>
        <w:t>对通用条款的补充内容及其他关键信息</w:t>
      </w:r>
      <w:bookmarkEnd w:id="3"/>
    </w:p>
    <w:p>
      <w:pPr>
        <w:spacing w:line="360" w:lineRule="auto"/>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第三章  用户需求书</w:t>
      </w:r>
    </w:p>
    <w:p>
      <w:pPr>
        <w:spacing w:line="360" w:lineRule="auto"/>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第四章  投标文件组成要求及格式</w:t>
      </w:r>
    </w:p>
    <w:p>
      <w:pPr>
        <w:spacing w:line="360" w:lineRule="auto"/>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第五章  合同条款及格式</w:t>
      </w:r>
    </w:p>
    <w:p>
      <w:pPr>
        <w:rPr>
          <w:rFonts w:ascii="宋体" w:eastAsia="宋体" w:hAnsi="宋体" w:cs="宋体"/>
          <w:highlight w:val="none"/>
        </w:rPr>
      </w:pPr>
    </w:p>
    <w:p>
      <w:pPr>
        <w:spacing w:line="360" w:lineRule="auto"/>
        <w:outlineLvl w:val="1"/>
        <w:rPr>
          <w:rFonts w:ascii="宋体" w:eastAsia="宋体" w:hAnsi="宋体" w:cs="宋体"/>
          <w:b/>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第二册  通用条款</w:t>
      </w:r>
    </w:p>
    <w:p>
      <w:pPr>
        <w:spacing w:line="360" w:lineRule="auto"/>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第一章  总则</w:t>
      </w:r>
    </w:p>
    <w:p>
      <w:pPr>
        <w:spacing w:line="360" w:lineRule="auto"/>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第二章  招标文件</w:t>
      </w:r>
    </w:p>
    <w:p>
      <w:pPr>
        <w:spacing w:line="360" w:lineRule="auto"/>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第三章  投标文件的编制</w:t>
      </w:r>
    </w:p>
    <w:p>
      <w:pPr>
        <w:spacing w:line="360" w:lineRule="auto"/>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第四章  投标文件的递交</w:t>
      </w:r>
    </w:p>
    <w:p>
      <w:pPr>
        <w:spacing w:line="360" w:lineRule="auto"/>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第五章  开标</w:t>
      </w:r>
    </w:p>
    <w:p>
      <w:pPr>
        <w:spacing w:line="360" w:lineRule="auto"/>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第六章  评审要求</w:t>
      </w:r>
    </w:p>
    <w:p>
      <w:pPr>
        <w:spacing w:line="360" w:lineRule="auto"/>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第七章  评审程序及评审方法</w:t>
      </w:r>
    </w:p>
    <w:p>
      <w:pPr>
        <w:spacing w:line="360" w:lineRule="auto"/>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第八章  定标及公示</w:t>
      </w:r>
    </w:p>
    <w:p>
      <w:pPr>
        <w:spacing w:line="360" w:lineRule="auto"/>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第九章  公开招标失败的后续处理</w:t>
      </w:r>
    </w:p>
    <w:p>
      <w:pPr>
        <w:spacing w:line="360" w:lineRule="auto"/>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第十章  合同的授予与备案</w:t>
      </w:r>
    </w:p>
    <w:p>
      <w:pPr>
        <w:spacing w:line="360" w:lineRule="auto"/>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第十一章  质疑处理</w:t>
      </w:r>
    </w:p>
    <w:p>
      <w:pPr>
        <w:spacing w:line="360" w:lineRule="auto"/>
        <w:ind w:firstLine="480" w:firstLineChars="200"/>
        <w:rPr>
          <w:rFonts w:ascii="宋体" w:eastAsia="宋体" w:hAnsi="宋体" w:cs="宋体"/>
          <w:color w:val="000000" w:themeColor="text1"/>
          <w:szCs w:val="21"/>
          <w:highlight w:val="none"/>
          <w14:textFill>
            <w14:solidFill>
              <w14:schemeClr w14:val="tx1"/>
            </w14:solidFill>
          </w14:textFill>
        </w:rPr>
      </w:pPr>
    </w:p>
    <w:p>
      <w:pPr>
        <w:pStyle w:val="Heading1"/>
        <w:rPr>
          <w:rFonts w:eastAsia="宋体" w:cs="宋体"/>
          <w:color w:val="000000" w:themeColor="text1"/>
          <w:sz w:val="24"/>
          <w:highlight w:val="none"/>
          <w14:textFill>
            <w14:solidFill>
              <w14:schemeClr w14:val="tx1"/>
            </w14:solidFill>
          </w14:textFill>
        </w:rPr>
      </w:pPr>
      <w:r>
        <w:rPr>
          <w:rFonts w:eastAsia="宋体" w:cs="宋体" w:hint="eastAsia"/>
          <w:color w:val="000000" w:themeColor="text1"/>
          <w:highlight w:val="none"/>
          <w14:textFill>
            <w14:solidFill>
              <w14:schemeClr w14:val="tx1"/>
            </w14:solidFill>
          </w14:textFill>
        </w:rPr>
        <w:br w:type="page"/>
      </w:r>
      <w:bookmarkStart w:id="4" w:name="bt其他资料2"/>
      <w:bookmarkEnd w:id="4"/>
      <w:bookmarkStart w:id="5" w:name="bt项目管理班子配备情况"/>
      <w:bookmarkEnd w:id="5"/>
      <w:bookmarkStart w:id="6" w:name="bt投标文件签署授权委托书"/>
      <w:bookmarkEnd w:id="6"/>
      <w:bookmarkStart w:id="7" w:name="bt投标报价汇总表"/>
      <w:bookmarkEnd w:id="7"/>
      <w:bookmarkStart w:id="8" w:name="bt技术标投标文件格式"/>
      <w:bookmarkEnd w:id="8"/>
      <w:bookmarkStart w:id="9" w:name="bt说明"/>
      <w:bookmarkEnd w:id="9"/>
      <w:bookmarkStart w:id="10" w:name="bt合同条款"/>
      <w:bookmarkEnd w:id="10"/>
      <w:bookmarkStart w:id="11" w:name="bt投标人情况介绍"/>
      <w:bookmarkEnd w:id="11"/>
      <w:bookmarkStart w:id="12" w:name="bt投标函"/>
      <w:bookmarkEnd w:id="12"/>
      <w:bookmarkStart w:id="13" w:name="bt本工程承诺书"/>
      <w:bookmarkEnd w:id="13"/>
      <w:bookmarkStart w:id="14" w:name="合同格式"/>
      <w:bookmarkEnd w:id="14"/>
      <w:bookmarkStart w:id="15" w:name="bt商务标投标文件格式"/>
      <w:bookmarkEnd w:id="15"/>
      <w:bookmarkStart w:id="16" w:name="bt开标一览表"/>
      <w:bookmarkEnd w:id="16"/>
      <w:bookmarkStart w:id="17" w:name="bt合同条款及格式"/>
      <w:bookmarkEnd w:id="17"/>
      <w:bookmarkStart w:id="18" w:name="bt其他资料由投标人自定"/>
      <w:bookmarkEnd w:id="18"/>
      <w:bookmarkStart w:id="19" w:name="bt合同格式"/>
      <w:bookmarkEnd w:id="19"/>
      <w:bookmarkStart w:id="20" w:name="bt投标人须知"/>
      <w:bookmarkEnd w:id="20"/>
      <w:r>
        <w:rPr>
          <w:rFonts w:eastAsia="宋体" w:cs="宋体" w:hint="eastAsia"/>
          <w:color w:val="000000" w:themeColor="text1"/>
          <w:highlight w:val="none"/>
          <w14:textFill>
            <w14:solidFill>
              <w14:schemeClr w14:val="tx1"/>
            </w14:solidFill>
          </w14:textFill>
        </w:rPr>
        <w:t>第一册专用条款</w:t>
      </w:r>
    </w:p>
    <w:p>
      <w:pPr>
        <w:pStyle w:val="Heading2"/>
        <w:rPr>
          <w:rFonts w:cs="宋体"/>
          <w:color w:val="000000" w:themeColor="text1"/>
          <w:highlight w:val="none"/>
          <w14:textFill>
            <w14:solidFill>
              <w14:schemeClr w14:val="tx1"/>
            </w14:solidFill>
          </w14:textFill>
        </w:rPr>
      </w:pPr>
      <w:r>
        <w:rPr>
          <w:rFonts w:cs="宋体" w:hint="eastAsia"/>
          <w:color w:val="000000" w:themeColor="text1"/>
          <w:highlight w:val="none"/>
          <w14:textFill>
            <w14:solidFill>
              <w14:schemeClr w14:val="tx1"/>
            </w14:solidFill>
          </w14:textFill>
        </w:rPr>
        <w:t xml:space="preserve">第一章  </w:t>
      </w:r>
      <w:r>
        <w:rPr>
          <w:rFonts w:cs="宋体" w:hint="eastAsia"/>
          <w:color w:val="000000" w:themeColor="text1"/>
          <w:szCs w:val="21"/>
          <w:highlight w:val="none"/>
          <w14:textFill>
            <w14:solidFill>
              <w14:schemeClr w14:val="tx1"/>
            </w14:solidFill>
          </w14:textFill>
        </w:rPr>
        <w:t>招标公告</w:t>
      </w:r>
      <w:r>
        <w:rPr>
          <w:rFonts w:cs="宋体" w:hint="eastAsia"/>
          <w:color w:val="000000" w:themeColor="text1"/>
          <w:highlight w:val="none"/>
          <w14:textFill>
            <w14:solidFill>
              <w14:schemeClr w14:val="tx1"/>
            </w14:solidFill>
          </w14:textFill>
        </w:rPr>
        <w:t xml:space="preserve">  </w:t>
      </w:r>
    </w:p>
    <w:p>
      <w:pPr>
        <w:spacing w:line="360" w:lineRule="auto"/>
        <w:rPr>
          <w:rFonts w:ascii="宋体" w:eastAsia="宋体" w:hAnsi="宋体" w:cs="宋体"/>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投标人的资格要求：</w:t>
      </w:r>
    </w:p>
    <w:p>
      <w:pPr>
        <w:spacing w:line="360" w:lineRule="auto"/>
        <w:ind w:firstLine="480" w:firstLineChars="200"/>
        <w:jc w:val="both"/>
        <w:rPr>
          <w:rFonts w:ascii="宋体" w:eastAsia="宋体" w:hAnsi="宋体" w:cs="宋体" w:hint="eastAsia"/>
          <w:highlight w:val="none"/>
        </w:rPr>
      </w:pPr>
      <w:r>
        <w:rPr>
          <w:rFonts w:ascii="宋体" w:eastAsia="宋体" w:hAnsi="宋体" w:cs="宋体" w:hint="eastAsia"/>
          <w:highlight w:val="none"/>
        </w:rPr>
        <w:t>1.具有独立法人资格或是具有独立承担民事责任能力的其它组织（提供营业执照或事业单位法人证书或其他证明材料扫描件，原件备查）；</w:t>
      </w:r>
    </w:p>
    <w:p>
      <w:pPr>
        <w:spacing w:line="360" w:lineRule="auto"/>
        <w:ind w:firstLine="480" w:firstLineChars="200"/>
        <w:jc w:val="both"/>
        <w:rPr>
          <w:rFonts w:ascii="宋体" w:eastAsia="宋体" w:hAnsi="宋体" w:cs="宋体" w:hint="eastAsia"/>
          <w:b/>
          <w:bCs/>
          <w:color w:val="auto"/>
          <w:highlight w:val="none"/>
          <w:lang w:eastAsia="zh-CN"/>
        </w:rPr>
      </w:pPr>
      <w:r>
        <w:rPr>
          <w:rFonts w:ascii="宋体" w:eastAsia="宋体" w:hAnsi="宋体" w:cs="宋体" w:hint="eastAsia"/>
          <w:b/>
          <w:bCs/>
          <w:color w:val="auto"/>
          <w:highlight w:val="none"/>
        </w:rPr>
        <w:t>2.具有出版行政主管部门颁发的《出版物经营许可证》及《出版物进口经营许可证》（提供有效的证书</w:t>
      </w:r>
      <w:r>
        <w:rPr>
          <w:rFonts w:ascii="宋体" w:eastAsia="宋体" w:hAnsi="宋体" w:cs="宋体" w:hint="eastAsia"/>
          <w:b/>
          <w:bCs/>
          <w:color w:val="auto"/>
          <w:highlight w:val="none"/>
          <w:lang w:val="en-US" w:eastAsia="zh-CN"/>
        </w:rPr>
        <w:t>扫描件</w:t>
      </w:r>
      <w:r>
        <w:rPr>
          <w:rFonts w:ascii="宋体" w:eastAsia="宋体" w:hAnsi="宋体" w:cs="宋体" w:hint="eastAsia"/>
          <w:b/>
          <w:bCs/>
          <w:color w:val="auto"/>
          <w:highlight w:val="none"/>
        </w:rPr>
        <w:t>）</w:t>
      </w:r>
      <w:r>
        <w:rPr>
          <w:rFonts w:ascii="宋体" w:eastAsia="宋体" w:hAnsi="宋体" w:cs="宋体" w:hint="eastAsia"/>
          <w:b/>
          <w:bCs/>
          <w:color w:val="auto"/>
          <w:highlight w:val="none"/>
          <w:lang w:val="en-US" w:eastAsia="zh-CN"/>
        </w:rPr>
        <w:t>；</w:t>
      </w:r>
    </w:p>
    <w:p>
      <w:pPr>
        <w:spacing w:line="360" w:lineRule="auto"/>
        <w:ind w:firstLine="480" w:firstLineChars="200"/>
        <w:jc w:val="both"/>
        <w:rPr>
          <w:rFonts w:ascii="宋体" w:eastAsia="宋体" w:hAnsi="宋体" w:cs="宋体" w:hint="eastAsia"/>
          <w:highlight w:val="none"/>
        </w:rPr>
      </w:pPr>
      <w:r>
        <w:rPr>
          <w:rFonts w:ascii="宋体" w:eastAsia="宋体" w:hAnsi="宋体" w:cs="宋体" w:hint="eastAsia"/>
          <w:highlight w:val="none"/>
          <w:lang w:val="en-US" w:eastAsia="zh-CN"/>
        </w:rPr>
        <w:t>3.</w:t>
      </w:r>
      <w:r>
        <w:rPr>
          <w:rFonts w:ascii="宋体" w:eastAsia="宋体" w:hAnsi="宋体" w:cs="宋体" w:hint="eastAsia"/>
          <w:highlight w:val="none"/>
        </w:rPr>
        <w:t>本项目不接受联合体投标，不允许分包、转包。不接受进口产品参与投标；</w:t>
      </w:r>
    </w:p>
    <w:p>
      <w:pPr>
        <w:spacing w:line="360" w:lineRule="auto"/>
        <w:ind w:firstLine="480" w:firstLineChars="200"/>
        <w:jc w:val="both"/>
        <w:rPr>
          <w:rFonts w:ascii="宋体" w:eastAsia="宋体" w:hAnsi="宋体" w:cs="宋体" w:hint="eastAsia"/>
          <w:highlight w:val="none"/>
        </w:rPr>
      </w:pPr>
      <w:r>
        <w:rPr>
          <w:rFonts w:ascii="宋体" w:eastAsia="宋体" w:hAnsi="宋体" w:cs="宋体" w:hint="eastAsia"/>
          <w:highlight w:val="none"/>
          <w:lang w:val="en-US" w:eastAsia="zh-CN"/>
        </w:rPr>
        <w:t>4</w:t>
      </w:r>
      <w:r>
        <w:rPr>
          <w:rFonts w:ascii="宋体" w:eastAsia="宋体" w:hAnsi="宋体" w:cs="宋体" w:hint="eastAsia"/>
          <w:highlight w:val="none"/>
        </w:rPr>
        <w:t>.参与本项目投标前三年内，在经营活动中没有重大违法记录（由供应商在《政府采购投标及履约承诺函》中作出声明）；</w:t>
      </w:r>
    </w:p>
    <w:p>
      <w:pPr>
        <w:spacing w:line="360" w:lineRule="auto"/>
        <w:ind w:firstLine="480" w:firstLineChars="200"/>
        <w:jc w:val="both"/>
        <w:rPr>
          <w:rFonts w:ascii="宋体" w:eastAsia="宋体" w:hAnsi="宋体" w:cs="宋体" w:hint="eastAsia"/>
          <w:highlight w:val="none"/>
        </w:rPr>
      </w:pPr>
      <w:r>
        <w:rPr>
          <w:rFonts w:ascii="宋体" w:eastAsia="宋体" w:hAnsi="宋体" w:cs="宋体" w:hint="eastAsia"/>
          <w:highlight w:val="none"/>
          <w:lang w:val="en-US" w:eastAsia="zh-CN"/>
        </w:rPr>
        <w:t>5</w:t>
      </w:r>
      <w:r>
        <w:rPr>
          <w:rFonts w:ascii="宋体" w:eastAsia="宋体" w:hAnsi="宋体" w:cs="宋体" w:hint="eastAsia"/>
          <w:highlight w:val="none"/>
        </w:rPr>
        <w:t>.参与本项目政府采购活动时不存在被有关部门禁止参与政府采购活动且在有效期内的情况（由供应商在《政府采购投标及履约承诺函》中作出声明）；</w:t>
      </w:r>
    </w:p>
    <w:p>
      <w:pPr>
        <w:spacing w:line="360" w:lineRule="auto"/>
        <w:ind w:firstLine="480" w:firstLineChars="200"/>
        <w:jc w:val="both"/>
        <w:rPr>
          <w:rFonts w:ascii="宋体" w:eastAsia="宋体" w:hAnsi="宋体" w:cs="宋体" w:hint="eastAsia"/>
          <w:highlight w:val="none"/>
        </w:rPr>
      </w:pPr>
      <w:r>
        <w:rPr>
          <w:rFonts w:ascii="宋体" w:eastAsia="宋体" w:hAnsi="宋体" w:cs="宋体" w:hint="eastAsia"/>
          <w:highlight w:val="none"/>
          <w:lang w:val="en-US" w:eastAsia="zh-CN"/>
        </w:rPr>
        <w:t>6</w:t>
      </w:r>
      <w:r>
        <w:rPr>
          <w:rFonts w:ascii="宋体" w:eastAsia="宋体" w:hAnsi="宋体" w:cs="宋体" w:hint="eastAsia"/>
          <w:highlight w:val="none"/>
        </w:rPr>
        <w:t>.具备《中华人民共和国政府采购法》第二十二条第一款的条件（由供应商在《政府采购投标及履约承诺函》中作出声明）；</w:t>
      </w:r>
    </w:p>
    <w:p>
      <w:pPr>
        <w:spacing w:line="360" w:lineRule="auto"/>
        <w:ind w:firstLine="480" w:firstLineChars="200"/>
        <w:jc w:val="both"/>
        <w:rPr>
          <w:rFonts w:ascii="宋体" w:eastAsia="宋体" w:hAnsi="宋体" w:cs="宋体" w:hint="eastAsia"/>
          <w:highlight w:val="none"/>
          <w:lang w:val="en-US" w:eastAsia="zh-CN"/>
        </w:rPr>
      </w:pPr>
      <w:r>
        <w:rPr>
          <w:rFonts w:ascii="宋体" w:eastAsia="宋体" w:hAnsi="宋体" w:cs="宋体" w:hint="eastAsia"/>
          <w:highlight w:val="none"/>
          <w:lang w:val="en-US" w:eastAsia="zh-CN"/>
        </w:rPr>
        <w:t>7.未被列入失信被执行人、重大税收违法失信主体、政府采购严重违法失信行为记录名单（由供应商在《政府采购投标及履约承诺函》中作出声明）。</w:t>
      </w:r>
    </w:p>
    <w:p>
      <w:pPr>
        <w:spacing w:line="360" w:lineRule="auto"/>
        <w:ind w:firstLine="480" w:firstLineChars="200"/>
        <w:jc w:val="both"/>
        <w:rPr>
          <w:rFonts w:ascii="宋体" w:eastAsia="宋体" w:hAnsi="宋体" w:cs="宋体" w:hint="eastAsia"/>
          <w:highlight w:val="none"/>
          <w:lang w:val="en-US" w:eastAsia="zh-CN"/>
        </w:rPr>
      </w:pPr>
      <w:r>
        <w:rPr>
          <w:rFonts w:ascii="宋体" w:eastAsia="宋体" w:hAnsi="宋体" w:cs="宋体" w:hint="eastAsia"/>
          <w:highlight w:val="none"/>
          <w:lang w:val="en-US" w:eastAsia="zh-CN"/>
        </w:rPr>
        <w:t>8.单位法定代表人（负责人）为同一人或者存在直接控股、管理关系的不同供应商，不得同时参加本项目投标（由供应商在《政府采购投标及履约承诺函》中作出声明）</w:t>
      </w:r>
      <w:r>
        <w:rPr>
          <w:rFonts w:ascii="宋体" w:eastAsia="宋体" w:hAnsi="宋体" w:cs="宋体" w:hint="eastAsia"/>
          <w:highlight w:val="none"/>
          <w:lang w:eastAsia="zh-CN"/>
        </w:rPr>
        <w:t>；</w:t>
      </w:r>
    </w:p>
    <w:p>
      <w:pPr>
        <w:spacing w:line="360" w:lineRule="auto"/>
        <w:ind w:firstLine="480" w:firstLineChars="200"/>
        <w:jc w:val="both"/>
        <w:rPr>
          <w:rFonts w:ascii="宋体" w:eastAsia="宋体" w:hAnsi="宋体" w:cs="宋体" w:hint="eastAsia"/>
          <w:highlight w:val="none"/>
          <w:lang w:val="en-US" w:eastAsia="zh-CN"/>
        </w:rPr>
      </w:pPr>
      <w:r>
        <w:rPr>
          <w:rFonts w:ascii="宋体" w:eastAsia="宋体" w:hAnsi="宋体" w:cs="宋体" w:hint="eastAsia"/>
          <w:highlight w:val="none"/>
          <w:lang w:val="en-US" w:eastAsia="zh-CN"/>
        </w:rPr>
        <w:t>9.为本项目提供整体设计、规范编制或者项目管理、监理、检测等服务的供应商，不得参加本项目投标。（由供应商在《政府采购投标及履约承诺函》中作出声明）；</w:t>
      </w:r>
    </w:p>
    <w:p>
      <w:pPr>
        <w:spacing w:line="360" w:lineRule="auto"/>
        <w:ind w:firstLine="480" w:firstLineChars="200"/>
        <w:jc w:val="both"/>
        <w:rPr>
          <w:rFonts w:ascii="宋体" w:eastAsia="宋体" w:hAnsi="宋体" w:cs="宋体" w:hint="eastAsia"/>
          <w:highlight w:val="none"/>
          <w:lang w:val="en-US" w:eastAsia="zh-CN"/>
        </w:rPr>
      </w:pPr>
      <w:r>
        <w:rPr>
          <w:rFonts w:ascii="宋体" w:eastAsia="宋体" w:hAnsi="宋体" w:cs="宋体" w:hint="eastAsia"/>
          <w:highlight w:val="none"/>
          <w:lang w:val="en-US" w:eastAsia="zh-CN"/>
        </w:rPr>
        <w:t>10.本项目是否专门面向中小企业采购：否。</w:t>
      </w:r>
    </w:p>
    <w:p>
      <w:pPr>
        <w:pStyle w:val="BodyText"/>
        <w:ind w:firstLine="480" w:firstLineChars="200"/>
        <w:rPr>
          <w:rFonts w:ascii="宋体" w:eastAsia="宋体" w:hAnsi="宋体" w:cs="宋体"/>
          <w:highlight w:val="none"/>
          <w:u w:val="single"/>
        </w:rPr>
      </w:pPr>
      <w:r>
        <w:rPr>
          <w:rFonts w:ascii="宋体" w:eastAsia="宋体" w:hAnsi="宋体" w:cs="宋体" w:hint="eastAsia"/>
          <w:highlight w:val="none"/>
        </w:rPr>
        <w:t>本项目所属行业类型为：</w:t>
      </w:r>
      <w:r>
        <w:rPr>
          <w:rFonts w:ascii="宋体" w:eastAsia="宋体" w:hAnsi="宋体" w:cs="宋体" w:hint="eastAsia"/>
          <w:highlight w:val="none"/>
          <w:lang w:val="en-US" w:eastAsia="zh-CN"/>
        </w:rPr>
        <w:t>其他未列明行业</w:t>
      </w:r>
      <w:r>
        <w:rPr>
          <w:rFonts w:ascii="宋体" w:eastAsia="宋体" w:hAnsi="宋体" w:cs="宋体" w:hint="eastAsia"/>
          <w:highlight w:val="none"/>
        </w:rPr>
        <w:t>。</w:t>
      </w:r>
    </w:p>
    <w:p>
      <w:pPr>
        <w:spacing w:line="360" w:lineRule="auto"/>
        <w:ind w:firstLine="480" w:firstLineChars="200"/>
        <w:jc w:val="both"/>
        <w:rPr>
          <w:rFonts w:ascii="宋体" w:eastAsia="宋体" w:hAnsi="宋体" w:cs="宋体"/>
          <w:highlight w:val="none"/>
        </w:rPr>
      </w:pPr>
      <w:r>
        <w:rPr>
          <w:rFonts w:ascii="宋体" w:eastAsia="宋体" w:hAnsi="宋体" w:cs="宋体" w:hint="eastAsia"/>
          <w:highlight w:val="none"/>
        </w:rPr>
        <w:t>注：（1）采购代理机构将通过“信用中国”中“信用服务”栏的“重大税收违法失信主体”“失信被执行人”“中国政府采购网”中的“政府采购严重违法失信行为记录名单”“深圳信用网”以及“深圳市政府采购监管网”为供应商信用信息的查询渠道，相关信息以开标当日的查询结果为准。信用信息查询记录应当作为项目档案材料一并保存；</w:t>
      </w:r>
    </w:p>
    <w:p>
      <w:pPr>
        <w:spacing w:line="360" w:lineRule="auto"/>
        <w:ind w:firstLine="480" w:firstLineChars="200"/>
        <w:jc w:val="both"/>
        <w:rPr>
          <w:rFonts w:ascii="宋体" w:eastAsia="宋体" w:hAnsi="宋体" w:cs="宋体"/>
          <w:highlight w:val="none"/>
        </w:rPr>
      </w:pPr>
      <w:r>
        <w:rPr>
          <w:rFonts w:ascii="宋体" w:eastAsia="宋体" w:hAnsi="宋体" w:cs="宋体" w:hint="eastAsia"/>
          <w:highlight w:val="none"/>
        </w:rPr>
        <w:t>（2）采购代理机构将通过国家企业信用信息公示系统(https://www.gsxt.gov.cn/index.html）、机关赋码和事业单位登记管理网（http://gjsy.gov.cn/sydwfrxxcx/)、全国社会组织信用信息公示平台（https://xxgs.chinanpo.mca.gov.cn/gsxt/newList 等网站查询供应商信息，相关信息以截标当日的查询结果为准；</w:t>
      </w:r>
    </w:p>
    <w:p>
      <w:pPr>
        <w:spacing w:line="360" w:lineRule="auto"/>
        <w:ind w:firstLine="480" w:firstLineChars="200"/>
        <w:jc w:val="both"/>
        <w:rPr>
          <w:rFonts w:ascii="宋体" w:eastAsia="宋体" w:hAnsi="宋体" w:cs="宋体"/>
          <w:highlight w:val="none"/>
        </w:rPr>
      </w:pPr>
      <w:r>
        <w:rPr>
          <w:rFonts w:ascii="宋体" w:eastAsia="宋体" w:hAnsi="宋体" w:cs="宋体" w:hint="eastAsia"/>
          <w:highlight w:val="none"/>
        </w:rPr>
        <w:t>（3）供应商投标（上传投标文件）请先行办理注册手续，具体请按照本公告“六、其他补充事宜”相关内容指引办理。</w:t>
      </w:r>
    </w:p>
    <w:p>
      <w:pPr>
        <w:spacing w:line="360" w:lineRule="auto"/>
        <w:rPr>
          <w:rFonts w:ascii="宋体" w:eastAsia="宋体" w:hAnsi="宋体" w:cs="宋体"/>
          <w:b/>
          <w:bCs/>
          <w:szCs w:val="21"/>
          <w:highlight w:val="none"/>
        </w:rPr>
      </w:pPr>
    </w:p>
    <w:p>
      <w:pPr>
        <w:pStyle w:val="NormalIndent"/>
        <w:spacing w:before="60" w:beforeLines="25" w:after="60" w:afterLines="25" w:line="360" w:lineRule="auto"/>
        <w:ind w:firstLine="0"/>
        <w:rPr>
          <w:rFonts w:ascii="宋体" w:eastAsia="宋体" w:hAnsi="宋体" w:cs="宋体"/>
          <w:b/>
          <w:bCs/>
          <w:sz w:val="28"/>
          <w:szCs w:val="28"/>
          <w:highlight w:val="none"/>
        </w:rPr>
      </w:pPr>
      <w:r>
        <w:rPr>
          <w:rFonts w:ascii="宋体" w:eastAsia="宋体" w:hAnsi="宋体" w:cs="宋体" w:hint="eastAsia"/>
          <w:b/>
          <w:bCs/>
          <w:highlight w:val="none"/>
        </w:rPr>
        <w:t>完整公告内容详见：http://zfcg.szggzy.com:8081/</w:t>
      </w:r>
    </w:p>
    <w:p>
      <w:pPr>
        <w:spacing w:line="360" w:lineRule="auto"/>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br w:type="page"/>
      </w:r>
    </w:p>
    <w:p>
      <w:pPr>
        <w:pStyle w:val="Heading2"/>
        <w:rPr>
          <w:rFonts w:cs="宋体"/>
          <w:color w:val="000000" w:themeColor="text1"/>
          <w:sz w:val="28"/>
          <w:szCs w:val="28"/>
          <w:highlight w:val="none"/>
          <w14:textFill>
            <w14:solidFill>
              <w14:schemeClr w14:val="tx1"/>
            </w14:solidFill>
          </w14:textFill>
        </w:rPr>
      </w:pPr>
      <w:r>
        <w:rPr>
          <w:rFonts w:cs="宋体" w:hint="eastAsia"/>
          <w:color w:val="000000" w:themeColor="text1"/>
          <w:sz w:val="28"/>
          <w:szCs w:val="28"/>
          <w:highlight w:val="none"/>
          <w14:textFill>
            <w14:solidFill>
              <w14:schemeClr w14:val="tx1"/>
            </w14:solidFill>
          </w14:textFill>
        </w:rPr>
        <w:t>第二章 对通用条款的补充内容及其他关键信息</w:t>
      </w:r>
    </w:p>
    <w:p>
      <w:pPr>
        <w:jc w:val="center"/>
        <w:outlineLvl w:val="2"/>
        <w:rPr>
          <w:rFonts w:ascii="宋体" w:eastAsia="宋体" w:hAnsi="宋体" w:cs="宋体"/>
          <w:b/>
          <w:bCs/>
          <w:sz w:val="28"/>
          <w:szCs w:val="28"/>
          <w:highlight w:val="none"/>
        </w:rPr>
      </w:pPr>
      <w:bookmarkStart w:id="21" w:name="_Toc60560625"/>
      <w:bookmarkStart w:id="22" w:name="_Toc73518117"/>
      <w:bookmarkStart w:id="23" w:name="_Toc73521547"/>
      <w:bookmarkStart w:id="24" w:name="_Toc100052364"/>
      <w:bookmarkStart w:id="25" w:name="_Toc73517639"/>
      <w:bookmarkStart w:id="26" w:name="_Toc101074876"/>
      <w:bookmarkStart w:id="27" w:name="_Toc73521635"/>
      <w:bookmarkStart w:id="28" w:name="_Toc60631620"/>
      <w:r>
        <w:rPr>
          <w:rFonts w:ascii="宋体" w:eastAsia="宋体" w:hAnsi="宋体" w:cs="宋体" w:hint="eastAsia"/>
          <w:b/>
          <w:bCs/>
          <w:sz w:val="28"/>
          <w:szCs w:val="28"/>
          <w:highlight w:val="none"/>
        </w:rPr>
        <w:t>一、对通用条款的补充内容</w:t>
      </w:r>
    </w:p>
    <w:tbl>
      <w:tblPr>
        <w:tblStyle w:val="TableNormal"/>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
      <w:tblGrid>
        <w:gridCol w:w="978"/>
        <w:gridCol w:w="1888"/>
        <w:gridCol w:w="5501"/>
      </w:tblGrid>
      <w:tr>
        <w:tblPrEx>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b/>
                <w:bCs/>
                <w:color w:val="000000" w:themeColor="text1"/>
                <w:highlight w:val="none"/>
                <w14:textFill>
                  <w14:solidFill>
                    <w14:schemeClr w14:val="tx1"/>
                  </w14:solidFill>
                </w14:textFill>
              </w:rPr>
            </w:pPr>
            <w:bookmarkEnd w:id="21"/>
            <w:bookmarkEnd w:id="22"/>
            <w:bookmarkEnd w:id="23"/>
            <w:bookmarkEnd w:id="24"/>
            <w:bookmarkEnd w:id="25"/>
            <w:bookmarkEnd w:id="26"/>
            <w:bookmarkEnd w:id="27"/>
            <w:bookmarkEnd w:id="28"/>
            <w:r>
              <w:rPr>
                <w:rFonts w:ascii="宋体" w:eastAsia="宋体" w:hAnsi="宋体" w:cs="宋体" w:hint="eastAsia"/>
                <w:b/>
                <w:bCs/>
                <w:color w:val="000000" w:themeColor="text1"/>
                <w:highlight w:val="none"/>
                <w14:textFill>
                  <w14:solidFill>
                    <w14:schemeClr w14:val="tx1"/>
                  </w14:solidFill>
                </w14:textFill>
              </w:rPr>
              <w:t>通用条款序号</w:t>
            </w:r>
          </w:p>
        </w:tc>
        <w:tc>
          <w:tcPr>
            <w:tcW w:w="1888" w:type="dxa"/>
            <w:vAlign w:val="center"/>
          </w:tcPr>
          <w:p>
            <w:pPr>
              <w:jc w:val="center"/>
              <w:rPr>
                <w:rFonts w:ascii="宋体" w:eastAsia="宋体" w:hAnsi="宋体" w:cs="宋体"/>
                <w:b/>
                <w:bCs/>
                <w:color w:val="000000" w:themeColor="text1"/>
                <w:highlight w:val="none"/>
                <w14:textFill>
                  <w14:solidFill>
                    <w14:schemeClr w14:val="tx1"/>
                  </w14:solidFill>
                </w14:textFill>
              </w:rPr>
            </w:pPr>
            <w:r>
              <w:rPr>
                <w:rFonts w:ascii="宋体" w:eastAsia="宋体" w:hAnsi="宋体" w:cs="宋体" w:hint="eastAsia"/>
                <w:b/>
                <w:bCs/>
                <w:color w:val="000000" w:themeColor="text1"/>
                <w:highlight w:val="none"/>
                <w14:textFill>
                  <w14:solidFill>
                    <w14:schemeClr w14:val="tx1"/>
                  </w14:solidFill>
                </w14:textFill>
              </w:rPr>
              <w:t>涉及事项</w:t>
            </w:r>
          </w:p>
        </w:tc>
        <w:tc>
          <w:tcPr>
            <w:tcW w:w="5501" w:type="dxa"/>
            <w:vAlign w:val="center"/>
          </w:tcPr>
          <w:p>
            <w:pPr>
              <w:jc w:val="center"/>
              <w:rPr>
                <w:rFonts w:ascii="宋体" w:eastAsia="宋体" w:hAnsi="宋体" w:cs="宋体"/>
                <w:b/>
                <w:bCs/>
                <w:color w:val="000000" w:themeColor="text1"/>
                <w:highlight w:val="none"/>
                <w14:textFill>
                  <w14:solidFill>
                    <w14:schemeClr w14:val="tx1"/>
                  </w14:solidFill>
                </w14:textFill>
              </w:rPr>
            </w:pPr>
            <w:r>
              <w:rPr>
                <w:rFonts w:ascii="宋体" w:eastAsia="宋体" w:hAnsi="宋体" w:cs="宋体" w:hint="eastAsia"/>
                <w:b/>
                <w:bCs/>
                <w:color w:val="000000" w:themeColor="text1"/>
                <w:highlight w:val="none"/>
                <w14:textFill>
                  <w14:solidFill>
                    <w14:schemeClr w14:val="tx1"/>
                  </w14:solidFill>
                </w14:textFill>
              </w:rPr>
              <w:t>具  体  补  充  内  容</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3.1</w:t>
            </w:r>
          </w:p>
        </w:tc>
        <w:tc>
          <w:tcPr>
            <w:tcW w:w="188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采购人</w:t>
            </w:r>
          </w:p>
        </w:tc>
        <w:tc>
          <w:tcPr>
            <w:tcW w:w="5501" w:type="dxa"/>
            <w:vAlign w:val="center"/>
          </w:tcPr>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深圳职业技术大学</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w:t>
            </w:r>
          </w:p>
        </w:tc>
        <w:tc>
          <w:tcPr>
            <w:tcW w:w="188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采购机构</w:t>
            </w:r>
          </w:p>
        </w:tc>
        <w:tc>
          <w:tcPr>
            <w:tcW w:w="5501" w:type="dxa"/>
            <w:vAlign w:val="center"/>
          </w:tcPr>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友和保险经纪有限公司</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5.3</w:t>
            </w:r>
          </w:p>
        </w:tc>
        <w:tc>
          <w:tcPr>
            <w:tcW w:w="188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联合体投标</w:t>
            </w:r>
          </w:p>
        </w:tc>
        <w:tc>
          <w:tcPr>
            <w:tcW w:w="5501" w:type="dxa"/>
            <w:vAlign w:val="center"/>
          </w:tcPr>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lang w:val="en-US" w:eastAsia="zh-CN"/>
                <w14:textFill>
                  <w14:solidFill>
                    <w14:schemeClr w14:val="tx1"/>
                  </w14:solidFill>
                </w14:textFill>
              </w:rPr>
              <w:t>不</w:t>
            </w:r>
            <w:r>
              <w:rPr>
                <w:rFonts w:ascii="宋体" w:eastAsia="宋体" w:hAnsi="宋体" w:cs="宋体" w:hint="eastAsia"/>
                <w:color w:val="000000" w:themeColor="text1"/>
                <w:highlight w:val="none"/>
                <w14:textFill>
                  <w14:solidFill>
                    <w14:schemeClr w14:val="tx1"/>
                  </w14:solidFill>
                </w14:textFill>
              </w:rPr>
              <w:t>接受</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9</w:t>
            </w:r>
          </w:p>
        </w:tc>
        <w:tc>
          <w:tcPr>
            <w:tcW w:w="188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踏勘现场</w:t>
            </w:r>
          </w:p>
        </w:tc>
        <w:tc>
          <w:tcPr>
            <w:tcW w:w="5501" w:type="dxa"/>
            <w:vAlign w:val="center"/>
          </w:tcPr>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10</w:t>
            </w:r>
          </w:p>
        </w:tc>
        <w:tc>
          <w:tcPr>
            <w:tcW w:w="188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标前会议</w:t>
            </w:r>
          </w:p>
        </w:tc>
        <w:tc>
          <w:tcPr>
            <w:tcW w:w="5501" w:type="dxa"/>
            <w:vAlign w:val="center"/>
          </w:tcPr>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12/13</w:t>
            </w:r>
          </w:p>
        </w:tc>
        <w:tc>
          <w:tcPr>
            <w:tcW w:w="188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招标文件的澄清和修改</w:t>
            </w:r>
          </w:p>
        </w:tc>
        <w:tc>
          <w:tcPr>
            <w:tcW w:w="5501" w:type="dxa"/>
            <w:vAlign w:val="center"/>
          </w:tcPr>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不晚于投标截止日三日前（详见招标公告），投标人有义务在招标期间在招标机构网站浏览与本项目有关的澄清和修改信息</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20</w:t>
            </w:r>
          </w:p>
        </w:tc>
        <w:tc>
          <w:tcPr>
            <w:tcW w:w="188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投标有效期</w:t>
            </w:r>
          </w:p>
        </w:tc>
        <w:tc>
          <w:tcPr>
            <w:tcW w:w="5501" w:type="dxa"/>
            <w:vAlign w:val="center"/>
          </w:tcPr>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120个日历日</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22</w:t>
            </w:r>
          </w:p>
        </w:tc>
        <w:tc>
          <w:tcPr>
            <w:tcW w:w="188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投标人的替代方案</w:t>
            </w:r>
          </w:p>
        </w:tc>
        <w:tc>
          <w:tcPr>
            <w:tcW w:w="5501" w:type="dxa"/>
            <w:vAlign w:val="center"/>
          </w:tcPr>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不接受</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25</w:t>
            </w:r>
          </w:p>
        </w:tc>
        <w:tc>
          <w:tcPr>
            <w:tcW w:w="188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投标文件的大小</w:t>
            </w:r>
          </w:p>
        </w:tc>
        <w:tc>
          <w:tcPr>
            <w:tcW w:w="5501" w:type="dxa"/>
            <w:vAlign w:val="center"/>
          </w:tcPr>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投标文件大小不得超过100MB</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26</w:t>
            </w:r>
          </w:p>
        </w:tc>
        <w:tc>
          <w:tcPr>
            <w:tcW w:w="1888" w:type="dxa"/>
            <w:vAlign w:val="center"/>
          </w:tcPr>
          <w:p>
            <w:pPr>
              <w:jc w:val="center"/>
              <w:rPr>
                <w:rFonts w:ascii="宋体" w:eastAsia="宋体" w:hAnsi="宋体" w:cs="宋体"/>
                <w:color w:val="000000" w:themeColor="text1"/>
                <w:highlight w:val="none"/>
                <w14:textFill>
                  <w14:solidFill>
                    <w14:schemeClr w14:val="tx1"/>
                  </w14:solidFill>
                </w14:textFill>
              </w:rPr>
            </w:pPr>
            <w:bookmarkStart w:id="29" w:name="_Hlk71664860"/>
            <w:r>
              <w:rPr>
                <w:rFonts w:ascii="宋体" w:eastAsia="宋体" w:hAnsi="宋体" w:cs="宋体" w:hint="eastAsia"/>
                <w:color w:val="000000" w:themeColor="text1"/>
                <w:highlight w:val="none"/>
                <w14:textFill>
                  <w14:solidFill>
                    <w14:schemeClr w14:val="tx1"/>
                  </w14:solidFill>
                </w14:textFill>
              </w:rPr>
              <w:t>样品、现场演示、方案讲解</w:t>
            </w:r>
            <w:bookmarkEnd w:id="29"/>
          </w:p>
        </w:tc>
        <w:tc>
          <w:tcPr>
            <w:tcW w:w="5501" w:type="dxa"/>
            <w:vAlign w:val="center"/>
          </w:tcPr>
          <w:p>
            <w:pPr>
              <w:rPr>
                <w:rFonts w:ascii="宋体" w:eastAsia="宋体" w:hAnsi="宋体" w:cs="宋体" w:hint="eastAsia"/>
                <w:color w:val="000000" w:themeColor="text1"/>
                <w:highlight w:val="none"/>
                <w14:textFill>
                  <w14:solidFill>
                    <w14:schemeClr w14:val="tx1"/>
                  </w14:solidFill>
                </w14:textFill>
              </w:rPr>
            </w:pPr>
            <w:r>
              <w:rPr>
                <w:rFonts w:ascii="Wingdings 2" w:eastAsia="宋体" w:hAnsi="Wingdings 2" w:cs="宋体" w:hint="eastAsia"/>
                <w:b/>
                <w:color w:val="000000" w:themeColor="text1"/>
                <w:highlight w:val="none"/>
                <w14:textFill>
                  <w14:solidFill>
                    <w14:schemeClr w14:val="tx1"/>
                  </w14:solidFill>
                </w14:textFill>
              </w:rPr>
              <w:t>R</w:t>
            </w:r>
            <w:r>
              <w:rPr>
                <w:rFonts w:ascii="宋体" w:eastAsia="宋体" w:hAnsi="宋体" w:cs="宋体" w:hint="eastAsia"/>
                <w:color w:val="000000" w:themeColor="text1"/>
                <w:highlight w:val="none"/>
                <w14:textFill>
                  <w14:solidFill>
                    <w14:schemeClr w14:val="tx1"/>
                  </w14:solidFill>
                </w14:textFill>
              </w:rPr>
              <w:t xml:space="preserve"> 无</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37</w:t>
            </w:r>
          </w:p>
        </w:tc>
        <w:tc>
          <w:tcPr>
            <w:tcW w:w="188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评审方法</w:t>
            </w:r>
          </w:p>
        </w:tc>
        <w:tc>
          <w:tcPr>
            <w:tcW w:w="5501" w:type="dxa"/>
            <w:vAlign w:val="center"/>
          </w:tcPr>
          <w:p>
            <w:pPr>
              <w:rPr>
                <w:rFonts w:ascii="宋体" w:eastAsia="宋体" w:hAnsi="宋体" w:cs="宋体" w:hint="eastAsia"/>
                <w:color w:val="000000" w:themeColor="text1"/>
                <w:highlight w:val="none"/>
                <w14:textFill>
                  <w14:solidFill>
                    <w14:schemeClr w14:val="tx1"/>
                  </w14:solidFill>
                </w14:textFill>
              </w:rPr>
            </w:pPr>
            <w:r>
              <w:rPr>
                <w:rFonts w:ascii="Wingdings 2" w:eastAsia="宋体" w:hAnsi="Wingdings 2" w:cs="宋体"/>
                <w:b/>
                <w:color w:val="000000" w:themeColor="text1"/>
                <w:highlight w:val="none"/>
                <w14:textFill>
                  <w14:solidFill>
                    <w14:schemeClr w14:val="tx1"/>
                  </w14:solidFill>
                </w14:textFill>
              </w:rPr>
              <w:sym w:font="Wingdings 2" w:char="F052"/>
            </w:r>
            <w:r>
              <w:rPr>
                <w:rFonts w:ascii="宋体" w:eastAsia="宋体" w:hAnsi="宋体" w:cs="宋体" w:hint="eastAsia"/>
                <w:b/>
                <w:color w:val="000000" w:themeColor="text1"/>
                <w:highlight w:val="non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综合评分法</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38</w:t>
            </w:r>
          </w:p>
        </w:tc>
        <w:tc>
          <w:tcPr>
            <w:tcW w:w="188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定标方法</w:t>
            </w:r>
          </w:p>
        </w:tc>
        <w:tc>
          <w:tcPr>
            <w:tcW w:w="5501" w:type="dxa"/>
            <w:vAlign w:val="center"/>
          </w:tcPr>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无</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46</w:t>
            </w:r>
          </w:p>
        </w:tc>
        <w:tc>
          <w:tcPr>
            <w:tcW w:w="188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highlight w:val="none"/>
              </w:rPr>
              <w:t xml:space="preserve">履约保证金 </w:t>
            </w:r>
          </w:p>
        </w:tc>
        <w:tc>
          <w:tcPr>
            <w:tcW w:w="5501" w:type="dxa"/>
            <w:vAlign w:val="center"/>
          </w:tcPr>
          <w:p>
            <w:pPr>
              <w:spacing w:line="360" w:lineRule="auto"/>
              <w:rPr>
                <w:rFonts w:ascii="宋体" w:eastAsia="宋体" w:hAnsi="宋体" w:cs="宋体" w:hint="eastAsia"/>
                <w:szCs w:val="21"/>
                <w:highlight w:val="none"/>
              </w:rPr>
            </w:pPr>
            <w:r>
              <w:rPr>
                <w:rFonts w:ascii="宋体" w:eastAsia="宋体" w:hAnsi="宋体" w:cs="宋体" w:hint="eastAsia"/>
                <w:color w:val="000000" w:themeColor="text1"/>
                <w:highlight w:val="none"/>
                <w14:textFill>
                  <w14:solidFill>
                    <w14:schemeClr w14:val="tx1"/>
                  </w14:solidFill>
                </w14:textFill>
              </w:rPr>
              <w:t>有</w:t>
            </w:r>
            <w:r>
              <w:rPr>
                <w:rFonts w:ascii="Wingdings 2" w:eastAsia="宋体" w:hAnsi="Wingdings 2" w:cs="宋体" w:hint="eastAsia"/>
                <w:b/>
                <w:color w:val="000000" w:themeColor="text1"/>
                <w:highlight w:val="none"/>
                <w14:textFill>
                  <w14:solidFill>
                    <w14:schemeClr w14:val="tx1"/>
                  </w14:solidFill>
                </w14:textFill>
              </w:rPr>
              <w:t>£</w:t>
            </w:r>
            <w:r>
              <w:rPr>
                <w:rFonts w:ascii="宋体" w:eastAsia="宋体" w:hAnsi="宋体" w:cs="宋体" w:hint="eastAsia"/>
                <w:b/>
                <w:color w:val="000000" w:themeColor="text1"/>
                <w:highlight w:val="none"/>
                <w14:textFill>
                  <w14:solidFill>
                    <w14:schemeClr w14:val="tx1"/>
                  </w14:solidFill>
                </w14:textFill>
              </w:rPr>
              <w:t>，</w:t>
            </w:r>
            <w:r>
              <w:rPr>
                <w:rFonts w:ascii="宋体" w:eastAsia="宋体" w:hAnsi="宋体" w:cs="宋体" w:hint="eastAsia"/>
                <w:color w:val="000000" w:themeColor="text1"/>
                <w:highlight w:val="none"/>
                <w14:textFill>
                  <w14:solidFill>
                    <w14:schemeClr w14:val="tx1"/>
                  </w14:solidFill>
                </w14:textFill>
              </w:rPr>
              <w:t xml:space="preserve">无 </w:t>
            </w:r>
            <w:r>
              <w:rPr>
                <w:rFonts w:ascii="Wingdings 2" w:eastAsia="宋体" w:hAnsi="Wingdings 2" w:cs="宋体" w:hint="eastAsia"/>
                <w:b/>
                <w:color w:val="000000" w:themeColor="text1"/>
                <w:highlight w:val="none"/>
                <w14:textFill>
                  <w14:solidFill>
                    <w14:schemeClr w14:val="tx1"/>
                  </w14:solidFill>
                </w14:textFill>
              </w:rPr>
              <w:t>R</w:t>
            </w:r>
          </w:p>
        </w:tc>
      </w:tr>
    </w:tbl>
    <w:p>
      <w:pPr>
        <w:rPr>
          <w:rFonts w:ascii="宋体" w:eastAsia="宋体" w:hAnsi="宋体" w:cs="宋体"/>
          <w:b/>
          <w:color w:val="000000" w:themeColor="text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备注：本表是通用条款相关条款的补充和明确，如与通用条款内容相冲突的，以本表为准。</w:t>
      </w:r>
      <w:r>
        <w:rPr>
          <w:rFonts w:ascii="宋体" w:eastAsia="宋体" w:hAnsi="宋体" w:cs="宋体" w:hint="eastAsia"/>
          <w:b/>
          <w:bCs/>
          <w:color w:val="FF0000"/>
          <w:szCs w:val="21"/>
          <w:highlight w:val="none"/>
        </w:rPr>
        <w:t>本项目使用深圳政府采购智慧平台进行操作，通用条款中如有与深圳政府采购智慧平台操作流程不一致的内容，请以深圳政府采购智慧平台zfcg.szggzy.com:8081公布的操作手册内容为准。</w:t>
      </w:r>
    </w:p>
    <w:p>
      <w:pPr>
        <w:rPr>
          <w:rFonts w:ascii="宋体" w:eastAsia="宋体" w:hAnsi="宋体" w:cs="宋体"/>
          <w:b/>
          <w:color w:val="000000" w:themeColor="text1"/>
          <w:highlight w:val="none"/>
          <w14:textFill>
            <w14:solidFill>
              <w14:schemeClr w14:val="tx1"/>
            </w14:solidFill>
          </w14:textFill>
        </w:rPr>
      </w:pPr>
    </w:p>
    <w:p>
      <w:pPr>
        <w:rPr>
          <w:rFonts w:ascii="宋体" w:eastAsia="宋体" w:hAnsi="宋体" w:cs="宋体"/>
          <w:b/>
          <w:color w:val="000000" w:themeColor="text1"/>
          <w:highlight w:val="none"/>
          <w14:textFill>
            <w14:solidFill>
              <w14:schemeClr w14:val="tx1"/>
            </w14:solidFill>
          </w14:textFill>
        </w:rPr>
      </w:pPr>
    </w:p>
    <w:p>
      <w:pPr>
        <w:rPr>
          <w:rFonts w:ascii="宋体" w:eastAsia="宋体" w:hAnsi="宋体" w:cs="宋体"/>
          <w:b/>
          <w:color w:val="000000" w:themeColor="text1"/>
          <w:highlight w:val="none"/>
          <w14:textFill>
            <w14:solidFill>
              <w14:schemeClr w14:val="tx1"/>
            </w14:solidFill>
          </w14:textFill>
        </w:rPr>
      </w:pPr>
    </w:p>
    <w:p>
      <w:pPr>
        <w:rPr>
          <w:rFonts w:ascii="宋体" w:eastAsia="宋体" w:hAnsi="宋体" w:cs="宋体"/>
          <w:b/>
          <w:color w:val="000000" w:themeColor="text1"/>
          <w:highlight w:val="none"/>
          <w14:textFill>
            <w14:solidFill>
              <w14:schemeClr w14:val="tx1"/>
            </w14:solidFill>
          </w14:textFill>
        </w:rPr>
      </w:pPr>
    </w:p>
    <w:p>
      <w:pPr>
        <w:rPr>
          <w:rFonts w:ascii="宋体" w:eastAsia="宋体" w:hAnsi="宋体" w:cs="宋体"/>
          <w:b/>
          <w:color w:val="000000" w:themeColor="text1"/>
          <w:highlight w:val="none"/>
          <w14:textFill>
            <w14:solidFill>
              <w14:schemeClr w14:val="tx1"/>
            </w14:solidFill>
          </w14:textFill>
        </w:rPr>
      </w:pPr>
    </w:p>
    <w:p>
      <w:pPr>
        <w:rPr>
          <w:rFonts w:ascii="宋体" w:eastAsia="宋体" w:hAnsi="宋体" w:cs="宋体"/>
          <w:b/>
          <w:color w:val="000000" w:themeColor="text1"/>
          <w:highlight w:val="none"/>
          <w14:textFill>
            <w14:solidFill>
              <w14:schemeClr w14:val="tx1"/>
            </w14:solidFill>
          </w14:textFill>
        </w:rPr>
      </w:pPr>
    </w:p>
    <w:p>
      <w:pPr>
        <w:rPr>
          <w:rFonts w:ascii="宋体" w:eastAsia="宋体" w:hAnsi="宋体" w:cs="宋体"/>
          <w:b/>
          <w:color w:val="000000" w:themeColor="text1"/>
          <w:highlight w:val="none"/>
          <w14:textFill>
            <w14:solidFill>
              <w14:schemeClr w14:val="tx1"/>
            </w14:solidFill>
          </w14:textFill>
        </w:rPr>
      </w:pPr>
    </w:p>
    <w:p>
      <w:pPr>
        <w:rPr>
          <w:rFonts w:ascii="宋体" w:eastAsia="宋体" w:hAnsi="宋体" w:cs="宋体"/>
          <w:b/>
          <w:color w:val="000000" w:themeColor="text1"/>
          <w:highlight w:val="none"/>
          <w14:textFill>
            <w14:solidFill>
              <w14:schemeClr w14:val="tx1"/>
            </w14:solidFill>
          </w14:textFill>
        </w:rPr>
      </w:pPr>
    </w:p>
    <w:p>
      <w:pPr>
        <w:rPr>
          <w:rFonts w:ascii="宋体" w:eastAsia="宋体" w:hAnsi="宋体" w:cs="宋体"/>
          <w:b/>
          <w:color w:val="000000" w:themeColor="text1"/>
          <w:highlight w:val="none"/>
          <w14:textFill>
            <w14:solidFill>
              <w14:schemeClr w14:val="tx1"/>
            </w14:solidFill>
          </w14:textFill>
        </w:rPr>
      </w:pPr>
    </w:p>
    <w:p>
      <w:pPr>
        <w:rPr>
          <w:rFonts w:ascii="宋体" w:eastAsia="宋体" w:hAnsi="宋体" w:cs="宋体"/>
          <w:b/>
          <w:color w:val="000000" w:themeColor="text1"/>
          <w:highlight w:val="none"/>
          <w14:textFill>
            <w14:solidFill>
              <w14:schemeClr w14:val="tx1"/>
            </w14:solidFill>
          </w14:textFill>
        </w:rPr>
      </w:pPr>
    </w:p>
    <w:p>
      <w:pPr>
        <w:rPr>
          <w:rFonts w:ascii="宋体" w:eastAsia="宋体" w:hAnsi="宋体" w:cs="宋体"/>
          <w:b/>
          <w:color w:val="000000" w:themeColor="text1"/>
          <w:highlight w:val="none"/>
          <w14:textFill>
            <w14:solidFill>
              <w14:schemeClr w14:val="tx1"/>
            </w14:solidFill>
          </w14:textFill>
        </w:rPr>
      </w:pPr>
    </w:p>
    <w:p>
      <w:pPr>
        <w:rPr>
          <w:rFonts w:ascii="宋体" w:eastAsia="宋体" w:hAnsi="宋体" w:cs="宋体"/>
          <w:b/>
          <w:color w:val="000000" w:themeColor="text1"/>
          <w:highlight w:val="none"/>
          <w14:textFill>
            <w14:solidFill>
              <w14:schemeClr w14:val="tx1"/>
            </w14:solidFill>
          </w14:textFill>
        </w:rPr>
      </w:pPr>
    </w:p>
    <w:p>
      <w:pPr>
        <w:rPr>
          <w:rFonts w:ascii="宋体" w:eastAsia="宋体" w:hAnsi="宋体" w:cs="宋体"/>
          <w:b/>
          <w:color w:val="000000" w:themeColor="text1"/>
          <w:highlight w:val="none"/>
          <w14:textFill>
            <w14:solidFill>
              <w14:schemeClr w14:val="tx1"/>
            </w14:solidFill>
          </w14:textFill>
        </w:rPr>
      </w:pPr>
    </w:p>
    <w:p>
      <w:pPr>
        <w:rPr>
          <w:rFonts w:ascii="宋体" w:eastAsia="宋体" w:hAnsi="宋体" w:cs="宋体"/>
          <w:b/>
          <w:color w:val="000000" w:themeColor="text1"/>
          <w:highlight w:val="none"/>
          <w14:textFill>
            <w14:solidFill>
              <w14:schemeClr w14:val="tx1"/>
            </w14:solidFill>
          </w14:textFill>
        </w:rPr>
      </w:pPr>
    </w:p>
    <w:p>
      <w:pPr>
        <w:rPr>
          <w:rFonts w:ascii="宋体" w:eastAsia="宋体" w:hAnsi="宋体" w:cs="宋体"/>
          <w:b/>
          <w:color w:val="000000" w:themeColor="text1"/>
          <w:highlight w:val="none"/>
          <w14:textFill>
            <w14:solidFill>
              <w14:schemeClr w14:val="tx1"/>
            </w14:solidFill>
          </w14:textFill>
        </w:rPr>
      </w:pPr>
    </w:p>
    <w:p>
      <w:pPr>
        <w:rPr>
          <w:rFonts w:ascii="宋体" w:eastAsia="宋体" w:hAnsi="宋体" w:cs="宋体"/>
          <w:b/>
          <w:color w:val="000000" w:themeColor="text1"/>
          <w:highlight w:val="none"/>
          <w14:textFill>
            <w14:solidFill>
              <w14:schemeClr w14:val="tx1"/>
            </w14:solidFill>
          </w14:textFill>
        </w:rPr>
      </w:pPr>
    </w:p>
    <w:p>
      <w:pPr>
        <w:jc w:val="center"/>
        <w:outlineLvl w:val="2"/>
        <w:rPr>
          <w:rFonts w:ascii="宋体" w:eastAsia="宋体" w:hAnsi="宋体" w:cs="宋体"/>
          <w:b/>
          <w:bCs/>
          <w:sz w:val="28"/>
          <w:szCs w:val="28"/>
          <w:highlight w:val="none"/>
        </w:rPr>
      </w:pPr>
      <w:r>
        <w:rPr>
          <w:rFonts w:ascii="宋体" w:eastAsia="宋体" w:hAnsi="宋体" w:cs="宋体" w:hint="eastAsia"/>
          <w:b/>
          <w:bCs/>
          <w:sz w:val="28"/>
          <w:szCs w:val="28"/>
          <w:highlight w:val="none"/>
        </w:rPr>
        <w:t>二、其他关键信息</w:t>
      </w:r>
    </w:p>
    <w:p>
      <w:pPr>
        <w:ind w:firstLine="480" w:firstLineChars="200"/>
        <w:rPr>
          <w:rFonts w:ascii="宋体" w:eastAsia="宋体" w:hAnsi="宋体" w:cs="宋体"/>
          <w:b/>
          <w:color w:val="FF0000"/>
          <w:highlight w:val="none"/>
        </w:rPr>
      </w:pPr>
      <w:r>
        <w:rPr>
          <w:rFonts w:ascii="宋体" w:eastAsia="宋体" w:hAnsi="宋体" w:cs="宋体" w:hint="eastAsia"/>
          <w:b/>
          <w:bCs/>
          <w:highlight w:val="none"/>
        </w:rPr>
        <w:t>（一）评标定标信息</w:t>
      </w:r>
    </w:p>
    <w:p>
      <w:pPr>
        <w:ind w:firstLine="480" w:firstLineChars="200"/>
        <w:rPr>
          <w:rFonts w:ascii="宋体" w:eastAsia="宋体" w:hAnsi="宋体" w:cs="宋体"/>
          <w:highlight w:val="none"/>
        </w:rPr>
      </w:pPr>
      <w:r>
        <w:rPr>
          <w:rFonts w:ascii="宋体" w:eastAsia="宋体" w:hAnsi="宋体" w:cs="宋体" w:hint="eastAsia"/>
          <w:highlight w:val="none"/>
        </w:rPr>
        <w:t>本次评标采用综合评分法，投标文件满足招标文件全部实质性要求，且按照招标文件中规定的各项评审因素进行量化打分，评标结果按评审后得分由高到低顺序排列。得分相同的，按投标报价由低到高顺序排列。得分且投标报价相同的，按技术/服务部分得分由高到低排列。得分、投标报价和技术/服务部分得分均相同的并列，出现并列情况采取随机抽取的方式确定，具体操作办法及流程由评审委员会确定，以评审总得分最高的投标人为中标供应商（排名第二的投标人为第一替补中标候选人、排名第三的投标人为第二替补中标候选人）。</w:t>
      </w:r>
    </w:p>
    <w:tbl>
      <w:tblPr>
        <w:tblStyle w:val="TableGrid"/>
        <w:tblpPr w:leftFromText="180" w:rightFromText="180" w:vertAnchor="text" w:horzAnchor="page" w:tblpX="1989" w:tblpY="141"/>
        <w:tblOverlap w:val="never"/>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090"/>
        <w:gridCol w:w="4065"/>
      </w:tblGrid>
      <w:tr>
        <w:tblPrEx>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090" w:type="dxa"/>
          </w:tcPr>
          <w:p>
            <w:pPr>
              <w:widowControl w:val="0"/>
              <w:jc w:val="center"/>
              <w:rPr>
                <w:rFonts w:ascii="宋体" w:eastAsia="宋体" w:hAnsi="宋体" w:cs="宋体"/>
                <w:highlight w:val="none"/>
              </w:rPr>
            </w:pPr>
            <w:bookmarkStart w:id="30" w:name="_Hlk74239733"/>
            <w:r>
              <w:rPr>
                <w:rFonts w:ascii="宋体" w:eastAsia="宋体" w:hAnsi="宋体" w:cs="宋体" w:hint="eastAsia"/>
                <w:highlight w:val="none"/>
              </w:rPr>
              <w:t>评标方法</w:t>
            </w:r>
          </w:p>
        </w:tc>
        <w:tc>
          <w:tcPr>
            <w:tcW w:w="4065" w:type="dxa"/>
          </w:tcPr>
          <w:p>
            <w:pPr>
              <w:widowControl w:val="0"/>
              <w:jc w:val="center"/>
              <w:rPr>
                <w:rFonts w:ascii="宋体" w:eastAsia="宋体" w:hAnsi="宋体" w:cs="宋体"/>
                <w:highlight w:val="none"/>
              </w:rPr>
            </w:pPr>
            <w:r>
              <w:rPr>
                <w:rFonts w:ascii="宋体" w:eastAsia="宋体" w:hAnsi="宋体" w:cs="宋体" w:hint="eastAsia"/>
                <w:highlight w:val="none"/>
              </w:rPr>
              <w:t>综合评分法</w:t>
            </w:r>
          </w:p>
        </w:tc>
      </w:tr>
      <w:tr>
        <w:tblPrEx>
          <w:tblW w:w="8155" w:type="dxa"/>
          <w:tblInd w:w="0" w:type="dxa"/>
          <w:tblLayout w:type="fixed"/>
          <w:tblCellMar>
            <w:top w:w="0" w:type="dxa"/>
            <w:left w:w="108" w:type="dxa"/>
            <w:bottom w:w="0" w:type="dxa"/>
            <w:right w:w="108" w:type="dxa"/>
          </w:tblCellMar>
        </w:tblPrEx>
        <w:tc>
          <w:tcPr>
            <w:tcW w:w="4090" w:type="dxa"/>
          </w:tcPr>
          <w:p>
            <w:pPr>
              <w:widowControl w:val="0"/>
              <w:jc w:val="center"/>
              <w:rPr>
                <w:rFonts w:ascii="宋体" w:eastAsia="宋体" w:hAnsi="宋体" w:cs="宋体"/>
                <w:highlight w:val="none"/>
              </w:rPr>
            </w:pPr>
            <w:r>
              <w:rPr>
                <w:rFonts w:ascii="宋体" w:eastAsia="宋体" w:hAnsi="宋体" w:cs="宋体" w:hint="eastAsia"/>
                <w:highlight w:val="none"/>
              </w:rPr>
              <w:t>候选中标供应商家数</w:t>
            </w:r>
          </w:p>
        </w:tc>
        <w:tc>
          <w:tcPr>
            <w:tcW w:w="4065" w:type="dxa"/>
          </w:tcPr>
          <w:p>
            <w:pPr>
              <w:widowControl w:val="0"/>
              <w:jc w:val="center"/>
              <w:rPr>
                <w:rFonts w:ascii="宋体" w:eastAsia="宋体" w:hAnsi="宋体" w:cs="宋体"/>
                <w:highlight w:val="none"/>
              </w:rPr>
            </w:pPr>
            <w:r>
              <w:rPr>
                <w:rFonts w:ascii="宋体" w:eastAsia="宋体" w:hAnsi="宋体" w:cs="宋体" w:hint="eastAsia"/>
                <w:highlight w:val="none"/>
              </w:rPr>
              <w:t>3</w:t>
            </w:r>
          </w:p>
        </w:tc>
      </w:tr>
      <w:tr>
        <w:tblPrEx>
          <w:tblW w:w="8155" w:type="dxa"/>
          <w:tblInd w:w="0" w:type="dxa"/>
          <w:tblLayout w:type="fixed"/>
          <w:tblCellMar>
            <w:top w:w="0" w:type="dxa"/>
            <w:left w:w="108" w:type="dxa"/>
            <w:bottom w:w="0" w:type="dxa"/>
            <w:right w:w="108" w:type="dxa"/>
          </w:tblCellMar>
        </w:tblPrEx>
        <w:tc>
          <w:tcPr>
            <w:tcW w:w="4090" w:type="dxa"/>
          </w:tcPr>
          <w:p>
            <w:pPr>
              <w:widowControl w:val="0"/>
              <w:jc w:val="center"/>
              <w:rPr>
                <w:rFonts w:ascii="宋体" w:eastAsia="宋体" w:hAnsi="宋体" w:cs="宋体"/>
                <w:highlight w:val="none"/>
              </w:rPr>
            </w:pPr>
            <w:r>
              <w:rPr>
                <w:rFonts w:ascii="宋体" w:eastAsia="宋体" w:hAnsi="宋体" w:cs="宋体" w:hint="eastAsia"/>
                <w:highlight w:val="none"/>
              </w:rPr>
              <w:t>中标供应商家数</w:t>
            </w:r>
          </w:p>
        </w:tc>
        <w:tc>
          <w:tcPr>
            <w:tcW w:w="4065" w:type="dxa"/>
          </w:tcPr>
          <w:p>
            <w:pPr>
              <w:widowControl w:val="0"/>
              <w:jc w:val="center"/>
              <w:rPr>
                <w:rFonts w:ascii="宋体" w:eastAsia="宋体" w:hAnsi="宋体" w:cs="宋体"/>
                <w:highlight w:val="none"/>
              </w:rPr>
            </w:pPr>
            <w:r>
              <w:rPr>
                <w:rFonts w:ascii="宋体" w:eastAsia="宋体" w:hAnsi="宋体" w:cs="宋体" w:hint="eastAsia"/>
                <w:highlight w:val="none"/>
              </w:rPr>
              <w:t>1</w:t>
            </w:r>
          </w:p>
        </w:tc>
      </w:tr>
    </w:tbl>
    <w:p>
      <w:pPr>
        <w:pStyle w:val="BodyText"/>
        <w:rPr>
          <w:rFonts w:ascii="宋体" w:eastAsia="宋体" w:hAnsi="宋体" w:cs="宋体"/>
          <w:highlight w:val="none"/>
        </w:rPr>
      </w:pPr>
      <w:bookmarkEnd w:id="30"/>
    </w:p>
    <w:p>
      <w:pPr>
        <w:ind w:firstLine="480" w:firstLineChars="200"/>
        <w:rPr>
          <w:rFonts w:ascii="宋体" w:eastAsia="宋体" w:hAnsi="宋体" w:cs="宋体"/>
          <w:highlight w:val="none"/>
        </w:rPr>
      </w:pPr>
      <w:r>
        <w:rPr>
          <w:rFonts w:ascii="宋体" w:eastAsia="宋体" w:hAnsi="宋体" w:cs="宋体" w:hint="eastAsia"/>
          <w:highlight w:val="none"/>
        </w:rPr>
        <w:t>评审委员会对每个通过资格性检查和符合性检查且报价不超过最高限价的投标人进行评审、打分，然后汇总每个投标人每项评审因素的评分。</w:t>
      </w:r>
    </w:p>
    <w:p>
      <w:pPr>
        <w:ind w:firstLine="480" w:firstLineChars="200"/>
        <w:rPr>
          <w:rFonts w:ascii="宋体" w:eastAsia="宋体" w:hAnsi="宋体" w:cs="宋体"/>
          <w:highlight w:val="none"/>
        </w:rPr>
      </w:pPr>
      <w:r>
        <w:rPr>
          <w:rFonts w:ascii="宋体" w:eastAsia="宋体" w:hAnsi="宋体" w:cs="宋体" w:hint="eastAsia"/>
          <w:highlight w:val="none"/>
        </w:rPr>
        <w:t>评委会在评审时，按照《评标信息》中的评审因素，对进入该阶段评审的各投标文件进行分析和比较。</w:t>
      </w:r>
    </w:p>
    <w:p>
      <w:pPr>
        <w:spacing w:line="360" w:lineRule="auto"/>
        <w:rPr>
          <w:rFonts w:ascii="宋体" w:eastAsia="宋体" w:hAnsi="宋体" w:cs="宋体"/>
          <w:b/>
          <w:bCs/>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（二）其他事项</w:t>
      </w:r>
    </w:p>
    <w:p>
      <w:pPr>
        <w:spacing w:line="360" w:lineRule="auto"/>
        <w:rPr>
          <w:rFonts w:ascii="宋体" w:eastAsia="宋体" w:hAnsi="宋体" w:cs="宋体"/>
          <w:b/>
          <w:bCs/>
          <w:color w:val="000000" w:themeColor="text1"/>
          <w:highlight w:val="none"/>
          <w14:textFill>
            <w14:solidFill>
              <w14:schemeClr w14:val="tx1"/>
            </w14:solidFill>
          </w14:textFill>
        </w:rPr>
      </w:pPr>
      <w:r>
        <w:rPr>
          <w:rFonts w:ascii="宋体" w:eastAsia="宋体" w:hAnsi="宋体" w:cs="宋体" w:hint="eastAsia"/>
          <w:b/>
          <w:bCs/>
          <w:color w:val="000000" w:themeColor="text1"/>
          <w:highlight w:val="none"/>
          <w14:textFill>
            <w14:solidFill>
              <w14:schemeClr w14:val="tx1"/>
            </w14:solidFill>
          </w14:textFill>
        </w:rPr>
        <w:t>1、关于享受优惠政策的主体及价格扣除比例</w:t>
      </w:r>
    </w:p>
    <w:p>
      <w:pPr>
        <w:ind w:firstLine="480" w:firstLineChars="200"/>
        <w:jc w:val="both"/>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（1）投标人提供的服务全部均由优惠主体承接，则对其投标总价给予</w:t>
      </w:r>
      <w:r>
        <w:rPr>
          <w:rFonts w:ascii="宋体" w:eastAsia="宋体" w:hAnsi="宋体" w:cs="宋体" w:hint="eastAsia"/>
          <w:color w:val="FF0000"/>
          <w:highlight w:val="none"/>
        </w:rPr>
        <w:t>10%</w:t>
      </w:r>
      <w:r>
        <w:rPr>
          <w:rFonts w:ascii="宋体" w:eastAsia="宋体" w:hAnsi="宋体" w:cs="宋体" w:hint="eastAsia"/>
          <w:color w:val="000000" w:themeColor="text1"/>
          <w:highlight w:val="none"/>
          <w14:textFill>
            <w14:solidFill>
              <w14:schemeClr w14:val="tx1"/>
            </w14:solidFill>
          </w14:textFill>
        </w:rPr>
        <w:t>的扣除，用扣除后的价格参与评审。</w:t>
      </w:r>
    </w:p>
    <w:p>
      <w:pPr>
        <w:ind w:firstLine="480" w:firstLineChars="200"/>
        <w:jc w:val="both"/>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接受大中型企业与小微企业组成联合体或者允许大中型企业向一家或者多家小微企业分包的采购项目，对于联合协议或者分包意向协议约定小微企业的合同份额占到合同总金额30%以上的，将对联合体或者大中型企业的报价给予</w:t>
      </w:r>
      <w:r>
        <w:rPr>
          <w:rFonts w:ascii="宋体" w:eastAsia="宋体" w:hAnsi="宋体" w:cs="宋体" w:hint="eastAsia"/>
          <w:color w:val="FF0000"/>
          <w:highlight w:val="none"/>
        </w:rPr>
        <w:t>4%</w:t>
      </w:r>
      <w:r>
        <w:rPr>
          <w:rFonts w:ascii="宋体" w:eastAsia="宋体" w:hAnsi="宋体" w:cs="宋体" w:hint="eastAsia"/>
          <w:color w:val="000000" w:themeColor="text1"/>
          <w:highlight w:val="none"/>
          <w14:textFill>
            <w14:solidFill>
              <w14:schemeClr w14:val="tx1"/>
            </w14:solidFill>
          </w14:textFill>
        </w:rPr>
        <w:t>的扣除。</w:t>
      </w:r>
    </w:p>
    <w:p>
      <w:pPr>
        <w:ind w:firstLine="480" w:firstLineChars="200"/>
        <w:jc w:val="both"/>
        <w:rPr>
          <w:rFonts w:ascii="宋体" w:eastAsia="宋体" w:hAnsi="宋体" w:cs="宋体"/>
          <w:b/>
          <w:bCs/>
          <w:color w:val="FF0000"/>
          <w:highlight w:val="none"/>
        </w:rPr>
      </w:pPr>
      <w:r>
        <w:rPr>
          <w:rFonts w:ascii="宋体" w:eastAsia="宋体" w:hAnsi="宋体" w:cs="宋体" w:hint="eastAsia"/>
          <w:color w:val="000000" w:themeColor="text1"/>
          <w:highlight w:val="none"/>
          <w14:textFill>
            <w14:solidFill>
              <w14:schemeClr w14:val="tx1"/>
            </w14:solidFill>
          </w14:textFill>
        </w:rPr>
        <w:t>（3）满足多项优惠政策的企业，不重复享受多项价格扣除政策。</w:t>
      </w:r>
      <w:r>
        <w:rPr>
          <w:rFonts w:ascii="宋体" w:eastAsia="宋体" w:hAnsi="宋体" w:cs="宋体" w:hint="eastAsia"/>
          <w:b/>
          <w:bCs/>
          <w:color w:val="FF0000"/>
          <w:highlight w:val="none"/>
        </w:rPr>
        <w:t>政策调整后价格仅作为评审依据，不作为中标价格。享受价格扣除获得政府采购合同的，小微企业不得将合同分包给大中型企业。</w:t>
      </w:r>
    </w:p>
    <w:p>
      <w:pPr>
        <w:tabs>
          <w:tab w:val="left" w:pos="720"/>
        </w:tabs>
        <w:ind w:firstLine="480" w:firstLineChars="200"/>
        <w:jc w:val="both"/>
        <w:rPr>
          <w:rFonts w:ascii="宋体" w:eastAsia="宋体" w:hAnsi="宋体" w:cs="宋体"/>
          <w:bCs/>
          <w:highlight w:val="none"/>
        </w:rPr>
      </w:pPr>
      <w:r>
        <w:rPr>
          <w:rFonts w:ascii="宋体" w:eastAsia="宋体" w:hAnsi="宋体" w:cs="宋体" w:hint="eastAsia"/>
          <w:color w:val="000000" w:themeColor="text1"/>
          <w:highlight w:val="none"/>
          <w14:textFill>
            <w14:solidFill>
              <w14:schemeClr w14:val="tx1"/>
            </w14:solidFill>
          </w14:textFill>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b)优惠主体承接是指提供服务的人员为中小企业依照《中华人民共和国劳动合同法》订立劳动合同的从业人员。(c)</w:t>
      </w:r>
      <w:r>
        <w:rPr>
          <w:rFonts w:ascii="宋体" w:eastAsia="宋体" w:hAnsi="宋体" w:cs="宋体" w:hint="eastAsia"/>
          <w:bCs/>
          <w:highlight w:val="none"/>
        </w:rPr>
        <w:t>小型企业、微型企业、残疾人福利性单位作为优惠主体的认定资料为《中小企业声明函》、《残疾人福利性单位声明函》；监狱企业作为优惠主体的认定资料为省级以上监狱管理局、戒毒管理局出具的监狱企业证明文件。</w:t>
      </w:r>
    </w:p>
    <w:p>
      <w:pPr>
        <w:tabs>
          <w:tab w:val="left" w:pos="720"/>
        </w:tabs>
        <w:ind w:firstLine="480" w:firstLineChars="200"/>
        <w:jc w:val="both"/>
        <w:rPr>
          <w:rFonts w:ascii="宋体" w:eastAsia="宋体" w:hAnsi="宋体" w:cs="宋体"/>
          <w:bCs/>
          <w:highlight w:val="none"/>
        </w:rPr>
      </w:pPr>
      <w:r>
        <w:rPr>
          <w:rFonts w:ascii="宋体" w:eastAsia="宋体" w:hAnsi="宋体" w:cs="宋体" w:hint="eastAsia"/>
          <w:bCs/>
          <w:highlight w:val="none"/>
        </w:rPr>
        <w:t>（2）本项目采购标的对应的中小企业划分标准所属行业，根据《中小企业划型标准规定》（工信部联企业〔2011〕300号）、《统计上大中小微型企业划分办法（2017）》（国统字〔2017〕213号）或国务院批准的其他中小企业划分标准文件确定。</w:t>
      </w:r>
    </w:p>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1"/>
        <w:rPr>
          <w:rFonts w:ascii="宋体" w:eastAsia="宋体" w:hAnsi="宋体" w:cs="宋体"/>
          <w:b/>
          <w:bCs/>
          <w:color w:val="000000" w:themeColor="text1"/>
          <w:sz w:val="28"/>
          <w:szCs w:val="28"/>
          <w:highlight w:val="none"/>
          <w14:textFill>
            <w14:solidFill>
              <w14:schemeClr w14:val="tx1"/>
            </w14:solidFill>
          </w14:textFill>
        </w:rPr>
      </w:pPr>
      <w:bookmarkStart w:id="31" w:name="_Toc128884461"/>
      <w:r>
        <w:rPr>
          <w:rFonts w:ascii="宋体" w:eastAsia="宋体" w:hAnsi="宋体" w:cs="宋体" w:hint="eastAsia"/>
          <w:b/>
          <w:bCs/>
          <w:color w:val="000000" w:themeColor="text1"/>
          <w:sz w:val="28"/>
          <w:szCs w:val="28"/>
          <w:highlight w:val="none"/>
          <w:lang w:val="en-US" w:eastAsia="zh-CN" w:bidi="ar-SA"/>
          <w14:textFill>
            <w14:solidFill>
              <w14:schemeClr w14:val="tx1"/>
            </w14:solidFill>
          </w14:textFill>
        </w:rPr>
        <w:t>第三章 用户需求书</w:t>
      </w:r>
    </w:p>
    <w:p>
      <w:pPr>
        <w:pageBreakBefore w:val="0"/>
        <w:widowControl/>
        <w:kinsoku/>
        <w:wordWrap/>
        <w:overflowPunct/>
        <w:topLinePunct w:val="0"/>
        <w:autoSpaceDE/>
        <w:autoSpaceDN/>
        <w:bidi w:val="0"/>
        <w:spacing w:line="360" w:lineRule="auto"/>
        <w:jc w:val="center"/>
        <w:textAlignment w:val="auto"/>
        <w:outlineLvl w:val="2"/>
        <w:rPr>
          <w:rFonts w:ascii="宋体" w:eastAsia="宋体" w:hAnsi="宋体" w:cs="宋体"/>
          <w:b/>
          <w:bCs/>
          <w:highlight w:val="none"/>
        </w:rPr>
      </w:pPr>
      <w:bookmarkEnd w:id="31"/>
      <w:bookmarkStart w:id="32" w:name="_Toc11426270"/>
      <w:r>
        <w:rPr>
          <w:rFonts w:ascii="宋体" w:eastAsia="宋体" w:hAnsi="宋体" w:cs="宋体" w:hint="eastAsia"/>
          <w:b/>
          <w:bCs/>
          <w:highlight w:val="none"/>
        </w:rPr>
        <w:t>一、项目基本信息</w:t>
      </w:r>
    </w:p>
    <w:tbl>
      <w:tblPr>
        <w:tblStyle w:val="TableNormal"/>
        <w:tblpPr w:leftFromText="180" w:rightFromText="180" w:vertAnchor="text" w:horzAnchor="margin" w:tblpXSpec="center" w:tblpY="173"/>
        <w:tblW w:w="820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2644"/>
        <w:gridCol w:w="2514"/>
        <w:gridCol w:w="2043"/>
        <w:gridCol w:w="569"/>
      </w:tblGrid>
      <w:tr>
        <w:tblPrEx>
          <w:tblW w:w="820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
        </w:trPr>
        <w:tc>
          <w:tcPr>
            <w:tcW w:w="438" w:type="dxa"/>
            <w:shd w:val="clear" w:color="auto" w:fill="C6D9F0" w:themeFill="text2" w:themeFillTint="33"/>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序号</w:t>
            </w:r>
          </w:p>
        </w:tc>
        <w:tc>
          <w:tcPr>
            <w:tcW w:w="2644" w:type="dxa"/>
            <w:shd w:val="clear" w:color="auto" w:fill="C6D9F0" w:themeFill="text2" w:themeFillTint="33"/>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采购项目名称</w:t>
            </w:r>
          </w:p>
        </w:tc>
        <w:tc>
          <w:tcPr>
            <w:tcW w:w="2514" w:type="dxa"/>
            <w:shd w:val="clear" w:color="auto" w:fill="C6D9F0" w:themeFill="text2" w:themeFillTint="33"/>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财政预算限额（元）</w:t>
            </w:r>
          </w:p>
        </w:tc>
        <w:tc>
          <w:tcPr>
            <w:tcW w:w="2043" w:type="dxa"/>
            <w:shd w:val="clear" w:color="auto" w:fill="C6D9F0" w:themeFill="text2" w:themeFillTint="33"/>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最高限价（元）</w:t>
            </w:r>
          </w:p>
        </w:tc>
        <w:tc>
          <w:tcPr>
            <w:tcW w:w="569" w:type="dxa"/>
            <w:shd w:val="clear" w:color="auto" w:fill="C6D9F0" w:themeFill="text2" w:themeFillTint="33"/>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备注</w:t>
            </w:r>
          </w:p>
        </w:tc>
      </w:tr>
      <w:tr>
        <w:tblPrEx>
          <w:tblW w:w="8208" w:type="dxa"/>
          <w:tblInd w:w="0" w:type="dxa"/>
          <w:tblLayout w:type="fixed"/>
          <w:tblCellMar>
            <w:top w:w="0" w:type="dxa"/>
            <w:left w:w="108" w:type="dxa"/>
            <w:bottom w:w="0" w:type="dxa"/>
            <w:right w:w="108" w:type="dxa"/>
          </w:tblCellMar>
        </w:tblPrEx>
        <w:trPr>
          <w:trHeight w:val="306"/>
        </w:trPr>
        <w:tc>
          <w:tcPr>
            <w:tcW w:w="438"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bCs/>
                <w:color w:val="000000" w:themeColor="text1"/>
                <w:szCs w:val="21"/>
                <w:highlight w:val="none"/>
                <w14:textFill>
                  <w14:solidFill>
                    <w14:schemeClr w14:val="tx1"/>
                  </w14:solidFill>
                </w14:textFill>
              </w:rPr>
            </w:pPr>
            <w:r>
              <w:rPr>
                <w:rFonts w:ascii="宋体" w:eastAsia="宋体" w:hAnsi="宋体" w:cs="宋体" w:hint="eastAsia"/>
                <w:bCs/>
                <w:color w:val="000000" w:themeColor="text1"/>
                <w:szCs w:val="21"/>
                <w:highlight w:val="none"/>
                <w14:textFill>
                  <w14:solidFill>
                    <w14:schemeClr w14:val="tx1"/>
                  </w14:solidFill>
                </w14:textFill>
              </w:rPr>
              <w:t>1</w:t>
            </w:r>
          </w:p>
        </w:tc>
        <w:tc>
          <w:tcPr>
            <w:tcW w:w="2644"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bCs/>
                <w:color w:val="FF0000"/>
                <w:szCs w:val="21"/>
                <w:highlight w:val="none"/>
                <w:lang w:eastAsia="zh-CN"/>
              </w:rPr>
            </w:pPr>
            <w:r>
              <w:rPr>
                <w:rFonts w:ascii="宋体" w:eastAsia="宋体" w:hAnsi="宋体" w:cs="宋体" w:hint="eastAsia"/>
                <w:bCs/>
                <w:szCs w:val="21"/>
                <w:highlight w:val="none"/>
                <w:lang w:eastAsia="zh-CN"/>
              </w:rPr>
              <w:t>外文数字资源年度在线使用权</w:t>
            </w:r>
          </w:p>
        </w:tc>
        <w:tc>
          <w:tcPr>
            <w:tcW w:w="2514"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bCs/>
                <w:color w:val="auto"/>
                <w:szCs w:val="21"/>
                <w:highlight w:val="none"/>
                <w:lang w:eastAsia="zh-CN"/>
              </w:rPr>
            </w:pPr>
            <w:r>
              <w:rPr>
                <w:rFonts w:ascii="宋体" w:eastAsia="宋体" w:hAnsi="宋体" w:cs="宋体" w:hint="eastAsia"/>
                <w:bCs/>
                <w:color w:val="auto"/>
                <w:szCs w:val="21"/>
                <w:highlight w:val="none"/>
                <w:lang w:eastAsia="zh-CN"/>
              </w:rPr>
              <w:t>1,491,400.00</w:t>
            </w:r>
          </w:p>
        </w:tc>
        <w:tc>
          <w:tcPr>
            <w:tcW w:w="2043"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bCs/>
                <w:color w:val="auto"/>
                <w:szCs w:val="21"/>
                <w:highlight w:val="none"/>
                <w:lang w:eastAsia="zh-CN"/>
              </w:rPr>
            </w:pPr>
            <w:r>
              <w:rPr>
                <w:rFonts w:ascii="宋体" w:eastAsia="宋体" w:hAnsi="宋体" w:cs="宋体" w:hint="eastAsia"/>
                <w:bCs/>
                <w:color w:val="auto"/>
                <w:szCs w:val="21"/>
                <w:highlight w:val="none"/>
                <w:lang w:eastAsia="zh-CN"/>
              </w:rPr>
              <w:t>1,491,400.00</w:t>
            </w:r>
          </w:p>
        </w:tc>
        <w:tc>
          <w:tcPr>
            <w:tcW w:w="569"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bCs/>
                <w:color w:val="000000" w:themeColor="text1"/>
                <w:szCs w:val="21"/>
                <w:highlight w:val="none"/>
                <w14:textFill>
                  <w14:solidFill>
                    <w14:schemeClr w14:val="tx1"/>
                  </w14:solidFill>
                </w14:textFill>
              </w:rPr>
            </w:pPr>
            <w:r>
              <w:rPr>
                <w:rFonts w:ascii="宋体" w:eastAsia="宋体" w:hAnsi="宋体" w:cs="宋体" w:hint="eastAsia"/>
                <w:bCs/>
                <w:color w:val="000000" w:themeColor="text1"/>
                <w:szCs w:val="21"/>
                <w:highlight w:val="none"/>
                <w14:textFill>
                  <w14:solidFill>
                    <w14:schemeClr w14:val="tx1"/>
                  </w14:solidFill>
                </w14:textFill>
              </w:rPr>
              <w:t>/</w:t>
            </w:r>
          </w:p>
        </w:tc>
      </w:tr>
    </w:tbl>
    <w:p>
      <w:pPr>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b/>
          <w:color w:val="FF0000"/>
          <w:szCs w:val="21"/>
          <w:highlight w:val="none"/>
        </w:rPr>
      </w:pPr>
      <w:r>
        <w:rPr>
          <w:rFonts w:ascii="宋体" w:eastAsia="宋体" w:hAnsi="宋体" w:cs="宋体" w:hint="eastAsia"/>
          <w:b/>
          <w:color w:val="FF0000"/>
          <w:szCs w:val="21"/>
          <w:highlight w:val="none"/>
        </w:rPr>
        <w:t>本项目在财政预算金额下设定最高限价，如投标人的投标报价超过最高限价，将按照符合性审查要求作投标无效处理</w:t>
      </w:r>
    </w:p>
    <w:p>
      <w:pPr>
        <w:pStyle w:val="NormalIndent"/>
        <w:pageBreakBefore w:val="0"/>
        <w:widowControl/>
        <w:kinsoku/>
        <w:wordWrap/>
        <w:overflowPunct/>
        <w:topLinePunct w:val="0"/>
        <w:autoSpaceDE/>
        <w:autoSpaceDN/>
        <w:bidi w:val="0"/>
        <w:spacing w:line="360" w:lineRule="auto"/>
        <w:textAlignment w:val="auto"/>
        <w:rPr>
          <w:rFonts w:ascii="宋体" w:eastAsia="宋体" w:hAnsi="宋体" w:cs="宋体"/>
          <w:highlight w:val="none"/>
        </w:rPr>
      </w:pPr>
    </w:p>
    <w:p>
      <w:pPr>
        <w:pageBreakBefore w:val="0"/>
        <w:widowControl/>
        <w:kinsoku/>
        <w:wordWrap/>
        <w:overflowPunct/>
        <w:topLinePunct w:val="0"/>
        <w:autoSpaceDE/>
        <w:autoSpaceDN/>
        <w:bidi w:val="0"/>
        <w:spacing w:line="360" w:lineRule="auto"/>
        <w:jc w:val="center"/>
        <w:textAlignment w:val="auto"/>
        <w:outlineLvl w:val="2"/>
        <w:rPr>
          <w:rFonts w:ascii="宋体" w:eastAsia="宋体" w:hAnsi="宋体" w:cs="宋体"/>
          <w:b/>
          <w:bCs/>
          <w:highlight w:val="none"/>
        </w:rPr>
      </w:pPr>
      <w:r>
        <w:rPr>
          <w:rFonts w:ascii="宋体" w:eastAsia="宋体" w:hAnsi="宋体" w:cs="宋体" w:hint="eastAsia"/>
          <w:b/>
          <w:bCs/>
          <w:highlight w:val="none"/>
        </w:rPr>
        <w:t>二、</w:t>
      </w:r>
      <w:bookmarkStart w:id="33" w:name="_Hlk72073432"/>
      <w:r>
        <w:rPr>
          <w:rFonts w:ascii="宋体" w:eastAsia="宋体" w:hAnsi="宋体" w:cs="宋体" w:hint="eastAsia"/>
          <w:b/>
          <w:bCs/>
          <w:highlight w:val="none"/>
        </w:rPr>
        <w:t>服务需求明细</w:t>
      </w:r>
      <w:bookmarkEnd w:id="33"/>
    </w:p>
    <w:tbl>
      <w:tblPr>
        <w:tblStyle w:val="TableNormal"/>
        <w:tblW w:w="8273" w:type="dxa"/>
        <w:jc w:val="center"/>
        <w:tblLayout w:type="fixed"/>
        <w:tblCellMar>
          <w:top w:w="0" w:type="dxa"/>
          <w:left w:w="108" w:type="dxa"/>
          <w:bottom w:w="0" w:type="dxa"/>
          <w:right w:w="108" w:type="dxa"/>
        </w:tblCellMar>
      </w:tblPr>
      <w:tblGrid>
        <w:gridCol w:w="633"/>
        <w:gridCol w:w="3641"/>
        <w:gridCol w:w="797"/>
        <w:gridCol w:w="780"/>
        <w:gridCol w:w="1414"/>
        <w:gridCol w:w="1008"/>
      </w:tblGrid>
      <w:tr>
        <w:tblPrEx>
          <w:tblW w:w="8273" w:type="dxa"/>
          <w:jc w:val="center"/>
          <w:tblLayout w:type="fixed"/>
          <w:tblCellMar>
            <w:top w:w="0" w:type="dxa"/>
            <w:left w:w="108" w:type="dxa"/>
            <w:bottom w:w="0" w:type="dxa"/>
            <w:right w:w="108" w:type="dxa"/>
          </w:tblCellMar>
        </w:tblPrEx>
        <w:trPr>
          <w:trHeight w:val="552"/>
          <w:jc w:val="center"/>
        </w:trPr>
        <w:tc>
          <w:tcPr>
            <w:tcW w:w="633" w:type="dxa"/>
            <w:tcBorders>
              <w:top w:val="single" w:sz="4" w:space="0" w:color="000000"/>
              <w:left w:val="single" w:sz="4" w:space="0" w:color="000000"/>
              <w:bottom w:val="single" w:sz="4" w:space="0" w:color="000000"/>
              <w:right w:val="single" w:sz="4" w:space="0" w:color="auto"/>
            </w:tcBorders>
            <w:shd w:val="clear" w:color="auto" w:fill="C6D9F1"/>
            <w:tcMar>
              <w:top w:w="15" w:type="dxa"/>
              <w:left w:w="15" w:type="dxa"/>
              <w:bottom w:w="15" w:type="dxa"/>
              <w:right w:w="15" w:type="dxa"/>
            </w:tcMar>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b/>
                <w:bCs/>
                <w:highlight w:val="none"/>
              </w:rPr>
            </w:pPr>
            <w:r>
              <w:rPr>
                <w:rFonts w:ascii="宋体" w:eastAsia="宋体" w:hAnsi="宋体" w:cs="宋体" w:hint="eastAsia"/>
                <w:b/>
                <w:bCs/>
                <w:highlight w:val="none"/>
              </w:rPr>
              <w:t>序号</w:t>
            </w:r>
          </w:p>
        </w:tc>
        <w:tc>
          <w:tcPr>
            <w:tcW w:w="3641" w:type="dxa"/>
            <w:tcBorders>
              <w:top w:val="single" w:sz="4" w:space="0" w:color="000000"/>
              <w:left w:val="single" w:sz="4" w:space="0" w:color="auto"/>
              <w:bottom w:val="single" w:sz="4" w:space="0" w:color="000000"/>
              <w:right w:val="single" w:sz="4" w:space="0" w:color="000000"/>
            </w:tcBorders>
            <w:shd w:val="clear" w:color="auto" w:fill="C6D9F1"/>
            <w:tcMar>
              <w:top w:w="15" w:type="dxa"/>
              <w:left w:w="15" w:type="dxa"/>
              <w:bottom w:w="15" w:type="dxa"/>
              <w:right w:w="15" w:type="dxa"/>
            </w:tcMar>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b/>
                <w:bCs/>
                <w:highlight w:val="none"/>
              </w:rPr>
            </w:pPr>
            <w:r>
              <w:rPr>
                <w:rFonts w:ascii="宋体" w:eastAsia="宋体" w:hAnsi="宋体" w:cs="宋体" w:hint="eastAsia"/>
                <w:b/>
                <w:bCs/>
                <w:highlight w:val="none"/>
              </w:rPr>
              <w:t>服务名称（标的名称）</w:t>
            </w:r>
          </w:p>
        </w:tc>
        <w:tc>
          <w:tcPr>
            <w:tcW w:w="797"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b/>
                <w:bCs/>
                <w:highlight w:val="none"/>
              </w:rPr>
            </w:pPr>
            <w:r>
              <w:rPr>
                <w:rFonts w:ascii="宋体" w:eastAsia="宋体" w:hAnsi="宋体" w:cs="宋体" w:hint="eastAsia"/>
                <w:b/>
                <w:bCs/>
                <w:highlight w:val="none"/>
              </w:rPr>
              <w:t>单位</w:t>
            </w:r>
          </w:p>
        </w:tc>
        <w:tc>
          <w:tcPr>
            <w:tcW w:w="780"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b/>
                <w:bCs/>
                <w:highlight w:val="none"/>
              </w:rPr>
            </w:pPr>
            <w:r>
              <w:rPr>
                <w:rFonts w:ascii="宋体" w:eastAsia="宋体" w:hAnsi="宋体" w:cs="宋体" w:hint="eastAsia"/>
                <w:b/>
                <w:bCs/>
                <w:highlight w:val="none"/>
              </w:rPr>
              <w:t>数量</w:t>
            </w:r>
          </w:p>
        </w:tc>
        <w:tc>
          <w:tcPr>
            <w:tcW w:w="1414"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b/>
                <w:bCs/>
                <w:highlight w:val="none"/>
              </w:rPr>
            </w:pPr>
            <w:r>
              <w:rPr>
                <w:rFonts w:ascii="宋体" w:eastAsia="宋体" w:hAnsi="宋体" w:cs="宋体" w:hint="eastAsia"/>
                <w:b/>
                <w:bCs/>
                <w:highlight w:val="none"/>
              </w:rPr>
              <w:t>所属行业</w:t>
            </w:r>
          </w:p>
        </w:tc>
        <w:tc>
          <w:tcPr>
            <w:tcW w:w="1008"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b/>
                <w:bCs/>
                <w:highlight w:val="none"/>
              </w:rPr>
            </w:pPr>
            <w:r>
              <w:rPr>
                <w:rFonts w:ascii="宋体" w:eastAsia="宋体" w:hAnsi="宋体" w:cs="宋体" w:hint="eastAsia"/>
                <w:b/>
                <w:bCs/>
                <w:highlight w:val="none"/>
              </w:rPr>
              <w:t>备注</w:t>
            </w:r>
          </w:p>
        </w:tc>
      </w:tr>
      <w:tr>
        <w:tblPrEx>
          <w:tblW w:w="8273" w:type="dxa"/>
          <w:jc w:val="center"/>
          <w:tblLayout w:type="fixed"/>
          <w:tblCellMar>
            <w:top w:w="0" w:type="dxa"/>
            <w:left w:w="108" w:type="dxa"/>
            <w:bottom w:w="0" w:type="dxa"/>
            <w:right w:w="108" w:type="dxa"/>
          </w:tblCellMar>
        </w:tblPrEx>
        <w:trPr>
          <w:trHeight w:val="841"/>
          <w:jc w:val="center"/>
        </w:trPr>
        <w:tc>
          <w:tcPr>
            <w:tcW w:w="633" w:type="dxa"/>
            <w:tcBorders>
              <w:top w:val="single" w:sz="4" w:space="0" w:color="000000"/>
              <w:left w:val="single" w:sz="4" w:space="0" w:color="000000"/>
              <w:bottom w:val="single" w:sz="4" w:space="0" w:color="000000"/>
              <w:right w:val="single" w:sz="4" w:space="0" w:color="auto"/>
            </w:tcBorders>
            <w:tcMar>
              <w:top w:w="15" w:type="dxa"/>
              <w:left w:w="15" w:type="dxa"/>
              <w:bottom w:w="15" w:type="dxa"/>
              <w:right w:w="15" w:type="dxa"/>
            </w:tcMar>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ghlight w:val="none"/>
              </w:rPr>
            </w:pPr>
            <w:r>
              <w:rPr>
                <w:rFonts w:ascii="宋体" w:eastAsia="宋体" w:hAnsi="宋体" w:cs="宋体" w:hint="eastAsia"/>
                <w:highlight w:val="none"/>
              </w:rPr>
              <w:t>1</w:t>
            </w:r>
          </w:p>
        </w:tc>
        <w:tc>
          <w:tcPr>
            <w:tcW w:w="3641" w:type="dxa"/>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highlight w:val="none"/>
                <w:lang w:eastAsia="zh-CN"/>
              </w:rPr>
            </w:pPr>
            <w:r>
              <w:rPr>
                <w:rFonts w:ascii="宋体" w:eastAsia="宋体" w:hAnsi="宋体" w:cs="宋体" w:hint="eastAsia"/>
                <w:highlight w:val="none"/>
                <w:lang w:eastAsia="zh-CN"/>
              </w:rPr>
              <w:t>外文数字资源年度在线使用权</w:t>
            </w:r>
          </w:p>
        </w:tc>
        <w:tc>
          <w:tcPr>
            <w:tcW w:w="79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ghlight w:val="none"/>
              </w:rPr>
            </w:pPr>
            <w:r>
              <w:rPr>
                <w:rFonts w:ascii="宋体" w:eastAsia="宋体" w:hAnsi="宋体" w:cs="宋体" w:hint="eastAsia"/>
                <w:highlight w:val="none"/>
              </w:rPr>
              <w:t>项</w:t>
            </w:r>
          </w:p>
        </w:tc>
        <w:tc>
          <w:tcPr>
            <w:tcW w:w="7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ghlight w:val="none"/>
              </w:rPr>
            </w:pPr>
            <w:r>
              <w:rPr>
                <w:rFonts w:ascii="宋体" w:eastAsia="宋体" w:hAnsi="宋体" w:cs="宋体" w:hint="eastAsia"/>
                <w:highlight w:val="none"/>
              </w:rPr>
              <w:t>1</w:t>
            </w:r>
          </w:p>
        </w:tc>
        <w:tc>
          <w:tcPr>
            <w:tcW w:w="141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default"/>
                <w:highlight w:val="none"/>
                <w:lang w:val="en-US"/>
              </w:rPr>
            </w:pPr>
            <w:r>
              <w:rPr>
                <w:rFonts w:ascii="宋体" w:eastAsia="宋体" w:hAnsi="宋体" w:cs="宋体" w:hint="eastAsia"/>
                <w:highlight w:val="none"/>
                <w:lang w:val="en-US" w:eastAsia="zh-CN"/>
              </w:rPr>
              <w:t>其他未列明行业</w:t>
            </w:r>
          </w:p>
        </w:tc>
        <w:tc>
          <w:tcPr>
            <w:tcW w:w="10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bCs w:val="0"/>
                <w:highlight w:val="none"/>
              </w:rPr>
            </w:pPr>
          </w:p>
        </w:tc>
      </w:tr>
    </w:tbl>
    <w:p>
      <w:pPr>
        <w:pageBreakBefore w:val="0"/>
        <w:widowControl/>
        <w:kinsoku/>
        <w:wordWrap/>
        <w:overflowPunct/>
        <w:topLinePunct w:val="0"/>
        <w:autoSpaceDE/>
        <w:autoSpaceDN/>
        <w:bidi w:val="0"/>
        <w:spacing w:line="360" w:lineRule="auto"/>
        <w:ind w:left="547" w:firstLine="480" w:leftChars="228" w:firstLineChars="200"/>
        <w:textAlignment w:val="auto"/>
        <w:rPr>
          <w:rFonts w:ascii="宋体" w:eastAsia="宋体" w:hAnsi="宋体" w:cs="宋体"/>
          <w:sz w:val="21"/>
          <w:szCs w:val="21"/>
          <w:highlight w:val="none"/>
        </w:rPr>
      </w:pPr>
      <w:bookmarkEnd w:id="32"/>
      <w:bookmarkStart w:id="34" w:name="_Toc320311558"/>
      <w:bookmarkEnd w:id="34"/>
      <w:bookmarkStart w:id="35" w:name="_Toc11426271"/>
    </w:p>
    <w:p>
      <w:pPr>
        <w:pageBreakBefore w:val="0"/>
        <w:widowControl/>
        <w:kinsoku/>
        <w:wordWrap/>
        <w:overflowPunct/>
        <w:topLinePunct w:val="0"/>
        <w:autoSpaceDE/>
        <w:autoSpaceDN/>
        <w:bidi w:val="0"/>
        <w:spacing w:line="360" w:lineRule="auto"/>
        <w:ind w:left="547" w:firstLine="480" w:leftChars="228" w:firstLineChars="200"/>
        <w:textAlignment w:val="auto"/>
        <w:rPr>
          <w:rFonts w:ascii="宋体" w:eastAsia="宋体" w:hAnsi="宋体" w:cs="宋体"/>
          <w:sz w:val="21"/>
          <w:szCs w:val="21"/>
          <w:highlight w:val="none"/>
        </w:rPr>
      </w:pPr>
    </w:p>
    <w:p>
      <w:pPr>
        <w:pageBreakBefore w:val="0"/>
        <w:widowControl/>
        <w:kinsoku/>
        <w:wordWrap/>
        <w:overflowPunct/>
        <w:topLinePunct w:val="0"/>
        <w:autoSpaceDE/>
        <w:autoSpaceDN/>
        <w:bidi w:val="0"/>
        <w:spacing w:line="360" w:lineRule="auto"/>
        <w:jc w:val="center"/>
        <w:textAlignment w:val="auto"/>
        <w:outlineLvl w:val="2"/>
        <w:rPr>
          <w:rFonts w:ascii="宋体" w:eastAsia="宋体" w:hAnsi="宋体" w:cs="宋体"/>
          <w:b/>
          <w:bCs/>
          <w:highlight w:val="none"/>
        </w:rPr>
      </w:pPr>
      <w:r>
        <w:rPr>
          <w:rFonts w:ascii="宋体" w:eastAsia="宋体" w:hAnsi="宋体" w:cs="宋体" w:hint="eastAsia"/>
          <w:b/>
          <w:bCs/>
          <w:highlight w:val="none"/>
        </w:rPr>
        <w:t>三、实质性条款</w:t>
      </w:r>
    </w:p>
    <w:tbl>
      <w:tblPr>
        <w:tblStyle w:val="TableNormal"/>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05"/>
        <w:gridCol w:w="7483"/>
      </w:tblGrid>
      <w:tr>
        <w:tblPrEx>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705" w:type="dxa"/>
          </w:tcPr>
          <w:p>
            <w:pPr>
              <w:pageBreakBefore w:val="0"/>
              <w:widowControl/>
              <w:kinsoku/>
              <w:wordWrap/>
              <w:overflowPunct/>
              <w:topLinePunct w:val="0"/>
              <w:autoSpaceDE/>
              <w:autoSpaceDN/>
              <w:bidi w:val="0"/>
              <w:adjustRightInd w:val="0"/>
              <w:snapToGrid w:val="0"/>
              <w:spacing w:line="360" w:lineRule="auto"/>
              <w:jc w:val="center"/>
              <w:textAlignment w:val="auto"/>
              <w:rPr>
                <w:rFonts w:ascii="宋体" w:eastAsia="宋体" w:hAnsi="宋体" w:cs="宋体"/>
                <w:highlight w:val="none"/>
              </w:rPr>
            </w:pPr>
            <w:r>
              <w:rPr>
                <w:rFonts w:ascii="宋体" w:eastAsia="宋体" w:hAnsi="宋体" w:cs="宋体" w:hint="eastAsia"/>
                <w:highlight w:val="none"/>
              </w:rPr>
              <w:t>序号</w:t>
            </w:r>
          </w:p>
        </w:tc>
        <w:tc>
          <w:tcPr>
            <w:tcW w:w="7483" w:type="dxa"/>
          </w:tcPr>
          <w:p>
            <w:pPr>
              <w:pageBreakBefore w:val="0"/>
              <w:widowControl/>
              <w:kinsoku/>
              <w:wordWrap/>
              <w:overflowPunct/>
              <w:topLinePunct w:val="0"/>
              <w:autoSpaceDE/>
              <w:autoSpaceDN/>
              <w:bidi w:val="0"/>
              <w:adjustRightInd w:val="0"/>
              <w:snapToGrid w:val="0"/>
              <w:spacing w:line="360" w:lineRule="auto"/>
              <w:jc w:val="center"/>
              <w:textAlignment w:val="auto"/>
              <w:rPr>
                <w:rFonts w:ascii="宋体" w:eastAsia="宋体" w:hAnsi="宋体" w:cs="宋体"/>
                <w:highlight w:val="none"/>
              </w:rPr>
            </w:pPr>
            <w:r>
              <w:rPr>
                <w:rFonts w:ascii="宋体" w:eastAsia="宋体" w:hAnsi="宋体" w:cs="宋体" w:hint="eastAsia"/>
                <w:highlight w:val="none"/>
              </w:rPr>
              <w:t>实质性条款具体内容</w:t>
            </w:r>
          </w:p>
        </w:tc>
      </w:tr>
      <w:tr>
        <w:tblPrEx>
          <w:tblW w:w="8188" w:type="dxa"/>
          <w:jc w:val="center"/>
          <w:tblCellMar>
            <w:top w:w="0" w:type="dxa"/>
            <w:left w:w="108" w:type="dxa"/>
            <w:bottom w:w="0" w:type="dxa"/>
            <w:right w:w="108" w:type="dxa"/>
          </w:tblCellMar>
        </w:tblPrEx>
        <w:trPr>
          <w:jc w:val="center"/>
        </w:trPr>
        <w:tc>
          <w:tcPr>
            <w:tcW w:w="705" w:type="dxa"/>
            <w:vAlign w:val="center"/>
          </w:tcPr>
          <w:p>
            <w:pPr>
              <w:pageBreakBefore w:val="0"/>
              <w:widowControl/>
              <w:kinsoku/>
              <w:wordWrap/>
              <w:overflowPunct/>
              <w:topLinePunct w:val="0"/>
              <w:autoSpaceDE/>
              <w:autoSpaceDN/>
              <w:bidi w:val="0"/>
              <w:adjustRightInd w:val="0"/>
              <w:snapToGrid w:val="0"/>
              <w:spacing w:line="360" w:lineRule="auto"/>
              <w:jc w:val="center"/>
              <w:textAlignment w:val="auto"/>
              <w:rPr>
                <w:rFonts w:ascii="宋体" w:eastAsia="宋体" w:hAnsi="宋体" w:cs="宋体" w:hint="eastAsia"/>
                <w:highlight w:val="none"/>
                <w:lang w:eastAsia="zh-CN"/>
              </w:rPr>
            </w:pPr>
            <w:r>
              <w:rPr>
                <w:rFonts w:ascii="宋体" w:eastAsia="宋体" w:hAnsi="宋体" w:cs="宋体" w:hint="eastAsia"/>
                <w:highlight w:val="none"/>
                <w:lang w:val="en-US" w:eastAsia="zh-CN"/>
              </w:rPr>
              <w:t>1</w:t>
            </w:r>
          </w:p>
        </w:tc>
        <w:tc>
          <w:tcPr>
            <w:tcW w:w="7483" w:type="dxa"/>
          </w:tcPr>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
                <w:bCs w:val="0"/>
                <w:szCs w:val="24"/>
                <w:highlight w:val="none"/>
                <w:lang w:eastAsia="zh-CN"/>
              </w:rPr>
              <w:t>（</w:t>
            </w:r>
            <w:r>
              <w:rPr>
                <w:rFonts w:ascii="宋体" w:eastAsia="宋体" w:hAnsi="宋体" w:cs="宋体" w:hint="eastAsia"/>
                <w:b/>
                <w:bCs w:val="0"/>
                <w:szCs w:val="24"/>
                <w:highlight w:val="none"/>
                <w:lang w:val="en-US" w:eastAsia="zh-CN"/>
              </w:rPr>
              <w:t>一</w:t>
            </w:r>
            <w:r>
              <w:rPr>
                <w:rFonts w:ascii="宋体" w:eastAsia="宋体" w:hAnsi="宋体" w:cs="宋体" w:hint="eastAsia"/>
                <w:b/>
                <w:bCs w:val="0"/>
                <w:szCs w:val="24"/>
                <w:highlight w:val="none"/>
                <w:lang w:eastAsia="zh-CN"/>
              </w:rPr>
              <w:t>）</w:t>
            </w:r>
            <w:r>
              <w:rPr>
                <w:rFonts w:ascii="宋体" w:eastAsia="宋体" w:hAnsi="宋体" w:cs="宋体" w:hint="eastAsia"/>
                <w:b/>
                <w:bCs w:val="0"/>
                <w:szCs w:val="24"/>
                <w:highlight w:val="none"/>
              </w:rPr>
              <w:t xml:space="preserve">★服务期限：    </w:t>
            </w:r>
            <w:r>
              <w:rPr>
                <w:rFonts w:ascii="宋体" w:eastAsia="宋体" w:hAnsi="宋体" w:cs="宋体" w:hint="eastAsia"/>
                <w:bCs/>
                <w:szCs w:val="24"/>
                <w:highlight w:val="none"/>
              </w:rPr>
              <w:t xml:space="preserve">                                  </w:t>
            </w:r>
          </w:p>
          <w:p>
            <w:pPr>
              <w:spacing w:line="360" w:lineRule="auto"/>
              <w:ind w:firstLine="480" w:firstLineChars="200"/>
              <w:rPr>
                <w:rFonts w:ascii="宋体" w:eastAsia="宋体" w:hAnsi="宋体" w:cs="宋体"/>
                <w:szCs w:val="24"/>
                <w:highlight w:val="none"/>
              </w:rPr>
            </w:pPr>
            <w:r>
              <w:rPr>
                <w:rFonts w:hint="eastAsia"/>
              </w:rPr>
              <w:t>本项目为非长期服务项目，自合同签订之日起20</w:t>
            </w:r>
            <w:r>
              <w:t>个工作日内</w:t>
            </w:r>
            <w:r>
              <w:rPr>
                <w:rFonts w:hint="eastAsia"/>
              </w:rPr>
              <w:t>交付（提供资源远程访问权限，资源访问时间见具体技术要求），免费维护期限1年。</w:t>
            </w:r>
          </w:p>
        </w:tc>
      </w:tr>
      <w:tr>
        <w:tblPrEx>
          <w:tblW w:w="8188" w:type="dxa"/>
          <w:jc w:val="center"/>
          <w:tblCellMar>
            <w:top w:w="0" w:type="dxa"/>
            <w:left w:w="108" w:type="dxa"/>
            <w:bottom w:w="0" w:type="dxa"/>
            <w:right w:w="108" w:type="dxa"/>
          </w:tblCellMar>
        </w:tblPrEx>
        <w:trPr>
          <w:jc w:val="center"/>
        </w:trPr>
        <w:tc>
          <w:tcPr>
            <w:tcW w:w="705" w:type="dxa"/>
            <w:vAlign w:val="center"/>
          </w:tcPr>
          <w:p>
            <w:pPr>
              <w:pageBreakBefore w:val="0"/>
              <w:widowControl/>
              <w:kinsoku/>
              <w:wordWrap/>
              <w:overflowPunct/>
              <w:topLinePunct w:val="0"/>
              <w:autoSpaceDE/>
              <w:autoSpaceDN/>
              <w:bidi w:val="0"/>
              <w:adjustRightInd w:val="0"/>
              <w:snapToGrid w:val="0"/>
              <w:spacing w:line="360" w:lineRule="auto"/>
              <w:jc w:val="center"/>
              <w:textAlignment w:val="auto"/>
              <w:rPr>
                <w:rFonts w:ascii="宋体" w:eastAsia="宋体" w:hAnsi="宋体" w:cs="宋体" w:hint="eastAsia"/>
                <w:highlight w:val="none"/>
                <w:lang w:eastAsia="zh-CN"/>
              </w:rPr>
            </w:pPr>
            <w:r>
              <w:rPr>
                <w:rFonts w:ascii="宋体" w:eastAsia="宋体" w:hAnsi="宋体" w:cs="宋体" w:hint="eastAsia"/>
                <w:highlight w:val="none"/>
                <w:lang w:val="en-US" w:eastAsia="zh-CN"/>
              </w:rPr>
              <w:t>2</w:t>
            </w:r>
          </w:p>
        </w:tc>
        <w:tc>
          <w:tcPr>
            <w:tcW w:w="7483" w:type="dxa"/>
          </w:tcPr>
          <w:p>
            <w:pPr>
              <w:pStyle w:val="NormalIndent"/>
              <w:spacing w:before="60" w:beforeLines="25" w:after="60" w:afterLines="25" w:line="360" w:lineRule="auto"/>
              <w:ind w:firstLine="449" w:firstLineChars="187"/>
              <w:rPr>
                <w:rFonts w:ascii="宋体" w:eastAsia="宋体" w:hAnsi="宋体" w:cs="宋体" w:hint="eastAsia"/>
                <w:b/>
                <w:bCs w:val="0"/>
                <w:szCs w:val="24"/>
                <w:highlight w:val="none"/>
              </w:rPr>
            </w:pPr>
            <w:r>
              <w:rPr>
                <w:rFonts w:ascii="宋体" w:eastAsia="宋体" w:hAnsi="宋体" w:cs="宋体" w:hint="eastAsia"/>
                <w:b/>
                <w:bCs w:val="0"/>
                <w:szCs w:val="24"/>
                <w:highlight w:val="none"/>
              </w:rPr>
              <w:t>（</w:t>
            </w:r>
            <w:r>
              <w:rPr>
                <w:rFonts w:ascii="宋体" w:eastAsia="宋体" w:hAnsi="宋体" w:cs="宋体" w:hint="eastAsia"/>
                <w:b/>
                <w:bCs w:val="0"/>
                <w:szCs w:val="24"/>
                <w:highlight w:val="none"/>
                <w:lang w:val="en-US" w:eastAsia="zh-CN"/>
              </w:rPr>
              <w:t>三</w:t>
            </w:r>
            <w:r>
              <w:rPr>
                <w:rFonts w:ascii="宋体" w:eastAsia="宋体" w:hAnsi="宋体" w:cs="宋体" w:hint="eastAsia"/>
                <w:b/>
                <w:bCs w:val="0"/>
                <w:szCs w:val="24"/>
                <w:highlight w:val="none"/>
              </w:rPr>
              <w:t>）★付款方式</w:t>
            </w:r>
          </w:p>
          <w:p>
            <w:pPr>
              <w:spacing w:line="460" w:lineRule="exact"/>
              <w:ind w:firstLine="480" w:firstLineChars="200"/>
              <w:rPr>
                <w:rFonts w:hint="eastAsia"/>
              </w:rPr>
            </w:pPr>
            <w:r>
              <w:rPr>
                <w:rFonts w:eastAsia="宋体" w:hint="eastAsia"/>
                <w:lang w:val="en-US" w:eastAsia="zh-CN"/>
              </w:rPr>
              <w:t>1.</w:t>
            </w:r>
            <w:r>
              <w:rPr>
                <w:rFonts w:hint="eastAsia"/>
              </w:rPr>
              <w:t>本项目为跨年支付项目。</w:t>
            </w:r>
          </w:p>
          <w:p>
            <w:pPr>
              <w:spacing w:line="460" w:lineRule="exact"/>
              <w:ind w:firstLine="480" w:firstLineChars="200"/>
              <w:rPr>
                <w:rFonts w:ascii="宋体" w:eastAsia="宋体" w:hAnsi="宋体" w:cs="宋体" w:hint="eastAsia"/>
                <w:highlight w:val="none"/>
                <w:lang w:eastAsia="zh-CN"/>
              </w:rPr>
            </w:pPr>
            <w:r>
              <w:rPr>
                <w:rFonts w:eastAsia="宋体" w:hint="eastAsia"/>
                <w:lang w:val="en-US" w:eastAsia="zh-CN"/>
              </w:rPr>
              <w:t>2.</w:t>
            </w:r>
            <w:r>
              <w:t>采购人在合同签订后</w:t>
            </w:r>
            <w:r>
              <w:rPr>
                <w:rFonts w:hint="eastAsia"/>
              </w:rPr>
              <w:t>20</w:t>
            </w:r>
            <w:r>
              <w:t>个工作日内向中标人支付合同总额的6</w:t>
            </w:r>
            <w:r>
              <w:rPr>
                <w:rFonts w:hint="eastAsia"/>
              </w:rPr>
              <w:t>0</w:t>
            </w:r>
            <w:r>
              <w:t>%作为预付款，中标人提供相应发票；</w:t>
            </w:r>
            <w:r>
              <w:rPr>
                <w:rFonts w:hint="eastAsia"/>
              </w:rPr>
              <w:t>第二年中标人维护期满且</w:t>
            </w:r>
            <w:r>
              <w:t>验收合格后</w:t>
            </w:r>
            <w:r>
              <w:rPr>
                <w:rFonts w:hint="eastAsia"/>
              </w:rPr>
              <w:t>20</w:t>
            </w:r>
            <w:r>
              <w:t>个工作日内采购人向中标人支付余款（即合同总额的4</w:t>
            </w:r>
            <w:r>
              <w:rPr>
                <w:rFonts w:hint="eastAsia"/>
              </w:rPr>
              <w:t>0</w:t>
            </w:r>
            <w:r>
              <w:t>%），中标人提供相应</w:t>
            </w:r>
            <w:r>
              <w:rPr>
                <w:color w:val="auto"/>
              </w:rPr>
              <w:t>发票</w:t>
            </w:r>
            <w:r>
              <w:rPr>
                <w:rFonts w:hint="eastAsia"/>
                <w:color w:val="auto"/>
              </w:rPr>
              <w:t>。</w:t>
            </w:r>
          </w:p>
        </w:tc>
      </w:tr>
    </w:tbl>
    <w:p>
      <w:pPr>
        <w:pageBreakBefore w:val="0"/>
        <w:widowControl/>
        <w:kinsoku/>
        <w:wordWrap/>
        <w:overflowPunct/>
        <w:topLinePunct w:val="0"/>
        <w:autoSpaceDE/>
        <w:autoSpaceDN/>
        <w:bidi w:val="0"/>
        <w:spacing w:line="360" w:lineRule="auto"/>
        <w:textAlignment w:val="auto"/>
        <w:rPr>
          <w:rFonts w:ascii="宋体" w:eastAsia="宋体" w:hAnsi="宋体" w:cs="宋体" w:hint="eastAsia"/>
          <w:highlight w:val="none"/>
        </w:rPr>
      </w:pPr>
      <w:r>
        <w:rPr>
          <w:rFonts w:ascii="宋体" w:eastAsia="宋体" w:hAnsi="宋体" w:cs="宋体" w:hint="eastAsia"/>
          <w:highlight w:val="none"/>
        </w:rPr>
        <w:t>注：上表所列内容为不可负偏离条款，负偏离将视为未实质性满足招标文件要求作投标无效处理。</w:t>
      </w:r>
    </w:p>
    <w:p>
      <w:pPr>
        <w:pStyle w:val="Heading3"/>
        <w:pageBreakBefore w:val="0"/>
        <w:widowControl/>
        <w:numPr>
          <w:ilvl w:val="0"/>
          <w:numId w:val="1"/>
        </w:numPr>
        <w:kinsoku/>
        <w:wordWrap/>
        <w:overflowPunct/>
        <w:topLinePunct w:val="0"/>
        <w:autoSpaceDE/>
        <w:autoSpaceDN/>
        <w:bidi w:val="0"/>
        <w:spacing w:line="360" w:lineRule="auto"/>
        <w:jc w:val="center"/>
        <w:textAlignment w:val="auto"/>
        <w:rPr>
          <w:highlight w:val="none"/>
        </w:rPr>
      </w:pPr>
      <w:r>
        <w:rPr>
          <w:rFonts w:cs="宋体" w:hint="eastAsia"/>
          <w:szCs w:val="21"/>
          <w:highlight w:val="none"/>
        </w:rPr>
        <w:t>项目背景</w:t>
      </w:r>
    </w:p>
    <w:p>
      <w:pPr>
        <w:pageBreakBefore w:val="0"/>
        <w:widowControl/>
        <w:kinsoku/>
        <w:wordWrap/>
        <w:overflowPunct/>
        <w:topLinePunct w:val="0"/>
        <w:autoSpaceDE/>
        <w:autoSpaceDN/>
        <w:bidi w:val="0"/>
        <w:spacing w:line="360" w:lineRule="auto"/>
        <w:textAlignment w:val="auto"/>
        <w:rPr>
          <w:rFonts w:ascii="宋体" w:eastAsia="宋体" w:hAnsi="宋体" w:cs="宋体" w:hint="eastAsia"/>
          <w:highlight w:val="none"/>
        </w:rPr>
      </w:pPr>
      <w:r>
        <w:rPr>
          <w:rFonts w:ascii="宋体" w:eastAsia="宋体" w:hAnsi="宋体" w:cs="宋体" w:hint="eastAsia"/>
          <w:highlight w:val="none"/>
        </w:rPr>
        <w:t> 该项目是外文数字资源</w:t>
      </w:r>
      <w:r>
        <w:rPr>
          <w:rFonts w:ascii="宋体" w:eastAsia="宋体" w:hAnsi="宋体" w:cs="宋体" w:hint="eastAsia"/>
          <w:highlight w:val="none"/>
          <w:lang w:val="en-US" w:eastAsia="zh-CN"/>
        </w:rPr>
        <w:t>年度</w:t>
      </w:r>
      <w:r>
        <w:rPr>
          <w:rFonts w:ascii="宋体" w:eastAsia="宋体" w:hAnsi="宋体" w:cs="宋体" w:hint="eastAsia"/>
          <w:highlight w:val="none"/>
        </w:rPr>
        <w:t>在线访问权的采购。其中包含八种外文数据库和一个MyLOFT数据库共享访问工具。其中：</w:t>
      </w:r>
      <w:r>
        <w:rPr>
          <w:rFonts w:ascii="宋体" w:eastAsia="宋体" w:hAnsi="宋体" w:cs="宋体" w:hint="eastAsia"/>
          <w:highlight w:val="none"/>
        </w:rPr>
        <w:br/>
      </w:r>
      <w:r>
        <w:rPr>
          <w:rFonts w:ascii="宋体" w:eastAsia="宋体" w:hAnsi="宋体" w:cs="宋体" w:hint="eastAsia"/>
          <w:highlight w:val="none"/>
          <w:lang w:val="en-US" w:eastAsia="zh-CN"/>
        </w:rPr>
        <w:t xml:space="preserve">  </w:t>
      </w:r>
      <w:r>
        <w:rPr>
          <w:rFonts w:ascii="宋体" w:eastAsia="宋体" w:hAnsi="宋体" w:cs="宋体" w:hint="eastAsia"/>
          <w:highlight w:val="none"/>
        </w:rPr>
        <w:t>（1）连续使用资源：EBSCO（ASC+BSC）、EBSCO VSP、EBSCO ARRC、Emerald 、Web of Science（SSCI）、Ei-Compendex，以及MyLOFT访问工具。</w:t>
      </w:r>
      <w:r>
        <w:rPr>
          <w:rFonts w:ascii="宋体" w:eastAsia="宋体" w:hAnsi="宋体" w:cs="宋体" w:hint="eastAsia"/>
          <w:highlight w:val="none"/>
        </w:rPr>
        <w:br/>
      </w:r>
      <w:r>
        <w:rPr>
          <w:rFonts w:ascii="宋体" w:eastAsia="宋体" w:hAnsi="宋体" w:cs="宋体" w:hint="eastAsia"/>
          <w:highlight w:val="none"/>
          <w:lang w:val="en-US" w:eastAsia="zh-CN"/>
        </w:rPr>
        <w:t xml:space="preserve"> </w:t>
      </w:r>
      <w:r>
        <w:rPr>
          <w:rFonts w:ascii="宋体" w:eastAsia="宋体" w:hAnsi="宋体" w:cs="宋体" w:hint="eastAsia"/>
          <w:highlight w:val="none"/>
        </w:rPr>
        <w:t>（2）新增资源：SciFinder、IEL。</w:t>
      </w:r>
      <w:r>
        <w:rPr>
          <w:rFonts w:ascii="宋体" w:eastAsia="宋体" w:hAnsi="宋体" w:cs="宋体" w:hint="eastAsia"/>
          <w:highlight w:val="none"/>
        </w:rPr>
        <w:br/>
      </w:r>
      <w:r>
        <w:rPr>
          <w:rFonts w:ascii="宋体" w:eastAsia="宋体" w:hAnsi="宋体" w:cs="宋体" w:hint="eastAsia"/>
          <w:highlight w:val="none"/>
        </w:rPr>
        <w:t>  本项目已有外文数字资源在学校开放使用多年，师生反馈良好。该批数据库已成为学生学习、教师科研的重要的、不可缺的资料数据库。新增资源，SciFinder俗称“化学文摘”、 IEL是电气电子工程师学会（IEEE）旗下最完整的在线数字资源，这两项都是学校教师反馈多年希望订购的数字资源。</w:t>
      </w:r>
      <w:r>
        <w:rPr>
          <w:rFonts w:ascii="宋体" w:eastAsia="宋体" w:hAnsi="宋体" w:cs="宋体" w:hint="eastAsia"/>
          <w:highlight w:val="none"/>
        </w:rPr>
        <w:br/>
      </w:r>
      <w:r>
        <w:rPr>
          <w:rFonts w:ascii="宋体" w:eastAsia="宋体" w:hAnsi="宋体" w:cs="宋体" w:hint="eastAsia"/>
          <w:highlight w:val="none"/>
        </w:rPr>
        <w:t>  总之，本项目订购的外文数字资源在资源分配上充分考虑了学校各学院的学生、教师及学院的综合实力（科研情况、发表论文情况等），结合了师生综合性需求和专业性需求，为学校科研、教学提供了必要的资源保障。外文数字资源全部为在线包库访问，一旦停定，则以往很多资源将不能继续访问，为保证服务延续性，应尽量续订。</w:t>
      </w:r>
    </w:p>
    <w:p>
      <w:pPr>
        <w:pStyle w:val="Heading3"/>
        <w:pageBreakBefore w:val="0"/>
        <w:widowControl/>
        <w:numPr>
          <w:ilvl w:val="0"/>
          <w:numId w:val="1"/>
        </w:numPr>
        <w:kinsoku/>
        <w:wordWrap/>
        <w:overflowPunct/>
        <w:topLinePunct w:val="0"/>
        <w:autoSpaceDE/>
        <w:autoSpaceDN/>
        <w:bidi w:val="0"/>
        <w:spacing w:line="360" w:lineRule="auto"/>
        <w:ind w:left="0" w:firstLine="0" w:leftChars="0" w:firstLineChars="0"/>
        <w:jc w:val="center"/>
        <w:textAlignment w:val="auto"/>
        <w:rPr>
          <w:rFonts w:cs="宋体" w:hint="eastAsia"/>
          <w:szCs w:val="21"/>
          <w:highlight w:val="none"/>
        </w:rPr>
      </w:pPr>
      <w:r>
        <w:rPr>
          <w:rFonts w:cs="宋体" w:hint="eastAsia"/>
          <w:szCs w:val="21"/>
          <w:highlight w:val="none"/>
          <w:lang w:val="en-US" w:eastAsia="zh-CN"/>
        </w:rPr>
        <w:t>服务项目清单</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601"/>
        <w:gridCol w:w="4080"/>
        <w:gridCol w:w="2841"/>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1601"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highlight w:val="none"/>
              </w:rPr>
            </w:pPr>
            <w:r>
              <w:rPr>
                <w:rFonts w:ascii="宋体" w:eastAsia="宋体" w:hAnsi="宋体" w:cs="宋体" w:hint="eastAsia"/>
                <w:highlight w:val="none"/>
              </w:rPr>
              <w:t>序号</w:t>
            </w:r>
          </w:p>
        </w:tc>
        <w:tc>
          <w:tcPr>
            <w:tcW w:w="4080"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highlight w:val="none"/>
              </w:rPr>
            </w:pPr>
            <w:r>
              <w:rPr>
                <w:rFonts w:ascii="宋体" w:eastAsia="宋体" w:hAnsi="宋体" w:cs="宋体" w:hint="eastAsia"/>
                <w:highlight w:val="none"/>
              </w:rPr>
              <w:t>服务名称</w:t>
            </w:r>
          </w:p>
        </w:tc>
        <w:tc>
          <w:tcPr>
            <w:tcW w:w="2841"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highlight w:val="none"/>
              </w:rPr>
            </w:pPr>
            <w:r>
              <w:rPr>
                <w:rFonts w:ascii="宋体" w:eastAsia="宋体" w:hAnsi="宋体" w:cs="宋体" w:hint="eastAsia"/>
                <w:highlight w:val="none"/>
              </w:rPr>
              <w:t>备注</w:t>
            </w:r>
          </w:p>
        </w:tc>
      </w:tr>
      <w:tr>
        <w:tblPrEx>
          <w:tblW w:w="0" w:type="auto"/>
          <w:tblInd w:w="0" w:type="dxa"/>
          <w:tblCellMar>
            <w:top w:w="0" w:type="dxa"/>
            <w:left w:w="108" w:type="dxa"/>
            <w:bottom w:w="0" w:type="dxa"/>
            <w:right w:w="108" w:type="dxa"/>
          </w:tblCellMar>
        </w:tblPrEx>
        <w:tc>
          <w:tcPr>
            <w:tcW w:w="1601"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highlight w:val="none"/>
              </w:rPr>
            </w:pPr>
            <w:r>
              <w:rPr>
                <w:rFonts w:ascii="宋体" w:eastAsia="宋体" w:hAnsi="宋体" w:cs="宋体" w:hint="eastAsia"/>
                <w:highlight w:val="none"/>
              </w:rPr>
              <w:t>1</w:t>
            </w:r>
          </w:p>
        </w:tc>
        <w:tc>
          <w:tcPr>
            <w:tcW w:w="4080"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highlight w:val="none"/>
              </w:rPr>
            </w:pPr>
            <w:r>
              <w:rPr>
                <w:rFonts w:ascii="宋体" w:eastAsia="宋体" w:hAnsi="宋体" w:cs="宋体" w:hint="eastAsia"/>
                <w:highlight w:val="none"/>
              </w:rPr>
              <w:t>EBSCO（ASC+BSC）</w:t>
            </w:r>
          </w:p>
        </w:tc>
        <w:tc>
          <w:tcPr>
            <w:tcW w:w="2841"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highlight w:val="none"/>
              </w:rPr>
            </w:pPr>
            <w:r>
              <w:rPr>
                <w:rFonts w:ascii="宋体" w:eastAsia="宋体" w:hAnsi="宋体" w:cs="宋体" w:hint="eastAsia"/>
                <w:highlight w:val="none"/>
              </w:rPr>
              <w:t>1套</w:t>
            </w:r>
          </w:p>
        </w:tc>
      </w:tr>
      <w:tr>
        <w:tblPrEx>
          <w:tblW w:w="0" w:type="auto"/>
          <w:tblInd w:w="0" w:type="dxa"/>
          <w:tblCellMar>
            <w:top w:w="0" w:type="dxa"/>
            <w:left w:w="108" w:type="dxa"/>
            <w:bottom w:w="0" w:type="dxa"/>
            <w:right w:w="108" w:type="dxa"/>
          </w:tblCellMar>
        </w:tblPrEx>
        <w:tc>
          <w:tcPr>
            <w:tcW w:w="1601"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highlight w:val="none"/>
              </w:rPr>
            </w:pPr>
            <w:r>
              <w:rPr>
                <w:rFonts w:ascii="宋体" w:eastAsia="宋体" w:hAnsi="宋体" w:cs="宋体" w:hint="eastAsia"/>
                <w:highlight w:val="none"/>
              </w:rPr>
              <w:t>2</w:t>
            </w:r>
          </w:p>
        </w:tc>
        <w:tc>
          <w:tcPr>
            <w:tcW w:w="4080"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highlight w:val="none"/>
              </w:rPr>
            </w:pPr>
            <w:r>
              <w:rPr>
                <w:rFonts w:ascii="宋体" w:eastAsia="宋体" w:hAnsi="宋体" w:cs="宋体" w:hint="eastAsia"/>
                <w:highlight w:val="none"/>
              </w:rPr>
              <w:t>EBSCO VSP</w:t>
            </w:r>
          </w:p>
        </w:tc>
        <w:tc>
          <w:tcPr>
            <w:tcW w:w="2841"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highlight w:val="none"/>
              </w:rPr>
            </w:pPr>
            <w:r>
              <w:rPr>
                <w:rFonts w:ascii="宋体" w:eastAsia="宋体" w:hAnsi="宋体" w:cs="宋体" w:hint="eastAsia"/>
                <w:highlight w:val="none"/>
              </w:rPr>
              <w:t>1套</w:t>
            </w:r>
          </w:p>
        </w:tc>
      </w:tr>
      <w:tr>
        <w:tblPrEx>
          <w:tblW w:w="0" w:type="auto"/>
          <w:tblInd w:w="0" w:type="dxa"/>
          <w:tblCellMar>
            <w:top w:w="0" w:type="dxa"/>
            <w:left w:w="108" w:type="dxa"/>
            <w:bottom w:w="0" w:type="dxa"/>
            <w:right w:w="108" w:type="dxa"/>
          </w:tblCellMar>
        </w:tblPrEx>
        <w:tc>
          <w:tcPr>
            <w:tcW w:w="1601"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highlight w:val="none"/>
              </w:rPr>
            </w:pPr>
            <w:r>
              <w:rPr>
                <w:rFonts w:ascii="宋体" w:eastAsia="宋体" w:hAnsi="宋体" w:cs="宋体" w:hint="eastAsia"/>
                <w:highlight w:val="none"/>
              </w:rPr>
              <w:t>3</w:t>
            </w:r>
          </w:p>
        </w:tc>
        <w:tc>
          <w:tcPr>
            <w:tcW w:w="4080"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highlight w:val="none"/>
              </w:rPr>
            </w:pPr>
            <w:r>
              <w:rPr>
                <w:rFonts w:ascii="宋体" w:eastAsia="宋体" w:hAnsi="宋体" w:cs="宋体" w:hint="eastAsia"/>
                <w:highlight w:val="none"/>
              </w:rPr>
              <w:t>EBSCO ARRC</w:t>
            </w:r>
          </w:p>
        </w:tc>
        <w:tc>
          <w:tcPr>
            <w:tcW w:w="2841"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highlight w:val="none"/>
              </w:rPr>
            </w:pPr>
            <w:r>
              <w:rPr>
                <w:rFonts w:ascii="宋体" w:eastAsia="宋体" w:hAnsi="宋体" w:cs="宋体" w:hint="eastAsia"/>
                <w:highlight w:val="none"/>
              </w:rPr>
              <w:t>1套</w:t>
            </w:r>
          </w:p>
        </w:tc>
      </w:tr>
      <w:tr>
        <w:tblPrEx>
          <w:tblW w:w="0" w:type="auto"/>
          <w:tblInd w:w="0" w:type="dxa"/>
          <w:tblCellMar>
            <w:top w:w="0" w:type="dxa"/>
            <w:left w:w="108" w:type="dxa"/>
            <w:bottom w:w="0" w:type="dxa"/>
            <w:right w:w="108" w:type="dxa"/>
          </w:tblCellMar>
        </w:tblPrEx>
        <w:tc>
          <w:tcPr>
            <w:tcW w:w="1601"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highlight w:val="none"/>
              </w:rPr>
            </w:pPr>
            <w:r>
              <w:rPr>
                <w:rFonts w:ascii="宋体" w:eastAsia="宋体" w:hAnsi="宋体" w:cs="宋体" w:hint="eastAsia"/>
                <w:highlight w:val="none"/>
              </w:rPr>
              <w:t>4</w:t>
            </w:r>
          </w:p>
        </w:tc>
        <w:tc>
          <w:tcPr>
            <w:tcW w:w="4080"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highlight w:val="none"/>
              </w:rPr>
            </w:pPr>
            <w:r>
              <w:rPr>
                <w:rFonts w:ascii="宋体" w:eastAsia="宋体" w:hAnsi="宋体" w:cs="宋体" w:hint="eastAsia"/>
                <w:highlight w:val="none"/>
              </w:rPr>
              <w:t>Emerald</w:t>
            </w:r>
          </w:p>
        </w:tc>
        <w:tc>
          <w:tcPr>
            <w:tcW w:w="2841"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highlight w:val="none"/>
              </w:rPr>
            </w:pPr>
            <w:r>
              <w:rPr>
                <w:rFonts w:ascii="宋体" w:eastAsia="宋体" w:hAnsi="宋体" w:cs="宋体" w:hint="eastAsia"/>
                <w:highlight w:val="none"/>
              </w:rPr>
              <w:t>1套</w:t>
            </w:r>
          </w:p>
        </w:tc>
      </w:tr>
      <w:tr>
        <w:tblPrEx>
          <w:tblW w:w="0" w:type="auto"/>
          <w:tblInd w:w="0" w:type="dxa"/>
          <w:tblCellMar>
            <w:top w:w="0" w:type="dxa"/>
            <w:left w:w="108" w:type="dxa"/>
            <w:bottom w:w="0" w:type="dxa"/>
            <w:right w:w="108" w:type="dxa"/>
          </w:tblCellMar>
        </w:tblPrEx>
        <w:tc>
          <w:tcPr>
            <w:tcW w:w="1601"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highlight w:val="none"/>
              </w:rPr>
            </w:pPr>
            <w:r>
              <w:rPr>
                <w:rFonts w:ascii="宋体" w:eastAsia="宋体" w:hAnsi="宋体" w:cs="宋体" w:hint="eastAsia"/>
                <w:highlight w:val="none"/>
              </w:rPr>
              <w:t>5</w:t>
            </w:r>
          </w:p>
        </w:tc>
        <w:tc>
          <w:tcPr>
            <w:tcW w:w="4080"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highlight w:val="none"/>
              </w:rPr>
            </w:pPr>
            <w:r>
              <w:rPr>
                <w:rFonts w:ascii="宋体" w:eastAsia="宋体" w:hAnsi="宋体" w:cs="宋体" w:hint="eastAsia"/>
                <w:highlight w:val="none"/>
              </w:rPr>
              <w:t>MYLOFT</w:t>
            </w:r>
          </w:p>
        </w:tc>
        <w:tc>
          <w:tcPr>
            <w:tcW w:w="2841"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highlight w:val="none"/>
              </w:rPr>
            </w:pPr>
            <w:r>
              <w:rPr>
                <w:rFonts w:ascii="宋体" w:eastAsia="宋体" w:hAnsi="宋体" w:cs="宋体" w:hint="eastAsia"/>
                <w:highlight w:val="none"/>
              </w:rPr>
              <w:t>1套</w:t>
            </w:r>
          </w:p>
        </w:tc>
      </w:tr>
      <w:tr>
        <w:tblPrEx>
          <w:tblW w:w="0" w:type="auto"/>
          <w:tblInd w:w="0" w:type="dxa"/>
          <w:tblCellMar>
            <w:top w:w="0" w:type="dxa"/>
            <w:left w:w="108" w:type="dxa"/>
            <w:bottom w:w="0" w:type="dxa"/>
            <w:right w:w="108" w:type="dxa"/>
          </w:tblCellMar>
        </w:tblPrEx>
        <w:tc>
          <w:tcPr>
            <w:tcW w:w="1601"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highlight w:val="none"/>
              </w:rPr>
            </w:pPr>
            <w:r>
              <w:rPr>
                <w:rFonts w:ascii="宋体" w:eastAsia="宋体" w:hAnsi="宋体" w:cs="宋体" w:hint="eastAsia"/>
                <w:highlight w:val="none"/>
              </w:rPr>
              <w:t>6</w:t>
            </w:r>
          </w:p>
        </w:tc>
        <w:tc>
          <w:tcPr>
            <w:tcW w:w="4080"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highlight w:val="none"/>
              </w:rPr>
            </w:pPr>
            <w:r>
              <w:rPr>
                <w:rFonts w:ascii="宋体" w:eastAsia="宋体" w:hAnsi="宋体" w:cs="宋体" w:hint="eastAsia"/>
                <w:highlight w:val="none"/>
              </w:rPr>
              <w:t>Web Of Science（SSCI部分）</w:t>
            </w:r>
          </w:p>
        </w:tc>
        <w:tc>
          <w:tcPr>
            <w:tcW w:w="2841"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highlight w:val="none"/>
              </w:rPr>
            </w:pPr>
            <w:r>
              <w:rPr>
                <w:rFonts w:ascii="宋体" w:eastAsia="宋体" w:hAnsi="宋体" w:cs="宋体" w:hint="eastAsia"/>
                <w:highlight w:val="none"/>
              </w:rPr>
              <w:t>1套（SSCI部分）</w:t>
            </w:r>
          </w:p>
        </w:tc>
      </w:tr>
      <w:tr>
        <w:tblPrEx>
          <w:tblW w:w="0" w:type="auto"/>
          <w:tblInd w:w="0" w:type="dxa"/>
          <w:tblCellMar>
            <w:top w:w="0" w:type="dxa"/>
            <w:left w:w="108" w:type="dxa"/>
            <w:bottom w:w="0" w:type="dxa"/>
            <w:right w:w="108" w:type="dxa"/>
          </w:tblCellMar>
        </w:tblPrEx>
        <w:tc>
          <w:tcPr>
            <w:tcW w:w="1601"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highlight w:val="none"/>
              </w:rPr>
            </w:pPr>
            <w:r>
              <w:rPr>
                <w:rFonts w:ascii="宋体" w:eastAsia="宋体" w:hAnsi="宋体" w:cs="宋体" w:hint="eastAsia"/>
                <w:highlight w:val="none"/>
              </w:rPr>
              <w:t>7</w:t>
            </w:r>
          </w:p>
        </w:tc>
        <w:tc>
          <w:tcPr>
            <w:tcW w:w="4080"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highlight w:val="none"/>
              </w:rPr>
            </w:pPr>
            <w:r>
              <w:rPr>
                <w:rFonts w:ascii="宋体" w:eastAsia="宋体" w:hAnsi="宋体" w:cs="宋体" w:hint="eastAsia"/>
                <w:highlight w:val="none"/>
              </w:rPr>
              <w:t>Ei-Compendex</w:t>
            </w:r>
          </w:p>
        </w:tc>
        <w:tc>
          <w:tcPr>
            <w:tcW w:w="2841"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highlight w:val="none"/>
              </w:rPr>
            </w:pPr>
            <w:r>
              <w:rPr>
                <w:rFonts w:ascii="宋体" w:eastAsia="宋体" w:hAnsi="宋体" w:cs="宋体" w:hint="eastAsia"/>
                <w:highlight w:val="none"/>
              </w:rPr>
              <w:t>1套</w:t>
            </w:r>
          </w:p>
        </w:tc>
      </w:tr>
      <w:tr>
        <w:tblPrEx>
          <w:tblW w:w="0" w:type="auto"/>
          <w:tblInd w:w="0" w:type="dxa"/>
          <w:tblCellMar>
            <w:top w:w="0" w:type="dxa"/>
            <w:left w:w="108" w:type="dxa"/>
            <w:bottom w:w="0" w:type="dxa"/>
            <w:right w:w="108" w:type="dxa"/>
          </w:tblCellMar>
        </w:tblPrEx>
        <w:tc>
          <w:tcPr>
            <w:tcW w:w="1601"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highlight w:val="none"/>
              </w:rPr>
            </w:pPr>
            <w:r>
              <w:rPr>
                <w:rFonts w:ascii="宋体" w:eastAsia="宋体" w:hAnsi="宋体" w:cs="宋体" w:hint="eastAsia"/>
                <w:highlight w:val="none"/>
              </w:rPr>
              <w:t>8</w:t>
            </w:r>
          </w:p>
        </w:tc>
        <w:tc>
          <w:tcPr>
            <w:tcW w:w="4080"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highlight w:val="none"/>
              </w:rPr>
            </w:pPr>
            <w:r>
              <w:rPr>
                <w:rFonts w:ascii="宋体" w:eastAsia="宋体" w:hAnsi="宋体" w:cs="宋体" w:hint="eastAsia"/>
                <w:highlight w:val="none"/>
              </w:rPr>
              <w:t>IEL</w:t>
            </w:r>
          </w:p>
        </w:tc>
        <w:tc>
          <w:tcPr>
            <w:tcW w:w="2841"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highlight w:val="none"/>
              </w:rPr>
            </w:pPr>
            <w:r>
              <w:rPr>
                <w:rFonts w:ascii="宋体" w:eastAsia="宋体" w:hAnsi="宋体" w:cs="宋体" w:hint="eastAsia"/>
                <w:highlight w:val="none"/>
              </w:rPr>
              <w:t>1套</w:t>
            </w:r>
          </w:p>
        </w:tc>
      </w:tr>
      <w:tr>
        <w:tblPrEx>
          <w:tblW w:w="0" w:type="auto"/>
          <w:tblInd w:w="0" w:type="dxa"/>
          <w:tblCellMar>
            <w:top w:w="0" w:type="dxa"/>
            <w:left w:w="108" w:type="dxa"/>
            <w:bottom w:w="0" w:type="dxa"/>
            <w:right w:w="108" w:type="dxa"/>
          </w:tblCellMar>
        </w:tblPrEx>
        <w:tc>
          <w:tcPr>
            <w:tcW w:w="1601"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highlight w:val="none"/>
              </w:rPr>
            </w:pPr>
            <w:r>
              <w:rPr>
                <w:rFonts w:ascii="宋体" w:eastAsia="宋体" w:hAnsi="宋体" w:cs="宋体" w:hint="eastAsia"/>
                <w:highlight w:val="none"/>
              </w:rPr>
              <w:t>9</w:t>
            </w:r>
          </w:p>
        </w:tc>
        <w:tc>
          <w:tcPr>
            <w:tcW w:w="4080"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highlight w:val="none"/>
              </w:rPr>
            </w:pPr>
            <w:r>
              <w:rPr>
                <w:rFonts w:ascii="宋体" w:eastAsia="宋体" w:hAnsi="宋体" w:cs="宋体" w:hint="eastAsia"/>
                <w:highlight w:val="none"/>
              </w:rPr>
              <w:t>SciFinder</w:t>
            </w:r>
          </w:p>
        </w:tc>
        <w:tc>
          <w:tcPr>
            <w:tcW w:w="2841" w:type="dxa"/>
            <w:vAlign w:val="center"/>
          </w:tcPr>
          <w:p>
            <w:pPr>
              <w:pageBreakBefore w:val="0"/>
              <w:widowControl/>
              <w:kinsoku/>
              <w:wordWrap/>
              <w:overflowPunct/>
              <w:topLinePunct w:val="0"/>
              <w:autoSpaceDE/>
              <w:autoSpaceDN/>
              <w:bidi w:val="0"/>
              <w:spacing w:line="360" w:lineRule="auto"/>
              <w:jc w:val="center"/>
              <w:textAlignment w:val="auto"/>
              <w:rPr>
                <w:rFonts w:ascii="宋体" w:eastAsia="宋体" w:hAnsi="宋体" w:cs="宋体" w:hint="eastAsia"/>
                <w:highlight w:val="none"/>
              </w:rPr>
            </w:pPr>
            <w:r>
              <w:rPr>
                <w:rFonts w:ascii="宋体" w:eastAsia="宋体" w:hAnsi="宋体" w:cs="宋体" w:hint="eastAsia"/>
                <w:highlight w:val="none"/>
              </w:rPr>
              <w:t>1套</w:t>
            </w:r>
          </w:p>
        </w:tc>
      </w:tr>
    </w:tbl>
    <w:p>
      <w:pPr>
        <w:pStyle w:val="Heading3"/>
        <w:pageBreakBefore w:val="0"/>
        <w:widowControl/>
        <w:numPr>
          <w:ilvl w:val="0"/>
          <w:numId w:val="1"/>
        </w:numPr>
        <w:kinsoku/>
        <w:wordWrap/>
        <w:overflowPunct/>
        <w:topLinePunct w:val="0"/>
        <w:autoSpaceDE/>
        <w:autoSpaceDN/>
        <w:bidi w:val="0"/>
        <w:spacing w:line="360" w:lineRule="auto"/>
        <w:ind w:left="0" w:firstLine="0" w:leftChars="0" w:firstLineChars="0"/>
        <w:jc w:val="center"/>
        <w:textAlignment w:val="auto"/>
        <w:rPr>
          <w:rFonts w:hint="eastAsia"/>
          <w:szCs w:val="21"/>
        </w:rPr>
      </w:pPr>
      <w:r>
        <w:rPr>
          <w:rFonts w:cs="宋体" w:hint="eastAsia"/>
          <w:szCs w:val="21"/>
          <w:highlight w:val="none"/>
        </w:rPr>
        <w:t>项目服务要求</w:t>
      </w:r>
    </w:p>
    <w:p>
      <w:pPr>
        <w:pStyle w:val="BodyText"/>
        <w:pageBreakBefore w:val="0"/>
        <w:widowControl/>
        <w:kinsoku/>
        <w:wordWrap/>
        <w:overflowPunct/>
        <w:topLinePunct w:val="0"/>
        <w:autoSpaceDE/>
        <w:autoSpaceDN/>
        <w:bidi w:val="0"/>
        <w:spacing w:line="360" w:lineRule="auto"/>
        <w:ind w:firstLine="480" w:firstLineChars="200"/>
        <w:textAlignment w:val="auto"/>
        <w:rPr>
          <w:rFonts w:hint="eastAsia"/>
          <w:lang w:val="en-US" w:eastAsia="zh-CN"/>
        </w:rPr>
      </w:pPr>
      <w:r>
        <w:rPr>
          <w:szCs w:val="21"/>
        </w:rPr>
        <w:t>▲</w:t>
      </w:r>
      <w:r>
        <w:rPr>
          <w:rFonts w:hint="eastAsia"/>
          <w:szCs w:val="21"/>
        </w:rPr>
        <w:t>（一）九种数字资源的</w:t>
      </w:r>
      <w:r>
        <w:rPr>
          <w:rFonts w:ascii="宋体" w:hAnsi="宋体" w:hint="eastAsia"/>
          <w:szCs w:val="21"/>
        </w:rPr>
        <w:t>详细内容参数以及使用周期。</w:t>
      </w:r>
    </w:p>
    <w:tbl>
      <w:tblPr>
        <w:tblStyle w:val="TableNormal"/>
        <w:tblpPr w:leftFromText="180" w:rightFromText="180" w:vertAnchor="text" w:horzAnchor="page" w:tblpX="2394" w:tblpY="224"/>
        <w:tblOverlap w:val="never"/>
        <w:tblW w:w="777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637"/>
        <w:gridCol w:w="2064"/>
        <w:gridCol w:w="3075"/>
      </w:tblGrid>
      <w:tr>
        <w:tblPrEx>
          <w:tblW w:w="777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2637" w:type="dxa"/>
            <w:noWrap w:val="0"/>
            <w:vAlign w:val="top"/>
          </w:tcPr>
          <w:p>
            <w:pPr>
              <w:rPr>
                <w:rFonts w:ascii="宋体" w:hAnsi="宋体" w:hint="eastAsia"/>
              </w:rPr>
            </w:pPr>
            <w:r>
              <w:rPr>
                <w:rFonts w:ascii="宋体" w:hAnsi="宋体" w:hint="eastAsia"/>
              </w:rPr>
              <w:t>数字资源名称</w:t>
            </w:r>
          </w:p>
        </w:tc>
        <w:tc>
          <w:tcPr>
            <w:tcW w:w="2064" w:type="dxa"/>
            <w:noWrap w:val="0"/>
            <w:vAlign w:val="top"/>
          </w:tcPr>
          <w:p>
            <w:pPr>
              <w:rPr>
                <w:rFonts w:ascii="宋体" w:hAnsi="宋体" w:hint="eastAsia"/>
              </w:rPr>
            </w:pPr>
            <w:r>
              <w:rPr>
                <w:rFonts w:ascii="宋体" w:hAnsi="宋体" w:hint="eastAsia"/>
              </w:rPr>
              <w:t>访问时间</w:t>
            </w:r>
          </w:p>
        </w:tc>
        <w:tc>
          <w:tcPr>
            <w:tcW w:w="3075" w:type="dxa"/>
            <w:noWrap w:val="0"/>
            <w:vAlign w:val="top"/>
          </w:tcPr>
          <w:p>
            <w:pPr>
              <w:rPr>
                <w:rFonts w:ascii="宋体" w:hAnsi="宋体" w:hint="eastAsia"/>
              </w:rPr>
            </w:pPr>
            <w:r>
              <w:rPr>
                <w:rFonts w:ascii="宋体" w:hAnsi="宋体" w:hint="eastAsia"/>
              </w:rPr>
              <w:t>访问内容</w:t>
            </w:r>
          </w:p>
        </w:tc>
      </w:tr>
      <w:tr>
        <w:tblPrEx>
          <w:tblW w:w="7776" w:type="dxa"/>
          <w:tblInd w:w="0" w:type="dxa"/>
          <w:tblCellMar>
            <w:top w:w="0" w:type="dxa"/>
            <w:left w:w="108" w:type="dxa"/>
            <w:bottom w:w="0" w:type="dxa"/>
            <w:right w:w="108" w:type="dxa"/>
          </w:tblCellMar>
        </w:tblPrEx>
        <w:trPr>
          <w:trHeight w:val="375"/>
        </w:trPr>
        <w:tc>
          <w:tcPr>
            <w:tcW w:w="2637" w:type="dxa"/>
            <w:noWrap w:val="0"/>
            <w:vAlign w:val="center"/>
          </w:tcPr>
          <w:p>
            <w:pPr>
              <w:rPr>
                <w:rFonts w:ascii="宋体" w:hAnsi="宋体" w:hint="eastAsia"/>
              </w:rPr>
            </w:pPr>
            <w:r>
              <w:rPr>
                <w:rFonts w:ascii="Helvetica" w:eastAsia="Helvetica" w:hAnsi="Helvetica" w:cs="Helvetica"/>
                <w:color w:val="333333"/>
                <w:szCs w:val="21"/>
                <w:shd w:val="clear" w:color="auto" w:fill="FFFFFF"/>
              </w:rPr>
              <w:t>EBSCO（ASC+BSC）</w:t>
            </w:r>
          </w:p>
        </w:tc>
        <w:tc>
          <w:tcPr>
            <w:tcW w:w="2064" w:type="dxa"/>
            <w:noWrap w:val="0"/>
            <w:vAlign w:val="top"/>
          </w:tcPr>
          <w:p>
            <w:pPr>
              <w:rPr>
                <w:rFonts w:ascii="宋体" w:hAnsi="宋体" w:hint="eastAsia"/>
                <w:color w:val="0000FF"/>
              </w:rPr>
            </w:pPr>
            <w:r>
              <w:t>202</w:t>
            </w:r>
            <w:r>
              <w:rPr>
                <w:rFonts w:hint="eastAsia"/>
              </w:rPr>
              <w:t>4</w:t>
            </w:r>
            <w:r>
              <w:t>.7.1-202</w:t>
            </w:r>
            <w:r>
              <w:rPr>
                <w:rFonts w:hint="eastAsia"/>
              </w:rPr>
              <w:t>5</w:t>
            </w:r>
            <w:r>
              <w:t>.6.30</w:t>
            </w:r>
          </w:p>
        </w:tc>
        <w:tc>
          <w:tcPr>
            <w:tcW w:w="3075" w:type="dxa"/>
            <w:noWrap w:val="0"/>
            <w:vAlign w:val="center"/>
          </w:tcPr>
          <w:p>
            <w:pPr>
              <w:rPr>
                <w:rFonts w:ascii="宋体" w:hAnsi="宋体" w:hint="eastAsia"/>
              </w:rPr>
            </w:pPr>
            <w:r>
              <w:rPr>
                <w:rFonts w:ascii="宋体" w:hAnsi="宋体" w:hint="eastAsia"/>
              </w:rPr>
              <w:t>全库一年访问</w:t>
            </w:r>
          </w:p>
        </w:tc>
      </w:tr>
      <w:tr>
        <w:tblPrEx>
          <w:tblW w:w="7776" w:type="dxa"/>
          <w:tblInd w:w="0" w:type="dxa"/>
          <w:tblCellMar>
            <w:top w:w="0" w:type="dxa"/>
            <w:left w:w="108" w:type="dxa"/>
            <w:bottom w:w="0" w:type="dxa"/>
            <w:right w:w="108" w:type="dxa"/>
          </w:tblCellMar>
        </w:tblPrEx>
        <w:trPr>
          <w:trHeight w:val="419"/>
        </w:trPr>
        <w:tc>
          <w:tcPr>
            <w:tcW w:w="2637" w:type="dxa"/>
            <w:noWrap w:val="0"/>
            <w:vAlign w:val="center"/>
          </w:tcPr>
          <w:p>
            <w:pPr>
              <w:rPr>
                <w:rFonts w:ascii="宋体" w:hAnsi="宋体" w:hint="eastAsia"/>
              </w:rPr>
            </w:pPr>
            <w:r>
              <w:rPr>
                <w:rFonts w:ascii="Helvetica" w:eastAsia="Helvetica" w:hAnsi="Helvetica" w:cs="Helvetica"/>
                <w:color w:val="333333"/>
                <w:szCs w:val="21"/>
                <w:shd w:val="clear" w:color="auto" w:fill="FFFFFF"/>
              </w:rPr>
              <w:t>EBSCO VSP</w:t>
            </w:r>
          </w:p>
        </w:tc>
        <w:tc>
          <w:tcPr>
            <w:tcW w:w="2064" w:type="dxa"/>
            <w:noWrap w:val="0"/>
            <w:vAlign w:val="top"/>
          </w:tcPr>
          <w:p>
            <w:pPr>
              <w:rPr>
                <w:rFonts w:ascii="宋体" w:hAnsi="宋体" w:hint="eastAsia"/>
                <w:color w:val="0000FF"/>
              </w:rPr>
            </w:pPr>
            <w:r>
              <w:t>202</w:t>
            </w:r>
            <w:r>
              <w:rPr>
                <w:rFonts w:hint="eastAsia"/>
              </w:rPr>
              <w:t>5</w:t>
            </w:r>
            <w:r>
              <w:t>.1.1-202</w:t>
            </w:r>
            <w:r>
              <w:rPr>
                <w:rFonts w:hint="eastAsia"/>
              </w:rPr>
              <w:t>5</w:t>
            </w:r>
            <w:r>
              <w:t>.12.31</w:t>
            </w:r>
          </w:p>
        </w:tc>
        <w:tc>
          <w:tcPr>
            <w:tcW w:w="3075" w:type="dxa"/>
            <w:noWrap w:val="0"/>
            <w:vAlign w:val="center"/>
          </w:tcPr>
          <w:p>
            <w:pPr>
              <w:rPr>
                <w:rFonts w:ascii="宋体" w:hAnsi="宋体" w:hint="eastAsia"/>
              </w:rPr>
            </w:pPr>
            <w:r>
              <w:rPr>
                <w:rFonts w:ascii="宋体" w:hAnsi="宋体" w:hint="eastAsia"/>
              </w:rPr>
              <w:t>全库一年访问</w:t>
            </w:r>
          </w:p>
        </w:tc>
      </w:tr>
      <w:tr>
        <w:tblPrEx>
          <w:tblW w:w="7776" w:type="dxa"/>
          <w:tblInd w:w="0" w:type="dxa"/>
          <w:tblCellMar>
            <w:top w:w="0" w:type="dxa"/>
            <w:left w:w="108" w:type="dxa"/>
            <w:bottom w:w="0" w:type="dxa"/>
            <w:right w:w="108" w:type="dxa"/>
          </w:tblCellMar>
        </w:tblPrEx>
        <w:trPr>
          <w:trHeight w:val="347"/>
        </w:trPr>
        <w:tc>
          <w:tcPr>
            <w:tcW w:w="2637" w:type="dxa"/>
            <w:noWrap w:val="0"/>
            <w:vAlign w:val="center"/>
          </w:tcPr>
          <w:p>
            <w:pPr>
              <w:rPr>
                <w:rFonts w:ascii="宋体" w:hAnsi="宋体" w:hint="eastAsia"/>
              </w:rPr>
            </w:pPr>
            <w:r>
              <w:rPr>
                <w:rFonts w:ascii="Helvetica" w:eastAsia="Helvetica" w:hAnsi="Helvetica" w:cs="Helvetica"/>
                <w:color w:val="333333"/>
                <w:szCs w:val="21"/>
                <w:shd w:val="clear" w:color="auto" w:fill="FFFFFF"/>
              </w:rPr>
              <w:t>EBSCO ARRC</w:t>
            </w:r>
          </w:p>
        </w:tc>
        <w:tc>
          <w:tcPr>
            <w:tcW w:w="2064" w:type="dxa"/>
            <w:noWrap w:val="0"/>
            <w:vAlign w:val="top"/>
          </w:tcPr>
          <w:p>
            <w:pPr>
              <w:rPr>
                <w:rFonts w:ascii="宋体" w:hAnsi="宋体" w:hint="eastAsia"/>
                <w:color w:val="0000FF"/>
              </w:rPr>
            </w:pPr>
            <w:r>
              <w:t>202</w:t>
            </w:r>
            <w:r>
              <w:rPr>
                <w:rFonts w:hint="eastAsia"/>
              </w:rPr>
              <w:t>4</w:t>
            </w:r>
            <w:r>
              <w:t>.11.1-202</w:t>
            </w:r>
            <w:r>
              <w:rPr>
                <w:rFonts w:hint="eastAsia"/>
              </w:rPr>
              <w:t>5</w:t>
            </w:r>
            <w:r>
              <w:t>.10.31</w:t>
            </w:r>
          </w:p>
        </w:tc>
        <w:tc>
          <w:tcPr>
            <w:tcW w:w="3075" w:type="dxa"/>
            <w:noWrap w:val="0"/>
            <w:vAlign w:val="center"/>
          </w:tcPr>
          <w:p>
            <w:pPr>
              <w:rPr>
                <w:rFonts w:ascii="宋体" w:hAnsi="宋体" w:hint="eastAsia"/>
              </w:rPr>
            </w:pPr>
            <w:r>
              <w:rPr>
                <w:rFonts w:ascii="宋体" w:hAnsi="宋体" w:hint="eastAsia"/>
              </w:rPr>
              <w:t>全库一年访问</w:t>
            </w:r>
          </w:p>
        </w:tc>
      </w:tr>
      <w:tr>
        <w:tblPrEx>
          <w:tblW w:w="7776" w:type="dxa"/>
          <w:tblInd w:w="0" w:type="dxa"/>
          <w:tblCellMar>
            <w:top w:w="0" w:type="dxa"/>
            <w:left w:w="108" w:type="dxa"/>
            <w:bottom w:w="0" w:type="dxa"/>
            <w:right w:w="108" w:type="dxa"/>
          </w:tblCellMar>
        </w:tblPrEx>
        <w:tc>
          <w:tcPr>
            <w:tcW w:w="2637" w:type="dxa"/>
            <w:noWrap w:val="0"/>
            <w:vAlign w:val="center"/>
          </w:tcPr>
          <w:p>
            <w:pPr>
              <w:rPr>
                <w:rFonts w:ascii="宋体" w:hAnsi="宋体" w:hint="eastAsia"/>
              </w:rPr>
            </w:pPr>
            <w:r>
              <w:rPr>
                <w:rFonts w:ascii="Helvetica" w:eastAsia="Helvetica" w:hAnsi="Helvetica" w:cs="Helvetica"/>
                <w:color w:val="333333"/>
                <w:szCs w:val="21"/>
                <w:shd w:val="clear" w:color="auto" w:fill="FFFFFF"/>
              </w:rPr>
              <w:t>Emerald</w:t>
            </w:r>
          </w:p>
        </w:tc>
        <w:tc>
          <w:tcPr>
            <w:tcW w:w="2064" w:type="dxa"/>
            <w:noWrap w:val="0"/>
            <w:vAlign w:val="top"/>
          </w:tcPr>
          <w:p>
            <w:pPr>
              <w:rPr>
                <w:rFonts w:ascii="宋体" w:hAnsi="宋体" w:hint="eastAsia"/>
                <w:color w:val="0000FF"/>
              </w:rPr>
            </w:pPr>
            <w:r>
              <w:t>202</w:t>
            </w:r>
            <w:r>
              <w:rPr>
                <w:rFonts w:hint="eastAsia"/>
              </w:rPr>
              <w:t>4</w:t>
            </w:r>
            <w:r>
              <w:t>.7.1-202</w:t>
            </w:r>
            <w:r>
              <w:rPr>
                <w:rFonts w:hint="eastAsia"/>
              </w:rPr>
              <w:t>5</w:t>
            </w:r>
            <w:r>
              <w:t>.6.30</w:t>
            </w:r>
          </w:p>
        </w:tc>
        <w:tc>
          <w:tcPr>
            <w:tcW w:w="3075" w:type="dxa"/>
            <w:noWrap w:val="0"/>
            <w:vAlign w:val="center"/>
          </w:tcPr>
          <w:p>
            <w:pPr>
              <w:rPr>
                <w:rFonts w:ascii="宋体" w:hAnsi="宋体" w:hint="eastAsia"/>
              </w:rPr>
            </w:pPr>
            <w:r>
              <w:rPr>
                <w:rFonts w:ascii="宋体" w:hAnsi="宋体" w:hint="eastAsia"/>
              </w:rPr>
              <w:t xml:space="preserve">200种刊包库访问 </w:t>
            </w:r>
          </w:p>
        </w:tc>
      </w:tr>
      <w:tr>
        <w:tblPrEx>
          <w:tblW w:w="7776" w:type="dxa"/>
          <w:tblInd w:w="0" w:type="dxa"/>
          <w:tblCellMar>
            <w:top w:w="0" w:type="dxa"/>
            <w:left w:w="108" w:type="dxa"/>
            <w:bottom w:w="0" w:type="dxa"/>
            <w:right w:w="108" w:type="dxa"/>
          </w:tblCellMar>
        </w:tblPrEx>
        <w:tc>
          <w:tcPr>
            <w:tcW w:w="2637" w:type="dxa"/>
            <w:noWrap w:val="0"/>
            <w:vAlign w:val="center"/>
          </w:tcPr>
          <w:p>
            <w:pPr>
              <w:rPr>
                <w:rFonts w:ascii="宋体" w:hAnsi="宋体" w:hint="eastAsia"/>
              </w:rPr>
            </w:pPr>
            <w:r>
              <w:rPr>
                <w:rFonts w:ascii="Helvetica" w:eastAsia="Helvetica" w:hAnsi="Helvetica" w:cs="Helvetica"/>
                <w:color w:val="333333"/>
                <w:szCs w:val="21"/>
                <w:shd w:val="clear" w:color="auto" w:fill="FFFFFF"/>
              </w:rPr>
              <w:t>MyLOFT</w:t>
            </w:r>
          </w:p>
        </w:tc>
        <w:tc>
          <w:tcPr>
            <w:tcW w:w="2064" w:type="dxa"/>
            <w:noWrap w:val="0"/>
            <w:vAlign w:val="top"/>
          </w:tcPr>
          <w:p>
            <w:pPr>
              <w:rPr>
                <w:rFonts w:ascii="宋体" w:hAnsi="宋体" w:hint="eastAsia"/>
                <w:color w:val="0000FF"/>
              </w:rPr>
            </w:pPr>
            <w:r>
              <w:t>202</w:t>
            </w:r>
            <w:r>
              <w:rPr>
                <w:rFonts w:hint="eastAsia"/>
              </w:rPr>
              <w:t>4</w:t>
            </w:r>
            <w:r>
              <w:t>.7.1-202</w:t>
            </w:r>
            <w:r>
              <w:rPr>
                <w:rFonts w:hint="eastAsia"/>
              </w:rPr>
              <w:t>5</w:t>
            </w:r>
            <w:r>
              <w:t>.6.30</w:t>
            </w:r>
          </w:p>
        </w:tc>
        <w:tc>
          <w:tcPr>
            <w:tcW w:w="3075" w:type="dxa"/>
            <w:noWrap w:val="0"/>
            <w:vAlign w:val="center"/>
          </w:tcPr>
          <w:p>
            <w:pPr>
              <w:rPr>
                <w:rFonts w:ascii="宋体" w:hAnsi="宋体" w:hint="eastAsia"/>
              </w:rPr>
            </w:pPr>
            <w:r>
              <w:rPr>
                <w:rFonts w:ascii="宋体" w:hAnsi="宋体" w:hint="eastAsia"/>
              </w:rPr>
              <w:t>全库一年访问</w:t>
            </w:r>
          </w:p>
        </w:tc>
      </w:tr>
      <w:tr>
        <w:tblPrEx>
          <w:tblW w:w="7776" w:type="dxa"/>
          <w:tblInd w:w="0" w:type="dxa"/>
          <w:tblCellMar>
            <w:top w:w="0" w:type="dxa"/>
            <w:left w:w="108" w:type="dxa"/>
            <w:bottom w:w="0" w:type="dxa"/>
            <w:right w:w="108" w:type="dxa"/>
          </w:tblCellMar>
        </w:tblPrEx>
        <w:trPr>
          <w:trHeight w:val="415"/>
        </w:trPr>
        <w:tc>
          <w:tcPr>
            <w:tcW w:w="2637" w:type="dxa"/>
            <w:noWrap w:val="0"/>
            <w:vAlign w:val="center"/>
          </w:tcPr>
          <w:p>
            <w:pPr>
              <w:rPr>
                <w:rFonts w:ascii="宋体" w:hAnsi="宋体" w:hint="eastAsia"/>
              </w:rPr>
            </w:pPr>
            <w:r>
              <w:rPr>
                <w:rFonts w:ascii="Helvetica" w:eastAsia="Helvetica" w:hAnsi="Helvetica" w:cs="Helvetica"/>
                <w:color w:val="333333"/>
                <w:szCs w:val="21"/>
                <w:shd w:val="clear" w:color="auto" w:fill="FFFFFF"/>
              </w:rPr>
              <w:t>Web of Science</w:t>
            </w:r>
            <w:r>
              <w:rPr>
                <w:rFonts w:ascii="宋体" w:hAnsi="宋体" w:hint="eastAsia"/>
              </w:rPr>
              <w:t>（SSCI部分）</w:t>
            </w:r>
          </w:p>
        </w:tc>
        <w:tc>
          <w:tcPr>
            <w:tcW w:w="2064" w:type="dxa"/>
            <w:noWrap w:val="0"/>
            <w:vAlign w:val="top"/>
          </w:tcPr>
          <w:p>
            <w:pPr>
              <w:rPr>
                <w:rFonts w:ascii="宋体" w:hAnsi="宋体" w:hint="eastAsia"/>
                <w:color w:val="0000FF"/>
              </w:rPr>
            </w:pPr>
            <w:r>
              <w:t>202</w:t>
            </w:r>
            <w:r>
              <w:rPr>
                <w:rFonts w:hint="eastAsia"/>
              </w:rPr>
              <w:t>4年度</w:t>
            </w:r>
          </w:p>
        </w:tc>
        <w:tc>
          <w:tcPr>
            <w:tcW w:w="3075" w:type="dxa"/>
            <w:noWrap w:val="0"/>
            <w:vAlign w:val="center"/>
          </w:tcPr>
          <w:p>
            <w:pPr>
              <w:rPr>
                <w:rFonts w:ascii="宋体" w:hAnsi="宋体" w:hint="eastAsia"/>
              </w:rPr>
            </w:pPr>
            <w:r>
              <w:rPr>
                <w:rFonts w:ascii="宋体" w:hAnsi="宋体" w:hint="eastAsia"/>
              </w:rPr>
              <w:t>全库一年访问（SSCI部分）</w:t>
            </w:r>
          </w:p>
        </w:tc>
      </w:tr>
      <w:tr>
        <w:tblPrEx>
          <w:tblW w:w="7776" w:type="dxa"/>
          <w:tblInd w:w="0" w:type="dxa"/>
          <w:tblCellMar>
            <w:top w:w="0" w:type="dxa"/>
            <w:left w:w="108" w:type="dxa"/>
            <w:bottom w:w="0" w:type="dxa"/>
            <w:right w:w="108" w:type="dxa"/>
          </w:tblCellMar>
        </w:tblPrEx>
        <w:tc>
          <w:tcPr>
            <w:tcW w:w="2637" w:type="dxa"/>
            <w:noWrap w:val="0"/>
            <w:vAlign w:val="center"/>
          </w:tcPr>
          <w:p>
            <w:pPr>
              <w:rPr>
                <w:rFonts w:ascii="宋体" w:hAnsi="宋体" w:hint="eastAsia"/>
              </w:rPr>
            </w:pPr>
            <w:r>
              <w:rPr>
                <w:rFonts w:ascii="Helvetica" w:eastAsia="Helvetica" w:hAnsi="Helvetica" w:cs="Helvetica"/>
                <w:color w:val="333333"/>
                <w:szCs w:val="21"/>
                <w:shd w:val="clear" w:color="auto" w:fill="FFFFFF"/>
              </w:rPr>
              <w:t>Ei-Compendex</w:t>
            </w:r>
          </w:p>
        </w:tc>
        <w:tc>
          <w:tcPr>
            <w:tcW w:w="2064" w:type="dxa"/>
            <w:noWrap w:val="0"/>
            <w:vAlign w:val="top"/>
          </w:tcPr>
          <w:p>
            <w:pPr>
              <w:rPr>
                <w:rFonts w:ascii="宋体" w:hAnsi="宋体" w:hint="eastAsia"/>
                <w:color w:val="0000FF"/>
              </w:rPr>
            </w:pPr>
            <w:r>
              <w:t>202</w:t>
            </w:r>
            <w:r>
              <w:rPr>
                <w:rFonts w:hint="eastAsia"/>
              </w:rPr>
              <w:t>4</w:t>
            </w:r>
            <w:r>
              <w:t>.7.1-202</w:t>
            </w:r>
            <w:r>
              <w:rPr>
                <w:rFonts w:hint="eastAsia"/>
              </w:rPr>
              <w:t>5</w:t>
            </w:r>
            <w:r>
              <w:t>.6.30</w:t>
            </w:r>
          </w:p>
        </w:tc>
        <w:tc>
          <w:tcPr>
            <w:tcW w:w="3075" w:type="dxa"/>
            <w:noWrap w:val="0"/>
            <w:vAlign w:val="center"/>
          </w:tcPr>
          <w:p>
            <w:pPr>
              <w:rPr>
                <w:rFonts w:ascii="宋体" w:hAnsi="宋体" w:hint="eastAsia"/>
              </w:rPr>
            </w:pPr>
            <w:r>
              <w:rPr>
                <w:rFonts w:ascii="宋体" w:hAnsi="宋体" w:hint="eastAsia"/>
              </w:rPr>
              <w:t>全库一年访问</w:t>
            </w:r>
          </w:p>
        </w:tc>
      </w:tr>
      <w:tr>
        <w:tblPrEx>
          <w:tblW w:w="7776" w:type="dxa"/>
          <w:tblInd w:w="0" w:type="dxa"/>
          <w:tblCellMar>
            <w:top w:w="0" w:type="dxa"/>
            <w:left w:w="108" w:type="dxa"/>
            <w:bottom w:w="0" w:type="dxa"/>
            <w:right w:w="108" w:type="dxa"/>
          </w:tblCellMar>
        </w:tblPrEx>
        <w:tc>
          <w:tcPr>
            <w:tcW w:w="2637" w:type="dxa"/>
            <w:noWrap w:val="0"/>
            <w:vAlign w:val="center"/>
          </w:tcPr>
          <w:p>
            <w:pPr>
              <w:rPr>
                <w:rFonts w:ascii="宋体" w:hAnsi="宋体" w:hint="eastAsia"/>
              </w:rPr>
            </w:pPr>
            <w:r>
              <w:rPr>
                <w:rFonts w:ascii="宋体" w:hAnsi="宋体" w:hint="eastAsia"/>
              </w:rPr>
              <w:t>IEL</w:t>
            </w:r>
          </w:p>
        </w:tc>
        <w:tc>
          <w:tcPr>
            <w:tcW w:w="2064" w:type="dxa"/>
            <w:noWrap w:val="0"/>
            <w:vAlign w:val="top"/>
          </w:tcPr>
          <w:p>
            <w:pPr>
              <w:rPr>
                <w:rFonts w:ascii="宋体" w:hAnsi="宋体" w:hint="eastAsia"/>
                <w:color w:val="0000FF"/>
              </w:rPr>
            </w:pPr>
            <w:r>
              <w:rPr>
                <w:rFonts w:hint="eastAsia"/>
              </w:rPr>
              <w:t>2024.7.1-2025.6.30</w:t>
            </w:r>
          </w:p>
        </w:tc>
        <w:tc>
          <w:tcPr>
            <w:tcW w:w="3075" w:type="dxa"/>
            <w:noWrap w:val="0"/>
            <w:vAlign w:val="center"/>
          </w:tcPr>
          <w:p>
            <w:pPr>
              <w:rPr>
                <w:rFonts w:ascii="宋体" w:hAnsi="宋体" w:hint="eastAsia"/>
              </w:rPr>
            </w:pPr>
            <w:r>
              <w:rPr>
                <w:rFonts w:ascii="宋体" w:hAnsi="宋体" w:hint="eastAsia"/>
              </w:rPr>
              <w:t>全库一年访问</w:t>
            </w:r>
          </w:p>
        </w:tc>
      </w:tr>
      <w:tr>
        <w:tblPrEx>
          <w:tblW w:w="7776" w:type="dxa"/>
          <w:tblInd w:w="0" w:type="dxa"/>
          <w:tblCellMar>
            <w:top w:w="0" w:type="dxa"/>
            <w:left w:w="108" w:type="dxa"/>
            <w:bottom w:w="0" w:type="dxa"/>
            <w:right w:w="108" w:type="dxa"/>
          </w:tblCellMar>
        </w:tblPrEx>
        <w:tc>
          <w:tcPr>
            <w:tcW w:w="2637" w:type="dxa"/>
            <w:noWrap w:val="0"/>
            <w:vAlign w:val="center"/>
          </w:tcPr>
          <w:p>
            <w:pPr>
              <w:rPr>
                <w:rFonts w:ascii="Helvetica" w:eastAsia="Helvetica" w:hAnsi="Helvetica" w:cs="Helvetica"/>
                <w:color w:val="333333"/>
                <w:szCs w:val="21"/>
                <w:shd w:val="clear" w:color="auto" w:fill="FFFFFF"/>
              </w:rPr>
            </w:pPr>
            <w:r>
              <w:rPr>
                <w:rFonts w:ascii="Helvetica" w:eastAsia="Helvetica" w:hAnsi="Helvetica" w:cs="Helvetica" w:hint="eastAsia"/>
                <w:color w:val="333333"/>
                <w:szCs w:val="21"/>
                <w:shd w:val="clear" w:color="auto" w:fill="FFFFFF"/>
              </w:rPr>
              <w:t>SciFinder</w:t>
            </w:r>
          </w:p>
        </w:tc>
        <w:tc>
          <w:tcPr>
            <w:tcW w:w="2064" w:type="dxa"/>
            <w:noWrap w:val="0"/>
            <w:vAlign w:val="top"/>
          </w:tcPr>
          <w:p>
            <w:pPr>
              <w:rPr>
                <w:rFonts w:hint="eastAsia"/>
              </w:rPr>
            </w:pPr>
            <w:r>
              <w:rPr>
                <w:rFonts w:hint="eastAsia"/>
              </w:rPr>
              <w:t>2024.7.1-2025.6.30</w:t>
            </w:r>
          </w:p>
        </w:tc>
        <w:tc>
          <w:tcPr>
            <w:tcW w:w="3075" w:type="dxa"/>
            <w:noWrap w:val="0"/>
            <w:vAlign w:val="center"/>
          </w:tcPr>
          <w:p>
            <w:pPr>
              <w:rPr>
                <w:rFonts w:ascii="宋体" w:hAnsi="宋体" w:hint="eastAsia"/>
              </w:rPr>
            </w:pPr>
            <w:r>
              <w:rPr>
                <w:rFonts w:ascii="宋体" w:hAnsi="宋体" w:hint="eastAsia"/>
              </w:rPr>
              <w:t>全库一年访问</w:t>
            </w:r>
          </w:p>
        </w:tc>
      </w:tr>
    </w:tbl>
    <w:p>
      <w:pPr>
        <w:snapToGrid w:val="0"/>
        <w:spacing w:line="360" w:lineRule="auto"/>
        <w:jc w:val="left"/>
        <w:rPr>
          <w:rFonts w:hint="eastAsia"/>
        </w:rPr>
      </w:pPr>
    </w:p>
    <w:p>
      <w:pPr>
        <w:snapToGrid w:val="0"/>
        <w:spacing w:line="360" w:lineRule="auto"/>
        <w:ind w:firstLine="480" w:firstLineChars="200"/>
        <w:jc w:val="left"/>
        <w:rPr>
          <w:rFonts w:hint="eastAsia"/>
          <w:color w:val="auto"/>
        </w:rPr>
      </w:pPr>
      <w:r>
        <w:rPr>
          <w:rFonts w:hint="eastAsia"/>
        </w:rPr>
        <w:t>1.  EBSCO（ASC+BSC）：</w:t>
      </w:r>
      <w:r>
        <w:rPr>
          <w:rFonts w:hint="eastAsia"/>
          <w:color w:val="auto"/>
        </w:rPr>
        <w:t>EBSCO的ASC (Academic Search Complete)数据库涵盖学科包括生物科学、工程技术、社会科学、心理学、教育、法律、医学、语言学、人文、信息科技、通讯传播、公共管理、历史学、计算机科学、军事、文化、健康卫生医疗、宗教与神学、艺术、视觉传达、表演、哲学、各国文学等等；收录不少于18800种期刊的索摘，提供不少于8800种全文期刊（同行评审[peer-reviewed]不少于7600种），包括不少于790种非期刊类全文出版物（如书籍、报告及会议论文等）。BSC (Business Source Complete)数据库涵盖学科包括营销、管理、管理信息系统（MIS）、生产与作业管理（POM）、会计、金融、经济等。BSC收录不少于3700种期刊全文（包括不少于1800种同行评审期刊）。除此之外，数据库还收录不少于600种书籍专著，不少于1100份国家经济报告，不少于8700份行业报告，不少于2300份市场研究报告，不少于5600份SWOT分析等。</w:t>
      </w:r>
    </w:p>
    <w:p>
      <w:pPr>
        <w:snapToGrid w:val="0"/>
        <w:spacing w:line="360" w:lineRule="auto"/>
        <w:ind w:firstLine="480" w:firstLineChars="200"/>
        <w:jc w:val="left"/>
        <w:rPr>
          <w:rFonts w:hint="eastAsia"/>
          <w:color w:val="auto"/>
        </w:rPr>
      </w:pPr>
      <w:r>
        <w:rPr>
          <w:rFonts w:hint="eastAsia"/>
          <w:color w:val="auto"/>
        </w:rPr>
        <w:t xml:space="preserve">2.  </w:t>
      </w:r>
      <w:r>
        <w:rPr>
          <w:color w:val="auto"/>
        </w:rPr>
        <w:t>EBSCO VSP</w:t>
      </w:r>
      <w:r>
        <w:rPr>
          <w:rFonts w:hint="eastAsia"/>
          <w:color w:val="auto"/>
        </w:rPr>
        <w:t>：EBSCO的</w:t>
      </w:r>
      <w:r>
        <w:rPr>
          <w:color w:val="auto"/>
        </w:rPr>
        <w:t>VSP (Vocational Studies Premier)</w:t>
      </w:r>
      <w:r>
        <w:rPr>
          <w:rFonts w:hint="eastAsia"/>
          <w:color w:val="auto"/>
        </w:rPr>
        <w:t>职业技术教育全文数据库涵盖学科包括生物技术、计算机数据处理、皮肤护理与美容、电子工程、时尚设计、室内设计等。收录不少于</w:t>
      </w:r>
      <w:r>
        <w:rPr>
          <w:color w:val="auto"/>
        </w:rPr>
        <w:t>940</w:t>
      </w:r>
      <w:r>
        <w:rPr>
          <w:rFonts w:hint="eastAsia"/>
          <w:color w:val="auto"/>
        </w:rPr>
        <w:t>种全文期刊，除了收录全文期刊出版物之外，提供其他形式的全文出版物，包含多种专论书籍与多种研究报告</w:t>
      </w:r>
      <w:r>
        <w:rPr>
          <w:color w:val="auto"/>
        </w:rPr>
        <w:t>(</w:t>
      </w:r>
      <w:r>
        <w:rPr>
          <w:rFonts w:hint="eastAsia"/>
          <w:color w:val="auto"/>
        </w:rPr>
        <w:t>市场研究报告、财务报告、教育报告</w:t>
      </w:r>
      <w:r>
        <w:rPr>
          <w:color w:val="auto"/>
        </w:rPr>
        <w:t>)</w:t>
      </w:r>
      <w:r>
        <w:rPr>
          <w:rFonts w:hint="eastAsia"/>
          <w:color w:val="auto"/>
        </w:rPr>
        <w:t>等。</w:t>
      </w:r>
    </w:p>
    <w:p>
      <w:pPr>
        <w:snapToGrid w:val="0"/>
        <w:spacing w:line="360" w:lineRule="auto"/>
        <w:ind w:firstLine="480" w:firstLineChars="200"/>
        <w:jc w:val="left"/>
        <w:rPr>
          <w:color w:val="auto"/>
        </w:rPr>
      </w:pPr>
      <w:r>
        <w:rPr>
          <w:rFonts w:hint="eastAsia"/>
          <w:color w:val="auto"/>
        </w:rPr>
        <w:t xml:space="preserve">3.  </w:t>
      </w:r>
      <w:r>
        <w:rPr>
          <w:color w:val="auto"/>
        </w:rPr>
        <w:t xml:space="preserve">EBSCO </w:t>
      </w:r>
      <w:r>
        <w:rPr>
          <w:rFonts w:hint="eastAsia"/>
          <w:color w:val="auto"/>
        </w:rPr>
        <w:t>ARR</w:t>
      </w:r>
      <w:r>
        <w:rPr>
          <w:color w:val="auto"/>
        </w:rPr>
        <w:t>C</w:t>
      </w:r>
      <w:r>
        <w:rPr>
          <w:rFonts w:hint="eastAsia"/>
          <w:color w:val="auto"/>
        </w:rPr>
        <w:t>：</w:t>
      </w:r>
      <w:r>
        <w:rPr>
          <w:color w:val="auto"/>
        </w:rPr>
        <w:t>EBSCO </w:t>
      </w:r>
      <w:r>
        <w:rPr>
          <w:rFonts w:hint="eastAsia"/>
          <w:color w:val="auto"/>
        </w:rPr>
        <w:t>的ARRC（现更名为</w:t>
      </w:r>
      <w:r>
        <w:rPr>
          <w:color w:val="auto"/>
        </w:rPr>
        <w:t>Small Engine Repair Source</w:t>
      </w:r>
      <w:r>
        <w:rPr>
          <w:rFonts w:hint="eastAsia"/>
          <w:color w:val="auto"/>
        </w:rPr>
        <w:t>）数据库涵盖学科包括引擎维修。数据库提供各种型号小型引擎维修指南信息，收录不少于</w:t>
      </w:r>
      <w:r>
        <w:rPr>
          <w:color w:val="auto"/>
        </w:rPr>
        <w:t>450</w:t>
      </w:r>
      <w:r>
        <w:rPr>
          <w:rFonts w:hint="eastAsia"/>
          <w:color w:val="auto"/>
        </w:rPr>
        <w:t>种带有原始照片和插图的全文参考书、超过</w:t>
      </w:r>
      <w:r>
        <w:rPr>
          <w:color w:val="auto"/>
        </w:rPr>
        <w:t>25</w:t>
      </w:r>
      <w:r>
        <w:rPr>
          <w:rFonts w:hint="eastAsia"/>
          <w:color w:val="auto"/>
        </w:rPr>
        <w:t>年的发动机型号信息、不少于</w:t>
      </w:r>
      <w:r>
        <w:rPr>
          <w:color w:val="auto"/>
        </w:rPr>
        <w:t>90,000</w:t>
      </w:r>
      <w:r>
        <w:rPr>
          <w:rFonts w:hint="eastAsia"/>
          <w:color w:val="auto"/>
        </w:rPr>
        <w:t>多个维修信息，全套</w:t>
      </w:r>
      <w:r>
        <w:rPr>
          <w:color w:val="auto"/>
        </w:rPr>
        <w:t>Clymer</w:t>
      </w:r>
      <w:r>
        <w:rPr>
          <w:rFonts w:hint="eastAsia"/>
          <w:color w:val="auto"/>
        </w:rPr>
        <w:t>维修手册，接线图，说明书，维护表，工时指南与评估等。</w:t>
      </w:r>
    </w:p>
    <w:p>
      <w:pPr>
        <w:snapToGrid w:val="0"/>
        <w:spacing w:line="360" w:lineRule="auto"/>
        <w:ind w:firstLine="480" w:firstLineChars="200"/>
        <w:jc w:val="left"/>
        <w:rPr>
          <w:rFonts w:hint="eastAsia"/>
          <w:color w:val="auto"/>
        </w:rPr>
      </w:pPr>
      <w:r>
        <w:rPr>
          <w:rFonts w:hint="eastAsia"/>
          <w:color w:val="auto"/>
        </w:rPr>
        <w:t>4.  Emerald：Emerald数据库涵盖学科包括经济健康与社会关怀、图书馆研究、信息与知识管理、会计金融与经济学、商业管理与战略、市场营销、人力资源与组织研究、旅游管理等学科。内容涵盖财政、金融、法律、工程技术、管理学与管理技术、国家行政管理、护理学、会计、审计、计算技术、计算机技术、教育、体育、经济计划与管理、控制论、信息论(数学理论)、临床医学、旅游经济、贸易经济、农业经济、农业科学、企业经济、情报学与情报工作、人类学、社会学、神经病学与精神病学、世界各国文化与文化事业、特种医学、图书馆学、无线电电子学、电信技术、心理学、药学、医药卫生、预防医学、卫生学等。提供全文期刊不少于200种。</w:t>
      </w:r>
    </w:p>
    <w:p>
      <w:pPr>
        <w:snapToGrid w:val="0"/>
        <w:spacing w:line="360" w:lineRule="auto"/>
        <w:ind w:firstLine="480" w:firstLineChars="200"/>
        <w:jc w:val="left"/>
        <w:rPr>
          <w:rFonts w:hint="eastAsia"/>
        </w:rPr>
      </w:pPr>
      <w:r>
        <w:rPr>
          <w:rFonts w:hint="eastAsia"/>
          <w:color w:val="auto"/>
        </w:rPr>
        <w:t>5.  MyLoft：MyLOFT 提供一个图书馆电子资源远程访问工具，支持用户在电脑端对所在机构已订购电子资源进行远程访问，帮助用户通过一个窗口管理并访问各种类型的电子资源内容（电子期刊、电子</w:t>
      </w:r>
      <w:r>
        <w:rPr>
          <w:rFonts w:hint="eastAsia"/>
        </w:rPr>
        <w:t>图书以及数值类/事实类数据库等），提供多个外文数据库和中文数据库的共享访问。其中支持深圳职业技术大学订购的：EBSCO（ASC+BSP）、EBSCO VSP、EBSCO ARRC、Emerald数据库、SPRINGER电子期刊、Web of Science、WGSN服装潮流资讯数据库、中国知网、维普中文期刊服务平台、万方数据、超星电子图书、超星学术视频、读秀学术搜索、国研网、库客数字音乐图书馆、新东方多媒体学习库、百度文库、中宏产业研究平台、爱迪科森网上报告厅等数据库的远程共享访问。</w:t>
      </w:r>
    </w:p>
    <w:p>
      <w:pPr>
        <w:snapToGrid w:val="0"/>
        <w:spacing w:line="360" w:lineRule="auto"/>
        <w:ind w:firstLine="480" w:firstLineChars="200"/>
        <w:jc w:val="left"/>
        <w:rPr>
          <w:rFonts w:hint="eastAsia"/>
          <w:color w:val="auto"/>
        </w:rPr>
      </w:pPr>
      <w:r>
        <w:rPr>
          <w:rFonts w:hint="eastAsia"/>
        </w:rPr>
        <w:t>6.  Web of Science（SSCI部分）：We</w:t>
      </w:r>
      <w:r>
        <w:rPr>
          <w:rFonts w:hint="eastAsia"/>
          <w:color w:val="auto"/>
        </w:rPr>
        <w:t>b of Science的SSCI数据库涵盖学科包括: 人类学、家庭研究、信息科学与图书固安科学、社会问题、商业、地理学、语言与语言学、社会工作、通讯与传播、老年医学和老年病学、法律、社会学等58个学科领域, 可以为国内广大社会科学领域的研究人员提供不少于3,500种社会科学权威学术期刊论文, 数据可回溯至1900年。支持基本检索、高级检索、作者检索、被引参考文献检索和化学结构检索等多种检索方式。</w:t>
      </w:r>
    </w:p>
    <w:p>
      <w:pPr>
        <w:snapToGrid w:val="0"/>
        <w:spacing w:line="360" w:lineRule="auto"/>
        <w:ind w:firstLine="480" w:firstLineChars="200"/>
        <w:jc w:val="left"/>
        <w:rPr>
          <w:rFonts w:hint="eastAsia"/>
          <w:color w:val="auto"/>
        </w:rPr>
      </w:pPr>
      <w:r>
        <w:rPr>
          <w:rFonts w:hint="eastAsia"/>
          <w:color w:val="auto"/>
        </w:rPr>
        <w:t xml:space="preserve">7.  </w:t>
      </w:r>
      <w:r>
        <w:rPr>
          <w:color w:val="auto"/>
        </w:rPr>
        <w:t>Ei-Compendex</w:t>
      </w:r>
      <w:r>
        <w:rPr>
          <w:rFonts w:hint="eastAsia"/>
          <w:color w:val="auto"/>
        </w:rPr>
        <w:t>：</w:t>
      </w:r>
      <w:r>
        <w:rPr>
          <w:color w:val="auto"/>
        </w:rPr>
        <w:t>Ei-Compendex</w:t>
      </w:r>
      <w:r>
        <w:rPr>
          <w:rFonts w:hint="eastAsia"/>
          <w:color w:val="auto"/>
        </w:rPr>
        <w:t>（简称</w:t>
      </w:r>
      <w:r>
        <w:rPr>
          <w:color w:val="auto"/>
        </w:rPr>
        <w:t>E</w:t>
      </w:r>
      <w:r>
        <w:rPr>
          <w:rFonts w:hint="eastAsia"/>
          <w:color w:val="auto"/>
        </w:rPr>
        <w:t>I）工程文献数据库涵盖学科包括核技术、环境工程、机械工程、土木工程、电气工程、结构工程、材料科学、固体物理、超导体、生物工程、能源、化学和工艺工程、照明和光学技术、空气和水污染、固体废弃物的处理、道路交通、运输安全、控制工程、工程管理、农业工程和食品技术、计算机和数据处理、电子和通信、石油、宇航、汽车工程以及这些领域的子学科和其他主要的工程领域等。收录不少于</w:t>
      </w:r>
      <w:r>
        <w:rPr>
          <w:color w:val="auto"/>
        </w:rPr>
        <w:t>190</w:t>
      </w:r>
      <w:r>
        <w:rPr>
          <w:rFonts w:hint="eastAsia"/>
          <w:color w:val="auto"/>
        </w:rPr>
        <w:t>余个工程学科，来自不少于</w:t>
      </w:r>
      <w:r>
        <w:rPr>
          <w:color w:val="auto"/>
        </w:rPr>
        <w:t>77</w:t>
      </w:r>
      <w:r>
        <w:rPr>
          <w:rFonts w:hint="eastAsia"/>
          <w:color w:val="auto"/>
        </w:rPr>
        <w:t>余个国家的不少于</w:t>
      </w:r>
      <w:r>
        <w:rPr>
          <w:color w:val="auto"/>
        </w:rPr>
        <w:t>3548</w:t>
      </w:r>
      <w:r>
        <w:rPr>
          <w:rFonts w:hint="eastAsia"/>
          <w:color w:val="auto"/>
        </w:rPr>
        <w:t>多万条记录。</w:t>
      </w:r>
    </w:p>
    <w:p>
      <w:pPr>
        <w:snapToGrid w:val="0"/>
        <w:spacing w:line="360" w:lineRule="auto"/>
        <w:ind w:firstLine="480" w:firstLineChars="200"/>
        <w:jc w:val="left"/>
        <w:rPr>
          <w:rFonts w:hint="eastAsia"/>
          <w:color w:val="auto"/>
        </w:rPr>
      </w:pPr>
      <w:r>
        <w:rPr>
          <w:rFonts w:hint="eastAsia"/>
          <w:color w:val="auto"/>
        </w:rPr>
        <w:t>8.  IEL：IEEE Electronic Library (IEL) 提供 IEEE 旗下的在线数字资源，通过智能的检索平台提供创新的文献信息。涵盖学科包括电气电子、航空航天、计算机、通信工程、生物医学工程、机器人自动化、半导体、纳米技术、电力、消费电子等各种技术领域。IEEE Electronic Library (IEL)数据库提供IEEE（电气电子工程师学会）出版的，不少于230余种期刊，总数达不少于410余种（包括停刊）；不少于420余万篇IEEE会议文献和不少于5000余份IEEE标准文档。</w:t>
      </w:r>
    </w:p>
    <w:p>
      <w:pPr>
        <w:snapToGrid w:val="0"/>
        <w:spacing w:line="360" w:lineRule="auto"/>
        <w:ind w:firstLine="480" w:firstLineChars="200"/>
        <w:jc w:val="left"/>
        <w:rPr>
          <w:rFonts w:hint="eastAsia"/>
        </w:rPr>
      </w:pPr>
      <w:r>
        <w:rPr>
          <w:rFonts w:hint="eastAsia"/>
          <w:color w:val="auto"/>
        </w:rPr>
        <w:t>9.  SciFinder：SciFinder数据库涵盖学科包括化学、生物、医药、材料、食品、应用化学、化学工程、农学、高分子、物理等；收录的文献类型包括期刊、专利、会议论文、学位论文、图书、技术报告、评论、预印本和网络资源等。SciFinder涵盖不少于180个国家、不少于50种语言出版的文献及不少于109家专利授权机构的专利。SciFinder涵盖不少于6220</w:t>
      </w:r>
      <w:r>
        <w:rPr>
          <w:rFonts w:hint="eastAsia"/>
        </w:rPr>
        <w:t>万化学及相关学科文献、不少于2.04亿化学物质、不少于1.5亿化学反应、不少于139万来自专利的马库什结构、不少于13亿生物序列、化学品商业信息及管控信息，最早回溯至1840年。</w:t>
      </w:r>
    </w:p>
    <w:p>
      <w:pPr>
        <w:pStyle w:val="BodyText"/>
        <w:pageBreakBefore w:val="0"/>
        <w:widowControl/>
        <w:kinsoku/>
        <w:wordWrap/>
        <w:overflowPunct/>
        <w:topLinePunct w:val="0"/>
        <w:autoSpaceDE/>
        <w:autoSpaceDN/>
        <w:bidi w:val="0"/>
        <w:spacing w:line="360" w:lineRule="auto"/>
        <w:ind w:firstLine="480" w:firstLineChars="200"/>
        <w:textAlignment w:val="auto"/>
        <w:rPr>
          <w:rFonts w:hint="eastAsia"/>
          <w:szCs w:val="21"/>
        </w:rPr>
      </w:pPr>
      <w:r>
        <w:rPr>
          <w:rFonts w:hint="eastAsia"/>
          <w:szCs w:val="21"/>
        </w:rPr>
        <w:t>▲（二）访问数据库有国际访问专线，数据库稳定。</w:t>
      </w:r>
    </w:p>
    <w:p>
      <w:pPr>
        <w:snapToGrid w:val="0"/>
        <w:spacing w:line="360" w:lineRule="auto"/>
        <w:ind w:firstLine="480" w:firstLineChars="200"/>
        <w:jc w:val="left"/>
        <w:rPr>
          <w:rFonts w:hint="eastAsia"/>
        </w:rPr>
      </w:pPr>
      <w:r>
        <w:t>外文数字资源在线使用</w:t>
      </w:r>
      <w:r>
        <w:rPr>
          <w:rFonts w:hint="eastAsia"/>
        </w:rPr>
        <w:t>过程中，能提供访问数据库的国际访问专线，数据库稳定，保证</w:t>
      </w:r>
      <w:r>
        <w:t>数据信息在网络中传送时不受任何干扰</w:t>
      </w:r>
      <w:r>
        <w:rPr>
          <w:rFonts w:hint="eastAsia"/>
        </w:rPr>
        <w:t>，</w:t>
      </w:r>
      <w:r>
        <w:t>线路稳定可靠、安全性高、保密性好</w:t>
      </w:r>
      <w:r>
        <w:rPr>
          <w:rFonts w:hint="eastAsia"/>
        </w:rPr>
        <w:t>，同时</w:t>
      </w:r>
      <w:r>
        <w:t>支持多种语言界面及协议转换等。</w:t>
      </w:r>
    </w:p>
    <w:p>
      <w:pPr>
        <w:pStyle w:val="BodyText"/>
        <w:pageBreakBefore w:val="0"/>
        <w:widowControl/>
        <w:kinsoku/>
        <w:wordWrap/>
        <w:overflowPunct/>
        <w:topLinePunct w:val="0"/>
        <w:autoSpaceDE/>
        <w:autoSpaceDN/>
        <w:bidi w:val="0"/>
        <w:spacing w:line="360" w:lineRule="auto"/>
        <w:ind w:firstLine="480" w:firstLineChars="200"/>
        <w:textAlignment w:val="auto"/>
        <w:rPr>
          <w:rFonts w:hint="eastAsia"/>
          <w:szCs w:val="21"/>
        </w:rPr>
      </w:pPr>
      <w:r>
        <w:rPr>
          <w:rFonts w:hint="eastAsia"/>
          <w:szCs w:val="21"/>
        </w:rPr>
        <w:t>▲（三）数字资源数据内容符合国家出版总署要求标准，无违禁内容。</w:t>
      </w:r>
    </w:p>
    <w:p>
      <w:pPr>
        <w:snapToGrid w:val="0"/>
        <w:spacing w:line="360" w:lineRule="auto"/>
        <w:ind w:firstLine="480" w:firstLineChars="200"/>
        <w:jc w:val="left"/>
      </w:pPr>
      <w:r>
        <w:rPr>
          <w:rFonts w:hint="eastAsia"/>
        </w:rPr>
        <w:t>相关</w:t>
      </w:r>
      <w:r>
        <w:t>外文</w:t>
      </w:r>
      <w:r>
        <w:rPr>
          <w:rFonts w:hint="eastAsia"/>
        </w:rPr>
        <w:t>数字资源数据内容必须符合国家出版总署要求标准，无违禁内容，如有违规必须在规定的时间内进行及时整改。</w:t>
      </w:r>
    </w:p>
    <w:p>
      <w:pPr>
        <w:snapToGrid w:val="0"/>
        <w:spacing w:line="360" w:lineRule="auto"/>
        <w:ind w:firstLine="480" w:firstLineChars="200"/>
        <w:jc w:val="left"/>
        <w:rPr>
          <w:rFonts w:hint="eastAsia"/>
          <w:b/>
          <w:bCs/>
        </w:rPr>
      </w:pPr>
      <w:r>
        <w:rPr>
          <w:rFonts w:hint="eastAsia"/>
          <w:b/>
          <w:bCs/>
        </w:rPr>
        <w:t>（四）支持深圳职业技术大学师生各校区内访问。</w:t>
      </w:r>
    </w:p>
    <w:p>
      <w:pPr>
        <w:snapToGrid w:val="0"/>
        <w:spacing w:line="360" w:lineRule="auto"/>
        <w:ind w:firstLine="480" w:firstLineChars="200"/>
        <w:jc w:val="left"/>
        <w:rPr>
          <w:rFonts w:hint="eastAsia"/>
        </w:rPr>
      </w:pPr>
      <w:r>
        <w:rPr>
          <w:rFonts w:hint="eastAsia"/>
        </w:rPr>
        <w:t>1. 根据深圳职业技术大学图书馆提供的IP段信息，支持深圳职业技术大学各校区内访问数字资源的终端设备使用。IP段信息，包含有线网络、无线网络和临时租用网络等。</w:t>
      </w:r>
    </w:p>
    <w:p>
      <w:pPr>
        <w:snapToGrid w:val="0"/>
        <w:spacing w:line="360" w:lineRule="auto"/>
        <w:ind w:firstLine="480" w:firstLineChars="200"/>
        <w:jc w:val="left"/>
        <w:rPr>
          <w:rFonts w:hint="eastAsia"/>
        </w:rPr>
      </w:pPr>
      <w:r>
        <w:rPr>
          <w:rFonts w:hint="eastAsia"/>
        </w:rPr>
        <w:t>2、深圳职业技术大学图书馆提供IP段更新信息后，需在2个工作日内完成数字资源IP认证信息更新。</w:t>
      </w:r>
    </w:p>
    <w:p>
      <w:pPr>
        <w:snapToGrid w:val="0"/>
        <w:spacing w:line="360" w:lineRule="auto"/>
        <w:ind w:firstLine="480" w:firstLineChars="200"/>
        <w:jc w:val="left"/>
        <w:rPr>
          <w:rFonts w:hint="eastAsia"/>
        </w:rPr>
      </w:pPr>
      <w:r>
        <w:rPr>
          <w:rFonts w:hint="eastAsia"/>
        </w:rPr>
        <w:t>3、在IP范围内师生可直接登录使用，无并发用户限制。</w:t>
      </w:r>
    </w:p>
    <w:p>
      <w:pPr>
        <w:snapToGrid w:val="0"/>
        <w:spacing w:line="360" w:lineRule="auto"/>
        <w:ind w:firstLine="480" w:firstLineChars="200"/>
        <w:jc w:val="left"/>
        <w:rPr>
          <w:rFonts w:hint="eastAsia"/>
          <w:b/>
          <w:bCs/>
        </w:rPr>
      </w:pPr>
      <w:r>
        <w:rPr>
          <w:rFonts w:hint="eastAsia"/>
          <w:b/>
          <w:bCs/>
        </w:rPr>
        <w:t>（五）支持深圳职业技术大学师生通过VPN访问。</w:t>
      </w:r>
    </w:p>
    <w:p>
      <w:pPr>
        <w:snapToGrid w:val="0"/>
        <w:spacing w:line="360" w:lineRule="auto"/>
        <w:ind w:firstLine="480" w:firstLineChars="200"/>
        <w:jc w:val="left"/>
        <w:rPr>
          <w:rFonts w:hint="eastAsia"/>
        </w:rPr>
      </w:pPr>
      <w:r>
        <w:rPr>
          <w:rFonts w:hint="eastAsia"/>
        </w:rPr>
        <w:t>除了MyLoft外，必须保证支持深圳职业技术大学现有VPN访问所有相关数据（包括EASYCONNECT、WEBVPN、SMARTVPN等）。</w:t>
      </w:r>
    </w:p>
    <w:p>
      <w:pPr>
        <w:snapToGrid w:val="0"/>
        <w:spacing w:line="360" w:lineRule="auto"/>
        <w:ind w:firstLine="480" w:firstLineChars="200"/>
        <w:jc w:val="left"/>
        <w:rPr>
          <w:rFonts w:hint="eastAsia"/>
          <w:b/>
          <w:bCs/>
        </w:rPr>
      </w:pPr>
      <w:r>
        <w:rPr>
          <w:rFonts w:hint="eastAsia"/>
          <w:b/>
          <w:bCs/>
        </w:rPr>
        <w:t>（六）提供数字资源访问数据。</w:t>
      </w:r>
    </w:p>
    <w:p>
      <w:pPr>
        <w:snapToGrid w:val="0"/>
        <w:spacing w:line="360" w:lineRule="auto"/>
        <w:ind w:firstLine="480" w:firstLineChars="200"/>
        <w:jc w:val="left"/>
        <w:rPr>
          <w:rFonts w:hint="eastAsia"/>
        </w:rPr>
      </w:pPr>
      <w:r>
        <w:rPr>
          <w:rFonts w:hint="eastAsia"/>
        </w:rPr>
        <w:t>1、按图书馆要求提供符合标准的访问统计数据。</w:t>
      </w:r>
    </w:p>
    <w:p>
      <w:pPr>
        <w:snapToGrid w:val="0"/>
        <w:spacing w:line="360" w:lineRule="auto"/>
        <w:ind w:firstLine="480" w:firstLineChars="200"/>
        <w:jc w:val="left"/>
      </w:pPr>
      <w:r>
        <w:rPr>
          <w:rFonts w:hint="eastAsia"/>
        </w:rPr>
        <w:t>2、提供各数字资源管理入口和帐号，供图书馆管理员获取访问数据。</w:t>
      </w:r>
    </w:p>
    <w:p>
      <w:pPr>
        <w:pStyle w:val="Heading3"/>
        <w:jc w:val="center"/>
        <w:rPr>
          <w:rFonts w:cs="宋体"/>
          <w:szCs w:val="21"/>
          <w:highlight w:val="none"/>
        </w:rPr>
      </w:pPr>
      <w:r>
        <w:rPr>
          <w:rFonts w:cs="宋体" w:hint="eastAsia"/>
          <w:szCs w:val="21"/>
          <w:highlight w:val="none"/>
          <w:lang w:val="en-US" w:eastAsia="zh-CN"/>
        </w:rPr>
        <w:t>七</w:t>
      </w:r>
      <w:r>
        <w:rPr>
          <w:rFonts w:cs="宋体" w:hint="eastAsia"/>
          <w:szCs w:val="21"/>
          <w:highlight w:val="none"/>
        </w:rPr>
        <w:t>、项目商务要求</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
          <w:bCs w:val="0"/>
          <w:szCs w:val="24"/>
          <w:highlight w:val="none"/>
          <w:lang w:eastAsia="zh-CN"/>
        </w:rPr>
        <w:t>（</w:t>
      </w:r>
      <w:r>
        <w:rPr>
          <w:rFonts w:ascii="宋体" w:eastAsia="宋体" w:hAnsi="宋体" w:cs="宋体" w:hint="eastAsia"/>
          <w:b/>
          <w:bCs w:val="0"/>
          <w:szCs w:val="24"/>
          <w:highlight w:val="none"/>
          <w:lang w:val="en-US" w:eastAsia="zh-CN"/>
        </w:rPr>
        <w:t>一</w:t>
      </w:r>
      <w:r>
        <w:rPr>
          <w:rFonts w:ascii="宋体" w:eastAsia="宋体" w:hAnsi="宋体" w:cs="宋体" w:hint="eastAsia"/>
          <w:b/>
          <w:bCs w:val="0"/>
          <w:szCs w:val="24"/>
          <w:highlight w:val="none"/>
          <w:lang w:eastAsia="zh-CN"/>
        </w:rPr>
        <w:t>）</w:t>
      </w:r>
      <w:r>
        <w:rPr>
          <w:rFonts w:ascii="宋体" w:eastAsia="宋体" w:hAnsi="宋体" w:cs="宋体" w:hint="eastAsia"/>
          <w:b/>
          <w:bCs w:val="0"/>
          <w:szCs w:val="24"/>
          <w:highlight w:val="none"/>
        </w:rPr>
        <w:t xml:space="preserve">★服务期限：    </w:t>
      </w:r>
      <w:r>
        <w:rPr>
          <w:rFonts w:ascii="宋体" w:eastAsia="宋体" w:hAnsi="宋体" w:cs="宋体" w:hint="eastAsia"/>
          <w:bCs/>
          <w:szCs w:val="24"/>
          <w:highlight w:val="none"/>
        </w:rPr>
        <w:t xml:space="preserve">                                  </w:t>
      </w:r>
    </w:p>
    <w:p>
      <w:pPr>
        <w:spacing w:line="360" w:lineRule="auto"/>
        <w:ind w:firstLine="480" w:firstLineChars="200"/>
        <w:rPr>
          <w:rFonts w:hint="eastAsia"/>
        </w:rPr>
      </w:pPr>
      <w:r>
        <w:rPr>
          <w:rFonts w:hint="eastAsia"/>
        </w:rPr>
        <w:t>本项目为非长期服务项目，自合同签订之日起20</w:t>
      </w:r>
      <w:r>
        <w:t>个工作日内</w:t>
      </w:r>
      <w:r>
        <w:rPr>
          <w:rFonts w:hint="eastAsia"/>
        </w:rPr>
        <w:t>交付（提供资源远程访问权限，资源访问时间见具体技术要求），免费维护期限1年。</w:t>
      </w:r>
    </w:p>
    <w:p>
      <w:pPr>
        <w:pStyle w:val="NormalIndent"/>
        <w:spacing w:before="60" w:beforeLines="25" w:after="60" w:afterLines="25" w:line="360" w:lineRule="auto"/>
        <w:ind w:firstLine="449" w:firstLineChars="187"/>
        <w:rPr>
          <w:rFonts w:ascii="宋体" w:eastAsia="宋体" w:hAnsi="宋体" w:cs="宋体" w:hint="eastAsia"/>
          <w:b/>
          <w:bCs w:val="0"/>
          <w:szCs w:val="24"/>
          <w:highlight w:val="none"/>
        </w:rPr>
      </w:pPr>
      <w:r>
        <w:rPr>
          <w:rFonts w:ascii="宋体" w:eastAsia="宋体" w:hAnsi="宋体" w:cs="宋体" w:hint="eastAsia"/>
          <w:b/>
          <w:bCs w:val="0"/>
          <w:szCs w:val="24"/>
          <w:highlight w:val="none"/>
        </w:rPr>
        <w:t>（二）质量考核验收标准</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rPr>
        <w:t>1</w:t>
      </w:r>
      <w:r>
        <w:rPr>
          <w:rFonts w:ascii="宋体" w:eastAsia="宋体" w:hAnsi="宋体" w:cs="宋体" w:hint="eastAsia"/>
          <w:bCs/>
          <w:szCs w:val="24"/>
          <w:highlight w:val="none"/>
          <w:lang w:val="en-US" w:eastAsia="zh-CN"/>
        </w:rPr>
        <w:t>.</w:t>
      </w:r>
      <w:r>
        <w:rPr>
          <w:rFonts w:ascii="宋体" w:eastAsia="宋体" w:hAnsi="宋体" w:cs="宋体" w:hint="eastAsia"/>
          <w:bCs/>
          <w:szCs w:val="24"/>
          <w:highlight w:val="none"/>
        </w:rPr>
        <w:t>质量考核验收标准：按照中标人承诺的服务内容、技术与商务响应条款及相关行业标准等逐项进行验收。</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rPr>
        <w:t>2．项目进度安排</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rPr>
        <w:t>合同签订后20个工作日内提供订购数字资源的远程访问，保证深职大师生的正常使用。</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rPr>
        <w:t>3．验收要求</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rPr>
        <w:t>保证深职大师生在学校IP范围内能正常访问及下载数字资源。</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rPr>
        <w:t>4.技术培训</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rPr>
        <w:t>根据深职大需求每个电子资源每年提供一至两次相关培训或讲座，并能提供实际有效的师生高效使用外文数据的详细使用说明书等。</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rPr>
        <w:t>5.售后服务：</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rPr>
        <w:t xml:space="preserve">  数字资源需保障7x24小时正常使用，如出现系统维护等情况，必须提前一个工作日通知。数字资源出现故障(不能登陆或者死锁)的情况，必须在3小时内响应，在24小时内解决。</w:t>
      </w:r>
    </w:p>
    <w:p>
      <w:pPr>
        <w:pStyle w:val="NormalIndent"/>
        <w:spacing w:before="60" w:beforeLines="25" w:after="60" w:afterLines="25" w:line="360" w:lineRule="auto"/>
        <w:ind w:firstLine="449" w:firstLineChars="187"/>
        <w:rPr>
          <w:rFonts w:ascii="宋体" w:eastAsia="宋体" w:hAnsi="宋体" w:cs="宋体" w:hint="eastAsia"/>
          <w:b/>
          <w:bCs w:val="0"/>
          <w:szCs w:val="24"/>
          <w:highlight w:val="none"/>
        </w:rPr>
      </w:pPr>
      <w:r>
        <w:rPr>
          <w:rFonts w:ascii="宋体" w:eastAsia="宋体" w:hAnsi="宋体" w:cs="宋体" w:hint="eastAsia"/>
          <w:b/>
          <w:bCs w:val="0"/>
          <w:szCs w:val="24"/>
          <w:highlight w:val="none"/>
        </w:rPr>
        <w:t>（</w:t>
      </w:r>
      <w:r>
        <w:rPr>
          <w:rFonts w:ascii="宋体" w:eastAsia="宋体" w:hAnsi="宋体" w:cs="宋体" w:hint="eastAsia"/>
          <w:b/>
          <w:bCs w:val="0"/>
          <w:szCs w:val="24"/>
          <w:highlight w:val="none"/>
          <w:lang w:val="en-US" w:eastAsia="zh-CN"/>
        </w:rPr>
        <w:t>三</w:t>
      </w:r>
      <w:r>
        <w:rPr>
          <w:rFonts w:ascii="宋体" w:eastAsia="宋体" w:hAnsi="宋体" w:cs="宋体" w:hint="eastAsia"/>
          <w:b/>
          <w:bCs w:val="0"/>
          <w:szCs w:val="24"/>
          <w:highlight w:val="none"/>
        </w:rPr>
        <w:t>）★付款方式</w:t>
      </w:r>
    </w:p>
    <w:p>
      <w:pPr>
        <w:spacing w:line="460" w:lineRule="exact"/>
        <w:ind w:firstLine="480" w:firstLineChars="200"/>
        <w:rPr>
          <w:rFonts w:hint="eastAsia"/>
        </w:rPr>
      </w:pPr>
      <w:r>
        <w:rPr>
          <w:rFonts w:eastAsia="宋体" w:hint="eastAsia"/>
          <w:lang w:val="en-US" w:eastAsia="zh-CN"/>
        </w:rPr>
        <w:t>1.</w:t>
      </w:r>
      <w:r>
        <w:rPr>
          <w:rFonts w:hint="eastAsia"/>
        </w:rPr>
        <w:t>本项目为跨年支付项目。</w:t>
      </w:r>
    </w:p>
    <w:p>
      <w:pPr>
        <w:spacing w:line="460" w:lineRule="exact"/>
        <w:ind w:firstLine="480" w:firstLineChars="200"/>
        <w:rPr>
          <w:rFonts w:ascii="宋体" w:eastAsia="宋体" w:hAnsi="宋体" w:cs="宋体" w:hint="eastAsia"/>
          <w:bCs/>
          <w:szCs w:val="24"/>
          <w:highlight w:val="none"/>
        </w:rPr>
      </w:pPr>
      <w:r>
        <w:rPr>
          <w:rFonts w:eastAsia="宋体" w:hint="eastAsia"/>
          <w:lang w:val="en-US" w:eastAsia="zh-CN"/>
        </w:rPr>
        <w:t>2.</w:t>
      </w:r>
      <w:r>
        <w:t>采购人在合同签订后</w:t>
      </w:r>
      <w:r>
        <w:rPr>
          <w:rFonts w:hint="eastAsia"/>
        </w:rPr>
        <w:t>20</w:t>
      </w:r>
      <w:r>
        <w:t>个工作日内向中标人支付合同总额的6</w:t>
      </w:r>
      <w:r>
        <w:rPr>
          <w:rFonts w:hint="eastAsia"/>
        </w:rPr>
        <w:t>0</w:t>
      </w:r>
      <w:r>
        <w:t>%作为预付款，中标人提供相应发票；</w:t>
      </w:r>
      <w:r>
        <w:rPr>
          <w:rFonts w:hint="eastAsia"/>
        </w:rPr>
        <w:t>第二年中标人维护期满且</w:t>
      </w:r>
      <w:r>
        <w:t>验收合格后</w:t>
      </w:r>
      <w:r>
        <w:rPr>
          <w:rFonts w:hint="eastAsia"/>
        </w:rPr>
        <w:t>20</w:t>
      </w:r>
      <w:r>
        <w:t>个工作日内采购人向中标人支付余款（即合同总额的4</w:t>
      </w:r>
      <w:r>
        <w:rPr>
          <w:rFonts w:hint="eastAsia"/>
        </w:rPr>
        <w:t>0</w:t>
      </w:r>
      <w:r>
        <w:t>%），中标人提供相应</w:t>
      </w:r>
      <w:r>
        <w:rPr>
          <w:color w:val="auto"/>
        </w:rPr>
        <w:t>发票</w:t>
      </w:r>
      <w:r>
        <w:rPr>
          <w:rFonts w:hint="eastAsia"/>
          <w:color w:val="auto"/>
        </w:rPr>
        <w:t>。</w:t>
      </w:r>
    </w:p>
    <w:p>
      <w:pPr>
        <w:pStyle w:val="NormalIndent"/>
        <w:spacing w:before="60" w:beforeLines="25" w:after="60" w:afterLines="25" w:line="360" w:lineRule="auto"/>
        <w:ind w:firstLine="449" w:firstLineChars="187"/>
        <w:rPr>
          <w:rFonts w:ascii="宋体" w:eastAsia="宋体" w:hAnsi="宋体" w:cs="宋体" w:hint="eastAsia"/>
          <w:b/>
          <w:bCs w:val="0"/>
          <w:szCs w:val="24"/>
          <w:highlight w:val="none"/>
        </w:rPr>
      </w:pPr>
      <w:r>
        <w:rPr>
          <w:rFonts w:ascii="宋体" w:eastAsia="宋体" w:hAnsi="宋体" w:cs="宋体" w:hint="eastAsia"/>
          <w:b/>
          <w:bCs w:val="0"/>
          <w:szCs w:val="24"/>
          <w:highlight w:val="none"/>
        </w:rPr>
        <w:t>（</w:t>
      </w:r>
      <w:r>
        <w:rPr>
          <w:rFonts w:ascii="宋体" w:eastAsia="宋体" w:hAnsi="宋体" w:cs="宋体" w:hint="eastAsia"/>
          <w:b/>
          <w:bCs w:val="0"/>
          <w:szCs w:val="24"/>
          <w:highlight w:val="none"/>
          <w:lang w:val="en-US" w:eastAsia="zh-CN"/>
        </w:rPr>
        <w:t>四</w:t>
      </w:r>
      <w:r>
        <w:rPr>
          <w:rFonts w:ascii="宋体" w:eastAsia="宋体" w:hAnsi="宋体" w:cs="宋体" w:hint="eastAsia"/>
          <w:b/>
          <w:bCs w:val="0"/>
          <w:szCs w:val="24"/>
          <w:highlight w:val="none"/>
        </w:rPr>
        <w:t>）违约责任</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lang w:val="en-US" w:eastAsia="zh-CN"/>
        </w:rPr>
        <w:t>1.</w:t>
      </w:r>
      <w:r>
        <w:rPr>
          <w:rFonts w:ascii="宋体" w:eastAsia="宋体" w:hAnsi="宋体" w:cs="宋体" w:hint="eastAsia"/>
          <w:bCs/>
          <w:szCs w:val="24"/>
          <w:highlight w:val="none"/>
        </w:rPr>
        <w:t>合同生效后，中标人逾期提供服务，采购人可向中标人主张每日支付合同总价千分之三的违约金。中标人所交付的服务不符合同约定标准的，采购人有权拒绝。中标人不能依约提供技术服务或单方终止合同，采购人可向中标人主张不超过合同总价百分之三十的违约金并承担相应的违约责任。</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lang w:val="en-US" w:eastAsia="zh-CN"/>
        </w:rPr>
        <w:t>2.</w:t>
      </w:r>
      <w:r>
        <w:rPr>
          <w:rFonts w:ascii="宋体" w:eastAsia="宋体" w:hAnsi="宋体" w:cs="宋体" w:hint="eastAsia"/>
          <w:bCs/>
          <w:szCs w:val="24"/>
          <w:highlight w:val="none"/>
        </w:rPr>
        <w:t>中标人交付的服务存在采购人验收人员在验收时无法肉眼现场发现的质量问题，包括但不限于产品技术质量问题、使用后才能发现的问题、专业仪器检测才能发现的问题、假冒产品经原厂或专业部门检测后发现的问题等，采购人有权在质保期内向中标人主张退货或换货，并可向中标人主张不超过合同总价百分之三十的违约金并承担相应的违约责任。</w:t>
      </w:r>
    </w:p>
    <w:p>
      <w:pPr>
        <w:pStyle w:val="NormalIndent"/>
        <w:spacing w:before="60" w:beforeLines="25" w:after="60" w:afterLines="25" w:line="360" w:lineRule="auto"/>
        <w:ind w:firstLine="449" w:firstLineChars="187"/>
        <w:rPr>
          <w:rFonts w:ascii="宋体" w:eastAsia="宋体" w:hAnsi="宋体" w:cs="宋体" w:hint="eastAsia"/>
          <w:b/>
          <w:bCs w:val="0"/>
          <w:szCs w:val="24"/>
          <w:highlight w:val="none"/>
        </w:rPr>
      </w:pPr>
      <w:r>
        <w:rPr>
          <w:rFonts w:ascii="宋体" w:eastAsia="宋体" w:hAnsi="宋体" w:cs="宋体" w:hint="eastAsia"/>
          <w:b/>
          <w:bCs w:val="0"/>
          <w:szCs w:val="24"/>
          <w:highlight w:val="none"/>
        </w:rPr>
        <w:t>（</w:t>
      </w:r>
      <w:r>
        <w:rPr>
          <w:rFonts w:ascii="宋体" w:eastAsia="宋体" w:hAnsi="宋体" w:cs="宋体" w:hint="eastAsia"/>
          <w:b/>
          <w:bCs w:val="0"/>
          <w:szCs w:val="24"/>
          <w:highlight w:val="none"/>
          <w:lang w:val="en-US" w:eastAsia="zh-CN"/>
        </w:rPr>
        <w:t>五</w:t>
      </w:r>
      <w:r>
        <w:rPr>
          <w:rFonts w:ascii="宋体" w:eastAsia="宋体" w:hAnsi="宋体" w:cs="宋体" w:hint="eastAsia"/>
          <w:b/>
          <w:bCs w:val="0"/>
          <w:szCs w:val="24"/>
          <w:highlight w:val="none"/>
        </w:rPr>
        <w:t>）知识产权</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rPr>
        <w:t>1.中标人在项目实施过程中不得侵犯第三人知识产权以及其他权益，否则，中标人应赔偿采购人因此遭受的一切损失（包括但不限于赔偿金、违约金、律师费、调查取证费、差旅费等）。需要使用第三人知识产权的，中标人应取得权利人许可或授权并由中标人承担费用。</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rPr>
        <w:t>2.除第三人依法享有知识产权的除外，中标人实施本项目所形成成果的知识产品归采购人所有，未经采购人许可，中标人不得随意使用。</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rPr>
        <w:t>3. 供应商负责提供数字资源数据库供深圳职业技术大学（以下简称深职大）在线使用，使用的载体形式或接入方式为：WEB（提供专线），用户类型为：网络用户。</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lang w:val="en-US" w:eastAsia="zh-CN"/>
        </w:rPr>
        <w:t>4.</w:t>
      </w:r>
      <w:r>
        <w:rPr>
          <w:rFonts w:ascii="宋体" w:eastAsia="宋体" w:hAnsi="宋体" w:cs="宋体" w:hint="eastAsia"/>
          <w:bCs/>
          <w:szCs w:val="24"/>
          <w:highlight w:val="none"/>
        </w:rPr>
        <w:t>深圳职业技术大学在IP范围访问、下载数字资源时，免受第三方提出的侵犯其专利权、商标权、版权或工业设计权等知识产权的起诉或司法干预。如果发生上述起诉或干预，则其法律责任均由供应商负责。</w:t>
      </w:r>
    </w:p>
    <w:p>
      <w:pPr>
        <w:pStyle w:val="NormalIndent"/>
        <w:spacing w:before="60" w:beforeLines="25" w:after="60" w:afterLines="25" w:line="360" w:lineRule="auto"/>
        <w:ind w:firstLine="449" w:firstLineChars="187"/>
        <w:rPr>
          <w:rFonts w:ascii="宋体" w:eastAsia="宋体" w:hAnsi="宋体" w:cs="宋体" w:hint="eastAsia"/>
          <w:b/>
          <w:bCs w:val="0"/>
          <w:szCs w:val="24"/>
          <w:highlight w:val="none"/>
        </w:rPr>
      </w:pPr>
      <w:r>
        <w:rPr>
          <w:rFonts w:ascii="宋体" w:eastAsia="宋体" w:hAnsi="宋体" w:cs="宋体" w:hint="eastAsia"/>
          <w:b/>
          <w:bCs w:val="0"/>
          <w:szCs w:val="24"/>
          <w:highlight w:val="none"/>
        </w:rPr>
        <w:t>（</w:t>
      </w:r>
      <w:r>
        <w:rPr>
          <w:rFonts w:ascii="宋体" w:eastAsia="宋体" w:hAnsi="宋体" w:cs="宋体" w:hint="eastAsia"/>
          <w:b/>
          <w:bCs w:val="0"/>
          <w:szCs w:val="24"/>
          <w:highlight w:val="none"/>
          <w:lang w:val="en-US" w:eastAsia="zh-CN"/>
        </w:rPr>
        <w:t>六</w:t>
      </w:r>
      <w:r>
        <w:rPr>
          <w:rFonts w:ascii="宋体" w:eastAsia="宋体" w:hAnsi="宋体" w:cs="宋体" w:hint="eastAsia"/>
          <w:b/>
          <w:bCs w:val="0"/>
          <w:szCs w:val="24"/>
          <w:highlight w:val="none"/>
        </w:rPr>
        <w:t>）合同解除</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rPr>
        <w:t>有下列情形之一的，当事人可以解除合同：</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rPr>
        <w:t>1. 因不可抗力致使不能实现合同目的；</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rPr>
        <w:t>2. 由于中标人的原因未能在本合同约定的交货期或工期交货或移交的，逾期超过 15 个日历日仍不能交货或移交的，或中标人所交付的产品品牌、型号、规格、质量不符合同规定标准的，并经过15个日历日整改仍不达标的，采购人有权单方解除合同并要求中标人承担相应的违约责任，同时赔偿由此给采购人造成的其他经济损失；</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rPr>
        <w:t>3.法律规定的其他情形。</w:t>
      </w:r>
    </w:p>
    <w:p>
      <w:pPr>
        <w:pStyle w:val="NormalIndent"/>
        <w:spacing w:before="60" w:beforeLines="25" w:after="60" w:afterLines="25" w:line="360" w:lineRule="auto"/>
        <w:ind w:firstLine="449" w:firstLineChars="187"/>
        <w:rPr>
          <w:rFonts w:ascii="宋体" w:eastAsia="宋体" w:hAnsi="宋体" w:cs="宋体" w:hint="eastAsia"/>
          <w:b/>
          <w:bCs w:val="0"/>
          <w:szCs w:val="24"/>
          <w:highlight w:val="none"/>
        </w:rPr>
      </w:pPr>
      <w:r>
        <w:rPr>
          <w:rFonts w:ascii="宋体" w:eastAsia="宋体" w:hAnsi="宋体" w:cs="宋体" w:hint="eastAsia"/>
          <w:b/>
          <w:bCs w:val="0"/>
          <w:szCs w:val="24"/>
          <w:highlight w:val="none"/>
        </w:rPr>
        <w:t>（</w:t>
      </w:r>
      <w:r>
        <w:rPr>
          <w:rFonts w:ascii="宋体" w:eastAsia="宋体" w:hAnsi="宋体" w:cs="宋体" w:hint="eastAsia"/>
          <w:b/>
          <w:bCs w:val="0"/>
          <w:szCs w:val="24"/>
          <w:highlight w:val="none"/>
          <w:lang w:val="en-US" w:eastAsia="zh-CN"/>
        </w:rPr>
        <w:t>七</w:t>
      </w:r>
      <w:r>
        <w:rPr>
          <w:rFonts w:ascii="宋体" w:eastAsia="宋体" w:hAnsi="宋体" w:cs="宋体" w:hint="eastAsia"/>
          <w:b/>
          <w:bCs w:val="0"/>
          <w:szCs w:val="24"/>
          <w:highlight w:val="none"/>
        </w:rPr>
        <w:t>）争议的解决</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rPr>
        <w:t>凡因本协议引起的或与本协议有关的任何争议，由双方友好协商解决。协商不成时，双方均有权向深圳市南山区人民法院提起</w:t>
      </w:r>
      <w:r>
        <w:rPr>
          <w:rFonts w:ascii="宋体" w:eastAsia="宋体" w:hAnsi="宋体" w:cs="宋体" w:hint="eastAsia"/>
          <w:bCs/>
          <w:szCs w:val="24"/>
          <w:highlight w:val="none"/>
        </w:rPr>
        <w:fldChar w:fldCharType="begin"/>
      </w:r>
      <w:r>
        <w:rPr>
          <w:rFonts w:ascii="宋体" w:eastAsia="宋体" w:hAnsi="宋体" w:cs="宋体" w:hint="eastAsia"/>
          <w:bCs/>
          <w:szCs w:val="24"/>
          <w:highlight w:val="none"/>
        </w:rPr>
        <w:instrText xml:space="preserve"> HYPERLINK "http://www.64365.com/baike/ss/" \o "诉讼" \t "_blank" </w:instrText>
      </w:r>
      <w:r>
        <w:rPr>
          <w:rFonts w:ascii="宋体" w:eastAsia="宋体" w:hAnsi="宋体" w:cs="宋体" w:hint="eastAsia"/>
          <w:bCs/>
          <w:szCs w:val="24"/>
          <w:highlight w:val="none"/>
        </w:rPr>
        <w:fldChar w:fldCharType="separate"/>
      </w:r>
      <w:r>
        <w:rPr>
          <w:rFonts w:ascii="宋体" w:eastAsia="宋体" w:hAnsi="宋体" w:cs="宋体" w:hint="eastAsia"/>
          <w:bCs/>
          <w:szCs w:val="24"/>
          <w:highlight w:val="none"/>
        </w:rPr>
        <w:t>诉讼</w:t>
      </w:r>
      <w:r>
        <w:rPr>
          <w:rFonts w:ascii="宋体" w:eastAsia="宋体" w:hAnsi="宋体" w:cs="宋体" w:hint="eastAsia"/>
          <w:bCs/>
          <w:szCs w:val="24"/>
          <w:highlight w:val="none"/>
        </w:rPr>
        <w:fldChar w:fldCharType="end"/>
      </w:r>
      <w:r>
        <w:rPr>
          <w:rFonts w:ascii="宋体" w:eastAsia="宋体" w:hAnsi="宋体" w:cs="宋体" w:hint="eastAsia"/>
          <w:bCs/>
          <w:szCs w:val="24"/>
          <w:highlight w:val="none"/>
        </w:rPr>
        <w:t>。</w:t>
      </w:r>
    </w:p>
    <w:p>
      <w:pPr>
        <w:pStyle w:val="Heading3"/>
        <w:jc w:val="center"/>
        <w:rPr>
          <w:rFonts w:cs="宋体"/>
          <w:szCs w:val="21"/>
          <w:highlight w:val="none"/>
        </w:rPr>
      </w:pPr>
      <w:r>
        <w:rPr>
          <w:rFonts w:cs="宋体" w:hint="eastAsia"/>
          <w:szCs w:val="21"/>
          <w:highlight w:val="none"/>
          <w:lang w:val="en-US" w:eastAsia="zh-CN"/>
        </w:rPr>
        <w:t>七</w:t>
      </w:r>
      <w:r>
        <w:rPr>
          <w:rFonts w:cs="宋体" w:hint="eastAsia"/>
          <w:szCs w:val="21"/>
          <w:highlight w:val="none"/>
        </w:rPr>
        <w:t>、其他重要条款</w:t>
      </w:r>
    </w:p>
    <w:p>
      <w:pPr>
        <w:pStyle w:val="NormalIndent"/>
        <w:spacing w:before="60" w:beforeLines="25" w:after="60" w:afterLines="25" w:line="360" w:lineRule="auto"/>
        <w:ind w:firstLine="449" w:firstLineChars="187"/>
        <w:rPr>
          <w:rFonts w:ascii="宋体" w:eastAsia="宋体" w:hAnsi="宋体" w:cs="宋体"/>
          <w:bCs/>
          <w:szCs w:val="24"/>
          <w:highlight w:val="none"/>
        </w:rPr>
      </w:pPr>
      <w:bookmarkStart w:id="36" w:name="_Hlk72257111"/>
      <w:r>
        <w:rPr>
          <w:rFonts w:ascii="宋体" w:eastAsia="宋体" w:hAnsi="宋体" w:cs="宋体" w:hint="eastAsia"/>
          <w:bCs/>
          <w:szCs w:val="24"/>
          <w:highlight w:val="none"/>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pPr>
        <w:pStyle w:val="NormalIndent"/>
        <w:spacing w:before="60" w:beforeLines="25" w:after="60" w:afterLines="25" w:line="360" w:lineRule="auto"/>
        <w:ind w:firstLine="449" w:firstLineChars="187"/>
        <w:rPr>
          <w:rFonts w:ascii="宋体" w:eastAsia="宋体" w:hAnsi="宋体" w:cs="宋体"/>
          <w:bCs/>
          <w:szCs w:val="24"/>
          <w:highlight w:val="none"/>
        </w:rPr>
      </w:pPr>
      <w:r>
        <w:rPr>
          <w:rFonts w:ascii="宋体" w:eastAsia="宋体" w:hAnsi="宋体" w:cs="宋体" w:hint="eastAsia"/>
          <w:bCs/>
          <w:szCs w:val="24"/>
          <w:highlight w:val="none"/>
        </w:rPr>
        <w:t>2、投标人应充分了解项目的位置、情况、道路及任何其它足以影响投标报价的情况，任何因忽视或误解项目情况而导致的索赔或服务期限延长申请将不获批准。</w:t>
      </w:r>
    </w:p>
    <w:p>
      <w:pPr>
        <w:pStyle w:val="NormalIndent"/>
        <w:spacing w:before="60" w:beforeLines="25" w:after="60" w:afterLines="25" w:line="360" w:lineRule="auto"/>
        <w:ind w:firstLine="449" w:firstLineChars="187"/>
        <w:rPr>
          <w:rFonts w:ascii="宋体" w:eastAsia="宋体" w:hAnsi="宋体" w:cs="宋体"/>
          <w:bCs/>
          <w:szCs w:val="24"/>
          <w:highlight w:val="none"/>
        </w:rPr>
      </w:pPr>
      <w:r>
        <w:rPr>
          <w:rFonts w:ascii="宋体" w:eastAsia="宋体" w:hAnsi="宋体" w:cs="宋体" w:hint="eastAsia"/>
          <w:bCs/>
          <w:szCs w:val="24"/>
          <w:highlight w:val="none"/>
        </w:rPr>
        <w:t>3、投标人不得期望通过索赔等方式获取补偿，否则，除可能遭到拒绝外，还可能将被作为不良行为记录在案，并可能影响其以后参加政府采购的项目投标。各投标人在投标报价时，应充分考虑投标报价的风险。</w:t>
      </w:r>
    </w:p>
    <w:p>
      <w:pPr>
        <w:pStyle w:val="NormalIndent"/>
        <w:spacing w:before="60" w:beforeLines="25" w:after="60" w:afterLines="25" w:line="360" w:lineRule="auto"/>
        <w:ind w:firstLine="449" w:firstLineChars="187"/>
        <w:rPr>
          <w:rFonts w:ascii="宋体" w:eastAsia="宋体" w:hAnsi="宋体" w:cs="宋体"/>
          <w:bCs/>
          <w:szCs w:val="24"/>
          <w:highlight w:val="none"/>
        </w:rPr>
      </w:pPr>
      <w:r>
        <w:rPr>
          <w:rFonts w:ascii="宋体" w:eastAsia="宋体" w:hAnsi="宋体" w:cs="宋体" w:hint="eastAsia"/>
          <w:bCs/>
          <w:szCs w:val="24"/>
          <w:highlight w:val="none"/>
        </w:rPr>
        <w:t>4、鼓励采购人积极运用公共信用信息，明确对信用记录良好的供应商（特别是中小微企业）免收履约保证金，确需收取履约保证金的，列明通过保函等非现金方式收取。在采购合同中明确对上述企业加大首付款或预付款比例，具体由采购人根据项目实际情况确定。</w:t>
      </w:r>
    </w:p>
    <w:p>
      <w:pPr>
        <w:pStyle w:val="NormalIndent"/>
        <w:spacing w:before="60" w:beforeLines="25" w:after="60" w:afterLines="25" w:line="360" w:lineRule="auto"/>
        <w:ind w:firstLine="449" w:firstLineChars="187"/>
        <w:rPr>
          <w:rFonts w:ascii="宋体" w:eastAsia="宋体" w:hAnsi="宋体" w:cs="宋体"/>
          <w:bCs/>
          <w:szCs w:val="24"/>
          <w:highlight w:val="none"/>
        </w:rPr>
      </w:pPr>
      <w:r>
        <w:rPr>
          <w:rFonts w:ascii="宋体" w:eastAsia="宋体" w:hAnsi="宋体" w:cs="宋体" w:hint="eastAsia"/>
          <w:bCs/>
          <w:szCs w:val="24"/>
          <w:highlight w:val="none"/>
        </w:rPr>
        <w:t>5、除政府采购合同继续履行将损害国家利益和社会公共利益外，双方当事人不得擅自变更、中止或者终止合同。</w:t>
      </w:r>
    </w:p>
    <w:p>
      <w:pPr>
        <w:pStyle w:val="NormalIndent"/>
        <w:spacing w:before="60" w:beforeLines="25" w:after="60" w:afterLines="25" w:line="360" w:lineRule="auto"/>
        <w:ind w:firstLine="449" w:firstLineChars="187"/>
        <w:rPr>
          <w:rFonts w:ascii="宋体" w:eastAsia="宋体" w:hAnsi="宋体" w:cs="宋体"/>
          <w:bCs/>
          <w:szCs w:val="24"/>
          <w:highlight w:val="none"/>
        </w:rPr>
      </w:pPr>
      <w:r>
        <w:rPr>
          <w:rFonts w:ascii="宋体" w:eastAsia="宋体" w:hAnsi="宋体" w:cs="宋体" w:hint="eastAsia"/>
          <w:bCs/>
          <w:szCs w:val="24"/>
          <w:highlight w:val="none"/>
        </w:rPr>
        <w:t>6、“信用中国”、“中国政府采购网”、“深圳信用网”以及“深圳市政府采购监管网”为供应商信用信息的查询渠道，相关信息以开标当日的查询结果为准。</w:t>
      </w:r>
      <w:bookmarkEnd w:id="36"/>
    </w:p>
    <w:p>
      <w:pPr>
        <w:pStyle w:val="NormalIndent"/>
        <w:spacing w:before="60" w:beforeLines="25" w:after="60" w:afterLines="25" w:line="360" w:lineRule="auto"/>
        <w:ind w:firstLine="449" w:firstLineChars="187"/>
        <w:rPr>
          <w:rFonts w:ascii="宋体" w:eastAsia="宋体" w:hAnsi="宋体" w:cs="宋体"/>
          <w:bCs/>
          <w:szCs w:val="24"/>
          <w:highlight w:val="none"/>
        </w:rPr>
      </w:pPr>
      <w:bookmarkEnd w:id="35"/>
      <w:r>
        <w:rPr>
          <w:rFonts w:ascii="宋体" w:eastAsia="宋体" w:hAnsi="宋体" w:cs="宋体" w:hint="eastAsia"/>
          <w:bCs/>
          <w:szCs w:val="24"/>
          <w:highlight w:val="none"/>
        </w:rPr>
        <w:br w:type="page"/>
      </w:r>
    </w:p>
    <w:p>
      <w:pPr>
        <w:pStyle w:val="Heading2"/>
        <w:rPr>
          <w:rFonts w:cs="宋体"/>
          <w:color w:val="000000" w:themeColor="text1"/>
          <w:kern w:val="2"/>
          <w:highlight w:val="none"/>
          <w14:textFill>
            <w14:solidFill>
              <w14:schemeClr w14:val="tx1"/>
            </w14:solidFill>
          </w14:textFill>
        </w:rPr>
      </w:pPr>
      <w:r>
        <w:rPr>
          <w:rFonts w:cs="宋体" w:hint="eastAsia"/>
          <w:color w:val="000000" w:themeColor="text1"/>
          <w:kern w:val="2"/>
          <w:highlight w:val="none"/>
          <w14:textFill>
            <w14:solidFill>
              <w14:schemeClr w14:val="tx1"/>
            </w14:solidFill>
          </w14:textFill>
        </w:rPr>
        <w:t>第四章 投标文件组成要求及格式</w:t>
      </w:r>
    </w:p>
    <w:p>
      <w:pPr>
        <w:spacing w:line="360" w:lineRule="auto"/>
        <w:rPr>
          <w:rStyle w:val="3Char"/>
          <w:rFonts w:ascii="宋体" w:eastAsia="宋体" w:hAnsi="宋体" w:cs="宋体"/>
          <w:b/>
          <w:bCs w:val="0"/>
          <w:color w:val="000000" w:themeColor="text1"/>
          <w:sz w:val="24"/>
          <w:highlight w:val="none"/>
          <w14:textFill>
            <w14:solidFill>
              <w14:schemeClr w14:val="tx1"/>
            </w14:solidFill>
          </w14:textFill>
        </w:rPr>
      </w:pPr>
      <w:r>
        <w:rPr>
          <w:rStyle w:val="3Char"/>
          <w:rFonts w:ascii="宋体" w:eastAsia="宋体" w:hAnsi="宋体" w:cs="宋体" w:hint="eastAsia"/>
          <w:b/>
          <w:bCs w:val="0"/>
          <w:color w:val="000000" w:themeColor="text1"/>
          <w:sz w:val="24"/>
          <w:highlight w:val="none"/>
          <w14:textFill>
            <w14:solidFill>
              <w14:schemeClr w14:val="tx1"/>
            </w14:solidFill>
          </w14:textFill>
        </w:rPr>
        <w:t>特别提醒：</w:t>
      </w:r>
    </w:p>
    <w:p>
      <w:pPr>
        <w:spacing w:line="360" w:lineRule="auto"/>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pPr>
        <w:spacing w:line="360" w:lineRule="auto"/>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投标文件正文（信息公开部分）必须编制于“投标书目录”部分，投标文件附件（非信息公开部分）必须编制于“投标书附件”部分，如下图所示。</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drawing>
          <wp:inline distT="0" distB="0" distL="0" distR="0">
            <wp:extent cx="5278755" cy="4126230"/>
            <wp:effectExtent l="0" t="0" r="0" b="0"/>
            <wp:docPr id="6" name="图片 6"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形用户界面, 应用程序&#10;&#10;描述已自动生成"/>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4126230"/>
                    </a:xfrm>
                    <a:prstGeom prst="rect">
                      <a:avLst/>
                    </a:prstGeom>
                    <a:noFill/>
                    <a:ln>
                      <a:noFill/>
                    </a:ln>
                  </pic:spPr>
                </pic:pic>
              </a:graphicData>
            </a:graphic>
          </wp:inline>
        </w:drawing>
      </w:r>
    </w:p>
    <w:p>
      <w:pPr>
        <w:rPr>
          <w:rFonts w:ascii="宋体" w:eastAsia="宋体" w:hAnsi="宋体" w:cs="宋体"/>
          <w:color w:val="000000" w:themeColor="text1"/>
          <w:highlight w:val="none"/>
          <w14:textFill>
            <w14:solidFill>
              <w14:schemeClr w14:val="tx1"/>
            </w14:solidFill>
          </w14:textFill>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ind w:firstLine="0"/>
        <w:rPr>
          <w:rFonts w:ascii="宋体" w:eastAsia="宋体" w:hAnsi="宋体" w:cs="宋体"/>
          <w:highlight w:val="none"/>
        </w:rPr>
      </w:pPr>
    </w:p>
    <w:p>
      <w:pPr>
        <w:spacing w:line="400" w:lineRule="exact"/>
        <w:jc w:val="center"/>
        <w:rPr>
          <w:rFonts w:ascii="宋体" w:eastAsia="宋体" w:hAnsi="宋体" w:cs="宋体"/>
          <w:b/>
          <w:bCs/>
          <w:color w:val="000000" w:themeColor="text1"/>
          <w:sz w:val="28"/>
          <w:szCs w:val="28"/>
          <w:highlight w:val="none"/>
          <w14:textFill>
            <w14:solidFill>
              <w14:schemeClr w14:val="tx1"/>
            </w14:solidFill>
          </w14:textFill>
        </w:rPr>
      </w:pPr>
      <w:bookmarkStart w:id="37" w:name="_Hlk72257167"/>
      <w:r>
        <w:rPr>
          <w:rFonts w:ascii="宋体" w:eastAsia="宋体" w:hAnsi="宋体" w:cs="宋体" w:hint="eastAsia"/>
          <w:b/>
          <w:bCs/>
          <w:color w:val="000000" w:themeColor="text1"/>
          <w:sz w:val="28"/>
          <w:szCs w:val="28"/>
          <w:highlight w:val="none"/>
          <w14:textFill>
            <w14:solidFill>
              <w14:schemeClr w14:val="tx1"/>
            </w14:solidFill>
          </w14:textFill>
        </w:rPr>
        <w:t>招标机构</w:t>
      </w:r>
    </w:p>
    <w:p>
      <w:pPr>
        <w:ind w:firstLine="480" w:firstLineChars="200"/>
        <w:jc w:val="both"/>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公布投标文件正文（信息公开部分）时为计算机截取信息自动公布，</w:t>
      </w:r>
      <w:r>
        <w:rPr>
          <w:rFonts w:ascii="宋体" w:eastAsia="宋体" w:hAnsi="宋体" w:cs="宋体" w:hint="eastAsia"/>
          <w:b/>
          <w:bCs/>
          <w:color w:val="000000" w:themeColor="text1"/>
          <w:highlight w:val="none"/>
          <w14:textFill>
            <w14:solidFill>
              <w14:schemeClr w14:val="tx1"/>
            </w14:solidFill>
          </w14:textFill>
        </w:rPr>
        <w:t>如投标人误将涉及个人隐私的信息放入投标文件正文，相关后果由投标人自负；</w:t>
      </w:r>
      <w:r>
        <w:rPr>
          <w:rFonts w:ascii="宋体" w:eastAsia="宋体" w:hAnsi="宋体" w:cs="宋体" w:hint="eastAsia"/>
          <w:color w:val="000000" w:themeColor="text1"/>
          <w:highlight w:val="none"/>
          <w14:textFill>
            <w14:solidFill>
              <w14:schemeClr w14:val="tx1"/>
            </w14:solidFill>
          </w14:textFill>
        </w:rPr>
        <w:t>如投标人将必须放于投标文件正文（信息公开部分）的内容放入投标文件附件（非信息公开部分），将作投标无效处理。</w:t>
      </w:r>
      <w:bookmarkEnd w:id="37"/>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投标文件组成：</w:t>
      </w:r>
    </w:p>
    <w:p>
      <w:pPr>
        <w:rPr>
          <w:rFonts w:ascii="宋体" w:eastAsia="宋体" w:hAnsi="宋体" w:cs="宋体"/>
          <w:b/>
          <w:bCs/>
          <w:color w:val="FF0000"/>
          <w:sz w:val="28"/>
          <w:szCs w:val="28"/>
          <w:highlight w:val="none"/>
        </w:rPr>
      </w:pPr>
    </w:p>
    <w:p>
      <w:pPr>
        <w:rPr>
          <w:rFonts w:ascii="宋体" w:eastAsia="宋体" w:hAnsi="宋体" w:cs="宋体"/>
          <w:b/>
          <w:bCs/>
          <w:color w:val="FF0000"/>
          <w:sz w:val="24"/>
          <w:szCs w:val="24"/>
          <w:highlight w:val="none"/>
        </w:rPr>
      </w:pPr>
      <w:r>
        <w:rPr>
          <w:rFonts w:ascii="宋体" w:eastAsia="宋体" w:hAnsi="宋体" w:cs="宋体" w:hint="eastAsia"/>
          <w:b/>
          <w:bCs/>
          <w:color w:val="FF0000"/>
          <w:sz w:val="24"/>
          <w:szCs w:val="24"/>
          <w:highlight w:val="none"/>
        </w:rPr>
        <w:t>1.投标文件正文（信息公开部分）：</w:t>
      </w:r>
    </w:p>
    <w:p>
      <w:pPr>
        <w:ind w:left="480" w:leftChars="200"/>
        <w:rPr>
          <w:rFonts w:ascii="宋体" w:eastAsia="宋体" w:hAnsi="宋体" w:cs="宋体" w:hint="eastAsia"/>
          <w:sz w:val="24"/>
          <w:szCs w:val="24"/>
          <w:highlight w:val="none"/>
        </w:rPr>
      </w:pPr>
      <w:r>
        <w:rPr>
          <w:rFonts w:ascii="宋体" w:eastAsia="宋体" w:hAnsi="宋体" w:cs="宋体" w:hint="eastAsia"/>
          <w:sz w:val="24"/>
          <w:szCs w:val="24"/>
          <w:highlight w:val="none"/>
        </w:rPr>
        <w:t>（1）投标函</w:t>
      </w:r>
    </w:p>
    <w:p>
      <w:pPr>
        <w:ind w:left="480" w:leftChars="200"/>
        <w:rPr>
          <w:rFonts w:ascii="宋体" w:eastAsia="宋体" w:hAnsi="宋体" w:cs="宋体" w:hint="eastAsia"/>
          <w:sz w:val="24"/>
          <w:szCs w:val="24"/>
          <w:highlight w:val="none"/>
        </w:rPr>
      </w:pPr>
      <w:r>
        <w:rPr>
          <w:rFonts w:ascii="宋体" w:eastAsia="宋体" w:hAnsi="宋体" w:cs="宋体" w:hint="eastAsia"/>
          <w:sz w:val="24"/>
          <w:szCs w:val="24"/>
          <w:highlight w:val="none"/>
        </w:rPr>
        <w:t>（2）政府采购投标及履约承诺函</w:t>
      </w:r>
    </w:p>
    <w:p>
      <w:pPr>
        <w:ind w:left="480" w:leftChars="200"/>
        <w:rPr>
          <w:rFonts w:ascii="宋体" w:eastAsia="宋体" w:hAnsi="宋体" w:cs="宋体" w:hint="eastAsia"/>
          <w:sz w:val="24"/>
          <w:szCs w:val="24"/>
          <w:highlight w:val="none"/>
        </w:rPr>
      </w:pPr>
      <w:r>
        <w:rPr>
          <w:rFonts w:ascii="宋体" w:eastAsia="宋体" w:hAnsi="宋体" w:cs="宋体" w:hint="eastAsia"/>
          <w:sz w:val="24"/>
          <w:szCs w:val="24"/>
          <w:highlight w:val="none"/>
        </w:rPr>
        <w:t>（3）投标人情况及资格证明文件</w:t>
      </w:r>
    </w:p>
    <w:p>
      <w:pPr>
        <w:ind w:left="480" w:leftChars="200"/>
        <w:rPr>
          <w:rFonts w:ascii="宋体" w:eastAsia="宋体" w:hAnsi="宋体" w:cs="宋体" w:hint="eastAsia"/>
          <w:sz w:val="24"/>
          <w:szCs w:val="24"/>
          <w:highlight w:val="none"/>
        </w:rPr>
      </w:pPr>
      <w:r>
        <w:rPr>
          <w:rFonts w:ascii="宋体" w:eastAsia="宋体" w:hAnsi="宋体" w:cs="宋体" w:hint="eastAsia"/>
          <w:sz w:val="24"/>
          <w:szCs w:val="24"/>
          <w:highlight w:val="none"/>
        </w:rPr>
        <w:t>（4）项目详细报价</w:t>
      </w:r>
    </w:p>
    <w:p>
      <w:pPr>
        <w:ind w:left="480" w:leftChars="200"/>
        <w:rPr>
          <w:rFonts w:ascii="宋体" w:eastAsia="宋体" w:hAnsi="宋体" w:cs="宋体" w:hint="eastAsia"/>
          <w:sz w:val="24"/>
          <w:szCs w:val="24"/>
          <w:highlight w:val="none"/>
        </w:rPr>
      </w:pPr>
      <w:r>
        <w:rPr>
          <w:rFonts w:ascii="宋体" w:eastAsia="宋体" w:hAnsi="宋体" w:cs="宋体" w:hint="eastAsia"/>
          <w:sz w:val="24"/>
          <w:szCs w:val="24"/>
          <w:highlight w:val="none"/>
        </w:rPr>
        <w:t>（</w:t>
      </w:r>
      <w:r>
        <w:rPr>
          <w:rFonts w:ascii="宋体" w:eastAsia="宋体" w:hAnsi="宋体" w:cs="宋体" w:hint="eastAsia"/>
          <w:sz w:val="24"/>
          <w:szCs w:val="24"/>
          <w:highlight w:val="none"/>
          <w:lang w:val="en-US" w:eastAsia="zh-CN"/>
        </w:rPr>
        <w:t>5</w:t>
      </w:r>
      <w:r>
        <w:rPr>
          <w:rFonts w:ascii="宋体" w:eastAsia="宋体" w:hAnsi="宋体" w:cs="宋体" w:hint="eastAsia"/>
          <w:sz w:val="24"/>
          <w:szCs w:val="24"/>
          <w:highlight w:val="none"/>
        </w:rPr>
        <w:t>）投标人同类项目业绩情况（格式自定）</w:t>
      </w:r>
    </w:p>
    <w:p>
      <w:pPr>
        <w:ind w:left="480" w:leftChars="200"/>
        <w:rPr>
          <w:rFonts w:ascii="宋体" w:eastAsia="宋体" w:hAnsi="宋体" w:cs="宋体" w:hint="eastAsia"/>
          <w:sz w:val="24"/>
          <w:szCs w:val="24"/>
          <w:highlight w:val="none"/>
        </w:rPr>
      </w:pPr>
      <w:r>
        <w:rPr>
          <w:rFonts w:ascii="宋体" w:eastAsia="宋体" w:hAnsi="宋体" w:cs="宋体" w:hint="eastAsia"/>
          <w:sz w:val="24"/>
          <w:szCs w:val="24"/>
          <w:highlight w:val="none"/>
        </w:rPr>
        <w:t>（</w:t>
      </w:r>
      <w:r>
        <w:rPr>
          <w:rFonts w:ascii="宋体" w:eastAsia="宋体" w:hAnsi="宋体" w:cs="宋体" w:hint="eastAsia"/>
          <w:sz w:val="24"/>
          <w:szCs w:val="24"/>
          <w:highlight w:val="none"/>
          <w:lang w:val="en-US" w:eastAsia="zh-CN"/>
        </w:rPr>
        <w:t>6</w:t>
      </w:r>
      <w:r>
        <w:rPr>
          <w:rFonts w:ascii="宋体" w:eastAsia="宋体" w:hAnsi="宋体" w:cs="宋体" w:hint="eastAsia"/>
          <w:sz w:val="24"/>
          <w:szCs w:val="24"/>
          <w:highlight w:val="none"/>
        </w:rPr>
        <w:t>）投标人获奖情况（格式自定）</w:t>
      </w:r>
    </w:p>
    <w:p>
      <w:pPr>
        <w:ind w:left="480" w:leftChars="200"/>
        <w:rPr>
          <w:rFonts w:ascii="宋体" w:eastAsia="宋体" w:hAnsi="宋体" w:cs="宋体" w:hint="eastAsia"/>
          <w:sz w:val="24"/>
          <w:szCs w:val="24"/>
          <w:highlight w:val="none"/>
        </w:rPr>
      </w:pPr>
      <w:r>
        <w:rPr>
          <w:rFonts w:ascii="宋体" w:eastAsia="宋体" w:hAnsi="宋体" w:cs="宋体" w:hint="eastAsia"/>
          <w:sz w:val="24"/>
          <w:szCs w:val="24"/>
          <w:highlight w:val="none"/>
        </w:rPr>
        <w:t>（</w:t>
      </w:r>
      <w:r>
        <w:rPr>
          <w:rFonts w:ascii="宋体" w:eastAsia="宋体" w:hAnsi="宋体" w:cs="宋体" w:hint="eastAsia"/>
          <w:sz w:val="24"/>
          <w:szCs w:val="24"/>
          <w:highlight w:val="none"/>
          <w:lang w:val="en-US" w:eastAsia="zh-CN"/>
        </w:rPr>
        <w:t>7</w:t>
      </w:r>
      <w:r>
        <w:rPr>
          <w:rFonts w:ascii="宋体" w:eastAsia="宋体" w:hAnsi="宋体" w:cs="宋体" w:hint="eastAsia"/>
          <w:sz w:val="24"/>
          <w:szCs w:val="24"/>
          <w:highlight w:val="none"/>
        </w:rPr>
        <w:t>）投标人自主知识产权产品（创新、设计）情况（格式自定）</w:t>
      </w:r>
    </w:p>
    <w:p>
      <w:pPr>
        <w:ind w:left="480" w:leftChars="200"/>
        <w:rPr>
          <w:rFonts w:ascii="宋体" w:eastAsia="宋体" w:hAnsi="宋体" w:cs="宋体" w:hint="default"/>
          <w:sz w:val="24"/>
          <w:szCs w:val="24"/>
          <w:highlight w:val="none"/>
          <w:lang w:val="en-US" w:eastAsia="zh-CN"/>
        </w:rPr>
      </w:pPr>
      <w:r>
        <w:rPr>
          <w:rFonts w:ascii="宋体" w:eastAsia="宋体" w:hAnsi="宋体" w:cs="宋体" w:hint="eastAsia"/>
          <w:sz w:val="24"/>
          <w:szCs w:val="24"/>
          <w:highlight w:val="none"/>
        </w:rPr>
        <w:t>（</w:t>
      </w:r>
      <w:r>
        <w:rPr>
          <w:rFonts w:ascii="宋体" w:eastAsia="宋体" w:hAnsi="宋体" w:cs="宋体" w:hint="eastAsia"/>
          <w:sz w:val="24"/>
          <w:szCs w:val="24"/>
          <w:highlight w:val="none"/>
          <w:lang w:val="en-US" w:eastAsia="zh-CN"/>
        </w:rPr>
        <w:t>8</w:t>
      </w:r>
      <w:r>
        <w:rPr>
          <w:rFonts w:ascii="宋体" w:eastAsia="宋体" w:hAnsi="宋体" w:cs="宋体" w:hint="eastAsia"/>
          <w:sz w:val="24"/>
          <w:szCs w:val="24"/>
          <w:highlight w:val="none"/>
        </w:rPr>
        <w:t>）</w:t>
      </w:r>
      <w:r>
        <w:rPr>
          <w:rFonts w:ascii="宋体" w:eastAsia="宋体" w:hAnsi="宋体" w:cs="宋体" w:hint="eastAsia"/>
          <w:sz w:val="24"/>
          <w:szCs w:val="24"/>
          <w:highlight w:val="none"/>
          <w:lang w:val="en-US" w:eastAsia="zh-CN"/>
        </w:rPr>
        <w:t>服务网点</w:t>
      </w:r>
      <w:r>
        <w:rPr>
          <w:rFonts w:ascii="宋体" w:eastAsia="宋体" w:hAnsi="宋体" w:cs="宋体" w:hint="eastAsia"/>
          <w:sz w:val="24"/>
          <w:szCs w:val="24"/>
          <w:highlight w:val="none"/>
        </w:rPr>
        <w:t>（格式自定）</w:t>
      </w:r>
    </w:p>
    <w:p>
      <w:pPr>
        <w:ind w:left="480" w:leftChars="200"/>
        <w:rPr>
          <w:rFonts w:ascii="宋体" w:eastAsia="宋体" w:hAnsi="宋体" w:cs="宋体" w:hint="eastAsia"/>
          <w:sz w:val="24"/>
          <w:szCs w:val="24"/>
          <w:highlight w:val="none"/>
        </w:rPr>
      </w:pPr>
      <w:r>
        <w:rPr>
          <w:rFonts w:ascii="宋体" w:eastAsia="宋体" w:hAnsi="宋体" w:cs="宋体" w:hint="eastAsia"/>
          <w:sz w:val="24"/>
          <w:szCs w:val="24"/>
          <w:highlight w:val="none"/>
          <w:lang w:eastAsia="zh-CN"/>
        </w:rPr>
        <w:t>（</w:t>
      </w:r>
      <w:r>
        <w:rPr>
          <w:rFonts w:ascii="宋体" w:eastAsia="宋体" w:hAnsi="宋体" w:cs="宋体" w:hint="eastAsia"/>
          <w:sz w:val="24"/>
          <w:szCs w:val="24"/>
          <w:highlight w:val="none"/>
          <w:lang w:val="en-US" w:eastAsia="zh-CN"/>
        </w:rPr>
        <w:t>9</w:t>
      </w:r>
      <w:r>
        <w:rPr>
          <w:rFonts w:ascii="宋体" w:eastAsia="宋体" w:hAnsi="宋体" w:cs="宋体" w:hint="eastAsia"/>
          <w:sz w:val="24"/>
          <w:szCs w:val="24"/>
          <w:highlight w:val="none"/>
          <w:lang w:eastAsia="zh-CN"/>
        </w:rPr>
        <w:t>）</w:t>
      </w:r>
      <w:r>
        <w:rPr>
          <w:rFonts w:ascii="宋体" w:eastAsia="宋体" w:hAnsi="宋体" w:cs="宋体" w:hint="eastAsia"/>
          <w:sz w:val="24"/>
          <w:szCs w:val="24"/>
          <w:highlight w:val="none"/>
        </w:rPr>
        <w:t>投标人认为信息公开部分需要加以说明的其他内容（格式自定）</w:t>
      </w:r>
    </w:p>
    <w:p>
      <w:pPr>
        <w:rPr>
          <w:rFonts w:ascii="宋体" w:eastAsia="宋体" w:hAnsi="宋体" w:cs="宋体" w:hint="eastAsia"/>
          <w:b/>
          <w:bCs/>
          <w:color w:val="FF0000"/>
          <w:sz w:val="24"/>
          <w:szCs w:val="24"/>
          <w:highlight w:val="none"/>
        </w:rPr>
      </w:pPr>
      <w:r>
        <w:rPr>
          <w:rFonts w:ascii="宋体" w:eastAsia="宋体" w:hAnsi="宋体" w:cs="宋体" w:hint="eastAsia"/>
          <w:b/>
          <w:bCs/>
          <w:color w:val="FF0000"/>
          <w:sz w:val="24"/>
          <w:szCs w:val="24"/>
          <w:highlight w:val="none"/>
        </w:rPr>
        <w:t>2.投标文件附件（信息不公开部分）：</w:t>
      </w:r>
    </w:p>
    <w:p>
      <w:pPr>
        <w:ind w:left="480" w:leftChars="200"/>
        <w:rPr>
          <w:rFonts w:ascii="宋体" w:eastAsia="宋体" w:hAnsi="宋体" w:cs="宋体"/>
          <w:sz w:val="24"/>
          <w:szCs w:val="24"/>
          <w:highlight w:val="none"/>
        </w:rPr>
      </w:pPr>
      <w:r>
        <w:rPr>
          <w:rFonts w:ascii="宋体" w:eastAsia="宋体" w:hAnsi="宋体" w:cs="宋体" w:hint="eastAsia"/>
          <w:sz w:val="24"/>
          <w:szCs w:val="24"/>
          <w:highlight w:val="none"/>
        </w:rPr>
        <w:t>（1）法定代表人（负责人或执行事务合伙人）资格证明书</w:t>
      </w:r>
    </w:p>
    <w:p>
      <w:pPr>
        <w:ind w:left="480" w:leftChars="200"/>
        <w:rPr>
          <w:rFonts w:ascii="宋体" w:eastAsia="宋体" w:hAnsi="宋体" w:cs="宋体" w:hint="eastAsia"/>
          <w:sz w:val="24"/>
          <w:szCs w:val="24"/>
          <w:highlight w:val="none"/>
        </w:rPr>
      </w:pPr>
      <w:r>
        <w:rPr>
          <w:rFonts w:ascii="宋体" w:eastAsia="宋体" w:hAnsi="宋体" w:cs="宋体" w:hint="eastAsia"/>
          <w:sz w:val="24"/>
          <w:szCs w:val="24"/>
          <w:highlight w:val="none"/>
        </w:rPr>
        <w:t>（2）投标文件签署授权委托书</w:t>
      </w:r>
    </w:p>
    <w:p>
      <w:pPr>
        <w:ind w:left="480" w:leftChars="200"/>
        <w:rPr>
          <w:rFonts w:ascii="宋体" w:eastAsia="宋体" w:hAnsi="宋体" w:cs="宋体" w:hint="eastAsia"/>
          <w:sz w:val="24"/>
          <w:szCs w:val="24"/>
          <w:highlight w:val="none"/>
        </w:rPr>
      </w:pPr>
      <w:r>
        <w:rPr>
          <w:rFonts w:ascii="宋体" w:eastAsia="宋体" w:hAnsi="宋体" w:cs="宋体" w:hint="eastAsia"/>
          <w:sz w:val="24"/>
          <w:szCs w:val="24"/>
          <w:highlight w:val="none"/>
        </w:rPr>
        <w:t>（3）实质性条款响应情况表</w:t>
      </w:r>
    </w:p>
    <w:p>
      <w:pPr>
        <w:ind w:left="480" w:leftChars="200"/>
        <w:rPr>
          <w:rFonts w:ascii="宋体" w:eastAsia="宋体" w:hAnsi="宋体" w:cs="宋体" w:hint="eastAsia"/>
          <w:sz w:val="24"/>
          <w:szCs w:val="24"/>
          <w:highlight w:val="none"/>
        </w:rPr>
      </w:pPr>
      <w:r>
        <w:rPr>
          <w:rFonts w:ascii="宋体" w:eastAsia="宋体" w:hAnsi="宋体" w:cs="宋体" w:hint="eastAsia"/>
          <w:sz w:val="24"/>
          <w:szCs w:val="24"/>
          <w:highlight w:val="none"/>
        </w:rPr>
        <w:t>（4）</w:t>
      </w:r>
      <w:r>
        <w:rPr>
          <w:rFonts w:ascii="宋体" w:eastAsia="宋体" w:hAnsi="宋体" w:cs="宋体" w:hint="eastAsia"/>
          <w:sz w:val="24"/>
          <w:szCs w:val="24"/>
          <w:highlight w:val="none"/>
          <w:lang w:val="en-US" w:eastAsia="zh-CN"/>
        </w:rPr>
        <w:t>服务</w:t>
      </w:r>
      <w:r>
        <w:rPr>
          <w:rFonts w:ascii="宋体" w:eastAsia="宋体" w:hAnsi="宋体" w:cs="宋体" w:hint="eastAsia"/>
          <w:sz w:val="24"/>
          <w:szCs w:val="24"/>
          <w:highlight w:val="none"/>
        </w:rPr>
        <w:t>条款偏离表</w:t>
      </w:r>
    </w:p>
    <w:p>
      <w:pPr>
        <w:ind w:left="480" w:leftChars="200"/>
        <w:rPr>
          <w:rFonts w:ascii="宋体" w:eastAsia="宋体" w:hAnsi="宋体" w:cs="宋体" w:hint="eastAsia"/>
          <w:sz w:val="24"/>
          <w:szCs w:val="24"/>
          <w:highlight w:val="none"/>
        </w:rPr>
      </w:pPr>
      <w:r>
        <w:rPr>
          <w:rFonts w:ascii="宋体" w:eastAsia="宋体" w:hAnsi="宋体" w:cs="宋体" w:hint="eastAsia"/>
          <w:sz w:val="24"/>
          <w:szCs w:val="24"/>
          <w:highlight w:val="none"/>
        </w:rPr>
        <w:t>（5）商务条款偏离表</w:t>
      </w:r>
    </w:p>
    <w:p>
      <w:pPr>
        <w:ind w:left="480" w:leftChars="200"/>
        <w:rPr>
          <w:rFonts w:ascii="宋体" w:eastAsia="宋体" w:hAnsi="宋体" w:cs="宋体" w:hint="eastAsia"/>
          <w:sz w:val="24"/>
          <w:szCs w:val="24"/>
          <w:highlight w:val="none"/>
        </w:rPr>
      </w:pPr>
      <w:r>
        <w:rPr>
          <w:rFonts w:ascii="宋体" w:eastAsia="宋体" w:hAnsi="宋体" w:cs="宋体" w:hint="eastAsia"/>
          <w:sz w:val="24"/>
          <w:szCs w:val="24"/>
          <w:highlight w:val="none"/>
        </w:rPr>
        <w:t>（6）拟安排的项目负责人情况（仅限一人）</w:t>
      </w:r>
    </w:p>
    <w:p>
      <w:pPr>
        <w:ind w:left="480" w:leftChars="200"/>
        <w:rPr>
          <w:rFonts w:ascii="宋体" w:eastAsia="宋体" w:hAnsi="宋体" w:cs="宋体" w:hint="eastAsia"/>
          <w:sz w:val="24"/>
          <w:szCs w:val="24"/>
          <w:highlight w:val="none"/>
        </w:rPr>
      </w:pPr>
      <w:r>
        <w:rPr>
          <w:rFonts w:ascii="宋体" w:eastAsia="宋体" w:hAnsi="宋体" w:cs="宋体" w:hint="eastAsia"/>
          <w:sz w:val="24"/>
          <w:szCs w:val="24"/>
          <w:highlight w:val="none"/>
        </w:rPr>
        <w:t>（7）拟安排的项目主要团队成员（主要技术人员）情况（项目负责人除外）</w:t>
      </w:r>
    </w:p>
    <w:p>
      <w:pPr>
        <w:ind w:left="480" w:leftChars="200"/>
        <w:rPr>
          <w:rFonts w:ascii="宋体" w:eastAsia="宋体" w:hAnsi="宋体" w:cs="宋体" w:hint="eastAsia"/>
          <w:sz w:val="24"/>
          <w:szCs w:val="24"/>
          <w:highlight w:val="none"/>
        </w:rPr>
      </w:pPr>
      <w:r>
        <w:rPr>
          <w:rFonts w:ascii="宋体" w:eastAsia="宋体" w:hAnsi="宋体" w:cs="宋体" w:hint="eastAsia"/>
          <w:sz w:val="24"/>
          <w:szCs w:val="24"/>
          <w:highlight w:val="none"/>
        </w:rPr>
        <w:t>（8）</w:t>
      </w:r>
      <w:r>
        <w:rPr>
          <w:rFonts w:ascii="宋体" w:hAnsi="宋体" w:hint="eastAsia"/>
          <w:sz w:val="22"/>
          <w:szCs w:val="20"/>
        </w:rPr>
        <w:t>实施方案</w:t>
      </w:r>
      <w:r>
        <w:rPr>
          <w:rFonts w:ascii="宋体" w:eastAsia="宋体" w:hAnsi="宋体" w:cs="宋体" w:hint="eastAsia"/>
          <w:sz w:val="24"/>
          <w:szCs w:val="24"/>
          <w:highlight w:val="none"/>
        </w:rPr>
        <w:t>（格式自定）</w:t>
      </w:r>
    </w:p>
    <w:p>
      <w:pPr>
        <w:ind w:left="480" w:leftChars="200"/>
        <w:rPr>
          <w:rFonts w:ascii="宋体" w:eastAsia="宋体" w:hAnsi="宋体" w:cs="宋体" w:hint="eastAsia"/>
          <w:sz w:val="24"/>
          <w:szCs w:val="24"/>
          <w:highlight w:val="none"/>
        </w:rPr>
      </w:pPr>
      <w:r>
        <w:rPr>
          <w:rFonts w:ascii="宋体" w:eastAsia="宋体" w:hAnsi="宋体" w:cs="宋体" w:hint="eastAsia"/>
          <w:sz w:val="24"/>
          <w:szCs w:val="24"/>
          <w:highlight w:val="none"/>
        </w:rPr>
        <w:t>（9）项目重点难点分析、应对措施及相关的合理化建议（格式自定）</w:t>
      </w:r>
    </w:p>
    <w:p>
      <w:pPr>
        <w:ind w:left="480" w:leftChars="200"/>
        <w:rPr>
          <w:rFonts w:ascii="宋体" w:eastAsia="宋体" w:hAnsi="宋体" w:cs="宋体" w:hint="eastAsia"/>
          <w:sz w:val="24"/>
          <w:szCs w:val="24"/>
          <w:highlight w:val="none"/>
        </w:rPr>
      </w:pPr>
      <w:r>
        <w:rPr>
          <w:rFonts w:ascii="宋体" w:eastAsia="宋体" w:hAnsi="宋体" w:cs="宋体" w:hint="eastAsia"/>
          <w:sz w:val="24"/>
          <w:szCs w:val="24"/>
          <w:highlight w:val="none"/>
        </w:rPr>
        <w:t>（10）质量（完成时间、安全、环保）保障措施及方案（格式自定）</w:t>
      </w:r>
    </w:p>
    <w:p>
      <w:pPr>
        <w:ind w:left="480" w:leftChars="200"/>
        <w:rPr>
          <w:rFonts w:ascii="宋体" w:eastAsia="宋体" w:hAnsi="宋体" w:cs="宋体" w:hint="eastAsia"/>
          <w:sz w:val="24"/>
          <w:szCs w:val="24"/>
          <w:highlight w:val="none"/>
        </w:rPr>
      </w:pPr>
      <w:r>
        <w:rPr>
          <w:rFonts w:ascii="宋体" w:eastAsia="宋体" w:hAnsi="宋体" w:cs="宋体" w:hint="eastAsia"/>
          <w:sz w:val="24"/>
          <w:szCs w:val="24"/>
          <w:highlight w:val="none"/>
          <w:lang w:eastAsia="zh-CN"/>
        </w:rPr>
        <w:t>（</w:t>
      </w:r>
      <w:r>
        <w:rPr>
          <w:rFonts w:ascii="宋体" w:eastAsia="宋体" w:hAnsi="宋体" w:cs="宋体" w:hint="eastAsia"/>
          <w:sz w:val="24"/>
          <w:szCs w:val="24"/>
          <w:highlight w:val="none"/>
          <w:lang w:val="en-US" w:eastAsia="zh-CN"/>
        </w:rPr>
        <w:t>11</w:t>
      </w:r>
      <w:r>
        <w:rPr>
          <w:rFonts w:ascii="宋体" w:eastAsia="宋体" w:hAnsi="宋体" w:cs="宋体" w:hint="eastAsia"/>
          <w:sz w:val="24"/>
          <w:szCs w:val="24"/>
          <w:highlight w:val="none"/>
          <w:lang w:eastAsia="zh-CN"/>
        </w:rPr>
        <w:t>）</w:t>
      </w:r>
      <w:r>
        <w:rPr>
          <w:rFonts w:ascii="宋体" w:eastAsia="宋体" w:hAnsi="宋体" w:cs="宋体" w:hint="eastAsia"/>
          <w:sz w:val="24"/>
          <w:szCs w:val="24"/>
          <w:highlight w:val="none"/>
        </w:rPr>
        <w:t>投标人认为信息不公开部分需要加以说明的其他内容（格式自定）</w:t>
      </w:r>
    </w:p>
    <w:p>
      <w:pPr>
        <w:ind w:left="480" w:leftChars="200"/>
        <w:rPr>
          <w:rFonts w:ascii="宋体" w:eastAsia="宋体" w:hAnsi="宋体" w:cs="宋体" w:hint="eastAsia"/>
          <w:sz w:val="28"/>
          <w:szCs w:val="28"/>
          <w:highlight w:val="none"/>
        </w:rPr>
      </w:pPr>
    </w:p>
    <w:p>
      <w:pPr>
        <w:ind w:firstLine="480" w:firstLineChars="200"/>
        <w:jc w:val="both"/>
        <w:rPr>
          <w:rFonts w:ascii="宋体" w:eastAsia="宋体" w:hAnsi="宋体" w:cs="宋体" w:hint="eastAsia"/>
          <w:color w:val="000000" w:themeColor="text1"/>
          <w:highlight w:val="none"/>
          <w14:textFill>
            <w14:solidFill>
              <w14:schemeClr w14:val="tx1"/>
            </w14:solidFill>
          </w14:textFill>
        </w:rPr>
      </w:pPr>
    </w:p>
    <w:p>
      <w:pPr>
        <w:ind w:firstLine="485" w:firstLineChars="202"/>
        <w:rPr>
          <w:rFonts w:ascii="宋体" w:eastAsia="宋体" w:hAnsi="宋体" w:cs="宋体"/>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备注：</w:t>
      </w:r>
    </w:p>
    <w:p>
      <w:pPr>
        <w:ind w:firstLine="485" w:firstLineChars="202"/>
        <w:rPr>
          <w:rFonts w:ascii="宋体" w:eastAsia="宋体" w:hAnsi="宋体" w:cs="宋体"/>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1.本项目为网上电子投标项目，投标文件不需法人或授权委托人另行签字，无需加盖单位公章，招标文件专用条款另有规定的除外。</w:t>
      </w:r>
    </w:p>
    <w:p>
      <w:pPr>
        <w:ind w:firstLine="485" w:firstLineChars="202"/>
        <w:rPr>
          <w:rFonts w:ascii="宋体" w:eastAsia="宋体" w:hAnsi="宋体" w:cs="宋体"/>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2.关于填写“开标一览表”的说明：“开标一览表”中除“投标报价”外，其他信息不作评审依据。</w:t>
      </w: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r>
        <w:rPr>
          <w:rFonts w:ascii="宋体" w:eastAsia="宋体" w:hAnsi="宋体" w:cs="宋体" w:hint="eastAsia"/>
          <w:highlight w:val="none"/>
        </w:rPr>
        <w:br w:type="page"/>
      </w:r>
    </w:p>
    <w:p>
      <w:pPr>
        <w:outlineLvl w:val="1"/>
        <w:rPr>
          <w:rFonts w:ascii="宋体" w:eastAsia="宋体" w:hAnsi="宋体" w:cs="宋体"/>
          <w:b/>
          <w:color w:val="FF0000"/>
          <w:sz w:val="28"/>
          <w:szCs w:val="28"/>
          <w:highlight w:val="none"/>
        </w:rPr>
      </w:pPr>
      <w:r>
        <w:rPr>
          <w:rFonts w:ascii="宋体" w:eastAsia="宋体" w:hAnsi="宋体" w:cs="宋体" w:hint="eastAsia"/>
          <w:b/>
          <w:color w:val="FF0000"/>
          <w:sz w:val="28"/>
          <w:szCs w:val="28"/>
          <w:highlight w:val="none"/>
        </w:rPr>
        <w:t>投标文件正文（信息公开部分）</w:t>
      </w:r>
    </w:p>
    <w:p>
      <w:pPr>
        <w:pStyle w:val="Heading3"/>
        <w:jc w:val="center"/>
        <w:rPr>
          <w:rFonts w:cs="宋体"/>
          <w:b w:val="0"/>
          <w:color w:val="000000" w:themeColor="text1"/>
          <w:sz w:val="24"/>
          <w:highlight w:val="none"/>
          <w14:textFill>
            <w14:solidFill>
              <w14:schemeClr w14:val="tx1"/>
            </w14:solidFill>
          </w14:textFill>
        </w:rPr>
      </w:pPr>
      <w:r>
        <w:rPr>
          <w:rFonts w:cs="宋体" w:hint="eastAsia"/>
          <w:b w:val="0"/>
          <w:color w:val="000000" w:themeColor="text1"/>
          <w:sz w:val="24"/>
          <w:highlight w:val="none"/>
          <w14:textFill>
            <w14:solidFill>
              <w14:schemeClr w14:val="tx1"/>
            </w14:solidFill>
          </w14:textFill>
        </w:rPr>
        <w:t>一、投标函</w:t>
      </w:r>
    </w:p>
    <w:p>
      <w:pPr>
        <w:spacing w:line="360" w:lineRule="auto"/>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致：</w:t>
      </w:r>
      <w:r>
        <w:rPr>
          <w:rFonts w:ascii="宋体" w:eastAsia="宋体" w:hAnsi="宋体" w:cs="宋体" w:hint="eastAsia"/>
          <w:color w:val="000000" w:themeColor="text1"/>
          <w:highlight w:val="none"/>
          <w:u w:val="single"/>
          <w14:textFill>
            <w14:solidFill>
              <w14:schemeClr w14:val="tx1"/>
            </w14:solidFill>
          </w14:textFill>
        </w:rPr>
        <w:t xml:space="preserve">友和保险经纪有限公司 </w:t>
      </w:r>
    </w:p>
    <w:p>
      <w:pPr>
        <w:ind w:firstLine="480" w:firstLineChars="200"/>
        <w:rPr>
          <w:rFonts w:ascii="宋体" w:eastAsia="宋体" w:hAnsi="宋体" w:cs="宋体"/>
          <w:color w:val="000000" w:themeColor="text1"/>
          <w:highlight w:val="none"/>
          <w14:textFill>
            <w14:solidFill>
              <w14:schemeClr w14:val="tx1"/>
            </w14:solidFill>
          </w14:textFill>
        </w:rPr>
      </w:pPr>
      <w:bookmarkStart w:id="38" w:name="_Hlk73818812"/>
      <w:r>
        <w:rPr>
          <w:rFonts w:ascii="宋体" w:eastAsia="宋体" w:hAnsi="宋体" w:cs="宋体" w:hint="eastAsia"/>
          <w:color w:val="000000" w:themeColor="text1"/>
          <w:highlight w:val="none"/>
          <w14:textFill>
            <w14:solidFill>
              <w14:schemeClr w14:val="tx1"/>
            </w14:solidFill>
          </w14:textFill>
        </w:rPr>
        <w:t>1、根据已收到贵单位的项目编号为</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的</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项目的招标文件，遵照《深圳经济特区政府采购条例》和《深圳网上政府采购管理暂行办法》等有关规定，我单位经研究上述招标文件的专用条款及通用条款后，</w:t>
      </w:r>
      <w:bookmarkStart w:id="39" w:name="_Hlk72263588"/>
      <w:r>
        <w:rPr>
          <w:rFonts w:ascii="宋体" w:eastAsia="宋体" w:hAnsi="宋体" w:cs="宋体" w:hint="eastAsia"/>
          <w:color w:val="000000" w:themeColor="text1"/>
          <w:highlight w:val="none"/>
          <w14:textFill>
            <w14:solidFill>
              <w14:schemeClr w14:val="tx1"/>
            </w14:solidFill>
          </w14:textFill>
        </w:rPr>
        <w:t>愿意按照招标文件要求承包上述项目并修补其任何缺陷。</w:t>
      </w:r>
      <w:bookmarkEnd w:id="39"/>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2、投标价格见投标书编制软件中《开标一览表》中填写的投标总价。</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3、如果我单位中标，我单位将按照招标文件的要求足额提交履约担保。</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4、我单位同意所递交的投标文件在“对通用条款的补充内容”中明确的投标有效期内有效，在此期间内我单位的投标有可能中标，我方将受此约束。</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5、除非另外达成协议并生效，贵单位的中标通知书和本投标文件将构成合同的重要内容。</w:t>
      </w:r>
    </w:p>
    <w:p>
      <w:pPr>
        <w:ind w:left="600" w:hanging="120" w:leftChars="200" w:hangingChars="5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6、我单位理解贵单位将不受必须接受所收到的最低报价或其它任何投标文件的约束。</w:t>
      </w:r>
      <w:bookmarkEnd w:id="38"/>
    </w:p>
    <w:p>
      <w:pPr>
        <w:ind w:left="600" w:hanging="120" w:leftChars="200" w:hangingChars="50"/>
        <w:rPr>
          <w:rFonts w:ascii="宋体" w:eastAsia="宋体" w:hAnsi="宋体" w:cs="宋体" w:hint="eastAsia"/>
          <w:color w:val="000000" w:themeColor="text1"/>
          <w:highlight w:val="none"/>
          <w14:textFill>
            <w14:solidFill>
              <w14:schemeClr w14:val="tx1"/>
            </w14:solidFill>
          </w14:textFill>
        </w:rPr>
      </w:pPr>
    </w:p>
    <w:p>
      <w:pPr>
        <w:ind w:left="600" w:hanging="120" w:leftChars="200" w:hangingChars="50"/>
        <w:rPr>
          <w:rFonts w:ascii="宋体" w:eastAsia="宋体" w:hAnsi="宋体" w:cs="宋体" w:hint="eastAsia"/>
          <w:color w:val="000000" w:themeColor="text1"/>
          <w:highlight w:val="none"/>
          <w14:textFill>
            <w14:solidFill>
              <w14:schemeClr w14:val="tx1"/>
            </w14:solidFill>
          </w14:textFill>
        </w:rPr>
      </w:pPr>
    </w:p>
    <w:p>
      <w:pPr>
        <w:ind w:left="600" w:hanging="120" w:leftChars="200" w:hangingChars="50"/>
        <w:rPr>
          <w:rFonts w:ascii="宋体" w:eastAsia="宋体" w:hAnsi="宋体" w:cs="宋体"/>
          <w:color w:val="000000" w:themeColor="text1"/>
          <w:highlight w:val="none"/>
          <w:u w:val="singl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投标人：</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 xml:space="preserve">    单位地址：</w:t>
      </w:r>
      <w:r>
        <w:rPr>
          <w:rFonts w:ascii="宋体" w:eastAsia="宋体" w:hAnsi="宋体" w:cs="宋体" w:hint="eastAsia"/>
          <w:color w:val="000000" w:themeColor="text1"/>
          <w:highlight w:val="none"/>
          <w:u w:val="single"/>
          <w14:textFill>
            <w14:solidFill>
              <w14:schemeClr w14:val="tx1"/>
            </w14:solidFill>
          </w14:textFill>
        </w:rPr>
        <w:t xml:space="preserve">               </w:t>
      </w:r>
    </w:p>
    <w:p>
      <w:pPr>
        <w:ind w:left="617" w:leftChars="257"/>
        <w:rPr>
          <w:rFonts w:ascii="宋体" w:eastAsia="宋体" w:hAnsi="宋体" w:cs="宋体"/>
          <w:color w:val="000000" w:themeColor="text1"/>
          <w:highlight w:val="none"/>
          <w:u w:val="singl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法定代表人（负责人）或其委托代理人：</w:t>
      </w:r>
      <w:r>
        <w:rPr>
          <w:rFonts w:ascii="宋体" w:eastAsia="宋体" w:hAnsi="宋体" w:cs="宋体" w:hint="eastAsia"/>
          <w:color w:val="000000" w:themeColor="text1"/>
          <w:highlight w:val="none"/>
          <w:u w:val="single"/>
          <w14:textFill>
            <w14:solidFill>
              <w14:schemeClr w14:val="tx1"/>
            </w14:solidFill>
          </w14:textFill>
        </w:rPr>
        <w:t xml:space="preserve">                   </w:t>
      </w:r>
    </w:p>
    <w:p>
      <w:pPr>
        <w:ind w:left="617" w:leftChars="257"/>
        <w:rPr>
          <w:rFonts w:ascii="宋体" w:eastAsia="宋体" w:hAnsi="宋体" w:cs="宋体"/>
          <w:color w:val="000000" w:themeColor="text1"/>
          <w:highlight w:val="none"/>
          <w:u w:val="singl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邮政编码：</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 xml:space="preserve">  电话：</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 xml:space="preserve">  传真：</w:t>
      </w:r>
      <w:r>
        <w:rPr>
          <w:rFonts w:ascii="宋体" w:eastAsia="宋体" w:hAnsi="宋体" w:cs="宋体" w:hint="eastAsia"/>
          <w:color w:val="000000" w:themeColor="text1"/>
          <w:highlight w:val="none"/>
          <w:u w:val="single"/>
          <w14:textFill>
            <w14:solidFill>
              <w14:schemeClr w14:val="tx1"/>
            </w14:solidFill>
          </w14:textFill>
        </w:rPr>
        <w:t xml:space="preserve">            </w:t>
      </w:r>
    </w:p>
    <w:p>
      <w:pPr>
        <w:ind w:left="617" w:leftChars="257"/>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开户银行名称：</w:t>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14:textFill>
            <w14:solidFill>
              <w14:schemeClr w14:val="tx1"/>
            </w14:solidFill>
          </w14:textFill>
        </w:rPr>
        <w:tab/>
      </w:r>
      <w:r>
        <w:rPr>
          <w:rFonts w:ascii="宋体" w:eastAsia="宋体" w:hAnsi="宋体" w:cs="宋体" w:hint="eastAsia"/>
          <w:color w:val="000000" w:themeColor="text1"/>
          <w:highlight w:val="none"/>
          <w14:textFill>
            <w14:solidFill>
              <w14:schemeClr w14:val="tx1"/>
            </w14:solidFill>
          </w14:textFill>
        </w:rPr>
        <w:t>开户银行账号：</w:t>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p>
    <w:p>
      <w:pPr>
        <w:ind w:left="617" w:leftChars="257"/>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开户银行地址：</w:t>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14:textFill>
            <w14:solidFill>
              <w14:schemeClr w14:val="tx1"/>
            </w14:solidFill>
          </w14:textFill>
        </w:rPr>
        <w:tab/>
      </w:r>
      <w:r>
        <w:rPr>
          <w:rFonts w:ascii="宋体" w:eastAsia="宋体" w:hAnsi="宋体" w:cs="宋体" w:hint="eastAsia"/>
          <w:color w:val="000000" w:themeColor="text1"/>
          <w:highlight w:val="none"/>
          <w14:textFill>
            <w14:solidFill>
              <w14:schemeClr w14:val="tx1"/>
            </w14:solidFill>
          </w14:textFill>
        </w:rPr>
        <w:t>开户银行电话：</w:t>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p>
    <w:p>
      <w:pPr>
        <w:ind w:firstLine="617" w:firstLineChars="257"/>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日期：</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年</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月</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 xml:space="preserve">日                                </w:t>
      </w:r>
    </w:p>
    <w:p>
      <w:pPr>
        <w:rPr>
          <w:rFonts w:ascii="宋体" w:eastAsia="宋体" w:hAnsi="宋体" w:cs="宋体"/>
          <w:color w:val="000000" w:themeColor="text1"/>
          <w:highlight w:val="none"/>
          <w14:textFill>
            <w14:solidFill>
              <w14:schemeClr w14:val="tx1"/>
            </w14:solidFill>
          </w14:textFill>
        </w:rPr>
      </w:pPr>
    </w:p>
    <w:p>
      <w:pPr>
        <w:rPr>
          <w:rFonts w:ascii="宋体" w:eastAsia="宋体" w:hAnsi="宋体" w:cs="宋体"/>
          <w:color w:val="000000" w:themeColor="text1"/>
          <w:szCs w:val="21"/>
          <w:highlight w:val="none"/>
          <w14:textFill>
            <w14:solidFill>
              <w14:schemeClr w14:val="tx1"/>
            </w14:solidFill>
          </w14:textFill>
        </w:rPr>
      </w:pPr>
    </w:p>
    <w:p>
      <w:pPr>
        <w:rPr>
          <w:rFonts w:ascii="宋体" w:eastAsia="宋体" w:hAnsi="宋体" w:cs="宋体"/>
          <w:color w:val="000000" w:themeColor="text1"/>
          <w:highlight w:val="none"/>
          <w14:textFill>
            <w14:solidFill>
              <w14:schemeClr w14:val="tx1"/>
            </w14:solidFill>
          </w14:textFill>
        </w:rPr>
      </w:pPr>
    </w:p>
    <w:p>
      <w:pPr>
        <w:rPr>
          <w:rFonts w:ascii="宋体" w:eastAsia="宋体" w:hAnsi="宋体" w:cs="宋体"/>
          <w:color w:val="000000" w:themeColor="text1"/>
          <w:highlight w:val="none"/>
          <w14:textFill>
            <w14:solidFill>
              <w14:schemeClr w14:val="tx1"/>
            </w14:solidFill>
          </w14:textFill>
        </w:rPr>
      </w:pPr>
    </w:p>
    <w:p>
      <w:pPr>
        <w:rPr>
          <w:rFonts w:ascii="宋体" w:eastAsia="宋体" w:hAnsi="宋体" w:cs="宋体"/>
          <w:color w:val="000000" w:themeColor="text1"/>
          <w:highlight w:val="none"/>
          <w14:textFill>
            <w14:solidFill>
              <w14:schemeClr w14:val="tx1"/>
            </w14:solidFill>
          </w14:textFill>
        </w:rPr>
      </w:pPr>
    </w:p>
    <w:p>
      <w:pPr>
        <w:pStyle w:val="Heading3"/>
        <w:jc w:val="center"/>
        <w:rPr>
          <w:rFonts w:cs="宋体"/>
          <w:b w:val="0"/>
          <w:color w:val="000000" w:themeColor="text1"/>
          <w:sz w:val="24"/>
          <w:highlight w:val="none"/>
          <w14:textFill>
            <w14:solidFill>
              <w14:schemeClr w14:val="tx1"/>
            </w14:solidFill>
          </w14:textFill>
        </w:rPr>
      </w:pPr>
      <w:r>
        <w:rPr>
          <w:rFonts w:cs="宋体" w:hint="eastAsia"/>
          <w:b w:val="0"/>
          <w:color w:val="000000" w:themeColor="text1"/>
          <w:sz w:val="24"/>
          <w:highlight w:val="none"/>
          <w14:textFill>
            <w14:solidFill>
              <w14:schemeClr w14:val="tx1"/>
            </w14:solidFill>
          </w14:textFill>
        </w:rPr>
        <w:br w:type="page"/>
      </w:r>
      <w:r>
        <w:rPr>
          <w:rFonts w:cs="宋体" w:hint="eastAsia"/>
          <w:b w:val="0"/>
          <w:color w:val="000000" w:themeColor="text1"/>
          <w:sz w:val="24"/>
          <w:highlight w:val="none"/>
          <w14:textFill>
            <w14:solidFill>
              <w14:schemeClr w14:val="tx1"/>
            </w14:solidFill>
          </w14:textFill>
        </w:rPr>
        <w:t>二、政府采购投标及履约承诺函</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致：</w:t>
      </w:r>
      <w:r>
        <w:rPr>
          <w:rFonts w:ascii="宋体" w:eastAsia="宋体" w:hAnsi="宋体" w:cs="宋体" w:hint="eastAsia"/>
          <w:color w:val="000000" w:themeColor="text1"/>
          <w:highlight w:val="none"/>
          <w:u w:val="single"/>
          <w14:textFill>
            <w14:solidFill>
              <w14:schemeClr w14:val="tx1"/>
            </w14:solidFill>
          </w14:textFill>
        </w:rPr>
        <w:t>友和保险经纪有限公司</w:t>
      </w:r>
    </w:p>
    <w:p>
      <w:pPr>
        <w:ind w:right="-815"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我单位承诺：</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1.我单位本招标项目所提供的货物或服务未侵犯知识产权。</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2.我单位参与本项目投标前三年内，在经营活动中没有重大违法记录。</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3.我单位参与本项目政府采购活动时不存在被有关部门禁止参与政府采购活动且在有效期内的情况。</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4.我单位具备《中华人民共和国政府采购法》第二十二条第一款规定的六项条件。</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5.我单位未被列入失信被执行人、重大税收违法失信主体、政府采购严重违法失信行为记录名单</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6.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7.我单位不存在“单位负责人为同一人或者存在直接控股、管理关系的不同供应商，参加同一合同项下的政府采购活动”的情形。</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8.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9.我单位清楚，若以“报价太低而无法履约”为理由放弃本项目中标资格时，愿意接受主管部门的处理处罚。若我单位中标本项目，我单位的报价明显低于其他通过符合性审查投标人的报价时，我单位清楚，本项目将成为重点监管、重点验收项目，我单位将按时保质保量完成，并全力配合有关监管、验收工作；若我单位未按上述要求履约，我单位愿意接受主管部门的处理处罚。</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10.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11.我单位承诺中标后项目不转包，未经采购人同意不进行分包</w:t>
      </w:r>
      <w:r>
        <w:rPr>
          <w:rFonts w:ascii="宋体" w:eastAsia="宋体" w:hAnsi="宋体" w:cs="宋体" w:hint="eastAsia"/>
          <w:color w:val="000000" w:themeColor="text1"/>
          <w:highlight w:val="none"/>
          <w:lang w:eastAsia="zh-CN"/>
          <w14:textFill>
            <w14:solidFill>
              <w14:schemeClr w14:val="tx1"/>
            </w14:solidFill>
          </w14:textFill>
        </w:rPr>
        <w:t>，</w:t>
      </w:r>
      <w:r>
        <w:rPr>
          <w:rFonts w:ascii="宋体" w:eastAsia="宋体" w:hAnsi="宋体" w:cs="宋体" w:hint="eastAsia"/>
          <w:color w:val="000000" w:themeColor="text1"/>
          <w:highlight w:val="none"/>
          <w:lang w:val="en-US" w:eastAsia="zh-CN"/>
          <w14:textFill>
            <w14:solidFill>
              <w14:schemeClr w14:val="tx1"/>
            </w14:solidFill>
          </w14:textFill>
        </w:rPr>
        <w:t>未提供进口产品参与投标</w:t>
      </w:r>
      <w:r>
        <w:rPr>
          <w:rFonts w:ascii="宋体" w:eastAsia="宋体" w:hAnsi="宋体" w:cs="宋体" w:hint="eastAsia"/>
          <w:color w:val="000000" w:themeColor="text1"/>
          <w:highlight w:val="none"/>
          <w14:textFill>
            <w14:solidFill>
              <w14:schemeClr w14:val="tx1"/>
            </w14:solidFill>
          </w14:textFill>
        </w:rPr>
        <w:t>。</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12.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13.我单位保证，若所投货物涉及《财政部生态环境部关于印发节能产品政府采购品目清单的通知》（财库〔2019〕19号）列明的政府采购强制产品，则所投该产品符合节能产品的认证要求。</w:t>
      </w:r>
    </w:p>
    <w:p>
      <w:pPr>
        <w:pStyle w:val="NormalIndent"/>
        <w:rPr>
          <w:rFonts w:ascii="宋体" w:eastAsia="宋体" w:hAnsi="宋体" w:cs="宋体"/>
          <w:color w:val="000000" w:themeColor="text1"/>
          <w:szCs w:val="24"/>
          <w:highlight w:val="none"/>
          <w14:textFill>
            <w14:solidFill>
              <w14:schemeClr w14:val="tx1"/>
            </w14:solidFill>
          </w14:textFill>
        </w:rPr>
      </w:pPr>
      <w:r>
        <w:rPr>
          <w:rFonts w:ascii="宋体" w:eastAsia="宋体" w:hAnsi="宋体" w:cs="宋体" w:hint="eastAsia"/>
          <w:szCs w:val="24"/>
          <w:highlight w:val="none"/>
        </w:rPr>
        <w:t>14.</w:t>
      </w:r>
      <w:r>
        <w:rPr>
          <w:rFonts w:ascii="宋体" w:eastAsia="宋体" w:hAnsi="宋体" w:cs="宋体" w:hint="eastAsia"/>
          <w:color w:val="000000" w:themeColor="text1"/>
          <w:szCs w:val="24"/>
          <w:highlight w:val="none"/>
          <w14:textFill>
            <w14:solidFill>
              <w14:schemeClr w14:val="tx1"/>
            </w14:solidFill>
          </w14:textFill>
        </w:rPr>
        <w:t xml:space="preserve"> 我单位承诺未为本项目提供整体设计、规范编制或者管理、监理、检测等服务。</w:t>
      </w:r>
    </w:p>
    <w:p>
      <w:pPr>
        <w:pStyle w:val="NormalIndent"/>
        <w:rPr>
          <w:rFonts w:ascii="宋体" w:eastAsia="宋体" w:hAnsi="宋体" w:cs="宋体"/>
          <w:color w:val="000000" w:themeColor="text1"/>
          <w:szCs w:val="24"/>
          <w:highlight w:val="none"/>
          <w14:textFill>
            <w14:solidFill>
              <w14:schemeClr w14:val="tx1"/>
            </w14:solidFill>
          </w14:textFill>
        </w:rPr>
      </w:pPr>
      <w:r>
        <w:rPr>
          <w:rFonts w:ascii="宋体" w:eastAsia="宋体" w:hAnsi="宋体" w:cs="宋体" w:hint="eastAsia"/>
          <w:color w:val="000000" w:themeColor="text1"/>
          <w:szCs w:val="24"/>
          <w:highlight w:val="none"/>
          <w14:textFill>
            <w14:solidFill>
              <w14:schemeClr w14:val="tx1"/>
            </w14:solidFill>
          </w14:textFill>
        </w:rPr>
        <w:t xml:space="preserve">15.我单位承诺，参与本项目投标前三年内，未受过环境监测行政主管部门行政处罚或未有被政府相关部门（如质检部门等）、媒体通报弄虚作假等情形。 </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以上承诺，如有违反，愿依照国家相关法律法规处理，并承担由此给采购人带来的损失。</w:t>
      </w:r>
    </w:p>
    <w:p>
      <w:pPr>
        <w:spacing w:before="60" w:beforeLines="25" w:after="60" w:afterLines="25"/>
        <w:ind w:firstLine="6240" w:firstLineChars="26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 xml:space="preserve">                                    </w:t>
      </w:r>
    </w:p>
    <w:p>
      <w:pPr>
        <w:spacing w:before="60" w:beforeLines="25" w:after="60" w:afterLines="25"/>
        <w:ind w:firstLine="6240" w:firstLineChars="26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投标人：</w:t>
      </w:r>
      <w:r>
        <w:rPr>
          <w:rFonts w:ascii="宋体" w:eastAsia="宋体" w:hAnsi="宋体" w:cs="宋体" w:hint="eastAsia"/>
          <w:color w:val="000000" w:themeColor="text1"/>
          <w:highlight w:val="none"/>
          <w:u w:val="single"/>
          <w14:textFill>
            <w14:solidFill>
              <w14:schemeClr w14:val="tx1"/>
            </w14:solidFill>
          </w14:textFill>
        </w:rPr>
        <w:t xml:space="preserve">              </w:t>
      </w:r>
    </w:p>
    <w:p>
      <w:pPr>
        <w:ind w:firstLine="645"/>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 xml:space="preserve">                                        日期：</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年</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月</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日</w:t>
      </w:r>
    </w:p>
    <w:p>
      <w:pPr>
        <w:rPr>
          <w:rFonts w:ascii="宋体" w:eastAsia="宋体" w:hAnsi="宋体" w:cs="宋体"/>
          <w:color w:val="000000" w:themeColor="text1"/>
          <w:highlight w:val="none"/>
          <w14:textFill>
            <w14:solidFill>
              <w14:schemeClr w14:val="tx1"/>
            </w14:solidFill>
          </w14:textFill>
        </w:rPr>
      </w:pPr>
    </w:p>
    <w:p>
      <w:pPr>
        <w:rPr>
          <w:rFonts w:ascii="宋体" w:eastAsia="宋体" w:hAnsi="宋体" w:cs="宋体"/>
          <w:color w:val="000000" w:themeColor="text1"/>
          <w:szCs w:val="21"/>
          <w:highlight w:val="none"/>
          <w14:textFill>
            <w14:solidFill>
              <w14:schemeClr w14:val="tx1"/>
            </w14:solidFill>
          </w14:textFill>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br w:type="page"/>
      </w:r>
    </w:p>
    <w:p>
      <w:pPr>
        <w:pStyle w:val="Heading3"/>
        <w:jc w:val="center"/>
        <w:rPr>
          <w:rFonts w:cs="宋体"/>
          <w:highlight w:val="none"/>
        </w:rPr>
      </w:pPr>
      <w:r>
        <w:rPr>
          <w:rFonts w:cs="宋体" w:hint="eastAsia"/>
          <w:b w:val="0"/>
          <w:color w:val="000000" w:themeColor="text1"/>
          <w:sz w:val="24"/>
          <w:highlight w:val="none"/>
          <w14:textFill>
            <w14:solidFill>
              <w14:schemeClr w14:val="tx1"/>
            </w14:solidFill>
          </w14:textFill>
        </w:rPr>
        <w:t>三、投标人情况及资格证明文件</w:t>
      </w:r>
    </w:p>
    <w:p>
      <w:pPr>
        <w:spacing w:line="360" w:lineRule="auto"/>
        <w:ind w:firstLine="2640" w:firstLineChars="1100"/>
        <w:outlineLvl w:val="3"/>
        <w:rPr>
          <w:rFonts w:ascii="宋体" w:eastAsia="宋体" w:hAnsi="宋体" w:cs="宋体"/>
          <w:bCs/>
          <w:color w:val="000000" w:themeColor="text1"/>
          <w:szCs w:val="32"/>
          <w:highlight w:val="none"/>
          <w14:textFill>
            <w14:solidFill>
              <w14:schemeClr w14:val="tx1"/>
            </w14:solidFill>
          </w14:textFill>
        </w:rPr>
      </w:pPr>
      <w:r>
        <w:rPr>
          <w:rFonts w:ascii="宋体" w:eastAsia="宋体" w:hAnsi="宋体" w:cs="宋体" w:hint="eastAsia"/>
          <w:bCs/>
          <w:color w:val="000000" w:themeColor="text1"/>
          <w:szCs w:val="32"/>
          <w:highlight w:val="none"/>
          <w14:textFill>
            <w14:solidFill>
              <w14:schemeClr w14:val="tx1"/>
            </w14:solidFill>
          </w14:textFill>
        </w:rPr>
        <w:t>（一）投标人资格证明文件</w:t>
      </w:r>
    </w:p>
    <w:p>
      <w:pPr>
        <w:spacing w:before="120" w:beforeLines="50"/>
        <w:ind w:firstLine="480" w:firstLineChars="200"/>
        <w:rPr>
          <w:rFonts w:ascii="宋体" w:eastAsia="宋体" w:hAnsi="宋体" w:cs="宋体"/>
          <w:b/>
          <w:bCs/>
          <w:color w:val="000000" w:themeColor="text1"/>
          <w:highlight w:val="none"/>
          <w14:textFill>
            <w14:solidFill>
              <w14:schemeClr w14:val="tx1"/>
            </w14:solidFill>
          </w14:textFill>
        </w:rPr>
      </w:pPr>
      <w:r>
        <w:rPr>
          <w:rFonts w:ascii="宋体" w:eastAsia="宋体" w:hAnsi="宋体" w:cs="宋体" w:hint="eastAsia"/>
          <w:b/>
          <w:bCs/>
          <w:color w:val="000000" w:themeColor="text1"/>
          <w:highlight w:val="none"/>
          <w14:textFill>
            <w14:solidFill>
              <w14:schemeClr w14:val="tx1"/>
            </w14:solidFill>
          </w14:textFill>
        </w:rPr>
        <w:t>（特别提示：投标人须按本招标文件第一册第一章招标公告 “申请人的资格要求”（即投标人资格要求）提供相关的资格证明资料，未提供或提供不完整、不符合要求的，将作投标无效处理。）</w:t>
      </w: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rPr>
          <w:rFonts w:ascii="宋体" w:eastAsia="宋体" w:hAnsi="宋体" w:cs="宋体"/>
          <w:highlight w:val="none"/>
        </w:rPr>
      </w:pPr>
    </w:p>
    <w:p>
      <w:pPr>
        <w:spacing w:line="360" w:lineRule="auto"/>
        <w:ind w:firstLine="960" w:firstLineChars="400"/>
        <w:jc w:val="center"/>
        <w:outlineLvl w:val="3"/>
        <w:rPr>
          <w:rFonts w:ascii="宋体" w:eastAsia="宋体" w:hAnsi="宋体" w:cs="宋体"/>
          <w:bCs/>
          <w:color w:val="000000" w:themeColor="text1"/>
          <w:szCs w:val="32"/>
          <w:highlight w:val="none"/>
          <w14:textFill>
            <w14:solidFill>
              <w14:schemeClr w14:val="tx1"/>
            </w14:solidFill>
          </w14:textFill>
        </w:rPr>
      </w:pPr>
      <w:r>
        <w:rPr>
          <w:rFonts w:ascii="宋体" w:eastAsia="宋体" w:hAnsi="宋体" w:cs="宋体" w:hint="eastAsia"/>
          <w:bCs/>
          <w:color w:val="000000" w:themeColor="text1"/>
          <w:szCs w:val="32"/>
          <w:highlight w:val="none"/>
          <w14:textFill>
            <w14:solidFill>
              <w14:schemeClr w14:val="tx1"/>
            </w14:solidFill>
          </w14:textFill>
        </w:rPr>
        <w:t>（二）中小企业声明函、残疾人福利性单位声明函及监狱企业声明函</w:t>
      </w:r>
    </w:p>
    <w:p>
      <w:pPr>
        <w:spacing w:line="360" w:lineRule="auto"/>
        <w:ind w:firstLine="480" w:firstLineChars="200"/>
        <w:rPr>
          <w:rFonts w:ascii="宋体" w:eastAsia="宋体" w:hAnsi="宋体" w:cs="宋体"/>
          <w:color w:val="FF0000"/>
          <w:highlight w:val="none"/>
        </w:rPr>
      </w:pPr>
      <w:r>
        <w:rPr>
          <w:rFonts w:ascii="宋体" w:eastAsia="宋体" w:hAnsi="宋体" w:cs="宋体" w:hint="eastAsia"/>
          <w:color w:val="FF0000"/>
          <w:szCs w:val="21"/>
          <w:highlight w:val="none"/>
        </w:rPr>
        <w:t>（</w:t>
      </w:r>
      <w:r>
        <w:rPr>
          <w:rFonts w:ascii="宋体" w:eastAsia="宋体" w:hAnsi="宋体" w:cs="宋体" w:hint="eastAsia"/>
          <w:b/>
          <w:bCs/>
          <w:color w:val="FF0000"/>
          <w:szCs w:val="21"/>
          <w:highlight w:val="none"/>
        </w:rPr>
        <w:t>不符合优惠政策要求的投标人无需提供相应的声明函</w:t>
      </w:r>
      <w:r>
        <w:rPr>
          <w:rFonts w:ascii="宋体" w:eastAsia="宋体" w:hAnsi="宋体" w:cs="宋体" w:hint="eastAsia"/>
          <w:color w:val="FF0000"/>
          <w:szCs w:val="21"/>
          <w:highlight w:val="none"/>
        </w:rPr>
        <w:t>，此项填“无”。声明函的有效性最终由评审委员会判定；</w:t>
      </w:r>
      <w:r>
        <w:rPr>
          <w:rFonts w:ascii="宋体" w:eastAsia="宋体" w:hAnsi="宋体" w:cs="宋体" w:hint="eastAsia"/>
          <w:b/>
          <w:bCs/>
          <w:color w:val="FF0000"/>
          <w:szCs w:val="21"/>
          <w:highlight w:val="none"/>
        </w:rPr>
        <w:t>如评审委员会判定声明函无效，相关供应商不享受价格扣除（但不作投标无效处理）</w:t>
      </w:r>
      <w:r>
        <w:rPr>
          <w:rFonts w:ascii="宋体" w:eastAsia="宋体" w:hAnsi="宋体" w:cs="宋体" w:hint="eastAsia"/>
          <w:color w:val="FF0000"/>
          <w:szCs w:val="21"/>
          <w:highlight w:val="none"/>
        </w:rPr>
        <w:t>）</w:t>
      </w:r>
    </w:p>
    <w:p>
      <w:pPr>
        <w:jc w:val="center"/>
        <w:rPr>
          <w:rFonts w:ascii="宋体" w:eastAsia="宋体" w:hAnsi="宋体" w:cs="宋体"/>
          <w:b/>
          <w:color w:val="000000" w:themeColor="text1"/>
          <w:highlight w:val="none"/>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jc w:val="center"/>
        <w:textAlignment w:val="auto"/>
        <w:outlineLvl w:val="4"/>
        <w:rPr>
          <w:rFonts w:ascii="宋体" w:eastAsia="宋体" w:hAnsi="宋体" w:cs="宋体"/>
          <w:b/>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 xml:space="preserve">1、中小企业声明函（服务） </w:t>
      </w:r>
    </w:p>
    <w:p>
      <w:pPr>
        <w:jc w:val="left"/>
        <w:rPr>
          <w:rFonts w:ascii="宋体" w:eastAsia="宋体" w:hAnsi="宋体" w:cs="宋体"/>
          <w:szCs w:val="21"/>
          <w:highlight w:val="none"/>
        </w:rPr>
      </w:pPr>
      <w:r>
        <w:rPr>
          <w:rFonts w:ascii="宋体" w:eastAsia="宋体" w:hAnsi="宋体" w:cs="宋体" w:hint="eastAsia"/>
          <w:szCs w:val="21"/>
          <w:highlight w:val="none"/>
        </w:rPr>
        <w:t>本投标人郑重声明，根据《政府采购促进中小企业发展管理办法》（财库﹝2020﹞46 号）的规定，本投标人参加</w:t>
      </w:r>
      <w:r>
        <w:rPr>
          <w:rFonts w:ascii="宋体" w:eastAsia="宋体" w:hAnsi="宋体" w:cs="宋体" w:hint="eastAsia"/>
          <w:b/>
          <w:bCs/>
          <w:szCs w:val="21"/>
          <w:highlight w:val="none"/>
          <w:u w:val="single"/>
        </w:rPr>
        <w:t>（</w:t>
      </w:r>
      <w:r>
        <w:rPr>
          <w:rFonts w:ascii="宋体" w:eastAsia="宋体" w:hAnsi="宋体" w:cs="宋体" w:hint="eastAsia"/>
          <w:b/>
          <w:bCs/>
          <w:szCs w:val="21"/>
          <w:highlight w:val="none"/>
          <w:u w:val="single"/>
          <w:lang w:val="en-US" w:eastAsia="zh-CN"/>
        </w:rPr>
        <w:t>深圳职业技术大学</w:t>
      </w:r>
      <w:r>
        <w:rPr>
          <w:rFonts w:ascii="宋体" w:eastAsia="宋体" w:hAnsi="宋体" w:cs="宋体" w:hint="eastAsia"/>
          <w:b/>
          <w:bCs/>
          <w:szCs w:val="21"/>
          <w:highlight w:val="none"/>
          <w:u w:val="single"/>
        </w:rPr>
        <w:t>）</w:t>
      </w:r>
      <w:r>
        <w:rPr>
          <w:rFonts w:ascii="宋体" w:eastAsia="宋体" w:hAnsi="宋体" w:cs="宋体" w:hint="eastAsia"/>
          <w:szCs w:val="21"/>
          <w:highlight w:val="none"/>
        </w:rPr>
        <w:t>的</w:t>
      </w:r>
      <w:r>
        <w:rPr>
          <w:rFonts w:ascii="宋体" w:eastAsia="宋体" w:hAnsi="宋体" w:cs="宋体" w:hint="eastAsia"/>
          <w:b/>
          <w:bCs/>
          <w:szCs w:val="21"/>
          <w:highlight w:val="none"/>
          <w:u w:val="single"/>
        </w:rPr>
        <w:t>（</w:t>
      </w:r>
      <w:r>
        <w:rPr>
          <w:rFonts w:ascii="宋体" w:eastAsia="宋体" w:hAnsi="宋体" w:cs="宋体" w:hint="eastAsia"/>
          <w:b/>
          <w:bCs/>
          <w:szCs w:val="21"/>
          <w:highlight w:val="none"/>
          <w:u w:val="single"/>
          <w:lang w:eastAsia="zh-CN"/>
        </w:rPr>
        <w:t>外文数字资源年度在线使用权</w:t>
      </w:r>
      <w:r>
        <w:rPr>
          <w:rFonts w:ascii="宋体" w:eastAsia="宋体" w:hAnsi="宋体" w:cs="宋体" w:hint="eastAsia"/>
          <w:b/>
          <w:bCs/>
          <w:szCs w:val="21"/>
          <w:highlight w:val="none"/>
          <w:u w:val="single"/>
        </w:rPr>
        <w:t>）</w:t>
      </w:r>
      <w:r>
        <w:rPr>
          <w:rFonts w:ascii="宋体" w:eastAsia="宋体" w:hAnsi="宋体" w:cs="宋体" w:hint="eastAsia"/>
          <w:szCs w:val="21"/>
          <w:highlight w:val="none"/>
        </w:rPr>
        <w:t>采购活动，服务全部由符合政策要求的中小企业承接。相关企业的具体情况如下：</w:t>
      </w:r>
    </w:p>
    <w:p>
      <w:pPr>
        <w:spacing w:after="60" w:afterLines="25" w:line="300" w:lineRule="auto"/>
        <w:ind w:firstLine="480" w:firstLineChars="200"/>
        <w:rPr>
          <w:rFonts w:ascii="宋体" w:eastAsia="宋体" w:hAnsi="宋体" w:cs="宋体"/>
          <w:szCs w:val="21"/>
          <w:highlight w:val="none"/>
        </w:rPr>
      </w:pPr>
      <w:r>
        <w:rPr>
          <w:rFonts w:ascii="宋体" w:eastAsia="宋体" w:hAnsi="宋体" w:cs="宋体" w:hint="eastAsia"/>
          <w:szCs w:val="21"/>
          <w:highlight w:val="none"/>
        </w:rPr>
        <w:t>1.</w:t>
      </w:r>
      <w:r>
        <w:rPr>
          <w:rFonts w:ascii="宋体" w:eastAsia="宋体" w:hAnsi="宋体" w:cs="宋体" w:hint="eastAsia"/>
          <w:b/>
          <w:bCs/>
          <w:szCs w:val="21"/>
          <w:highlight w:val="none"/>
          <w:u w:val="single"/>
        </w:rPr>
        <w:t xml:space="preserve"> （</w:t>
      </w:r>
      <w:r>
        <w:rPr>
          <w:rFonts w:ascii="宋体" w:eastAsia="宋体" w:hAnsi="宋体" w:cs="宋体" w:hint="eastAsia"/>
          <w:b/>
          <w:bCs/>
          <w:szCs w:val="21"/>
          <w:highlight w:val="none"/>
          <w:u w:val="single"/>
          <w:lang w:eastAsia="zh-CN"/>
        </w:rPr>
        <w:t>外文数字资源年度在线使用权</w:t>
      </w:r>
      <w:r>
        <w:rPr>
          <w:rFonts w:ascii="宋体" w:eastAsia="宋体" w:hAnsi="宋体" w:cs="宋体" w:hint="eastAsia"/>
          <w:b/>
          <w:bCs/>
          <w:szCs w:val="21"/>
          <w:highlight w:val="none"/>
          <w:u w:val="single"/>
        </w:rPr>
        <w:t>）</w:t>
      </w:r>
      <w:r>
        <w:rPr>
          <w:rFonts w:ascii="宋体" w:eastAsia="宋体" w:hAnsi="宋体" w:cs="宋体" w:hint="eastAsia"/>
          <w:szCs w:val="21"/>
          <w:highlight w:val="none"/>
        </w:rPr>
        <w:t xml:space="preserve"> ，属于</w:t>
      </w:r>
      <w:r>
        <w:rPr>
          <w:rFonts w:ascii="宋体" w:eastAsia="宋体" w:hAnsi="宋体" w:cs="宋体" w:hint="eastAsia"/>
          <w:b/>
          <w:bCs/>
          <w:szCs w:val="21"/>
          <w:highlight w:val="none"/>
          <w:u w:val="single"/>
          <w:lang w:eastAsia="zh-CN"/>
        </w:rPr>
        <w:t>（</w:t>
      </w:r>
      <w:r>
        <w:rPr>
          <w:rFonts w:ascii="宋体" w:eastAsia="宋体" w:hAnsi="宋体" w:cs="宋体" w:hint="eastAsia"/>
          <w:b/>
          <w:bCs/>
          <w:szCs w:val="21"/>
          <w:highlight w:val="none"/>
          <w:u w:val="single"/>
          <w:lang w:val="en-US" w:eastAsia="zh-CN"/>
        </w:rPr>
        <w:t>其他未列明行业</w:t>
      </w:r>
      <w:r>
        <w:rPr>
          <w:rFonts w:ascii="宋体" w:eastAsia="宋体" w:hAnsi="宋体" w:cs="宋体" w:hint="eastAsia"/>
          <w:b/>
          <w:bCs/>
          <w:szCs w:val="21"/>
          <w:highlight w:val="none"/>
          <w:u w:val="single"/>
          <w:lang w:eastAsia="zh-CN"/>
        </w:rPr>
        <w:t>）</w:t>
      </w:r>
      <w:r>
        <w:rPr>
          <w:rFonts w:ascii="宋体" w:eastAsia="宋体" w:hAnsi="宋体" w:cs="宋体" w:hint="eastAsia"/>
          <w:b/>
          <w:bCs/>
          <w:szCs w:val="21"/>
          <w:highlight w:val="none"/>
          <w:u w:val="single"/>
        </w:rPr>
        <w:t xml:space="preserve"> </w:t>
      </w:r>
      <w:r>
        <w:rPr>
          <w:rFonts w:ascii="宋体" w:eastAsia="宋体" w:hAnsi="宋体" w:cs="宋体" w:hint="eastAsia"/>
          <w:szCs w:val="21"/>
          <w:highlight w:val="none"/>
        </w:rPr>
        <w:t>行业；承接企业为</w:t>
      </w:r>
      <w:r>
        <w:rPr>
          <w:rFonts w:ascii="宋体" w:eastAsia="宋体" w:hAnsi="宋体" w:cs="宋体" w:hint="eastAsia"/>
          <w:b/>
          <w:bCs/>
          <w:szCs w:val="21"/>
          <w:highlight w:val="none"/>
          <w:u w:val="single"/>
        </w:rPr>
        <w:t>（企业名称）</w:t>
      </w:r>
      <w:r>
        <w:rPr>
          <w:rFonts w:ascii="宋体" w:eastAsia="宋体" w:hAnsi="宋体" w:cs="宋体" w:hint="eastAsia"/>
          <w:szCs w:val="21"/>
          <w:highlight w:val="none"/>
        </w:rPr>
        <w:t>，从业人员</w:t>
      </w:r>
      <w:r>
        <w:rPr>
          <w:rFonts w:ascii="宋体" w:eastAsia="宋体" w:hAnsi="宋体" w:cs="宋体" w:hint="eastAsia"/>
          <w:szCs w:val="21"/>
          <w:highlight w:val="none"/>
          <w:u w:val="single"/>
          <w:lang w:val="en-US" w:eastAsia="zh-CN"/>
        </w:rPr>
        <w:t xml:space="preserve">   </w:t>
      </w:r>
      <w:r>
        <w:rPr>
          <w:rFonts w:ascii="宋体" w:eastAsia="宋体" w:hAnsi="宋体" w:cs="宋体" w:hint="eastAsia"/>
          <w:szCs w:val="21"/>
          <w:highlight w:val="none"/>
        </w:rPr>
        <w:t>人，营业收入为</w:t>
      </w:r>
      <w:r>
        <w:rPr>
          <w:rFonts w:ascii="宋体" w:eastAsia="宋体" w:hAnsi="宋体" w:cs="宋体" w:hint="eastAsia"/>
          <w:szCs w:val="21"/>
          <w:highlight w:val="none"/>
          <w:u w:val="single"/>
          <w:lang w:val="en-US" w:eastAsia="zh-CN"/>
        </w:rPr>
        <w:t xml:space="preserve">  </w:t>
      </w:r>
      <w:r>
        <w:rPr>
          <w:rFonts w:ascii="宋体" w:eastAsia="宋体" w:hAnsi="宋体" w:cs="宋体" w:hint="eastAsia"/>
          <w:szCs w:val="21"/>
          <w:highlight w:val="none"/>
        </w:rPr>
        <w:t>万元，资产总额为</w:t>
      </w:r>
      <w:r>
        <w:rPr>
          <w:rFonts w:ascii="宋体" w:eastAsia="宋体" w:hAnsi="宋体" w:cs="宋体" w:hint="eastAsia"/>
          <w:szCs w:val="21"/>
          <w:highlight w:val="none"/>
          <w:u w:val="single"/>
          <w:lang w:val="en-US" w:eastAsia="zh-CN"/>
        </w:rPr>
        <w:t xml:space="preserve">    </w:t>
      </w:r>
      <w:r>
        <w:rPr>
          <w:rFonts w:ascii="宋体" w:eastAsia="宋体" w:hAnsi="宋体" w:cs="宋体" w:hint="eastAsia"/>
          <w:szCs w:val="21"/>
          <w:highlight w:val="none"/>
        </w:rPr>
        <w:t>万元 ，属于</w:t>
      </w:r>
      <w:r>
        <w:rPr>
          <w:rFonts w:ascii="宋体" w:eastAsia="宋体" w:hAnsi="宋体" w:cs="宋体" w:hint="eastAsia"/>
          <w:b/>
          <w:bCs/>
          <w:szCs w:val="21"/>
          <w:highlight w:val="none"/>
          <w:u w:val="single"/>
        </w:rPr>
        <w:t>（</w:t>
      </w:r>
      <w:r>
        <w:rPr>
          <w:rFonts w:ascii="宋体" w:eastAsia="宋体" w:hAnsi="宋体" w:cs="宋体" w:hint="eastAsia"/>
          <w:b/>
          <w:bCs/>
          <w:szCs w:val="21"/>
          <w:highlight w:val="none"/>
          <w:u w:val="single"/>
          <w:lang w:val="en-US" w:eastAsia="zh-CN"/>
        </w:rPr>
        <w:t>请选择填写：</w:t>
      </w:r>
      <w:r>
        <w:rPr>
          <w:rFonts w:ascii="宋体" w:eastAsia="宋体" w:hAnsi="宋体" w:cs="宋体" w:hint="eastAsia"/>
          <w:b/>
          <w:bCs/>
          <w:szCs w:val="21"/>
          <w:highlight w:val="none"/>
          <w:u w:val="single"/>
        </w:rPr>
        <w:t>中型企业、小型企业、微型企业）</w:t>
      </w:r>
      <w:r>
        <w:rPr>
          <w:rFonts w:ascii="宋体" w:eastAsia="宋体" w:hAnsi="宋体" w:cs="宋体" w:hint="eastAsia"/>
          <w:szCs w:val="21"/>
          <w:highlight w:val="none"/>
        </w:rPr>
        <w:t xml:space="preserve">； </w:t>
      </w:r>
    </w:p>
    <w:p>
      <w:pPr>
        <w:spacing w:after="60" w:afterLines="25" w:line="300" w:lineRule="auto"/>
        <w:ind w:firstLine="480" w:firstLineChars="200"/>
        <w:rPr>
          <w:rFonts w:ascii="宋体" w:eastAsia="宋体" w:hAnsi="宋体" w:cs="宋体"/>
          <w:szCs w:val="21"/>
          <w:highlight w:val="none"/>
        </w:rPr>
      </w:pPr>
      <w:r>
        <w:rPr>
          <w:rFonts w:ascii="宋体" w:eastAsia="宋体" w:hAnsi="宋体" w:cs="宋体" w:hint="eastAsia"/>
          <w:szCs w:val="21"/>
          <w:highlight w:val="none"/>
        </w:rPr>
        <w:t xml:space="preserve">…… </w:t>
      </w:r>
    </w:p>
    <w:p>
      <w:pPr>
        <w:spacing w:after="60" w:afterLines="25" w:line="300" w:lineRule="auto"/>
        <w:ind w:firstLine="480" w:firstLineChars="200"/>
        <w:rPr>
          <w:rFonts w:ascii="宋体" w:eastAsia="宋体" w:hAnsi="宋体" w:cs="宋体"/>
          <w:szCs w:val="21"/>
          <w:highlight w:val="none"/>
        </w:rPr>
      </w:pPr>
      <w:r>
        <w:rPr>
          <w:rFonts w:ascii="宋体" w:eastAsia="宋体" w:hAnsi="宋体" w:cs="宋体" w:hint="eastAsia"/>
          <w:szCs w:val="21"/>
          <w:highlight w:val="none"/>
        </w:rPr>
        <w:t>以上企业，不属于大企业的分支机构，不存在控股股东为大企业的情形，也不存在与大企业的负责人为同一人的情形。</w:t>
      </w:r>
    </w:p>
    <w:p>
      <w:pPr>
        <w:spacing w:after="60" w:afterLines="25" w:line="300" w:lineRule="auto"/>
        <w:ind w:firstLine="480" w:firstLineChars="200"/>
        <w:rPr>
          <w:rFonts w:ascii="宋体" w:eastAsia="宋体" w:hAnsi="宋体" w:cs="宋体"/>
          <w:szCs w:val="21"/>
          <w:highlight w:val="none"/>
        </w:rPr>
      </w:pPr>
      <w:bookmarkStart w:id="40" w:name="_Hlk73562275"/>
      <w:r>
        <w:rPr>
          <w:rFonts w:ascii="宋体" w:eastAsia="宋体" w:hAnsi="宋体" w:cs="宋体" w:hint="eastAsia"/>
          <w:szCs w:val="21"/>
          <w:highlight w:val="none"/>
        </w:rPr>
        <w:t>本投标人已知悉《政府采购促进中小企业发展管理办法》（财库〔2020〕46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40"/>
    </w:p>
    <w:p>
      <w:pPr>
        <w:wordWrap w:val="0"/>
        <w:spacing w:after="60" w:afterLines="25" w:line="300" w:lineRule="auto"/>
        <w:ind w:firstLine="480" w:firstLineChars="200"/>
        <w:jc w:val="right"/>
        <w:rPr>
          <w:rFonts w:ascii="宋体" w:eastAsia="宋体" w:hAnsi="宋体" w:cs="宋体"/>
          <w:szCs w:val="21"/>
          <w:highlight w:val="none"/>
        </w:rPr>
      </w:pPr>
      <w:r>
        <w:rPr>
          <w:rFonts w:ascii="宋体" w:eastAsia="宋体" w:hAnsi="宋体" w:cs="宋体" w:hint="eastAsia"/>
          <w:szCs w:val="21"/>
          <w:highlight w:val="none"/>
        </w:rPr>
        <w:t xml:space="preserve">     投标人（投标单位）：       </w:t>
      </w:r>
    </w:p>
    <w:p>
      <w:pPr>
        <w:ind w:firstLine="6720" w:firstLineChars="2800"/>
        <w:rPr>
          <w:rFonts w:ascii="宋体" w:eastAsia="宋体" w:hAnsi="宋体" w:cs="宋体"/>
          <w:highlight w:val="none"/>
        </w:rPr>
      </w:pPr>
      <w:r>
        <w:rPr>
          <w:rFonts w:ascii="宋体" w:eastAsia="宋体" w:hAnsi="宋体" w:cs="宋体" w:hint="eastAsia"/>
          <w:szCs w:val="21"/>
          <w:highlight w:val="none"/>
        </w:rPr>
        <w:t>日期：</w:t>
      </w:r>
    </w:p>
    <w:p>
      <w:pPr>
        <w:rPr>
          <w:rFonts w:ascii="宋体" w:eastAsia="宋体" w:hAnsi="宋体" w:cs="宋体"/>
          <w:highlight w:val="none"/>
        </w:rPr>
      </w:pPr>
    </w:p>
    <w:p>
      <w:pPr>
        <w:keepNext w:val="0"/>
        <w:keepLines w:val="0"/>
        <w:pageBreakBefore w:val="0"/>
        <w:widowControl/>
        <w:kinsoku/>
        <w:wordWrap/>
        <w:overflowPunct/>
        <w:topLinePunct w:val="0"/>
        <w:autoSpaceDE/>
        <w:autoSpaceDN/>
        <w:bidi w:val="0"/>
        <w:adjustRightInd/>
        <w:snapToGrid/>
        <w:jc w:val="center"/>
        <w:textAlignment w:val="auto"/>
        <w:outlineLvl w:val="4"/>
        <w:rPr>
          <w:rFonts w:ascii="宋体" w:eastAsia="宋体" w:hAnsi="宋体" w:cs="宋体" w:hint="eastAsia"/>
          <w:b/>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2、残疾人福利性单位声明函（服务类）</w:t>
      </w:r>
    </w:p>
    <w:p>
      <w:pPr>
        <w:rPr>
          <w:rFonts w:ascii="宋体" w:eastAsia="宋体" w:hAnsi="宋体" w:cs="宋体"/>
          <w:b/>
          <w:bCs/>
          <w:color w:val="000000" w:themeColor="text1"/>
          <w:highlight w:val="none"/>
          <w14:textFill>
            <w14:solidFill>
              <w14:schemeClr w14:val="tx1"/>
            </w14:solidFill>
          </w14:textFill>
        </w:rPr>
      </w:pPr>
    </w:p>
    <w:p>
      <w:pPr>
        <w:spacing w:after="60" w:afterLines="25" w:line="300" w:lineRule="auto"/>
        <w:ind w:firstLine="480" w:firstLineChars="200"/>
        <w:rPr>
          <w:rFonts w:ascii="宋体" w:eastAsia="宋体" w:hAnsi="宋体" w:cs="宋体"/>
          <w:szCs w:val="21"/>
          <w:highlight w:val="none"/>
        </w:rPr>
      </w:pPr>
      <w:r>
        <w:rPr>
          <w:rFonts w:ascii="宋体" w:eastAsia="宋体" w:hAnsi="宋体" w:cs="宋体" w:hint="eastAsia"/>
          <w:szCs w:val="21"/>
          <w:highlight w:val="none"/>
        </w:rPr>
        <w:t>本投标人郑重声明，根据《财政部民政部中国残疾人联合会关于促进残疾人就业政府采购政策的通知》（财库〔2017〕141 号）的规定，本投标人参加</w:t>
      </w:r>
      <w:r>
        <w:rPr>
          <w:rFonts w:ascii="宋体" w:eastAsia="宋体" w:hAnsi="宋体" w:cs="宋体" w:hint="eastAsia"/>
          <w:b/>
          <w:bCs/>
          <w:szCs w:val="21"/>
          <w:highlight w:val="none"/>
          <w:u w:val="single"/>
        </w:rPr>
        <w:t>（采购人名称）</w:t>
      </w:r>
      <w:r>
        <w:rPr>
          <w:rFonts w:ascii="宋体" w:eastAsia="宋体" w:hAnsi="宋体" w:cs="宋体" w:hint="eastAsia"/>
          <w:szCs w:val="21"/>
          <w:highlight w:val="none"/>
        </w:rPr>
        <w:t>的</w:t>
      </w:r>
      <w:r>
        <w:rPr>
          <w:rFonts w:ascii="宋体" w:eastAsia="宋体" w:hAnsi="宋体" w:cs="宋体" w:hint="eastAsia"/>
          <w:b/>
          <w:bCs/>
          <w:szCs w:val="21"/>
          <w:highlight w:val="none"/>
          <w:u w:val="single"/>
        </w:rPr>
        <w:t>（项目名称）</w:t>
      </w:r>
      <w:r>
        <w:rPr>
          <w:rFonts w:ascii="宋体" w:eastAsia="宋体" w:hAnsi="宋体" w:cs="宋体" w:hint="eastAsia"/>
          <w:szCs w:val="21"/>
          <w:highlight w:val="none"/>
        </w:rPr>
        <w:t>采购活动，服务全部由符合政策要求的残疾人福利性单位承接。相关残疾人福利性单位的具体情况如下：</w:t>
      </w:r>
    </w:p>
    <w:p>
      <w:pPr>
        <w:spacing w:after="60" w:afterLines="25" w:line="300" w:lineRule="auto"/>
        <w:ind w:firstLine="480" w:firstLineChars="200"/>
        <w:rPr>
          <w:rFonts w:ascii="宋体" w:eastAsia="宋体" w:hAnsi="宋体" w:cs="宋体"/>
          <w:szCs w:val="21"/>
          <w:highlight w:val="none"/>
        </w:rPr>
      </w:pPr>
      <w:r>
        <w:rPr>
          <w:rFonts w:ascii="宋体" w:eastAsia="宋体" w:hAnsi="宋体" w:cs="宋体" w:hint="eastAsia"/>
          <w:szCs w:val="21"/>
          <w:highlight w:val="none"/>
        </w:rPr>
        <w:t>1.</w:t>
      </w:r>
      <w:r>
        <w:rPr>
          <w:rFonts w:ascii="宋体" w:eastAsia="宋体" w:hAnsi="宋体" w:cs="宋体" w:hint="eastAsia"/>
          <w:b/>
          <w:bCs/>
          <w:szCs w:val="21"/>
          <w:highlight w:val="none"/>
          <w:u w:val="single"/>
        </w:rPr>
        <w:t xml:space="preserve"> （标的名称）</w:t>
      </w:r>
      <w:r>
        <w:rPr>
          <w:rFonts w:ascii="宋体" w:eastAsia="宋体" w:hAnsi="宋体" w:cs="宋体" w:hint="eastAsia"/>
          <w:szCs w:val="21"/>
          <w:highlight w:val="none"/>
        </w:rPr>
        <w:t>，承接企业为</w:t>
      </w:r>
      <w:r>
        <w:rPr>
          <w:rFonts w:ascii="宋体" w:eastAsia="宋体" w:hAnsi="宋体" w:cs="宋体" w:hint="eastAsia"/>
          <w:b/>
          <w:bCs/>
          <w:szCs w:val="21"/>
          <w:highlight w:val="none"/>
          <w:u w:val="single"/>
        </w:rPr>
        <w:t>（单位名称）</w:t>
      </w:r>
      <w:r>
        <w:rPr>
          <w:rFonts w:ascii="宋体" w:eastAsia="宋体" w:hAnsi="宋体" w:cs="宋体" w:hint="eastAsia"/>
          <w:szCs w:val="21"/>
          <w:highlight w:val="none"/>
        </w:rPr>
        <w:t>，属于</w:t>
      </w:r>
      <w:r>
        <w:rPr>
          <w:rFonts w:ascii="宋体" w:eastAsia="宋体" w:hAnsi="宋体" w:cs="宋体" w:hint="eastAsia"/>
          <w:b/>
          <w:bCs/>
          <w:szCs w:val="21"/>
          <w:highlight w:val="none"/>
          <w:u w:val="single"/>
        </w:rPr>
        <w:t>残疾人福利性单位</w:t>
      </w:r>
      <w:r>
        <w:rPr>
          <w:rFonts w:ascii="宋体" w:eastAsia="宋体" w:hAnsi="宋体" w:cs="宋体" w:hint="eastAsia"/>
          <w:szCs w:val="21"/>
          <w:highlight w:val="none"/>
        </w:rPr>
        <w:t>；</w:t>
      </w:r>
    </w:p>
    <w:p>
      <w:pPr>
        <w:spacing w:after="60" w:afterLines="25" w:line="300" w:lineRule="auto"/>
        <w:ind w:firstLine="480" w:firstLineChars="200"/>
        <w:rPr>
          <w:rFonts w:ascii="宋体" w:eastAsia="宋体" w:hAnsi="宋体" w:cs="宋体"/>
          <w:szCs w:val="21"/>
          <w:highlight w:val="none"/>
        </w:rPr>
      </w:pPr>
      <w:r>
        <w:rPr>
          <w:rFonts w:ascii="宋体" w:eastAsia="宋体" w:hAnsi="宋体" w:cs="宋体" w:hint="eastAsia"/>
          <w:szCs w:val="21"/>
          <w:highlight w:val="none"/>
        </w:rPr>
        <w:t>2.</w:t>
      </w:r>
      <w:r>
        <w:rPr>
          <w:rFonts w:ascii="宋体" w:eastAsia="宋体" w:hAnsi="宋体" w:cs="宋体" w:hint="eastAsia"/>
          <w:b/>
          <w:bCs/>
          <w:szCs w:val="21"/>
          <w:highlight w:val="none"/>
          <w:u w:val="single"/>
        </w:rPr>
        <w:t xml:space="preserve"> （标的名称）</w:t>
      </w:r>
      <w:r>
        <w:rPr>
          <w:rFonts w:ascii="宋体" w:eastAsia="宋体" w:hAnsi="宋体" w:cs="宋体" w:hint="eastAsia"/>
          <w:szCs w:val="21"/>
          <w:highlight w:val="none"/>
        </w:rPr>
        <w:t>，承接企业为</w:t>
      </w:r>
      <w:r>
        <w:rPr>
          <w:rFonts w:ascii="宋体" w:eastAsia="宋体" w:hAnsi="宋体" w:cs="宋体" w:hint="eastAsia"/>
          <w:b/>
          <w:bCs/>
          <w:szCs w:val="21"/>
          <w:highlight w:val="none"/>
          <w:u w:val="single"/>
        </w:rPr>
        <w:t>（单位名称）</w:t>
      </w:r>
      <w:r>
        <w:rPr>
          <w:rFonts w:ascii="宋体" w:eastAsia="宋体" w:hAnsi="宋体" w:cs="宋体" w:hint="eastAsia"/>
          <w:szCs w:val="21"/>
          <w:highlight w:val="none"/>
        </w:rPr>
        <w:t>，属于</w:t>
      </w:r>
      <w:r>
        <w:rPr>
          <w:rFonts w:ascii="宋体" w:eastAsia="宋体" w:hAnsi="宋体" w:cs="宋体" w:hint="eastAsia"/>
          <w:b/>
          <w:bCs/>
          <w:szCs w:val="21"/>
          <w:highlight w:val="none"/>
          <w:u w:val="single"/>
        </w:rPr>
        <w:t>残疾人福利性单位</w:t>
      </w:r>
      <w:r>
        <w:rPr>
          <w:rFonts w:ascii="宋体" w:eastAsia="宋体" w:hAnsi="宋体" w:cs="宋体" w:hint="eastAsia"/>
          <w:szCs w:val="21"/>
          <w:highlight w:val="none"/>
        </w:rPr>
        <w:t>。</w:t>
      </w:r>
    </w:p>
    <w:p>
      <w:pPr>
        <w:spacing w:after="60" w:afterLines="25" w:line="300" w:lineRule="auto"/>
        <w:ind w:firstLine="480" w:firstLineChars="200"/>
        <w:rPr>
          <w:rFonts w:ascii="宋体" w:eastAsia="宋体" w:hAnsi="宋体" w:cs="宋体"/>
          <w:szCs w:val="21"/>
          <w:highlight w:val="none"/>
        </w:rPr>
      </w:pPr>
      <w:r>
        <w:rPr>
          <w:rFonts w:ascii="宋体" w:eastAsia="宋体" w:hAnsi="宋体" w:cs="宋体" w:hint="eastAsia"/>
          <w:szCs w:val="21"/>
          <w:highlight w:val="none"/>
        </w:rPr>
        <w:t xml:space="preserve">…… </w:t>
      </w:r>
    </w:p>
    <w:p>
      <w:pPr>
        <w:spacing w:after="60" w:afterLines="25" w:line="300" w:lineRule="auto"/>
        <w:ind w:firstLine="480" w:firstLineChars="200"/>
        <w:rPr>
          <w:rFonts w:ascii="宋体" w:eastAsia="宋体" w:hAnsi="宋体" w:cs="宋体"/>
          <w:szCs w:val="21"/>
          <w:highlight w:val="none"/>
        </w:rPr>
      </w:pPr>
      <w:r>
        <w:rPr>
          <w:rFonts w:ascii="宋体" w:eastAsia="宋体" w:hAnsi="宋体" w:cs="宋体" w:hint="eastAsia"/>
          <w:szCs w:val="21"/>
          <w:highlight w:val="none"/>
        </w:rPr>
        <w:t>本投标人已知悉《财政部民政部中国残疾人联合会关于促进残疾人就业政府采购政策的通知》（财库〔2017〕141 号）的规定，承诺提供的声明函内容是真实的，如提供声明函内容不实，则依法追究相关法律责任。</w:t>
      </w:r>
    </w:p>
    <w:p>
      <w:pPr>
        <w:spacing w:after="60" w:afterLines="25" w:line="560" w:lineRule="exact"/>
        <w:ind w:firstLine="480" w:firstLineChars="200"/>
        <w:jc w:val="center"/>
        <w:rPr>
          <w:rFonts w:ascii="宋体" w:eastAsia="宋体" w:hAnsi="宋体" w:cs="宋体"/>
          <w:highlight w:val="none"/>
        </w:rPr>
      </w:pPr>
    </w:p>
    <w:p>
      <w:pPr>
        <w:wordWrap w:val="0"/>
        <w:spacing w:after="60" w:afterLines="25" w:line="300" w:lineRule="auto"/>
        <w:ind w:firstLine="480" w:firstLineChars="200"/>
        <w:jc w:val="right"/>
        <w:rPr>
          <w:rFonts w:ascii="宋体" w:eastAsia="宋体" w:hAnsi="宋体" w:cs="宋体"/>
          <w:szCs w:val="21"/>
          <w:highlight w:val="none"/>
        </w:rPr>
      </w:pPr>
      <w:r>
        <w:rPr>
          <w:rFonts w:ascii="宋体" w:eastAsia="宋体" w:hAnsi="宋体" w:cs="宋体" w:hint="eastAsia"/>
          <w:szCs w:val="21"/>
          <w:highlight w:val="none"/>
        </w:rPr>
        <w:t xml:space="preserve">投标人（投标单位）：       </w:t>
      </w:r>
    </w:p>
    <w:p>
      <w:pPr>
        <w:ind w:firstLine="6720" w:firstLineChars="28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szCs w:val="21"/>
          <w:highlight w:val="none"/>
        </w:rPr>
        <w:t>日期：</w:t>
      </w:r>
    </w:p>
    <w:p>
      <w:pPr>
        <w:ind w:firstLine="480" w:firstLineChars="200"/>
        <w:rPr>
          <w:rFonts w:ascii="宋体" w:eastAsia="宋体" w:hAnsi="宋体" w:cs="宋体"/>
          <w:color w:val="000000" w:themeColor="text1"/>
          <w:szCs w:val="21"/>
          <w:highlight w:val="none"/>
          <w14:textFill>
            <w14:solidFill>
              <w14:schemeClr w14:val="tx1"/>
            </w14:solidFill>
          </w14:textFill>
        </w:rPr>
      </w:pPr>
    </w:p>
    <w:p>
      <w:pPr>
        <w:ind w:firstLine="480" w:firstLineChars="200"/>
        <w:rPr>
          <w:rFonts w:ascii="宋体" w:eastAsia="宋体" w:hAnsi="宋体" w:cs="宋体"/>
          <w:color w:val="000000" w:themeColor="text1"/>
          <w:szCs w:val="21"/>
          <w:highlight w:val="none"/>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jc w:val="center"/>
        <w:textAlignment w:val="auto"/>
        <w:outlineLvl w:val="4"/>
        <w:rPr>
          <w:rFonts w:ascii="宋体" w:eastAsia="宋体" w:hAnsi="宋体" w:cs="宋体" w:hint="eastAsia"/>
          <w:b/>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3、监狱企业声明函【服务类，监狱企业如需享受优惠政策，还须另行提供省级以上监狱管理局、戒毒管理局（含新疆生产建设兵团）出具的监狱企业证明文件】</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本投标人郑重声明，根据《财政部司法部关于政府采购支持监狱企业发展有关问题的通知》（财库〔2014〕68号）的规定，本投标人参加</w:t>
      </w:r>
      <w:r>
        <w:rPr>
          <w:rFonts w:ascii="宋体" w:eastAsia="宋体" w:hAnsi="宋体" w:cs="宋体" w:hint="eastAsia"/>
          <w:b/>
          <w:bCs/>
          <w:color w:val="000000" w:themeColor="text1"/>
          <w:szCs w:val="21"/>
          <w:highlight w:val="none"/>
          <w:u w:val="single"/>
          <w14:textFill>
            <w14:solidFill>
              <w14:schemeClr w14:val="tx1"/>
            </w14:solidFill>
          </w14:textFill>
        </w:rPr>
        <w:t>（采购人名称）</w:t>
      </w:r>
      <w:r>
        <w:rPr>
          <w:rFonts w:ascii="宋体" w:eastAsia="宋体" w:hAnsi="宋体" w:cs="宋体" w:hint="eastAsia"/>
          <w:color w:val="000000" w:themeColor="text1"/>
          <w:szCs w:val="21"/>
          <w:highlight w:val="none"/>
          <w14:textFill>
            <w14:solidFill>
              <w14:schemeClr w14:val="tx1"/>
            </w14:solidFill>
          </w14:textFill>
        </w:rPr>
        <w:t>的</w:t>
      </w:r>
      <w:r>
        <w:rPr>
          <w:rFonts w:ascii="宋体" w:eastAsia="宋体" w:hAnsi="宋体" w:cs="宋体" w:hint="eastAsia"/>
          <w:b/>
          <w:bCs/>
          <w:color w:val="000000" w:themeColor="text1"/>
          <w:szCs w:val="21"/>
          <w:highlight w:val="none"/>
          <w:u w:val="single"/>
          <w14:textFill>
            <w14:solidFill>
              <w14:schemeClr w14:val="tx1"/>
            </w14:solidFill>
          </w14:textFill>
        </w:rPr>
        <w:t>（项目名称）</w:t>
      </w:r>
      <w:r>
        <w:rPr>
          <w:rFonts w:ascii="宋体" w:eastAsia="宋体" w:hAnsi="宋体" w:cs="宋体" w:hint="eastAsia"/>
          <w:color w:val="000000" w:themeColor="text1"/>
          <w:szCs w:val="21"/>
          <w:highlight w:val="none"/>
          <w14:textFill>
            <w14:solidFill>
              <w14:schemeClr w14:val="tx1"/>
            </w14:solidFill>
          </w14:textFill>
        </w:rPr>
        <w:t>采购活动，服务全部由符合政策要求的监狱企业承接。相关监狱企业的具体情况如下：</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w:t>
      </w:r>
      <w:r>
        <w:rPr>
          <w:rFonts w:ascii="宋体" w:eastAsia="宋体" w:hAnsi="宋体" w:cs="宋体" w:hint="eastAsia"/>
          <w:b/>
          <w:bCs/>
          <w:color w:val="000000" w:themeColor="text1"/>
          <w:szCs w:val="21"/>
          <w:highlight w:val="none"/>
          <w:u w:val="single"/>
          <w14:textFill>
            <w14:solidFill>
              <w14:schemeClr w14:val="tx1"/>
            </w14:solidFill>
          </w14:textFill>
        </w:rPr>
        <w:t xml:space="preserve"> （标的名称）</w:t>
      </w:r>
      <w:r>
        <w:rPr>
          <w:rFonts w:ascii="宋体" w:eastAsia="宋体" w:hAnsi="宋体" w:cs="宋体" w:hint="eastAsia"/>
          <w:color w:val="000000" w:themeColor="text1"/>
          <w:szCs w:val="21"/>
          <w:highlight w:val="none"/>
          <w14:textFill>
            <w14:solidFill>
              <w14:schemeClr w14:val="tx1"/>
            </w14:solidFill>
          </w14:textFill>
        </w:rPr>
        <w:t xml:space="preserve"> ，承接单位为</w:t>
      </w:r>
      <w:r>
        <w:rPr>
          <w:rFonts w:ascii="宋体" w:eastAsia="宋体" w:hAnsi="宋体" w:cs="宋体" w:hint="eastAsia"/>
          <w:b/>
          <w:bCs/>
          <w:color w:val="000000" w:themeColor="text1"/>
          <w:szCs w:val="21"/>
          <w:highlight w:val="none"/>
          <w:u w:val="single"/>
          <w14:textFill>
            <w14:solidFill>
              <w14:schemeClr w14:val="tx1"/>
            </w14:solidFill>
          </w14:textFill>
        </w:rPr>
        <w:t>（企业名称）</w:t>
      </w:r>
      <w:r>
        <w:rPr>
          <w:rFonts w:ascii="宋体" w:eastAsia="宋体" w:hAnsi="宋体" w:cs="宋体" w:hint="eastAsia"/>
          <w:color w:val="000000" w:themeColor="text1"/>
          <w:szCs w:val="21"/>
          <w:highlight w:val="none"/>
          <w14:textFill>
            <w14:solidFill>
              <w14:schemeClr w14:val="tx1"/>
            </w14:solidFill>
          </w14:textFill>
        </w:rPr>
        <w:t>，属于</w:t>
      </w:r>
      <w:r>
        <w:rPr>
          <w:rFonts w:ascii="宋体" w:eastAsia="宋体" w:hAnsi="宋体" w:cs="宋体" w:hint="eastAsia"/>
          <w:b/>
          <w:bCs/>
          <w:color w:val="000000" w:themeColor="text1"/>
          <w:szCs w:val="21"/>
          <w:highlight w:val="none"/>
          <w:u w:val="single"/>
          <w14:textFill>
            <w14:solidFill>
              <w14:schemeClr w14:val="tx1"/>
            </w14:solidFill>
          </w14:textFill>
        </w:rPr>
        <w:t>监狱企业</w:t>
      </w:r>
      <w:r>
        <w:rPr>
          <w:rFonts w:ascii="宋体" w:eastAsia="宋体" w:hAnsi="宋体" w:cs="宋体" w:hint="eastAsia"/>
          <w:color w:val="000000" w:themeColor="text1"/>
          <w:szCs w:val="21"/>
          <w:highlight w:val="none"/>
          <w14:textFill>
            <w14:solidFill>
              <w14:schemeClr w14:val="tx1"/>
            </w14:solidFill>
          </w14:textFill>
        </w:rPr>
        <w:t>；</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w:t>
      </w:r>
      <w:r>
        <w:rPr>
          <w:rFonts w:ascii="宋体" w:eastAsia="宋体" w:hAnsi="宋体" w:cs="宋体" w:hint="eastAsia"/>
          <w:b/>
          <w:bCs/>
          <w:color w:val="000000" w:themeColor="text1"/>
          <w:szCs w:val="21"/>
          <w:highlight w:val="none"/>
          <w:u w:val="single"/>
          <w14:textFill>
            <w14:solidFill>
              <w14:schemeClr w14:val="tx1"/>
            </w14:solidFill>
          </w14:textFill>
        </w:rPr>
        <w:t xml:space="preserve"> （标的名称）</w:t>
      </w:r>
      <w:r>
        <w:rPr>
          <w:rFonts w:ascii="宋体" w:eastAsia="宋体" w:hAnsi="宋体" w:cs="宋体" w:hint="eastAsia"/>
          <w:color w:val="000000" w:themeColor="text1"/>
          <w:szCs w:val="21"/>
          <w:highlight w:val="none"/>
          <w14:textFill>
            <w14:solidFill>
              <w14:schemeClr w14:val="tx1"/>
            </w14:solidFill>
          </w14:textFill>
        </w:rPr>
        <w:t xml:space="preserve"> ，承接单位为</w:t>
      </w:r>
      <w:r>
        <w:rPr>
          <w:rFonts w:ascii="宋体" w:eastAsia="宋体" w:hAnsi="宋体" w:cs="宋体" w:hint="eastAsia"/>
          <w:b/>
          <w:bCs/>
          <w:color w:val="000000" w:themeColor="text1"/>
          <w:szCs w:val="21"/>
          <w:highlight w:val="none"/>
          <w:u w:val="single"/>
          <w14:textFill>
            <w14:solidFill>
              <w14:schemeClr w14:val="tx1"/>
            </w14:solidFill>
          </w14:textFill>
        </w:rPr>
        <w:t>（企业名称）</w:t>
      </w:r>
      <w:r>
        <w:rPr>
          <w:rFonts w:ascii="宋体" w:eastAsia="宋体" w:hAnsi="宋体" w:cs="宋体" w:hint="eastAsia"/>
          <w:color w:val="000000" w:themeColor="text1"/>
          <w:szCs w:val="21"/>
          <w:highlight w:val="none"/>
          <w14:textFill>
            <w14:solidFill>
              <w14:schemeClr w14:val="tx1"/>
            </w14:solidFill>
          </w14:textFill>
        </w:rPr>
        <w:t>，属于</w:t>
      </w:r>
      <w:r>
        <w:rPr>
          <w:rFonts w:ascii="宋体" w:eastAsia="宋体" w:hAnsi="宋体" w:cs="宋体" w:hint="eastAsia"/>
          <w:b/>
          <w:bCs/>
          <w:color w:val="000000" w:themeColor="text1"/>
          <w:szCs w:val="21"/>
          <w:highlight w:val="none"/>
          <w:u w:val="single"/>
          <w14:textFill>
            <w14:solidFill>
              <w14:schemeClr w14:val="tx1"/>
            </w14:solidFill>
          </w14:textFill>
        </w:rPr>
        <w:t>监狱企业</w:t>
      </w:r>
      <w:r>
        <w:rPr>
          <w:rFonts w:ascii="宋体" w:eastAsia="宋体" w:hAnsi="宋体" w:cs="宋体" w:hint="eastAsia"/>
          <w:color w:val="000000" w:themeColor="text1"/>
          <w:szCs w:val="21"/>
          <w:highlight w:val="none"/>
          <w14:textFill>
            <w14:solidFill>
              <w14:schemeClr w14:val="tx1"/>
            </w14:solidFill>
          </w14:textFill>
        </w:rPr>
        <w:t>。</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 xml:space="preserve">…… </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本投标人对上述声明内容的真实性负责。如有虚假，将依法承担相应责任。</w:t>
      </w:r>
    </w:p>
    <w:p>
      <w:pPr>
        <w:ind w:firstLine="480" w:firstLineChars="200"/>
        <w:rPr>
          <w:rFonts w:ascii="宋体" w:eastAsia="宋体" w:hAnsi="宋体" w:cs="宋体"/>
          <w:color w:val="FF0000"/>
          <w:szCs w:val="21"/>
          <w:highlight w:val="none"/>
        </w:rPr>
      </w:pPr>
      <w:r>
        <w:rPr>
          <w:rFonts w:ascii="宋体" w:eastAsia="宋体" w:hAnsi="宋体" w:cs="宋体" w:hint="eastAsia"/>
          <w:color w:val="FF0000"/>
          <w:szCs w:val="21"/>
          <w:highlight w:val="none"/>
        </w:rPr>
        <w:t>附：省级以上监狱管理局、戒毒管理局（含新疆生产建设兵团）出具的监狱企业证明文件。</w:t>
      </w:r>
    </w:p>
    <w:p>
      <w:pPr>
        <w:ind w:left="723" w:hanging="720" w:hangingChars="300"/>
        <w:rPr>
          <w:rFonts w:ascii="宋体" w:eastAsia="宋体" w:hAnsi="宋体" w:cs="宋体"/>
          <w:b/>
          <w:color w:val="000000" w:themeColor="text1"/>
          <w:highlight w:val="none"/>
          <w14:textFill>
            <w14:solidFill>
              <w14:schemeClr w14:val="tx1"/>
            </w14:solidFill>
          </w14:textFill>
        </w:rPr>
      </w:pPr>
    </w:p>
    <w:p>
      <w:pPr>
        <w:wordWrap w:val="0"/>
        <w:spacing w:after="60" w:afterLines="25" w:line="300" w:lineRule="auto"/>
        <w:ind w:firstLine="480" w:firstLineChars="200"/>
        <w:jc w:val="right"/>
        <w:rPr>
          <w:rFonts w:ascii="宋体" w:eastAsia="宋体" w:hAnsi="宋体" w:cs="宋体"/>
          <w:szCs w:val="21"/>
          <w:highlight w:val="none"/>
        </w:rPr>
      </w:pPr>
      <w:r>
        <w:rPr>
          <w:rFonts w:ascii="宋体" w:eastAsia="宋体" w:hAnsi="宋体" w:cs="宋体" w:hint="eastAsia"/>
          <w:szCs w:val="21"/>
          <w:highlight w:val="none"/>
        </w:rPr>
        <w:t xml:space="preserve">投标人（投标单位）：       </w:t>
      </w:r>
    </w:p>
    <w:p>
      <w:pPr>
        <w:ind w:firstLine="6720" w:firstLineChars="2800"/>
        <w:rPr>
          <w:rFonts w:ascii="宋体" w:eastAsia="宋体" w:hAnsi="宋体" w:cs="宋体"/>
          <w:szCs w:val="21"/>
          <w:highlight w:val="none"/>
        </w:rPr>
      </w:pPr>
      <w:r>
        <w:rPr>
          <w:rFonts w:ascii="宋体" w:eastAsia="宋体" w:hAnsi="宋体" w:cs="宋体" w:hint="eastAsia"/>
          <w:szCs w:val="21"/>
          <w:highlight w:val="none"/>
        </w:rPr>
        <w:t>日期：</w:t>
      </w:r>
    </w:p>
    <w:p>
      <w:pPr>
        <w:ind w:firstLine="6720" w:firstLineChars="2800"/>
        <w:rPr>
          <w:rFonts w:ascii="宋体" w:eastAsia="宋体" w:hAnsi="宋体" w:cs="宋体"/>
          <w:szCs w:val="21"/>
          <w:highlight w:val="none"/>
        </w:rPr>
      </w:pPr>
    </w:p>
    <w:p>
      <w:pPr>
        <w:ind w:firstLine="6720" w:firstLineChars="2800"/>
        <w:rPr>
          <w:rFonts w:ascii="宋体" w:eastAsia="宋体" w:hAnsi="宋体" w:cs="宋体"/>
          <w:szCs w:val="21"/>
          <w:highlight w:val="none"/>
        </w:rPr>
      </w:pPr>
    </w:p>
    <w:p>
      <w:pPr>
        <w:ind w:firstLine="6720" w:firstLineChars="2800"/>
        <w:rPr>
          <w:rFonts w:ascii="宋体" w:eastAsia="宋体" w:hAnsi="宋体" w:cs="宋体"/>
          <w:szCs w:val="21"/>
          <w:highlight w:val="none"/>
        </w:rPr>
      </w:pPr>
    </w:p>
    <w:p>
      <w:pPr>
        <w:ind w:firstLine="6720" w:firstLineChars="2800"/>
        <w:rPr>
          <w:rFonts w:ascii="宋体" w:eastAsia="宋体" w:hAnsi="宋体" w:cs="宋体"/>
          <w:szCs w:val="21"/>
          <w:highlight w:val="none"/>
        </w:rPr>
      </w:pPr>
    </w:p>
    <w:p>
      <w:pPr>
        <w:ind w:firstLine="6720" w:firstLineChars="2800"/>
        <w:rPr>
          <w:rFonts w:ascii="宋体" w:eastAsia="宋体" w:hAnsi="宋体" w:cs="宋体"/>
          <w:szCs w:val="21"/>
          <w:highlight w:val="none"/>
        </w:rPr>
      </w:pPr>
    </w:p>
    <w:p>
      <w:pPr>
        <w:ind w:firstLine="6720" w:firstLineChars="2800"/>
        <w:rPr>
          <w:rFonts w:ascii="宋体" w:eastAsia="宋体" w:hAnsi="宋体" w:cs="宋体"/>
          <w:szCs w:val="21"/>
          <w:highlight w:val="none"/>
        </w:rPr>
      </w:pPr>
    </w:p>
    <w:p>
      <w:pPr>
        <w:ind w:firstLine="6720" w:firstLineChars="2800"/>
        <w:rPr>
          <w:rFonts w:ascii="宋体" w:eastAsia="宋体" w:hAnsi="宋体" w:cs="宋体"/>
          <w:szCs w:val="21"/>
          <w:highlight w:val="none"/>
        </w:rPr>
      </w:pPr>
    </w:p>
    <w:p>
      <w:pPr>
        <w:ind w:firstLine="6720" w:firstLineChars="2800"/>
        <w:rPr>
          <w:rFonts w:ascii="宋体" w:eastAsia="宋体" w:hAnsi="宋体" w:cs="宋体"/>
          <w:szCs w:val="21"/>
          <w:highlight w:val="none"/>
        </w:rPr>
      </w:pPr>
    </w:p>
    <w:p>
      <w:pPr>
        <w:ind w:firstLine="6720" w:firstLineChars="2800"/>
        <w:rPr>
          <w:rFonts w:ascii="宋体" w:eastAsia="宋体" w:hAnsi="宋体" w:cs="宋体"/>
          <w:szCs w:val="21"/>
          <w:highlight w:val="none"/>
        </w:rPr>
      </w:pPr>
    </w:p>
    <w:p>
      <w:pPr>
        <w:ind w:firstLine="6720" w:firstLineChars="2800"/>
        <w:rPr>
          <w:rFonts w:ascii="宋体" w:eastAsia="宋体" w:hAnsi="宋体" w:cs="宋体"/>
          <w:szCs w:val="21"/>
          <w:highlight w:val="none"/>
        </w:rPr>
      </w:pPr>
    </w:p>
    <w:p>
      <w:pPr>
        <w:ind w:firstLine="6720" w:firstLineChars="2800"/>
        <w:rPr>
          <w:rFonts w:ascii="宋体" w:eastAsia="宋体" w:hAnsi="宋体" w:cs="宋体"/>
          <w:szCs w:val="21"/>
          <w:highlight w:val="none"/>
        </w:rPr>
      </w:pPr>
    </w:p>
    <w:p>
      <w:pPr>
        <w:ind w:firstLine="6720" w:firstLineChars="2800"/>
        <w:rPr>
          <w:rFonts w:ascii="宋体" w:eastAsia="宋体" w:hAnsi="宋体" w:cs="宋体"/>
          <w:szCs w:val="21"/>
          <w:highlight w:val="none"/>
        </w:rPr>
      </w:pPr>
    </w:p>
    <w:p>
      <w:pPr>
        <w:pStyle w:val="BodyText"/>
        <w:rPr>
          <w:rFonts w:ascii="宋体" w:eastAsia="宋体" w:hAnsi="宋体" w:cs="宋体"/>
          <w:szCs w:val="21"/>
          <w:highlight w:val="none"/>
        </w:rPr>
      </w:pPr>
    </w:p>
    <w:p>
      <w:pPr>
        <w:rPr>
          <w:rFonts w:ascii="宋体" w:eastAsia="宋体" w:hAnsi="宋体" w:cs="宋体"/>
          <w:szCs w:val="21"/>
          <w:highlight w:val="none"/>
        </w:rPr>
      </w:pPr>
    </w:p>
    <w:p>
      <w:pPr>
        <w:pStyle w:val="BodyText"/>
      </w:pPr>
    </w:p>
    <w:p>
      <w:pPr>
        <w:ind w:firstLine="6720" w:firstLineChars="2800"/>
        <w:rPr>
          <w:rFonts w:ascii="宋体" w:eastAsia="宋体" w:hAnsi="宋体" w:cs="宋体"/>
          <w:szCs w:val="21"/>
          <w:highlight w:val="none"/>
        </w:rPr>
      </w:pPr>
    </w:p>
    <w:p>
      <w:pPr>
        <w:pStyle w:val="Heading3"/>
        <w:jc w:val="center"/>
        <w:rPr>
          <w:rFonts w:cs="宋体"/>
          <w:b w:val="0"/>
          <w:sz w:val="24"/>
          <w:szCs w:val="24"/>
          <w:highlight w:val="none"/>
        </w:rPr>
      </w:pPr>
      <w:r>
        <w:rPr>
          <w:rFonts w:cs="宋体" w:hint="eastAsia"/>
          <w:b w:val="0"/>
          <w:sz w:val="24"/>
          <w:szCs w:val="24"/>
          <w:highlight w:val="none"/>
        </w:rPr>
        <w:t>四、项目详细报价</w:t>
      </w:r>
    </w:p>
    <w:p>
      <w:pPr>
        <w:rPr>
          <w:rFonts w:ascii="宋体" w:eastAsia="宋体" w:hAnsi="宋体" w:cs="宋体"/>
          <w:color w:val="000000"/>
          <w:sz w:val="21"/>
          <w:szCs w:val="21"/>
          <w:highlight w:val="none"/>
        </w:rPr>
      </w:pPr>
      <w:r>
        <w:rPr>
          <w:rFonts w:ascii="宋体" w:eastAsia="宋体" w:hAnsi="宋体" w:cs="宋体" w:hint="eastAsia"/>
          <w:color w:val="000000"/>
          <w:sz w:val="21"/>
          <w:szCs w:val="21"/>
          <w:highlight w:val="none"/>
        </w:rPr>
        <w:t xml:space="preserve">项目名称： </w:t>
      </w:r>
    </w:p>
    <w:p>
      <w:pPr>
        <w:rPr>
          <w:rFonts w:ascii="宋体" w:eastAsia="宋体" w:hAnsi="宋体" w:cs="宋体"/>
          <w:color w:val="000000"/>
          <w:sz w:val="21"/>
          <w:szCs w:val="21"/>
          <w:highlight w:val="none"/>
        </w:rPr>
      </w:pPr>
      <w:r>
        <w:rPr>
          <w:rFonts w:ascii="宋体" w:eastAsia="宋体" w:hAnsi="宋体" w:cs="宋体" w:hint="eastAsia"/>
          <w:color w:val="000000"/>
          <w:sz w:val="21"/>
          <w:szCs w:val="21"/>
          <w:highlight w:val="none"/>
        </w:rPr>
        <w:t>项目编号：</w:t>
      </w:r>
    </w:p>
    <w:tbl>
      <w:tblPr>
        <w:tblStyle w:val="TableNormal"/>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044"/>
        <w:gridCol w:w="3568"/>
        <w:gridCol w:w="1937"/>
        <w:gridCol w:w="1968"/>
      </w:tblGrid>
      <w:tr>
        <w:tblPrEx>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80"/>
          <w:jc w:val="center"/>
        </w:trPr>
        <w:tc>
          <w:tcPr>
            <w:tcW w:w="613" w:type="pct"/>
            <w:vAlign w:val="center"/>
          </w:tcPr>
          <w:p>
            <w:pPr>
              <w:pStyle w:val="10"/>
              <w:jc w:val="center"/>
              <w:rPr>
                <w:rFonts w:eastAsia="宋体" w:cs="宋体"/>
                <w:b/>
                <w:bCs/>
                <w:color w:val="000000"/>
                <w:sz w:val="21"/>
                <w:szCs w:val="21"/>
                <w:highlight w:val="none"/>
              </w:rPr>
            </w:pPr>
            <w:r>
              <w:rPr>
                <w:rFonts w:eastAsia="宋体" w:cs="宋体" w:hint="eastAsia"/>
                <w:b/>
                <w:bCs/>
                <w:color w:val="000000"/>
                <w:sz w:val="21"/>
                <w:szCs w:val="21"/>
                <w:highlight w:val="none"/>
              </w:rPr>
              <w:t>序号</w:t>
            </w:r>
          </w:p>
        </w:tc>
        <w:tc>
          <w:tcPr>
            <w:tcW w:w="2094" w:type="pct"/>
            <w:vAlign w:val="center"/>
          </w:tcPr>
          <w:p>
            <w:pPr>
              <w:pStyle w:val="10"/>
              <w:jc w:val="center"/>
              <w:rPr>
                <w:rFonts w:eastAsia="宋体" w:cs="宋体"/>
                <w:b/>
                <w:bCs/>
                <w:color w:val="000000"/>
                <w:sz w:val="21"/>
                <w:szCs w:val="21"/>
                <w:highlight w:val="none"/>
              </w:rPr>
            </w:pPr>
            <w:r>
              <w:rPr>
                <w:rFonts w:eastAsia="宋体" w:cs="宋体" w:hint="eastAsia"/>
                <w:b/>
                <w:bCs/>
                <w:color w:val="000000"/>
                <w:sz w:val="21"/>
                <w:szCs w:val="21"/>
                <w:highlight w:val="none"/>
              </w:rPr>
              <w:t>项目内容</w:t>
            </w:r>
          </w:p>
        </w:tc>
        <w:tc>
          <w:tcPr>
            <w:tcW w:w="1136" w:type="pct"/>
            <w:vAlign w:val="center"/>
          </w:tcPr>
          <w:p>
            <w:pPr>
              <w:jc w:val="center"/>
              <w:rPr>
                <w:rFonts w:ascii="宋体" w:eastAsia="宋体" w:hAnsi="宋体" w:cs="宋体"/>
                <w:b/>
                <w:bCs/>
                <w:color w:val="000000"/>
                <w:sz w:val="21"/>
                <w:szCs w:val="21"/>
                <w:highlight w:val="none"/>
              </w:rPr>
            </w:pPr>
            <w:r>
              <w:rPr>
                <w:rFonts w:ascii="宋体" w:eastAsia="宋体" w:hAnsi="宋体" w:cs="宋体" w:hint="eastAsia"/>
                <w:b/>
                <w:bCs/>
                <w:color w:val="000000"/>
                <w:sz w:val="21"/>
                <w:szCs w:val="21"/>
                <w:highlight w:val="none"/>
              </w:rPr>
              <w:t>金额（元）</w:t>
            </w:r>
          </w:p>
        </w:tc>
        <w:tc>
          <w:tcPr>
            <w:tcW w:w="1155" w:type="pct"/>
            <w:vAlign w:val="center"/>
          </w:tcPr>
          <w:p>
            <w:pPr>
              <w:pStyle w:val="10"/>
              <w:jc w:val="center"/>
              <w:rPr>
                <w:rFonts w:eastAsia="宋体" w:cs="宋体"/>
                <w:b/>
                <w:bCs/>
                <w:color w:val="000000"/>
                <w:sz w:val="21"/>
                <w:szCs w:val="21"/>
                <w:highlight w:val="none"/>
              </w:rPr>
            </w:pPr>
            <w:r>
              <w:rPr>
                <w:rFonts w:eastAsia="宋体" w:cs="宋体" w:hint="eastAsia"/>
                <w:b/>
                <w:bCs/>
                <w:color w:val="000000"/>
                <w:sz w:val="21"/>
                <w:szCs w:val="21"/>
                <w:highlight w:val="none"/>
              </w:rPr>
              <w:t>备注</w:t>
            </w:r>
          </w:p>
        </w:tc>
      </w:tr>
      <w:tr>
        <w:tblPrEx>
          <w:tblW w:w="4997" w:type="pct"/>
          <w:jc w:val="center"/>
          <w:tblCellMar>
            <w:top w:w="0" w:type="dxa"/>
            <w:left w:w="108" w:type="dxa"/>
            <w:bottom w:w="0" w:type="dxa"/>
            <w:right w:w="108" w:type="dxa"/>
          </w:tblCellMar>
        </w:tblPrEx>
        <w:trPr>
          <w:trHeight w:val="480"/>
          <w:jc w:val="center"/>
        </w:trPr>
        <w:tc>
          <w:tcPr>
            <w:tcW w:w="613" w:type="pct"/>
            <w:vAlign w:val="center"/>
          </w:tcPr>
          <w:p>
            <w:pPr>
              <w:pStyle w:val="10"/>
              <w:jc w:val="center"/>
              <w:rPr>
                <w:rFonts w:eastAsia="宋体" w:cs="宋体"/>
                <w:color w:val="000000"/>
                <w:sz w:val="21"/>
                <w:szCs w:val="21"/>
                <w:highlight w:val="none"/>
              </w:rPr>
            </w:pPr>
            <w:r>
              <w:rPr>
                <w:rFonts w:eastAsia="宋体" w:cs="宋体" w:hint="eastAsia"/>
                <w:color w:val="000000"/>
                <w:sz w:val="21"/>
                <w:szCs w:val="21"/>
                <w:highlight w:val="none"/>
              </w:rPr>
              <w:t>1</w:t>
            </w:r>
          </w:p>
        </w:tc>
        <w:tc>
          <w:tcPr>
            <w:tcW w:w="2094" w:type="pct"/>
          </w:tcPr>
          <w:p>
            <w:pPr>
              <w:jc w:val="center"/>
              <w:rPr>
                <w:rFonts w:ascii="宋体" w:eastAsia="宋体" w:hAnsi="宋体" w:cs="宋体"/>
                <w:color w:val="000000"/>
                <w:sz w:val="21"/>
                <w:szCs w:val="21"/>
                <w:highlight w:val="none"/>
              </w:rPr>
            </w:pPr>
            <w:r>
              <w:rPr>
                <w:rFonts w:ascii="宋体" w:eastAsia="宋体" w:hAnsi="宋体" w:cs="宋体" w:hint="eastAsia"/>
                <w:highlight w:val="none"/>
                <w:lang w:eastAsia="zh-CN"/>
              </w:rPr>
              <w:t>外文数字资源年度在线使用权</w:t>
            </w:r>
          </w:p>
        </w:tc>
        <w:tc>
          <w:tcPr>
            <w:tcW w:w="1136" w:type="pct"/>
            <w:vAlign w:val="center"/>
          </w:tcPr>
          <w:p>
            <w:pPr>
              <w:pStyle w:val="10"/>
              <w:jc w:val="center"/>
              <w:rPr>
                <w:rFonts w:eastAsia="宋体" w:cs="宋体"/>
                <w:color w:val="000000"/>
                <w:sz w:val="21"/>
                <w:szCs w:val="21"/>
                <w:highlight w:val="none"/>
              </w:rPr>
            </w:pPr>
          </w:p>
        </w:tc>
        <w:tc>
          <w:tcPr>
            <w:tcW w:w="1155" w:type="pct"/>
            <w:vAlign w:val="center"/>
          </w:tcPr>
          <w:p>
            <w:pPr>
              <w:pStyle w:val="10"/>
              <w:jc w:val="center"/>
              <w:rPr>
                <w:rFonts w:eastAsia="宋体" w:cs="宋体"/>
                <w:color w:val="000000"/>
                <w:sz w:val="21"/>
                <w:szCs w:val="21"/>
                <w:highlight w:val="none"/>
              </w:rPr>
            </w:pPr>
          </w:p>
        </w:tc>
      </w:tr>
      <w:tr>
        <w:tblPrEx>
          <w:tblW w:w="4997" w:type="pct"/>
          <w:jc w:val="center"/>
          <w:tblCellMar>
            <w:top w:w="0" w:type="dxa"/>
            <w:left w:w="108" w:type="dxa"/>
            <w:bottom w:w="0" w:type="dxa"/>
            <w:right w:w="108" w:type="dxa"/>
          </w:tblCellMar>
        </w:tblPrEx>
        <w:trPr>
          <w:trHeight w:val="480"/>
          <w:jc w:val="center"/>
        </w:trPr>
        <w:tc>
          <w:tcPr>
            <w:tcW w:w="3844" w:type="pct"/>
            <w:gridSpan w:val="3"/>
            <w:vAlign w:val="center"/>
          </w:tcPr>
          <w:p>
            <w:pPr>
              <w:pStyle w:val="10"/>
              <w:jc w:val="both"/>
              <w:rPr>
                <w:rFonts w:eastAsia="宋体" w:cs="宋体"/>
                <w:color w:val="000000"/>
                <w:sz w:val="21"/>
                <w:szCs w:val="21"/>
                <w:highlight w:val="none"/>
              </w:rPr>
            </w:pPr>
            <w:r>
              <w:rPr>
                <w:rFonts w:eastAsia="宋体" w:cs="宋体" w:hint="eastAsia"/>
                <w:bCs/>
                <w:color w:val="000000"/>
                <w:sz w:val="21"/>
                <w:szCs w:val="21"/>
                <w:highlight w:val="none"/>
              </w:rPr>
              <w:t>投标总价（元）：</w:t>
            </w:r>
            <w:r>
              <w:rPr>
                <w:rFonts w:eastAsia="宋体" w:cs="宋体" w:hint="eastAsia"/>
                <w:bCs/>
                <w:color w:val="000000"/>
                <w:sz w:val="21"/>
                <w:szCs w:val="21"/>
                <w:highlight w:val="none"/>
              </w:rPr>
              <w:tab/>
            </w:r>
          </w:p>
        </w:tc>
        <w:tc>
          <w:tcPr>
            <w:tcW w:w="1155" w:type="pct"/>
            <w:vAlign w:val="center"/>
          </w:tcPr>
          <w:p>
            <w:pPr>
              <w:pStyle w:val="10"/>
              <w:jc w:val="both"/>
              <w:rPr>
                <w:rFonts w:eastAsia="宋体" w:cs="宋体"/>
                <w:color w:val="000000"/>
                <w:sz w:val="21"/>
                <w:szCs w:val="21"/>
                <w:highlight w:val="none"/>
              </w:rPr>
            </w:pPr>
          </w:p>
        </w:tc>
      </w:tr>
    </w:tbl>
    <w:p>
      <w:pPr>
        <w:rPr>
          <w:rFonts w:ascii="宋体" w:eastAsia="宋体" w:hAnsi="宋体" w:cs="宋体"/>
          <w:b/>
          <w:bCs/>
          <w:color w:val="000000"/>
          <w:sz w:val="21"/>
          <w:szCs w:val="21"/>
          <w:highlight w:val="none"/>
        </w:rPr>
      </w:pPr>
      <w:r>
        <w:rPr>
          <w:rFonts w:ascii="宋体" w:eastAsia="宋体" w:hAnsi="宋体" w:cs="宋体" w:hint="eastAsia"/>
          <w:b/>
          <w:bCs/>
          <w:color w:val="000000"/>
          <w:sz w:val="21"/>
          <w:szCs w:val="21"/>
          <w:highlight w:val="none"/>
        </w:rPr>
        <w:t>注：</w:t>
      </w:r>
    </w:p>
    <w:p>
      <w:pPr>
        <w:rPr>
          <w:rFonts w:ascii="宋体" w:eastAsia="宋体" w:hAnsi="宋体" w:cs="宋体" w:hint="eastAsia"/>
          <w:b/>
          <w:sz w:val="21"/>
          <w:szCs w:val="21"/>
          <w:highlight w:val="none"/>
        </w:rPr>
      </w:pPr>
      <w:r>
        <w:rPr>
          <w:rFonts w:ascii="宋体" w:eastAsia="宋体" w:hAnsi="宋体" w:cs="宋体" w:hint="eastAsia"/>
          <w:b/>
          <w:sz w:val="21"/>
          <w:szCs w:val="21"/>
          <w:highlight w:val="none"/>
        </w:rPr>
        <w:t>1.本表格仅为指导性范本，供应商应根据项目具体情况对各分项内容进行调整提供详细分项报价。</w:t>
      </w:r>
    </w:p>
    <w:p>
      <w:pPr>
        <w:rPr>
          <w:rFonts w:ascii="宋体" w:eastAsia="宋体" w:hAnsi="宋体" w:cs="宋体" w:hint="eastAsia"/>
          <w:b/>
          <w:color w:val="FF0000"/>
          <w:sz w:val="21"/>
          <w:szCs w:val="21"/>
          <w:highlight w:val="none"/>
        </w:rPr>
      </w:pPr>
      <w:r>
        <w:rPr>
          <w:rFonts w:ascii="宋体" w:eastAsia="宋体" w:hAnsi="宋体" w:cs="宋体" w:hint="eastAsia"/>
          <w:b/>
          <w:color w:val="FF0000"/>
          <w:sz w:val="21"/>
          <w:szCs w:val="21"/>
          <w:highlight w:val="none"/>
        </w:rPr>
        <w:t>2.如有涉及软件具体名称可在备注栏处标明；</w:t>
      </w:r>
    </w:p>
    <w:p>
      <w:pPr>
        <w:rPr>
          <w:rFonts w:ascii="宋体" w:eastAsia="宋体" w:hAnsi="宋体" w:cs="宋体" w:hint="eastAsia"/>
          <w:b/>
          <w:sz w:val="21"/>
          <w:szCs w:val="21"/>
          <w:highlight w:val="none"/>
        </w:rPr>
      </w:pPr>
      <w:r>
        <w:rPr>
          <w:rFonts w:ascii="宋体" w:eastAsia="宋体" w:hAnsi="宋体" w:cs="宋体" w:hint="eastAsia"/>
          <w:b/>
          <w:sz w:val="21"/>
          <w:szCs w:val="21"/>
          <w:highlight w:val="none"/>
          <w:lang w:val="en-US" w:eastAsia="zh-CN"/>
        </w:rPr>
        <w:t>3.</w:t>
      </w:r>
      <w:r>
        <w:rPr>
          <w:rFonts w:ascii="宋体" w:eastAsia="宋体" w:hAnsi="宋体" w:cs="宋体" w:hint="eastAsia"/>
          <w:b/>
          <w:sz w:val="21"/>
          <w:szCs w:val="21"/>
          <w:highlight w:val="none"/>
        </w:rPr>
        <w:t>分项报价的汇总价等于“开标一览表”中的报价总价。</w:t>
      </w:r>
    </w:p>
    <w:p>
      <w:pPr>
        <w:rPr>
          <w:rFonts w:ascii="宋体" w:eastAsia="宋体" w:hAnsi="宋体" w:cs="宋体" w:hint="eastAsia"/>
          <w:b/>
          <w:sz w:val="21"/>
          <w:szCs w:val="21"/>
          <w:highlight w:val="none"/>
        </w:rPr>
      </w:pPr>
      <w:r>
        <w:rPr>
          <w:rFonts w:ascii="宋体" w:eastAsia="宋体" w:hAnsi="宋体" w:cs="宋体" w:hint="eastAsia"/>
          <w:b/>
          <w:sz w:val="21"/>
          <w:szCs w:val="21"/>
          <w:highlight w:val="none"/>
          <w:lang w:val="en-US" w:eastAsia="zh-CN"/>
        </w:rPr>
        <w:t>4</w:t>
      </w:r>
      <w:r>
        <w:rPr>
          <w:rFonts w:ascii="宋体" w:eastAsia="宋体" w:hAnsi="宋体" w:cs="宋体" w:hint="eastAsia"/>
          <w:b/>
          <w:sz w:val="21"/>
          <w:szCs w:val="21"/>
          <w:highlight w:val="none"/>
        </w:rPr>
        <w:t>.如果以上内容无法满足投标人对报价描述，可自行添加包含在价格因素内的一切内容，但不提供详细分项报价将视为没有实质性响应招标文件。</w:t>
      </w:r>
    </w:p>
    <w:p>
      <w:pPr>
        <w:rPr>
          <w:rFonts w:ascii="宋体" w:eastAsia="宋体" w:hAnsi="宋体" w:cs="宋体"/>
          <w:highlight w:val="none"/>
        </w:rPr>
      </w:pPr>
    </w:p>
    <w:p>
      <w:pPr>
        <w:pStyle w:val="Heading3"/>
        <w:jc w:val="center"/>
        <w:rPr>
          <w:rFonts w:cs="宋体" w:hint="eastAsia"/>
          <w:b w:val="0"/>
          <w:sz w:val="24"/>
          <w:szCs w:val="24"/>
          <w:highlight w:val="none"/>
        </w:rPr>
      </w:pPr>
      <w:r>
        <w:rPr>
          <w:rFonts w:cs="宋体" w:hint="eastAsia"/>
          <w:b w:val="0"/>
          <w:sz w:val="24"/>
          <w:szCs w:val="24"/>
          <w:highlight w:val="none"/>
          <w:lang w:val="en-US" w:eastAsia="zh-CN"/>
        </w:rPr>
        <w:t>五、</w:t>
      </w:r>
      <w:r>
        <w:rPr>
          <w:rFonts w:cs="宋体" w:hint="eastAsia"/>
          <w:b w:val="0"/>
          <w:sz w:val="24"/>
          <w:szCs w:val="24"/>
          <w:highlight w:val="none"/>
        </w:rPr>
        <w:t>投标人同类项目业绩情况（格式自定）</w:t>
      </w:r>
    </w:p>
    <w:p>
      <w:pPr>
        <w:pStyle w:val="Heading3"/>
        <w:jc w:val="center"/>
        <w:rPr>
          <w:rFonts w:cs="宋体" w:hint="eastAsia"/>
          <w:b w:val="0"/>
          <w:sz w:val="24"/>
          <w:szCs w:val="24"/>
          <w:highlight w:val="none"/>
        </w:rPr>
      </w:pPr>
      <w:r>
        <w:rPr>
          <w:rFonts w:cs="宋体" w:hint="eastAsia"/>
          <w:b w:val="0"/>
          <w:sz w:val="24"/>
          <w:szCs w:val="24"/>
          <w:highlight w:val="none"/>
          <w:lang w:val="en-US" w:eastAsia="zh-CN"/>
        </w:rPr>
        <w:t>六、</w:t>
      </w:r>
      <w:r>
        <w:rPr>
          <w:rFonts w:cs="宋体" w:hint="eastAsia"/>
          <w:b w:val="0"/>
          <w:sz w:val="24"/>
          <w:szCs w:val="24"/>
          <w:highlight w:val="none"/>
        </w:rPr>
        <w:t>投标人获奖情况（格式自定）</w:t>
      </w:r>
    </w:p>
    <w:p>
      <w:pPr>
        <w:pStyle w:val="Heading3"/>
        <w:jc w:val="center"/>
        <w:rPr>
          <w:rFonts w:cs="宋体" w:hint="eastAsia"/>
          <w:b w:val="0"/>
          <w:sz w:val="24"/>
          <w:szCs w:val="24"/>
          <w:highlight w:val="none"/>
        </w:rPr>
      </w:pPr>
      <w:r>
        <w:rPr>
          <w:rFonts w:cs="宋体" w:hint="eastAsia"/>
          <w:b w:val="0"/>
          <w:sz w:val="24"/>
          <w:szCs w:val="24"/>
          <w:highlight w:val="none"/>
          <w:lang w:val="en-US" w:eastAsia="zh-CN"/>
        </w:rPr>
        <w:t>七、</w:t>
      </w:r>
      <w:r>
        <w:rPr>
          <w:rFonts w:cs="宋体" w:hint="eastAsia"/>
          <w:b w:val="0"/>
          <w:sz w:val="24"/>
          <w:szCs w:val="24"/>
          <w:highlight w:val="none"/>
        </w:rPr>
        <w:t>投标人自主知识产权产品（创新、设计）情况（格式自定）</w:t>
      </w:r>
    </w:p>
    <w:p>
      <w:pPr>
        <w:pStyle w:val="Heading3"/>
        <w:jc w:val="center"/>
        <w:rPr>
          <w:highlight w:val="none"/>
        </w:rPr>
      </w:pPr>
      <w:r>
        <w:rPr>
          <w:rFonts w:cs="宋体" w:hint="eastAsia"/>
          <w:b w:val="0"/>
          <w:sz w:val="24"/>
          <w:szCs w:val="24"/>
          <w:highlight w:val="none"/>
          <w:lang w:val="en-US" w:eastAsia="zh-CN"/>
        </w:rPr>
        <w:t>八、服务网点</w:t>
      </w:r>
      <w:r>
        <w:rPr>
          <w:rFonts w:cs="宋体" w:hint="eastAsia"/>
          <w:b w:val="0"/>
          <w:sz w:val="24"/>
          <w:szCs w:val="24"/>
          <w:highlight w:val="none"/>
        </w:rPr>
        <w:t>（格式自定）</w:t>
      </w:r>
    </w:p>
    <w:p>
      <w:pPr>
        <w:pStyle w:val="Heading3"/>
        <w:jc w:val="both"/>
        <w:rPr>
          <w:rFonts w:cs="宋体"/>
          <w:b w:val="0"/>
          <w:sz w:val="24"/>
          <w:szCs w:val="24"/>
          <w:highlight w:val="none"/>
        </w:rPr>
      </w:pPr>
      <w:r>
        <w:rPr>
          <w:rFonts w:cs="宋体" w:hint="eastAsia"/>
          <w:b w:val="0"/>
          <w:sz w:val="24"/>
          <w:szCs w:val="24"/>
          <w:highlight w:val="none"/>
          <w:lang w:val="en-US" w:eastAsia="zh-CN"/>
        </w:rPr>
        <w:t>九</w:t>
      </w:r>
      <w:r>
        <w:rPr>
          <w:rFonts w:cs="宋体" w:hint="eastAsia"/>
          <w:b w:val="0"/>
          <w:sz w:val="24"/>
          <w:szCs w:val="24"/>
          <w:highlight w:val="none"/>
        </w:rPr>
        <w:t>、投标人认为信息公开部分需要加以说明的其他内容（格式自定）</w:t>
      </w:r>
    </w:p>
    <w:p>
      <w:pPr>
        <w:rPr>
          <w:rFonts w:ascii="宋体" w:eastAsia="宋体" w:hAnsi="宋体" w:cs="宋体"/>
          <w:color w:val="000000" w:themeColor="text1"/>
          <w:highlight w:val="none"/>
          <w14:textFill>
            <w14:solidFill>
              <w14:schemeClr w14:val="tx1"/>
            </w14:solidFill>
          </w14:textFill>
        </w:rPr>
      </w:pPr>
    </w:p>
    <w:p>
      <w:pPr>
        <w:rPr>
          <w:rFonts w:ascii="宋体" w:eastAsia="宋体" w:hAnsi="宋体" w:cs="宋体"/>
          <w:color w:val="000000" w:themeColor="text1"/>
          <w:highlight w:val="none"/>
          <w14:textFill>
            <w14:solidFill>
              <w14:schemeClr w14:val="tx1"/>
            </w14:solidFill>
          </w14:textFill>
        </w:rPr>
      </w:pPr>
    </w:p>
    <w:p>
      <w:pPr>
        <w:ind w:firstLine="1440" w:firstLineChars="600"/>
        <w:rPr>
          <w:rFonts w:ascii="宋体" w:eastAsia="宋体" w:hAnsi="宋体" w:cs="宋体"/>
          <w:b/>
          <w:color w:val="FF0000"/>
          <w:highlight w:val="none"/>
        </w:rPr>
      </w:pPr>
      <w:r>
        <w:rPr>
          <w:rFonts w:ascii="宋体" w:eastAsia="宋体" w:hAnsi="宋体" w:cs="宋体" w:hint="eastAsia"/>
          <w:b/>
          <w:color w:val="FF0000"/>
          <w:highlight w:val="none"/>
        </w:rPr>
        <w:t>（信息公开部分的内容到此为止！以下为信息不公开部分。）</w:t>
      </w:r>
    </w:p>
    <w:p>
      <w:pPr>
        <w:ind w:firstLine="1440" w:firstLineChars="600"/>
        <w:rPr>
          <w:rFonts w:ascii="宋体" w:eastAsia="宋体" w:hAnsi="宋体" w:cs="宋体"/>
          <w:b/>
          <w:color w:val="FF0000"/>
          <w:highlight w:val="none"/>
        </w:rPr>
      </w:pPr>
    </w:p>
    <w:p>
      <w:pPr>
        <w:pStyle w:val="BodyText"/>
        <w:rPr>
          <w:rFonts w:ascii="宋体" w:eastAsia="宋体" w:hAnsi="宋体" w:cs="宋体"/>
          <w:b/>
          <w:color w:val="FF0000"/>
          <w:highlight w:val="none"/>
        </w:rPr>
      </w:pPr>
    </w:p>
    <w:p>
      <w:pPr>
        <w:pStyle w:val="BodyText2"/>
        <w:rPr>
          <w:rFonts w:ascii="宋体" w:eastAsia="宋体" w:hAnsi="宋体" w:cs="宋体"/>
          <w:b/>
          <w:color w:val="FF0000"/>
          <w:highlight w:val="none"/>
        </w:rPr>
      </w:pPr>
    </w:p>
    <w:p>
      <w:pPr>
        <w:pStyle w:val="BodyText2"/>
        <w:rPr>
          <w:rFonts w:ascii="宋体" w:eastAsia="宋体" w:hAnsi="宋体" w:cs="宋体"/>
          <w:b/>
          <w:color w:val="FF0000"/>
          <w:highlight w:val="none"/>
        </w:rPr>
      </w:pPr>
    </w:p>
    <w:p>
      <w:pPr>
        <w:pStyle w:val="BodyText2"/>
        <w:rPr>
          <w:rFonts w:ascii="宋体" w:eastAsia="宋体" w:hAnsi="宋体" w:cs="宋体"/>
          <w:b/>
          <w:color w:val="FF0000"/>
          <w:highlight w:val="none"/>
        </w:rPr>
      </w:pPr>
    </w:p>
    <w:p>
      <w:pPr>
        <w:pStyle w:val="BodyText2"/>
        <w:rPr>
          <w:rFonts w:ascii="宋体" w:eastAsia="宋体" w:hAnsi="宋体" w:cs="宋体"/>
          <w:b/>
          <w:color w:val="FF0000"/>
          <w:highlight w:val="none"/>
        </w:rPr>
      </w:pPr>
    </w:p>
    <w:p>
      <w:pPr>
        <w:pStyle w:val="BodyText2"/>
        <w:rPr>
          <w:rFonts w:ascii="宋体" w:eastAsia="宋体" w:hAnsi="宋体" w:cs="宋体"/>
          <w:b/>
          <w:color w:val="FF0000"/>
          <w:highlight w:val="none"/>
        </w:rPr>
      </w:pPr>
    </w:p>
    <w:p>
      <w:pPr>
        <w:pStyle w:val="BodyText2"/>
        <w:rPr>
          <w:rFonts w:ascii="宋体" w:eastAsia="宋体" w:hAnsi="宋体" w:cs="宋体"/>
          <w:b/>
          <w:color w:val="FF0000"/>
          <w:highlight w:val="none"/>
        </w:rPr>
      </w:pPr>
    </w:p>
    <w:p>
      <w:pPr>
        <w:pStyle w:val="BodyText2"/>
        <w:rPr>
          <w:rFonts w:ascii="宋体" w:eastAsia="宋体" w:hAnsi="宋体" w:cs="宋体"/>
          <w:b/>
          <w:color w:val="FF0000"/>
          <w:highlight w:val="none"/>
        </w:rPr>
      </w:pPr>
    </w:p>
    <w:p>
      <w:pPr>
        <w:pStyle w:val="BodyText2"/>
        <w:rPr>
          <w:rFonts w:ascii="宋体" w:eastAsia="宋体" w:hAnsi="宋体" w:cs="宋体"/>
          <w:b/>
          <w:color w:val="FF0000"/>
          <w:highlight w:val="none"/>
        </w:rPr>
      </w:pPr>
    </w:p>
    <w:p>
      <w:pPr>
        <w:pStyle w:val="BodyText2"/>
        <w:rPr>
          <w:rFonts w:ascii="宋体" w:eastAsia="宋体" w:hAnsi="宋体" w:cs="宋体"/>
          <w:b/>
          <w:color w:val="FF0000"/>
          <w:highlight w:val="none"/>
        </w:rPr>
      </w:pPr>
    </w:p>
    <w:p>
      <w:pPr>
        <w:pStyle w:val="BodyText2"/>
        <w:rPr>
          <w:rFonts w:ascii="宋体" w:eastAsia="宋体" w:hAnsi="宋体" w:cs="宋体"/>
          <w:b/>
          <w:color w:val="FF0000"/>
          <w:highlight w:val="none"/>
        </w:rPr>
      </w:pPr>
    </w:p>
    <w:p>
      <w:pPr>
        <w:rPr>
          <w:rFonts w:ascii="宋体" w:eastAsia="宋体" w:hAnsi="宋体" w:cs="宋体"/>
          <w:b/>
          <w:color w:val="FF0000"/>
          <w:highlight w:val="none"/>
        </w:rPr>
      </w:pPr>
    </w:p>
    <w:p>
      <w:pPr>
        <w:outlineLvl w:val="1"/>
        <w:rPr>
          <w:rFonts w:ascii="宋体" w:eastAsia="宋体" w:hAnsi="宋体" w:cs="宋体"/>
          <w:b/>
          <w:color w:val="FF0000"/>
          <w:sz w:val="28"/>
          <w:szCs w:val="28"/>
          <w:highlight w:val="none"/>
        </w:rPr>
      </w:pPr>
      <w:r>
        <w:rPr>
          <w:rFonts w:ascii="宋体" w:eastAsia="宋体" w:hAnsi="宋体" w:cs="宋体" w:hint="eastAsia"/>
          <w:b/>
          <w:color w:val="FF0000"/>
          <w:sz w:val="28"/>
          <w:szCs w:val="28"/>
          <w:highlight w:val="none"/>
        </w:rPr>
        <w:t>投标文件附件（信息不公开部分）</w:t>
      </w:r>
    </w:p>
    <w:p>
      <w:pPr>
        <w:pStyle w:val="Heading3"/>
        <w:jc w:val="center"/>
        <w:rPr>
          <w:rFonts w:cs="宋体"/>
          <w:b w:val="0"/>
          <w:sz w:val="24"/>
          <w:highlight w:val="none"/>
        </w:rPr>
      </w:pPr>
      <w:r>
        <w:rPr>
          <w:rFonts w:cs="宋体" w:hint="eastAsia"/>
          <w:bCs w:val="0"/>
          <w:color w:val="000000" w:themeColor="text1"/>
          <w:sz w:val="24"/>
          <w:highlight w:val="none"/>
          <w14:textFill>
            <w14:solidFill>
              <w14:schemeClr w14:val="tx1"/>
            </w14:solidFill>
          </w14:textFill>
        </w:rPr>
        <w:t>一、</w:t>
      </w:r>
      <w:bookmarkStart w:id="41" w:name="_Hlk72092499"/>
      <w:r>
        <w:rPr>
          <w:rFonts w:cs="宋体" w:hint="eastAsia"/>
          <w:b w:val="0"/>
          <w:sz w:val="24"/>
          <w:highlight w:val="none"/>
        </w:rPr>
        <w:t>法定代表人（负责人或</w:t>
      </w:r>
      <w:r>
        <w:rPr>
          <w:rFonts w:cs="宋体" w:hint="eastAsia"/>
          <w:b w:val="0"/>
          <w:color w:val="4F81BD" w:themeColor="accent1"/>
          <w:sz w:val="24"/>
          <w:highlight w:val="none"/>
          <w14:textFill>
            <w14:solidFill>
              <w14:schemeClr w14:val="accent1"/>
            </w14:solidFill>
          </w14:textFill>
        </w:rPr>
        <w:t>执行事务合伙人</w:t>
      </w:r>
      <w:r>
        <w:rPr>
          <w:rFonts w:cs="宋体" w:hint="eastAsia"/>
          <w:b w:val="0"/>
          <w:sz w:val="24"/>
          <w:highlight w:val="none"/>
        </w:rPr>
        <w:t>）资格证明书</w:t>
      </w:r>
      <w:bookmarkEnd w:id="41"/>
    </w:p>
    <w:p>
      <w:pPr>
        <w:spacing w:line="360" w:lineRule="auto"/>
        <w:ind w:firstLine="480" w:firstLineChars="200"/>
        <w:rPr>
          <w:rFonts w:ascii="宋体" w:eastAsia="宋体" w:hAnsi="宋体" w:cs="宋体"/>
          <w:szCs w:val="21"/>
          <w:highlight w:val="none"/>
        </w:rPr>
      </w:pPr>
    </w:p>
    <w:p>
      <w:pPr>
        <w:spacing w:line="360" w:lineRule="auto"/>
        <w:ind w:firstLine="480" w:firstLineChars="200"/>
        <w:rPr>
          <w:rFonts w:ascii="宋体" w:eastAsia="宋体" w:hAnsi="宋体" w:cs="宋体"/>
          <w:szCs w:val="21"/>
          <w:highlight w:val="none"/>
        </w:rPr>
      </w:pPr>
      <w:r>
        <w:rPr>
          <w:rFonts w:ascii="宋体" w:eastAsia="宋体" w:hAnsi="宋体" w:cs="宋体" w:hint="eastAsia"/>
          <w:szCs w:val="21"/>
          <w:highlight w:val="none"/>
        </w:rPr>
        <w:t>单位名称：</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w:t>
      </w:r>
    </w:p>
    <w:p>
      <w:pPr>
        <w:spacing w:line="360" w:lineRule="auto"/>
        <w:ind w:firstLine="480" w:firstLineChars="200"/>
        <w:rPr>
          <w:rFonts w:ascii="宋体" w:eastAsia="宋体" w:hAnsi="宋体" w:cs="宋体"/>
          <w:szCs w:val="21"/>
          <w:highlight w:val="none"/>
        </w:rPr>
      </w:pPr>
      <w:r>
        <w:rPr>
          <w:rFonts w:ascii="宋体" w:eastAsia="宋体" w:hAnsi="宋体" w:cs="宋体" w:hint="eastAsia"/>
          <w:szCs w:val="21"/>
          <w:highlight w:val="none"/>
        </w:rPr>
        <w:t>地        址：</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w:t>
      </w:r>
    </w:p>
    <w:p>
      <w:pPr>
        <w:spacing w:line="360" w:lineRule="auto"/>
        <w:ind w:firstLine="480" w:firstLineChars="200"/>
        <w:rPr>
          <w:rFonts w:ascii="宋体" w:eastAsia="宋体" w:hAnsi="宋体" w:cs="宋体"/>
          <w:szCs w:val="21"/>
          <w:highlight w:val="none"/>
        </w:rPr>
      </w:pPr>
      <w:r>
        <w:rPr>
          <w:rFonts w:ascii="宋体" w:eastAsia="宋体" w:hAnsi="宋体" w:cs="宋体" w:hint="eastAsia"/>
          <w:szCs w:val="21"/>
          <w:highlight w:val="none"/>
        </w:rPr>
        <w:t>姓        名：</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性别：</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年龄：</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w:t>
      </w:r>
    </w:p>
    <w:p>
      <w:pPr>
        <w:spacing w:line="360" w:lineRule="auto"/>
        <w:ind w:firstLine="480" w:firstLineChars="200"/>
        <w:rPr>
          <w:rFonts w:ascii="宋体" w:eastAsia="宋体" w:hAnsi="宋体" w:cs="宋体"/>
          <w:szCs w:val="21"/>
          <w:highlight w:val="none"/>
        </w:rPr>
      </w:pPr>
      <w:r>
        <w:rPr>
          <w:rFonts w:ascii="宋体" w:eastAsia="宋体" w:hAnsi="宋体" w:cs="宋体" w:hint="eastAsia"/>
          <w:szCs w:val="21"/>
          <w:highlight w:val="none"/>
        </w:rPr>
        <w:t>身份证号码：</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职务：</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w:t>
      </w:r>
    </w:p>
    <w:p>
      <w:pPr>
        <w:spacing w:line="360" w:lineRule="auto"/>
        <w:ind w:firstLine="480" w:firstLineChars="200"/>
        <w:rPr>
          <w:rFonts w:ascii="宋体" w:eastAsia="宋体" w:hAnsi="宋体" w:cs="宋体"/>
          <w:szCs w:val="21"/>
          <w:highlight w:val="none"/>
        </w:rPr>
      </w:pPr>
      <w:r>
        <w:rPr>
          <w:rFonts w:ascii="宋体" w:eastAsia="宋体" w:hAnsi="宋体" w:cs="宋体" w:hint="eastAsia"/>
          <w:szCs w:val="21"/>
          <w:highlight w:val="none"/>
        </w:rPr>
        <w:t>联系电话或手机号码：</w:t>
      </w:r>
      <w:r>
        <w:rPr>
          <w:rFonts w:ascii="宋体" w:eastAsia="宋体" w:hAnsi="宋体" w:cs="宋体" w:hint="eastAsia"/>
          <w:szCs w:val="21"/>
          <w:highlight w:val="none"/>
          <w:u w:val="single"/>
        </w:rPr>
        <w:t>（如法定代表人为投标人代表，则需填写此项）</w:t>
      </w:r>
      <w:r>
        <w:rPr>
          <w:rFonts w:ascii="宋体" w:eastAsia="宋体" w:hAnsi="宋体" w:cs="宋体" w:hint="eastAsia"/>
          <w:szCs w:val="21"/>
          <w:highlight w:val="none"/>
        </w:rPr>
        <w:t>。</w:t>
      </w:r>
    </w:p>
    <w:p>
      <w:pPr>
        <w:spacing w:line="360" w:lineRule="auto"/>
        <w:ind w:firstLine="480" w:firstLineChars="200"/>
        <w:rPr>
          <w:rFonts w:ascii="宋体" w:eastAsia="宋体" w:hAnsi="宋体" w:cs="宋体"/>
          <w:szCs w:val="21"/>
          <w:highlight w:val="none"/>
        </w:rPr>
      </w:pP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同志，现任我单位</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职务，为法定代表人（负责人或执行事务合伙人），本证明书用于</w:t>
      </w:r>
      <w:r>
        <w:rPr>
          <w:rFonts w:ascii="宋体" w:eastAsia="宋体" w:hAnsi="宋体" w:cs="宋体" w:hint="eastAsia"/>
          <w:szCs w:val="21"/>
          <w:highlight w:val="none"/>
          <w:u w:val="single"/>
        </w:rPr>
        <w:t xml:space="preserve"> 投标人名称 </w:t>
      </w:r>
      <w:r>
        <w:rPr>
          <w:rFonts w:ascii="宋体" w:eastAsia="宋体" w:hAnsi="宋体" w:cs="宋体" w:hint="eastAsia"/>
          <w:szCs w:val="21"/>
          <w:highlight w:val="none"/>
        </w:rPr>
        <w:t xml:space="preserve">签署 </w:t>
      </w:r>
      <w:r>
        <w:rPr>
          <w:rFonts w:ascii="宋体" w:eastAsia="宋体" w:hAnsi="宋体" w:cs="宋体" w:hint="eastAsia"/>
          <w:szCs w:val="21"/>
          <w:highlight w:val="none"/>
          <w:u w:val="single"/>
        </w:rPr>
        <w:t>项目名称（项目编号）</w:t>
      </w:r>
      <w:r>
        <w:rPr>
          <w:rFonts w:ascii="宋体" w:eastAsia="宋体" w:hAnsi="宋体" w:cs="宋体" w:hint="eastAsia"/>
          <w:szCs w:val="21"/>
          <w:highlight w:val="none"/>
        </w:rPr>
        <w:t>项目的投标文件、进行合同投标、签署合同和处理与之有关的一切事务。</w:t>
      </w:r>
    </w:p>
    <w:p>
      <w:pPr>
        <w:spacing w:line="360" w:lineRule="auto"/>
        <w:ind w:firstLine="480" w:firstLineChars="200"/>
        <w:rPr>
          <w:rFonts w:ascii="宋体" w:eastAsia="宋体" w:hAnsi="宋体" w:cs="宋体"/>
          <w:szCs w:val="21"/>
          <w:highlight w:val="none"/>
        </w:rPr>
      </w:pPr>
      <w:r>
        <w:rPr>
          <w:rFonts w:ascii="宋体" w:eastAsia="宋体" w:hAnsi="宋体" w:cs="宋体" w:hint="eastAsia"/>
          <w:szCs w:val="21"/>
          <w:highlight w:val="none"/>
        </w:rPr>
        <w:t>特此证明。</w:t>
      </w:r>
    </w:p>
    <w:p>
      <w:pPr>
        <w:spacing w:line="360" w:lineRule="auto"/>
        <w:rPr>
          <w:rFonts w:ascii="宋体" w:eastAsia="宋体" w:hAnsi="宋体" w:cs="宋体"/>
          <w:szCs w:val="21"/>
          <w:highlight w:val="none"/>
        </w:rPr>
      </w:pPr>
    </w:p>
    <w:p>
      <w:pPr>
        <w:spacing w:line="360" w:lineRule="auto"/>
        <w:rPr>
          <w:rFonts w:ascii="宋体" w:eastAsia="宋体" w:hAnsi="宋体" w:cs="宋体"/>
          <w:szCs w:val="21"/>
          <w:highlight w:val="none"/>
        </w:rPr>
      </w:pPr>
      <w:r>
        <w:rPr>
          <w:rFonts w:ascii="宋体" w:eastAsia="宋体" w:hAnsi="宋体" w:cs="宋体" w:hint="eastAsia"/>
          <w:szCs w:val="21"/>
          <w:highlight w:val="none"/>
        </w:rPr>
        <w:t>说明：</w:t>
      </w:r>
    </w:p>
    <w:p>
      <w:pPr>
        <w:spacing w:line="360" w:lineRule="auto"/>
        <w:rPr>
          <w:rFonts w:ascii="宋体" w:eastAsia="宋体" w:hAnsi="宋体" w:cs="宋体"/>
          <w:szCs w:val="21"/>
          <w:highlight w:val="none"/>
        </w:rPr>
      </w:pPr>
      <w:r>
        <w:rPr>
          <w:rFonts w:ascii="宋体" w:eastAsia="宋体" w:hAnsi="宋体" w:cs="宋体" w:hint="eastAsia"/>
          <w:szCs w:val="21"/>
          <w:highlight w:val="none"/>
        </w:rPr>
        <w:t>1、法定代表人（负责人或</w:t>
      </w:r>
      <w:r>
        <w:rPr>
          <w:rFonts w:ascii="宋体" w:eastAsia="宋体" w:hAnsi="宋体" w:cs="宋体" w:hint="eastAsia"/>
          <w:color w:val="4F81BD" w:themeColor="accent1"/>
          <w:szCs w:val="21"/>
          <w:highlight w:val="none"/>
          <w14:textFill>
            <w14:solidFill>
              <w14:schemeClr w14:val="accent1"/>
            </w14:solidFill>
          </w14:textFill>
        </w:rPr>
        <w:t>执行事务合伙人</w:t>
      </w:r>
      <w:r>
        <w:rPr>
          <w:rFonts w:ascii="宋体" w:eastAsia="宋体" w:hAnsi="宋体" w:cs="宋体" w:hint="eastAsia"/>
          <w:szCs w:val="21"/>
          <w:highlight w:val="none"/>
        </w:rPr>
        <w:t>）为投标人（企业事业单位、国家机关、社会团体）的主要行政负责人。</w:t>
      </w:r>
    </w:p>
    <w:p>
      <w:pPr>
        <w:spacing w:line="360" w:lineRule="auto"/>
        <w:rPr>
          <w:rFonts w:ascii="宋体" w:eastAsia="宋体" w:hAnsi="宋体" w:cs="宋体"/>
          <w:szCs w:val="21"/>
          <w:highlight w:val="none"/>
        </w:rPr>
      </w:pPr>
      <w:r>
        <w:rPr>
          <w:rFonts w:ascii="宋体" w:eastAsia="宋体" w:hAnsi="宋体" w:cs="宋体" w:hint="eastAsia"/>
          <w:szCs w:val="21"/>
          <w:highlight w:val="none"/>
        </w:rPr>
        <w:t>2、内容必须填写真实、清楚，涂改无效，不得转让、买卖。</w:t>
      </w:r>
    </w:p>
    <w:p>
      <w:pPr>
        <w:spacing w:line="360" w:lineRule="auto"/>
        <w:rPr>
          <w:rFonts w:ascii="宋体" w:eastAsia="宋体" w:hAnsi="宋体" w:cs="宋体"/>
          <w:szCs w:val="21"/>
          <w:highlight w:val="none"/>
        </w:rPr>
      </w:pPr>
      <w:r>
        <w:rPr>
          <w:rFonts w:ascii="宋体" w:eastAsia="宋体" w:hAnsi="宋体" w:cs="宋体" w:hint="eastAsia"/>
          <w:szCs w:val="21"/>
          <w:highlight w:val="none"/>
        </w:rPr>
        <w:t>3、如是法定代表人（负责人或执行事务合伙人）直接参与投标，必须填写《法定代表人（负责人或执行事务合伙人）证明书》，可不用填写《投标文件签署授权委托书》。</w:t>
      </w:r>
    </w:p>
    <w:p>
      <w:pPr>
        <w:rPr>
          <w:rFonts w:ascii="宋体" w:eastAsia="宋体" w:hAnsi="宋体" w:cs="宋体"/>
          <w:highlight w:val="none"/>
        </w:rPr>
      </w:pPr>
    </w:p>
    <w:p>
      <w:pPr>
        <w:spacing w:line="360" w:lineRule="auto"/>
        <w:rPr>
          <w:rFonts w:ascii="宋体" w:eastAsia="宋体" w:hAnsi="宋体" w:cs="宋体"/>
          <w:b/>
          <w:bCs/>
          <w:color w:val="000000" w:themeColor="text1"/>
          <w:szCs w:val="21"/>
          <w:highlight w:val="none"/>
          <w14:textFill>
            <w14:solidFill>
              <w14:schemeClr w14:val="tx1"/>
            </w14:solidFill>
          </w14:textFill>
        </w:rPr>
      </w:pPr>
      <w:r>
        <w:rPr>
          <w:rFonts w:ascii="宋体" w:eastAsia="宋体" w:hAnsi="宋体" w:cs="宋体" w:hint="eastAsia"/>
          <w:b/>
          <w:color w:val="FF0000"/>
          <w:szCs w:val="21"/>
          <w:highlight w:val="none"/>
        </w:rPr>
        <w:t>附： 请提供法定代表人（负责人或执行事务合伙人）身份证扫描件（正反两面）；港澳台居民可提供来往通行证扫描件；非中国国籍管辖范围人员，可提供公安部门认可的身份证明材料扫描件</w:t>
      </w:r>
      <w:r>
        <w:rPr>
          <w:rFonts w:ascii="宋体" w:eastAsia="宋体" w:hAnsi="宋体" w:cs="宋体" w:hint="eastAsia"/>
          <w:b/>
          <w:bCs/>
          <w:color w:val="000000" w:themeColor="text1"/>
          <w:szCs w:val="21"/>
          <w:highlight w:val="none"/>
          <w14:textFill>
            <w14:solidFill>
              <w14:schemeClr w14:val="tx1"/>
            </w14:solidFill>
          </w14:textFill>
        </w:rPr>
        <w:t>。</w:t>
      </w: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Heading3"/>
        <w:spacing w:before="120" w:after="120"/>
        <w:jc w:val="center"/>
        <w:rPr>
          <w:rFonts w:cs="宋体"/>
          <w:b w:val="0"/>
          <w:sz w:val="24"/>
          <w:highlight w:val="none"/>
        </w:rPr>
      </w:pPr>
      <w:r>
        <w:rPr>
          <w:rFonts w:cs="宋体" w:hint="eastAsia"/>
          <w:b w:val="0"/>
          <w:sz w:val="24"/>
          <w:highlight w:val="none"/>
        </w:rPr>
        <w:t>二、投标文件签署授权委托书</w:t>
      </w:r>
    </w:p>
    <w:p>
      <w:pPr>
        <w:spacing w:line="360" w:lineRule="auto"/>
        <w:ind w:firstLine="480" w:firstLineChars="200"/>
        <w:rPr>
          <w:rFonts w:ascii="宋体" w:eastAsia="宋体" w:hAnsi="宋体" w:cs="宋体"/>
          <w:szCs w:val="21"/>
          <w:highlight w:val="none"/>
        </w:rPr>
      </w:pPr>
      <w:r>
        <w:rPr>
          <w:rFonts w:ascii="宋体" w:eastAsia="宋体" w:hAnsi="宋体" w:cs="宋体" w:hint="eastAsia"/>
          <w:szCs w:val="21"/>
          <w:highlight w:val="none"/>
        </w:rPr>
        <w:t>本授权委托书声明：我（姓名）</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系（投标人名称）</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的法定代表人（负责人或</w:t>
      </w:r>
      <w:r>
        <w:rPr>
          <w:rFonts w:ascii="宋体" w:eastAsia="宋体" w:hAnsi="宋体" w:cs="宋体" w:hint="eastAsia"/>
          <w:color w:val="4F81BD" w:themeColor="accent1"/>
          <w:szCs w:val="21"/>
          <w:highlight w:val="none"/>
          <w14:textFill>
            <w14:solidFill>
              <w14:schemeClr w14:val="accent1"/>
            </w14:solidFill>
          </w14:textFill>
        </w:rPr>
        <w:t>执行事务合伙人</w:t>
      </w:r>
      <w:r>
        <w:rPr>
          <w:rFonts w:ascii="宋体" w:eastAsia="宋体" w:hAnsi="宋体" w:cs="宋体" w:hint="eastAsia"/>
          <w:szCs w:val="21"/>
          <w:highlight w:val="none"/>
        </w:rPr>
        <w:t>），现授权委托（姓名）</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为我单位签署本项目已递交的投标文件的法定代表人（负责人或执行事务合伙人）的授权委托代理人，代理人全权代表我所签署的本项目已递交的投标文件内容我均承认。</w:t>
      </w:r>
    </w:p>
    <w:p>
      <w:pPr>
        <w:pStyle w:val="NormalIndent"/>
        <w:spacing w:line="360" w:lineRule="auto"/>
        <w:rPr>
          <w:rFonts w:ascii="宋体" w:eastAsia="宋体" w:hAnsi="宋体" w:cs="宋体"/>
          <w:szCs w:val="21"/>
          <w:highlight w:val="none"/>
        </w:rPr>
      </w:pPr>
      <w:r>
        <w:rPr>
          <w:rFonts w:ascii="宋体" w:eastAsia="宋体" w:hAnsi="宋体" w:cs="宋体" w:hint="eastAsia"/>
          <w:szCs w:val="21"/>
          <w:highlight w:val="none"/>
        </w:rPr>
        <w:t>代理人无转委托权，特此委托。</w:t>
      </w:r>
    </w:p>
    <w:p>
      <w:pPr>
        <w:pStyle w:val="NormalIndent"/>
        <w:spacing w:line="360" w:lineRule="auto"/>
        <w:rPr>
          <w:rFonts w:ascii="宋体" w:eastAsia="宋体" w:hAnsi="宋体" w:cs="宋体"/>
          <w:szCs w:val="21"/>
          <w:highlight w:val="none"/>
        </w:rPr>
      </w:pPr>
    </w:p>
    <w:p>
      <w:pPr>
        <w:pStyle w:val="NormalIndent"/>
        <w:spacing w:line="360" w:lineRule="auto"/>
        <w:ind w:left="617" w:firstLine="0" w:leftChars="257"/>
        <w:rPr>
          <w:rFonts w:ascii="宋体" w:eastAsia="宋体" w:hAnsi="宋体" w:cs="宋体"/>
          <w:szCs w:val="21"/>
          <w:highlight w:val="none"/>
        </w:rPr>
      </w:pPr>
      <w:r>
        <w:rPr>
          <w:rFonts w:ascii="宋体" w:eastAsia="宋体" w:hAnsi="宋体" w:cs="宋体" w:hint="eastAsia"/>
          <w:szCs w:val="21"/>
          <w:highlight w:val="none"/>
        </w:rPr>
        <w:t>代理人：</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rPr>
        <w:tab/>
      </w:r>
    </w:p>
    <w:p>
      <w:pPr>
        <w:spacing w:line="360" w:lineRule="auto"/>
        <w:ind w:left="617" w:leftChars="257"/>
        <w:rPr>
          <w:rFonts w:ascii="宋体" w:eastAsia="宋体" w:hAnsi="宋体" w:cs="宋体"/>
          <w:szCs w:val="21"/>
          <w:highlight w:val="none"/>
        </w:rPr>
      </w:pPr>
      <w:r>
        <w:rPr>
          <w:rFonts w:ascii="宋体" w:eastAsia="宋体" w:hAnsi="宋体" w:cs="宋体" w:hint="eastAsia"/>
          <w:szCs w:val="21"/>
          <w:highlight w:val="none"/>
        </w:rPr>
        <w:t>联系电话：</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rPr>
        <w:tab/>
      </w:r>
      <w:r>
        <w:rPr>
          <w:rFonts w:ascii="宋体" w:eastAsia="宋体" w:hAnsi="宋体" w:cs="宋体" w:hint="eastAsia"/>
          <w:szCs w:val="21"/>
          <w:highlight w:val="none"/>
        </w:rPr>
        <w:t xml:space="preserve">       邮箱：</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rPr>
        <w:tab/>
      </w:r>
    </w:p>
    <w:p>
      <w:pPr>
        <w:spacing w:line="360" w:lineRule="auto"/>
        <w:ind w:left="617" w:leftChars="257"/>
        <w:rPr>
          <w:rFonts w:ascii="宋体" w:eastAsia="宋体" w:hAnsi="宋体" w:cs="宋体"/>
          <w:szCs w:val="21"/>
          <w:highlight w:val="none"/>
          <w:u w:val="single"/>
        </w:rPr>
      </w:pPr>
      <w:r>
        <w:rPr>
          <w:rFonts w:ascii="宋体" w:eastAsia="宋体" w:hAnsi="宋体" w:cs="宋体" w:hint="eastAsia"/>
          <w:szCs w:val="21"/>
          <w:highlight w:val="none"/>
        </w:rPr>
        <w:t>身份证号码：</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rPr>
        <w:tab/>
      </w:r>
      <w:r>
        <w:rPr>
          <w:rFonts w:ascii="宋体" w:eastAsia="宋体" w:hAnsi="宋体" w:cs="宋体" w:hint="eastAsia"/>
          <w:szCs w:val="21"/>
          <w:highlight w:val="none"/>
        </w:rPr>
        <w:t xml:space="preserve">       职务：</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rPr>
        <w:tab/>
      </w:r>
    </w:p>
    <w:p>
      <w:pPr>
        <w:spacing w:line="360" w:lineRule="auto"/>
        <w:ind w:left="617" w:leftChars="257"/>
        <w:rPr>
          <w:rFonts w:ascii="宋体" w:eastAsia="宋体" w:hAnsi="宋体" w:cs="宋体"/>
          <w:szCs w:val="21"/>
          <w:highlight w:val="none"/>
        </w:rPr>
      </w:pPr>
      <w:r>
        <w:rPr>
          <w:rFonts w:ascii="宋体" w:eastAsia="宋体" w:hAnsi="宋体" w:cs="宋体" w:hint="eastAsia"/>
          <w:szCs w:val="21"/>
          <w:highlight w:val="none"/>
        </w:rPr>
        <w:t>授权委托日期：</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年</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rPr>
        <w:tab/>
      </w:r>
      <w:r>
        <w:rPr>
          <w:rFonts w:ascii="宋体" w:eastAsia="宋体" w:hAnsi="宋体" w:cs="宋体" w:hint="eastAsia"/>
          <w:szCs w:val="21"/>
          <w:highlight w:val="none"/>
        </w:rPr>
        <w:t xml:space="preserve">月  </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rPr>
        <w:tab/>
      </w:r>
      <w:r>
        <w:rPr>
          <w:rFonts w:ascii="宋体" w:eastAsia="宋体" w:hAnsi="宋体" w:cs="宋体" w:hint="eastAsia"/>
          <w:szCs w:val="21"/>
          <w:highlight w:val="none"/>
        </w:rPr>
        <w:t xml:space="preserve"> 日</w:t>
      </w:r>
    </w:p>
    <w:p>
      <w:pPr>
        <w:rPr>
          <w:rFonts w:ascii="宋体" w:eastAsia="宋体" w:hAnsi="宋体" w:cs="宋体"/>
          <w:highlight w:val="none"/>
        </w:rPr>
      </w:pPr>
    </w:p>
    <w:p>
      <w:pPr>
        <w:spacing w:line="360" w:lineRule="auto"/>
        <w:rPr>
          <w:rFonts w:ascii="宋体" w:eastAsia="宋体" w:hAnsi="宋体" w:cs="宋体"/>
          <w:highlight w:val="none"/>
        </w:rPr>
      </w:pPr>
      <w:r>
        <w:rPr>
          <w:rFonts w:ascii="宋体" w:eastAsia="宋体" w:hAnsi="宋体" w:cs="宋体" w:hint="eastAsia"/>
          <w:szCs w:val="21"/>
          <w:highlight w:val="none"/>
        </w:rPr>
        <w:t>说明：</w:t>
      </w:r>
      <w:r>
        <w:rPr>
          <w:rFonts w:ascii="宋体" w:eastAsia="宋体" w:hAnsi="宋体" w:cs="宋体" w:hint="eastAsia"/>
          <w:highlight w:val="none"/>
        </w:rPr>
        <w:t>1、</w:t>
      </w:r>
      <w:r>
        <w:rPr>
          <w:rFonts w:ascii="宋体" w:eastAsia="宋体" w:hAnsi="宋体" w:cs="宋体" w:hint="eastAsia"/>
          <w:szCs w:val="21"/>
          <w:highlight w:val="none"/>
        </w:rPr>
        <w:t>如是代理人（受托人）参与投标，则必须提供《法定代表人（负责人或执行事务合伙人）证明书》和《投标文件签署授权委托书》，且《投标函》的委托代理人与《投标文件签署授权委托书》的代理人（受托人）必须一致。</w:t>
      </w:r>
    </w:p>
    <w:p>
      <w:pPr>
        <w:spacing w:line="360" w:lineRule="auto"/>
        <w:rPr>
          <w:rFonts w:ascii="宋体" w:eastAsia="宋体" w:hAnsi="宋体" w:cs="宋体"/>
          <w:b/>
          <w:color w:val="FF0000"/>
          <w:szCs w:val="21"/>
          <w:highlight w:val="none"/>
        </w:rPr>
      </w:pPr>
    </w:p>
    <w:p>
      <w:pPr>
        <w:spacing w:line="360" w:lineRule="auto"/>
        <w:rPr>
          <w:rFonts w:ascii="宋体" w:eastAsia="宋体" w:hAnsi="宋体" w:cs="宋体"/>
          <w:highlight w:val="none"/>
        </w:rPr>
      </w:pPr>
      <w:r>
        <w:rPr>
          <w:rFonts w:ascii="宋体" w:eastAsia="宋体" w:hAnsi="宋体" w:cs="宋体" w:hint="eastAsia"/>
          <w:b/>
          <w:color w:val="FF0000"/>
          <w:szCs w:val="21"/>
          <w:highlight w:val="none"/>
        </w:rPr>
        <w:t>附： 请提供代理人身份证扫描件（正反两面）；港澳台居民可提供来往通行证扫描件；非中国国籍管辖范围人员，可提供公安部门认可的身份证明材料扫描件。</w:t>
      </w: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b/>
          <w:bCs/>
          <w:color w:val="000000" w:themeColor="text1"/>
          <w:highlight w:val="none"/>
          <w14:textFill>
            <w14:solidFill>
              <w14:schemeClr w14:val="tx1"/>
            </w14:solidFill>
          </w14:textFill>
        </w:rPr>
      </w:pPr>
    </w:p>
    <w:p>
      <w:pPr>
        <w:rPr>
          <w:rFonts w:ascii="宋体" w:eastAsia="宋体" w:hAnsi="宋体" w:cs="宋体"/>
          <w:color w:val="000000" w:themeColor="text1"/>
          <w:szCs w:val="20"/>
          <w:highlight w:val="none"/>
          <w14:textFill>
            <w14:solidFill>
              <w14:schemeClr w14:val="tx1"/>
            </w14:solidFill>
          </w14:textFill>
        </w:rPr>
      </w:pPr>
    </w:p>
    <w:p>
      <w:pPr>
        <w:rPr>
          <w:rFonts w:ascii="宋体" w:eastAsia="宋体" w:hAnsi="宋体" w:cs="宋体"/>
          <w:color w:val="000000" w:themeColor="text1"/>
          <w:szCs w:val="20"/>
          <w:highlight w:val="none"/>
          <w14:textFill>
            <w14:solidFill>
              <w14:schemeClr w14:val="tx1"/>
            </w14:solidFill>
          </w14:textFill>
        </w:rPr>
      </w:pPr>
    </w:p>
    <w:p>
      <w:pPr>
        <w:rPr>
          <w:rFonts w:ascii="宋体" w:eastAsia="宋体" w:hAnsi="宋体" w:cs="宋体"/>
          <w:color w:val="000000" w:themeColor="text1"/>
          <w:szCs w:val="20"/>
          <w:highlight w:val="none"/>
          <w14:textFill>
            <w14:solidFill>
              <w14:schemeClr w14:val="tx1"/>
            </w14:solidFill>
          </w14:textFill>
        </w:rPr>
      </w:pPr>
    </w:p>
    <w:p>
      <w:pPr>
        <w:rPr>
          <w:rFonts w:ascii="宋体" w:eastAsia="宋体" w:hAnsi="宋体" w:cs="宋体"/>
          <w:color w:val="000000" w:themeColor="text1"/>
          <w:szCs w:val="20"/>
          <w:highlight w:val="none"/>
          <w14:textFill>
            <w14:solidFill>
              <w14:schemeClr w14:val="tx1"/>
            </w14:solidFill>
          </w14:textFill>
        </w:rPr>
      </w:pPr>
    </w:p>
    <w:p>
      <w:pPr>
        <w:rPr>
          <w:rFonts w:ascii="宋体" w:eastAsia="宋体" w:hAnsi="宋体" w:cs="宋体"/>
          <w:color w:val="000000" w:themeColor="text1"/>
          <w:szCs w:val="20"/>
          <w:highlight w:val="none"/>
          <w14:textFill>
            <w14:solidFill>
              <w14:schemeClr w14:val="tx1"/>
            </w14:solidFill>
          </w14:textFill>
        </w:rPr>
      </w:pPr>
    </w:p>
    <w:p>
      <w:pPr>
        <w:rPr>
          <w:rFonts w:ascii="宋体" w:eastAsia="宋体" w:hAnsi="宋体" w:cs="宋体"/>
          <w:color w:val="000000" w:themeColor="text1"/>
          <w:szCs w:val="20"/>
          <w:highlight w:val="none"/>
          <w14:textFill>
            <w14:solidFill>
              <w14:schemeClr w14:val="tx1"/>
            </w14:solidFill>
          </w14:textFill>
        </w:rPr>
      </w:pPr>
    </w:p>
    <w:p>
      <w:pPr>
        <w:rPr>
          <w:rFonts w:ascii="宋体" w:eastAsia="宋体" w:hAnsi="宋体" w:cs="宋体"/>
          <w:color w:val="000000" w:themeColor="text1"/>
          <w:szCs w:val="20"/>
          <w:highlight w:val="none"/>
          <w14:textFill>
            <w14:solidFill>
              <w14:schemeClr w14:val="tx1"/>
            </w14:solidFill>
          </w14:textFill>
        </w:rPr>
      </w:pPr>
    </w:p>
    <w:p>
      <w:pPr>
        <w:rPr>
          <w:rFonts w:ascii="宋体" w:eastAsia="宋体" w:hAnsi="宋体" w:cs="宋体"/>
          <w:color w:val="000000" w:themeColor="text1"/>
          <w:szCs w:val="20"/>
          <w:highlight w:val="none"/>
          <w14:textFill>
            <w14:solidFill>
              <w14:schemeClr w14:val="tx1"/>
            </w14:solidFill>
          </w14:textFill>
        </w:rPr>
      </w:pPr>
    </w:p>
    <w:p>
      <w:pPr>
        <w:pStyle w:val="Heading3"/>
        <w:jc w:val="center"/>
        <w:rPr>
          <w:rFonts w:cs="宋体"/>
          <w:bCs w:val="0"/>
          <w:color w:val="000000" w:themeColor="text1"/>
          <w:sz w:val="24"/>
          <w:highlight w:val="none"/>
          <w14:textFill>
            <w14:solidFill>
              <w14:schemeClr w14:val="tx1"/>
            </w14:solidFill>
          </w14:textFill>
        </w:rPr>
      </w:pPr>
      <w:r>
        <w:rPr>
          <w:rFonts w:cs="宋体" w:hint="eastAsia"/>
          <w:bCs w:val="0"/>
          <w:color w:val="000000" w:themeColor="text1"/>
          <w:sz w:val="24"/>
          <w:highlight w:val="none"/>
          <w14:textFill>
            <w14:solidFill>
              <w14:schemeClr w14:val="tx1"/>
            </w14:solidFill>
          </w14:textFill>
        </w:rPr>
        <w:t>三、</w:t>
      </w:r>
      <w:bookmarkStart w:id="42" w:name="_Hlk72092634"/>
      <w:r>
        <w:rPr>
          <w:rFonts w:cs="宋体" w:hint="eastAsia"/>
          <w:bCs w:val="0"/>
          <w:color w:val="000000" w:themeColor="text1"/>
          <w:sz w:val="24"/>
          <w:highlight w:val="none"/>
          <w14:textFill>
            <w14:solidFill>
              <w14:schemeClr w14:val="tx1"/>
            </w14:solidFill>
          </w14:textFill>
        </w:rPr>
        <w:t>实质性条款响应情况表</w:t>
      </w:r>
      <w:bookmarkEnd w:id="42"/>
    </w:p>
    <w:tbl>
      <w:tblPr>
        <w:tblStyle w:val="TableNormal"/>
        <w:tblW w:w="8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1"/>
        <w:gridCol w:w="3170"/>
        <w:gridCol w:w="2988"/>
        <w:gridCol w:w="1117"/>
        <w:gridCol w:w="562"/>
      </w:tblGrid>
      <w:tr>
        <w:tblPrEx>
          <w:tblW w:w="8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851"/>
          <w:jc w:val="center"/>
        </w:trPr>
        <w:tc>
          <w:tcPr>
            <w:tcW w:w="721" w:type="dxa"/>
            <w:vAlign w:val="center"/>
          </w:tcPr>
          <w:p>
            <w:pPr>
              <w:adjustRightInd w:val="0"/>
              <w:snapToGrid w:val="0"/>
              <w:spacing w:line="360" w:lineRule="auto"/>
              <w:jc w:val="center"/>
              <w:rPr>
                <w:rFonts w:ascii="宋体" w:eastAsia="宋体" w:hAnsi="宋体" w:cs="宋体"/>
                <w:b/>
                <w:bCs/>
                <w:color w:val="000000" w:themeColor="text1"/>
                <w:sz w:val="21"/>
                <w:szCs w:val="21"/>
                <w:highlight w:val="none"/>
                <w14:textFill>
                  <w14:solidFill>
                    <w14:schemeClr w14:val="tx1"/>
                  </w14:solidFill>
                </w14:textFill>
              </w:rPr>
            </w:pPr>
            <w:bookmarkStart w:id="43" w:name="_Hlk72092651"/>
            <w:r>
              <w:rPr>
                <w:rFonts w:ascii="宋体" w:eastAsia="宋体" w:hAnsi="宋体" w:cs="宋体" w:hint="eastAsia"/>
                <w:b/>
                <w:bCs/>
                <w:color w:val="000000" w:themeColor="text1"/>
                <w:sz w:val="21"/>
                <w:szCs w:val="21"/>
                <w:highlight w:val="none"/>
                <w14:textFill>
                  <w14:solidFill>
                    <w14:schemeClr w14:val="tx1"/>
                  </w14:solidFill>
                </w14:textFill>
              </w:rPr>
              <w:t>序号</w:t>
            </w:r>
          </w:p>
        </w:tc>
        <w:tc>
          <w:tcPr>
            <w:tcW w:w="3170" w:type="dxa"/>
            <w:vAlign w:val="center"/>
          </w:tcPr>
          <w:p>
            <w:pPr>
              <w:adjustRightInd w:val="0"/>
              <w:snapToGrid w:val="0"/>
              <w:spacing w:line="360" w:lineRule="auto"/>
              <w:jc w:val="center"/>
              <w:rPr>
                <w:rFonts w:ascii="宋体" w:eastAsia="宋体" w:hAnsi="宋体" w:cs="宋体"/>
                <w:b/>
                <w:bCs/>
                <w:color w:val="000000" w:themeColor="text1"/>
                <w:sz w:val="21"/>
                <w:szCs w:val="21"/>
                <w:highlight w:val="none"/>
                <w14:textFill>
                  <w14:solidFill>
                    <w14:schemeClr w14:val="tx1"/>
                  </w14:solidFill>
                </w14:textFill>
              </w:rPr>
            </w:pPr>
            <w:r>
              <w:rPr>
                <w:rFonts w:ascii="宋体" w:eastAsia="宋体" w:hAnsi="宋体" w:cs="宋体" w:hint="eastAsia"/>
                <w:b/>
                <w:bCs/>
                <w:color w:val="000000" w:themeColor="text1"/>
                <w:sz w:val="21"/>
                <w:szCs w:val="21"/>
                <w:highlight w:val="none"/>
                <w14:textFill>
                  <w14:solidFill>
                    <w14:schemeClr w14:val="tx1"/>
                  </w14:solidFill>
                </w14:textFill>
              </w:rPr>
              <w:t>实质性条款具体内容</w:t>
            </w:r>
          </w:p>
        </w:tc>
        <w:tc>
          <w:tcPr>
            <w:tcW w:w="2988" w:type="dxa"/>
            <w:vAlign w:val="center"/>
          </w:tcPr>
          <w:p>
            <w:pPr>
              <w:adjustRightInd w:val="0"/>
              <w:snapToGrid w:val="0"/>
              <w:spacing w:line="360" w:lineRule="auto"/>
              <w:jc w:val="center"/>
              <w:rPr>
                <w:rFonts w:ascii="宋体" w:eastAsia="宋体" w:hAnsi="宋体" w:cs="宋体"/>
                <w:b/>
                <w:bCs/>
                <w:color w:val="000000" w:themeColor="text1"/>
                <w:sz w:val="21"/>
                <w:szCs w:val="21"/>
                <w:highlight w:val="none"/>
                <w14:textFill>
                  <w14:solidFill>
                    <w14:schemeClr w14:val="tx1"/>
                  </w14:solidFill>
                </w14:textFill>
              </w:rPr>
            </w:pPr>
            <w:r>
              <w:rPr>
                <w:rFonts w:ascii="宋体" w:eastAsia="宋体" w:hAnsi="宋体" w:cs="宋体" w:hint="eastAsia"/>
                <w:b/>
                <w:bCs/>
                <w:color w:val="000000" w:themeColor="text1"/>
                <w:sz w:val="21"/>
                <w:szCs w:val="21"/>
                <w:highlight w:val="none"/>
                <w14:textFill>
                  <w14:solidFill>
                    <w14:schemeClr w14:val="tx1"/>
                  </w14:solidFill>
                </w14:textFill>
              </w:rPr>
              <w:t>投标响应</w:t>
            </w:r>
          </w:p>
        </w:tc>
        <w:tc>
          <w:tcPr>
            <w:tcW w:w="1117" w:type="dxa"/>
            <w:vAlign w:val="center"/>
          </w:tcPr>
          <w:p>
            <w:pPr>
              <w:adjustRightInd w:val="0"/>
              <w:snapToGrid w:val="0"/>
              <w:spacing w:line="360" w:lineRule="auto"/>
              <w:jc w:val="center"/>
              <w:rPr>
                <w:rFonts w:ascii="宋体" w:eastAsia="宋体" w:hAnsi="宋体" w:cs="宋体"/>
                <w:b/>
                <w:bCs/>
                <w:color w:val="000000" w:themeColor="text1"/>
                <w:sz w:val="21"/>
                <w:szCs w:val="21"/>
                <w:highlight w:val="none"/>
                <w14:textFill>
                  <w14:solidFill>
                    <w14:schemeClr w14:val="tx1"/>
                  </w14:solidFill>
                </w14:textFill>
              </w:rPr>
            </w:pPr>
            <w:r>
              <w:rPr>
                <w:rFonts w:ascii="宋体" w:eastAsia="宋体" w:hAnsi="宋体" w:cs="宋体" w:hint="eastAsia"/>
                <w:b/>
                <w:bCs/>
                <w:color w:val="000000" w:themeColor="text1"/>
                <w:sz w:val="21"/>
                <w:szCs w:val="21"/>
                <w:highlight w:val="none"/>
                <w14:textFill>
                  <w14:solidFill>
                    <w14:schemeClr w14:val="tx1"/>
                  </w14:solidFill>
                </w14:textFill>
              </w:rPr>
              <w:t>偏离情况</w:t>
            </w:r>
          </w:p>
        </w:tc>
        <w:tc>
          <w:tcPr>
            <w:tcW w:w="562" w:type="dxa"/>
            <w:vAlign w:val="center"/>
          </w:tcPr>
          <w:p>
            <w:pPr>
              <w:adjustRightInd w:val="0"/>
              <w:snapToGrid w:val="0"/>
              <w:spacing w:line="360" w:lineRule="auto"/>
              <w:jc w:val="center"/>
              <w:rPr>
                <w:rFonts w:ascii="宋体" w:eastAsia="宋体" w:hAnsi="宋体" w:cs="宋体"/>
                <w:b/>
                <w:bCs/>
                <w:color w:val="000000" w:themeColor="text1"/>
                <w:sz w:val="21"/>
                <w:szCs w:val="21"/>
                <w:highlight w:val="none"/>
                <w14:textFill>
                  <w14:solidFill>
                    <w14:schemeClr w14:val="tx1"/>
                  </w14:solidFill>
                </w14:textFill>
              </w:rPr>
            </w:pPr>
            <w:r>
              <w:rPr>
                <w:rFonts w:ascii="宋体" w:eastAsia="宋体" w:hAnsi="宋体" w:cs="宋体" w:hint="eastAsia"/>
                <w:b/>
                <w:bCs/>
                <w:color w:val="000000" w:themeColor="text1"/>
                <w:sz w:val="21"/>
                <w:szCs w:val="21"/>
                <w:highlight w:val="none"/>
                <w14:textFill>
                  <w14:solidFill>
                    <w14:schemeClr w14:val="tx1"/>
                  </w14:solidFill>
                </w14:textFill>
              </w:rPr>
              <w:t>说明</w:t>
            </w:r>
          </w:p>
        </w:tc>
      </w:tr>
      <w:tr>
        <w:tblPrEx>
          <w:tblW w:w="8558" w:type="dxa"/>
          <w:jc w:val="center"/>
          <w:tblLayout w:type="fixed"/>
          <w:tblCellMar>
            <w:top w:w="0" w:type="dxa"/>
            <w:left w:w="108" w:type="dxa"/>
            <w:bottom w:w="0" w:type="dxa"/>
            <w:right w:w="108" w:type="dxa"/>
          </w:tblCellMar>
        </w:tblPrEx>
        <w:trPr>
          <w:trHeight w:val="502"/>
          <w:jc w:val="center"/>
        </w:trPr>
        <w:tc>
          <w:tcPr>
            <w:tcW w:w="721" w:type="dxa"/>
            <w:vAlign w:val="center"/>
          </w:tcPr>
          <w:p>
            <w:pPr>
              <w:adjustRightInd w:val="0"/>
              <w:snapToGrid w:val="0"/>
              <w:spacing w:line="360" w:lineRule="auto"/>
              <w:jc w:val="center"/>
              <w:rPr>
                <w:rFonts w:ascii="宋体" w:eastAsia="宋体" w:hAnsi="宋体" w:cs="宋体"/>
                <w:color w:val="000000" w:themeColor="text1"/>
                <w:sz w:val="21"/>
                <w:szCs w:val="21"/>
                <w:highlight w:val="none"/>
                <w14:textFill>
                  <w14:solidFill>
                    <w14:schemeClr w14:val="tx1"/>
                  </w14:solidFill>
                </w14:textFill>
              </w:rPr>
            </w:pPr>
            <w:bookmarkEnd w:id="43"/>
            <w:r>
              <w:rPr>
                <w:rFonts w:ascii="宋体" w:eastAsia="宋体" w:hAnsi="宋体" w:cs="宋体" w:hint="eastAsia"/>
                <w:color w:val="000000" w:themeColor="text1"/>
                <w:sz w:val="21"/>
                <w:szCs w:val="21"/>
                <w:highlight w:val="none"/>
                <w14:textFill>
                  <w14:solidFill>
                    <w14:schemeClr w14:val="tx1"/>
                  </w14:solidFill>
                </w14:textFill>
              </w:rPr>
              <w:t>1</w:t>
            </w:r>
          </w:p>
        </w:tc>
        <w:tc>
          <w:tcPr>
            <w:tcW w:w="3170" w:type="dxa"/>
            <w:vAlign w:val="top"/>
          </w:tcPr>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
                <w:bCs w:val="0"/>
                <w:szCs w:val="24"/>
                <w:highlight w:val="none"/>
                <w:lang w:eastAsia="zh-CN"/>
              </w:rPr>
              <w:t>（</w:t>
            </w:r>
            <w:r>
              <w:rPr>
                <w:rFonts w:ascii="宋体" w:eastAsia="宋体" w:hAnsi="宋体" w:cs="宋体" w:hint="eastAsia"/>
                <w:b/>
                <w:bCs w:val="0"/>
                <w:szCs w:val="24"/>
                <w:highlight w:val="none"/>
                <w:lang w:val="en-US" w:eastAsia="zh-CN"/>
              </w:rPr>
              <w:t>一</w:t>
            </w:r>
            <w:r>
              <w:rPr>
                <w:rFonts w:ascii="宋体" w:eastAsia="宋体" w:hAnsi="宋体" w:cs="宋体" w:hint="eastAsia"/>
                <w:b/>
                <w:bCs w:val="0"/>
                <w:szCs w:val="24"/>
                <w:highlight w:val="none"/>
                <w:lang w:eastAsia="zh-CN"/>
              </w:rPr>
              <w:t>）</w:t>
            </w:r>
            <w:r>
              <w:rPr>
                <w:rFonts w:ascii="宋体" w:eastAsia="宋体" w:hAnsi="宋体" w:cs="宋体" w:hint="eastAsia"/>
                <w:b/>
                <w:bCs w:val="0"/>
                <w:szCs w:val="24"/>
                <w:highlight w:val="none"/>
              </w:rPr>
              <w:t xml:space="preserve">★服务期限：    </w:t>
            </w:r>
            <w:r>
              <w:rPr>
                <w:rFonts w:ascii="宋体" w:eastAsia="宋体" w:hAnsi="宋体" w:cs="宋体" w:hint="eastAsia"/>
                <w:bCs/>
                <w:szCs w:val="24"/>
                <w:highlight w:val="none"/>
              </w:rPr>
              <w:t xml:space="preserve">                                  </w:t>
            </w:r>
          </w:p>
          <w:p>
            <w:pPr>
              <w:spacing w:line="360" w:lineRule="auto"/>
              <w:ind w:firstLine="480" w:firstLineChars="200"/>
              <w:rPr>
                <w:rFonts w:ascii="宋体" w:eastAsia="宋体" w:hAnsi="宋体" w:cs="宋体"/>
                <w:color w:val="000000" w:themeColor="text1"/>
                <w:sz w:val="21"/>
                <w:szCs w:val="21"/>
                <w:highlight w:val="none"/>
                <w14:textFill>
                  <w14:solidFill>
                    <w14:schemeClr w14:val="tx1"/>
                  </w14:solidFill>
                </w14:textFill>
              </w:rPr>
            </w:pPr>
            <w:r>
              <w:rPr>
                <w:rFonts w:hint="eastAsia"/>
              </w:rPr>
              <w:t>本项目为非长期服务项目，自合同签订之日起20</w:t>
            </w:r>
            <w:r>
              <w:t>个工作日内</w:t>
            </w:r>
            <w:r>
              <w:rPr>
                <w:rFonts w:hint="eastAsia"/>
              </w:rPr>
              <w:t>交付（提供资源远程访问权限，资源访问时间见具体技术要求），免费维护期限1年。</w:t>
            </w:r>
          </w:p>
        </w:tc>
        <w:tc>
          <w:tcPr>
            <w:tcW w:w="2988" w:type="dxa"/>
            <w:vAlign w:val="top"/>
          </w:tcPr>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
                <w:bCs w:val="0"/>
                <w:szCs w:val="24"/>
                <w:highlight w:val="none"/>
                <w:lang w:eastAsia="zh-CN"/>
              </w:rPr>
              <w:t>（</w:t>
            </w:r>
            <w:r>
              <w:rPr>
                <w:rFonts w:ascii="宋体" w:eastAsia="宋体" w:hAnsi="宋体" w:cs="宋体" w:hint="eastAsia"/>
                <w:b/>
                <w:bCs w:val="0"/>
                <w:szCs w:val="24"/>
                <w:highlight w:val="none"/>
                <w:lang w:val="en-US" w:eastAsia="zh-CN"/>
              </w:rPr>
              <w:t>一</w:t>
            </w:r>
            <w:r>
              <w:rPr>
                <w:rFonts w:ascii="宋体" w:eastAsia="宋体" w:hAnsi="宋体" w:cs="宋体" w:hint="eastAsia"/>
                <w:b/>
                <w:bCs w:val="0"/>
                <w:szCs w:val="24"/>
                <w:highlight w:val="none"/>
                <w:lang w:eastAsia="zh-CN"/>
              </w:rPr>
              <w:t>）</w:t>
            </w:r>
            <w:r>
              <w:rPr>
                <w:rFonts w:ascii="宋体" w:eastAsia="宋体" w:hAnsi="宋体" w:cs="宋体" w:hint="eastAsia"/>
                <w:b/>
                <w:bCs w:val="0"/>
                <w:szCs w:val="24"/>
                <w:highlight w:val="none"/>
              </w:rPr>
              <w:t xml:space="preserve">★服务期限：    </w:t>
            </w:r>
            <w:r>
              <w:rPr>
                <w:rFonts w:ascii="宋体" w:eastAsia="宋体" w:hAnsi="宋体" w:cs="宋体" w:hint="eastAsia"/>
                <w:bCs/>
                <w:szCs w:val="24"/>
                <w:highlight w:val="none"/>
              </w:rPr>
              <w:t xml:space="preserve">                                  </w:t>
            </w:r>
          </w:p>
          <w:p>
            <w:pPr>
              <w:spacing w:line="360" w:lineRule="auto"/>
              <w:ind w:firstLine="480" w:firstLineChars="200"/>
              <w:rPr>
                <w:rFonts w:ascii="宋体" w:eastAsia="宋体" w:hAnsi="宋体" w:cs="宋体"/>
                <w:color w:val="000000" w:themeColor="text1"/>
                <w:sz w:val="21"/>
                <w:szCs w:val="21"/>
                <w:highlight w:val="none"/>
                <w14:textFill>
                  <w14:solidFill>
                    <w14:schemeClr w14:val="tx1"/>
                  </w14:solidFill>
                </w14:textFill>
              </w:rPr>
            </w:pPr>
            <w:r>
              <w:rPr>
                <w:rFonts w:hint="eastAsia"/>
              </w:rPr>
              <w:t>本项目为非长期服务项目，自合同签订之日起20</w:t>
            </w:r>
            <w:r>
              <w:t>个工作日内</w:t>
            </w:r>
            <w:r>
              <w:rPr>
                <w:rFonts w:hint="eastAsia"/>
              </w:rPr>
              <w:t>交付（提供资源远程访问权限，资源访问时间见具体技术要求），免费维护期限1年。</w:t>
            </w:r>
          </w:p>
        </w:tc>
        <w:tc>
          <w:tcPr>
            <w:tcW w:w="1117" w:type="dxa"/>
            <w:vAlign w:val="center"/>
          </w:tcPr>
          <w:p>
            <w:pPr>
              <w:spacing w:line="460" w:lineRule="exact"/>
              <w:jc w:val="center"/>
            </w:pPr>
            <w:r>
              <w:rPr>
                <w:rFonts w:hint="eastAsia"/>
              </w:rPr>
              <w:t>无偏离</w:t>
            </w:r>
          </w:p>
        </w:tc>
        <w:tc>
          <w:tcPr>
            <w:tcW w:w="562" w:type="dxa"/>
          </w:tcPr>
          <w:p>
            <w:pPr>
              <w:adjustRightInd w:val="0"/>
              <w:snapToGrid w:val="0"/>
              <w:spacing w:line="360" w:lineRule="auto"/>
              <w:rPr>
                <w:rFonts w:ascii="宋体" w:eastAsia="宋体" w:hAnsi="宋体" w:cs="宋体"/>
                <w:color w:val="000000" w:themeColor="text1"/>
                <w:sz w:val="21"/>
                <w:szCs w:val="21"/>
                <w:highlight w:val="none"/>
                <w14:textFill>
                  <w14:solidFill>
                    <w14:schemeClr w14:val="tx1"/>
                  </w14:solidFill>
                </w14:textFill>
              </w:rPr>
            </w:pPr>
          </w:p>
        </w:tc>
      </w:tr>
      <w:tr>
        <w:tblPrEx>
          <w:tblW w:w="8558" w:type="dxa"/>
          <w:jc w:val="center"/>
          <w:tblLayout w:type="fixed"/>
          <w:tblCellMar>
            <w:top w:w="0" w:type="dxa"/>
            <w:left w:w="108" w:type="dxa"/>
            <w:bottom w:w="0" w:type="dxa"/>
            <w:right w:w="108" w:type="dxa"/>
          </w:tblCellMar>
        </w:tblPrEx>
        <w:trPr>
          <w:trHeight w:val="502"/>
          <w:jc w:val="center"/>
        </w:trPr>
        <w:tc>
          <w:tcPr>
            <w:tcW w:w="721" w:type="dxa"/>
            <w:vAlign w:val="center"/>
          </w:tcPr>
          <w:p>
            <w:pPr>
              <w:adjustRightInd w:val="0"/>
              <w:snapToGrid w:val="0"/>
              <w:spacing w:line="360" w:lineRule="auto"/>
              <w:jc w:val="center"/>
              <w:rPr>
                <w:rFonts w:ascii="宋体" w:eastAsia="宋体" w:hAnsi="宋体" w:cs="宋体"/>
                <w:color w:val="000000" w:themeColor="text1"/>
                <w:sz w:val="21"/>
                <w:szCs w:val="21"/>
                <w:highlight w:val="none"/>
                <w14:textFill>
                  <w14:solidFill>
                    <w14:schemeClr w14:val="tx1"/>
                  </w14:solidFill>
                </w14:textFill>
              </w:rPr>
            </w:pPr>
            <w:r>
              <w:rPr>
                <w:rFonts w:ascii="宋体" w:eastAsia="宋体" w:hAnsi="宋体" w:cs="宋体" w:hint="eastAsia"/>
                <w:color w:val="000000" w:themeColor="text1"/>
                <w:sz w:val="21"/>
                <w:szCs w:val="21"/>
                <w:highlight w:val="none"/>
                <w14:textFill>
                  <w14:solidFill>
                    <w14:schemeClr w14:val="tx1"/>
                  </w14:solidFill>
                </w14:textFill>
              </w:rPr>
              <w:t>2</w:t>
            </w:r>
          </w:p>
        </w:tc>
        <w:tc>
          <w:tcPr>
            <w:tcW w:w="3170" w:type="dxa"/>
            <w:vAlign w:val="top"/>
          </w:tcPr>
          <w:p>
            <w:pPr>
              <w:pStyle w:val="NormalIndent"/>
              <w:spacing w:before="60" w:beforeLines="25" w:after="60" w:afterLines="25" w:line="360" w:lineRule="auto"/>
              <w:ind w:firstLine="449" w:firstLineChars="187"/>
              <w:rPr>
                <w:rFonts w:ascii="宋体" w:eastAsia="宋体" w:hAnsi="宋体" w:cs="宋体" w:hint="eastAsia"/>
                <w:b/>
                <w:bCs w:val="0"/>
                <w:szCs w:val="24"/>
                <w:highlight w:val="none"/>
              </w:rPr>
            </w:pPr>
            <w:r>
              <w:rPr>
                <w:rFonts w:ascii="宋体" w:eastAsia="宋体" w:hAnsi="宋体" w:cs="宋体" w:hint="eastAsia"/>
                <w:b/>
                <w:bCs w:val="0"/>
                <w:szCs w:val="24"/>
                <w:highlight w:val="none"/>
              </w:rPr>
              <w:t>（</w:t>
            </w:r>
            <w:r>
              <w:rPr>
                <w:rFonts w:ascii="宋体" w:eastAsia="宋体" w:hAnsi="宋体" w:cs="宋体" w:hint="eastAsia"/>
                <w:b/>
                <w:bCs w:val="0"/>
                <w:szCs w:val="24"/>
                <w:highlight w:val="none"/>
                <w:lang w:val="en-US" w:eastAsia="zh-CN"/>
              </w:rPr>
              <w:t>三</w:t>
            </w:r>
            <w:r>
              <w:rPr>
                <w:rFonts w:ascii="宋体" w:eastAsia="宋体" w:hAnsi="宋体" w:cs="宋体" w:hint="eastAsia"/>
                <w:b/>
                <w:bCs w:val="0"/>
                <w:szCs w:val="24"/>
                <w:highlight w:val="none"/>
              </w:rPr>
              <w:t>）★付款方式</w:t>
            </w:r>
          </w:p>
          <w:p>
            <w:pPr>
              <w:spacing w:line="460" w:lineRule="exact"/>
              <w:ind w:firstLine="480" w:firstLineChars="200"/>
              <w:rPr>
                <w:rFonts w:hint="eastAsia"/>
              </w:rPr>
            </w:pPr>
            <w:r>
              <w:rPr>
                <w:rFonts w:eastAsia="宋体" w:hint="eastAsia"/>
                <w:lang w:val="en-US" w:eastAsia="zh-CN"/>
              </w:rPr>
              <w:t>1.</w:t>
            </w:r>
            <w:r>
              <w:rPr>
                <w:rFonts w:hint="eastAsia"/>
              </w:rPr>
              <w:t>本项目为跨年支付项目。</w:t>
            </w:r>
          </w:p>
          <w:p>
            <w:pPr>
              <w:spacing w:line="460" w:lineRule="exact"/>
              <w:ind w:firstLine="480" w:firstLineChars="200"/>
              <w:rPr>
                <w:rFonts w:ascii="宋体" w:eastAsia="宋体" w:hAnsi="宋体" w:cs="宋体"/>
                <w:sz w:val="21"/>
                <w:szCs w:val="21"/>
                <w:highlight w:val="none"/>
              </w:rPr>
            </w:pPr>
            <w:r>
              <w:rPr>
                <w:rFonts w:eastAsia="宋体" w:hint="eastAsia"/>
                <w:lang w:val="en-US" w:eastAsia="zh-CN"/>
              </w:rPr>
              <w:t>2.</w:t>
            </w:r>
            <w:r>
              <w:t>采购人在合同签订后</w:t>
            </w:r>
            <w:r>
              <w:rPr>
                <w:rFonts w:hint="eastAsia"/>
              </w:rPr>
              <w:t>20</w:t>
            </w:r>
            <w:r>
              <w:t>个工作日内向中标人支付合同总额的6</w:t>
            </w:r>
            <w:r>
              <w:rPr>
                <w:rFonts w:hint="eastAsia"/>
              </w:rPr>
              <w:t>0</w:t>
            </w:r>
            <w:r>
              <w:t>%作为预付款，中标人提供相应发票；</w:t>
            </w:r>
            <w:r>
              <w:rPr>
                <w:rFonts w:hint="eastAsia"/>
              </w:rPr>
              <w:t>第二年中标人维护期满且</w:t>
            </w:r>
            <w:r>
              <w:t>验收合格后</w:t>
            </w:r>
            <w:r>
              <w:rPr>
                <w:rFonts w:hint="eastAsia"/>
              </w:rPr>
              <w:t>20</w:t>
            </w:r>
            <w:r>
              <w:t>个工作日内采购人向中标人支付余款（即合同总额的4</w:t>
            </w:r>
            <w:r>
              <w:rPr>
                <w:rFonts w:hint="eastAsia"/>
              </w:rPr>
              <w:t>0</w:t>
            </w:r>
            <w:r>
              <w:t>%），中标人提供相应</w:t>
            </w:r>
            <w:r>
              <w:rPr>
                <w:color w:val="auto"/>
              </w:rPr>
              <w:t>发票</w:t>
            </w:r>
            <w:r>
              <w:rPr>
                <w:rFonts w:hint="eastAsia"/>
                <w:color w:val="auto"/>
              </w:rPr>
              <w:t>。</w:t>
            </w:r>
          </w:p>
        </w:tc>
        <w:tc>
          <w:tcPr>
            <w:tcW w:w="2988" w:type="dxa"/>
            <w:vAlign w:val="top"/>
          </w:tcPr>
          <w:p>
            <w:pPr>
              <w:pStyle w:val="NormalIndent"/>
              <w:spacing w:before="60" w:beforeLines="25" w:after="60" w:afterLines="25" w:line="360" w:lineRule="auto"/>
              <w:ind w:firstLine="449" w:firstLineChars="187"/>
              <w:rPr>
                <w:rFonts w:ascii="宋体" w:eastAsia="宋体" w:hAnsi="宋体" w:cs="宋体" w:hint="eastAsia"/>
                <w:b/>
                <w:bCs w:val="0"/>
                <w:szCs w:val="24"/>
                <w:highlight w:val="none"/>
              </w:rPr>
            </w:pPr>
            <w:r>
              <w:rPr>
                <w:rFonts w:ascii="宋体" w:eastAsia="宋体" w:hAnsi="宋体" w:cs="宋体" w:hint="eastAsia"/>
                <w:b/>
                <w:bCs w:val="0"/>
                <w:szCs w:val="24"/>
                <w:highlight w:val="none"/>
              </w:rPr>
              <w:t>（</w:t>
            </w:r>
            <w:r>
              <w:rPr>
                <w:rFonts w:ascii="宋体" w:eastAsia="宋体" w:hAnsi="宋体" w:cs="宋体" w:hint="eastAsia"/>
                <w:b/>
                <w:bCs w:val="0"/>
                <w:szCs w:val="24"/>
                <w:highlight w:val="none"/>
                <w:lang w:val="en-US" w:eastAsia="zh-CN"/>
              </w:rPr>
              <w:t>三</w:t>
            </w:r>
            <w:r>
              <w:rPr>
                <w:rFonts w:ascii="宋体" w:eastAsia="宋体" w:hAnsi="宋体" w:cs="宋体" w:hint="eastAsia"/>
                <w:b/>
                <w:bCs w:val="0"/>
                <w:szCs w:val="24"/>
                <w:highlight w:val="none"/>
              </w:rPr>
              <w:t>）★付款方式</w:t>
            </w:r>
          </w:p>
          <w:p>
            <w:pPr>
              <w:spacing w:line="460" w:lineRule="exact"/>
              <w:ind w:firstLine="480" w:firstLineChars="200"/>
              <w:rPr>
                <w:rFonts w:hint="eastAsia"/>
              </w:rPr>
            </w:pPr>
            <w:r>
              <w:rPr>
                <w:rFonts w:eastAsia="宋体" w:hint="eastAsia"/>
                <w:lang w:val="en-US" w:eastAsia="zh-CN"/>
              </w:rPr>
              <w:t>1.</w:t>
            </w:r>
            <w:r>
              <w:rPr>
                <w:rFonts w:hint="eastAsia"/>
              </w:rPr>
              <w:t>本项目为跨年支付项目。</w:t>
            </w:r>
          </w:p>
          <w:p>
            <w:pPr>
              <w:spacing w:line="460" w:lineRule="exact"/>
              <w:ind w:firstLine="480" w:firstLineChars="200"/>
              <w:rPr>
                <w:rFonts w:ascii="宋体" w:eastAsia="宋体" w:hAnsi="宋体" w:cs="宋体"/>
                <w:color w:val="000000" w:themeColor="text1"/>
                <w:sz w:val="21"/>
                <w:szCs w:val="21"/>
                <w:highlight w:val="none"/>
                <w14:textFill>
                  <w14:solidFill>
                    <w14:schemeClr w14:val="tx1"/>
                  </w14:solidFill>
                </w14:textFill>
              </w:rPr>
            </w:pPr>
            <w:r>
              <w:rPr>
                <w:rFonts w:eastAsia="宋体" w:hint="eastAsia"/>
                <w:lang w:val="en-US" w:eastAsia="zh-CN"/>
              </w:rPr>
              <w:t>2.</w:t>
            </w:r>
            <w:r>
              <w:t>采购人在合同签订后</w:t>
            </w:r>
            <w:r>
              <w:rPr>
                <w:rFonts w:hint="eastAsia"/>
              </w:rPr>
              <w:t>20</w:t>
            </w:r>
            <w:r>
              <w:t>个工作日内向中标人支付合同总额的6</w:t>
            </w:r>
            <w:r>
              <w:rPr>
                <w:rFonts w:hint="eastAsia"/>
              </w:rPr>
              <w:t>0</w:t>
            </w:r>
            <w:r>
              <w:t>%作为预付款，中标人提供相应发票；</w:t>
            </w:r>
            <w:r>
              <w:rPr>
                <w:rFonts w:hint="eastAsia"/>
              </w:rPr>
              <w:t>第二年中标人维护期满且</w:t>
            </w:r>
            <w:r>
              <w:t>验收合格后</w:t>
            </w:r>
            <w:r>
              <w:rPr>
                <w:rFonts w:hint="eastAsia"/>
              </w:rPr>
              <w:t>20</w:t>
            </w:r>
            <w:r>
              <w:t>个工作日内采购人向中标人支付余款（即合同总额的4</w:t>
            </w:r>
            <w:r>
              <w:rPr>
                <w:rFonts w:hint="eastAsia"/>
              </w:rPr>
              <w:t>0</w:t>
            </w:r>
            <w:r>
              <w:t>%），中标人提供相应</w:t>
            </w:r>
            <w:r>
              <w:rPr>
                <w:color w:val="auto"/>
              </w:rPr>
              <w:t>发票</w:t>
            </w:r>
            <w:r>
              <w:rPr>
                <w:rFonts w:hint="eastAsia"/>
                <w:color w:val="auto"/>
              </w:rPr>
              <w:t>。</w:t>
            </w:r>
          </w:p>
        </w:tc>
        <w:tc>
          <w:tcPr>
            <w:tcW w:w="1117" w:type="dxa"/>
            <w:vAlign w:val="center"/>
          </w:tcPr>
          <w:p>
            <w:pPr>
              <w:spacing w:line="460" w:lineRule="exact"/>
              <w:jc w:val="center"/>
            </w:pPr>
            <w:r>
              <w:rPr>
                <w:rFonts w:hint="eastAsia"/>
              </w:rPr>
              <w:t>无偏离</w:t>
            </w:r>
          </w:p>
        </w:tc>
        <w:tc>
          <w:tcPr>
            <w:tcW w:w="562" w:type="dxa"/>
          </w:tcPr>
          <w:p>
            <w:pPr>
              <w:adjustRightInd w:val="0"/>
              <w:snapToGrid w:val="0"/>
              <w:spacing w:line="360" w:lineRule="auto"/>
              <w:rPr>
                <w:rFonts w:ascii="宋体" w:eastAsia="宋体" w:hAnsi="宋体" w:cs="宋体"/>
                <w:color w:val="000000" w:themeColor="text1"/>
                <w:sz w:val="21"/>
                <w:szCs w:val="21"/>
                <w:highlight w:val="none"/>
                <w14:textFill>
                  <w14:solidFill>
                    <w14:schemeClr w14:val="tx1"/>
                  </w14:solidFill>
                </w14:textFill>
              </w:rPr>
            </w:pPr>
          </w:p>
        </w:tc>
      </w:tr>
    </w:tbl>
    <w:p>
      <w:pPr>
        <w:rPr>
          <w:rFonts w:ascii="宋体" w:eastAsia="宋体" w:hAnsi="宋体" w:cs="宋体"/>
          <w:b/>
          <w:color w:val="000000" w:themeColor="text1"/>
          <w:szCs w:val="22"/>
          <w:highlight w:val="none"/>
          <w14:textFill>
            <w14:solidFill>
              <w14:schemeClr w14:val="tx1"/>
            </w14:solidFill>
          </w14:textFill>
        </w:rPr>
      </w:pPr>
    </w:p>
    <w:p>
      <w:pPr>
        <w:ind w:firstLine="480" w:firstLineChars="200"/>
        <w:rPr>
          <w:rFonts w:ascii="宋体" w:eastAsia="宋体" w:hAnsi="宋体" w:cs="宋体"/>
          <w:b/>
          <w:color w:val="000000" w:themeColor="text1"/>
          <w:szCs w:val="22"/>
          <w:highlight w:val="none"/>
          <w14:textFill>
            <w14:solidFill>
              <w14:schemeClr w14:val="tx1"/>
            </w14:solidFill>
          </w14:textFill>
        </w:rPr>
      </w:pPr>
      <w:r>
        <w:rPr>
          <w:rFonts w:ascii="宋体" w:eastAsia="宋体" w:hAnsi="宋体" w:cs="宋体" w:hint="eastAsia"/>
          <w:b/>
          <w:color w:val="000000" w:themeColor="text1"/>
          <w:szCs w:val="22"/>
          <w:highlight w:val="none"/>
          <w14:textFill>
            <w14:solidFill>
              <w14:schemeClr w14:val="tx1"/>
            </w14:solidFill>
          </w14:textFill>
        </w:rPr>
        <w:t>注：</w:t>
      </w:r>
    </w:p>
    <w:p>
      <w:pPr>
        <w:ind w:firstLine="480" w:firstLineChars="200"/>
        <w:rPr>
          <w:rFonts w:ascii="宋体" w:eastAsia="宋体" w:hAnsi="宋体" w:cs="宋体"/>
          <w:b/>
          <w:color w:val="000000" w:themeColor="text1"/>
          <w:szCs w:val="22"/>
          <w:highlight w:val="none"/>
          <w14:textFill>
            <w14:solidFill>
              <w14:schemeClr w14:val="tx1"/>
            </w14:solidFill>
          </w14:textFill>
        </w:rPr>
      </w:pPr>
      <w:r>
        <w:rPr>
          <w:rFonts w:ascii="宋体" w:eastAsia="宋体" w:hAnsi="宋体" w:cs="宋体" w:hint="eastAsia"/>
          <w:b/>
          <w:color w:val="000000" w:themeColor="text1"/>
          <w:szCs w:val="22"/>
          <w:highlight w:val="none"/>
          <w14:textFill>
            <w14:solidFill>
              <w14:schemeClr w14:val="tx1"/>
            </w14:solidFill>
          </w14:textFill>
        </w:rPr>
        <w:t>1. 上表所列各项均为不可负偏离条款。</w:t>
      </w:r>
    </w:p>
    <w:p>
      <w:pPr>
        <w:ind w:firstLine="480" w:firstLineChars="200"/>
        <w:rPr>
          <w:rFonts w:ascii="宋体" w:eastAsia="宋体" w:hAnsi="宋体" w:cs="宋体"/>
          <w:b/>
          <w:color w:val="000000" w:themeColor="text1"/>
          <w:szCs w:val="22"/>
          <w:highlight w:val="none"/>
          <w14:textFill>
            <w14:solidFill>
              <w14:schemeClr w14:val="tx1"/>
            </w14:solidFill>
          </w14:textFill>
        </w:rPr>
      </w:pPr>
      <w:r>
        <w:rPr>
          <w:rFonts w:ascii="宋体" w:eastAsia="宋体" w:hAnsi="宋体" w:cs="宋体" w:hint="eastAsia"/>
          <w:b/>
          <w:color w:val="000000" w:themeColor="text1"/>
          <w:szCs w:val="22"/>
          <w:highlight w:val="none"/>
          <w14:textFill>
            <w14:solidFill>
              <w14:schemeClr w14:val="tx1"/>
            </w14:solidFill>
          </w14:textFill>
        </w:rPr>
        <w:t>2.“投标响应”一栏应当详细填写投标人自身响应情况，而不能不合理照搬照抄招实质性条款具体内容。</w:t>
      </w:r>
    </w:p>
    <w:p>
      <w:pPr>
        <w:ind w:firstLine="480" w:firstLineChars="200"/>
        <w:rPr>
          <w:rFonts w:ascii="宋体" w:eastAsia="宋体" w:hAnsi="宋体" w:cs="宋体"/>
          <w:b/>
          <w:color w:val="000000" w:themeColor="text1"/>
          <w:szCs w:val="22"/>
          <w:highlight w:val="none"/>
          <w14:textFill>
            <w14:solidFill>
              <w14:schemeClr w14:val="tx1"/>
            </w14:solidFill>
          </w14:textFill>
        </w:rPr>
      </w:pPr>
      <w:r>
        <w:rPr>
          <w:rFonts w:ascii="宋体" w:eastAsia="宋体" w:hAnsi="宋体" w:cs="宋体" w:hint="eastAsia"/>
          <w:b/>
          <w:color w:val="000000" w:themeColor="text1"/>
          <w:szCs w:val="22"/>
          <w:highlight w:val="none"/>
          <w14:textFill>
            <w14:solidFill>
              <w14:schemeClr w14:val="tx1"/>
            </w14:solidFill>
          </w14:textFill>
        </w:rPr>
        <w:t>3.“偏离情况”一栏应填写“正偏离”、“负偏离”或“无偏离”，</w:t>
      </w:r>
      <w:r>
        <w:rPr>
          <w:rFonts w:ascii="宋体" w:eastAsia="宋体" w:hAnsi="宋体" w:cs="宋体" w:hint="eastAsia"/>
          <w:b/>
          <w:color w:val="000000" w:themeColor="text1"/>
          <w:highlight w:val="none"/>
          <w14:textFill>
            <w14:solidFill>
              <w14:schemeClr w14:val="tx1"/>
            </w14:solidFill>
          </w14:textFill>
        </w:rPr>
        <w:t>“正偏离”表示“投标响应优于实质性条款具体内容要求”，“负偏离”表示“投标响应不满足实质性条款具体内容要求”，“无偏离”表示“投标响应与实质性条款具体内容要求一致”。</w:t>
      </w:r>
    </w:p>
    <w:p>
      <w:pPr>
        <w:ind w:firstLine="480" w:firstLineChars="200"/>
        <w:rPr>
          <w:rFonts w:ascii="宋体" w:eastAsia="宋体" w:hAnsi="宋体" w:cs="宋体"/>
          <w:b/>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4.评审委员会有权对投标响应情况作出判断（作出评审结论）。</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b/>
          <w:color w:val="000000" w:themeColor="text1"/>
          <w:szCs w:val="22"/>
          <w:highlight w:val="none"/>
          <w14:textFill>
            <w14:solidFill>
              <w14:schemeClr w14:val="tx1"/>
            </w14:solidFill>
          </w14:textFill>
        </w:rPr>
        <w:t>5.实质性响应条款“投标响应情况”与投标文件其它内容冲突的，以实质性响应条款“投标响应情况”为准。</w:t>
      </w: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pStyle w:val="BodyText"/>
        <w:rPr>
          <w:rFonts w:ascii="宋体" w:eastAsia="宋体" w:hAnsi="宋体" w:cs="宋体"/>
          <w:highlight w:val="none"/>
        </w:rPr>
      </w:pPr>
    </w:p>
    <w:p>
      <w:pPr>
        <w:pStyle w:val="BodyText2"/>
        <w:rPr>
          <w:rFonts w:ascii="宋体" w:eastAsia="宋体" w:hAnsi="宋体" w:cs="宋体"/>
          <w:highlight w:val="none"/>
        </w:rPr>
      </w:pPr>
    </w:p>
    <w:p>
      <w:pPr>
        <w:pStyle w:val="BodyText2"/>
        <w:rPr>
          <w:rFonts w:ascii="宋体" w:eastAsia="宋体" w:hAnsi="宋体" w:cs="宋体"/>
          <w:highlight w:val="none"/>
        </w:rPr>
      </w:pPr>
    </w:p>
    <w:p>
      <w:pPr>
        <w:pStyle w:val="BodyText2"/>
        <w:rPr>
          <w:rFonts w:ascii="宋体" w:eastAsia="宋体" w:hAnsi="宋体" w:cs="宋体"/>
          <w:highlight w:val="none"/>
        </w:rPr>
      </w:pPr>
    </w:p>
    <w:p>
      <w:pPr>
        <w:pStyle w:val="BodyText2"/>
        <w:rPr>
          <w:rFonts w:ascii="宋体" w:eastAsia="宋体" w:hAnsi="宋体" w:cs="宋体"/>
          <w:highlight w:val="none"/>
        </w:rPr>
      </w:pPr>
    </w:p>
    <w:p>
      <w:pPr>
        <w:pStyle w:val="BodyText2"/>
        <w:rPr>
          <w:rFonts w:ascii="宋体" w:eastAsia="宋体" w:hAnsi="宋体" w:cs="宋体"/>
          <w:highlight w:val="none"/>
        </w:rPr>
      </w:pPr>
    </w:p>
    <w:p>
      <w:pPr>
        <w:pStyle w:val="BodyText2"/>
        <w:rPr>
          <w:rFonts w:ascii="宋体" w:eastAsia="宋体" w:hAnsi="宋体" w:cs="宋体"/>
          <w:highlight w:val="none"/>
        </w:rPr>
      </w:pPr>
    </w:p>
    <w:p>
      <w:pPr>
        <w:pStyle w:val="BodyText2"/>
        <w:rPr>
          <w:rFonts w:ascii="宋体" w:eastAsia="宋体" w:hAnsi="宋体" w:cs="宋体"/>
          <w:highlight w:val="none"/>
        </w:rPr>
      </w:pPr>
    </w:p>
    <w:p>
      <w:pPr>
        <w:pStyle w:val="BodyText2"/>
        <w:rPr>
          <w:rFonts w:ascii="宋体" w:eastAsia="宋体" w:hAnsi="宋体" w:cs="宋体"/>
          <w:highlight w:val="none"/>
        </w:rPr>
      </w:pPr>
    </w:p>
    <w:p>
      <w:pPr>
        <w:pStyle w:val="BodyText2"/>
        <w:rPr>
          <w:rFonts w:ascii="宋体" w:eastAsia="宋体" w:hAnsi="宋体" w:cs="宋体"/>
          <w:highlight w:val="none"/>
        </w:rPr>
      </w:pPr>
    </w:p>
    <w:p>
      <w:pPr>
        <w:pStyle w:val="BodyText2"/>
        <w:rPr>
          <w:rFonts w:ascii="宋体" w:eastAsia="宋体" w:hAnsi="宋体" w:cs="宋体"/>
          <w:highlight w:val="none"/>
        </w:rPr>
      </w:pPr>
    </w:p>
    <w:p>
      <w:pPr>
        <w:pStyle w:val="BodyText2"/>
        <w:rPr>
          <w:rFonts w:ascii="宋体" w:eastAsia="宋体" w:hAnsi="宋体" w:cs="宋体"/>
          <w:highlight w:val="none"/>
        </w:rPr>
      </w:pPr>
    </w:p>
    <w:p>
      <w:pPr>
        <w:pStyle w:val="BodyText2"/>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pStyle w:val="Heading3"/>
        <w:jc w:val="center"/>
        <w:rPr>
          <w:rFonts w:cs="宋体"/>
          <w:bCs w:val="0"/>
          <w:color w:val="000000" w:themeColor="text1"/>
          <w:sz w:val="24"/>
          <w:highlight w:val="none"/>
          <w14:textFill>
            <w14:solidFill>
              <w14:schemeClr w14:val="tx1"/>
            </w14:solidFill>
          </w14:textFill>
        </w:rPr>
      </w:pPr>
      <w:r>
        <w:rPr>
          <w:rFonts w:cs="宋体" w:hint="eastAsia"/>
          <w:bCs w:val="0"/>
          <w:color w:val="000000" w:themeColor="text1"/>
          <w:sz w:val="24"/>
          <w:highlight w:val="none"/>
          <w14:textFill>
            <w14:solidFill>
              <w14:schemeClr w14:val="tx1"/>
            </w14:solidFill>
          </w14:textFill>
        </w:rPr>
        <w:t>四、</w:t>
      </w:r>
      <w:r>
        <w:rPr>
          <w:rFonts w:cs="宋体" w:hint="eastAsia"/>
          <w:bCs w:val="0"/>
          <w:color w:val="000000" w:themeColor="text1"/>
          <w:sz w:val="24"/>
          <w:highlight w:val="none"/>
          <w:lang w:val="en-US" w:eastAsia="zh-CN"/>
          <w14:textFill>
            <w14:solidFill>
              <w14:schemeClr w14:val="tx1"/>
            </w14:solidFill>
          </w14:textFill>
        </w:rPr>
        <w:t>服务</w:t>
      </w:r>
      <w:r>
        <w:rPr>
          <w:rFonts w:cs="宋体" w:hint="eastAsia"/>
          <w:bCs w:val="0"/>
          <w:color w:val="000000" w:themeColor="text1"/>
          <w:sz w:val="24"/>
          <w:highlight w:val="none"/>
          <w14:textFill>
            <w14:solidFill>
              <w14:schemeClr w14:val="tx1"/>
            </w14:solidFill>
          </w14:textFill>
        </w:rPr>
        <w:t>条款偏离表</w:t>
      </w:r>
    </w:p>
    <w:p>
      <w:pPr>
        <w:snapToGrid w:val="0"/>
        <w:spacing w:line="360" w:lineRule="auto"/>
        <w:rPr>
          <w:rFonts w:ascii="宋体" w:eastAsia="宋体" w:hAnsi="宋体" w:cs="宋体"/>
          <w:color w:val="000000"/>
          <w:highlight w:val="none"/>
          <w:u w:val="single"/>
        </w:rPr>
      </w:pPr>
      <w:r>
        <w:rPr>
          <w:rFonts w:ascii="宋体" w:eastAsia="宋体" w:hAnsi="宋体" w:cs="宋体" w:hint="eastAsia"/>
          <w:color w:val="000000"/>
          <w:highlight w:val="none"/>
        </w:rPr>
        <w:t>投标单位（投标人）名称：</w:t>
      </w:r>
    </w:p>
    <w:tbl>
      <w:tblPr>
        <w:tblStyle w:val="TableNormal"/>
        <w:tblW w:w="968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top w:w="0" w:type="dxa"/>
          <w:left w:w="108" w:type="dxa"/>
          <w:bottom w:w="0" w:type="dxa"/>
          <w:right w:w="108" w:type="dxa"/>
        </w:tblCellMar>
      </w:tblPr>
      <w:tblGrid>
        <w:gridCol w:w="640"/>
        <w:gridCol w:w="4732"/>
        <w:gridCol w:w="3053"/>
        <w:gridCol w:w="1262"/>
      </w:tblGrid>
      <w:tr>
        <w:tblPrEx>
          <w:tblW w:w="968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top w:w="0" w:type="dxa"/>
            <w:left w:w="108" w:type="dxa"/>
            <w:bottom w:w="0" w:type="dxa"/>
            <w:right w:w="108" w:type="dxa"/>
          </w:tblCellMar>
        </w:tblPrEx>
        <w:trPr>
          <w:trHeight w:val="361"/>
          <w:jc w:val="center"/>
        </w:trPr>
        <w:tc>
          <w:tcPr>
            <w:tcW w:w="640" w:type="dxa"/>
            <w:vAlign w:val="center"/>
          </w:tcPr>
          <w:p>
            <w:pPr>
              <w:spacing w:line="360" w:lineRule="auto"/>
              <w:jc w:val="center"/>
              <w:rPr>
                <w:rFonts w:ascii="宋体" w:eastAsia="宋体" w:hAnsi="宋体" w:cs="宋体"/>
                <w:b/>
                <w:sz w:val="21"/>
                <w:szCs w:val="21"/>
                <w:highlight w:val="none"/>
              </w:rPr>
            </w:pPr>
            <w:r>
              <w:rPr>
                <w:rFonts w:ascii="宋体" w:eastAsia="宋体" w:hAnsi="宋体" w:cs="宋体" w:hint="eastAsia"/>
                <w:b/>
                <w:sz w:val="21"/>
                <w:szCs w:val="21"/>
                <w:highlight w:val="none"/>
              </w:rPr>
              <w:t>序号</w:t>
            </w:r>
          </w:p>
        </w:tc>
        <w:tc>
          <w:tcPr>
            <w:tcW w:w="4732" w:type="dxa"/>
            <w:vAlign w:val="center"/>
          </w:tcPr>
          <w:p>
            <w:pPr>
              <w:spacing w:line="360" w:lineRule="auto"/>
              <w:jc w:val="center"/>
              <w:rPr>
                <w:rFonts w:ascii="宋体" w:eastAsia="宋体" w:hAnsi="宋体" w:cs="宋体"/>
                <w:b/>
                <w:sz w:val="21"/>
                <w:szCs w:val="21"/>
                <w:highlight w:val="none"/>
              </w:rPr>
            </w:pPr>
            <w:r>
              <w:rPr>
                <w:rFonts w:ascii="宋体" w:eastAsia="宋体" w:hAnsi="宋体" w:cs="宋体" w:hint="eastAsia"/>
                <w:b/>
                <w:sz w:val="21"/>
                <w:szCs w:val="21"/>
                <w:highlight w:val="none"/>
              </w:rPr>
              <w:t>招标文件要求</w:t>
            </w:r>
          </w:p>
        </w:tc>
        <w:tc>
          <w:tcPr>
            <w:tcW w:w="3053" w:type="dxa"/>
            <w:vAlign w:val="center"/>
          </w:tcPr>
          <w:p>
            <w:pPr>
              <w:spacing w:line="360" w:lineRule="auto"/>
              <w:jc w:val="center"/>
              <w:rPr>
                <w:rFonts w:ascii="宋体" w:eastAsia="宋体" w:hAnsi="宋体" w:cs="宋体"/>
                <w:b/>
                <w:sz w:val="21"/>
                <w:szCs w:val="21"/>
                <w:highlight w:val="none"/>
              </w:rPr>
            </w:pPr>
            <w:r>
              <w:rPr>
                <w:rFonts w:ascii="宋体" w:eastAsia="宋体" w:hAnsi="宋体" w:cs="宋体" w:hint="eastAsia"/>
                <w:b/>
                <w:sz w:val="21"/>
                <w:szCs w:val="21"/>
                <w:highlight w:val="none"/>
              </w:rPr>
              <w:t>投标文件响应</w:t>
            </w:r>
          </w:p>
        </w:tc>
        <w:tc>
          <w:tcPr>
            <w:tcW w:w="1262" w:type="dxa"/>
            <w:vAlign w:val="center"/>
          </w:tcPr>
          <w:p>
            <w:pPr>
              <w:spacing w:line="360" w:lineRule="auto"/>
              <w:jc w:val="center"/>
              <w:rPr>
                <w:rFonts w:ascii="宋体" w:eastAsia="宋体" w:hAnsi="宋体" w:cs="宋体"/>
                <w:b/>
                <w:sz w:val="21"/>
                <w:szCs w:val="21"/>
                <w:highlight w:val="none"/>
              </w:rPr>
            </w:pPr>
            <w:r>
              <w:rPr>
                <w:rFonts w:ascii="宋体" w:eastAsia="宋体" w:hAnsi="宋体" w:cs="宋体" w:hint="eastAsia"/>
                <w:b/>
                <w:sz w:val="21"/>
                <w:szCs w:val="21"/>
                <w:highlight w:val="none"/>
              </w:rPr>
              <w:t>说明</w:t>
            </w:r>
          </w:p>
        </w:tc>
      </w:tr>
      <w:tr>
        <w:tblPrEx>
          <w:tblW w:w="9687" w:type="dxa"/>
          <w:jc w:val="center"/>
          <w:tblLayout w:type="fixed"/>
          <w:tblCellMar>
            <w:top w:w="0" w:type="dxa"/>
            <w:left w:w="108" w:type="dxa"/>
            <w:bottom w:w="0" w:type="dxa"/>
            <w:right w:w="108" w:type="dxa"/>
          </w:tblCellMar>
        </w:tblPrEx>
        <w:trPr>
          <w:trHeight w:val="491"/>
          <w:jc w:val="center"/>
        </w:trPr>
        <w:tc>
          <w:tcPr>
            <w:tcW w:w="9687" w:type="dxa"/>
            <w:gridSpan w:val="4"/>
            <w:vAlign w:val="center"/>
          </w:tcPr>
          <w:p>
            <w:pPr>
              <w:spacing w:line="360" w:lineRule="auto"/>
              <w:jc w:val="left"/>
              <w:rPr>
                <w:rFonts w:ascii="宋体" w:eastAsia="宋体" w:hAnsi="宋体" w:cs="宋体" w:hint="eastAsia"/>
                <w:sz w:val="21"/>
                <w:szCs w:val="21"/>
                <w:highlight w:val="none"/>
              </w:rPr>
            </w:pPr>
            <w:r>
              <w:rPr>
                <w:szCs w:val="21"/>
              </w:rPr>
              <w:t>▲</w:t>
            </w:r>
            <w:r>
              <w:rPr>
                <w:rFonts w:hint="eastAsia"/>
                <w:szCs w:val="21"/>
              </w:rPr>
              <w:t>（一）九种数字资源的</w:t>
            </w:r>
            <w:r>
              <w:rPr>
                <w:rFonts w:ascii="宋体" w:hAnsi="宋体" w:hint="eastAsia"/>
                <w:szCs w:val="21"/>
              </w:rPr>
              <w:t>详细内容参数以及使用周期。</w:t>
            </w:r>
          </w:p>
        </w:tc>
      </w:tr>
      <w:tr>
        <w:tblPrEx>
          <w:tblW w:w="9687" w:type="dxa"/>
          <w:jc w:val="center"/>
          <w:tblLayout w:type="fixed"/>
          <w:tblCellMar>
            <w:top w:w="0" w:type="dxa"/>
            <w:left w:w="108" w:type="dxa"/>
            <w:bottom w:w="0" w:type="dxa"/>
            <w:right w:w="108" w:type="dxa"/>
          </w:tblCellMar>
        </w:tblPrEx>
        <w:trPr>
          <w:trHeight w:val="904"/>
          <w:jc w:val="center"/>
        </w:trPr>
        <w:tc>
          <w:tcPr>
            <w:tcW w:w="5372" w:type="dxa"/>
            <w:gridSpan w:val="2"/>
            <w:vAlign w:val="center"/>
          </w:tcPr>
          <w:tbl>
            <w:tblPr>
              <w:tblStyle w:val="TableNormal"/>
              <w:tblpPr w:leftFromText="180" w:rightFromText="180" w:vertAnchor="text" w:horzAnchor="page" w:tblpX="484" w:tblpY="214"/>
              <w:tblOverlap w:val="never"/>
              <w:tblW w:w="436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584"/>
              <w:gridCol w:w="1655"/>
              <w:gridCol w:w="1130"/>
            </w:tblGrid>
            <w:tr>
              <w:tblPrEx>
                <w:tblW w:w="436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
              </w:trPr>
              <w:tc>
                <w:tcPr>
                  <w:tcW w:w="1584" w:type="dxa"/>
                  <w:noWrap w:val="0"/>
                  <w:vAlign w:val="top"/>
                </w:tcPr>
                <w:p>
                  <w:pPr>
                    <w:rPr>
                      <w:rFonts w:ascii="宋体" w:hAnsi="宋体" w:hint="eastAsia"/>
                    </w:rPr>
                  </w:pPr>
                  <w:r>
                    <w:rPr>
                      <w:rFonts w:ascii="宋体" w:hAnsi="宋体" w:hint="eastAsia"/>
                    </w:rPr>
                    <w:t>数字资源名称</w:t>
                  </w:r>
                </w:p>
              </w:tc>
              <w:tc>
                <w:tcPr>
                  <w:tcW w:w="1655" w:type="dxa"/>
                  <w:noWrap w:val="0"/>
                  <w:vAlign w:val="top"/>
                </w:tcPr>
                <w:p>
                  <w:pPr>
                    <w:rPr>
                      <w:rFonts w:ascii="宋体" w:hAnsi="宋体" w:hint="eastAsia"/>
                    </w:rPr>
                  </w:pPr>
                  <w:r>
                    <w:rPr>
                      <w:rFonts w:ascii="宋体" w:hAnsi="宋体" w:hint="eastAsia"/>
                    </w:rPr>
                    <w:t>访问时间</w:t>
                  </w:r>
                </w:p>
              </w:tc>
              <w:tc>
                <w:tcPr>
                  <w:tcW w:w="1130" w:type="dxa"/>
                  <w:noWrap w:val="0"/>
                  <w:vAlign w:val="top"/>
                </w:tcPr>
                <w:p>
                  <w:pPr>
                    <w:rPr>
                      <w:rFonts w:ascii="宋体" w:hAnsi="宋体" w:hint="eastAsia"/>
                    </w:rPr>
                  </w:pPr>
                  <w:r>
                    <w:rPr>
                      <w:rFonts w:ascii="宋体" w:hAnsi="宋体" w:hint="eastAsia"/>
                    </w:rPr>
                    <w:t>访问内容</w:t>
                  </w:r>
                </w:p>
              </w:tc>
            </w:tr>
            <w:tr>
              <w:tblPrEx>
                <w:tblW w:w="4369" w:type="dxa"/>
                <w:tblInd w:w="0" w:type="dxa"/>
                <w:tblLayout w:type="fixed"/>
                <w:tblCellMar>
                  <w:top w:w="0" w:type="dxa"/>
                  <w:left w:w="108" w:type="dxa"/>
                  <w:bottom w:w="0" w:type="dxa"/>
                  <w:right w:w="108" w:type="dxa"/>
                </w:tblCellMar>
              </w:tblPrEx>
              <w:trPr>
                <w:trHeight w:val="90"/>
              </w:trPr>
              <w:tc>
                <w:tcPr>
                  <w:tcW w:w="1584" w:type="dxa"/>
                  <w:noWrap w:val="0"/>
                  <w:vAlign w:val="center"/>
                </w:tcPr>
                <w:p>
                  <w:pPr>
                    <w:rPr>
                      <w:rFonts w:ascii="宋体" w:hAnsi="宋体" w:hint="eastAsia"/>
                    </w:rPr>
                  </w:pPr>
                  <w:r>
                    <w:rPr>
                      <w:rFonts w:ascii="Helvetica" w:eastAsia="Helvetica" w:hAnsi="Helvetica" w:cs="Helvetica"/>
                      <w:color w:val="333333"/>
                      <w:szCs w:val="21"/>
                      <w:shd w:val="clear" w:color="auto" w:fill="FFFFFF"/>
                    </w:rPr>
                    <w:t>EBSCO（ASC+BSC）</w:t>
                  </w:r>
                </w:p>
              </w:tc>
              <w:tc>
                <w:tcPr>
                  <w:tcW w:w="1655" w:type="dxa"/>
                  <w:noWrap w:val="0"/>
                  <w:vAlign w:val="top"/>
                </w:tcPr>
                <w:p>
                  <w:pPr>
                    <w:rPr>
                      <w:rFonts w:ascii="宋体" w:hAnsi="宋体" w:hint="eastAsia"/>
                      <w:color w:val="0000FF"/>
                    </w:rPr>
                  </w:pPr>
                  <w:r>
                    <w:t>202</w:t>
                  </w:r>
                  <w:r>
                    <w:rPr>
                      <w:rFonts w:hint="eastAsia"/>
                    </w:rPr>
                    <w:t>4</w:t>
                  </w:r>
                  <w:r>
                    <w:t>.7.1-202</w:t>
                  </w:r>
                  <w:r>
                    <w:rPr>
                      <w:rFonts w:hint="eastAsia"/>
                    </w:rPr>
                    <w:t>5</w:t>
                  </w:r>
                  <w:r>
                    <w:t>.6.30</w:t>
                  </w:r>
                </w:p>
              </w:tc>
              <w:tc>
                <w:tcPr>
                  <w:tcW w:w="1130" w:type="dxa"/>
                  <w:noWrap w:val="0"/>
                  <w:vAlign w:val="center"/>
                </w:tcPr>
                <w:p>
                  <w:pPr>
                    <w:rPr>
                      <w:rFonts w:ascii="宋体" w:hAnsi="宋体" w:hint="eastAsia"/>
                    </w:rPr>
                  </w:pPr>
                  <w:r>
                    <w:rPr>
                      <w:rFonts w:ascii="宋体" w:hAnsi="宋体" w:hint="eastAsia"/>
                    </w:rPr>
                    <w:t>全库一年访问</w:t>
                  </w:r>
                </w:p>
              </w:tc>
            </w:tr>
            <w:tr>
              <w:tblPrEx>
                <w:tblW w:w="4369" w:type="dxa"/>
                <w:tblInd w:w="0" w:type="dxa"/>
                <w:tblLayout w:type="fixed"/>
                <w:tblCellMar>
                  <w:top w:w="0" w:type="dxa"/>
                  <w:left w:w="108" w:type="dxa"/>
                  <w:bottom w:w="0" w:type="dxa"/>
                  <w:right w:w="108" w:type="dxa"/>
                </w:tblCellMar>
              </w:tblPrEx>
              <w:trPr>
                <w:trHeight w:val="90"/>
              </w:trPr>
              <w:tc>
                <w:tcPr>
                  <w:tcW w:w="1584" w:type="dxa"/>
                  <w:noWrap w:val="0"/>
                  <w:vAlign w:val="center"/>
                </w:tcPr>
                <w:p>
                  <w:pPr>
                    <w:rPr>
                      <w:rFonts w:ascii="宋体" w:hAnsi="宋体" w:hint="eastAsia"/>
                    </w:rPr>
                  </w:pPr>
                  <w:r>
                    <w:rPr>
                      <w:rFonts w:ascii="Helvetica" w:eastAsia="Helvetica" w:hAnsi="Helvetica" w:cs="Helvetica"/>
                      <w:color w:val="333333"/>
                      <w:szCs w:val="21"/>
                      <w:shd w:val="clear" w:color="auto" w:fill="FFFFFF"/>
                    </w:rPr>
                    <w:t>EBSCO VSP</w:t>
                  </w:r>
                </w:p>
              </w:tc>
              <w:tc>
                <w:tcPr>
                  <w:tcW w:w="1655" w:type="dxa"/>
                  <w:noWrap w:val="0"/>
                  <w:vAlign w:val="top"/>
                </w:tcPr>
                <w:p>
                  <w:pPr>
                    <w:rPr>
                      <w:rFonts w:ascii="宋体" w:hAnsi="宋体" w:hint="eastAsia"/>
                      <w:color w:val="0000FF"/>
                    </w:rPr>
                  </w:pPr>
                  <w:r>
                    <w:t>202</w:t>
                  </w:r>
                  <w:r>
                    <w:rPr>
                      <w:rFonts w:hint="eastAsia"/>
                    </w:rPr>
                    <w:t>5</w:t>
                  </w:r>
                  <w:r>
                    <w:t>.1.1-202</w:t>
                  </w:r>
                  <w:r>
                    <w:rPr>
                      <w:rFonts w:hint="eastAsia"/>
                    </w:rPr>
                    <w:t>5</w:t>
                  </w:r>
                  <w:r>
                    <w:t>.12.31</w:t>
                  </w:r>
                </w:p>
              </w:tc>
              <w:tc>
                <w:tcPr>
                  <w:tcW w:w="1130" w:type="dxa"/>
                  <w:noWrap w:val="0"/>
                  <w:vAlign w:val="center"/>
                </w:tcPr>
                <w:p>
                  <w:pPr>
                    <w:rPr>
                      <w:rFonts w:ascii="宋体" w:hAnsi="宋体" w:hint="eastAsia"/>
                    </w:rPr>
                  </w:pPr>
                  <w:r>
                    <w:rPr>
                      <w:rFonts w:ascii="宋体" w:hAnsi="宋体" w:hint="eastAsia"/>
                    </w:rPr>
                    <w:t>全库一年访问</w:t>
                  </w:r>
                </w:p>
              </w:tc>
            </w:tr>
            <w:tr>
              <w:tblPrEx>
                <w:tblW w:w="4369" w:type="dxa"/>
                <w:tblInd w:w="0" w:type="dxa"/>
                <w:tblLayout w:type="fixed"/>
                <w:tblCellMar>
                  <w:top w:w="0" w:type="dxa"/>
                  <w:left w:w="108" w:type="dxa"/>
                  <w:bottom w:w="0" w:type="dxa"/>
                  <w:right w:w="108" w:type="dxa"/>
                </w:tblCellMar>
              </w:tblPrEx>
              <w:trPr>
                <w:trHeight w:val="90"/>
              </w:trPr>
              <w:tc>
                <w:tcPr>
                  <w:tcW w:w="1584" w:type="dxa"/>
                  <w:noWrap w:val="0"/>
                  <w:vAlign w:val="center"/>
                </w:tcPr>
                <w:p>
                  <w:pPr>
                    <w:rPr>
                      <w:rFonts w:ascii="宋体" w:hAnsi="宋体" w:hint="eastAsia"/>
                    </w:rPr>
                  </w:pPr>
                  <w:r>
                    <w:rPr>
                      <w:rFonts w:ascii="Helvetica" w:eastAsia="Helvetica" w:hAnsi="Helvetica" w:cs="Helvetica"/>
                      <w:color w:val="333333"/>
                      <w:szCs w:val="21"/>
                      <w:shd w:val="clear" w:color="auto" w:fill="FFFFFF"/>
                    </w:rPr>
                    <w:t>EBSCO ARRC</w:t>
                  </w:r>
                </w:p>
              </w:tc>
              <w:tc>
                <w:tcPr>
                  <w:tcW w:w="1655" w:type="dxa"/>
                  <w:noWrap w:val="0"/>
                  <w:vAlign w:val="top"/>
                </w:tcPr>
                <w:p>
                  <w:pPr>
                    <w:rPr>
                      <w:rFonts w:ascii="宋体" w:hAnsi="宋体" w:hint="eastAsia"/>
                      <w:color w:val="0000FF"/>
                    </w:rPr>
                  </w:pPr>
                  <w:r>
                    <w:t>202</w:t>
                  </w:r>
                  <w:r>
                    <w:rPr>
                      <w:rFonts w:hint="eastAsia"/>
                    </w:rPr>
                    <w:t>4</w:t>
                  </w:r>
                  <w:r>
                    <w:t>.11.1-202</w:t>
                  </w:r>
                  <w:r>
                    <w:rPr>
                      <w:rFonts w:hint="eastAsia"/>
                    </w:rPr>
                    <w:t>5</w:t>
                  </w:r>
                  <w:r>
                    <w:t>.10.31</w:t>
                  </w:r>
                </w:p>
              </w:tc>
              <w:tc>
                <w:tcPr>
                  <w:tcW w:w="1130" w:type="dxa"/>
                  <w:noWrap w:val="0"/>
                  <w:vAlign w:val="center"/>
                </w:tcPr>
                <w:p>
                  <w:pPr>
                    <w:rPr>
                      <w:rFonts w:ascii="宋体" w:hAnsi="宋体" w:hint="eastAsia"/>
                    </w:rPr>
                  </w:pPr>
                  <w:r>
                    <w:rPr>
                      <w:rFonts w:ascii="宋体" w:hAnsi="宋体" w:hint="eastAsia"/>
                    </w:rPr>
                    <w:t>全库一年访问</w:t>
                  </w:r>
                </w:p>
              </w:tc>
            </w:tr>
            <w:tr>
              <w:tblPrEx>
                <w:tblW w:w="4369" w:type="dxa"/>
                <w:tblInd w:w="0" w:type="dxa"/>
                <w:tblLayout w:type="fixed"/>
                <w:tblCellMar>
                  <w:top w:w="0" w:type="dxa"/>
                  <w:left w:w="108" w:type="dxa"/>
                  <w:bottom w:w="0" w:type="dxa"/>
                  <w:right w:w="108" w:type="dxa"/>
                </w:tblCellMar>
              </w:tblPrEx>
              <w:trPr>
                <w:trHeight w:val="90"/>
              </w:trPr>
              <w:tc>
                <w:tcPr>
                  <w:tcW w:w="1584" w:type="dxa"/>
                  <w:noWrap w:val="0"/>
                  <w:vAlign w:val="center"/>
                </w:tcPr>
                <w:p>
                  <w:pPr>
                    <w:rPr>
                      <w:rFonts w:ascii="宋体" w:hAnsi="宋体" w:hint="eastAsia"/>
                    </w:rPr>
                  </w:pPr>
                  <w:r>
                    <w:rPr>
                      <w:rFonts w:ascii="Helvetica" w:eastAsia="Helvetica" w:hAnsi="Helvetica" w:cs="Helvetica"/>
                      <w:color w:val="333333"/>
                      <w:szCs w:val="21"/>
                      <w:shd w:val="clear" w:color="auto" w:fill="FFFFFF"/>
                    </w:rPr>
                    <w:t>Emerald</w:t>
                  </w:r>
                </w:p>
              </w:tc>
              <w:tc>
                <w:tcPr>
                  <w:tcW w:w="1655" w:type="dxa"/>
                  <w:noWrap w:val="0"/>
                  <w:vAlign w:val="top"/>
                </w:tcPr>
                <w:p>
                  <w:pPr>
                    <w:rPr>
                      <w:rFonts w:ascii="宋体" w:hAnsi="宋体" w:hint="eastAsia"/>
                      <w:color w:val="0000FF"/>
                    </w:rPr>
                  </w:pPr>
                  <w:r>
                    <w:t>202</w:t>
                  </w:r>
                  <w:r>
                    <w:rPr>
                      <w:rFonts w:hint="eastAsia"/>
                    </w:rPr>
                    <w:t>4</w:t>
                  </w:r>
                  <w:r>
                    <w:t>.7.1-202</w:t>
                  </w:r>
                  <w:r>
                    <w:rPr>
                      <w:rFonts w:hint="eastAsia"/>
                    </w:rPr>
                    <w:t>5</w:t>
                  </w:r>
                  <w:r>
                    <w:t>.6.30</w:t>
                  </w:r>
                </w:p>
              </w:tc>
              <w:tc>
                <w:tcPr>
                  <w:tcW w:w="1130" w:type="dxa"/>
                  <w:noWrap w:val="0"/>
                  <w:vAlign w:val="center"/>
                </w:tcPr>
                <w:p>
                  <w:pPr>
                    <w:rPr>
                      <w:rFonts w:ascii="宋体" w:hAnsi="宋体" w:hint="eastAsia"/>
                    </w:rPr>
                  </w:pPr>
                  <w:r>
                    <w:rPr>
                      <w:rFonts w:ascii="宋体" w:hAnsi="宋体" w:hint="eastAsia"/>
                    </w:rPr>
                    <w:t xml:space="preserve">200种刊包库访问 </w:t>
                  </w:r>
                </w:p>
              </w:tc>
            </w:tr>
            <w:tr>
              <w:tblPrEx>
                <w:tblW w:w="4369" w:type="dxa"/>
                <w:tblInd w:w="0" w:type="dxa"/>
                <w:tblLayout w:type="fixed"/>
                <w:tblCellMar>
                  <w:top w:w="0" w:type="dxa"/>
                  <w:left w:w="108" w:type="dxa"/>
                  <w:bottom w:w="0" w:type="dxa"/>
                  <w:right w:w="108" w:type="dxa"/>
                </w:tblCellMar>
              </w:tblPrEx>
              <w:trPr>
                <w:trHeight w:val="90"/>
              </w:trPr>
              <w:tc>
                <w:tcPr>
                  <w:tcW w:w="1584" w:type="dxa"/>
                  <w:noWrap w:val="0"/>
                  <w:vAlign w:val="center"/>
                </w:tcPr>
                <w:p>
                  <w:pPr>
                    <w:rPr>
                      <w:rFonts w:ascii="宋体" w:hAnsi="宋体" w:hint="eastAsia"/>
                    </w:rPr>
                  </w:pPr>
                  <w:r>
                    <w:rPr>
                      <w:rFonts w:ascii="Helvetica" w:eastAsia="Helvetica" w:hAnsi="Helvetica" w:cs="Helvetica"/>
                      <w:color w:val="333333"/>
                      <w:szCs w:val="21"/>
                      <w:shd w:val="clear" w:color="auto" w:fill="FFFFFF"/>
                    </w:rPr>
                    <w:t>MyLOFT</w:t>
                  </w:r>
                </w:p>
              </w:tc>
              <w:tc>
                <w:tcPr>
                  <w:tcW w:w="1655" w:type="dxa"/>
                  <w:noWrap w:val="0"/>
                  <w:vAlign w:val="top"/>
                </w:tcPr>
                <w:p>
                  <w:pPr>
                    <w:rPr>
                      <w:rFonts w:ascii="宋体" w:hAnsi="宋体" w:hint="eastAsia"/>
                      <w:color w:val="0000FF"/>
                    </w:rPr>
                  </w:pPr>
                  <w:r>
                    <w:t>202</w:t>
                  </w:r>
                  <w:r>
                    <w:rPr>
                      <w:rFonts w:hint="eastAsia"/>
                    </w:rPr>
                    <w:t>4</w:t>
                  </w:r>
                  <w:r>
                    <w:t>.7.1-202</w:t>
                  </w:r>
                  <w:r>
                    <w:rPr>
                      <w:rFonts w:hint="eastAsia"/>
                    </w:rPr>
                    <w:t>5</w:t>
                  </w:r>
                  <w:r>
                    <w:t>.6.30</w:t>
                  </w:r>
                </w:p>
              </w:tc>
              <w:tc>
                <w:tcPr>
                  <w:tcW w:w="1130" w:type="dxa"/>
                  <w:noWrap w:val="0"/>
                  <w:vAlign w:val="center"/>
                </w:tcPr>
                <w:p>
                  <w:pPr>
                    <w:rPr>
                      <w:rFonts w:ascii="宋体" w:hAnsi="宋体" w:hint="eastAsia"/>
                    </w:rPr>
                  </w:pPr>
                  <w:r>
                    <w:rPr>
                      <w:rFonts w:ascii="宋体" w:hAnsi="宋体" w:hint="eastAsia"/>
                    </w:rPr>
                    <w:t>全库一年访问</w:t>
                  </w:r>
                </w:p>
              </w:tc>
            </w:tr>
            <w:tr>
              <w:tblPrEx>
                <w:tblW w:w="4369" w:type="dxa"/>
                <w:tblInd w:w="0" w:type="dxa"/>
                <w:tblLayout w:type="fixed"/>
                <w:tblCellMar>
                  <w:top w:w="0" w:type="dxa"/>
                  <w:left w:w="108" w:type="dxa"/>
                  <w:bottom w:w="0" w:type="dxa"/>
                  <w:right w:w="108" w:type="dxa"/>
                </w:tblCellMar>
              </w:tblPrEx>
              <w:trPr>
                <w:trHeight w:val="90"/>
              </w:trPr>
              <w:tc>
                <w:tcPr>
                  <w:tcW w:w="1584" w:type="dxa"/>
                  <w:noWrap w:val="0"/>
                  <w:vAlign w:val="center"/>
                </w:tcPr>
                <w:p>
                  <w:pPr>
                    <w:rPr>
                      <w:rFonts w:ascii="宋体" w:hAnsi="宋体" w:hint="eastAsia"/>
                    </w:rPr>
                  </w:pPr>
                  <w:r>
                    <w:rPr>
                      <w:rFonts w:ascii="Helvetica" w:eastAsia="Helvetica" w:hAnsi="Helvetica" w:cs="Helvetica"/>
                      <w:color w:val="333333"/>
                      <w:szCs w:val="21"/>
                      <w:shd w:val="clear" w:color="auto" w:fill="FFFFFF"/>
                    </w:rPr>
                    <w:t>Web of Science</w:t>
                  </w:r>
                  <w:r>
                    <w:rPr>
                      <w:rFonts w:ascii="宋体" w:hAnsi="宋体" w:hint="eastAsia"/>
                    </w:rPr>
                    <w:t>（SSCI部分）</w:t>
                  </w:r>
                </w:p>
              </w:tc>
              <w:tc>
                <w:tcPr>
                  <w:tcW w:w="1655" w:type="dxa"/>
                  <w:noWrap w:val="0"/>
                  <w:vAlign w:val="top"/>
                </w:tcPr>
                <w:p>
                  <w:pPr>
                    <w:rPr>
                      <w:rFonts w:ascii="宋体" w:hAnsi="宋体" w:hint="eastAsia"/>
                      <w:color w:val="0000FF"/>
                    </w:rPr>
                  </w:pPr>
                  <w:r>
                    <w:t>202</w:t>
                  </w:r>
                  <w:r>
                    <w:rPr>
                      <w:rFonts w:hint="eastAsia"/>
                    </w:rPr>
                    <w:t>4年度</w:t>
                  </w:r>
                </w:p>
              </w:tc>
              <w:tc>
                <w:tcPr>
                  <w:tcW w:w="1130" w:type="dxa"/>
                  <w:noWrap w:val="0"/>
                  <w:vAlign w:val="center"/>
                </w:tcPr>
                <w:p>
                  <w:pPr>
                    <w:rPr>
                      <w:rFonts w:ascii="宋体" w:hAnsi="宋体" w:hint="eastAsia"/>
                    </w:rPr>
                  </w:pPr>
                  <w:r>
                    <w:rPr>
                      <w:rFonts w:ascii="宋体" w:hAnsi="宋体" w:hint="eastAsia"/>
                    </w:rPr>
                    <w:t>全库一年访问（SSCI部分）</w:t>
                  </w:r>
                </w:p>
              </w:tc>
            </w:tr>
            <w:tr>
              <w:tblPrEx>
                <w:tblW w:w="4369" w:type="dxa"/>
                <w:tblInd w:w="0" w:type="dxa"/>
                <w:tblLayout w:type="fixed"/>
                <w:tblCellMar>
                  <w:top w:w="0" w:type="dxa"/>
                  <w:left w:w="108" w:type="dxa"/>
                  <w:bottom w:w="0" w:type="dxa"/>
                  <w:right w:w="108" w:type="dxa"/>
                </w:tblCellMar>
              </w:tblPrEx>
              <w:trPr>
                <w:trHeight w:val="90"/>
              </w:trPr>
              <w:tc>
                <w:tcPr>
                  <w:tcW w:w="1584" w:type="dxa"/>
                  <w:noWrap w:val="0"/>
                  <w:vAlign w:val="center"/>
                </w:tcPr>
                <w:p>
                  <w:pPr>
                    <w:rPr>
                      <w:rFonts w:ascii="宋体" w:hAnsi="宋体" w:hint="eastAsia"/>
                    </w:rPr>
                  </w:pPr>
                  <w:r>
                    <w:rPr>
                      <w:rFonts w:ascii="Helvetica" w:eastAsia="Helvetica" w:hAnsi="Helvetica" w:cs="Helvetica"/>
                      <w:color w:val="333333"/>
                      <w:szCs w:val="21"/>
                      <w:shd w:val="clear" w:color="auto" w:fill="FFFFFF"/>
                    </w:rPr>
                    <w:t>Ei-Compendex</w:t>
                  </w:r>
                </w:p>
              </w:tc>
              <w:tc>
                <w:tcPr>
                  <w:tcW w:w="1655" w:type="dxa"/>
                  <w:noWrap w:val="0"/>
                  <w:vAlign w:val="top"/>
                </w:tcPr>
                <w:p>
                  <w:pPr>
                    <w:rPr>
                      <w:rFonts w:ascii="宋体" w:hAnsi="宋体" w:hint="eastAsia"/>
                      <w:color w:val="0000FF"/>
                    </w:rPr>
                  </w:pPr>
                  <w:r>
                    <w:t>202</w:t>
                  </w:r>
                  <w:r>
                    <w:rPr>
                      <w:rFonts w:hint="eastAsia"/>
                    </w:rPr>
                    <w:t>4</w:t>
                  </w:r>
                  <w:r>
                    <w:t>.7.1-202</w:t>
                  </w:r>
                  <w:r>
                    <w:rPr>
                      <w:rFonts w:hint="eastAsia"/>
                    </w:rPr>
                    <w:t>5</w:t>
                  </w:r>
                  <w:r>
                    <w:t>.6.30</w:t>
                  </w:r>
                </w:p>
              </w:tc>
              <w:tc>
                <w:tcPr>
                  <w:tcW w:w="1130" w:type="dxa"/>
                  <w:noWrap w:val="0"/>
                  <w:vAlign w:val="center"/>
                </w:tcPr>
                <w:p>
                  <w:pPr>
                    <w:rPr>
                      <w:rFonts w:ascii="宋体" w:hAnsi="宋体" w:hint="eastAsia"/>
                    </w:rPr>
                  </w:pPr>
                  <w:r>
                    <w:rPr>
                      <w:rFonts w:ascii="宋体" w:hAnsi="宋体" w:hint="eastAsia"/>
                    </w:rPr>
                    <w:t>全库一年访问</w:t>
                  </w:r>
                </w:p>
              </w:tc>
            </w:tr>
            <w:tr>
              <w:tblPrEx>
                <w:tblW w:w="4369" w:type="dxa"/>
                <w:tblInd w:w="0" w:type="dxa"/>
                <w:tblLayout w:type="fixed"/>
                <w:tblCellMar>
                  <w:top w:w="0" w:type="dxa"/>
                  <w:left w:w="108" w:type="dxa"/>
                  <w:bottom w:w="0" w:type="dxa"/>
                  <w:right w:w="108" w:type="dxa"/>
                </w:tblCellMar>
              </w:tblPrEx>
              <w:trPr>
                <w:trHeight w:val="90"/>
              </w:trPr>
              <w:tc>
                <w:tcPr>
                  <w:tcW w:w="1584" w:type="dxa"/>
                  <w:noWrap w:val="0"/>
                  <w:vAlign w:val="center"/>
                </w:tcPr>
                <w:p>
                  <w:pPr>
                    <w:rPr>
                      <w:rFonts w:ascii="宋体" w:hAnsi="宋体" w:hint="eastAsia"/>
                    </w:rPr>
                  </w:pPr>
                  <w:r>
                    <w:rPr>
                      <w:rFonts w:ascii="宋体" w:hAnsi="宋体" w:hint="eastAsia"/>
                    </w:rPr>
                    <w:t>IEL</w:t>
                  </w:r>
                </w:p>
              </w:tc>
              <w:tc>
                <w:tcPr>
                  <w:tcW w:w="1655" w:type="dxa"/>
                  <w:noWrap w:val="0"/>
                  <w:vAlign w:val="top"/>
                </w:tcPr>
                <w:p>
                  <w:pPr>
                    <w:rPr>
                      <w:rFonts w:ascii="宋体" w:hAnsi="宋体" w:hint="eastAsia"/>
                      <w:color w:val="0000FF"/>
                    </w:rPr>
                  </w:pPr>
                  <w:r>
                    <w:rPr>
                      <w:rFonts w:hint="eastAsia"/>
                    </w:rPr>
                    <w:t>2024.7.1-2025.6.30</w:t>
                  </w:r>
                </w:p>
              </w:tc>
              <w:tc>
                <w:tcPr>
                  <w:tcW w:w="1130" w:type="dxa"/>
                  <w:noWrap w:val="0"/>
                  <w:vAlign w:val="center"/>
                </w:tcPr>
                <w:p>
                  <w:pPr>
                    <w:rPr>
                      <w:rFonts w:ascii="宋体" w:hAnsi="宋体" w:hint="eastAsia"/>
                    </w:rPr>
                  </w:pPr>
                  <w:r>
                    <w:rPr>
                      <w:rFonts w:ascii="宋体" w:hAnsi="宋体" w:hint="eastAsia"/>
                    </w:rPr>
                    <w:t>全库一年访问</w:t>
                  </w:r>
                </w:p>
              </w:tc>
            </w:tr>
            <w:tr>
              <w:tblPrEx>
                <w:tblW w:w="4369" w:type="dxa"/>
                <w:tblInd w:w="0" w:type="dxa"/>
                <w:tblLayout w:type="fixed"/>
                <w:tblCellMar>
                  <w:top w:w="0" w:type="dxa"/>
                  <w:left w:w="108" w:type="dxa"/>
                  <w:bottom w:w="0" w:type="dxa"/>
                  <w:right w:w="108" w:type="dxa"/>
                </w:tblCellMar>
              </w:tblPrEx>
              <w:trPr>
                <w:trHeight w:val="90"/>
              </w:trPr>
              <w:tc>
                <w:tcPr>
                  <w:tcW w:w="1584" w:type="dxa"/>
                  <w:noWrap w:val="0"/>
                  <w:vAlign w:val="center"/>
                </w:tcPr>
                <w:p>
                  <w:pPr>
                    <w:rPr>
                      <w:rFonts w:ascii="Helvetica" w:eastAsia="Helvetica" w:hAnsi="Helvetica" w:cs="Helvetica"/>
                      <w:color w:val="333333"/>
                      <w:szCs w:val="21"/>
                      <w:shd w:val="clear" w:color="auto" w:fill="FFFFFF"/>
                    </w:rPr>
                  </w:pPr>
                  <w:r>
                    <w:rPr>
                      <w:rFonts w:ascii="Helvetica" w:eastAsia="Helvetica" w:hAnsi="Helvetica" w:cs="Helvetica" w:hint="eastAsia"/>
                      <w:color w:val="333333"/>
                      <w:szCs w:val="21"/>
                      <w:shd w:val="clear" w:color="auto" w:fill="FFFFFF"/>
                    </w:rPr>
                    <w:t>SciFinder</w:t>
                  </w:r>
                </w:p>
              </w:tc>
              <w:tc>
                <w:tcPr>
                  <w:tcW w:w="1655" w:type="dxa"/>
                  <w:noWrap w:val="0"/>
                  <w:vAlign w:val="top"/>
                </w:tcPr>
                <w:p>
                  <w:pPr>
                    <w:rPr>
                      <w:rFonts w:hint="eastAsia"/>
                    </w:rPr>
                  </w:pPr>
                  <w:r>
                    <w:rPr>
                      <w:rFonts w:hint="eastAsia"/>
                    </w:rPr>
                    <w:t>2024.7.1-2025.6.30</w:t>
                  </w:r>
                </w:p>
              </w:tc>
              <w:tc>
                <w:tcPr>
                  <w:tcW w:w="1130" w:type="dxa"/>
                  <w:noWrap w:val="0"/>
                  <w:vAlign w:val="center"/>
                </w:tcPr>
                <w:p>
                  <w:pPr>
                    <w:rPr>
                      <w:rFonts w:ascii="宋体" w:hAnsi="宋体" w:hint="eastAsia"/>
                    </w:rPr>
                  </w:pPr>
                  <w:r>
                    <w:rPr>
                      <w:rFonts w:ascii="宋体" w:hAnsi="宋体" w:hint="eastAsia"/>
                    </w:rPr>
                    <w:t>全库一年访问</w:t>
                  </w:r>
                </w:p>
              </w:tc>
            </w:tr>
          </w:tbl>
          <w:p>
            <w:pPr>
              <w:spacing w:line="360" w:lineRule="auto"/>
              <w:rPr>
                <w:rFonts w:ascii="宋体" w:eastAsia="宋体" w:hAnsi="宋体" w:cs="宋体" w:hint="default"/>
                <w:b/>
                <w:color w:val="FF0000"/>
                <w:sz w:val="21"/>
                <w:szCs w:val="21"/>
                <w:highlight w:val="none"/>
                <w:lang w:val="en-US" w:eastAsia="zh-CN"/>
              </w:rPr>
            </w:pPr>
          </w:p>
        </w:tc>
        <w:tc>
          <w:tcPr>
            <w:tcW w:w="3053" w:type="dxa"/>
            <w:vAlign w:val="center"/>
          </w:tcPr>
          <w:p>
            <w:pPr>
              <w:spacing w:line="360" w:lineRule="auto"/>
              <w:rPr>
                <w:rFonts w:ascii="宋体" w:eastAsia="宋体" w:hAnsi="宋体" w:cs="宋体"/>
                <w:sz w:val="21"/>
                <w:szCs w:val="21"/>
                <w:highlight w:val="none"/>
              </w:rPr>
            </w:pPr>
          </w:p>
        </w:tc>
        <w:tc>
          <w:tcPr>
            <w:tcW w:w="1262" w:type="dxa"/>
            <w:vAlign w:val="center"/>
          </w:tcPr>
          <w:p>
            <w:pPr>
              <w:spacing w:line="360" w:lineRule="auto"/>
              <w:jc w:val="center"/>
              <w:rPr>
                <w:rFonts w:ascii="宋体" w:eastAsia="宋体" w:hAnsi="宋体" w:cs="宋体"/>
                <w:sz w:val="21"/>
                <w:szCs w:val="21"/>
                <w:highlight w:val="none"/>
              </w:rPr>
            </w:pPr>
            <w:r>
              <w:rPr>
                <w:rFonts w:ascii="宋体" w:eastAsia="宋体" w:hAnsi="宋体" w:cs="宋体" w:hint="eastAsia"/>
                <w:sz w:val="21"/>
                <w:szCs w:val="21"/>
                <w:highlight w:val="none"/>
              </w:rPr>
              <w:t>无偏离</w:t>
            </w:r>
          </w:p>
        </w:tc>
      </w:tr>
      <w:tr>
        <w:tblPrEx>
          <w:tblW w:w="9687" w:type="dxa"/>
          <w:jc w:val="center"/>
          <w:tblLayout w:type="fixed"/>
          <w:tblCellMar>
            <w:top w:w="0" w:type="dxa"/>
            <w:left w:w="108" w:type="dxa"/>
            <w:bottom w:w="0" w:type="dxa"/>
            <w:right w:w="108" w:type="dxa"/>
          </w:tblCellMar>
        </w:tblPrEx>
        <w:trPr>
          <w:trHeight w:val="904"/>
          <w:jc w:val="center"/>
        </w:trPr>
        <w:tc>
          <w:tcPr>
            <w:tcW w:w="640" w:type="dxa"/>
            <w:vAlign w:val="center"/>
          </w:tcPr>
          <w:p>
            <w:pPr>
              <w:spacing w:line="360" w:lineRule="auto"/>
              <w:jc w:val="center"/>
              <w:rPr>
                <w:rFonts w:ascii="宋体" w:eastAsia="宋体" w:hAnsi="宋体" w:cs="宋体" w:hint="eastAsia"/>
                <w:sz w:val="21"/>
                <w:szCs w:val="21"/>
                <w:highlight w:val="none"/>
                <w:lang w:val="en-US" w:eastAsia="zh-CN"/>
              </w:rPr>
            </w:pPr>
            <w:r>
              <w:rPr>
                <w:rFonts w:ascii="宋体" w:eastAsia="宋体" w:hAnsi="宋体" w:cs="宋体" w:hint="eastAsia"/>
                <w:sz w:val="21"/>
                <w:szCs w:val="21"/>
                <w:highlight w:val="none"/>
                <w:lang w:val="en-US" w:eastAsia="zh-CN"/>
              </w:rPr>
              <w:t>1</w:t>
            </w:r>
          </w:p>
        </w:tc>
        <w:tc>
          <w:tcPr>
            <w:tcW w:w="4732" w:type="dxa"/>
          </w:tcPr>
          <w:p>
            <w:pPr>
              <w:snapToGrid w:val="0"/>
              <w:spacing w:line="360" w:lineRule="auto"/>
              <w:ind w:firstLine="480" w:firstLineChars="200"/>
              <w:jc w:val="left"/>
              <w:rPr>
                <w:rFonts w:ascii="宋体" w:eastAsia="宋体" w:hAnsi="宋体" w:cs="宋体" w:hint="eastAsia"/>
                <w:b/>
                <w:color w:val="FF0000"/>
                <w:sz w:val="21"/>
                <w:szCs w:val="21"/>
                <w:highlight w:val="none"/>
                <w:lang w:val="en-US" w:eastAsia="zh-CN"/>
              </w:rPr>
            </w:pPr>
            <w:r>
              <w:rPr>
                <w:rFonts w:hint="eastAsia"/>
              </w:rPr>
              <w:t>1.  EBSCO（ASC+BSC）：</w:t>
            </w:r>
            <w:r>
              <w:rPr>
                <w:rFonts w:hint="eastAsia"/>
                <w:color w:val="auto"/>
              </w:rPr>
              <w:t>EBSCO的ASC (Academic Search Complete)数据库涵盖学科包括生物科学、工程技术、社会科学、心理学、教育、法律、医学、语言学、人文、信息科技、通讯传播、公共管理、历史学、计算机科学、军事、文化、健康卫生医疗、宗教与神学、艺术、视觉传达、表演、哲学、各国文学等等；收录不少于18800种期刊的索摘，提供不少于8800种全文期刊（同行评审[peer-reviewed]不少于7600种），包括不少于790种非期刊类全文出版物（如书籍、报告及会议论文等）。BSC (Business Source Complete)数据库涵盖学科包括营销、管理、管理信息系统（MIS）、生产与作业管理（POM）、会计、金融、经济等。BSC收录不少于3700种期刊全文（包括不少于1800种同行评审期刊）。除此之外，数据库还收录不少于600种书籍专著，不少于1100份国家经济报告，不少于8700份行业报告，不少于2300份市场研究报告，不少于5600份SWOT分析等。</w:t>
            </w:r>
          </w:p>
        </w:tc>
        <w:tc>
          <w:tcPr>
            <w:tcW w:w="3053" w:type="dxa"/>
            <w:vAlign w:val="center"/>
          </w:tcPr>
          <w:p>
            <w:pPr>
              <w:spacing w:line="360" w:lineRule="auto"/>
              <w:rPr>
                <w:rFonts w:ascii="宋体" w:eastAsia="宋体" w:hAnsi="宋体" w:cs="宋体" w:hint="eastAsia"/>
                <w:sz w:val="21"/>
                <w:szCs w:val="21"/>
                <w:highlight w:val="none"/>
              </w:rPr>
            </w:pPr>
          </w:p>
        </w:tc>
        <w:tc>
          <w:tcPr>
            <w:tcW w:w="1262" w:type="dxa"/>
            <w:vAlign w:val="center"/>
          </w:tcPr>
          <w:p>
            <w:pPr>
              <w:spacing w:line="360" w:lineRule="auto"/>
              <w:jc w:val="center"/>
              <w:rPr>
                <w:rFonts w:ascii="宋体" w:eastAsia="宋体" w:hAnsi="宋体" w:cs="宋体" w:hint="eastAsia"/>
                <w:sz w:val="21"/>
                <w:szCs w:val="21"/>
                <w:highlight w:val="none"/>
              </w:rPr>
            </w:pPr>
          </w:p>
        </w:tc>
      </w:tr>
      <w:tr>
        <w:tblPrEx>
          <w:tblW w:w="9687" w:type="dxa"/>
          <w:jc w:val="center"/>
          <w:tblLayout w:type="fixed"/>
          <w:tblCellMar>
            <w:top w:w="0" w:type="dxa"/>
            <w:left w:w="108" w:type="dxa"/>
            <w:bottom w:w="0" w:type="dxa"/>
            <w:right w:w="108" w:type="dxa"/>
          </w:tblCellMar>
        </w:tblPrEx>
        <w:trPr>
          <w:trHeight w:val="904"/>
          <w:jc w:val="center"/>
        </w:trPr>
        <w:tc>
          <w:tcPr>
            <w:tcW w:w="640" w:type="dxa"/>
            <w:vAlign w:val="center"/>
          </w:tcPr>
          <w:p>
            <w:pPr>
              <w:spacing w:line="360" w:lineRule="auto"/>
              <w:jc w:val="center"/>
              <w:rPr>
                <w:rFonts w:ascii="宋体" w:eastAsia="宋体" w:hAnsi="宋体" w:cs="宋体" w:hint="eastAsia"/>
                <w:sz w:val="21"/>
                <w:szCs w:val="21"/>
                <w:highlight w:val="none"/>
                <w:lang w:val="en-US" w:eastAsia="zh-CN"/>
              </w:rPr>
            </w:pPr>
            <w:r>
              <w:rPr>
                <w:rFonts w:ascii="宋体" w:eastAsia="宋体" w:hAnsi="宋体" w:cs="宋体" w:hint="eastAsia"/>
                <w:sz w:val="21"/>
                <w:szCs w:val="21"/>
                <w:highlight w:val="none"/>
                <w:lang w:val="en-US" w:eastAsia="zh-CN"/>
              </w:rPr>
              <w:t>2</w:t>
            </w:r>
          </w:p>
        </w:tc>
        <w:tc>
          <w:tcPr>
            <w:tcW w:w="4732" w:type="dxa"/>
          </w:tcPr>
          <w:p>
            <w:pPr>
              <w:snapToGrid w:val="0"/>
              <w:spacing w:line="360" w:lineRule="auto"/>
              <w:ind w:firstLine="480" w:firstLineChars="200"/>
              <w:jc w:val="left"/>
              <w:rPr>
                <w:rFonts w:ascii="宋体" w:eastAsia="宋体" w:hAnsi="宋体" w:cs="宋体" w:hint="eastAsia"/>
                <w:b/>
                <w:color w:val="FF0000"/>
                <w:sz w:val="21"/>
                <w:szCs w:val="21"/>
                <w:highlight w:val="none"/>
                <w:lang w:val="en-US" w:eastAsia="zh-CN"/>
              </w:rPr>
            </w:pPr>
            <w:r>
              <w:rPr>
                <w:rFonts w:hint="eastAsia"/>
                <w:color w:val="auto"/>
              </w:rPr>
              <w:t xml:space="preserve">2.  </w:t>
            </w:r>
            <w:r>
              <w:rPr>
                <w:color w:val="auto"/>
              </w:rPr>
              <w:t>EBSCO VSP</w:t>
            </w:r>
            <w:r>
              <w:rPr>
                <w:rFonts w:hint="eastAsia"/>
                <w:color w:val="auto"/>
              </w:rPr>
              <w:t>：EBSCO的</w:t>
            </w:r>
            <w:r>
              <w:rPr>
                <w:color w:val="auto"/>
              </w:rPr>
              <w:t>VSP (Vocational Studies Premier)</w:t>
            </w:r>
            <w:r>
              <w:rPr>
                <w:rFonts w:hint="eastAsia"/>
                <w:color w:val="auto"/>
              </w:rPr>
              <w:t>职业技术教育全文数据库涵盖学科包括生物技术、计算机数据处理、皮肤护理与美容、电子工程、时尚设计、室内设计等。收录不少于</w:t>
            </w:r>
            <w:r>
              <w:rPr>
                <w:color w:val="auto"/>
              </w:rPr>
              <w:t>940</w:t>
            </w:r>
            <w:r>
              <w:rPr>
                <w:rFonts w:hint="eastAsia"/>
                <w:color w:val="auto"/>
              </w:rPr>
              <w:t>种全文期刊，除了收录全文期刊出版物之外，提供其他形式的全文出版物，包含多种专论书籍与多种研究报告</w:t>
            </w:r>
            <w:r>
              <w:rPr>
                <w:color w:val="auto"/>
              </w:rPr>
              <w:t>(</w:t>
            </w:r>
            <w:r>
              <w:rPr>
                <w:rFonts w:hint="eastAsia"/>
                <w:color w:val="auto"/>
              </w:rPr>
              <w:t>市场研究报告、财务报告、教育报告</w:t>
            </w:r>
            <w:r>
              <w:rPr>
                <w:color w:val="auto"/>
              </w:rPr>
              <w:t>)</w:t>
            </w:r>
            <w:r>
              <w:rPr>
                <w:rFonts w:hint="eastAsia"/>
                <w:color w:val="auto"/>
              </w:rPr>
              <w:t>等。</w:t>
            </w:r>
          </w:p>
        </w:tc>
        <w:tc>
          <w:tcPr>
            <w:tcW w:w="3053" w:type="dxa"/>
            <w:vAlign w:val="center"/>
          </w:tcPr>
          <w:p>
            <w:pPr>
              <w:spacing w:line="360" w:lineRule="auto"/>
              <w:rPr>
                <w:rFonts w:ascii="宋体" w:eastAsia="宋体" w:hAnsi="宋体" w:cs="宋体" w:hint="eastAsia"/>
                <w:sz w:val="21"/>
                <w:szCs w:val="21"/>
                <w:highlight w:val="none"/>
              </w:rPr>
            </w:pPr>
          </w:p>
        </w:tc>
        <w:tc>
          <w:tcPr>
            <w:tcW w:w="1262" w:type="dxa"/>
            <w:vAlign w:val="center"/>
          </w:tcPr>
          <w:p>
            <w:pPr>
              <w:spacing w:line="360" w:lineRule="auto"/>
              <w:jc w:val="center"/>
              <w:rPr>
                <w:rFonts w:ascii="宋体" w:eastAsia="宋体" w:hAnsi="宋体" w:cs="宋体" w:hint="eastAsia"/>
                <w:sz w:val="21"/>
                <w:szCs w:val="21"/>
                <w:highlight w:val="none"/>
              </w:rPr>
            </w:pPr>
          </w:p>
        </w:tc>
      </w:tr>
      <w:tr>
        <w:tblPrEx>
          <w:tblW w:w="9687" w:type="dxa"/>
          <w:jc w:val="center"/>
          <w:tblLayout w:type="fixed"/>
          <w:tblCellMar>
            <w:top w:w="0" w:type="dxa"/>
            <w:left w:w="108" w:type="dxa"/>
            <w:bottom w:w="0" w:type="dxa"/>
            <w:right w:w="108" w:type="dxa"/>
          </w:tblCellMar>
        </w:tblPrEx>
        <w:trPr>
          <w:trHeight w:val="904"/>
          <w:jc w:val="center"/>
        </w:trPr>
        <w:tc>
          <w:tcPr>
            <w:tcW w:w="640" w:type="dxa"/>
            <w:vAlign w:val="center"/>
          </w:tcPr>
          <w:p>
            <w:pPr>
              <w:spacing w:line="360" w:lineRule="auto"/>
              <w:jc w:val="center"/>
              <w:rPr>
                <w:rFonts w:ascii="宋体" w:eastAsia="宋体" w:hAnsi="宋体" w:cs="宋体" w:hint="eastAsia"/>
                <w:sz w:val="21"/>
                <w:szCs w:val="21"/>
                <w:highlight w:val="none"/>
                <w:lang w:val="en-US" w:eastAsia="zh-CN"/>
              </w:rPr>
            </w:pPr>
            <w:r>
              <w:rPr>
                <w:rFonts w:ascii="宋体" w:eastAsia="宋体" w:hAnsi="宋体" w:cs="宋体" w:hint="eastAsia"/>
                <w:sz w:val="21"/>
                <w:szCs w:val="21"/>
                <w:highlight w:val="none"/>
                <w:lang w:val="en-US" w:eastAsia="zh-CN"/>
              </w:rPr>
              <w:t>3</w:t>
            </w:r>
          </w:p>
        </w:tc>
        <w:tc>
          <w:tcPr>
            <w:tcW w:w="4732" w:type="dxa"/>
          </w:tcPr>
          <w:p>
            <w:pPr>
              <w:snapToGrid w:val="0"/>
              <w:spacing w:line="360" w:lineRule="auto"/>
              <w:ind w:firstLine="480" w:firstLineChars="200"/>
              <w:jc w:val="left"/>
              <w:rPr>
                <w:rFonts w:ascii="宋体" w:eastAsia="宋体" w:hAnsi="宋体" w:cs="宋体" w:hint="eastAsia"/>
                <w:b/>
                <w:color w:val="FF0000"/>
                <w:sz w:val="21"/>
                <w:szCs w:val="21"/>
                <w:highlight w:val="none"/>
                <w:lang w:val="en-US" w:eastAsia="zh-CN"/>
              </w:rPr>
            </w:pPr>
            <w:r>
              <w:rPr>
                <w:rFonts w:hint="eastAsia"/>
                <w:color w:val="auto"/>
              </w:rPr>
              <w:t xml:space="preserve">3.  </w:t>
            </w:r>
            <w:r>
              <w:rPr>
                <w:color w:val="auto"/>
              </w:rPr>
              <w:t xml:space="preserve">EBSCO </w:t>
            </w:r>
            <w:r>
              <w:rPr>
                <w:rFonts w:hint="eastAsia"/>
                <w:color w:val="auto"/>
              </w:rPr>
              <w:t>ARR</w:t>
            </w:r>
            <w:r>
              <w:rPr>
                <w:color w:val="auto"/>
              </w:rPr>
              <w:t>C</w:t>
            </w:r>
            <w:r>
              <w:rPr>
                <w:rFonts w:hint="eastAsia"/>
                <w:color w:val="auto"/>
              </w:rPr>
              <w:t>：</w:t>
            </w:r>
            <w:r>
              <w:rPr>
                <w:color w:val="auto"/>
              </w:rPr>
              <w:t>EBSCO </w:t>
            </w:r>
            <w:r>
              <w:rPr>
                <w:rFonts w:hint="eastAsia"/>
                <w:color w:val="auto"/>
              </w:rPr>
              <w:t>的ARRC（现更名为</w:t>
            </w:r>
            <w:r>
              <w:rPr>
                <w:color w:val="auto"/>
              </w:rPr>
              <w:t>Small Engine Repair Source</w:t>
            </w:r>
            <w:r>
              <w:rPr>
                <w:rFonts w:hint="eastAsia"/>
                <w:color w:val="auto"/>
              </w:rPr>
              <w:t>）数据库涵盖学科包括引擎维修。数据库提供各种型号小型引擎维修指南信息，收录不少于</w:t>
            </w:r>
            <w:r>
              <w:rPr>
                <w:color w:val="auto"/>
              </w:rPr>
              <w:t>450</w:t>
            </w:r>
            <w:r>
              <w:rPr>
                <w:rFonts w:hint="eastAsia"/>
                <w:color w:val="auto"/>
              </w:rPr>
              <w:t>种带有原始照片和插图的全文参考书、超过</w:t>
            </w:r>
            <w:r>
              <w:rPr>
                <w:color w:val="auto"/>
              </w:rPr>
              <w:t>25</w:t>
            </w:r>
            <w:r>
              <w:rPr>
                <w:rFonts w:hint="eastAsia"/>
                <w:color w:val="auto"/>
              </w:rPr>
              <w:t>年的发动机型号信息、不少于</w:t>
            </w:r>
            <w:r>
              <w:rPr>
                <w:color w:val="auto"/>
              </w:rPr>
              <w:t>90,000</w:t>
            </w:r>
            <w:r>
              <w:rPr>
                <w:rFonts w:hint="eastAsia"/>
                <w:color w:val="auto"/>
              </w:rPr>
              <w:t>多个维修信息，全套</w:t>
            </w:r>
            <w:r>
              <w:rPr>
                <w:color w:val="auto"/>
              </w:rPr>
              <w:t>Clymer</w:t>
            </w:r>
            <w:r>
              <w:rPr>
                <w:rFonts w:hint="eastAsia"/>
                <w:color w:val="auto"/>
              </w:rPr>
              <w:t>维修手册，接线图，说明书，维护表，工时指南与评估等。</w:t>
            </w:r>
          </w:p>
        </w:tc>
        <w:tc>
          <w:tcPr>
            <w:tcW w:w="3053" w:type="dxa"/>
            <w:vAlign w:val="center"/>
          </w:tcPr>
          <w:p>
            <w:pPr>
              <w:spacing w:line="360" w:lineRule="auto"/>
              <w:rPr>
                <w:rFonts w:ascii="宋体" w:eastAsia="宋体" w:hAnsi="宋体" w:cs="宋体" w:hint="eastAsia"/>
                <w:sz w:val="21"/>
                <w:szCs w:val="21"/>
                <w:highlight w:val="none"/>
              </w:rPr>
            </w:pPr>
          </w:p>
        </w:tc>
        <w:tc>
          <w:tcPr>
            <w:tcW w:w="1262" w:type="dxa"/>
            <w:vAlign w:val="center"/>
          </w:tcPr>
          <w:p>
            <w:pPr>
              <w:spacing w:line="360" w:lineRule="auto"/>
              <w:jc w:val="center"/>
              <w:rPr>
                <w:rFonts w:ascii="宋体" w:eastAsia="宋体" w:hAnsi="宋体" w:cs="宋体" w:hint="eastAsia"/>
                <w:sz w:val="21"/>
                <w:szCs w:val="21"/>
                <w:highlight w:val="none"/>
              </w:rPr>
            </w:pPr>
          </w:p>
        </w:tc>
      </w:tr>
      <w:tr>
        <w:tblPrEx>
          <w:tblW w:w="9687" w:type="dxa"/>
          <w:jc w:val="center"/>
          <w:tblLayout w:type="fixed"/>
          <w:tblCellMar>
            <w:top w:w="0" w:type="dxa"/>
            <w:left w:w="108" w:type="dxa"/>
            <w:bottom w:w="0" w:type="dxa"/>
            <w:right w:w="108" w:type="dxa"/>
          </w:tblCellMar>
        </w:tblPrEx>
        <w:trPr>
          <w:trHeight w:val="904"/>
          <w:jc w:val="center"/>
        </w:trPr>
        <w:tc>
          <w:tcPr>
            <w:tcW w:w="640" w:type="dxa"/>
            <w:vAlign w:val="center"/>
          </w:tcPr>
          <w:p>
            <w:pPr>
              <w:spacing w:line="360" w:lineRule="auto"/>
              <w:jc w:val="center"/>
              <w:rPr>
                <w:rFonts w:ascii="宋体" w:eastAsia="宋体" w:hAnsi="宋体" w:cs="宋体" w:hint="eastAsia"/>
                <w:sz w:val="21"/>
                <w:szCs w:val="21"/>
                <w:highlight w:val="none"/>
                <w:lang w:val="en-US" w:eastAsia="zh-CN"/>
              </w:rPr>
            </w:pPr>
            <w:r>
              <w:rPr>
                <w:rFonts w:ascii="宋体" w:eastAsia="宋体" w:hAnsi="宋体" w:cs="宋体" w:hint="eastAsia"/>
                <w:sz w:val="21"/>
                <w:szCs w:val="21"/>
                <w:highlight w:val="none"/>
                <w:lang w:val="en-US" w:eastAsia="zh-CN"/>
              </w:rPr>
              <w:t>4</w:t>
            </w:r>
          </w:p>
        </w:tc>
        <w:tc>
          <w:tcPr>
            <w:tcW w:w="4732" w:type="dxa"/>
          </w:tcPr>
          <w:p>
            <w:pPr>
              <w:snapToGrid w:val="0"/>
              <w:spacing w:line="360" w:lineRule="auto"/>
              <w:ind w:firstLine="480" w:firstLineChars="200"/>
              <w:jc w:val="left"/>
              <w:rPr>
                <w:rFonts w:ascii="宋体" w:eastAsia="宋体" w:hAnsi="宋体" w:cs="宋体" w:hint="eastAsia"/>
                <w:b/>
                <w:color w:val="FF0000"/>
                <w:sz w:val="21"/>
                <w:szCs w:val="21"/>
                <w:highlight w:val="none"/>
                <w:lang w:val="en-US" w:eastAsia="zh-CN"/>
              </w:rPr>
            </w:pPr>
            <w:r>
              <w:rPr>
                <w:rFonts w:hint="eastAsia"/>
                <w:color w:val="auto"/>
              </w:rPr>
              <w:t>4.  Emerald：Emerald数据库涵盖学科包括经济健康与社会关怀、图书馆研究、信息与知识管理、会计金融与经济学、商业管理与战略、市场营销、人力资源与组织研究、旅游管理等学科。内容涵盖财政、金融、法律、工程技术、管理学与管理技术、国家行政管理、护理学、会计、审计、计算技术、计算机技术、教育、体育、经济计划与管理、控制论、信息论(数学理论)、临床医学、旅游经济、贸易经济、农业经济、农业科学、企业经济、情报学与情报工作、人类学、社会学、神经病学与精神病学、世界各国文化与文化事业、特种医学、图书馆学、无线电电子学、电信技术、心理学、药学、医药卫生、预防医学、卫生学等。提供全文期刊不少于200种。</w:t>
            </w:r>
          </w:p>
        </w:tc>
        <w:tc>
          <w:tcPr>
            <w:tcW w:w="3053" w:type="dxa"/>
            <w:vAlign w:val="center"/>
          </w:tcPr>
          <w:p>
            <w:pPr>
              <w:spacing w:line="360" w:lineRule="auto"/>
              <w:rPr>
                <w:rFonts w:ascii="宋体" w:eastAsia="宋体" w:hAnsi="宋体" w:cs="宋体" w:hint="eastAsia"/>
                <w:sz w:val="21"/>
                <w:szCs w:val="21"/>
                <w:highlight w:val="none"/>
              </w:rPr>
            </w:pPr>
          </w:p>
        </w:tc>
        <w:tc>
          <w:tcPr>
            <w:tcW w:w="1262" w:type="dxa"/>
            <w:vAlign w:val="center"/>
          </w:tcPr>
          <w:p>
            <w:pPr>
              <w:spacing w:line="360" w:lineRule="auto"/>
              <w:jc w:val="center"/>
              <w:rPr>
                <w:rFonts w:ascii="宋体" w:eastAsia="宋体" w:hAnsi="宋体" w:cs="宋体" w:hint="eastAsia"/>
                <w:sz w:val="21"/>
                <w:szCs w:val="21"/>
                <w:highlight w:val="none"/>
              </w:rPr>
            </w:pPr>
          </w:p>
        </w:tc>
      </w:tr>
      <w:tr>
        <w:tblPrEx>
          <w:tblW w:w="9687" w:type="dxa"/>
          <w:jc w:val="center"/>
          <w:tblLayout w:type="fixed"/>
          <w:tblCellMar>
            <w:top w:w="0" w:type="dxa"/>
            <w:left w:w="108" w:type="dxa"/>
            <w:bottom w:w="0" w:type="dxa"/>
            <w:right w:w="108" w:type="dxa"/>
          </w:tblCellMar>
        </w:tblPrEx>
        <w:trPr>
          <w:trHeight w:val="904"/>
          <w:jc w:val="center"/>
        </w:trPr>
        <w:tc>
          <w:tcPr>
            <w:tcW w:w="640" w:type="dxa"/>
            <w:vAlign w:val="center"/>
          </w:tcPr>
          <w:p>
            <w:pPr>
              <w:spacing w:line="360" w:lineRule="auto"/>
              <w:jc w:val="center"/>
              <w:rPr>
                <w:rFonts w:ascii="宋体" w:eastAsia="宋体" w:hAnsi="宋体" w:cs="宋体" w:hint="eastAsia"/>
                <w:sz w:val="21"/>
                <w:szCs w:val="21"/>
                <w:highlight w:val="none"/>
                <w:lang w:val="en-US" w:eastAsia="zh-CN"/>
              </w:rPr>
            </w:pPr>
            <w:r>
              <w:rPr>
                <w:rFonts w:ascii="宋体" w:eastAsia="宋体" w:hAnsi="宋体" w:cs="宋体" w:hint="eastAsia"/>
                <w:sz w:val="21"/>
                <w:szCs w:val="21"/>
                <w:highlight w:val="none"/>
                <w:lang w:val="en-US" w:eastAsia="zh-CN"/>
              </w:rPr>
              <w:t>5</w:t>
            </w:r>
          </w:p>
        </w:tc>
        <w:tc>
          <w:tcPr>
            <w:tcW w:w="4732" w:type="dxa"/>
          </w:tcPr>
          <w:p>
            <w:pPr>
              <w:snapToGrid w:val="0"/>
              <w:spacing w:line="360" w:lineRule="auto"/>
              <w:ind w:firstLine="480" w:firstLineChars="200"/>
              <w:jc w:val="left"/>
              <w:rPr>
                <w:rFonts w:ascii="宋体" w:eastAsia="宋体" w:hAnsi="宋体" w:cs="宋体" w:hint="eastAsia"/>
                <w:b/>
                <w:color w:val="FF0000"/>
                <w:sz w:val="21"/>
                <w:szCs w:val="21"/>
                <w:highlight w:val="none"/>
                <w:lang w:val="en-US" w:eastAsia="zh-CN"/>
              </w:rPr>
            </w:pPr>
            <w:r>
              <w:rPr>
                <w:rFonts w:hint="eastAsia"/>
                <w:color w:val="auto"/>
              </w:rPr>
              <w:t>5.  MyLoft：MyLOFT 提供一个图书馆电子资源远程访问工具，支持用户在电脑端对所在机构已订购电子资源进行远程访问，帮助用户通过一个窗口管理并访问各种类型的电子资源内容（电子期刊、电子</w:t>
            </w:r>
            <w:r>
              <w:rPr>
                <w:rFonts w:hint="eastAsia"/>
              </w:rPr>
              <w:t>图书以及数值类/事实类数据库等），提供多个外文数据库和中文数据库的共享访问。其中支持深圳职业技术大学订购的：EBSCO（ASC+BSP）、EBSCO VSP、EBSCO ARRC、Emerald数据库、SPRINGER电子期刊、Web of Science、WGSN服装潮流资讯数据库、中国知网、维普中文期刊服务平台、万方数据、超星电子图书、超星学术视频、读秀学术搜索、国研网、库客数字音乐图书馆、新东方多媒体学习库、百度文库、中宏产业研究平台、爱迪科森网上报告厅等数据库的远程共享访问。</w:t>
            </w:r>
          </w:p>
        </w:tc>
        <w:tc>
          <w:tcPr>
            <w:tcW w:w="3053" w:type="dxa"/>
            <w:vAlign w:val="center"/>
          </w:tcPr>
          <w:p>
            <w:pPr>
              <w:spacing w:line="360" w:lineRule="auto"/>
              <w:rPr>
                <w:rFonts w:ascii="宋体" w:eastAsia="宋体" w:hAnsi="宋体" w:cs="宋体" w:hint="eastAsia"/>
                <w:sz w:val="21"/>
                <w:szCs w:val="21"/>
                <w:highlight w:val="none"/>
              </w:rPr>
            </w:pPr>
          </w:p>
        </w:tc>
        <w:tc>
          <w:tcPr>
            <w:tcW w:w="1262" w:type="dxa"/>
            <w:vAlign w:val="center"/>
          </w:tcPr>
          <w:p>
            <w:pPr>
              <w:spacing w:line="360" w:lineRule="auto"/>
              <w:jc w:val="center"/>
              <w:rPr>
                <w:rFonts w:ascii="宋体" w:eastAsia="宋体" w:hAnsi="宋体" w:cs="宋体" w:hint="eastAsia"/>
                <w:sz w:val="21"/>
                <w:szCs w:val="21"/>
                <w:highlight w:val="none"/>
              </w:rPr>
            </w:pPr>
          </w:p>
        </w:tc>
      </w:tr>
      <w:tr>
        <w:tblPrEx>
          <w:tblW w:w="9687" w:type="dxa"/>
          <w:jc w:val="center"/>
          <w:tblLayout w:type="fixed"/>
          <w:tblCellMar>
            <w:top w:w="0" w:type="dxa"/>
            <w:left w:w="108" w:type="dxa"/>
            <w:bottom w:w="0" w:type="dxa"/>
            <w:right w:w="108" w:type="dxa"/>
          </w:tblCellMar>
        </w:tblPrEx>
        <w:trPr>
          <w:trHeight w:val="904"/>
          <w:jc w:val="center"/>
        </w:trPr>
        <w:tc>
          <w:tcPr>
            <w:tcW w:w="640" w:type="dxa"/>
            <w:vAlign w:val="center"/>
          </w:tcPr>
          <w:p>
            <w:pPr>
              <w:spacing w:line="360" w:lineRule="auto"/>
              <w:jc w:val="center"/>
              <w:rPr>
                <w:rFonts w:ascii="宋体" w:eastAsia="宋体" w:hAnsi="宋体" w:cs="宋体" w:hint="eastAsia"/>
                <w:sz w:val="21"/>
                <w:szCs w:val="21"/>
                <w:highlight w:val="none"/>
                <w:lang w:val="en-US" w:eastAsia="zh-CN"/>
              </w:rPr>
            </w:pPr>
            <w:r>
              <w:rPr>
                <w:rFonts w:ascii="宋体" w:eastAsia="宋体" w:hAnsi="宋体" w:cs="宋体" w:hint="eastAsia"/>
                <w:sz w:val="21"/>
                <w:szCs w:val="21"/>
                <w:highlight w:val="none"/>
                <w:lang w:val="en-US" w:eastAsia="zh-CN"/>
              </w:rPr>
              <w:t>6</w:t>
            </w:r>
          </w:p>
        </w:tc>
        <w:tc>
          <w:tcPr>
            <w:tcW w:w="4732" w:type="dxa"/>
          </w:tcPr>
          <w:p>
            <w:pPr>
              <w:snapToGrid w:val="0"/>
              <w:spacing w:line="360" w:lineRule="auto"/>
              <w:ind w:firstLine="480" w:firstLineChars="200"/>
              <w:jc w:val="left"/>
              <w:rPr>
                <w:rFonts w:ascii="宋体" w:eastAsia="宋体" w:hAnsi="宋体" w:cs="宋体" w:hint="eastAsia"/>
                <w:b/>
                <w:color w:val="FF0000"/>
                <w:sz w:val="21"/>
                <w:szCs w:val="21"/>
                <w:highlight w:val="none"/>
                <w:lang w:val="en-US" w:eastAsia="zh-CN"/>
              </w:rPr>
            </w:pPr>
            <w:r>
              <w:rPr>
                <w:rFonts w:hint="eastAsia"/>
              </w:rPr>
              <w:t>6.  Web of Science（SSCI部分）：We</w:t>
            </w:r>
            <w:r>
              <w:rPr>
                <w:rFonts w:hint="eastAsia"/>
                <w:color w:val="auto"/>
              </w:rPr>
              <w:t>b of Science的SSCI数据库涵盖学科包括: 人类学、家庭研究、信息科学与图书固安科学、社会问题、商业、地理学、语言与语言学、社会工作、通讯与传播、老年医学和老年病学、法律、社会学等58个学科领域, 可以为国内广大社会科学领域的研究人员提供不少于3,500种社会科学权威学术期刊论文, 数据可回溯至1900年。支持基本检索、高级检索、作者检索、被引参考文献检索和化学结构检索等多种检索方式。</w:t>
            </w:r>
          </w:p>
        </w:tc>
        <w:tc>
          <w:tcPr>
            <w:tcW w:w="3053" w:type="dxa"/>
            <w:vAlign w:val="center"/>
          </w:tcPr>
          <w:p>
            <w:pPr>
              <w:spacing w:line="360" w:lineRule="auto"/>
              <w:rPr>
                <w:rFonts w:ascii="宋体" w:eastAsia="宋体" w:hAnsi="宋体" w:cs="宋体" w:hint="eastAsia"/>
                <w:sz w:val="21"/>
                <w:szCs w:val="21"/>
                <w:highlight w:val="none"/>
              </w:rPr>
            </w:pPr>
          </w:p>
        </w:tc>
        <w:tc>
          <w:tcPr>
            <w:tcW w:w="1262" w:type="dxa"/>
            <w:vAlign w:val="center"/>
          </w:tcPr>
          <w:p>
            <w:pPr>
              <w:spacing w:line="360" w:lineRule="auto"/>
              <w:jc w:val="center"/>
              <w:rPr>
                <w:rFonts w:ascii="宋体" w:eastAsia="宋体" w:hAnsi="宋体" w:cs="宋体" w:hint="eastAsia"/>
                <w:sz w:val="21"/>
                <w:szCs w:val="21"/>
                <w:highlight w:val="none"/>
              </w:rPr>
            </w:pPr>
          </w:p>
        </w:tc>
      </w:tr>
      <w:tr>
        <w:tblPrEx>
          <w:tblW w:w="9687" w:type="dxa"/>
          <w:jc w:val="center"/>
          <w:tblLayout w:type="fixed"/>
          <w:tblCellMar>
            <w:top w:w="0" w:type="dxa"/>
            <w:left w:w="108" w:type="dxa"/>
            <w:bottom w:w="0" w:type="dxa"/>
            <w:right w:w="108" w:type="dxa"/>
          </w:tblCellMar>
        </w:tblPrEx>
        <w:trPr>
          <w:trHeight w:val="904"/>
          <w:jc w:val="center"/>
        </w:trPr>
        <w:tc>
          <w:tcPr>
            <w:tcW w:w="640" w:type="dxa"/>
            <w:vAlign w:val="center"/>
          </w:tcPr>
          <w:p>
            <w:pPr>
              <w:spacing w:line="360" w:lineRule="auto"/>
              <w:jc w:val="center"/>
              <w:rPr>
                <w:rFonts w:ascii="宋体" w:eastAsia="宋体" w:hAnsi="宋体" w:cs="宋体" w:hint="eastAsia"/>
                <w:sz w:val="21"/>
                <w:szCs w:val="21"/>
                <w:highlight w:val="none"/>
                <w:lang w:val="en-US" w:eastAsia="zh-CN"/>
              </w:rPr>
            </w:pPr>
            <w:r>
              <w:rPr>
                <w:rFonts w:ascii="宋体" w:eastAsia="宋体" w:hAnsi="宋体" w:cs="宋体" w:hint="eastAsia"/>
                <w:sz w:val="21"/>
                <w:szCs w:val="21"/>
                <w:highlight w:val="none"/>
                <w:lang w:val="en-US" w:eastAsia="zh-CN"/>
              </w:rPr>
              <w:t>7</w:t>
            </w:r>
          </w:p>
        </w:tc>
        <w:tc>
          <w:tcPr>
            <w:tcW w:w="4732" w:type="dxa"/>
          </w:tcPr>
          <w:p>
            <w:pPr>
              <w:snapToGrid w:val="0"/>
              <w:spacing w:line="360" w:lineRule="auto"/>
              <w:ind w:firstLine="480" w:firstLineChars="200"/>
              <w:jc w:val="left"/>
              <w:rPr>
                <w:rFonts w:ascii="宋体" w:eastAsia="宋体" w:hAnsi="宋体" w:cs="宋体" w:hint="eastAsia"/>
                <w:b/>
                <w:color w:val="FF0000"/>
                <w:sz w:val="21"/>
                <w:szCs w:val="21"/>
                <w:highlight w:val="none"/>
                <w:lang w:val="en-US" w:eastAsia="zh-CN"/>
              </w:rPr>
            </w:pPr>
            <w:r>
              <w:rPr>
                <w:rFonts w:hint="eastAsia"/>
                <w:color w:val="auto"/>
              </w:rPr>
              <w:t xml:space="preserve">7.  </w:t>
            </w:r>
            <w:r>
              <w:rPr>
                <w:color w:val="auto"/>
              </w:rPr>
              <w:t>Ei-Compendex</w:t>
            </w:r>
            <w:r>
              <w:rPr>
                <w:rFonts w:hint="eastAsia"/>
                <w:color w:val="auto"/>
              </w:rPr>
              <w:t>：</w:t>
            </w:r>
            <w:r>
              <w:rPr>
                <w:color w:val="auto"/>
              </w:rPr>
              <w:t>Ei-Compendex</w:t>
            </w:r>
            <w:r>
              <w:rPr>
                <w:rFonts w:hint="eastAsia"/>
                <w:color w:val="auto"/>
              </w:rPr>
              <w:t>（简称</w:t>
            </w:r>
            <w:r>
              <w:rPr>
                <w:color w:val="auto"/>
              </w:rPr>
              <w:t>E</w:t>
            </w:r>
            <w:r>
              <w:rPr>
                <w:rFonts w:hint="eastAsia"/>
                <w:color w:val="auto"/>
              </w:rPr>
              <w:t>I）工程文献数据库涵盖学科包括核技术、环境工程、机械工程、土木工程、电气工程、结构工程、材料科学、固体物理、超导体、生物工程、能源、化学和工艺工程、照明和光学技术、空气和水污染、固体废弃物的处理、道路交通、运输安全、控制工程、工程管理、农业工程和食品技术、计算机和数据处理、电子和通信、石油、宇航、汽车工程以及这些领域的子学科和其他主要的工程领域等。收录不少于</w:t>
            </w:r>
            <w:r>
              <w:rPr>
                <w:color w:val="auto"/>
              </w:rPr>
              <w:t>190</w:t>
            </w:r>
            <w:r>
              <w:rPr>
                <w:rFonts w:hint="eastAsia"/>
                <w:color w:val="auto"/>
              </w:rPr>
              <w:t>余个工程学科，来自不少于</w:t>
            </w:r>
            <w:r>
              <w:rPr>
                <w:color w:val="auto"/>
              </w:rPr>
              <w:t>77</w:t>
            </w:r>
            <w:r>
              <w:rPr>
                <w:rFonts w:hint="eastAsia"/>
                <w:color w:val="auto"/>
              </w:rPr>
              <w:t>余个国家的不少于</w:t>
            </w:r>
            <w:r>
              <w:rPr>
                <w:color w:val="auto"/>
              </w:rPr>
              <w:t>3548</w:t>
            </w:r>
            <w:r>
              <w:rPr>
                <w:rFonts w:hint="eastAsia"/>
                <w:color w:val="auto"/>
              </w:rPr>
              <w:t>多万条记录。</w:t>
            </w:r>
          </w:p>
        </w:tc>
        <w:tc>
          <w:tcPr>
            <w:tcW w:w="3053" w:type="dxa"/>
            <w:vAlign w:val="center"/>
          </w:tcPr>
          <w:p>
            <w:pPr>
              <w:spacing w:line="360" w:lineRule="auto"/>
              <w:rPr>
                <w:rFonts w:ascii="宋体" w:eastAsia="宋体" w:hAnsi="宋体" w:cs="宋体" w:hint="eastAsia"/>
                <w:sz w:val="21"/>
                <w:szCs w:val="21"/>
                <w:highlight w:val="none"/>
              </w:rPr>
            </w:pPr>
          </w:p>
        </w:tc>
        <w:tc>
          <w:tcPr>
            <w:tcW w:w="1262" w:type="dxa"/>
            <w:vAlign w:val="center"/>
          </w:tcPr>
          <w:p>
            <w:pPr>
              <w:spacing w:line="360" w:lineRule="auto"/>
              <w:jc w:val="center"/>
              <w:rPr>
                <w:rFonts w:ascii="宋体" w:eastAsia="宋体" w:hAnsi="宋体" w:cs="宋体" w:hint="eastAsia"/>
                <w:sz w:val="21"/>
                <w:szCs w:val="21"/>
                <w:highlight w:val="none"/>
              </w:rPr>
            </w:pPr>
          </w:p>
        </w:tc>
      </w:tr>
      <w:tr>
        <w:tblPrEx>
          <w:tblW w:w="9687" w:type="dxa"/>
          <w:jc w:val="center"/>
          <w:tblLayout w:type="fixed"/>
          <w:tblCellMar>
            <w:top w:w="0" w:type="dxa"/>
            <w:left w:w="108" w:type="dxa"/>
            <w:bottom w:w="0" w:type="dxa"/>
            <w:right w:w="108" w:type="dxa"/>
          </w:tblCellMar>
        </w:tblPrEx>
        <w:trPr>
          <w:trHeight w:val="904"/>
          <w:jc w:val="center"/>
        </w:trPr>
        <w:tc>
          <w:tcPr>
            <w:tcW w:w="640" w:type="dxa"/>
            <w:vAlign w:val="center"/>
          </w:tcPr>
          <w:p>
            <w:pPr>
              <w:spacing w:line="360" w:lineRule="auto"/>
              <w:jc w:val="center"/>
              <w:rPr>
                <w:rFonts w:ascii="宋体" w:eastAsia="宋体" w:hAnsi="宋体" w:cs="宋体" w:hint="eastAsia"/>
                <w:sz w:val="21"/>
                <w:szCs w:val="21"/>
                <w:highlight w:val="none"/>
                <w:lang w:val="en-US" w:eastAsia="zh-CN"/>
              </w:rPr>
            </w:pPr>
            <w:r>
              <w:rPr>
                <w:rFonts w:ascii="宋体" w:eastAsia="宋体" w:hAnsi="宋体" w:cs="宋体" w:hint="eastAsia"/>
                <w:sz w:val="21"/>
                <w:szCs w:val="21"/>
                <w:highlight w:val="none"/>
                <w:lang w:val="en-US" w:eastAsia="zh-CN"/>
              </w:rPr>
              <w:t>8</w:t>
            </w:r>
          </w:p>
        </w:tc>
        <w:tc>
          <w:tcPr>
            <w:tcW w:w="4732" w:type="dxa"/>
          </w:tcPr>
          <w:p>
            <w:pPr>
              <w:snapToGrid w:val="0"/>
              <w:spacing w:line="360" w:lineRule="auto"/>
              <w:ind w:firstLine="480" w:firstLineChars="200"/>
              <w:jc w:val="left"/>
              <w:rPr>
                <w:rFonts w:ascii="宋体" w:eastAsia="宋体" w:hAnsi="宋体" w:cs="宋体" w:hint="eastAsia"/>
                <w:b/>
                <w:color w:val="FF0000"/>
                <w:sz w:val="21"/>
                <w:szCs w:val="21"/>
                <w:highlight w:val="none"/>
                <w:lang w:val="en-US" w:eastAsia="zh-CN"/>
              </w:rPr>
            </w:pPr>
            <w:r>
              <w:rPr>
                <w:rFonts w:hint="eastAsia"/>
                <w:color w:val="auto"/>
              </w:rPr>
              <w:t>8.  IEL：IEEE Electronic Library (IEL) 提供 IEEE 旗下的在线数字资源，通过智能的检索平台提供创新的文献信息。涵盖学科包括电气电子、航空航天、计算机、通信工程、生物医学工程、机器人自动化、半导体、纳米技术、电力、消费电子等各种技术领域。IEEE Electronic Library (IEL)数据库提供IEEE（电气电子工程师学会）出版的，不少于230余种期刊，总数达不少于410余种（包括停刊）；不少于420余万篇IEEE会议文献和不少于5000余份IEEE标准文档。</w:t>
            </w:r>
          </w:p>
        </w:tc>
        <w:tc>
          <w:tcPr>
            <w:tcW w:w="3053" w:type="dxa"/>
            <w:vAlign w:val="center"/>
          </w:tcPr>
          <w:p>
            <w:pPr>
              <w:spacing w:line="360" w:lineRule="auto"/>
              <w:rPr>
                <w:rFonts w:ascii="宋体" w:eastAsia="宋体" w:hAnsi="宋体" w:cs="宋体" w:hint="eastAsia"/>
                <w:sz w:val="21"/>
                <w:szCs w:val="21"/>
                <w:highlight w:val="none"/>
              </w:rPr>
            </w:pPr>
          </w:p>
        </w:tc>
        <w:tc>
          <w:tcPr>
            <w:tcW w:w="1262" w:type="dxa"/>
            <w:vAlign w:val="center"/>
          </w:tcPr>
          <w:p>
            <w:pPr>
              <w:spacing w:line="360" w:lineRule="auto"/>
              <w:jc w:val="center"/>
              <w:rPr>
                <w:rFonts w:ascii="宋体" w:eastAsia="宋体" w:hAnsi="宋体" w:cs="宋体" w:hint="eastAsia"/>
                <w:sz w:val="21"/>
                <w:szCs w:val="21"/>
                <w:highlight w:val="none"/>
              </w:rPr>
            </w:pPr>
          </w:p>
        </w:tc>
      </w:tr>
      <w:tr>
        <w:tblPrEx>
          <w:tblW w:w="9687" w:type="dxa"/>
          <w:jc w:val="center"/>
          <w:tblLayout w:type="fixed"/>
          <w:tblCellMar>
            <w:top w:w="0" w:type="dxa"/>
            <w:left w:w="108" w:type="dxa"/>
            <w:bottom w:w="0" w:type="dxa"/>
            <w:right w:w="108" w:type="dxa"/>
          </w:tblCellMar>
        </w:tblPrEx>
        <w:trPr>
          <w:trHeight w:val="407"/>
          <w:jc w:val="center"/>
        </w:trPr>
        <w:tc>
          <w:tcPr>
            <w:tcW w:w="640" w:type="dxa"/>
            <w:vAlign w:val="center"/>
          </w:tcPr>
          <w:p>
            <w:pPr>
              <w:spacing w:line="360" w:lineRule="auto"/>
              <w:jc w:val="center"/>
              <w:rPr>
                <w:rFonts w:ascii="宋体" w:eastAsia="宋体" w:hAnsi="宋体" w:cs="宋体" w:hint="eastAsia"/>
                <w:sz w:val="21"/>
                <w:szCs w:val="21"/>
                <w:highlight w:val="none"/>
                <w:lang w:val="en-US" w:eastAsia="zh-CN"/>
              </w:rPr>
            </w:pPr>
            <w:r>
              <w:rPr>
                <w:rFonts w:ascii="宋体" w:eastAsia="宋体" w:hAnsi="宋体" w:cs="宋体" w:hint="eastAsia"/>
                <w:sz w:val="21"/>
                <w:szCs w:val="21"/>
                <w:highlight w:val="none"/>
                <w:lang w:val="en-US" w:eastAsia="zh-CN"/>
              </w:rPr>
              <w:t>9</w:t>
            </w:r>
          </w:p>
        </w:tc>
        <w:tc>
          <w:tcPr>
            <w:tcW w:w="4732" w:type="dxa"/>
          </w:tcPr>
          <w:p>
            <w:pPr>
              <w:snapToGrid w:val="0"/>
              <w:spacing w:line="360" w:lineRule="auto"/>
              <w:ind w:firstLine="480" w:firstLineChars="200"/>
              <w:jc w:val="left"/>
              <w:rPr>
                <w:rFonts w:hint="eastAsia"/>
                <w:color w:val="auto"/>
              </w:rPr>
            </w:pPr>
            <w:r>
              <w:rPr>
                <w:rFonts w:hint="eastAsia"/>
                <w:color w:val="auto"/>
              </w:rPr>
              <w:t>9.  SciFinder：SciFinder数据库涵盖学科包括化学、生物、医药、材料、食品、应用化学、化学工程、农学、高分子、物理等；收录的文献类型包括期刊、专利、会议论文、学位论文、图书、技术报告、评论、预印本和网络资源等。SciFinder涵盖不少于180个国家、不少于50种语言出版的文献及不少于109家专利授权机构的专利。SciFinder涵盖不少于6220</w:t>
            </w:r>
            <w:r>
              <w:rPr>
                <w:rFonts w:hint="eastAsia"/>
              </w:rPr>
              <w:t>万化学及相关学科文献、不少于2.04亿化学物质、不少于1.5亿化学反应、不少于139万来自专利的马库什结构、不少于13亿生物序列、化学品商业信息及管控信息，最早回溯至1840年。</w:t>
            </w:r>
          </w:p>
        </w:tc>
        <w:tc>
          <w:tcPr>
            <w:tcW w:w="3053" w:type="dxa"/>
            <w:vAlign w:val="center"/>
          </w:tcPr>
          <w:p>
            <w:pPr>
              <w:spacing w:line="360" w:lineRule="auto"/>
              <w:rPr>
                <w:rFonts w:ascii="宋体" w:eastAsia="宋体" w:hAnsi="宋体" w:cs="宋体" w:hint="eastAsia"/>
                <w:sz w:val="21"/>
                <w:szCs w:val="21"/>
                <w:highlight w:val="none"/>
              </w:rPr>
            </w:pPr>
          </w:p>
        </w:tc>
        <w:tc>
          <w:tcPr>
            <w:tcW w:w="1262" w:type="dxa"/>
            <w:vAlign w:val="center"/>
          </w:tcPr>
          <w:p>
            <w:pPr>
              <w:spacing w:line="360" w:lineRule="auto"/>
              <w:jc w:val="center"/>
              <w:rPr>
                <w:rFonts w:ascii="宋体" w:eastAsia="宋体" w:hAnsi="宋体" w:cs="宋体" w:hint="eastAsia"/>
                <w:sz w:val="21"/>
                <w:szCs w:val="21"/>
                <w:highlight w:val="none"/>
              </w:rPr>
            </w:pPr>
          </w:p>
        </w:tc>
      </w:tr>
      <w:tr>
        <w:tblPrEx>
          <w:tblW w:w="9687" w:type="dxa"/>
          <w:jc w:val="center"/>
          <w:tblLayout w:type="fixed"/>
          <w:tblCellMar>
            <w:top w:w="0" w:type="dxa"/>
            <w:left w:w="108" w:type="dxa"/>
            <w:bottom w:w="0" w:type="dxa"/>
            <w:right w:w="108" w:type="dxa"/>
          </w:tblCellMar>
        </w:tblPrEx>
        <w:trPr>
          <w:trHeight w:val="904"/>
          <w:jc w:val="center"/>
        </w:trPr>
        <w:tc>
          <w:tcPr>
            <w:tcW w:w="5372" w:type="dxa"/>
            <w:gridSpan w:val="2"/>
            <w:vAlign w:val="center"/>
          </w:tcPr>
          <w:p>
            <w:pPr>
              <w:pStyle w:val="BodyText"/>
              <w:pageBreakBefore w:val="0"/>
              <w:widowControl/>
              <w:kinsoku/>
              <w:wordWrap/>
              <w:overflowPunct/>
              <w:topLinePunct w:val="0"/>
              <w:autoSpaceDE/>
              <w:autoSpaceDN/>
              <w:bidi w:val="0"/>
              <w:spacing w:line="360" w:lineRule="auto"/>
              <w:ind w:firstLine="480" w:firstLineChars="200"/>
              <w:textAlignment w:val="auto"/>
              <w:rPr>
                <w:rFonts w:hint="eastAsia"/>
                <w:szCs w:val="21"/>
              </w:rPr>
            </w:pPr>
            <w:r>
              <w:rPr>
                <w:rFonts w:hint="eastAsia"/>
                <w:szCs w:val="21"/>
              </w:rPr>
              <w:t>▲（二）访问数据库有国际访问专线，数据库稳定。</w:t>
            </w:r>
          </w:p>
          <w:p>
            <w:pPr>
              <w:snapToGrid w:val="0"/>
              <w:spacing w:line="360" w:lineRule="auto"/>
              <w:ind w:firstLine="480" w:firstLineChars="200"/>
              <w:jc w:val="left"/>
              <w:rPr>
                <w:rFonts w:hint="eastAsia"/>
                <w:color w:val="auto"/>
              </w:rPr>
            </w:pPr>
            <w:r>
              <w:t>外文数字资源在线使用</w:t>
            </w:r>
            <w:r>
              <w:rPr>
                <w:rFonts w:hint="eastAsia"/>
              </w:rPr>
              <w:t>过程中，能提供访问数据库的国际访问专线，数据库稳定，保证</w:t>
            </w:r>
            <w:r>
              <w:t>数据信息在网络中传送时不受任何干扰</w:t>
            </w:r>
            <w:r>
              <w:rPr>
                <w:rFonts w:hint="eastAsia"/>
              </w:rPr>
              <w:t>，</w:t>
            </w:r>
            <w:r>
              <w:t>线路稳定可靠、安全性高、保密性好</w:t>
            </w:r>
            <w:r>
              <w:rPr>
                <w:rFonts w:hint="eastAsia"/>
              </w:rPr>
              <w:t>，同时</w:t>
            </w:r>
            <w:r>
              <w:t>支持多种语言界面及协议转换等。</w:t>
            </w:r>
          </w:p>
        </w:tc>
        <w:tc>
          <w:tcPr>
            <w:tcW w:w="3053" w:type="dxa"/>
            <w:vAlign w:val="center"/>
          </w:tcPr>
          <w:p>
            <w:pPr>
              <w:spacing w:line="360" w:lineRule="auto"/>
              <w:rPr>
                <w:rFonts w:ascii="宋体" w:eastAsia="宋体" w:hAnsi="宋体" w:cs="宋体" w:hint="eastAsia"/>
                <w:sz w:val="21"/>
                <w:szCs w:val="21"/>
                <w:highlight w:val="none"/>
              </w:rPr>
            </w:pPr>
          </w:p>
        </w:tc>
        <w:tc>
          <w:tcPr>
            <w:tcW w:w="1262" w:type="dxa"/>
            <w:vAlign w:val="center"/>
          </w:tcPr>
          <w:p>
            <w:pPr>
              <w:spacing w:line="360" w:lineRule="auto"/>
              <w:jc w:val="center"/>
              <w:rPr>
                <w:rFonts w:ascii="宋体" w:eastAsia="宋体" w:hAnsi="宋体" w:cs="宋体" w:hint="eastAsia"/>
                <w:sz w:val="21"/>
                <w:szCs w:val="21"/>
                <w:highlight w:val="none"/>
              </w:rPr>
            </w:pPr>
          </w:p>
        </w:tc>
      </w:tr>
      <w:tr>
        <w:tblPrEx>
          <w:tblW w:w="9687" w:type="dxa"/>
          <w:jc w:val="center"/>
          <w:tblLayout w:type="fixed"/>
          <w:tblCellMar>
            <w:top w:w="0" w:type="dxa"/>
            <w:left w:w="108" w:type="dxa"/>
            <w:bottom w:w="0" w:type="dxa"/>
            <w:right w:w="108" w:type="dxa"/>
          </w:tblCellMar>
        </w:tblPrEx>
        <w:trPr>
          <w:trHeight w:val="904"/>
          <w:jc w:val="center"/>
        </w:trPr>
        <w:tc>
          <w:tcPr>
            <w:tcW w:w="5372" w:type="dxa"/>
            <w:gridSpan w:val="2"/>
            <w:vAlign w:val="center"/>
          </w:tcPr>
          <w:p>
            <w:pPr>
              <w:pStyle w:val="BodyText"/>
              <w:pageBreakBefore w:val="0"/>
              <w:widowControl/>
              <w:kinsoku/>
              <w:wordWrap/>
              <w:overflowPunct/>
              <w:topLinePunct w:val="0"/>
              <w:autoSpaceDE/>
              <w:autoSpaceDN/>
              <w:bidi w:val="0"/>
              <w:spacing w:line="360" w:lineRule="auto"/>
              <w:ind w:firstLine="480" w:firstLineChars="200"/>
              <w:textAlignment w:val="auto"/>
              <w:rPr>
                <w:rFonts w:hint="eastAsia"/>
                <w:szCs w:val="21"/>
              </w:rPr>
            </w:pPr>
            <w:r>
              <w:rPr>
                <w:rFonts w:hint="eastAsia"/>
                <w:szCs w:val="21"/>
              </w:rPr>
              <w:t>▲（三）数字资源数据内容符合国家出版总署要求标准，无违禁内容。</w:t>
            </w:r>
          </w:p>
          <w:p>
            <w:pPr>
              <w:snapToGrid w:val="0"/>
              <w:spacing w:line="360" w:lineRule="auto"/>
              <w:ind w:firstLine="480" w:firstLineChars="200"/>
              <w:jc w:val="left"/>
              <w:rPr>
                <w:rFonts w:hint="eastAsia"/>
                <w:color w:val="auto"/>
              </w:rPr>
            </w:pPr>
            <w:r>
              <w:rPr>
                <w:rFonts w:hint="eastAsia"/>
              </w:rPr>
              <w:t>相关</w:t>
            </w:r>
            <w:r>
              <w:t>外文</w:t>
            </w:r>
            <w:r>
              <w:rPr>
                <w:rFonts w:hint="eastAsia"/>
              </w:rPr>
              <w:t>数字资源数据内容必须符合国家出版总署要求标准，无违禁内容，如有违规必须在规定的时间内进行及时整改。</w:t>
            </w:r>
          </w:p>
        </w:tc>
        <w:tc>
          <w:tcPr>
            <w:tcW w:w="3053" w:type="dxa"/>
            <w:vAlign w:val="center"/>
          </w:tcPr>
          <w:p>
            <w:pPr>
              <w:spacing w:line="360" w:lineRule="auto"/>
              <w:rPr>
                <w:rFonts w:ascii="宋体" w:eastAsia="宋体" w:hAnsi="宋体" w:cs="宋体" w:hint="eastAsia"/>
                <w:sz w:val="21"/>
                <w:szCs w:val="21"/>
                <w:highlight w:val="none"/>
              </w:rPr>
            </w:pPr>
          </w:p>
        </w:tc>
        <w:tc>
          <w:tcPr>
            <w:tcW w:w="1262" w:type="dxa"/>
            <w:vAlign w:val="center"/>
          </w:tcPr>
          <w:p>
            <w:pPr>
              <w:spacing w:line="360" w:lineRule="auto"/>
              <w:jc w:val="center"/>
              <w:rPr>
                <w:rFonts w:ascii="宋体" w:eastAsia="宋体" w:hAnsi="宋体" w:cs="宋体" w:hint="eastAsia"/>
                <w:sz w:val="21"/>
                <w:szCs w:val="21"/>
                <w:highlight w:val="none"/>
              </w:rPr>
            </w:pPr>
          </w:p>
        </w:tc>
      </w:tr>
      <w:tr>
        <w:tblPrEx>
          <w:tblW w:w="9687" w:type="dxa"/>
          <w:jc w:val="center"/>
          <w:tblLayout w:type="fixed"/>
          <w:tblCellMar>
            <w:top w:w="0" w:type="dxa"/>
            <w:left w:w="108" w:type="dxa"/>
            <w:bottom w:w="0" w:type="dxa"/>
            <w:right w:w="108" w:type="dxa"/>
          </w:tblCellMar>
        </w:tblPrEx>
        <w:trPr>
          <w:trHeight w:val="904"/>
          <w:jc w:val="center"/>
        </w:trPr>
        <w:tc>
          <w:tcPr>
            <w:tcW w:w="5372" w:type="dxa"/>
            <w:gridSpan w:val="2"/>
            <w:vAlign w:val="center"/>
          </w:tcPr>
          <w:p>
            <w:pPr>
              <w:snapToGrid w:val="0"/>
              <w:spacing w:line="360" w:lineRule="auto"/>
              <w:ind w:firstLine="480" w:firstLineChars="200"/>
              <w:jc w:val="left"/>
              <w:rPr>
                <w:rFonts w:hint="eastAsia"/>
                <w:b/>
                <w:bCs/>
              </w:rPr>
            </w:pPr>
            <w:r>
              <w:rPr>
                <w:rFonts w:hint="eastAsia"/>
                <w:b/>
                <w:bCs/>
              </w:rPr>
              <w:t>（四）支持深圳职业技术大学师生各校区内访问。</w:t>
            </w:r>
          </w:p>
          <w:p>
            <w:pPr>
              <w:snapToGrid w:val="0"/>
              <w:spacing w:line="360" w:lineRule="auto"/>
              <w:ind w:firstLine="480" w:firstLineChars="200"/>
              <w:jc w:val="left"/>
              <w:rPr>
                <w:rFonts w:hint="eastAsia"/>
              </w:rPr>
            </w:pPr>
            <w:r>
              <w:rPr>
                <w:rFonts w:hint="eastAsia"/>
              </w:rPr>
              <w:t>1. 根据深圳职业技术大学图书馆提供的IP段信息，支持深圳职业技术大学各校区内访问数字资源的终端设备使用。IP段信息，包含有线网络、无线网络和临时租用网络等。</w:t>
            </w:r>
          </w:p>
          <w:p>
            <w:pPr>
              <w:snapToGrid w:val="0"/>
              <w:spacing w:line="360" w:lineRule="auto"/>
              <w:ind w:firstLine="480" w:firstLineChars="200"/>
              <w:jc w:val="left"/>
              <w:rPr>
                <w:rFonts w:hint="eastAsia"/>
              </w:rPr>
            </w:pPr>
            <w:r>
              <w:rPr>
                <w:rFonts w:hint="eastAsia"/>
              </w:rPr>
              <w:t>2、深圳职业技术大学图书馆提供IP段更新信息后，需在2个工作日内完成数字资源IP认证信息更新。</w:t>
            </w:r>
          </w:p>
          <w:p>
            <w:pPr>
              <w:snapToGrid w:val="0"/>
              <w:spacing w:line="360" w:lineRule="auto"/>
              <w:ind w:firstLine="480" w:firstLineChars="200"/>
              <w:jc w:val="left"/>
              <w:rPr>
                <w:rFonts w:hint="eastAsia"/>
                <w:color w:val="auto"/>
              </w:rPr>
            </w:pPr>
            <w:r>
              <w:rPr>
                <w:rFonts w:hint="eastAsia"/>
              </w:rPr>
              <w:t>3、在IP范围内师生可直接登录使用，无并发用户限制。</w:t>
            </w:r>
          </w:p>
        </w:tc>
        <w:tc>
          <w:tcPr>
            <w:tcW w:w="3053" w:type="dxa"/>
            <w:vAlign w:val="center"/>
          </w:tcPr>
          <w:p>
            <w:pPr>
              <w:spacing w:line="360" w:lineRule="auto"/>
              <w:rPr>
                <w:rFonts w:ascii="宋体" w:eastAsia="宋体" w:hAnsi="宋体" w:cs="宋体" w:hint="eastAsia"/>
                <w:sz w:val="21"/>
                <w:szCs w:val="21"/>
                <w:highlight w:val="none"/>
              </w:rPr>
            </w:pPr>
          </w:p>
        </w:tc>
        <w:tc>
          <w:tcPr>
            <w:tcW w:w="1262" w:type="dxa"/>
            <w:vAlign w:val="center"/>
          </w:tcPr>
          <w:p>
            <w:pPr>
              <w:spacing w:line="360" w:lineRule="auto"/>
              <w:jc w:val="center"/>
              <w:rPr>
                <w:rFonts w:ascii="宋体" w:eastAsia="宋体" w:hAnsi="宋体" w:cs="宋体" w:hint="eastAsia"/>
                <w:sz w:val="21"/>
                <w:szCs w:val="21"/>
                <w:highlight w:val="none"/>
              </w:rPr>
            </w:pPr>
          </w:p>
        </w:tc>
      </w:tr>
      <w:tr>
        <w:tblPrEx>
          <w:tblW w:w="9687" w:type="dxa"/>
          <w:jc w:val="center"/>
          <w:tblLayout w:type="fixed"/>
          <w:tblCellMar>
            <w:top w:w="0" w:type="dxa"/>
            <w:left w:w="108" w:type="dxa"/>
            <w:bottom w:w="0" w:type="dxa"/>
            <w:right w:w="108" w:type="dxa"/>
          </w:tblCellMar>
        </w:tblPrEx>
        <w:trPr>
          <w:trHeight w:val="904"/>
          <w:jc w:val="center"/>
        </w:trPr>
        <w:tc>
          <w:tcPr>
            <w:tcW w:w="5372" w:type="dxa"/>
            <w:gridSpan w:val="2"/>
            <w:vAlign w:val="center"/>
          </w:tcPr>
          <w:p>
            <w:pPr>
              <w:snapToGrid w:val="0"/>
              <w:spacing w:line="360" w:lineRule="auto"/>
              <w:ind w:firstLine="480" w:firstLineChars="200"/>
              <w:jc w:val="left"/>
              <w:rPr>
                <w:rFonts w:hint="eastAsia"/>
                <w:b/>
                <w:bCs/>
              </w:rPr>
            </w:pPr>
            <w:r>
              <w:rPr>
                <w:rFonts w:hint="eastAsia"/>
                <w:b/>
                <w:bCs/>
              </w:rPr>
              <w:t>（五）支持深圳职业技术大学师生通过VPN访问。</w:t>
            </w:r>
          </w:p>
          <w:p>
            <w:pPr>
              <w:snapToGrid w:val="0"/>
              <w:spacing w:line="360" w:lineRule="auto"/>
              <w:ind w:firstLine="480" w:firstLineChars="200"/>
              <w:jc w:val="left"/>
              <w:rPr>
                <w:rFonts w:hint="eastAsia"/>
                <w:color w:val="auto"/>
              </w:rPr>
            </w:pPr>
            <w:r>
              <w:rPr>
                <w:rFonts w:hint="eastAsia"/>
              </w:rPr>
              <w:t>除了MyLoft外，必须保证支持深圳职业技术大学现有VPN访问所有相关数据（包括EASYCONNECT、WEBVPN、SMARTVPN等）。</w:t>
            </w:r>
          </w:p>
        </w:tc>
        <w:tc>
          <w:tcPr>
            <w:tcW w:w="3053" w:type="dxa"/>
            <w:vAlign w:val="center"/>
          </w:tcPr>
          <w:p>
            <w:pPr>
              <w:spacing w:line="360" w:lineRule="auto"/>
              <w:rPr>
                <w:rFonts w:ascii="宋体" w:eastAsia="宋体" w:hAnsi="宋体" w:cs="宋体" w:hint="eastAsia"/>
                <w:sz w:val="21"/>
                <w:szCs w:val="21"/>
                <w:highlight w:val="none"/>
              </w:rPr>
            </w:pPr>
          </w:p>
        </w:tc>
        <w:tc>
          <w:tcPr>
            <w:tcW w:w="1262" w:type="dxa"/>
            <w:vAlign w:val="center"/>
          </w:tcPr>
          <w:p>
            <w:pPr>
              <w:spacing w:line="360" w:lineRule="auto"/>
              <w:jc w:val="center"/>
              <w:rPr>
                <w:rFonts w:ascii="宋体" w:eastAsia="宋体" w:hAnsi="宋体" w:cs="宋体" w:hint="eastAsia"/>
                <w:sz w:val="21"/>
                <w:szCs w:val="21"/>
                <w:highlight w:val="none"/>
              </w:rPr>
            </w:pPr>
          </w:p>
        </w:tc>
      </w:tr>
      <w:tr>
        <w:tblPrEx>
          <w:tblW w:w="9687" w:type="dxa"/>
          <w:jc w:val="center"/>
          <w:tblLayout w:type="fixed"/>
          <w:tblCellMar>
            <w:top w:w="0" w:type="dxa"/>
            <w:left w:w="108" w:type="dxa"/>
            <w:bottom w:w="0" w:type="dxa"/>
            <w:right w:w="108" w:type="dxa"/>
          </w:tblCellMar>
        </w:tblPrEx>
        <w:trPr>
          <w:trHeight w:val="904"/>
          <w:jc w:val="center"/>
        </w:trPr>
        <w:tc>
          <w:tcPr>
            <w:tcW w:w="5372" w:type="dxa"/>
            <w:gridSpan w:val="2"/>
            <w:vAlign w:val="center"/>
          </w:tcPr>
          <w:p>
            <w:pPr>
              <w:snapToGrid w:val="0"/>
              <w:spacing w:line="360" w:lineRule="auto"/>
              <w:ind w:firstLine="480" w:firstLineChars="200"/>
              <w:jc w:val="left"/>
              <w:rPr>
                <w:rFonts w:hint="eastAsia"/>
                <w:b/>
                <w:bCs/>
              </w:rPr>
            </w:pPr>
            <w:r>
              <w:rPr>
                <w:rFonts w:hint="eastAsia"/>
                <w:b/>
                <w:bCs/>
              </w:rPr>
              <w:t>（六）提供数字资源访问数据。</w:t>
            </w:r>
          </w:p>
          <w:p>
            <w:pPr>
              <w:snapToGrid w:val="0"/>
              <w:spacing w:line="360" w:lineRule="auto"/>
              <w:ind w:firstLine="480" w:firstLineChars="200"/>
              <w:jc w:val="left"/>
              <w:rPr>
                <w:rFonts w:hint="eastAsia"/>
              </w:rPr>
            </w:pPr>
            <w:r>
              <w:rPr>
                <w:rFonts w:hint="eastAsia"/>
              </w:rPr>
              <w:t>1、按图书馆要求提供符合标准的访问统计数据。</w:t>
            </w:r>
          </w:p>
          <w:p>
            <w:pPr>
              <w:snapToGrid w:val="0"/>
              <w:spacing w:line="360" w:lineRule="auto"/>
              <w:ind w:firstLine="480" w:firstLineChars="200"/>
              <w:jc w:val="left"/>
              <w:rPr>
                <w:rFonts w:hint="eastAsia"/>
                <w:color w:val="auto"/>
              </w:rPr>
            </w:pPr>
            <w:r>
              <w:rPr>
                <w:rFonts w:hint="eastAsia"/>
              </w:rPr>
              <w:t>2、提供各数字资源管理入口和帐号，供图书馆管理员获取访问数据。</w:t>
            </w:r>
          </w:p>
        </w:tc>
        <w:tc>
          <w:tcPr>
            <w:tcW w:w="3053" w:type="dxa"/>
            <w:vAlign w:val="center"/>
          </w:tcPr>
          <w:p>
            <w:pPr>
              <w:spacing w:line="360" w:lineRule="auto"/>
              <w:rPr>
                <w:rFonts w:ascii="宋体" w:eastAsia="宋体" w:hAnsi="宋体" w:cs="宋体" w:hint="eastAsia"/>
                <w:sz w:val="21"/>
                <w:szCs w:val="21"/>
                <w:highlight w:val="none"/>
              </w:rPr>
            </w:pPr>
          </w:p>
        </w:tc>
        <w:tc>
          <w:tcPr>
            <w:tcW w:w="1262" w:type="dxa"/>
            <w:vAlign w:val="center"/>
          </w:tcPr>
          <w:p>
            <w:pPr>
              <w:spacing w:line="360" w:lineRule="auto"/>
              <w:jc w:val="center"/>
              <w:rPr>
                <w:rFonts w:ascii="宋体" w:eastAsia="宋体" w:hAnsi="宋体" w:cs="宋体" w:hint="eastAsia"/>
                <w:sz w:val="21"/>
                <w:szCs w:val="21"/>
                <w:highlight w:val="none"/>
              </w:rPr>
            </w:pPr>
          </w:p>
        </w:tc>
      </w:tr>
    </w:tbl>
    <w:p>
      <w:pPr>
        <w:snapToGrid w:val="0"/>
        <w:spacing w:line="360" w:lineRule="auto"/>
        <w:rPr>
          <w:rFonts w:ascii="宋体" w:eastAsia="宋体" w:hAnsi="宋体" w:cs="宋体"/>
          <w:b/>
          <w:highlight w:val="none"/>
        </w:rPr>
      </w:pPr>
    </w:p>
    <w:p>
      <w:pPr>
        <w:snapToGrid w:val="0"/>
        <w:spacing w:line="360" w:lineRule="auto"/>
        <w:rPr>
          <w:rFonts w:ascii="宋体" w:eastAsia="宋体" w:hAnsi="宋体" w:cs="宋体"/>
          <w:b/>
          <w:highlight w:val="none"/>
        </w:rPr>
      </w:pPr>
      <w:r>
        <w:rPr>
          <w:rFonts w:ascii="宋体" w:eastAsia="宋体" w:hAnsi="宋体" w:cs="宋体" w:hint="eastAsia"/>
          <w:b/>
          <w:highlight w:val="none"/>
        </w:rPr>
        <w:t>填写说明：</w:t>
      </w:r>
    </w:p>
    <w:p>
      <w:pPr>
        <w:numPr>
          <w:ilvl w:val="0"/>
          <w:numId w:val="2"/>
        </w:numPr>
        <w:snapToGrid w:val="0"/>
        <w:spacing w:after="60" w:afterLines="25" w:line="360" w:lineRule="auto"/>
        <w:ind w:left="360" w:hanging="360"/>
        <w:rPr>
          <w:rFonts w:ascii="宋体" w:eastAsia="宋体" w:hAnsi="宋体" w:cs="宋体"/>
          <w:highlight w:val="none"/>
        </w:rPr>
      </w:pPr>
      <w:r>
        <w:rPr>
          <w:rFonts w:ascii="宋体" w:eastAsia="宋体" w:hAnsi="宋体" w:cs="宋体" w:hint="eastAsia"/>
          <w:highlight w:val="none"/>
        </w:rPr>
        <w:t>如投标人完全响应满足本表【招标文件要求】栏中内容的，建议投标人在对应的【投标文件响应】栏中填写“我公司完全响应满足招标文件中此项要求”即可，除招标文件另有注明外，不强制要求逐条列出响应；</w:t>
      </w:r>
    </w:p>
    <w:p>
      <w:pPr>
        <w:numPr>
          <w:ilvl w:val="0"/>
          <w:numId w:val="2"/>
        </w:numPr>
        <w:snapToGrid w:val="0"/>
        <w:spacing w:after="60" w:afterLines="25" w:line="360" w:lineRule="auto"/>
        <w:ind w:left="360" w:hanging="360"/>
        <w:rPr>
          <w:rFonts w:ascii="宋体" w:eastAsia="宋体" w:hAnsi="宋体" w:cs="宋体"/>
          <w:highlight w:val="none"/>
        </w:rPr>
      </w:pPr>
      <w:r>
        <w:rPr>
          <w:rFonts w:ascii="宋体" w:eastAsia="宋体" w:hAnsi="宋体" w:cs="宋体" w:hint="eastAsia"/>
          <w:highlight w:val="none"/>
        </w:rPr>
        <w:t>如投标人响应情况优于或低于招标要求的，应在【投标文件响应】栏中作详细说明，如完全满足或符合招标文件要求的则无需说明，参照上一条填写内容即可，评审委员会将根据具体情况给予是否偏离的认定，并以此认定标准为最终评判标准；</w:t>
      </w:r>
    </w:p>
    <w:p>
      <w:pPr>
        <w:snapToGrid w:val="0"/>
        <w:spacing w:after="60" w:afterLines="25" w:line="360" w:lineRule="auto"/>
        <w:rPr>
          <w:rFonts w:ascii="宋体" w:eastAsia="宋体" w:hAnsi="宋体" w:cs="宋体"/>
          <w:highlight w:val="none"/>
        </w:rPr>
      </w:pPr>
    </w:p>
    <w:p>
      <w:pPr>
        <w:snapToGrid w:val="0"/>
        <w:spacing w:after="60" w:afterLines="25" w:line="360" w:lineRule="auto"/>
        <w:rPr>
          <w:rFonts w:ascii="宋体" w:eastAsia="宋体" w:hAnsi="宋体" w:cs="宋体"/>
          <w:highlight w:val="none"/>
        </w:rPr>
      </w:pPr>
    </w:p>
    <w:p>
      <w:pPr>
        <w:snapToGrid w:val="0"/>
        <w:spacing w:after="60" w:afterLines="25" w:line="360" w:lineRule="auto"/>
        <w:rPr>
          <w:rFonts w:ascii="宋体" w:eastAsia="宋体" w:hAnsi="宋体" w:cs="宋体"/>
          <w:highlight w:val="none"/>
        </w:rPr>
      </w:pPr>
    </w:p>
    <w:p>
      <w:pPr>
        <w:snapToGrid w:val="0"/>
        <w:spacing w:after="60" w:afterLines="25" w:line="360" w:lineRule="auto"/>
        <w:rPr>
          <w:rFonts w:ascii="宋体" w:eastAsia="宋体" w:hAnsi="宋体" w:cs="宋体"/>
          <w:highlight w:val="none"/>
        </w:rPr>
      </w:pPr>
    </w:p>
    <w:p>
      <w:pPr>
        <w:snapToGrid w:val="0"/>
        <w:spacing w:after="60" w:afterLines="25" w:line="360" w:lineRule="auto"/>
        <w:rPr>
          <w:rFonts w:ascii="宋体" w:eastAsia="宋体" w:hAnsi="宋体" w:cs="宋体"/>
          <w:highlight w:val="none"/>
        </w:rPr>
      </w:pPr>
    </w:p>
    <w:p>
      <w:pPr>
        <w:pStyle w:val="BodyText"/>
        <w:rPr>
          <w:rFonts w:ascii="宋体" w:eastAsia="宋体" w:hAnsi="宋体" w:cs="宋体"/>
          <w:highlight w:val="none"/>
        </w:rPr>
      </w:pPr>
    </w:p>
    <w:p>
      <w:pPr>
        <w:pStyle w:val="BodyText2"/>
        <w:rPr>
          <w:rFonts w:ascii="宋体" w:eastAsia="宋体" w:hAnsi="宋体" w:cs="宋体"/>
          <w:highlight w:val="none"/>
        </w:rPr>
      </w:pPr>
    </w:p>
    <w:p>
      <w:pPr>
        <w:pStyle w:val="BodyText2"/>
        <w:rPr>
          <w:rFonts w:ascii="宋体" w:eastAsia="宋体" w:hAnsi="宋体" w:cs="宋体"/>
          <w:highlight w:val="none"/>
        </w:rPr>
      </w:pPr>
    </w:p>
    <w:p>
      <w:pPr>
        <w:pStyle w:val="BodyText2"/>
        <w:rPr>
          <w:rFonts w:ascii="宋体" w:eastAsia="宋体" w:hAnsi="宋体" w:cs="宋体"/>
          <w:highlight w:val="none"/>
        </w:rPr>
      </w:pPr>
    </w:p>
    <w:p>
      <w:pPr>
        <w:pStyle w:val="BodyText2"/>
        <w:rPr>
          <w:rFonts w:ascii="宋体" w:eastAsia="宋体" w:hAnsi="宋体" w:cs="宋体"/>
          <w:highlight w:val="none"/>
        </w:rPr>
      </w:pPr>
    </w:p>
    <w:p>
      <w:pPr>
        <w:snapToGrid w:val="0"/>
        <w:spacing w:after="60" w:afterLines="25" w:line="360" w:lineRule="auto"/>
        <w:rPr>
          <w:rFonts w:ascii="宋体" w:eastAsia="宋体" w:hAnsi="宋体" w:cs="宋体"/>
          <w:highlight w:val="none"/>
        </w:rPr>
      </w:pPr>
    </w:p>
    <w:p>
      <w:pPr>
        <w:snapToGrid w:val="0"/>
        <w:spacing w:after="60" w:afterLines="25" w:line="360" w:lineRule="auto"/>
        <w:rPr>
          <w:rFonts w:ascii="宋体" w:eastAsia="宋体" w:hAnsi="宋体" w:cs="宋体"/>
          <w:highlight w:val="none"/>
        </w:rPr>
      </w:pPr>
    </w:p>
    <w:p>
      <w:pPr>
        <w:pStyle w:val="Heading3"/>
        <w:jc w:val="center"/>
        <w:rPr>
          <w:rFonts w:cs="宋体"/>
          <w:bCs w:val="0"/>
          <w:color w:val="000000" w:themeColor="text1"/>
          <w:sz w:val="24"/>
          <w:highlight w:val="none"/>
          <w14:textFill>
            <w14:solidFill>
              <w14:schemeClr w14:val="tx1"/>
            </w14:solidFill>
          </w14:textFill>
        </w:rPr>
      </w:pPr>
      <w:r>
        <w:rPr>
          <w:rFonts w:cs="宋体" w:hint="eastAsia"/>
          <w:bCs w:val="0"/>
          <w:color w:val="000000" w:themeColor="text1"/>
          <w:sz w:val="24"/>
          <w:highlight w:val="none"/>
          <w:lang w:val="en-US" w:eastAsia="zh-CN"/>
          <w14:textFill>
            <w14:solidFill>
              <w14:schemeClr w14:val="tx1"/>
            </w14:solidFill>
          </w14:textFill>
        </w:rPr>
        <w:t>五</w:t>
      </w:r>
      <w:r>
        <w:rPr>
          <w:rFonts w:cs="宋体" w:hint="eastAsia"/>
          <w:bCs w:val="0"/>
          <w:color w:val="000000" w:themeColor="text1"/>
          <w:sz w:val="24"/>
          <w:highlight w:val="none"/>
          <w14:textFill>
            <w14:solidFill>
              <w14:schemeClr w14:val="tx1"/>
            </w14:solidFill>
          </w14:textFill>
        </w:rPr>
        <w:t>、商务条款偏离表</w:t>
      </w:r>
    </w:p>
    <w:p>
      <w:pPr>
        <w:snapToGrid w:val="0"/>
        <w:spacing w:line="360" w:lineRule="auto"/>
        <w:rPr>
          <w:rFonts w:ascii="宋体" w:eastAsia="宋体" w:hAnsi="宋体" w:cs="宋体"/>
          <w:color w:val="000000"/>
          <w:highlight w:val="none"/>
          <w:u w:val="single"/>
        </w:rPr>
      </w:pPr>
      <w:r>
        <w:rPr>
          <w:rFonts w:ascii="宋体" w:eastAsia="宋体" w:hAnsi="宋体" w:cs="宋体" w:hint="eastAsia"/>
          <w:color w:val="000000"/>
          <w:highlight w:val="none"/>
        </w:rPr>
        <w:t>投标单位（投标人）名称：</w:t>
      </w:r>
    </w:p>
    <w:tbl>
      <w:tblPr>
        <w:tblStyle w:val="TableNormal"/>
        <w:tblW w:w="968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top w:w="0" w:type="dxa"/>
          <w:left w:w="108" w:type="dxa"/>
          <w:bottom w:w="0" w:type="dxa"/>
          <w:right w:w="108" w:type="dxa"/>
        </w:tblCellMar>
      </w:tblPr>
      <w:tblGrid>
        <w:gridCol w:w="640"/>
        <w:gridCol w:w="4732"/>
        <w:gridCol w:w="3053"/>
        <w:gridCol w:w="1262"/>
      </w:tblGrid>
      <w:tr>
        <w:tblPrEx>
          <w:tblW w:w="968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top w:w="0" w:type="dxa"/>
            <w:left w:w="108" w:type="dxa"/>
            <w:bottom w:w="0" w:type="dxa"/>
            <w:right w:w="108" w:type="dxa"/>
          </w:tblCellMar>
        </w:tblPrEx>
        <w:trPr>
          <w:trHeight w:val="361"/>
          <w:jc w:val="center"/>
        </w:trPr>
        <w:tc>
          <w:tcPr>
            <w:tcW w:w="640" w:type="dxa"/>
            <w:vAlign w:val="center"/>
          </w:tcPr>
          <w:p>
            <w:pPr>
              <w:spacing w:line="360" w:lineRule="auto"/>
              <w:jc w:val="center"/>
              <w:rPr>
                <w:rFonts w:ascii="宋体" w:eastAsia="宋体" w:hAnsi="宋体" w:cs="宋体"/>
                <w:b/>
                <w:sz w:val="21"/>
                <w:szCs w:val="21"/>
                <w:highlight w:val="none"/>
              </w:rPr>
            </w:pPr>
            <w:r>
              <w:rPr>
                <w:rFonts w:ascii="宋体" w:eastAsia="宋体" w:hAnsi="宋体" w:cs="宋体" w:hint="eastAsia"/>
                <w:b/>
                <w:sz w:val="21"/>
                <w:szCs w:val="21"/>
                <w:highlight w:val="none"/>
              </w:rPr>
              <w:t>序号</w:t>
            </w:r>
          </w:p>
        </w:tc>
        <w:tc>
          <w:tcPr>
            <w:tcW w:w="4732" w:type="dxa"/>
            <w:vAlign w:val="center"/>
          </w:tcPr>
          <w:p>
            <w:pPr>
              <w:spacing w:line="360" w:lineRule="auto"/>
              <w:jc w:val="center"/>
              <w:rPr>
                <w:rFonts w:ascii="宋体" w:eastAsia="宋体" w:hAnsi="宋体" w:cs="宋体"/>
                <w:b/>
                <w:sz w:val="21"/>
                <w:szCs w:val="21"/>
                <w:highlight w:val="none"/>
              </w:rPr>
            </w:pPr>
            <w:r>
              <w:rPr>
                <w:rFonts w:ascii="宋体" w:eastAsia="宋体" w:hAnsi="宋体" w:cs="宋体" w:hint="eastAsia"/>
                <w:b/>
                <w:sz w:val="21"/>
                <w:szCs w:val="21"/>
                <w:highlight w:val="none"/>
              </w:rPr>
              <w:t>招标文件要求</w:t>
            </w:r>
          </w:p>
        </w:tc>
        <w:tc>
          <w:tcPr>
            <w:tcW w:w="3053" w:type="dxa"/>
            <w:vAlign w:val="center"/>
          </w:tcPr>
          <w:p>
            <w:pPr>
              <w:spacing w:line="360" w:lineRule="auto"/>
              <w:jc w:val="center"/>
              <w:rPr>
                <w:rFonts w:ascii="宋体" w:eastAsia="宋体" w:hAnsi="宋体" w:cs="宋体"/>
                <w:b/>
                <w:sz w:val="21"/>
                <w:szCs w:val="21"/>
                <w:highlight w:val="none"/>
              </w:rPr>
            </w:pPr>
            <w:r>
              <w:rPr>
                <w:rFonts w:ascii="宋体" w:eastAsia="宋体" w:hAnsi="宋体" w:cs="宋体" w:hint="eastAsia"/>
                <w:b/>
                <w:sz w:val="21"/>
                <w:szCs w:val="21"/>
                <w:highlight w:val="none"/>
              </w:rPr>
              <w:t>投标文件响应</w:t>
            </w:r>
          </w:p>
        </w:tc>
        <w:tc>
          <w:tcPr>
            <w:tcW w:w="1262" w:type="dxa"/>
            <w:vAlign w:val="center"/>
          </w:tcPr>
          <w:p>
            <w:pPr>
              <w:spacing w:line="360" w:lineRule="auto"/>
              <w:jc w:val="center"/>
              <w:rPr>
                <w:rFonts w:ascii="宋体" w:eastAsia="宋体" w:hAnsi="宋体" w:cs="宋体"/>
                <w:b/>
                <w:sz w:val="21"/>
                <w:szCs w:val="21"/>
                <w:highlight w:val="none"/>
              </w:rPr>
            </w:pPr>
            <w:r>
              <w:rPr>
                <w:rFonts w:ascii="宋体" w:eastAsia="宋体" w:hAnsi="宋体" w:cs="宋体" w:hint="eastAsia"/>
                <w:b/>
                <w:sz w:val="21"/>
                <w:szCs w:val="21"/>
                <w:highlight w:val="none"/>
              </w:rPr>
              <w:t>说明</w:t>
            </w:r>
          </w:p>
        </w:tc>
      </w:tr>
      <w:tr>
        <w:tblPrEx>
          <w:tblW w:w="9687" w:type="dxa"/>
          <w:jc w:val="center"/>
          <w:tblLayout w:type="fixed"/>
          <w:tblCellMar>
            <w:top w:w="0" w:type="dxa"/>
            <w:left w:w="108" w:type="dxa"/>
            <w:bottom w:w="0" w:type="dxa"/>
            <w:right w:w="108" w:type="dxa"/>
          </w:tblCellMar>
        </w:tblPrEx>
        <w:trPr>
          <w:trHeight w:val="1341"/>
          <w:jc w:val="center"/>
        </w:trPr>
        <w:tc>
          <w:tcPr>
            <w:tcW w:w="640" w:type="dxa"/>
            <w:vAlign w:val="center"/>
          </w:tcPr>
          <w:p>
            <w:pPr>
              <w:spacing w:line="360" w:lineRule="auto"/>
              <w:jc w:val="center"/>
              <w:rPr>
                <w:rFonts w:ascii="宋体" w:eastAsia="宋体" w:hAnsi="宋体" w:cs="宋体"/>
                <w:sz w:val="21"/>
                <w:szCs w:val="21"/>
                <w:highlight w:val="none"/>
              </w:rPr>
            </w:pPr>
            <w:r>
              <w:rPr>
                <w:rFonts w:ascii="宋体" w:eastAsia="宋体" w:hAnsi="宋体" w:cs="宋体" w:hint="eastAsia"/>
                <w:sz w:val="21"/>
                <w:szCs w:val="21"/>
                <w:highlight w:val="none"/>
              </w:rPr>
              <w:t>1</w:t>
            </w:r>
          </w:p>
        </w:tc>
        <w:tc>
          <w:tcPr>
            <w:tcW w:w="4732" w:type="dxa"/>
            <w:vAlign w:val="center"/>
          </w:tcPr>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
                <w:bCs w:val="0"/>
                <w:szCs w:val="24"/>
                <w:highlight w:val="none"/>
                <w:lang w:eastAsia="zh-CN"/>
              </w:rPr>
              <w:t>（</w:t>
            </w:r>
            <w:r>
              <w:rPr>
                <w:rFonts w:ascii="宋体" w:eastAsia="宋体" w:hAnsi="宋体" w:cs="宋体" w:hint="eastAsia"/>
                <w:b/>
                <w:bCs w:val="0"/>
                <w:szCs w:val="24"/>
                <w:highlight w:val="none"/>
                <w:lang w:val="en-US" w:eastAsia="zh-CN"/>
              </w:rPr>
              <w:t>一</w:t>
            </w:r>
            <w:r>
              <w:rPr>
                <w:rFonts w:ascii="宋体" w:eastAsia="宋体" w:hAnsi="宋体" w:cs="宋体" w:hint="eastAsia"/>
                <w:b/>
                <w:bCs w:val="0"/>
                <w:szCs w:val="24"/>
                <w:highlight w:val="none"/>
                <w:lang w:eastAsia="zh-CN"/>
              </w:rPr>
              <w:t>）</w:t>
            </w:r>
            <w:r>
              <w:rPr>
                <w:rFonts w:ascii="宋体" w:eastAsia="宋体" w:hAnsi="宋体" w:cs="宋体" w:hint="eastAsia"/>
                <w:b/>
                <w:bCs w:val="0"/>
                <w:szCs w:val="24"/>
                <w:highlight w:val="none"/>
              </w:rPr>
              <w:t xml:space="preserve">★服务期限：    </w:t>
            </w:r>
            <w:r>
              <w:rPr>
                <w:rFonts w:ascii="宋体" w:eastAsia="宋体" w:hAnsi="宋体" w:cs="宋体" w:hint="eastAsia"/>
                <w:bCs/>
                <w:szCs w:val="24"/>
                <w:highlight w:val="none"/>
              </w:rPr>
              <w:t xml:space="preserve">                                  </w:t>
            </w:r>
          </w:p>
          <w:p>
            <w:pPr>
              <w:spacing w:line="360" w:lineRule="auto"/>
              <w:ind w:firstLine="480" w:firstLineChars="200"/>
              <w:rPr>
                <w:rFonts w:ascii="宋体" w:eastAsia="宋体" w:hAnsi="宋体" w:cs="宋体"/>
                <w:b/>
                <w:color w:val="FF0000"/>
                <w:sz w:val="21"/>
                <w:szCs w:val="21"/>
                <w:highlight w:val="none"/>
              </w:rPr>
            </w:pPr>
            <w:r>
              <w:rPr>
                <w:rFonts w:hint="eastAsia"/>
              </w:rPr>
              <w:t>本项目为非长期服务项目，自合同签订之日起20</w:t>
            </w:r>
            <w:r>
              <w:t>个工作日内</w:t>
            </w:r>
            <w:r>
              <w:rPr>
                <w:rFonts w:hint="eastAsia"/>
              </w:rPr>
              <w:t>交付（提供资源远程访问权限，资源访问时间见具体技术要求），免费维护期限1年。</w:t>
            </w:r>
          </w:p>
        </w:tc>
        <w:tc>
          <w:tcPr>
            <w:tcW w:w="3053" w:type="dxa"/>
            <w:vAlign w:val="center"/>
          </w:tcPr>
          <w:p>
            <w:pPr>
              <w:spacing w:line="360" w:lineRule="auto"/>
              <w:jc w:val="center"/>
              <w:rPr>
                <w:rFonts w:ascii="宋体" w:eastAsia="宋体" w:hAnsi="宋体" w:cs="宋体"/>
                <w:sz w:val="21"/>
                <w:szCs w:val="21"/>
                <w:highlight w:val="none"/>
              </w:rPr>
            </w:pPr>
            <w:r>
              <w:rPr>
                <w:rFonts w:ascii="宋体" w:eastAsia="宋体" w:hAnsi="宋体" w:cs="宋体" w:hint="eastAsia"/>
                <w:highlight w:val="none"/>
              </w:rPr>
              <w:t>我公司完全响应满足招标文件中此项要求</w:t>
            </w:r>
          </w:p>
        </w:tc>
        <w:tc>
          <w:tcPr>
            <w:tcW w:w="1262" w:type="dxa"/>
            <w:vAlign w:val="center"/>
          </w:tcPr>
          <w:p>
            <w:pPr>
              <w:spacing w:line="360" w:lineRule="auto"/>
              <w:jc w:val="center"/>
              <w:rPr>
                <w:rFonts w:ascii="宋体" w:eastAsia="宋体" w:hAnsi="宋体" w:cs="宋体"/>
                <w:sz w:val="21"/>
                <w:szCs w:val="21"/>
                <w:highlight w:val="none"/>
              </w:rPr>
            </w:pPr>
            <w:r>
              <w:rPr>
                <w:rFonts w:hint="eastAsia"/>
              </w:rPr>
              <w:t>无偏离</w:t>
            </w:r>
          </w:p>
        </w:tc>
      </w:tr>
      <w:tr>
        <w:tblPrEx>
          <w:tblW w:w="9687" w:type="dxa"/>
          <w:jc w:val="center"/>
          <w:tblLayout w:type="fixed"/>
          <w:tblCellMar>
            <w:top w:w="0" w:type="dxa"/>
            <w:left w:w="108" w:type="dxa"/>
            <w:bottom w:w="0" w:type="dxa"/>
            <w:right w:w="108" w:type="dxa"/>
          </w:tblCellMar>
        </w:tblPrEx>
        <w:trPr>
          <w:trHeight w:val="904"/>
          <w:jc w:val="center"/>
        </w:trPr>
        <w:tc>
          <w:tcPr>
            <w:tcW w:w="640" w:type="dxa"/>
            <w:vAlign w:val="center"/>
          </w:tcPr>
          <w:p>
            <w:pPr>
              <w:spacing w:line="360" w:lineRule="auto"/>
              <w:jc w:val="center"/>
              <w:rPr>
                <w:rFonts w:ascii="宋体" w:eastAsia="宋体" w:hAnsi="宋体" w:cs="宋体" w:hint="eastAsia"/>
                <w:sz w:val="21"/>
                <w:szCs w:val="21"/>
                <w:highlight w:val="none"/>
                <w:lang w:val="en-US" w:eastAsia="zh-CN"/>
              </w:rPr>
            </w:pPr>
            <w:r>
              <w:rPr>
                <w:rFonts w:ascii="宋体" w:eastAsia="宋体" w:hAnsi="宋体" w:cs="宋体" w:hint="eastAsia"/>
                <w:sz w:val="21"/>
                <w:szCs w:val="21"/>
                <w:highlight w:val="none"/>
                <w:lang w:val="en-US" w:eastAsia="zh-CN"/>
              </w:rPr>
              <w:t>2</w:t>
            </w:r>
          </w:p>
        </w:tc>
        <w:tc>
          <w:tcPr>
            <w:tcW w:w="4732" w:type="dxa"/>
          </w:tcPr>
          <w:p>
            <w:pPr>
              <w:pStyle w:val="NormalIndent"/>
              <w:spacing w:before="60" w:beforeLines="25" w:after="60" w:afterLines="25" w:line="360" w:lineRule="auto"/>
              <w:ind w:firstLine="449" w:firstLineChars="187"/>
              <w:rPr>
                <w:rFonts w:ascii="宋体" w:eastAsia="宋体" w:hAnsi="宋体" w:cs="宋体" w:hint="eastAsia"/>
                <w:b/>
                <w:bCs w:val="0"/>
                <w:szCs w:val="24"/>
                <w:highlight w:val="none"/>
              </w:rPr>
            </w:pPr>
            <w:r>
              <w:rPr>
                <w:rFonts w:ascii="宋体" w:eastAsia="宋体" w:hAnsi="宋体" w:cs="宋体" w:hint="eastAsia"/>
                <w:b/>
                <w:bCs w:val="0"/>
                <w:szCs w:val="24"/>
                <w:highlight w:val="none"/>
              </w:rPr>
              <w:t>（二）质量考核验收标准</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rPr>
              <w:t>1</w:t>
            </w:r>
            <w:r>
              <w:rPr>
                <w:rFonts w:ascii="宋体" w:eastAsia="宋体" w:hAnsi="宋体" w:cs="宋体" w:hint="eastAsia"/>
                <w:bCs/>
                <w:szCs w:val="24"/>
                <w:highlight w:val="none"/>
                <w:lang w:val="en-US" w:eastAsia="zh-CN"/>
              </w:rPr>
              <w:t>.</w:t>
            </w:r>
            <w:r>
              <w:rPr>
                <w:rFonts w:ascii="宋体" w:eastAsia="宋体" w:hAnsi="宋体" w:cs="宋体" w:hint="eastAsia"/>
                <w:bCs/>
                <w:szCs w:val="24"/>
                <w:highlight w:val="none"/>
              </w:rPr>
              <w:t>质量考核验收标准：按照中标人承诺的服务内容、技术与商务响应条款及相关行业标准等逐项进行验收。</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rPr>
              <w:t>2．项目进度安排</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rPr>
              <w:t>合同签订后20个工作日内提供订购数字资源的远程访问，保证深职大师生的正常使用。</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rPr>
              <w:t>3．验收要求</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rPr>
              <w:t>保证深职大师生在学校IP范围内能正常访问及下载数字资源。</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rPr>
              <w:t>4.技术培训</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rPr>
              <w:t>根据深职大需求每个电子资源每年提供一至两次相关培训或讲座，并能提供实际有效的师生高效使用外文数据的详细使用说明书等。</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rPr>
              <w:t>5.售后服务：</w:t>
            </w:r>
          </w:p>
          <w:p>
            <w:pPr>
              <w:pStyle w:val="NormalIndent"/>
              <w:spacing w:before="60" w:beforeLines="25" w:after="60" w:afterLines="25" w:line="360" w:lineRule="auto"/>
              <w:ind w:firstLine="449" w:firstLineChars="187"/>
              <w:rPr>
                <w:rFonts w:ascii="宋体" w:eastAsia="宋体" w:hAnsi="宋体" w:cs="宋体" w:hint="default"/>
                <w:b/>
                <w:color w:val="FF0000"/>
                <w:sz w:val="21"/>
                <w:szCs w:val="21"/>
                <w:highlight w:val="none"/>
                <w:lang w:val="en-US" w:eastAsia="zh-CN"/>
              </w:rPr>
            </w:pPr>
            <w:r>
              <w:rPr>
                <w:rFonts w:ascii="宋体" w:eastAsia="宋体" w:hAnsi="宋体" w:cs="宋体" w:hint="eastAsia"/>
                <w:bCs/>
                <w:szCs w:val="24"/>
                <w:highlight w:val="none"/>
              </w:rPr>
              <w:t xml:space="preserve">  数字资源需保障7x24小时正常使用，如出现系统维护等情况，必须提前一个工作日通知。数字资源出现故障(不能登陆或者死锁)的情况，必须在3小时内响应，在24小时内解决。</w:t>
            </w:r>
          </w:p>
        </w:tc>
        <w:tc>
          <w:tcPr>
            <w:tcW w:w="3053" w:type="dxa"/>
            <w:vAlign w:val="center"/>
          </w:tcPr>
          <w:p>
            <w:pPr>
              <w:spacing w:line="360" w:lineRule="auto"/>
              <w:jc w:val="center"/>
              <w:rPr>
                <w:rFonts w:ascii="宋体" w:eastAsia="宋体" w:hAnsi="宋体" w:cs="宋体" w:hint="eastAsia"/>
                <w:sz w:val="21"/>
                <w:szCs w:val="21"/>
                <w:highlight w:val="none"/>
              </w:rPr>
            </w:pPr>
            <w:r>
              <w:rPr>
                <w:rFonts w:ascii="宋体" w:eastAsia="宋体" w:hAnsi="宋体" w:cs="宋体" w:hint="eastAsia"/>
                <w:highlight w:val="none"/>
              </w:rPr>
              <w:t>我公司完全响应满足招标文件中此项要求</w:t>
            </w:r>
          </w:p>
        </w:tc>
        <w:tc>
          <w:tcPr>
            <w:tcW w:w="1262" w:type="dxa"/>
            <w:vAlign w:val="center"/>
          </w:tcPr>
          <w:p>
            <w:pPr>
              <w:spacing w:line="360" w:lineRule="auto"/>
              <w:jc w:val="center"/>
              <w:rPr>
                <w:rFonts w:ascii="宋体" w:eastAsia="宋体" w:hAnsi="宋体" w:cs="宋体" w:hint="eastAsia"/>
                <w:sz w:val="21"/>
                <w:szCs w:val="21"/>
                <w:highlight w:val="none"/>
              </w:rPr>
            </w:pPr>
            <w:r>
              <w:rPr>
                <w:rFonts w:hint="eastAsia"/>
              </w:rPr>
              <w:t>无偏离</w:t>
            </w:r>
          </w:p>
        </w:tc>
      </w:tr>
      <w:tr>
        <w:tblPrEx>
          <w:tblW w:w="9687" w:type="dxa"/>
          <w:jc w:val="center"/>
          <w:tblLayout w:type="fixed"/>
          <w:tblCellMar>
            <w:top w:w="0" w:type="dxa"/>
            <w:left w:w="108" w:type="dxa"/>
            <w:bottom w:w="0" w:type="dxa"/>
            <w:right w:w="108" w:type="dxa"/>
          </w:tblCellMar>
        </w:tblPrEx>
        <w:trPr>
          <w:trHeight w:val="904"/>
          <w:jc w:val="center"/>
        </w:trPr>
        <w:tc>
          <w:tcPr>
            <w:tcW w:w="640" w:type="dxa"/>
            <w:vAlign w:val="center"/>
          </w:tcPr>
          <w:p>
            <w:pPr>
              <w:spacing w:line="360" w:lineRule="auto"/>
              <w:jc w:val="center"/>
              <w:rPr>
                <w:rFonts w:ascii="宋体" w:eastAsia="宋体" w:hAnsi="宋体" w:cs="宋体" w:hint="eastAsia"/>
                <w:sz w:val="21"/>
                <w:szCs w:val="21"/>
                <w:highlight w:val="none"/>
                <w:lang w:val="en-US" w:eastAsia="zh-CN"/>
              </w:rPr>
            </w:pPr>
            <w:r>
              <w:rPr>
                <w:rFonts w:ascii="宋体" w:eastAsia="宋体" w:hAnsi="宋体" w:cs="宋体" w:hint="eastAsia"/>
                <w:sz w:val="21"/>
                <w:szCs w:val="21"/>
                <w:highlight w:val="none"/>
                <w:lang w:val="en-US" w:eastAsia="zh-CN"/>
              </w:rPr>
              <w:t>3</w:t>
            </w:r>
          </w:p>
        </w:tc>
        <w:tc>
          <w:tcPr>
            <w:tcW w:w="4732" w:type="dxa"/>
          </w:tcPr>
          <w:p>
            <w:pPr>
              <w:pStyle w:val="NormalIndent"/>
              <w:spacing w:before="60" w:beforeLines="25" w:after="60" w:afterLines="25" w:line="360" w:lineRule="auto"/>
              <w:ind w:firstLine="449" w:firstLineChars="187"/>
              <w:rPr>
                <w:rFonts w:ascii="宋体" w:eastAsia="宋体" w:hAnsi="宋体" w:cs="宋体" w:hint="eastAsia"/>
                <w:b/>
                <w:bCs w:val="0"/>
                <w:szCs w:val="24"/>
                <w:highlight w:val="none"/>
              </w:rPr>
            </w:pPr>
            <w:r>
              <w:rPr>
                <w:rFonts w:ascii="宋体" w:eastAsia="宋体" w:hAnsi="宋体" w:cs="宋体" w:hint="eastAsia"/>
                <w:b/>
                <w:bCs w:val="0"/>
                <w:szCs w:val="24"/>
                <w:highlight w:val="none"/>
              </w:rPr>
              <w:t>（</w:t>
            </w:r>
            <w:r>
              <w:rPr>
                <w:rFonts w:ascii="宋体" w:eastAsia="宋体" w:hAnsi="宋体" w:cs="宋体" w:hint="eastAsia"/>
                <w:b/>
                <w:bCs w:val="0"/>
                <w:szCs w:val="24"/>
                <w:highlight w:val="none"/>
                <w:lang w:val="en-US" w:eastAsia="zh-CN"/>
              </w:rPr>
              <w:t>三</w:t>
            </w:r>
            <w:r>
              <w:rPr>
                <w:rFonts w:ascii="宋体" w:eastAsia="宋体" w:hAnsi="宋体" w:cs="宋体" w:hint="eastAsia"/>
                <w:b/>
                <w:bCs w:val="0"/>
                <w:szCs w:val="24"/>
                <w:highlight w:val="none"/>
              </w:rPr>
              <w:t>）★付款方式</w:t>
            </w:r>
          </w:p>
          <w:p>
            <w:pPr>
              <w:spacing w:line="460" w:lineRule="exact"/>
              <w:ind w:firstLine="480" w:firstLineChars="200"/>
              <w:rPr>
                <w:rFonts w:hint="eastAsia"/>
              </w:rPr>
            </w:pPr>
            <w:r>
              <w:rPr>
                <w:rFonts w:eastAsia="宋体" w:hint="eastAsia"/>
                <w:lang w:val="en-US" w:eastAsia="zh-CN"/>
              </w:rPr>
              <w:t>1.</w:t>
            </w:r>
            <w:r>
              <w:rPr>
                <w:rFonts w:hint="eastAsia"/>
              </w:rPr>
              <w:t>本项目为跨年支付项目。</w:t>
            </w:r>
          </w:p>
          <w:p>
            <w:pPr>
              <w:spacing w:line="460" w:lineRule="exact"/>
              <w:ind w:firstLine="480" w:firstLineChars="200"/>
              <w:rPr>
                <w:rFonts w:ascii="宋体" w:eastAsia="宋体" w:hAnsi="宋体" w:cs="宋体" w:hint="default"/>
                <w:b/>
                <w:color w:val="FF0000"/>
                <w:sz w:val="21"/>
                <w:szCs w:val="21"/>
                <w:highlight w:val="none"/>
                <w:lang w:val="en-US" w:eastAsia="zh-CN"/>
              </w:rPr>
            </w:pPr>
            <w:r>
              <w:rPr>
                <w:rFonts w:eastAsia="宋体" w:hint="eastAsia"/>
                <w:lang w:val="en-US" w:eastAsia="zh-CN"/>
              </w:rPr>
              <w:t>2.</w:t>
            </w:r>
            <w:r>
              <w:t>采购人在合同签订后</w:t>
            </w:r>
            <w:r>
              <w:rPr>
                <w:rFonts w:hint="eastAsia"/>
              </w:rPr>
              <w:t>20</w:t>
            </w:r>
            <w:r>
              <w:t>个工作日内向中标人支付合同总额的6</w:t>
            </w:r>
            <w:r>
              <w:rPr>
                <w:rFonts w:hint="eastAsia"/>
              </w:rPr>
              <w:t>0</w:t>
            </w:r>
            <w:r>
              <w:t>%作为预付款，中标人提供相应发票；</w:t>
            </w:r>
            <w:r>
              <w:rPr>
                <w:rFonts w:hint="eastAsia"/>
              </w:rPr>
              <w:t>第二年中标人维护期满且</w:t>
            </w:r>
            <w:r>
              <w:t>验收合格后</w:t>
            </w:r>
            <w:r>
              <w:rPr>
                <w:rFonts w:hint="eastAsia"/>
              </w:rPr>
              <w:t>20</w:t>
            </w:r>
            <w:r>
              <w:t>个工作日内采购人向中标人支付余款（即合同总额的4</w:t>
            </w:r>
            <w:r>
              <w:rPr>
                <w:rFonts w:hint="eastAsia"/>
              </w:rPr>
              <w:t>0</w:t>
            </w:r>
            <w:r>
              <w:t>%），中标人提供相应</w:t>
            </w:r>
            <w:r>
              <w:rPr>
                <w:color w:val="auto"/>
              </w:rPr>
              <w:t>发票</w:t>
            </w:r>
            <w:r>
              <w:rPr>
                <w:rFonts w:hint="eastAsia"/>
                <w:color w:val="auto"/>
              </w:rPr>
              <w:t>。</w:t>
            </w:r>
          </w:p>
        </w:tc>
        <w:tc>
          <w:tcPr>
            <w:tcW w:w="3053" w:type="dxa"/>
            <w:vAlign w:val="center"/>
          </w:tcPr>
          <w:p>
            <w:pPr>
              <w:spacing w:line="360" w:lineRule="auto"/>
              <w:jc w:val="center"/>
              <w:rPr>
                <w:rFonts w:ascii="宋体" w:eastAsia="宋体" w:hAnsi="宋体" w:cs="宋体" w:hint="eastAsia"/>
                <w:sz w:val="21"/>
                <w:szCs w:val="21"/>
                <w:highlight w:val="none"/>
              </w:rPr>
            </w:pPr>
            <w:r>
              <w:rPr>
                <w:rFonts w:ascii="宋体" w:eastAsia="宋体" w:hAnsi="宋体" w:cs="宋体" w:hint="eastAsia"/>
                <w:highlight w:val="none"/>
              </w:rPr>
              <w:t>我公司完全响应满足招标文件中此项要求</w:t>
            </w:r>
          </w:p>
        </w:tc>
        <w:tc>
          <w:tcPr>
            <w:tcW w:w="1262" w:type="dxa"/>
            <w:vAlign w:val="center"/>
          </w:tcPr>
          <w:p>
            <w:pPr>
              <w:spacing w:line="360" w:lineRule="auto"/>
              <w:jc w:val="center"/>
              <w:rPr>
                <w:rFonts w:ascii="宋体" w:eastAsia="宋体" w:hAnsi="宋体" w:cs="宋体" w:hint="eastAsia"/>
                <w:sz w:val="21"/>
                <w:szCs w:val="21"/>
                <w:highlight w:val="none"/>
              </w:rPr>
            </w:pPr>
            <w:r>
              <w:rPr>
                <w:rFonts w:hint="eastAsia"/>
              </w:rPr>
              <w:t>无偏离</w:t>
            </w:r>
          </w:p>
        </w:tc>
      </w:tr>
      <w:tr>
        <w:tblPrEx>
          <w:tblW w:w="9687" w:type="dxa"/>
          <w:jc w:val="center"/>
          <w:tblLayout w:type="fixed"/>
          <w:tblCellMar>
            <w:top w:w="0" w:type="dxa"/>
            <w:left w:w="108" w:type="dxa"/>
            <w:bottom w:w="0" w:type="dxa"/>
            <w:right w:w="108" w:type="dxa"/>
          </w:tblCellMar>
        </w:tblPrEx>
        <w:trPr>
          <w:trHeight w:val="857"/>
          <w:jc w:val="center"/>
        </w:trPr>
        <w:tc>
          <w:tcPr>
            <w:tcW w:w="640" w:type="dxa"/>
            <w:vAlign w:val="center"/>
          </w:tcPr>
          <w:p>
            <w:pPr>
              <w:spacing w:line="360" w:lineRule="auto"/>
              <w:jc w:val="center"/>
              <w:rPr>
                <w:rFonts w:ascii="宋体" w:eastAsia="宋体" w:hAnsi="宋体" w:cs="宋体" w:hint="eastAsia"/>
                <w:sz w:val="21"/>
                <w:szCs w:val="21"/>
                <w:highlight w:val="none"/>
                <w:lang w:val="en-US" w:eastAsia="zh-CN"/>
              </w:rPr>
            </w:pPr>
            <w:r>
              <w:rPr>
                <w:rFonts w:ascii="宋体" w:eastAsia="宋体" w:hAnsi="宋体" w:cs="宋体" w:hint="eastAsia"/>
                <w:sz w:val="21"/>
                <w:szCs w:val="21"/>
                <w:highlight w:val="none"/>
                <w:lang w:val="en-US" w:eastAsia="zh-CN"/>
              </w:rPr>
              <w:t>4</w:t>
            </w:r>
          </w:p>
        </w:tc>
        <w:tc>
          <w:tcPr>
            <w:tcW w:w="4732" w:type="dxa"/>
          </w:tcPr>
          <w:p>
            <w:pPr>
              <w:pStyle w:val="NormalIndent"/>
              <w:spacing w:before="60" w:beforeLines="25" w:after="60" w:afterLines="25" w:line="360" w:lineRule="auto"/>
              <w:ind w:firstLine="449" w:firstLineChars="187"/>
              <w:rPr>
                <w:rFonts w:ascii="宋体" w:eastAsia="宋体" w:hAnsi="宋体" w:cs="宋体" w:hint="eastAsia"/>
                <w:b/>
                <w:bCs w:val="0"/>
                <w:szCs w:val="24"/>
                <w:highlight w:val="none"/>
              </w:rPr>
            </w:pPr>
            <w:r>
              <w:rPr>
                <w:rFonts w:ascii="宋体" w:eastAsia="宋体" w:hAnsi="宋体" w:cs="宋体" w:hint="eastAsia"/>
                <w:b/>
                <w:bCs w:val="0"/>
                <w:szCs w:val="24"/>
                <w:highlight w:val="none"/>
              </w:rPr>
              <w:t>（</w:t>
            </w:r>
            <w:r>
              <w:rPr>
                <w:rFonts w:ascii="宋体" w:eastAsia="宋体" w:hAnsi="宋体" w:cs="宋体" w:hint="eastAsia"/>
                <w:b/>
                <w:bCs w:val="0"/>
                <w:szCs w:val="24"/>
                <w:highlight w:val="none"/>
                <w:lang w:val="en-US" w:eastAsia="zh-CN"/>
              </w:rPr>
              <w:t>四</w:t>
            </w:r>
            <w:r>
              <w:rPr>
                <w:rFonts w:ascii="宋体" w:eastAsia="宋体" w:hAnsi="宋体" w:cs="宋体" w:hint="eastAsia"/>
                <w:b/>
                <w:bCs w:val="0"/>
                <w:szCs w:val="24"/>
                <w:highlight w:val="none"/>
              </w:rPr>
              <w:t>）违约责任</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lang w:val="en-US" w:eastAsia="zh-CN"/>
              </w:rPr>
              <w:t>1.</w:t>
            </w:r>
            <w:r>
              <w:rPr>
                <w:rFonts w:ascii="宋体" w:eastAsia="宋体" w:hAnsi="宋体" w:cs="宋体" w:hint="eastAsia"/>
                <w:bCs/>
                <w:szCs w:val="24"/>
                <w:highlight w:val="none"/>
              </w:rPr>
              <w:t>合同生效后，中标人逾期提供服务，采购人可向中标人主张每日支付合同总价千分之三的违约金。中标人所交付的服务不符合同约定标准的，采购人有权拒绝。中标人不能依约提供技术服务或单方终止合同，采购人可向中标人主张不超过合同总价百分之三十的违约金并承担相应的违约责任。</w:t>
            </w:r>
          </w:p>
          <w:p>
            <w:pPr>
              <w:pStyle w:val="NormalIndent"/>
              <w:spacing w:before="60" w:beforeLines="25" w:after="60" w:afterLines="25" w:line="360" w:lineRule="auto"/>
              <w:ind w:firstLine="449" w:firstLineChars="187"/>
              <w:rPr>
                <w:rFonts w:ascii="宋体" w:eastAsia="宋体" w:hAnsi="宋体" w:cs="宋体" w:hint="default"/>
                <w:b/>
                <w:color w:val="FF0000"/>
                <w:sz w:val="21"/>
                <w:szCs w:val="21"/>
                <w:highlight w:val="none"/>
                <w:lang w:val="en-US" w:eastAsia="zh-CN"/>
              </w:rPr>
            </w:pPr>
            <w:r>
              <w:rPr>
                <w:rFonts w:ascii="宋体" w:eastAsia="宋体" w:hAnsi="宋体" w:cs="宋体" w:hint="eastAsia"/>
                <w:bCs/>
                <w:szCs w:val="24"/>
                <w:highlight w:val="none"/>
                <w:lang w:val="en-US" w:eastAsia="zh-CN"/>
              </w:rPr>
              <w:t>2.</w:t>
            </w:r>
            <w:r>
              <w:rPr>
                <w:rFonts w:ascii="宋体" w:eastAsia="宋体" w:hAnsi="宋体" w:cs="宋体" w:hint="eastAsia"/>
                <w:bCs/>
                <w:szCs w:val="24"/>
                <w:highlight w:val="none"/>
              </w:rPr>
              <w:t>中标人交付的服务存在采购人验收人员在验收时无法肉眼现场发现的质量问题，包括但不限于产品技术质量问题、使用后才能发现的问题、专业仪器检测才能发现的问题、假冒产品经原厂或专业部门检测后发现的问题等，采购人有权在质保期内向中标人主张退货或换货，并可向中标人主张不超过合同总价百分之三十的违约金并承担相应的违约责任。</w:t>
            </w:r>
          </w:p>
        </w:tc>
        <w:tc>
          <w:tcPr>
            <w:tcW w:w="3053" w:type="dxa"/>
            <w:vAlign w:val="center"/>
          </w:tcPr>
          <w:p>
            <w:pPr>
              <w:spacing w:line="360" w:lineRule="auto"/>
              <w:jc w:val="center"/>
              <w:rPr>
                <w:rFonts w:ascii="宋体" w:eastAsia="宋体" w:hAnsi="宋体" w:cs="宋体" w:hint="eastAsia"/>
                <w:sz w:val="21"/>
                <w:szCs w:val="21"/>
                <w:highlight w:val="none"/>
              </w:rPr>
            </w:pPr>
            <w:r>
              <w:rPr>
                <w:rFonts w:ascii="宋体" w:eastAsia="宋体" w:hAnsi="宋体" w:cs="宋体" w:hint="eastAsia"/>
                <w:highlight w:val="none"/>
              </w:rPr>
              <w:t>我公司完全响应满足招标文件中此项要求</w:t>
            </w:r>
          </w:p>
        </w:tc>
        <w:tc>
          <w:tcPr>
            <w:tcW w:w="1262" w:type="dxa"/>
            <w:vAlign w:val="center"/>
          </w:tcPr>
          <w:p>
            <w:pPr>
              <w:spacing w:line="360" w:lineRule="auto"/>
              <w:jc w:val="center"/>
              <w:rPr>
                <w:rFonts w:ascii="宋体" w:eastAsia="宋体" w:hAnsi="宋体" w:cs="宋体" w:hint="eastAsia"/>
                <w:sz w:val="21"/>
                <w:szCs w:val="21"/>
                <w:highlight w:val="none"/>
              </w:rPr>
            </w:pPr>
            <w:r>
              <w:rPr>
                <w:rFonts w:hint="eastAsia"/>
              </w:rPr>
              <w:t>无偏离</w:t>
            </w:r>
          </w:p>
        </w:tc>
      </w:tr>
      <w:tr>
        <w:tblPrEx>
          <w:tblW w:w="9687" w:type="dxa"/>
          <w:jc w:val="center"/>
          <w:tblLayout w:type="fixed"/>
          <w:tblCellMar>
            <w:top w:w="0" w:type="dxa"/>
            <w:left w:w="108" w:type="dxa"/>
            <w:bottom w:w="0" w:type="dxa"/>
            <w:right w:w="108" w:type="dxa"/>
          </w:tblCellMar>
        </w:tblPrEx>
        <w:trPr>
          <w:trHeight w:val="904"/>
          <w:jc w:val="center"/>
        </w:trPr>
        <w:tc>
          <w:tcPr>
            <w:tcW w:w="640" w:type="dxa"/>
            <w:vAlign w:val="center"/>
          </w:tcPr>
          <w:p>
            <w:pPr>
              <w:spacing w:line="360" w:lineRule="auto"/>
              <w:jc w:val="center"/>
              <w:rPr>
                <w:rFonts w:ascii="宋体" w:eastAsia="宋体" w:hAnsi="宋体" w:cs="宋体" w:hint="eastAsia"/>
                <w:sz w:val="21"/>
                <w:szCs w:val="21"/>
                <w:highlight w:val="none"/>
                <w:lang w:val="en-US" w:eastAsia="zh-CN"/>
              </w:rPr>
            </w:pPr>
            <w:r>
              <w:rPr>
                <w:rFonts w:ascii="宋体" w:eastAsia="宋体" w:hAnsi="宋体" w:cs="宋体" w:hint="eastAsia"/>
                <w:sz w:val="21"/>
                <w:szCs w:val="21"/>
                <w:highlight w:val="none"/>
                <w:lang w:val="en-US" w:eastAsia="zh-CN"/>
              </w:rPr>
              <w:t>5</w:t>
            </w:r>
          </w:p>
        </w:tc>
        <w:tc>
          <w:tcPr>
            <w:tcW w:w="4732" w:type="dxa"/>
          </w:tcPr>
          <w:p>
            <w:pPr>
              <w:pStyle w:val="NormalIndent"/>
              <w:spacing w:before="60" w:beforeLines="25" w:after="60" w:afterLines="25" w:line="360" w:lineRule="auto"/>
              <w:ind w:firstLine="449" w:firstLineChars="187"/>
              <w:rPr>
                <w:rFonts w:ascii="宋体" w:eastAsia="宋体" w:hAnsi="宋体" w:cs="宋体" w:hint="eastAsia"/>
                <w:b/>
                <w:bCs w:val="0"/>
                <w:szCs w:val="24"/>
                <w:highlight w:val="none"/>
              </w:rPr>
            </w:pPr>
            <w:r>
              <w:rPr>
                <w:rFonts w:ascii="宋体" w:eastAsia="宋体" w:hAnsi="宋体" w:cs="宋体" w:hint="eastAsia"/>
                <w:b/>
                <w:bCs w:val="0"/>
                <w:szCs w:val="24"/>
                <w:highlight w:val="none"/>
              </w:rPr>
              <w:t>（</w:t>
            </w:r>
            <w:r>
              <w:rPr>
                <w:rFonts w:ascii="宋体" w:eastAsia="宋体" w:hAnsi="宋体" w:cs="宋体" w:hint="eastAsia"/>
                <w:b/>
                <w:bCs w:val="0"/>
                <w:szCs w:val="24"/>
                <w:highlight w:val="none"/>
                <w:lang w:val="en-US" w:eastAsia="zh-CN"/>
              </w:rPr>
              <w:t>五</w:t>
            </w:r>
            <w:r>
              <w:rPr>
                <w:rFonts w:ascii="宋体" w:eastAsia="宋体" w:hAnsi="宋体" w:cs="宋体" w:hint="eastAsia"/>
                <w:b/>
                <w:bCs w:val="0"/>
                <w:szCs w:val="24"/>
                <w:highlight w:val="none"/>
              </w:rPr>
              <w:t>）知识产权</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rPr>
              <w:t>1.中标人在项目实施过程中不得侵犯第三人知识产权以及其他权益，否则，中标人应赔偿采购人因此遭受的一切损失（包括但不限于赔偿金、违约金、律师费、调查取证费、差旅费等）。需要使用第三人知识产权的，中标人应取得权利人许可或授权并由中标人承担费用。</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rPr>
              <w:t>2.除第三人依法享有知识产权的除外，中标人实施本项目所形成成果的知识产品归采购人所有，未经采购人许可，中标人不得随意使用。</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rPr>
              <w:t>3. 供应商负责提供数字资源数据库供深圳职业技术大学（以下简称深职大）在线使用，使用的载体形式或接入方式为：WEB（提供专线），用户类型为：网络用户。</w:t>
            </w:r>
          </w:p>
          <w:p>
            <w:pPr>
              <w:pStyle w:val="NormalIndent"/>
              <w:spacing w:before="60" w:beforeLines="25" w:after="60" w:afterLines="25" w:line="360" w:lineRule="auto"/>
              <w:ind w:firstLine="449" w:firstLineChars="187"/>
              <w:rPr>
                <w:rFonts w:ascii="宋体" w:eastAsia="宋体" w:hAnsi="宋体" w:cs="宋体" w:hint="default"/>
                <w:b/>
                <w:color w:val="FF0000"/>
                <w:sz w:val="21"/>
                <w:szCs w:val="21"/>
                <w:highlight w:val="none"/>
                <w:lang w:val="en-US" w:eastAsia="zh-CN"/>
              </w:rPr>
            </w:pPr>
            <w:r>
              <w:rPr>
                <w:rFonts w:ascii="宋体" w:eastAsia="宋体" w:hAnsi="宋体" w:cs="宋体" w:hint="eastAsia"/>
                <w:bCs/>
                <w:szCs w:val="24"/>
                <w:highlight w:val="none"/>
                <w:lang w:val="en-US" w:eastAsia="zh-CN"/>
              </w:rPr>
              <w:t>4.</w:t>
            </w:r>
            <w:r>
              <w:rPr>
                <w:rFonts w:ascii="宋体" w:eastAsia="宋体" w:hAnsi="宋体" w:cs="宋体" w:hint="eastAsia"/>
                <w:bCs/>
                <w:szCs w:val="24"/>
                <w:highlight w:val="none"/>
              </w:rPr>
              <w:t>深圳职业技术大学在IP范围访问、下载数字资源时，免受第三方提出的侵犯其专利权、商标权、版权或工业设计权等知识产权的起诉或司法干预。如果发生上述起诉或干预，则其法律责任均由供应商负责。</w:t>
            </w:r>
          </w:p>
        </w:tc>
        <w:tc>
          <w:tcPr>
            <w:tcW w:w="3053" w:type="dxa"/>
            <w:vAlign w:val="center"/>
          </w:tcPr>
          <w:p>
            <w:pPr>
              <w:spacing w:line="360" w:lineRule="auto"/>
              <w:jc w:val="center"/>
              <w:rPr>
                <w:rFonts w:ascii="宋体" w:eastAsia="宋体" w:hAnsi="宋体" w:cs="宋体" w:hint="eastAsia"/>
                <w:sz w:val="21"/>
                <w:szCs w:val="21"/>
                <w:highlight w:val="none"/>
              </w:rPr>
            </w:pPr>
            <w:r>
              <w:rPr>
                <w:rFonts w:ascii="宋体" w:eastAsia="宋体" w:hAnsi="宋体" w:cs="宋体" w:hint="eastAsia"/>
                <w:highlight w:val="none"/>
              </w:rPr>
              <w:t>我公司完全响应满足招标文件中此项要求</w:t>
            </w:r>
          </w:p>
        </w:tc>
        <w:tc>
          <w:tcPr>
            <w:tcW w:w="1262" w:type="dxa"/>
            <w:vAlign w:val="center"/>
          </w:tcPr>
          <w:p>
            <w:pPr>
              <w:spacing w:line="360" w:lineRule="auto"/>
              <w:jc w:val="center"/>
              <w:rPr>
                <w:rFonts w:ascii="宋体" w:eastAsia="宋体" w:hAnsi="宋体" w:cs="宋体" w:hint="eastAsia"/>
                <w:sz w:val="21"/>
                <w:szCs w:val="21"/>
                <w:highlight w:val="none"/>
              </w:rPr>
            </w:pPr>
            <w:r>
              <w:rPr>
                <w:rFonts w:hint="eastAsia"/>
              </w:rPr>
              <w:t>无偏离</w:t>
            </w:r>
          </w:p>
        </w:tc>
      </w:tr>
      <w:tr>
        <w:tblPrEx>
          <w:tblW w:w="9687" w:type="dxa"/>
          <w:jc w:val="center"/>
          <w:tblLayout w:type="fixed"/>
          <w:tblCellMar>
            <w:top w:w="0" w:type="dxa"/>
            <w:left w:w="108" w:type="dxa"/>
            <w:bottom w:w="0" w:type="dxa"/>
            <w:right w:w="108" w:type="dxa"/>
          </w:tblCellMar>
        </w:tblPrEx>
        <w:trPr>
          <w:trHeight w:val="904"/>
          <w:jc w:val="center"/>
        </w:trPr>
        <w:tc>
          <w:tcPr>
            <w:tcW w:w="640" w:type="dxa"/>
            <w:vAlign w:val="center"/>
          </w:tcPr>
          <w:p>
            <w:pPr>
              <w:spacing w:line="360" w:lineRule="auto"/>
              <w:jc w:val="center"/>
              <w:rPr>
                <w:rFonts w:ascii="宋体" w:eastAsia="宋体" w:hAnsi="宋体" w:cs="宋体" w:hint="eastAsia"/>
                <w:sz w:val="21"/>
                <w:szCs w:val="21"/>
                <w:highlight w:val="none"/>
                <w:lang w:val="en-US" w:eastAsia="zh-CN"/>
              </w:rPr>
            </w:pPr>
            <w:r>
              <w:rPr>
                <w:rFonts w:ascii="宋体" w:eastAsia="宋体" w:hAnsi="宋体" w:cs="宋体" w:hint="eastAsia"/>
                <w:sz w:val="21"/>
                <w:szCs w:val="21"/>
                <w:highlight w:val="none"/>
                <w:lang w:val="en-US" w:eastAsia="zh-CN"/>
              </w:rPr>
              <w:t>6</w:t>
            </w:r>
          </w:p>
        </w:tc>
        <w:tc>
          <w:tcPr>
            <w:tcW w:w="4732" w:type="dxa"/>
          </w:tcPr>
          <w:p>
            <w:pPr>
              <w:pStyle w:val="NormalIndent"/>
              <w:spacing w:before="60" w:beforeLines="25" w:after="60" w:afterLines="25" w:line="360" w:lineRule="auto"/>
              <w:ind w:firstLine="449" w:firstLineChars="187"/>
              <w:rPr>
                <w:rFonts w:ascii="宋体" w:eastAsia="宋体" w:hAnsi="宋体" w:cs="宋体" w:hint="eastAsia"/>
                <w:b/>
                <w:bCs w:val="0"/>
                <w:szCs w:val="24"/>
                <w:highlight w:val="none"/>
              </w:rPr>
            </w:pPr>
            <w:r>
              <w:rPr>
                <w:rFonts w:ascii="宋体" w:eastAsia="宋体" w:hAnsi="宋体" w:cs="宋体" w:hint="eastAsia"/>
                <w:b/>
                <w:bCs w:val="0"/>
                <w:szCs w:val="24"/>
                <w:highlight w:val="none"/>
              </w:rPr>
              <w:t>（</w:t>
            </w:r>
            <w:r>
              <w:rPr>
                <w:rFonts w:ascii="宋体" w:eastAsia="宋体" w:hAnsi="宋体" w:cs="宋体" w:hint="eastAsia"/>
                <w:b/>
                <w:bCs w:val="0"/>
                <w:szCs w:val="24"/>
                <w:highlight w:val="none"/>
                <w:lang w:val="en-US" w:eastAsia="zh-CN"/>
              </w:rPr>
              <w:t>六</w:t>
            </w:r>
            <w:r>
              <w:rPr>
                <w:rFonts w:ascii="宋体" w:eastAsia="宋体" w:hAnsi="宋体" w:cs="宋体" w:hint="eastAsia"/>
                <w:b/>
                <w:bCs w:val="0"/>
                <w:szCs w:val="24"/>
                <w:highlight w:val="none"/>
              </w:rPr>
              <w:t>）合同解除</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rPr>
              <w:t>有下列情形之一的，当事人可以解除合同：</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rPr>
              <w:t>1. 因不可抗力致使不能实现合同目的；</w:t>
            </w:r>
          </w:p>
          <w:p>
            <w:pPr>
              <w:pStyle w:val="NormalIndent"/>
              <w:spacing w:before="60" w:beforeLines="25" w:after="60" w:afterLines="25" w:line="360" w:lineRule="auto"/>
              <w:ind w:firstLine="449" w:firstLineChars="187"/>
              <w:rPr>
                <w:rFonts w:ascii="宋体" w:eastAsia="宋体" w:hAnsi="宋体" w:cs="宋体" w:hint="eastAsia"/>
                <w:bCs/>
                <w:szCs w:val="24"/>
                <w:highlight w:val="none"/>
              </w:rPr>
            </w:pPr>
            <w:r>
              <w:rPr>
                <w:rFonts w:ascii="宋体" w:eastAsia="宋体" w:hAnsi="宋体" w:cs="宋体" w:hint="eastAsia"/>
                <w:bCs/>
                <w:szCs w:val="24"/>
                <w:highlight w:val="none"/>
              </w:rPr>
              <w:t>2. 由于中标人的原因未能在本合同约定的交货期或工期交货或移交的，逾期超过 15 个日历日仍不能交货或移交的，或中标人所交付的产品品牌、型号、规格、质量不符合同规定标准的，并经过15个日历日整改仍不达标的，采购人有权单方解除合同并要求中标人承担相应的违约责任，同时赔偿由此给采购人造成的其他经济损失；</w:t>
            </w:r>
          </w:p>
          <w:p>
            <w:pPr>
              <w:pStyle w:val="NormalIndent"/>
              <w:spacing w:before="60" w:beforeLines="25" w:after="60" w:afterLines="25" w:line="360" w:lineRule="auto"/>
              <w:ind w:firstLine="449" w:firstLineChars="187"/>
              <w:rPr>
                <w:rFonts w:ascii="宋体" w:eastAsia="宋体" w:hAnsi="宋体" w:cs="宋体" w:hint="default"/>
                <w:b/>
                <w:color w:val="FF0000"/>
                <w:sz w:val="21"/>
                <w:szCs w:val="21"/>
                <w:highlight w:val="none"/>
                <w:lang w:val="en-US" w:eastAsia="zh-CN"/>
              </w:rPr>
            </w:pPr>
            <w:r>
              <w:rPr>
                <w:rFonts w:ascii="宋体" w:eastAsia="宋体" w:hAnsi="宋体" w:cs="宋体" w:hint="eastAsia"/>
                <w:bCs/>
                <w:szCs w:val="24"/>
                <w:highlight w:val="none"/>
              </w:rPr>
              <w:t>3.法律规定的其他情形。</w:t>
            </w:r>
          </w:p>
        </w:tc>
        <w:tc>
          <w:tcPr>
            <w:tcW w:w="3053" w:type="dxa"/>
            <w:vAlign w:val="center"/>
          </w:tcPr>
          <w:p>
            <w:pPr>
              <w:spacing w:line="360" w:lineRule="auto"/>
              <w:jc w:val="center"/>
              <w:rPr>
                <w:rFonts w:ascii="宋体" w:eastAsia="宋体" w:hAnsi="宋体" w:cs="宋体" w:hint="eastAsia"/>
                <w:sz w:val="21"/>
                <w:szCs w:val="21"/>
                <w:highlight w:val="none"/>
              </w:rPr>
            </w:pPr>
            <w:r>
              <w:rPr>
                <w:rFonts w:ascii="宋体" w:eastAsia="宋体" w:hAnsi="宋体" w:cs="宋体" w:hint="eastAsia"/>
                <w:highlight w:val="none"/>
              </w:rPr>
              <w:t>我公司完全响应满足招标文件中此项要求</w:t>
            </w:r>
          </w:p>
        </w:tc>
        <w:tc>
          <w:tcPr>
            <w:tcW w:w="1262" w:type="dxa"/>
            <w:vAlign w:val="center"/>
          </w:tcPr>
          <w:p>
            <w:pPr>
              <w:spacing w:line="360" w:lineRule="auto"/>
              <w:jc w:val="center"/>
              <w:rPr>
                <w:rFonts w:ascii="宋体" w:eastAsia="宋体" w:hAnsi="宋体" w:cs="宋体" w:hint="eastAsia"/>
                <w:sz w:val="21"/>
                <w:szCs w:val="21"/>
                <w:highlight w:val="none"/>
              </w:rPr>
            </w:pPr>
            <w:r>
              <w:rPr>
                <w:rFonts w:hint="eastAsia"/>
              </w:rPr>
              <w:t>无偏离</w:t>
            </w:r>
          </w:p>
        </w:tc>
      </w:tr>
      <w:tr>
        <w:tblPrEx>
          <w:tblW w:w="9687" w:type="dxa"/>
          <w:jc w:val="center"/>
          <w:tblLayout w:type="fixed"/>
          <w:tblCellMar>
            <w:top w:w="0" w:type="dxa"/>
            <w:left w:w="108" w:type="dxa"/>
            <w:bottom w:w="0" w:type="dxa"/>
            <w:right w:w="108" w:type="dxa"/>
          </w:tblCellMar>
        </w:tblPrEx>
        <w:trPr>
          <w:trHeight w:val="904"/>
          <w:jc w:val="center"/>
        </w:trPr>
        <w:tc>
          <w:tcPr>
            <w:tcW w:w="640" w:type="dxa"/>
            <w:vAlign w:val="center"/>
          </w:tcPr>
          <w:p>
            <w:pPr>
              <w:spacing w:line="360" w:lineRule="auto"/>
              <w:jc w:val="center"/>
              <w:rPr>
                <w:rFonts w:ascii="宋体" w:eastAsia="宋体" w:hAnsi="宋体" w:cs="宋体" w:hint="eastAsia"/>
                <w:sz w:val="21"/>
                <w:szCs w:val="21"/>
                <w:highlight w:val="none"/>
                <w:lang w:eastAsia="zh-CN"/>
              </w:rPr>
            </w:pPr>
            <w:r>
              <w:rPr>
                <w:rFonts w:ascii="宋体" w:eastAsia="宋体" w:hAnsi="宋体" w:cs="宋体" w:hint="eastAsia"/>
                <w:sz w:val="21"/>
                <w:szCs w:val="21"/>
                <w:highlight w:val="none"/>
                <w:lang w:val="en-US" w:eastAsia="zh-CN"/>
              </w:rPr>
              <w:t>7</w:t>
            </w:r>
          </w:p>
        </w:tc>
        <w:tc>
          <w:tcPr>
            <w:tcW w:w="4732" w:type="dxa"/>
          </w:tcPr>
          <w:p>
            <w:pPr>
              <w:pStyle w:val="NormalIndent"/>
              <w:spacing w:before="60" w:beforeLines="25" w:after="60" w:afterLines="25" w:line="360" w:lineRule="auto"/>
              <w:ind w:firstLine="449" w:firstLineChars="187"/>
              <w:rPr>
                <w:rFonts w:ascii="宋体" w:eastAsia="宋体" w:hAnsi="宋体" w:cs="宋体" w:hint="eastAsia"/>
                <w:b/>
                <w:bCs w:val="0"/>
                <w:szCs w:val="24"/>
                <w:highlight w:val="none"/>
              </w:rPr>
            </w:pPr>
            <w:r>
              <w:rPr>
                <w:rFonts w:ascii="宋体" w:eastAsia="宋体" w:hAnsi="宋体" w:cs="宋体" w:hint="eastAsia"/>
                <w:b/>
                <w:bCs w:val="0"/>
                <w:szCs w:val="24"/>
                <w:highlight w:val="none"/>
              </w:rPr>
              <w:t>（</w:t>
            </w:r>
            <w:r>
              <w:rPr>
                <w:rFonts w:ascii="宋体" w:eastAsia="宋体" w:hAnsi="宋体" w:cs="宋体" w:hint="eastAsia"/>
                <w:b/>
                <w:bCs w:val="0"/>
                <w:szCs w:val="24"/>
                <w:highlight w:val="none"/>
                <w:lang w:val="en-US" w:eastAsia="zh-CN"/>
              </w:rPr>
              <w:t>七</w:t>
            </w:r>
            <w:r>
              <w:rPr>
                <w:rFonts w:ascii="宋体" w:eastAsia="宋体" w:hAnsi="宋体" w:cs="宋体" w:hint="eastAsia"/>
                <w:b/>
                <w:bCs w:val="0"/>
                <w:szCs w:val="24"/>
                <w:highlight w:val="none"/>
              </w:rPr>
              <w:t>）争议的解决</w:t>
            </w:r>
          </w:p>
          <w:p>
            <w:pPr>
              <w:pStyle w:val="NormalIndent"/>
              <w:spacing w:before="60" w:beforeLines="25" w:after="60" w:afterLines="25" w:line="360" w:lineRule="auto"/>
              <w:ind w:firstLine="449" w:firstLineChars="187"/>
              <w:rPr>
                <w:rFonts w:ascii="宋体" w:eastAsia="宋体" w:hAnsi="宋体" w:cs="宋体" w:hint="default"/>
                <w:b/>
                <w:color w:val="FF0000"/>
                <w:sz w:val="21"/>
                <w:szCs w:val="21"/>
                <w:highlight w:val="none"/>
                <w:lang w:val="en-US" w:eastAsia="zh-CN"/>
              </w:rPr>
            </w:pPr>
            <w:r>
              <w:rPr>
                <w:rFonts w:ascii="宋体" w:eastAsia="宋体" w:hAnsi="宋体" w:cs="宋体" w:hint="eastAsia"/>
                <w:bCs/>
                <w:szCs w:val="24"/>
                <w:highlight w:val="none"/>
              </w:rPr>
              <w:t>凡因本协议引起的或与本协议有关的任何争议，由双方友好协商解决。协商不成时，双方均有权向深圳市南山区人民法院提起</w:t>
            </w:r>
            <w:r>
              <w:rPr>
                <w:rFonts w:ascii="宋体" w:eastAsia="宋体" w:hAnsi="宋体" w:cs="宋体" w:hint="eastAsia"/>
                <w:bCs/>
                <w:szCs w:val="24"/>
                <w:highlight w:val="none"/>
              </w:rPr>
              <w:fldChar w:fldCharType="begin"/>
            </w:r>
            <w:r>
              <w:rPr>
                <w:rFonts w:ascii="宋体" w:eastAsia="宋体" w:hAnsi="宋体" w:cs="宋体" w:hint="eastAsia"/>
                <w:bCs/>
                <w:szCs w:val="24"/>
                <w:highlight w:val="none"/>
              </w:rPr>
              <w:instrText xml:space="preserve"> HYPERLINK "http://www.64365.com/baike/ss/" \o "诉讼" \t "_blank" </w:instrText>
            </w:r>
            <w:r>
              <w:rPr>
                <w:rFonts w:ascii="宋体" w:eastAsia="宋体" w:hAnsi="宋体" w:cs="宋体" w:hint="eastAsia"/>
                <w:bCs/>
                <w:szCs w:val="24"/>
                <w:highlight w:val="none"/>
              </w:rPr>
              <w:fldChar w:fldCharType="separate"/>
            </w:r>
            <w:r>
              <w:rPr>
                <w:rFonts w:ascii="宋体" w:eastAsia="宋体" w:hAnsi="宋体" w:cs="宋体" w:hint="eastAsia"/>
                <w:bCs/>
                <w:szCs w:val="24"/>
                <w:highlight w:val="none"/>
              </w:rPr>
              <w:t>诉讼</w:t>
            </w:r>
            <w:r>
              <w:rPr>
                <w:rFonts w:ascii="宋体" w:eastAsia="宋体" w:hAnsi="宋体" w:cs="宋体" w:hint="eastAsia"/>
                <w:bCs/>
                <w:szCs w:val="24"/>
                <w:highlight w:val="none"/>
              </w:rPr>
              <w:fldChar w:fldCharType="end"/>
            </w:r>
            <w:r>
              <w:rPr>
                <w:rFonts w:ascii="宋体" w:eastAsia="宋体" w:hAnsi="宋体" w:cs="宋体" w:hint="eastAsia"/>
                <w:bCs/>
                <w:szCs w:val="24"/>
                <w:highlight w:val="none"/>
              </w:rPr>
              <w:t>。</w:t>
            </w:r>
          </w:p>
        </w:tc>
        <w:tc>
          <w:tcPr>
            <w:tcW w:w="3053" w:type="dxa"/>
            <w:vAlign w:val="center"/>
          </w:tcPr>
          <w:p>
            <w:pPr>
              <w:spacing w:line="360" w:lineRule="auto"/>
              <w:jc w:val="center"/>
              <w:rPr>
                <w:rFonts w:ascii="宋体" w:eastAsia="宋体" w:hAnsi="宋体" w:cs="宋体"/>
                <w:sz w:val="21"/>
                <w:szCs w:val="21"/>
                <w:highlight w:val="none"/>
              </w:rPr>
            </w:pPr>
            <w:r>
              <w:rPr>
                <w:rFonts w:ascii="宋体" w:eastAsia="宋体" w:hAnsi="宋体" w:cs="宋体" w:hint="eastAsia"/>
                <w:highlight w:val="none"/>
              </w:rPr>
              <w:t>我公司完全响应满足招标文件中此项要求</w:t>
            </w:r>
          </w:p>
        </w:tc>
        <w:tc>
          <w:tcPr>
            <w:tcW w:w="1262" w:type="dxa"/>
            <w:vAlign w:val="center"/>
          </w:tcPr>
          <w:p>
            <w:pPr>
              <w:spacing w:line="360" w:lineRule="auto"/>
              <w:jc w:val="center"/>
              <w:rPr>
                <w:rFonts w:ascii="宋体" w:eastAsia="宋体" w:hAnsi="宋体" w:cs="宋体"/>
                <w:sz w:val="21"/>
                <w:szCs w:val="21"/>
                <w:highlight w:val="none"/>
              </w:rPr>
            </w:pPr>
            <w:r>
              <w:rPr>
                <w:rFonts w:hint="eastAsia"/>
              </w:rPr>
              <w:t>无偏离</w:t>
            </w:r>
          </w:p>
        </w:tc>
      </w:tr>
    </w:tbl>
    <w:p>
      <w:pPr>
        <w:snapToGrid w:val="0"/>
        <w:spacing w:line="360" w:lineRule="auto"/>
        <w:rPr>
          <w:rFonts w:ascii="宋体" w:eastAsia="宋体" w:hAnsi="宋体" w:cs="宋体"/>
          <w:b/>
          <w:highlight w:val="none"/>
        </w:rPr>
      </w:pPr>
    </w:p>
    <w:p>
      <w:pPr>
        <w:snapToGrid w:val="0"/>
        <w:spacing w:line="360" w:lineRule="auto"/>
        <w:rPr>
          <w:rFonts w:ascii="宋体" w:eastAsia="宋体" w:hAnsi="宋体" w:cs="宋体"/>
          <w:b/>
          <w:highlight w:val="none"/>
        </w:rPr>
      </w:pPr>
      <w:r>
        <w:rPr>
          <w:rFonts w:ascii="宋体" w:eastAsia="宋体" w:hAnsi="宋体" w:cs="宋体" w:hint="eastAsia"/>
          <w:b/>
          <w:highlight w:val="none"/>
        </w:rPr>
        <w:t>填写说明：</w:t>
      </w:r>
    </w:p>
    <w:p>
      <w:pPr>
        <w:numPr>
          <w:ilvl w:val="0"/>
          <w:numId w:val="2"/>
        </w:numPr>
        <w:snapToGrid w:val="0"/>
        <w:spacing w:after="60" w:afterLines="25" w:line="360" w:lineRule="auto"/>
        <w:ind w:left="360" w:hanging="360"/>
        <w:rPr>
          <w:rFonts w:ascii="宋体" w:eastAsia="宋体" w:hAnsi="宋体" w:cs="宋体"/>
          <w:highlight w:val="none"/>
        </w:rPr>
      </w:pPr>
      <w:r>
        <w:rPr>
          <w:rFonts w:ascii="宋体" w:eastAsia="宋体" w:hAnsi="宋体" w:cs="宋体" w:hint="eastAsia"/>
          <w:highlight w:val="none"/>
        </w:rPr>
        <w:t>如投标人完全响应满足本表【招标文件要求】栏中内容的，建议投标人在对应的【投标文件响应】栏中填写“我公司完全响应满足招标文件中此项要求”即可，除招标文件另有注明外，不强制要求逐条列出响应；</w:t>
      </w:r>
    </w:p>
    <w:p>
      <w:pPr>
        <w:numPr>
          <w:ilvl w:val="0"/>
          <w:numId w:val="2"/>
        </w:numPr>
        <w:snapToGrid w:val="0"/>
        <w:spacing w:after="60" w:afterLines="25" w:line="360" w:lineRule="auto"/>
        <w:ind w:left="360" w:hanging="360"/>
        <w:rPr>
          <w:rFonts w:ascii="宋体" w:eastAsia="宋体" w:hAnsi="宋体" w:cs="宋体"/>
          <w:highlight w:val="none"/>
        </w:rPr>
      </w:pPr>
      <w:r>
        <w:rPr>
          <w:rFonts w:ascii="宋体" w:eastAsia="宋体" w:hAnsi="宋体" w:cs="宋体" w:hint="eastAsia"/>
          <w:highlight w:val="none"/>
        </w:rPr>
        <w:t>如投标人响应情况优于或低于招标要求的，应在【投标文件响应】栏中作详细说明，如完全满足或符合招标文件要求的则无需说明，参照上一条填写内容即可，评审委员会将根据具体情况给予是否偏离的认定，并以此认定标准为最终评判标准；</w:t>
      </w:r>
    </w:p>
    <w:p>
      <w:pPr>
        <w:keepNext/>
        <w:keepLines/>
        <w:jc w:val="center"/>
        <w:rPr>
          <w:rFonts w:ascii="宋体" w:eastAsia="宋体" w:hAnsi="宋体" w:cs="宋体"/>
          <w:color w:val="000000" w:themeColor="text1"/>
          <w:highlight w:val="none"/>
          <w14:textFill>
            <w14:solidFill>
              <w14:schemeClr w14:val="tx1"/>
            </w14:solidFill>
          </w14:textFill>
        </w:rPr>
      </w:pPr>
    </w:p>
    <w:p>
      <w:pPr>
        <w:pStyle w:val="Heading3"/>
        <w:numPr>
          <w:ilvl w:val="0"/>
          <w:numId w:val="0"/>
        </w:numPr>
        <w:jc w:val="center"/>
        <w:rPr>
          <w:rFonts w:cs="宋体"/>
          <w:color w:val="000000" w:themeColor="text1"/>
          <w:highlight w:val="none"/>
          <w14:textFill>
            <w14:solidFill>
              <w14:schemeClr w14:val="tx1"/>
            </w14:solidFill>
          </w14:textFill>
        </w:rPr>
      </w:pPr>
      <w:r>
        <w:rPr>
          <w:rFonts w:cs="宋体" w:hint="eastAsia"/>
          <w:bCs w:val="0"/>
          <w:color w:val="000000" w:themeColor="text1"/>
          <w:sz w:val="24"/>
          <w:highlight w:val="none"/>
          <w:lang w:val="en-US" w:eastAsia="zh-CN"/>
          <w14:textFill>
            <w14:solidFill>
              <w14:schemeClr w14:val="tx1"/>
            </w14:solidFill>
          </w14:textFill>
        </w:rPr>
        <w:t>六、</w:t>
      </w:r>
      <w:r>
        <w:rPr>
          <w:rFonts w:cs="宋体" w:hint="eastAsia"/>
          <w:bCs w:val="0"/>
          <w:color w:val="000000" w:themeColor="text1"/>
          <w:sz w:val="24"/>
          <w:highlight w:val="none"/>
          <w14:textFill>
            <w14:solidFill>
              <w14:schemeClr w14:val="tx1"/>
            </w14:solidFill>
          </w14:textFill>
        </w:rPr>
        <w:t>拟安排的项目负责人情况（仅限一人）</w:t>
      </w:r>
    </w:p>
    <w:p>
      <w:pPr>
        <w:pStyle w:val="Heading3"/>
        <w:jc w:val="center"/>
        <w:rPr>
          <w:rFonts w:cs="宋体"/>
          <w:color w:val="000000" w:themeColor="text1"/>
          <w:highlight w:val="none"/>
          <w14:textFill>
            <w14:solidFill>
              <w14:schemeClr w14:val="tx1"/>
            </w14:solidFill>
          </w14:textFill>
        </w:rPr>
      </w:pPr>
      <w:r>
        <w:rPr>
          <w:rFonts w:cs="宋体" w:hint="eastAsia"/>
          <w:bCs w:val="0"/>
          <w:color w:val="000000" w:themeColor="text1"/>
          <w:sz w:val="24"/>
          <w:highlight w:val="none"/>
          <w:lang w:val="en-US" w:eastAsia="zh-CN"/>
          <w14:textFill>
            <w14:solidFill>
              <w14:schemeClr w14:val="tx1"/>
            </w14:solidFill>
          </w14:textFill>
        </w:rPr>
        <w:t>七</w:t>
      </w:r>
      <w:r>
        <w:rPr>
          <w:rFonts w:cs="宋体" w:hint="eastAsia"/>
          <w:bCs w:val="0"/>
          <w:color w:val="000000" w:themeColor="text1"/>
          <w:sz w:val="24"/>
          <w:highlight w:val="none"/>
          <w14:textFill>
            <w14:solidFill>
              <w14:schemeClr w14:val="tx1"/>
            </w14:solidFill>
          </w14:textFill>
        </w:rPr>
        <w:t>、拟安排的项目主要团队成员（主要技术人员）情况（项目负责人除外）</w:t>
      </w:r>
    </w:p>
    <w:p>
      <w:pPr>
        <w:pStyle w:val="Heading3"/>
        <w:numPr>
          <w:ilvl w:val="0"/>
          <w:numId w:val="0"/>
        </w:numPr>
        <w:jc w:val="center"/>
        <w:rPr>
          <w:rFonts w:cs="宋体" w:hint="eastAsia"/>
          <w:bCs w:val="0"/>
          <w:color w:val="000000" w:themeColor="text1"/>
          <w:sz w:val="24"/>
          <w:highlight w:val="none"/>
          <w14:textFill>
            <w14:solidFill>
              <w14:schemeClr w14:val="tx1"/>
            </w14:solidFill>
          </w14:textFill>
        </w:rPr>
      </w:pPr>
      <w:r>
        <w:rPr>
          <w:rFonts w:cs="宋体" w:hint="eastAsia"/>
          <w:bCs w:val="0"/>
          <w:color w:val="000000" w:themeColor="text1"/>
          <w:sz w:val="24"/>
          <w:highlight w:val="none"/>
          <w:lang w:val="en-US" w:eastAsia="zh-CN"/>
          <w14:textFill>
            <w14:solidFill>
              <w14:schemeClr w14:val="tx1"/>
            </w14:solidFill>
          </w14:textFill>
        </w:rPr>
        <w:t>八、</w:t>
      </w:r>
      <w:r>
        <w:rPr>
          <w:rFonts w:cs="宋体" w:hint="eastAsia"/>
          <w:bCs w:val="0"/>
          <w:color w:val="000000" w:themeColor="text1"/>
          <w:sz w:val="24"/>
          <w:highlight w:val="none"/>
          <w14:textFill>
            <w14:solidFill>
              <w14:schemeClr w14:val="tx1"/>
            </w14:solidFill>
          </w14:textFill>
        </w:rPr>
        <w:t>实施方案（格式自定）</w:t>
      </w:r>
    </w:p>
    <w:p>
      <w:pPr>
        <w:pStyle w:val="Heading3"/>
        <w:numPr>
          <w:ilvl w:val="0"/>
          <w:numId w:val="0"/>
        </w:numPr>
        <w:jc w:val="center"/>
        <w:rPr>
          <w:rFonts w:cs="宋体" w:hint="eastAsia"/>
          <w:bCs w:val="0"/>
          <w:color w:val="000000" w:themeColor="text1"/>
          <w:sz w:val="24"/>
          <w:highlight w:val="none"/>
          <w14:textFill>
            <w14:solidFill>
              <w14:schemeClr w14:val="tx1"/>
            </w14:solidFill>
          </w14:textFill>
        </w:rPr>
      </w:pPr>
      <w:r>
        <w:rPr>
          <w:rFonts w:cs="宋体" w:hint="eastAsia"/>
          <w:bCs w:val="0"/>
          <w:color w:val="000000" w:themeColor="text1"/>
          <w:sz w:val="24"/>
          <w:highlight w:val="none"/>
          <w:lang w:val="en-US" w:eastAsia="zh-CN"/>
          <w14:textFill>
            <w14:solidFill>
              <w14:schemeClr w14:val="tx1"/>
            </w14:solidFill>
          </w14:textFill>
        </w:rPr>
        <w:t>九、</w:t>
      </w:r>
      <w:r>
        <w:rPr>
          <w:rFonts w:cs="宋体" w:hint="eastAsia"/>
          <w:bCs w:val="0"/>
          <w:color w:val="000000" w:themeColor="text1"/>
          <w:sz w:val="24"/>
          <w:highlight w:val="none"/>
          <w14:textFill>
            <w14:solidFill>
              <w14:schemeClr w14:val="tx1"/>
            </w14:solidFill>
          </w14:textFill>
        </w:rPr>
        <w:t>项目重点难点分析、应对措施及相关的合理化建议（格式自定）</w:t>
      </w:r>
    </w:p>
    <w:p>
      <w:pPr>
        <w:pStyle w:val="Heading3"/>
        <w:numPr>
          <w:ilvl w:val="0"/>
          <w:numId w:val="0"/>
        </w:numPr>
        <w:jc w:val="center"/>
        <w:rPr>
          <w:rFonts w:cs="宋体" w:hint="eastAsia"/>
          <w:bCs w:val="0"/>
          <w:color w:val="000000" w:themeColor="text1"/>
          <w:sz w:val="24"/>
          <w:highlight w:val="none"/>
          <w14:textFill>
            <w14:solidFill>
              <w14:schemeClr w14:val="tx1"/>
            </w14:solidFill>
          </w14:textFill>
        </w:rPr>
      </w:pPr>
      <w:r>
        <w:rPr>
          <w:rFonts w:cs="宋体" w:hint="eastAsia"/>
          <w:bCs w:val="0"/>
          <w:color w:val="000000" w:themeColor="text1"/>
          <w:sz w:val="24"/>
          <w:highlight w:val="none"/>
          <w:lang w:val="en-US" w:eastAsia="zh-CN"/>
          <w14:textFill>
            <w14:solidFill>
              <w14:schemeClr w14:val="tx1"/>
            </w14:solidFill>
          </w14:textFill>
        </w:rPr>
        <w:t>十、</w:t>
      </w:r>
      <w:r>
        <w:rPr>
          <w:rFonts w:cs="宋体" w:hint="eastAsia"/>
          <w:bCs w:val="0"/>
          <w:color w:val="000000" w:themeColor="text1"/>
          <w:sz w:val="24"/>
          <w:highlight w:val="none"/>
          <w14:textFill>
            <w14:solidFill>
              <w14:schemeClr w14:val="tx1"/>
            </w14:solidFill>
          </w14:textFill>
        </w:rPr>
        <w:t>质量（完成时间、安全、环保）保障措施及方案（格式自定）</w:t>
      </w: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pStyle w:val="BodyText"/>
        <w:rPr>
          <w:rFonts w:ascii="宋体" w:eastAsia="宋体" w:hAnsi="宋体" w:cs="宋体"/>
          <w:color w:val="000000" w:themeColor="text1"/>
          <w:highlight w:val="none"/>
          <w14:textFill>
            <w14:solidFill>
              <w14:schemeClr w14:val="tx1"/>
            </w14:solidFill>
          </w14:textFill>
        </w:rPr>
      </w:pPr>
    </w:p>
    <w:p>
      <w:pPr>
        <w:pStyle w:val="BodyText2"/>
        <w:rPr>
          <w:rFonts w:ascii="宋体" w:eastAsia="宋体" w:hAnsi="宋体" w:cs="宋体"/>
          <w:color w:val="000000" w:themeColor="text1"/>
          <w:highlight w:val="none"/>
          <w14:textFill>
            <w14:solidFill>
              <w14:schemeClr w14:val="tx1"/>
            </w14:solidFill>
          </w14:textFill>
        </w:rPr>
      </w:pPr>
    </w:p>
    <w:p>
      <w:pPr>
        <w:pStyle w:val="BodyText2"/>
        <w:rPr>
          <w:rFonts w:ascii="宋体" w:eastAsia="宋体" w:hAnsi="宋体" w:cs="宋体"/>
          <w:color w:val="000000" w:themeColor="text1"/>
          <w:highlight w:val="none"/>
          <w14:textFill>
            <w14:solidFill>
              <w14:schemeClr w14:val="tx1"/>
            </w14:solidFill>
          </w14:textFill>
        </w:rPr>
      </w:pPr>
    </w:p>
    <w:p>
      <w:pPr>
        <w:pStyle w:val="BodyText2"/>
        <w:rPr>
          <w:rFonts w:ascii="宋体" w:eastAsia="宋体" w:hAnsi="宋体" w:cs="宋体"/>
          <w:color w:val="000000" w:themeColor="text1"/>
          <w:highlight w:val="none"/>
          <w14:textFill>
            <w14:solidFill>
              <w14:schemeClr w14:val="tx1"/>
            </w14:solidFill>
          </w14:textFill>
        </w:rPr>
      </w:pPr>
    </w:p>
    <w:p>
      <w:pPr>
        <w:pStyle w:val="BodyText2"/>
        <w:rPr>
          <w:rFonts w:ascii="宋体" w:eastAsia="宋体" w:hAnsi="宋体" w:cs="宋体"/>
          <w:color w:val="000000" w:themeColor="text1"/>
          <w:highlight w:val="none"/>
          <w14:textFill>
            <w14:solidFill>
              <w14:schemeClr w14:val="tx1"/>
            </w14:solidFill>
          </w14:textFill>
        </w:rPr>
      </w:pPr>
    </w:p>
    <w:p>
      <w:pPr>
        <w:pStyle w:val="BodyText2"/>
        <w:rPr>
          <w:rFonts w:ascii="宋体" w:eastAsia="宋体" w:hAnsi="宋体" w:cs="宋体"/>
          <w:color w:val="000000" w:themeColor="text1"/>
          <w:highlight w:val="none"/>
          <w14:textFill>
            <w14:solidFill>
              <w14:schemeClr w14:val="tx1"/>
            </w14:solidFill>
          </w14:textFill>
        </w:rPr>
      </w:pPr>
    </w:p>
    <w:p>
      <w:pPr>
        <w:keepNext/>
        <w:keepLines/>
        <w:jc w:val="both"/>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both"/>
        <w:rPr>
          <w:rFonts w:ascii="宋体" w:eastAsia="宋体" w:hAnsi="宋体" w:cs="宋体"/>
          <w:color w:val="000000" w:themeColor="text1"/>
          <w:highlight w:val="none"/>
          <w14:textFill>
            <w14:solidFill>
              <w14:schemeClr w14:val="tx1"/>
            </w14:solidFill>
          </w14:textFill>
        </w:rPr>
      </w:pPr>
    </w:p>
    <w:p>
      <w:pPr>
        <w:pStyle w:val="BodyText"/>
      </w:pPr>
    </w:p>
    <w:p>
      <w:pPr>
        <w:pStyle w:val="Heading3"/>
        <w:jc w:val="center"/>
        <w:rPr>
          <w:rFonts w:cs="宋体"/>
          <w:bCs w:val="0"/>
          <w:color w:val="000000" w:themeColor="text1"/>
          <w:sz w:val="24"/>
          <w:highlight w:val="none"/>
          <w14:textFill>
            <w14:solidFill>
              <w14:schemeClr w14:val="tx1"/>
            </w14:solidFill>
          </w14:textFill>
        </w:rPr>
      </w:pPr>
      <w:r>
        <w:rPr>
          <w:rFonts w:cs="宋体" w:hint="eastAsia"/>
          <w:bCs w:val="0"/>
          <w:color w:val="000000" w:themeColor="text1"/>
          <w:sz w:val="24"/>
          <w:highlight w:val="none"/>
          <w14:textFill>
            <w14:solidFill>
              <w14:schemeClr w14:val="tx1"/>
            </w14:solidFill>
          </w14:textFill>
        </w:rPr>
        <w:t>十</w:t>
      </w:r>
      <w:r>
        <w:rPr>
          <w:rFonts w:cs="宋体" w:hint="eastAsia"/>
          <w:bCs w:val="0"/>
          <w:color w:val="000000" w:themeColor="text1"/>
          <w:sz w:val="24"/>
          <w:highlight w:val="none"/>
          <w:lang w:val="en-US" w:eastAsia="zh-CN"/>
          <w14:textFill>
            <w14:solidFill>
              <w14:schemeClr w14:val="tx1"/>
            </w14:solidFill>
          </w14:textFill>
        </w:rPr>
        <w:t>一</w:t>
      </w:r>
      <w:r>
        <w:rPr>
          <w:rFonts w:cs="宋体" w:hint="eastAsia"/>
          <w:bCs w:val="0"/>
          <w:color w:val="000000" w:themeColor="text1"/>
          <w:sz w:val="24"/>
          <w:highlight w:val="none"/>
          <w14:textFill>
            <w14:solidFill>
              <w14:schemeClr w14:val="tx1"/>
            </w14:solidFill>
          </w14:textFill>
        </w:rPr>
        <w:t>、投标人认为需要加以说明的其他内容（格式自定）</w:t>
      </w:r>
    </w:p>
    <w:p>
      <w:pPr>
        <w:rPr>
          <w:rFonts w:ascii="宋体" w:eastAsia="宋体" w:hAnsi="宋体" w:cs="宋体"/>
          <w:b/>
          <w:bCs/>
          <w:szCs w:val="20"/>
          <w:highlight w:val="none"/>
        </w:rPr>
      </w:pPr>
      <w:r>
        <w:rPr>
          <w:rFonts w:ascii="宋体" w:eastAsia="宋体" w:hAnsi="宋体" w:cs="宋体" w:hint="eastAsia"/>
          <w:b/>
          <w:bCs/>
          <w:szCs w:val="20"/>
          <w:highlight w:val="none"/>
        </w:rPr>
        <w:t>（1）政府采购违法行为风险知悉确认书</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本公司在投标前已充分知悉以下情形为参与政府采购活动时的重大风险事项，并承诺已对下述风险提示事项重点排查，做到严谨、诚信、依法依规参与政府采购活动。</w:t>
      </w:r>
    </w:p>
    <w:p>
      <w:pPr>
        <w:ind w:firstLine="480" w:firstLineChars="200"/>
        <w:rPr>
          <w:rFonts w:ascii="宋体" w:eastAsia="宋体" w:hAnsi="宋体" w:cs="宋体"/>
          <w:b/>
          <w:bCs/>
          <w:sz w:val="21"/>
          <w:szCs w:val="21"/>
          <w:highlight w:val="none"/>
        </w:rPr>
      </w:pPr>
      <w:r>
        <w:rPr>
          <w:rFonts w:ascii="宋体" w:eastAsia="宋体" w:hAnsi="宋体" w:cs="宋体" w:hint="eastAsia"/>
          <w:b/>
          <w:bCs/>
          <w:sz w:val="21"/>
          <w:szCs w:val="21"/>
          <w:highlight w:val="none"/>
        </w:rPr>
        <w:t>一、本公司已充分知悉“隐瞒真实情况，提供虚假资料”的法定情形，相关情形包括但不限于：</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（一）通过转让或者租借等方式从其他单位获取资格或者资质证书投标的。</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（二）由其他单位或者其他单位负责人在投标供应商编制的投标文件上加盖印章或者签字的。</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（三）项目负责人或者主要技术人员不是本单位人员的。</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（四）投标保证金不是从投标供应商基本账户转出的。</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（五）其他隐瞒真实情况、提供虚假资料的行为。</w:t>
      </w:r>
    </w:p>
    <w:p>
      <w:pPr>
        <w:ind w:firstLine="480" w:firstLineChars="200"/>
        <w:rPr>
          <w:rFonts w:ascii="宋体" w:eastAsia="宋体" w:hAnsi="宋体" w:cs="宋体"/>
          <w:b/>
          <w:bCs/>
          <w:sz w:val="21"/>
          <w:szCs w:val="21"/>
          <w:highlight w:val="none"/>
        </w:rPr>
      </w:pPr>
      <w:r>
        <w:rPr>
          <w:rFonts w:ascii="宋体" w:eastAsia="宋体" w:hAnsi="宋体" w:cs="宋体" w:hint="eastAsia"/>
          <w:b/>
          <w:bCs/>
          <w:sz w:val="21"/>
          <w:szCs w:val="21"/>
          <w:highlight w:val="none"/>
        </w:rPr>
        <w:t>二、本公司已充分知悉“与其他采购参加人串通投标”的法定情形，相关情形包括但不限于：</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（一）投标供应商之间相互约定给予未中标的供应商利益补偿。</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（二）不同投标供应商的法定代表人、主要经营负责人、项目投标授权代表人、项目负责人、主要技术人员为同一人、属同一单位或者在同一单位缴纳社会保险。</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（三）不同投标供应商的投标文件由同一单位或者同一人编制，或者由同一人分阶段参与编制的。</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（四）不同投标供应商的投标文件或部分投标文件相互混装。</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（五）不同投标供应商的投标文件内容存在非正常一致。</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（六）由同一单位工作人员为两家以上（含两家）供应商进行同一项投标活动的。</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（七）不同投标人的投标报价呈规律性差异。</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（八）不同投标人的投标保证金从同一单位或者个人的账户转出。</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（九）主管部门依照法律、法规认定的其他情形。</w:t>
      </w:r>
    </w:p>
    <w:p>
      <w:pPr>
        <w:ind w:firstLine="480" w:firstLineChars="200"/>
        <w:rPr>
          <w:rFonts w:ascii="宋体" w:eastAsia="宋体" w:hAnsi="宋体" w:cs="宋体"/>
          <w:b/>
          <w:bCs/>
          <w:sz w:val="21"/>
          <w:szCs w:val="21"/>
          <w:highlight w:val="none"/>
        </w:rPr>
      </w:pPr>
      <w:r>
        <w:rPr>
          <w:rFonts w:ascii="宋体" w:eastAsia="宋体" w:hAnsi="宋体" w:cs="宋体" w:hint="eastAsia"/>
          <w:b/>
          <w:bCs/>
          <w:sz w:val="21"/>
          <w:szCs w:val="21"/>
          <w:highlight w:val="none"/>
        </w:rPr>
        <w:t>三、本公司已充分知悉下列情形所对应的法律风险，并在投标前已对相关风险事项进行排查。</w:t>
      </w:r>
    </w:p>
    <w:p>
      <w:pPr>
        <w:autoSpaceDE w:val="0"/>
        <w:autoSpaceDN w:val="0"/>
        <w:ind w:firstLine="480" w:firstLineChars="200"/>
        <w:rPr>
          <w:rFonts w:ascii="宋体" w:eastAsia="宋体" w:hAnsi="宋体" w:cs="宋体"/>
          <w:b/>
          <w:bCs/>
          <w:spacing w:val="-4"/>
          <w:sz w:val="21"/>
          <w:szCs w:val="21"/>
          <w:highlight w:val="none"/>
        </w:rPr>
      </w:pPr>
      <w:r>
        <w:rPr>
          <w:rFonts w:ascii="宋体" w:eastAsia="宋体" w:hAnsi="宋体" w:cs="宋体" w:hint="eastAsia"/>
          <w:spacing w:val="-4"/>
          <w:sz w:val="21"/>
          <w:szCs w:val="21"/>
          <w:highlight w:val="none"/>
        </w:rPr>
        <w:t>（一）对于从其他主体获取的投标资料，供应商应审慎核查，确保投标资料的真实性。</w:t>
      </w:r>
      <w:r>
        <w:rPr>
          <w:rFonts w:ascii="宋体" w:eastAsia="宋体" w:hAnsi="宋体" w:cs="宋体" w:hint="eastAsia"/>
          <w:b/>
          <w:bCs/>
          <w:spacing w:val="-4"/>
          <w:sz w:val="21"/>
          <w:szCs w:val="21"/>
          <w:highlight w:val="none"/>
        </w:rPr>
        <w:t>如主管部门查实投标文件中存在虚假资料的，无论相关资料是否由第三方或本公司员工提供，均不影响主管部门对供应商存在“隐瞒真实情况，提供虚假资料”违法行为的认定。</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（二）对于涉及国家机关出具的公文、证件、证明材料等文件，一旦涉嫌虚假，经查实，主管部门将依法从严处理，并移送有关部门追究法律责任；涉嫌犯罪的，主管部门将一并移送司法机关追究法律责任。</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（三）对于涉及安全生产、特种作业、抢险救灾、防疫等政府采购项目，供应商实施提供虚假资料、串通投标等违法行为的，主管部门将依法从严处理。</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（六）单位负责人为同一人或者存在直接控股、管理关系的不同供应商，不得参加同一合同项下的政府采购活动。相关情形如查实，依法作投标无效处理；涉嫌串通投标等违法行为的，主管部门将依法调查处理。</w:t>
      </w:r>
    </w:p>
    <w:p>
      <w:pPr>
        <w:widowControl w:val="0"/>
        <w:autoSpaceDE w:val="0"/>
        <w:autoSpaceDN w:val="0"/>
        <w:ind w:firstLine="480" w:firstLineChars="200"/>
        <w:rPr>
          <w:rFonts w:ascii="宋体" w:eastAsia="宋体" w:hAnsi="宋体" w:cs="宋体"/>
          <w:b/>
          <w:bCs/>
          <w:sz w:val="21"/>
          <w:szCs w:val="21"/>
          <w:highlight w:val="none"/>
        </w:rPr>
      </w:pPr>
      <w:r>
        <w:rPr>
          <w:rFonts w:ascii="宋体" w:eastAsia="宋体" w:hAnsi="宋体" w:cs="宋体" w:hint="eastAsia"/>
          <w:b/>
          <w:bCs/>
          <w:sz w:val="21"/>
          <w:szCs w:val="21"/>
          <w:highlight w:val="none"/>
        </w:rPr>
        <w:t>四、本公司已充分知悉政府采购违法、违规行为的法律后果。</w:t>
      </w:r>
    </w:p>
    <w:p>
      <w:pPr>
        <w:widowControl w:val="0"/>
        <w:autoSpaceDE w:val="0"/>
        <w:autoSpaceDN w:val="0"/>
        <w:ind w:firstLine="480" w:firstLineChars="200"/>
        <w:rPr>
          <w:rFonts w:ascii="宋体" w:eastAsia="宋体" w:hAnsi="宋体" w:cs="宋体"/>
          <w:b/>
          <w:bCs/>
          <w:spacing w:val="-4"/>
          <w:sz w:val="21"/>
          <w:szCs w:val="21"/>
          <w:highlight w:val="none"/>
        </w:rPr>
      </w:pPr>
      <w:r>
        <w:rPr>
          <w:rFonts w:ascii="宋体" w:eastAsia="宋体" w:hAnsi="宋体" w:cs="宋体" w:hint="eastAsia"/>
          <w:spacing w:val="-4"/>
          <w:sz w:val="21"/>
          <w:szCs w:val="21"/>
          <w:highlight w:val="none"/>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r>
        <w:rPr>
          <w:rFonts w:ascii="宋体" w:eastAsia="宋体" w:hAnsi="宋体" w:cs="宋体" w:hint="eastAsia"/>
          <w:b/>
          <w:bCs/>
          <w:spacing w:val="-4"/>
          <w:sz w:val="21"/>
          <w:szCs w:val="21"/>
          <w:highlight w:val="none"/>
        </w:rPr>
        <w:t>以下文字请投标供应商抄写并确认：“本公司已仔细阅读《政府采购违法行为风险知悉确认书》，充分知悉违法行为的法律后果，并承诺将严谨、诚信、依法依规参与政府采购活动”。</w:t>
      </w:r>
    </w:p>
    <w:tbl>
      <w:tblPr>
        <w:tblStyle w:val="TableGrid"/>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
      <w:tblGrid>
        <w:gridCol w:w="8522"/>
      </w:tblGrid>
      <w:tr>
        <w:tblPrEx>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Ex>
        <w:trPr>
          <w:trHeight w:val="304"/>
        </w:trPr>
        <w:tc>
          <w:tcPr>
            <w:tcW w:w="8529" w:type="dxa"/>
            <w:tcBorders>
              <w:top w:val="nil"/>
              <w:left w:val="nil"/>
              <w:bottom w:val="single" w:sz="8" w:space="0" w:color="000000"/>
              <w:right w:val="nil"/>
            </w:tcBorders>
          </w:tcPr>
          <w:p>
            <w:pPr>
              <w:widowControl w:val="0"/>
              <w:autoSpaceDE w:val="0"/>
              <w:autoSpaceDN w:val="0"/>
              <w:jc w:val="left"/>
              <w:rPr>
                <w:rFonts w:ascii="宋体" w:eastAsia="宋体" w:hAnsi="宋体" w:cs="宋体"/>
                <w:spacing w:val="-4"/>
                <w:sz w:val="21"/>
                <w:szCs w:val="21"/>
                <w:highlight w:val="none"/>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widowControl w:val="0"/>
              <w:autoSpaceDE w:val="0"/>
              <w:autoSpaceDN w:val="0"/>
              <w:jc w:val="left"/>
              <w:rPr>
                <w:rFonts w:ascii="宋体" w:eastAsia="宋体" w:hAnsi="宋体" w:cs="宋体"/>
                <w:spacing w:val="-4"/>
                <w:sz w:val="21"/>
                <w:szCs w:val="21"/>
                <w:highlight w:val="none"/>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widowControl w:val="0"/>
              <w:autoSpaceDE w:val="0"/>
              <w:autoSpaceDN w:val="0"/>
              <w:jc w:val="left"/>
              <w:rPr>
                <w:rFonts w:ascii="宋体" w:eastAsia="宋体" w:hAnsi="宋体" w:cs="宋体"/>
                <w:spacing w:val="-4"/>
                <w:sz w:val="21"/>
                <w:szCs w:val="21"/>
                <w:highlight w:val="none"/>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auto"/>
              <w:right w:val="nil"/>
            </w:tcBorders>
          </w:tcPr>
          <w:p>
            <w:pPr>
              <w:widowControl w:val="0"/>
              <w:autoSpaceDE w:val="0"/>
              <w:autoSpaceDN w:val="0"/>
              <w:jc w:val="left"/>
              <w:rPr>
                <w:rFonts w:ascii="宋体" w:eastAsia="宋体" w:hAnsi="宋体" w:cs="宋体"/>
                <w:spacing w:val="-4"/>
                <w:sz w:val="21"/>
                <w:szCs w:val="21"/>
                <w:highlight w:val="none"/>
              </w:rPr>
            </w:pPr>
          </w:p>
        </w:tc>
      </w:tr>
    </w:tbl>
    <w:p>
      <w:pPr>
        <w:widowControl w:val="0"/>
        <w:autoSpaceDE w:val="0"/>
        <w:autoSpaceDN w:val="0"/>
        <w:ind w:firstLine="480" w:firstLineChars="200"/>
        <w:rPr>
          <w:rFonts w:ascii="宋体" w:eastAsia="宋体" w:hAnsi="宋体" w:cs="宋体"/>
          <w:b/>
          <w:bCs/>
          <w:color w:val="FF0000"/>
          <w:spacing w:val="-4"/>
          <w:sz w:val="21"/>
          <w:szCs w:val="21"/>
          <w:highlight w:val="none"/>
        </w:rPr>
      </w:pPr>
      <w:r>
        <w:rPr>
          <w:rFonts w:ascii="宋体" w:eastAsia="宋体" w:hAnsi="宋体" w:cs="宋体" w:hint="eastAsia"/>
          <w:b/>
          <w:bCs/>
          <w:color w:val="FF0000"/>
          <w:spacing w:val="-4"/>
          <w:sz w:val="21"/>
          <w:szCs w:val="21"/>
          <w:highlight w:val="none"/>
        </w:rPr>
        <w:t>注：1.政府采购违法行为风险知悉确认书不作为资格性审查及符合性审查条件。</w:t>
      </w:r>
    </w:p>
    <w:p>
      <w:pPr>
        <w:widowControl w:val="0"/>
        <w:autoSpaceDE w:val="0"/>
        <w:autoSpaceDN w:val="0"/>
        <w:ind w:firstLine="480" w:firstLineChars="200"/>
        <w:rPr>
          <w:rFonts w:ascii="宋体" w:eastAsia="宋体" w:hAnsi="宋体" w:cs="宋体"/>
          <w:color w:val="FF0000"/>
          <w:spacing w:val="-4"/>
          <w:sz w:val="21"/>
          <w:szCs w:val="21"/>
          <w:highlight w:val="none"/>
        </w:rPr>
      </w:pPr>
      <w:r>
        <w:rPr>
          <w:rFonts w:ascii="宋体" w:eastAsia="宋体" w:hAnsi="宋体" w:cs="宋体" w:hint="eastAsia"/>
          <w:b/>
          <w:bCs/>
          <w:color w:val="FF0000"/>
          <w:spacing w:val="-4"/>
          <w:sz w:val="21"/>
          <w:szCs w:val="21"/>
          <w:highlight w:val="none"/>
        </w:rPr>
        <w:t>2.投标供应商负责人或投标授权代表签字并加盖单位公章后，扫描上传至投标文件一并提交。</w:t>
      </w:r>
    </w:p>
    <w:p>
      <w:pPr>
        <w:widowControl w:val="0"/>
        <w:wordWrap w:val="0"/>
        <w:autoSpaceDE w:val="0"/>
        <w:autoSpaceDN w:val="0"/>
        <w:ind w:firstLine="480" w:firstLineChars="200"/>
        <w:jc w:val="right"/>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 xml:space="preserve">负责人/投标授权代表签名：     </w:t>
      </w:r>
    </w:p>
    <w:p>
      <w:pPr>
        <w:widowControl w:val="0"/>
        <w:wordWrap w:val="0"/>
        <w:autoSpaceDE w:val="0"/>
        <w:autoSpaceDN w:val="0"/>
        <w:ind w:firstLine="480" w:firstLineChars="200"/>
        <w:jc w:val="right"/>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 xml:space="preserve">知悉人（公章）：     </w:t>
      </w:r>
    </w:p>
    <w:p>
      <w:pPr>
        <w:widowControl w:val="0"/>
        <w:wordWrap w:val="0"/>
        <w:autoSpaceDE w:val="0"/>
        <w:autoSpaceDN w:val="0"/>
        <w:ind w:firstLine="480" w:firstLineChars="200"/>
        <w:jc w:val="right"/>
        <w:rPr>
          <w:rFonts w:ascii="宋体" w:eastAsia="宋体" w:hAnsi="宋体" w:cs="宋体"/>
          <w:sz w:val="21"/>
          <w:szCs w:val="21"/>
          <w:highlight w:val="none"/>
        </w:rPr>
      </w:pPr>
      <w:r>
        <w:rPr>
          <w:rFonts w:ascii="宋体" w:eastAsia="宋体" w:hAnsi="宋体" w:cs="宋体" w:hint="eastAsia"/>
          <w:spacing w:val="-4"/>
          <w:sz w:val="21"/>
          <w:szCs w:val="21"/>
          <w:highlight w:val="none"/>
        </w:rPr>
        <w:t xml:space="preserve">日期：     </w:t>
      </w:r>
    </w:p>
    <w:p>
      <w:pPr>
        <w:widowControl w:val="0"/>
        <w:spacing w:line="360" w:lineRule="auto"/>
        <w:jc w:val="both"/>
        <w:rPr>
          <w:rFonts w:ascii="宋体" w:eastAsia="宋体" w:hAnsi="宋体" w:cs="宋体"/>
          <w:b/>
          <w:bCs/>
          <w:kern w:val="2"/>
          <w:highlight w:val="none"/>
        </w:rPr>
      </w:pPr>
    </w:p>
    <w:p>
      <w:pPr>
        <w:rPr>
          <w:rFonts w:ascii="宋体" w:eastAsia="宋体" w:hAnsi="宋体" w:cs="宋体"/>
          <w:szCs w:val="20"/>
          <w:highlight w:val="none"/>
        </w:rPr>
      </w:pPr>
    </w:p>
    <w:p>
      <w:pPr>
        <w:rPr>
          <w:rFonts w:ascii="宋体" w:eastAsia="宋体" w:hAnsi="宋体" w:cs="宋体"/>
          <w:b/>
          <w:bCs/>
          <w:highlight w:val="none"/>
        </w:rPr>
      </w:pPr>
      <w:r>
        <w:rPr>
          <w:rFonts w:ascii="宋体" w:eastAsia="宋体" w:hAnsi="宋体" w:cs="宋体" w:hint="eastAsia"/>
          <w:b/>
          <w:bCs/>
          <w:szCs w:val="20"/>
          <w:highlight w:val="none"/>
        </w:rPr>
        <w:t>（2）投标人认为需要加以说明的其他内容</w:t>
      </w: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pStyle w:val="Heading2"/>
        <w:rPr>
          <w:rFonts w:cs="宋体"/>
          <w:color w:val="000000" w:themeColor="text1"/>
          <w:highlight w:val="none"/>
          <w14:textFill>
            <w14:solidFill>
              <w14:schemeClr w14:val="tx1"/>
            </w14:solidFill>
          </w14:textFill>
        </w:rPr>
      </w:pPr>
      <w:r>
        <w:rPr>
          <w:rFonts w:cs="宋体" w:hint="eastAsia"/>
          <w:color w:val="000000" w:themeColor="text1"/>
          <w:highlight w:val="none"/>
          <w14:textFill>
            <w14:solidFill>
              <w14:schemeClr w14:val="tx1"/>
            </w14:solidFill>
          </w14:textFill>
        </w:rPr>
        <w:br w:type="page"/>
      </w:r>
      <w:r>
        <w:rPr>
          <w:rFonts w:cs="宋体" w:hint="eastAsia"/>
          <w:color w:val="000000" w:themeColor="text1"/>
          <w:highlight w:val="none"/>
          <w14:textFill>
            <w14:solidFill>
              <w14:schemeClr w14:val="tx1"/>
            </w14:solidFill>
          </w14:textFill>
        </w:rPr>
        <w:t>第五章  合同条款及格式</w:t>
      </w:r>
    </w:p>
    <w:p>
      <w:pPr>
        <w:spacing w:line="360" w:lineRule="auto"/>
        <w:jc w:val="center"/>
        <w:rPr>
          <w:rFonts w:ascii="宋体" w:eastAsia="宋体" w:hAnsi="宋体" w:cs="宋体"/>
          <w:bCs/>
          <w:kern w:val="44"/>
          <w:sz w:val="28"/>
          <w:szCs w:val="44"/>
          <w:highlight w:val="none"/>
        </w:rPr>
      </w:pPr>
      <w:bookmarkStart w:id="44" w:name="_Hlk72574405"/>
      <w:r>
        <w:rPr>
          <w:rFonts w:ascii="宋体" w:eastAsia="宋体" w:hAnsi="宋体" w:cs="宋体" w:hint="eastAsia"/>
          <w:b/>
          <w:highlight w:val="none"/>
        </w:rPr>
        <w:t>（仅供参考，具体以项目需求及采购结果为准）</w:t>
      </w:r>
      <w:bookmarkEnd w:id="44"/>
    </w:p>
    <w:p>
      <w:pPr>
        <w:snapToGrid w:val="0"/>
        <w:spacing w:line="560" w:lineRule="exact"/>
        <w:jc w:val="center"/>
        <w:rPr>
          <w:rFonts w:ascii="宋体" w:eastAsia="宋体" w:hAnsi="宋体" w:cs="宋体"/>
          <w:color w:val="000000"/>
          <w:sz w:val="44"/>
          <w:szCs w:val="44"/>
          <w:highlight w:val="none"/>
        </w:rPr>
      </w:pPr>
    </w:p>
    <w:p>
      <w:pPr>
        <w:snapToGrid w:val="0"/>
        <w:spacing w:line="560" w:lineRule="exact"/>
        <w:jc w:val="center"/>
        <w:rPr>
          <w:rFonts w:ascii="宋体" w:eastAsia="宋体" w:hAnsi="宋体" w:cs="宋体"/>
          <w:color w:val="000000"/>
          <w:sz w:val="44"/>
          <w:szCs w:val="44"/>
          <w:highlight w:val="none"/>
        </w:rPr>
      </w:pPr>
    </w:p>
    <w:p>
      <w:pPr>
        <w:snapToGrid w:val="0"/>
        <w:spacing w:line="560" w:lineRule="exact"/>
        <w:jc w:val="center"/>
        <w:rPr>
          <w:rFonts w:ascii="宋体" w:eastAsia="宋体" w:hAnsi="宋体" w:cs="宋体"/>
          <w:color w:val="000000"/>
          <w:sz w:val="44"/>
          <w:szCs w:val="44"/>
          <w:highlight w:val="none"/>
        </w:rPr>
      </w:pPr>
    </w:p>
    <w:p>
      <w:pPr>
        <w:snapToGrid w:val="0"/>
        <w:spacing w:line="560" w:lineRule="exact"/>
        <w:jc w:val="center"/>
        <w:rPr>
          <w:rFonts w:ascii="宋体" w:eastAsia="宋体" w:hAnsi="宋体" w:cs="宋体"/>
          <w:color w:val="000000"/>
          <w:sz w:val="44"/>
          <w:szCs w:val="44"/>
          <w:highlight w:val="none"/>
        </w:rPr>
      </w:pPr>
    </w:p>
    <w:p>
      <w:pPr>
        <w:snapToGrid w:val="0"/>
        <w:spacing w:line="560" w:lineRule="exact"/>
        <w:jc w:val="center"/>
        <w:rPr>
          <w:rFonts w:ascii="宋体" w:eastAsia="宋体" w:hAnsi="宋体" w:cs="宋体"/>
          <w:b/>
          <w:bCs/>
          <w:color w:val="000000"/>
          <w:sz w:val="44"/>
          <w:szCs w:val="44"/>
          <w:highlight w:val="none"/>
        </w:rPr>
      </w:pPr>
      <w:r>
        <w:rPr>
          <w:rFonts w:ascii="宋体" w:eastAsia="宋体" w:hAnsi="宋体" w:cs="宋体" w:hint="eastAsia"/>
          <w:b/>
          <w:bCs/>
          <w:color w:val="000000"/>
          <w:sz w:val="44"/>
          <w:szCs w:val="44"/>
          <w:highlight w:val="none"/>
        </w:rPr>
        <w:t>服 务 合 同</w:t>
      </w:r>
    </w:p>
    <w:p>
      <w:pPr>
        <w:snapToGrid w:val="0"/>
        <w:spacing w:line="560" w:lineRule="exact"/>
        <w:ind w:firstLine="2520" w:firstLineChars="1050"/>
        <w:rPr>
          <w:rFonts w:ascii="宋体" w:eastAsia="宋体" w:hAnsi="宋体" w:cs="宋体"/>
          <w:color w:val="000000"/>
          <w:sz w:val="28"/>
          <w:szCs w:val="28"/>
          <w:highlight w:val="none"/>
        </w:rPr>
      </w:pPr>
      <w:r>
        <w:rPr>
          <w:rFonts w:ascii="宋体" w:eastAsia="宋体" w:hAnsi="宋体" w:cs="宋体" w:hint="eastAsia"/>
          <w:color w:val="000000"/>
          <w:sz w:val="28"/>
          <w:szCs w:val="28"/>
          <w:highlight w:val="none"/>
        </w:rPr>
        <w:t>合同编号：</w:t>
      </w:r>
    </w:p>
    <w:p>
      <w:pPr>
        <w:snapToGrid w:val="0"/>
        <w:spacing w:line="560" w:lineRule="exact"/>
        <w:rPr>
          <w:rFonts w:ascii="宋体" w:eastAsia="宋体" w:hAnsi="宋体" w:cs="宋体"/>
          <w:color w:val="000000"/>
          <w:sz w:val="28"/>
          <w:szCs w:val="28"/>
          <w:highlight w:val="none"/>
        </w:rPr>
      </w:pPr>
      <w:r>
        <w:rPr>
          <w:rFonts w:ascii="宋体" w:eastAsia="宋体" w:hAnsi="宋体" w:cs="宋体" w:hint="eastAsia"/>
          <w:color w:val="000000"/>
          <w:sz w:val="28"/>
          <w:szCs w:val="28"/>
          <w:highlight w:val="none"/>
        </w:rPr>
        <w:t xml:space="preserve">                     项目名称：</w:t>
      </w:r>
    </w:p>
    <w:p>
      <w:pPr>
        <w:snapToGrid w:val="0"/>
        <w:spacing w:line="560" w:lineRule="exact"/>
        <w:ind w:firstLine="3360" w:firstLineChars="1400"/>
        <w:rPr>
          <w:rFonts w:ascii="宋体" w:eastAsia="宋体" w:hAnsi="宋体" w:cs="宋体"/>
          <w:color w:val="000000"/>
          <w:sz w:val="28"/>
          <w:szCs w:val="28"/>
          <w:highlight w:val="none"/>
        </w:rPr>
      </w:pPr>
    </w:p>
    <w:p>
      <w:pPr>
        <w:snapToGrid w:val="0"/>
        <w:spacing w:line="560" w:lineRule="exact"/>
        <w:jc w:val="center"/>
        <w:rPr>
          <w:rFonts w:ascii="宋体" w:eastAsia="宋体" w:hAnsi="宋体" w:cs="宋体"/>
          <w:b/>
          <w:bCs/>
          <w:color w:val="000000" w:themeColor="text1"/>
          <w:sz w:val="28"/>
          <w:szCs w:val="28"/>
          <w:highlight w:val="none"/>
          <w14:textFill>
            <w14:solidFill>
              <w14:schemeClr w14:val="tx1"/>
            </w14:solidFill>
          </w14:textFill>
        </w:rPr>
      </w:pPr>
      <w:r>
        <w:rPr>
          <w:rFonts w:ascii="宋体" w:eastAsia="宋体" w:hAnsi="宋体" w:cs="宋体" w:hint="eastAsia"/>
          <w:b/>
          <w:bCs/>
          <w:color w:val="000000"/>
          <w:sz w:val="28"/>
          <w:szCs w:val="28"/>
          <w:highlight w:val="none"/>
        </w:rPr>
        <w:t>甲方</w:t>
      </w:r>
      <w:r>
        <w:rPr>
          <w:rFonts w:ascii="宋体" w:eastAsia="宋体" w:hAnsi="宋体" w:cs="宋体" w:hint="eastAsia"/>
          <w:b/>
          <w:bCs/>
          <w:color w:val="000000" w:themeColor="text1"/>
          <w:sz w:val="28"/>
          <w:szCs w:val="28"/>
          <w:highlight w:val="none"/>
          <w14:textFill>
            <w14:solidFill>
              <w14:schemeClr w14:val="tx1"/>
            </w14:solidFill>
          </w14:textFill>
        </w:rPr>
        <w:t>（采购人）： 深圳职业技术大学</w:t>
      </w:r>
    </w:p>
    <w:p>
      <w:pPr>
        <w:snapToGrid w:val="0"/>
        <w:spacing w:line="560" w:lineRule="exact"/>
        <w:ind w:firstLine="1656" w:firstLineChars="690"/>
        <w:rPr>
          <w:rFonts w:ascii="宋体" w:eastAsia="宋体" w:hAnsi="宋体" w:cs="宋体"/>
          <w:b/>
          <w:bCs/>
          <w:color w:val="000000"/>
          <w:sz w:val="28"/>
          <w:szCs w:val="28"/>
          <w:highlight w:val="none"/>
        </w:rPr>
      </w:pPr>
      <w:r>
        <w:rPr>
          <w:rFonts w:ascii="宋体" w:eastAsia="宋体" w:hAnsi="宋体" w:cs="宋体" w:hint="eastAsia"/>
          <w:b/>
          <w:bCs/>
          <w:color w:val="000000" w:themeColor="text1"/>
          <w:sz w:val="28"/>
          <w:szCs w:val="28"/>
          <w:highlight w:val="none"/>
          <w14:textFill>
            <w14:solidFill>
              <w14:schemeClr w14:val="tx1"/>
            </w14:solidFill>
          </w14:textFill>
        </w:rPr>
        <w:t>乙方（供应商）：</w:t>
      </w:r>
    </w:p>
    <w:p>
      <w:pPr>
        <w:snapToGrid w:val="0"/>
        <w:spacing w:line="560" w:lineRule="exact"/>
        <w:ind w:firstLine="3360" w:firstLineChars="1400"/>
        <w:rPr>
          <w:rFonts w:ascii="宋体" w:eastAsia="宋体" w:hAnsi="宋体" w:cs="宋体"/>
          <w:color w:val="000000"/>
          <w:sz w:val="20"/>
          <w:szCs w:val="20"/>
          <w:highlight w:val="none"/>
        </w:rPr>
      </w:pPr>
    </w:p>
    <w:p>
      <w:pPr>
        <w:snapToGrid w:val="0"/>
        <w:spacing w:line="560" w:lineRule="exact"/>
        <w:rPr>
          <w:rFonts w:ascii="宋体" w:eastAsia="宋体" w:hAnsi="宋体" w:cs="宋体"/>
          <w:color w:val="000000"/>
          <w:sz w:val="20"/>
          <w:szCs w:val="20"/>
          <w:highlight w:val="none"/>
        </w:rPr>
      </w:pPr>
    </w:p>
    <w:p>
      <w:pPr>
        <w:snapToGrid w:val="0"/>
        <w:spacing w:line="560" w:lineRule="exact"/>
        <w:rPr>
          <w:rFonts w:ascii="宋体" w:eastAsia="宋体" w:hAnsi="宋体" w:cs="宋体"/>
          <w:color w:val="000000"/>
          <w:sz w:val="20"/>
          <w:szCs w:val="20"/>
          <w:highlight w:val="none"/>
        </w:rPr>
      </w:pPr>
    </w:p>
    <w:p>
      <w:pPr>
        <w:snapToGrid w:val="0"/>
        <w:spacing w:line="460" w:lineRule="exact"/>
        <w:rPr>
          <w:rFonts w:ascii="宋体" w:eastAsia="宋体" w:hAnsi="宋体" w:cs="宋体"/>
          <w:color w:val="000000"/>
          <w:sz w:val="18"/>
          <w:szCs w:val="18"/>
          <w:highlight w:val="none"/>
        </w:rPr>
      </w:pPr>
    </w:p>
    <w:p>
      <w:pPr>
        <w:snapToGrid w:val="0"/>
        <w:spacing w:line="460" w:lineRule="exact"/>
        <w:rPr>
          <w:rFonts w:ascii="宋体" w:eastAsia="宋体" w:hAnsi="宋体" w:cs="宋体"/>
          <w:color w:val="000000"/>
          <w:sz w:val="18"/>
          <w:szCs w:val="18"/>
          <w:highlight w:val="none"/>
        </w:rPr>
      </w:pPr>
    </w:p>
    <w:p>
      <w:pPr>
        <w:snapToGrid w:val="0"/>
        <w:jc w:val="center"/>
        <w:rPr>
          <w:rFonts w:ascii="宋体" w:eastAsia="宋体" w:hAnsi="宋体" w:cs="宋体"/>
          <w:color w:val="000000"/>
          <w:sz w:val="20"/>
          <w:szCs w:val="20"/>
          <w:highlight w:val="none"/>
        </w:rPr>
      </w:pPr>
      <w:r>
        <w:rPr>
          <w:rFonts w:ascii="宋体" w:eastAsia="宋体" w:hAnsi="宋体" w:cs="宋体" w:hint="eastAsia"/>
          <w:color w:val="000000"/>
          <w:szCs w:val="21"/>
          <w:highlight w:val="none"/>
        </w:rPr>
        <w:drawing>
          <wp:inline distT="0" distB="0" distL="0" distR="0">
            <wp:extent cx="1219200" cy="12192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1219200" cy="1219200"/>
                    </a:xfrm>
                    <a:prstGeom prst="rect">
                      <a:avLst/>
                    </a:prstGeom>
                  </pic:spPr>
                </pic:pic>
              </a:graphicData>
            </a:graphic>
          </wp:inline>
        </w:drawing>
      </w:r>
    </w:p>
    <w:p>
      <w:pPr>
        <w:snapToGrid w:val="0"/>
        <w:spacing w:line="460" w:lineRule="exact"/>
        <w:ind w:firstLine="3600" w:firstLineChars="1500"/>
        <w:rPr>
          <w:rFonts w:ascii="宋体" w:eastAsia="宋体" w:hAnsi="宋体" w:cs="宋体"/>
          <w:b/>
          <w:bCs/>
          <w:color w:val="000000"/>
          <w:sz w:val="20"/>
          <w:szCs w:val="20"/>
          <w:highlight w:val="none"/>
        </w:rPr>
      </w:pPr>
      <w:r>
        <w:rPr>
          <w:rFonts w:ascii="宋体" w:eastAsia="宋体" w:hAnsi="宋体" w:cs="宋体" w:hint="eastAsia"/>
          <w:b/>
          <w:bCs/>
          <w:color w:val="000000"/>
          <w:sz w:val="20"/>
          <w:szCs w:val="20"/>
          <w:highlight w:val="none"/>
        </w:rPr>
        <w:t>深 圳 职 业 技 术 大 学</w:t>
      </w:r>
    </w:p>
    <w:p>
      <w:pPr>
        <w:keepNext/>
        <w:keepLines/>
        <w:snapToGrid w:val="0"/>
        <w:spacing w:line="460" w:lineRule="exact"/>
        <w:ind w:firstLine="3120" w:firstLineChars="1300"/>
        <w:rPr>
          <w:rFonts w:ascii="宋体" w:eastAsia="宋体" w:hAnsi="宋体" w:cs="宋体"/>
          <w:sz w:val="20"/>
          <w:szCs w:val="20"/>
          <w:highlight w:val="none"/>
        </w:rPr>
      </w:pPr>
      <w:r>
        <w:rPr>
          <w:rFonts w:ascii="宋体" w:eastAsia="宋体" w:hAnsi="宋体" w:cs="宋体" w:hint="eastAsia"/>
          <w:sz w:val="20"/>
          <w:szCs w:val="20"/>
          <w:highlight w:val="none"/>
        </w:rPr>
        <w:t>SHENZHEN  POLYTECHNIC UNIVERSITY</w:t>
      </w:r>
    </w:p>
    <w:p>
      <w:pPr>
        <w:rPr>
          <w:rFonts w:ascii="宋体" w:eastAsia="宋体" w:hAnsi="宋体" w:cs="宋体"/>
          <w:sz w:val="20"/>
          <w:szCs w:val="20"/>
          <w:highlight w:val="none"/>
        </w:rPr>
      </w:pPr>
    </w:p>
    <w:p>
      <w:pPr>
        <w:rPr>
          <w:rFonts w:ascii="宋体" w:eastAsia="宋体" w:hAnsi="宋体" w:cs="宋体"/>
          <w:sz w:val="20"/>
          <w:szCs w:val="20"/>
          <w:highlight w:val="none"/>
        </w:rPr>
      </w:pPr>
    </w:p>
    <w:p>
      <w:pPr>
        <w:rPr>
          <w:rFonts w:ascii="宋体" w:eastAsia="宋体" w:hAnsi="宋体" w:cs="宋体"/>
          <w:sz w:val="20"/>
          <w:szCs w:val="20"/>
          <w:highlight w:val="none"/>
        </w:rPr>
      </w:pPr>
    </w:p>
    <w:p>
      <w:pPr>
        <w:snapToGrid w:val="0"/>
        <w:spacing w:line="560" w:lineRule="exact"/>
        <w:rPr>
          <w:rFonts w:ascii="宋体" w:eastAsia="宋体" w:hAnsi="宋体" w:cs="宋体"/>
          <w:color w:val="000000"/>
          <w:sz w:val="30"/>
          <w:szCs w:val="30"/>
          <w:highlight w:val="none"/>
        </w:rPr>
      </w:pPr>
    </w:p>
    <w:p>
      <w:pPr>
        <w:snapToGrid w:val="0"/>
        <w:spacing w:line="460" w:lineRule="exact"/>
        <w:jc w:val="center"/>
        <w:rPr>
          <w:rFonts w:ascii="宋体" w:eastAsia="宋体" w:hAnsi="宋体" w:cs="宋体"/>
          <w:b/>
          <w:bCs/>
          <w:color w:val="000000"/>
          <w:sz w:val="30"/>
          <w:szCs w:val="30"/>
          <w:highlight w:val="none"/>
        </w:rPr>
      </w:pPr>
      <w:r>
        <w:rPr>
          <w:rFonts w:ascii="宋体" w:eastAsia="宋体" w:hAnsi="宋体" w:cs="宋体" w:hint="eastAsia"/>
          <w:b/>
          <w:bCs/>
          <w:color w:val="000000"/>
          <w:sz w:val="30"/>
          <w:szCs w:val="30"/>
          <w:highlight w:val="none"/>
        </w:rPr>
        <w:t>服 务 合 同</w:t>
      </w:r>
    </w:p>
    <w:p>
      <w:pPr>
        <w:snapToGrid w:val="0"/>
        <w:spacing w:line="460" w:lineRule="exact"/>
        <w:jc w:val="center"/>
        <w:rPr>
          <w:rFonts w:ascii="宋体" w:eastAsia="宋体" w:hAnsi="宋体" w:cs="宋体"/>
          <w:color w:val="000000" w:themeColor="text1"/>
          <w:sz w:val="30"/>
          <w:szCs w:val="30"/>
          <w:highlight w:val="none"/>
          <w14:textFill>
            <w14:solidFill>
              <w14:schemeClr w14:val="tx1"/>
            </w14:solidFill>
          </w14:textFill>
        </w:rPr>
      </w:pPr>
    </w:p>
    <w:p>
      <w:pPr>
        <w:snapToGrid w:val="0"/>
        <w:spacing w:line="360" w:lineRule="exact"/>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b/>
          <w:bCs/>
          <w:color w:val="000000" w:themeColor="text1"/>
          <w:sz w:val="20"/>
          <w:szCs w:val="20"/>
          <w:highlight w:val="none"/>
          <w14:textFill>
            <w14:solidFill>
              <w14:schemeClr w14:val="tx1"/>
            </w14:solidFill>
          </w14:textFill>
        </w:rPr>
        <w:t>甲方（</w:t>
      </w:r>
      <w:r>
        <w:rPr>
          <w:rFonts w:ascii="宋体" w:eastAsia="宋体" w:hAnsi="宋体" w:cs="宋体" w:hint="eastAsia"/>
          <w:b/>
          <w:bCs/>
          <w:color w:val="000000" w:themeColor="text1"/>
          <w:highlight w:val="none"/>
          <w14:textFill>
            <w14:solidFill>
              <w14:schemeClr w14:val="tx1"/>
            </w14:solidFill>
          </w14:textFill>
        </w:rPr>
        <w:t>采购人</w:t>
      </w:r>
      <w:r>
        <w:rPr>
          <w:rFonts w:ascii="宋体" w:eastAsia="宋体" w:hAnsi="宋体" w:cs="宋体" w:hint="eastAsia"/>
          <w:b/>
          <w:bCs/>
          <w:color w:val="000000" w:themeColor="text1"/>
          <w:sz w:val="20"/>
          <w:szCs w:val="20"/>
          <w:highlight w:val="none"/>
          <w14:textFill>
            <w14:solidFill>
              <w14:schemeClr w14:val="tx1"/>
            </w14:solidFill>
          </w14:textFill>
        </w:rPr>
        <w:t>）： 深圳职业技术大学</w:t>
      </w:r>
      <w:r>
        <w:rPr>
          <w:rFonts w:ascii="宋体" w:eastAsia="宋体" w:hAnsi="宋体" w:cs="宋体" w:hint="eastAsia"/>
          <w:color w:val="000000" w:themeColor="text1"/>
          <w:sz w:val="20"/>
          <w:szCs w:val="20"/>
          <w:highlight w:val="none"/>
          <w14:textFill>
            <w14:solidFill>
              <w14:schemeClr w14:val="tx1"/>
            </w14:solidFill>
          </w14:textFill>
        </w:rPr>
        <w:tab/>
      </w:r>
    </w:p>
    <w:p>
      <w:pPr>
        <w:snapToGrid w:val="0"/>
        <w:spacing w:line="360" w:lineRule="exact"/>
        <w:rPr>
          <w:rFonts w:ascii="宋体" w:eastAsia="宋体" w:hAnsi="宋体" w:cs="宋体"/>
          <w:b/>
          <w:bCs/>
          <w:color w:val="000000" w:themeColor="text1"/>
          <w:sz w:val="20"/>
          <w:szCs w:val="20"/>
          <w:highlight w:val="none"/>
          <w14:textFill>
            <w14:solidFill>
              <w14:schemeClr w14:val="tx1"/>
            </w14:solidFill>
          </w14:textFill>
        </w:rPr>
      </w:pPr>
      <w:r>
        <w:rPr>
          <w:rFonts w:ascii="宋体" w:eastAsia="宋体" w:hAnsi="宋体" w:cs="宋体" w:hint="eastAsia"/>
          <w:b/>
          <w:bCs/>
          <w:color w:val="000000" w:themeColor="text1"/>
          <w:sz w:val="20"/>
          <w:szCs w:val="20"/>
          <w:highlight w:val="none"/>
          <w14:textFill>
            <w14:solidFill>
              <w14:schemeClr w14:val="tx1"/>
            </w14:solidFill>
          </w14:textFill>
        </w:rPr>
        <w:t>乙方（</w:t>
      </w:r>
      <w:r>
        <w:rPr>
          <w:rFonts w:ascii="宋体" w:eastAsia="宋体" w:hAnsi="宋体" w:cs="宋体" w:hint="eastAsia"/>
          <w:b/>
          <w:bCs/>
          <w:color w:val="000000" w:themeColor="text1"/>
          <w:highlight w:val="none"/>
          <w14:textFill>
            <w14:solidFill>
              <w14:schemeClr w14:val="tx1"/>
            </w14:solidFill>
          </w14:textFill>
        </w:rPr>
        <w:t>供应商</w:t>
      </w:r>
      <w:r>
        <w:rPr>
          <w:rFonts w:ascii="宋体" w:eastAsia="宋体" w:hAnsi="宋体" w:cs="宋体" w:hint="eastAsia"/>
          <w:b/>
          <w:bCs/>
          <w:color w:val="000000" w:themeColor="text1"/>
          <w:sz w:val="20"/>
          <w:szCs w:val="20"/>
          <w:highlight w:val="none"/>
          <w14:textFill>
            <w14:solidFill>
              <w14:schemeClr w14:val="tx1"/>
            </w14:solidFill>
          </w14:textFill>
        </w:rPr>
        <w:t>）：</w:t>
      </w:r>
    </w:p>
    <w:p>
      <w:pPr>
        <w:snapToGrid w:val="0"/>
        <w:spacing w:line="360" w:lineRule="exact"/>
        <w:ind w:firstLine="480" w:firstLineChars="200"/>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依据年月日深圳职业技术大学                 项目（项目编号：     ）的招标（采购）结果，甲、乙双方在招标文件和投标文件基础上，经友好协商，同意签订本合同。乙方投标文件已明确而本合同未约定的内容，以投标文件为准；本合同约定的内容与投标文件不一致的，以本合同为准。</w:t>
      </w:r>
      <w:r>
        <w:rPr>
          <w:rFonts w:ascii="宋体" w:eastAsia="宋体" w:hAnsi="宋体" w:cs="宋体" w:hint="eastAsia"/>
          <w:color w:val="000000" w:themeColor="text1"/>
          <w:sz w:val="20"/>
          <w:szCs w:val="20"/>
          <w:highlight w:val="none"/>
          <w14:textFill>
            <w14:solidFill>
              <w14:schemeClr w14:val="tx1"/>
            </w14:solidFill>
          </w14:textFill>
        </w:rPr>
        <w:tab/>
      </w:r>
    </w:p>
    <w:p>
      <w:pPr>
        <w:snapToGrid w:val="0"/>
        <w:spacing w:line="360" w:lineRule="exact"/>
        <w:ind w:firstLine="480" w:firstLineChars="200"/>
        <w:rPr>
          <w:rFonts w:ascii="宋体" w:eastAsia="宋体" w:hAnsi="宋体" w:cs="宋体"/>
          <w:b/>
          <w:bCs/>
          <w:color w:val="000000"/>
          <w:highlight w:val="none"/>
        </w:rPr>
      </w:pPr>
      <w:r>
        <w:rPr>
          <w:rFonts w:ascii="宋体" w:eastAsia="宋体" w:hAnsi="宋体" w:cs="宋体" w:hint="eastAsia"/>
          <w:b/>
          <w:bCs/>
          <w:color w:val="000000"/>
          <w:highlight w:val="none"/>
        </w:rPr>
        <w:t>第一条  合同标的及价款</w:t>
      </w:r>
    </w:p>
    <w:p>
      <w:pPr>
        <w:snapToGrid w:val="0"/>
        <w:spacing w:line="360" w:lineRule="exact"/>
        <w:ind w:firstLine="56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合同标的：</w:t>
      </w:r>
      <w:r>
        <w:rPr>
          <w:rFonts w:ascii="宋体" w:eastAsia="宋体" w:hAnsi="宋体" w:cs="宋体" w:hint="eastAsia"/>
          <w:color w:val="000000"/>
          <w:sz w:val="20"/>
          <w:szCs w:val="20"/>
          <w:highlight w:val="none"/>
          <w:u w:val="single"/>
        </w:rPr>
        <w:t>项目名称                         项目编号：         。</w:t>
      </w:r>
      <w:r>
        <w:rPr>
          <w:rFonts w:ascii="宋体" w:eastAsia="宋体" w:hAnsi="宋体" w:cs="宋体" w:hint="eastAsia"/>
          <w:color w:val="000000"/>
          <w:sz w:val="20"/>
          <w:szCs w:val="20"/>
          <w:highlight w:val="none"/>
        </w:rPr>
        <w:t>合同总价（元）：（小写）（大写）_________________，本合同总价已包括乙方为履行本合同义务所发生的一切费用。本合同总价系固定不变价格，且不随通货膨胀的影响而波动。</w:t>
      </w:r>
    </w:p>
    <w:p>
      <w:pPr>
        <w:snapToGrid w:val="0"/>
        <w:spacing w:line="360" w:lineRule="exact"/>
        <w:ind w:firstLine="560"/>
        <w:rPr>
          <w:rFonts w:ascii="宋体" w:eastAsia="宋体" w:hAnsi="宋体" w:cs="宋体"/>
          <w:color w:val="C00000"/>
          <w:sz w:val="20"/>
          <w:szCs w:val="20"/>
          <w:highlight w:val="none"/>
        </w:rPr>
      </w:pPr>
      <w:r>
        <w:rPr>
          <w:rFonts w:ascii="宋体" w:eastAsia="宋体" w:hAnsi="宋体" w:cs="宋体" w:hint="eastAsia"/>
          <w:color w:val="000000"/>
          <w:sz w:val="20"/>
          <w:szCs w:val="20"/>
          <w:highlight w:val="none"/>
        </w:rPr>
        <w:t>合同总价所需的补充说明</w:t>
      </w:r>
      <w:r>
        <w:rPr>
          <w:rFonts w:ascii="宋体" w:eastAsia="宋体" w:hAnsi="宋体" w:cs="宋体" w:hint="eastAsia"/>
          <w:color w:val="000000"/>
          <w:sz w:val="20"/>
          <w:szCs w:val="20"/>
          <w:highlight w:val="none"/>
          <w:u w:val="single"/>
        </w:rPr>
        <w:t>______________________________________</w:t>
      </w:r>
      <w:r>
        <w:rPr>
          <w:rFonts w:ascii="宋体" w:eastAsia="宋体" w:hAnsi="宋体" w:cs="宋体" w:hint="eastAsia"/>
          <w:color w:val="000000"/>
          <w:sz w:val="20"/>
          <w:szCs w:val="20"/>
          <w:highlight w:val="none"/>
        </w:rPr>
        <w:t xml:space="preserve"> 。（非必填）</w:t>
      </w:r>
    </w:p>
    <w:p>
      <w:pPr>
        <w:snapToGrid w:val="0"/>
        <w:spacing w:line="360" w:lineRule="exact"/>
        <w:ind w:firstLine="480" w:firstLineChars="200"/>
        <w:rPr>
          <w:rFonts w:ascii="宋体" w:eastAsia="宋体" w:hAnsi="宋体" w:cs="宋体"/>
          <w:b/>
          <w:bCs/>
          <w:color w:val="000000"/>
          <w:highlight w:val="none"/>
        </w:rPr>
      </w:pPr>
      <w:r>
        <w:rPr>
          <w:rFonts w:ascii="宋体" w:eastAsia="宋体" w:hAnsi="宋体" w:cs="宋体" w:hint="eastAsia"/>
          <w:b/>
          <w:bCs/>
          <w:color w:val="000000"/>
          <w:highlight w:val="none"/>
        </w:rPr>
        <w:t>第二条  服务范围、内容与要求</w:t>
      </w:r>
    </w:p>
    <w:p>
      <w:pPr>
        <w:snapToGrid w:val="0"/>
        <w:spacing w:line="360" w:lineRule="exact"/>
        <w:ind w:firstLine="560"/>
        <w:rPr>
          <w:rFonts w:ascii="宋体" w:eastAsia="宋体" w:hAnsi="宋体" w:cs="宋体"/>
          <w:b/>
          <w:bCs/>
          <w:color w:val="FF0000"/>
          <w:highlight w:val="none"/>
        </w:rPr>
      </w:pPr>
      <w:r>
        <w:rPr>
          <w:rFonts w:ascii="宋体" w:eastAsia="宋体" w:hAnsi="宋体" w:cs="宋体" w:hint="eastAsia"/>
          <w:b/>
          <w:bCs/>
          <w:color w:val="FF0000"/>
          <w:highlight w:val="none"/>
          <w:u w:val="single"/>
        </w:rPr>
        <w:t>(根据采购文件拟定，编辑后请将此提示内容删除)</w:t>
      </w:r>
    </w:p>
    <w:p>
      <w:pPr>
        <w:snapToGrid w:val="0"/>
        <w:spacing w:line="360" w:lineRule="exact"/>
        <w:ind w:firstLine="480" w:firstLineChars="200"/>
        <w:rPr>
          <w:rFonts w:ascii="宋体" w:eastAsia="宋体" w:hAnsi="宋体" w:cs="宋体"/>
          <w:b/>
          <w:bCs/>
          <w:color w:val="000000"/>
          <w:highlight w:val="none"/>
        </w:rPr>
      </w:pPr>
      <w:r>
        <w:rPr>
          <w:rFonts w:ascii="宋体" w:eastAsia="宋体" w:hAnsi="宋体" w:cs="宋体" w:hint="eastAsia"/>
          <w:b/>
          <w:bCs/>
          <w:color w:val="000000"/>
          <w:highlight w:val="none"/>
        </w:rPr>
        <w:t>第三条  服务期限</w:t>
      </w:r>
    </w:p>
    <w:p>
      <w:pPr>
        <w:snapToGrid w:val="0"/>
        <w:spacing w:line="360" w:lineRule="exact"/>
        <w:ind w:firstLine="56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本项目服务期限</w:t>
      </w:r>
      <w:r>
        <w:rPr>
          <w:rFonts w:ascii="宋体" w:eastAsia="宋体" w:hAnsi="宋体" w:cs="宋体" w:hint="eastAsia"/>
          <w:sz w:val="20"/>
          <w:szCs w:val="20"/>
          <w:highlight w:val="none"/>
        </w:rPr>
        <w:t>（注：</w:t>
      </w:r>
      <w:r>
        <w:rPr>
          <w:rFonts w:ascii="宋体" w:eastAsia="宋体" w:hAnsi="宋体" w:cs="宋体" w:hint="eastAsia"/>
          <w:color w:val="FF0000"/>
          <w:sz w:val="20"/>
          <w:szCs w:val="20"/>
          <w:highlight w:val="none"/>
        </w:rPr>
        <w:t>以下两个选项必须二选一，勾选</w:t>
      </w:r>
      <w:r>
        <w:rPr>
          <w:rFonts w:ascii="宋体" w:eastAsia="宋体" w:hAnsi="宋体" w:cs="宋体" w:hint="eastAsia"/>
          <w:sz w:val="20"/>
          <w:szCs w:val="20"/>
          <w:highlight w:val="none"/>
        </w:rPr>
        <w:t>）</w:t>
      </w:r>
    </w:p>
    <w:p>
      <w:pPr>
        <w:snapToGrid w:val="0"/>
        <w:spacing w:line="360" w:lineRule="exact"/>
        <w:ind w:firstLine="56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□本项目为非长期服务项目。服务期限为</w:t>
      </w:r>
    </w:p>
    <w:p>
      <w:pPr>
        <w:snapToGrid w:val="0"/>
        <w:spacing w:line="360" w:lineRule="exact"/>
        <w:ind w:firstLine="56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□本项目为非长期服务项目，自合同签订之日起  个日历日内交付，免费维护期限1年。</w:t>
      </w:r>
    </w:p>
    <w:p>
      <w:pPr>
        <w:snapToGrid w:val="0"/>
        <w:spacing w:line="360" w:lineRule="exact"/>
        <w:ind w:firstLine="470" w:firstLineChars="196"/>
        <w:rPr>
          <w:rFonts w:ascii="宋体" w:eastAsia="宋体" w:hAnsi="宋体" w:cs="宋体"/>
          <w:b/>
          <w:bCs/>
          <w:color w:val="000000" w:themeColor="text1"/>
          <w:sz w:val="20"/>
          <w:szCs w:val="20"/>
          <w:highlight w:val="none"/>
          <w14:textFill>
            <w14:solidFill>
              <w14:schemeClr w14:val="tx1"/>
            </w14:solidFill>
          </w14:textFill>
        </w:rPr>
      </w:pPr>
      <w:r>
        <w:rPr>
          <w:rFonts w:ascii="宋体" w:eastAsia="宋体" w:hAnsi="宋体" w:cs="宋体" w:hint="eastAsia"/>
          <w:b/>
          <w:bCs/>
          <w:color w:val="000000"/>
          <w:highlight w:val="none"/>
        </w:rPr>
        <w:t xml:space="preserve">第四条  </w:t>
      </w:r>
      <w:r>
        <w:rPr>
          <w:rFonts w:ascii="宋体" w:eastAsia="宋体" w:hAnsi="宋体" w:cs="宋体" w:hint="eastAsia"/>
          <w:b/>
          <w:bCs/>
          <w:color w:val="000000" w:themeColor="text1"/>
          <w:sz w:val="20"/>
          <w:szCs w:val="20"/>
          <w:highlight w:val="none"/>
          <w14:textFill>
            <w14:solidFill>
              <w14:schemeClr w14:val="tx1"/>
            </w14:solidFill>
          </w14:textFill>
        </w:rPr>
        <w:t>履约保证金</w:t>
      </w:r>
      <w:r>
        <w:rPr>
          <w:rFonts w:ascii="宋体" w:eastAsia="宋体" w:hAnsi="宋体" w:cs="宋体" w:hint="eastAsia"/>
          <w:b/>
          <w:bCs/>
          <w:color w:val="FF0000"/>
          <w:sz w:val="20"/>
          <w:szCs w:val="20"/>
          <w:highlight w:val="none"/>
        </w:rPr>
        <w:t xml:space="preserve">（有 □，无 </w:t>
      </w:r>
      <w:r>
        <w:rPr>
          <w:rFonts w:ascii="Wingdings 2" w:eastAsia="宋体" w:hAnsi="Wingdings 2" w:cs="宋体" w:hint="eastAsia"/>
          <w:b/>
          <w:bCs/>
          <w:color w:val="FF0000"/>
          <w:sz w:val="20"/>
          <w:szCs w:val="20"/>
          <w:highlight w:val="none"/>
        </w:rPr>
        <w:t>R</w:t>
      </w:r>
      <w:r>
        <w:rPr>
          <w:rFonts w:ascii="宋体" w:eastAsia="宋体" w:hAnsi="宋体" w:cs="宋体" w:hint="eastAsia"/>
          <w:b/>
          <w:bCs/>
          <w:color w:val="FF0000"/>
          <w:sz w:val="20"/>
          <w:szCs w:val="20"/>
          <w:highlight w:val="none"/>
        </w:rPr>
        <w:t xml:space="preserve">  勾选）</w:t>
      </w:r>
    </w:p>
    <w:p>
      <w:pPr>
        <w:snapToGrid w:val="0"/>
        <w:spacing w:line="360" w:lineRule="exact"/>
        <w:ind w:firstLine="56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自合同签订后______个工作日内，乙方应按照采购文件约定向甲方支付本项目履约保证金________元（大写：          ，以履约保函的形式支付 ）。如乙方未能履行合同约定的义务，甲方有权就其所遭受的损失与履约保证金作相应抵扣；若乙方履行义务符合合同约定，甲方将履约保证金无息退还乙方。</w:t>
      </w:r>
    </w:p>
    <w:p>
      <w:pPr>
        <w:numPr>
          <w:ilvl w:val="0"/>
          <w:numId w:val="3"/>
        </w:numPr>
        <w:snapToGrid w:val="0"/>
        <w:spacing w:line="360" w:lineRule="exact"/>
        <w:ind w:firstLine="480" w:firstLineChars="200"/>
        <w:rPr>
          <w:rFonts w:ascii="宋体" w:eastAsia="宋体" w:hAnsi="宋体" w:cs="宋体"/>
          <w:b/>
          <w:bCs/>
          <w:color w:val="000000"/>
          <w:highlight w:val="none"/>
        </w:rPr>
      </w:pPr>
      <w:r>
        <w:rPr>
          <w:rFonts w:ascii="宋体" w:eastAsia="宋体" w:hAnsi="宋体" w:cs="宋体" w:hint="eastAsia"/>
          <w:b/>
          <w:bCs/>
          <w:color w:val="000000"/>
          <w:highlight w:val="none"/>
        </w:rPr>
        <w:t xml:space="preserve"> 付款方式 </w:t>
      </w:r>
    </w:p>
    <w:p>
      <w:pPr>
        <w:snapToGrid w:val="0"/>
        <w:spacing w:line="360" w:lineRule="exact"/>
        <w:ind w:firstLine="56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lang w:val="en-US" w:eastAsia="zh-CN"/>
        </w:rPr>
        <w:t>1.</w:t>
      </w:r>
      <w:r>
        <w:rPr>
          <w:rFonts w:ascii="宋体" w:eastAsia="宋体" w:hAnsi="宋体" w:cs="宋体" w:hint="eastAsia"/>
          <w:color w:val="000000"/>
          <w:sz w:val="20"/>
          <w:szCs w:val="20"/>
          <w:highlight w:val="none"/>
        </w:rPr>
        <w:t>本项目为跨年支付项目。</w:t>
      </w:r>
    </w:p>
    <w:p>
      <w:pPr>
        <w:snapToGrid w:val="0"/>
        <w:spacing w:line="360" w:lineRule="exact"/>
        <w:ind w:firstLine="56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lang w:val="en-US" w:eastAsia="zh-CN"/>
        </w:rPr>
        <w:t>2.</w:t>
      </w:r>
      <w:r>
        <w:rPr>
          <w:rFonts w:ascii="宋体" w:eastAsia="宋体" w:hAnsi="宋体" w:cs="宋体" w:hint="eastAsia"/>
          <w:color w:val="000000"/>
          <w:sz w:val="20"/>
          <w:szCs w:val="20"/>
          <w:highlight w:val="none"/>
        </w:rPr>
        <w:t>采购人在合同签订后20个工作日内向中标人支付合同总额的60%作为预付款，中标人提供相应发票；第二年中标人维护期满且验收合格后20个工作日内采购人向中标人支付余款（即合同总额的40%），中标人提供相应发票。</w:t>
      </w:r>
    </w:p>
    <w:p>
      <w:pPr>
        <w:snapToGrid w:val="0"/>
        <w:spacing w:line="360" w:lineRule="exact"/>
        <w:ind w:firstLine="480" w:firstLineChars="200"/>
        <w:rPr>
          <w:rFonts w:ascii="宋体" w:eastAsia="宋体" w:hAnsi="宋体" w:cs="宋体"/>
          <w:b/>
          <w:bCs/>
          <w:color w:val="000000"/>
          <w:highlight w:val="none"/>
        </w:rPr>
      </w:pPr>
      <w:r>
        <w:rPr>
          <w:rFonts w:ascii="宋体" w:eastAsia="宋体" w:hAnsi="宋体" w:cs="宋体" w:hint="eastAsia"/>
          <w:b/>
          <w:bCs/>
          <w:color w:val="000000"/>
          <w:highlight w:val="none"/>
        </w:rPr>
        <w:t>第六条  双方的权利和义务</w:t>
      </w:r>
    </w:p>
    <w:p>
      <w:pPr>
        <w:snapToGrid w:val="0"/>
        <w:spacing w:line="360" w:lineRule="exact"/>
        <w:ind w:firstLine="560"/>
        <w:rPr>
          <w:rFonts w:ascii="宋体" w:eastAsia="宋体" w:hAnsi="宋体" w:cs="宋体"/>
          <w:b/>
          <w:bCs/>
          <w:color w:val="FF0000"/>
          <w:highlight w:val="none"/>
          <w:u w:val="single"/>
        </w:rPr>
      </w:pPr>
      <w:r>
        <w:rPr>
          <w:rFonts w:ascii="宋体" w:eastAsia="宋体" w:hAnsi="宋体" w:cs="宋体" w:hint="eastAsia"/>
          <w:b/>
          <w:bCs/>
          <w:color w:val="FF0000"/>
          <w:highlight w:val="none"/>
          <w:u w:val="single"/>
        </w:rPr>
        <w:t>（可编辑修改，编辑后请将此提示内容删除）</w:t>
      </w:r>
    </w:p>
    <w:p>
      <w:pPr>
        <w:snapToGrid w:val="0"/>
        <w:spacing w:line="360" w:lineRule="exact"/>
        <w:ind w:firstLine="56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提示：双方的权利和义务应遵守不违背采购文件的原则。</w:t>
      </w:r>
    </w:p>
    <w:p>
      <w:pPr>
        <w:snapToGrid w:val="0"/>
        <w:spacing w:line="360" w:lineRule="exact"/>
        <w:ind w:firstLine="56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(一)甲方权利、义务</w:t>
      </w:r>
    </w:p>
    <w:p>
      <w:pPr>
        <w:snapToGrid w:val="0"/>
        <w:spacing w:line="360" w:lineRule="exact"/>
        <w:ind w:firstLine="560"/>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1.甲方按照合同约定向乙方支付服务价款；</w:t>
      </w:r>
    </w:p>
    <w:p>
      <w:pPr>
        <w:snapToGrid w:val="0"/>
        <w:spacing w:line="360" w:lineRule="exact"/>
        <w:ind w:firstLine="560"/>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 xml:space="preserve"> 2.甲方应向乙方提供与乙方服务相关的资料。</w:t>
      </w:r>
    </w:p>
    <w:p>
      <w:pPr>
        <w:snapToGrid w:val="0"/>
        <w:spacing w:line="360" w:lineRule="exact"/>
        <w:ind w:firstLine="56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(二)乙方权利、义务</w:t>
      </w:r>
    </w:p>
    <w:p>
      <w:pPr>
        <w:snapToGrid w:val="0"/>
        <w:spacing w:line="360" w:lineRule="exact"/>
        <w:ind w:firstLine="560"/>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 xml:space="preserve"> 1.乙方可要求甲方按本合同的规定按时支付服务价款；</w:t>
      </w:r>
    </w:p>
    <w:p>
      <w:pPr>
        <w:snapToGrid w:val="0"/>
        <w:spacing w:line="360" w:lineRule="exact"/>
        <w:ind w:firstLine="560"/>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 xml:space="preserve"> 2.乙方应按照合同约定向甲方交付与合同相关的服务；</w:t>
      </w:r>
    </w:p>
    <w:p>
      <w:pPr>
        <w:snapToGrid w:val="0"/>
        <w:spacing w:line="360" w:lineRule="exact"/>
        <w:ind w:firstLine="560"/>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 xml:space="preserve"> 3.乙方在履行合同过程中，不得将服务项目委托给第三人，应按本合同如实报告项目进展情况，按时、按标准完成项目任务。如乙方未能在合同期内完成全部项目的服务内容，合同结束后，应将相应款项返还甲方并承担违约责任；</w:t>
      </w:r>
    </w:p>
    <w:p>
      <w:pPr>
        <w:snapToGrid w:val="0"/>
        <w:spacing w:line="360" w:lineRule="exact"/>
        <w:ind w:firstLine="560"/>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 xml:space="preserve"> 4.乙方应保守因与甲方合作过程中所获得的甲方商业秘密。</w:t>
      </w:r>
    </w:p>
    <w:p>
      <w:pPr>
        <w:snapToGrid w:val="0"/>
        <w:spacing w:line="360" w:lineRule="exact"/>
        <w:ind w:firstLine="480" w:firstLineChars="200"/>
        <w:rPr>
          <w:rFonts w:ascii="宋体" w:eastAsia="宋体" w:hAnsi="宋体" w:cs="宋体"/>
          <w:b/>
          <w:bCs/>
          <w:color w:val="000000"/>
          <w:highlight w:val="none"/>
        </w:rPr>
      </w:pPr>
      <w:r>
        <w:rPr>
          <w:rFonts w:ascii="宋体" w:eastAsia="宋体" w:hAnsi="宋体" w:cs="宋体" w:hint="eastAsia"/>
          <w:b/>
          <w:bCs/>
          <w:color w:val="000000"/>
          <w:highlight w:val="none"/>
        </w:rPr>
        <w:t>第七条  违约责任</w:t>
      </w:r>
    </w:p>
    <w:p>
      <w:pPr>
        <w:snapToGrid w:val="0"/>
        <w:spacing w:line="360" w:lineRule="exact"/>
        <w:ind w:firstLine="480" w:firstLineChars="200"/>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合同生效后，乙方逾期提供服务，甲方可向乙方主张每日支付合同总价千分之三的违约金。乙方所交付的服务不符合同约定标准的，甲方有权拒绝。乙方不能依约提供技术服务或单方终止合同，甲方可向乙方主张不超过合同总价百分之三十的违约金并承担相应的违约责任。</w:t>
      </w:r>
    </w:p>
    <w:p>
      <w:pPr>
        <w:snapToGrid w:val="0"/>
        <w:spacing w:line="360" w:lineRule="exact"/>
        <w:ind w:firstLine="480" w:firstLineChars="200"/>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乙方交付的服务存在甲方验收人员在验收时无法肉眼现场发现的质量问题，包括但不限于产品技术质量问题、使用后才能发现的问题、专业仪器检测才能发现的问题、假冒产品经原厂或专业部门检测后发现的问题等，甲方有权在质保期内向乙方主张退货或换货，并可向乙方主张不超过合同总价百分之三十的违约金并承担相应的违约责任。</w:t>
      </w:r>
    </w:p>
    <w:p>
      <w:pPr>
        <w:snapToGrid w:val="0"/>
        <w:spacing w:line="360" w:lineRule="exact"/>
        <w:ind w:firstLine="480" w:firstLineChars="200"/>
        <w:rPr>
          <w:rFonts w:ascii="宋体" w:eastAsia="宋体" w:hAnsi="宋体" w:cs="宋体"/>
          <w:b/>
          <w:bCs/>
          <w:color w:val="000000" w:themeColor="text1"/>
          <w:highlight w:val="none"/>
          <w14:textFill>
            <w14:solidFill>
              <w14:schemeClr w14:val="tx1"/>
            </w14:solidFill>
          </w14:textFill>
        </w:rPr>
      </w:pPr>
      <w:r>
        <w:rPr>
          <w:rFonts w:ascii="宋体" w:eastAsia="宋体" w:hAnsi="宋体" w:cs="宋体" w:hint="eastAsia"/>
          <w:b/>
          <w:bCs/>
          <w:color w:val="000000" w:themeColor="text1"/>
          <w:highlight w:val="none"/>
          <w14:textFill>
            <w14:solidFill>
              <w14:schemeClr w14:val="tx1"/>
            </w14:solidFill>
          </w14:textFill>
        </w:rPr>
        <w:t>第八条  知识产权</w:t>
      </w:r>
    </w:p>
    <w:p>
      <w:pPr>
        <w:snapToGrid w:val="0"/>
        <w:spacing w:line="360" w:lineRule="exact"/>
        <w:ind w:firstLine="480" w:firstLineChars="200"/>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一）乙方实施本项目不得侵犯第三人知识产权以及其他权益，否则，乙方应赔偿甲方因此遭受的一切损失（包括但不限于赔偿金、违约金、律师费、调查取证费、差旅费等）。需要使用第三人知识产权的，乙方应取得权利人许可或授权并由乙方承担费用。</w:t>
      </w:r>
    </w:p>
    <w:p>
      <w:pPr>
        <w:snapToGrid w:val="0"/>
        <w:spacing w:line="3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themeColor="text1"/>
          <w:sz w:val="20"/>
          <w:szCs w:val="20"/>
          <w:highlight w:val="none"/>
          <w14:textFill>
            <w14:solidFill>
              <w14:schemeClr w14:val="tx1"/>
            </w14:solidFill>
          </w14:textFill>
        </w:rPr>
        <w:t>（二）除第三人依法享有知识产权的</w:t>
      </w:r>
      <w:r>
        <w:rPr>
          <w:rFonts w:ascii="宋体" w:eastAsia="宋体" w:hAnsi="宋体" w:cs="宋体" w:hint="eastAsia"/>
          <w:color w:val="000000"/>
          <w:sz w:val="20"/>
          <w:szCs w:val="20"/>
          <w:highlight w:val="none"/>
        </w:rPr>
        <w:t>除外，乙方实施本项目所形成成果的知识产品归甲方所有，未经甲方许可，乙方不得随意使用。</w:t>
      </w:r>
    </w:p>
    <w:p>
      <w:pPr>
        <w:snapToGrid w:val="0"/>
        <w:spacing w:line="360" w:lineRule="exact"/>
        <w:ind w:firstLine="480" w:firstLineChars="200"/>
        <w:rPr>
          <w:rFonts w:ascii="宋体" w:eastAsia="宋体" w:hAnsi="宋体" w:cs="宋体"/>
          <w:b/>
          <w:bCs/>
          <w:color w:val="000000"/>
          <w:highlight w:val="none"/>
        </w:rPr>
      </w:pPr>
      <w:r>
        <w:rPr>
          <w:rFonts w:ascii="宋体" w:eastAsia="宋体" w:hAnsi="宋体" w:cs="宋体" w:hint="eastAsia"/>
          <w:b/>
          <w:bCs/>
          <w:color w:val="000000"/>
          <w:highlight w:val="none"/>
        </w:rPr>
        <w:t>第九条  不可抗力</w:t>
      </w:r>
    </w:p>
    <w:p>
      <w:pPr>
        <w:snapToGrid w:val="0"/>
        <w:spacing w:line="360" w:lineRule="exact"/>
        <w:ind w:firstLine="480" w:firstLineChars="200"/>
        <w:rPr>
          <w:rFonts w:ascii="宋体" w:eastAsia="宋体" w:hAnsi="宋体" w:cs="宋体"/>
          <w:b/>
          <w:bCs/>
          <w:color w:val="000000"/>
          <w:highlight w:val="none"/>
        </w:rPr>
      </w:pPr>
      <w:r>
        <w:rPr>
          <w:rFonts w:ascii="宋体" w:eastAsia="宋体" w:hAnsi="宋体" w:cs="宋体" w:hint="eastAsia"/>
          <w:color w:val="000000"/>
          <w:sz w:val="20"/>
          <w:szCs w:val="20"/>
          <w:highlight w:val="none"/>
        </w:rPr>
        <w:t>（一）不可抗力事件系指双方在签订合同时所不能预见的，并且它的发生及其后果是无法避免和无法克服的事件，诸如：战争或严重火灾、洪水、台风、地震等自然灾害。</w:t>
      </w:r>
    </w:p>
    <w:p>
      <w:pPr>
        <w:snapToGrid w:val="0"/>
        <w:spacing w:line="360" w:lineRule="exact"/>
        <w:ind w:firstLine="480" w:firstLineChars="200"/>
        <w:rPr>
          <w:rFonts w:ascii="宋体" w:eastAsia="宋体" w:hAnsi="宋体" w:cs="宋体"/>
          <w:b/>
          <w:bCs/>
          <w:color w:val="000000"/>
          <w:highlight w:val="none"/>
        </w:rPr>
      </w:pPr>
      <w:r>
        <w:rPr>
          <w:rFonts w:ascii="宋体" w:eastAsia="宋体" w:hAnsi="宋体" w:cs="宋体" w:hint="eastAsia"/>
          <w:color w:val="000000"/>
          <w:sz w:val="20"/>
          <w:szCs w:val="20"/>
          <w:highlight w:val="none"/>
        </w:rPr>
        <w:t>（二）因不可抗力造成违约的，遭受不可抗力一方应及时向对方通报不能履行或不能完全履行的理由，并在随后取得有关主管机关证明后的15</w:t>
      </w:r>
      <w:r>
        <w:rPr>
          <w:rFonts w:ascii="宋体" w:eastAsia="宋体" w:hAnsi="宋体" w:cs="宋体" w:hint="eastAsia"/>
          <w:sz w:val="20"/>
          <w:szCs w:val="20"/>
          <w:highlight w:val="none"/>
        </w:rPr>
        <w:t>个日历日</w:t>
      </w:r>
      <w:r>
        <w:rPr>
          <w:rFonts w:ascii="宋体" w:eastAsia="宋体" w:hAnsi="宋体" w:cs="宋体" w:hint="eastAsia"/>
          <w:color w:val="000000"/>
          <w:sz w:val="20"/>
          <w:szCs w:val="20"/>
          <w:highlight w:val="none"/>
        </w:rPr>
        <w:t>内向另一方提供不抗可力发生及持续期间内的充分证据。基于以上行为，允许遭受不可抗力一方延期履行、部分履行或不履行合同，并根据情况可部分或全部免于承担违约责任。</w:t>
      </w:r>
    </w:p>
    <w:p>
      <w:pPr>
        <w:snapToGrid w:val="0"/>
        <w:spacing w:line="360" w:lineRule="exact"/>
        <w:ind w:firstLine="480" w:firstLineChars="200"/>
        <w:rPr>
          <w:rFonts w:ascii="宋体" w:eastAsia="宋体" w:hAnsi="宋体" w:cs="宋体"/>
          <w:b/>
          <w:bCs/>
          <w:color w:val="000000"/>
          <w:highlight w:val="none"/>
        </w:rPr>
      </w:pPr>
      <w:r>
        <w:rPr>
          <w:rFonts w:ascii="宋体" w:eastAsia="宋体" w:hAnsi="宋体" w:cs="宋体" w:hint="eastAsia"/>
          <w:b/>
          <w:bCs/>
          <w:color w:val="000000"/>
          <w:highlight w:val="none"/>
        </w:rPr>
        <w:t>第十条  合同解除</w:t>
      </w:r>
    </w:p>
    <w:p>
      <w:pPr>
        <w:snapToGrid w:val="0"/>
        <w:spacing w:line="360" w:lineRule="exact"/>
        <w:ind w:firstLine="480" w:firstLineChars="200"/>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 xml:space="preserve">有下列情形之一的，当事人可以解除合同： </w:t>
      </w:r>
    </w:p>
    <w:p>
      <w:pPr>
        <w:snapToGrid w:val="0"/>
        <w:spacing w:line="360" w:lineRule="exact"/>
        <w:ind w:firstLine="480" w:firstLineChars="200"/>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（一）因不可抗力致使不能实现合同目的；</w:t>
      </w:r>
    </w:p>
    <w:p>
      <w:pPr>
        <w:snapToGrid w:val="0"/>
        <w:spacing w:line="360" w:lineRule="exact"/>
        <w:ind w:firstLine="480" w:firstLineChars="200"/>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（二）由于乙方的原因未能在本合同约定的交货期或工期交货或移交的，逾期超过 15 个日历日仍不能交货或移交的，或乙方所交付的产品品牌、型号、规格、质量不符合同规定标准的，并经过15个日历日整改仍不达标的，甲方有权单方解除合同并要求乙方承担相应的违约责任，同时赔偿由此给甲方造成的其他经济损失。</w:t>
      </w:r>
    </w:p>
    <w:p>
      <w:pPr>
        <w:snapToGrid w:val="0"/>
        <w:spacing w:line="360" w:lineRule="exact"/>
        <w:ind w:firstLine="480" w:firstLineChars="200"/>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（三）法律规定的其他情形。</w:t>
      </w:r>
    </w:p>
    <w:p>
      <w:pPr>
        <w:snapToGrid w:val="0"/>
        <w:spacing w:line="360" w:lineRule="exact"/>
        <w:ind w:firstLine="480" w:firstLineChars="200"/>
        <w:rPr>
          <w:rFonts w:ascii="宋体" w:eastAsia="宋体" w:hAnsi="宋体" w:cs="宋体"/>
          <w:b/>
          <w:bCs/>
          <w:color w:val="000000"/>
          <w:highlight w:val="none"/>
        </w:rPr>
      </w:pPr>
      <w:r>
        <w:rPr>
          <w:rFonts w:ascii="宋体" w:eastAsia="宋体" w:hAnsi="宋体" w:cs="宋体" w:hint="eastAsia"/>
          <w:b/>
          <w:bCs/>
          <w:color w:val="000000"/>
          <w:highlight w:val="none"/>
        </w:rPr>
        <w:t>第十一条  争议的解决</w:t>
      </w:r>
    </w:p>
    <w:p>
      <w:pPr>
        <w:snapToGrid w:val="0"/>
        <w:spacing w:line="360" w:lineRule="exact"/>
        <w:ind w:firstLine="480" w:firstLineChars="200"/>
        <w:rPr>
          <w:rFonts w:ascii="宋体" w:eastAsia="宋体" w:hAnsi="宋体" w:cs="宋体"/>
          <w:color w:val="FF0000"/>
          <w:sz w:val="20"/>
          <w:szCs w:val="20"/>
          <w:highlight w:val="none"/>
        </w:rPr>
      </w:pPr>
      <w:r>
        <w:rPr>
          <w:rFonts w:ascii="宋体" w:eastAsia="宋体" w:hAnsi="宋体" w:cs="宋体" w:hint="eastAsia"/>
          <w:color w:val="000000" w:themeColor="text1"/>
          <w:sz w:val="20"/>
          <w:szCs w:val="20"/>
          <w:highlight w:val="none"/>
          <w14:textFill>
            <w14:solidFill>
              <w14:schemeClr w14:val="tx1"/>
            </w14:solidFill>
          </w14:textFill>
        </w:rPr>
        <w:t>凡因本协议引起的或与本协议有关的任何争议，由双方友好协商解决。协商不成时，双方均有权向深圳市南山区人民法院提起诉讼。</w:t>
      </w:r>
    </w:p>
    <w:p>
      <w:pPr>
        <w:snapToGrid w:val="0"/>
        <w:spacing w:line="360" w:lineRule="exact"/>
        <w:ind w:firstLine="480" w:firstLineChars="200"/>
        <w:rPr>
          <w:rFonts w:ascii="宋体" w:eastAsia="宋体" w:hAnsi="宋体" w:cs="宋体"/>
          <w:b/>
          <w:bCs/>
          <w:color w:val="000000"/>
          <w:highlight w:val="none"/>
        </w:rPr>
      </w:pPr>
      <w:r>
        <w:rPr>
          <w:rFonts w:ascii="宋体" w:eastAsia="宋体" w:hAnsi="宋体" w:cs="宋体" w:hint="eastAsia"/>
          <w:b/>
          <w:bCs/>
          <w:color w:val="000000"/>
          <w:highlight w:val="none"/>
        </w:rPr>
        <w:t xml:space="preserve">第十二条  其他补充条款   </w:t>
      </w:r>
    </w:p>
    <w:p>
      <w:pPr>
        <w:snapToGrid w:val="0"/>
        <w:spacing w:line="360" w:lineRule="exact"/>
        <w:ind w:left="567"/>
        <w:rPr>
          <w:rFonts w:ascii="宋体" w:eastAsia="宋体" w:hAnsi="宋体" w:cs="宋体"/>
          <w:color w:val="000000"/>
          <w:highlight w:val="none"/>
        </w:rPr>
      </w:pPr>
    </w:p>
    <w:p>
      <w:pPr>
        <w:snapToGrid w:val="0"/>
        <w:spacing w:line="360" w:lineRule="exact"/>
        <w:ind w:firstLine="560"/>
        <w:rPr>
          <w:rFonts w:ascii="宋体" w:eastAsia="宋体" w:hAnsi="宋体" w:cs="宋体"/>
          <w:color w:val="000000"/>
          <w:highlight w:val="none"/>
        </w:rPr>
      </w:pPr>
      <w:r>
        <w:rPr>
          <w:rFonts w:ascii="宋体" w:eastAsia="宋体" w:hAnsi="宋体" w:cs="宋体" w:hint="eastAsia"/>
          <w:b/>
          <w:bCs/>
          <w:color w:val="000000"/>
          <w:highlight w:val="none"/>
        </w:rPr>
        <w:t>提示</w:t>
      </w:r>
      <w:r>
        <w:rPr>
          <w:rFonts w:ascii="宋体" w:eastAsia="宋体" w:hAnsi="宋体" w:cs="宋体" w:hint="eastAsia"/>
          <w:color w:val="000000"/>
          <w:highlight w:val="none"/>
        </w:rPr>
        <w:t>：其他补充条款为以下内容：①采购文件中需要在合同中体现的内容；②采购文件中没有的，但不违背采购文件的实质性条款。</w:t>
      </w:r>
    </w:p>
    <w:p>
      <w:pPr>
        <w:snapToGrid w:val="0"/>
        <w:spacing w:line="360" w:lineRule="exact"/>
        <w:ind w:firstLine="480" w:firstLineChars="200"/>
        <w:rPr>
          <w:rFonts w:ascii="宋体" w:eastAsia="宋体" w:hAnsi="宋体" w:cs="宋体"/>
          <w:b/>
          <w:bCs/>
          <w:color w:val="000000"/>
          <w:highlight w:val="none"/>
        </w:rPr>
      </w:pPr>
      <w:r>
        <w:rPr>
          <w:rFonts w:ascii="宋体" w:eastAsia="宋体" w:hAnsi="宋体" w:cs="宋体" w:hint="eastAsia"/>
          <w:b/>
          <w:bCs/>
          <w:color w:val="000000"/>
          <w:highlight w:val="none"/>
        </w:rPr>
        <w:t>第十三条   合同生效及其他</w:t>
      </w:r>
    </w:p>
    <w:p>
      <w:pPr>
        <w:snapToGrid w:val="0"/>
        <w:spacing w:line="360" w:lineRule="exact"/>
        <w:ind w:firstLine="480" w:firstLineChars="200"/>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（一）本合同未尽事宜，双方可另行补充。</w:t>
      </w:r>
    </w:p>
    <w:p>
      <w:pPr>
        <w:snapToGrid w:val="0"/>
        <w:spacing w:line="360" w:lineRule="exact"/>
        <w:ind w:firstLine="480" w:firstLineChars="200"/>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（二）本合同一式 份，具有同等法律效力。本合同自双方法定代表人（或授权代表）签字并盖章之日起生效。</w:t>
      </w:r>
    </w:p>
    <w:p>
      <w:pPr>
        <w:snapToGrid w:val="0"/>
        <w:spacing w:line="460" w:lineRule="exact"/>
        <w:ind w:firstLine="480" w:firstLineChars="200"/>
        <w:rPr>
          <w:rFonts w:ascii="宋体" w:eastAsia="宋体" w:hAnsi="宋体" w:cs="宋体"/>
          <w:color w:val="000000"/>
          <w:sz w:val="20"/>
          <w:szCs w:val="20"/>
          <w:highlight w:val="none"/>
        </w:rPr>
      </w:pPr>
    </w:p>
    <w:p>
      <w:pPr>
        <w:snapToGrid w:val="0"/>
        <w:spacing w:line="4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甲方：深圳职业技术大学(盖章)</w:t>
      </w:r>
      <w:r>
        <w:rPr>
          <w:rFonts w:ascii="宋体" w:eastAsia="宋体" w:hAnsi="宋体" w:cs="宋体" w:hint="eastAsia"/>
          <w:color w:val="000000"/>
          <w:sz w:val="20"/>
          <w:szCs w:val="20"/>
          <w:highlight w:val="none"/>
        </w:rPr>
        <w:tab/>
      </w:r>
    </w:p>
    <w:p>
      <w:pPr>
        <w:snapToGrid w:val="0"/>
        <w:spacing w:line="4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地址：广东省深圳市西丽湖深圳职业技术大学</w:t>
      </w:r>
      <w:r>
        <w:rPr>
          <w:rFonts w:ascii="宋体" w:eastAsia="宋体" w:hAnsi="宋体" w:cs="宋体" w:hint="eastAsia"/>
          <w:color w:val="000000"/>
          <w:sz w:val="20"/>
          <w:szCs w:val="20"/>
          <w:highlight w:val="none"/>
        </w:rPr>
        <w:tab/>
      </w:r>
    </w:p>
    <w:p>
      <w:pPr>
        <w:snapToGrid w:val="0"/>
        <w:spacing w:line="4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邮编：518055</w:t>
      </w:r>
    </w:p>
    <w:p>
      <w:pPr>
        <w:snapToGrid w:val="0"/>
        <w:spacing w:line="4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办公室电话:</w:t>
      </w:r>
    </w:p>
    <w:p>
      <w:pPr>
        <w:snapToGrid w:val="0"/>
        <w:spacing w:line="4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办公室传真：</w:t>
      </w:r>
    </w:p>
    <w:p>
      <w:pPr>
        <w:snapToGrid w:val="0"/>
        <w:spacing w:line="4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开户银行：平安银行深圳西丽支行</w:t>
      </w:r>
    </w:p>
    <w:p>
      <w:pPr>
        <w:snapToGrid w:val="0"/>
        <w:spacing w:line="4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银行账号：0332100256013</w:t>
      </w:r>
    </w:p>
    <w:p>
      <w:pPr>
        <w:snapToGrid w:val="0"/>
        <w:spacing w:line="4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甲方代表签字：</w:t>
      </w:r>
      <w:r>
        <w:rPr>
          <w:rFonts w:ascii="宋体" w:eastAsia="宋体" w:hAnsi="宋体" w:cs="宋体" w:hint="eastAsia"/>
          <w:color w:val="000000"/>
          <w:sz w:val="20"/>
          <w:szCs w:val="20"/>
          <w:highlight w:val="none"/>
        </w:rPr>
        <w:tab/>
      </w:r>
      <w:r>
        <w:rPr>
          <w:rFonts w:ascii="宋体" w:eastAsia="宋体" w:hAnsi="宋体" w:cs="宋体" w:hint="eastAsia"/>
          <w:color w:val="000000"/>
          <w:sz w:val="20"/>
          <w:szCs w:val="20"/>
          <w:highlight w:val="none"/>
        </w:rPr>
        <w:t xml:space="preserve">手机号码： </w:t>
      </w:r>
    </w:p>
    <w:p>
      <w:pPr>
        <w:snapToGrid w:val="0"/>
        <w:spacing w:line="460" w:lineRule="exact"/>
        <w:rPr>
          <w:rFonts w:ascii="宋体" w:eastAsia="宋体" w:hAnsi="宋体" w:cs="宋体"/>
          <w:color w:val="000000"/>
          <w:sz w:val="20"/>
          <w:szCs w:val="20"/>
          <w:highlight w:val="none"/>
        </w:rPr>
      </w:pPr>
    </w:p>
    <w:p>
      <w:pPr>
        <w:snapToGrid w:val="0"/>
        <w:spacing w:line="460" w:lineRule="exact"/>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 xml:space="preserve">                            签约时间：         年     月     日</w:t>
      </w:r>
    </w:p>
    <w:p>
      <w:pPr>
        <w:snapToGrid w:val="0"/>
        <w:spacing w:line="460" w:lineRule="exact"/>
        <w:ind w:firstLine="480" w:firstLineChars="200"/>
        <w:rPr>
          <w:rFonts w:ascii="宋体" w:eastAsia="宋体" w:hAnsi="宋体" w:cs="宋体"/>
          <w:color w:val="000000"/>
          <w:sz w:val="20"/>
          <w:szCs w:val="20"/>
          <w:highlight w:val="none"/>
        </w:rPr>
      </w:pPr>
    </w:p>
    <w:p>
      <w:pPr>
        <w:snapToGrid w:val="0"/>
        <w:spacing w:line="4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乙方：                          (盖章)</w:t>
      </w:r>
      <w:r>
        <w:rPr>
          <w:rFonts w:ascii="宋体" w:eastAsia="宋体" w:hAnsi="宋体" w:cs="宋体" w:hint="eastAsia"/>
          <w:color w:val="000000"/>
          <w:sz w:val="20"/>
          <w:szCs w:val="20"/>
          <w:highlight w:val="none"/>
        </w:rPr>
        <w:tab/>
      </w:r>
    </w:p>
    <w:p>
      <w:pPr>
        <w:snapToGrid w:val="0"/>
        <w:spacing w:line="4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地址：</w:t>
      </w:r>
    </w:p>
    <w:p>
      <w:pPr>
        <w:snapToGrid w:val="0"/>
        <w:spacing w:line="4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邮编：</w:t>
      </w:r>
    </w:p>
    <w:p>
      <w:pPr>
        <w:snapToGrid w:val="0"/>
        <w:spacing w:line="4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办公室电话:</w:t>
      </w:r>
    </w:p>
    <w:p>
      <w:pPr>
        <w:snapToGrid w:val="0"/>
        <w:spacing w:line="4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办公室传真：</w:t>
      </w:r>
    </w:p>
    <w:p>
      <w:pPr>
        <w:snapToGrid w:val="0"/>
        <w:spacing w:line="4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开户银行：</w:t>
      </w:r>
    </w:p>
    <w:p>
      <w:pPr>
        <w:snapToGrid w:val="0"/>
        <w:spacing w:line="4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银行账号：</w:t>
      </w:r>
    </w:p>
    <w:p>
      <w:pPr>
        <w:snapToGrid w:val="0"/>
        <w:spacing w:line="4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 xml:space="preserve">乙方代表签字： </w:t>
      </w:r>
      <w:r>
        <w:rPr>
          <w:rFonts w:ascii="宋体" w:eastAsia="宋体" w:hAnsi="宋体" w:cs="宋体" w:hint="eastAsia"/>
          <w:color w:val="000000"/>
          <w:sz w:val="20"/>
          <w:szCs w:val="20"/>
          <w:highlight w:val="none"/>
        </w:rPr>
        <w:tab/>
      </w:r>
      <w:r>
        <w:rPr>
          <w:rFonts w:ascii="宋体" w:eastAsia="宋体" w:hAnsi="宋体" w:cs="宋体" w:hint="eastAsia"/>
          <w:color w:val="000000"/>
          <w:sz w:val="20"/>
          <w:szCs w:val="20"/>
          <w:highlight w:val="none"/>
        </w:rPr>
        <w:t>手机号码：</w:t>
      </w:r>
    </w:p>
    <w:p>
      <w:pPr>
        <w:snapToGrid w:val="0"/>
        <w:spacing w:line="460" w:lineRule="exact"/>
        <w:rPr>
          <w:rFonts w:ascii="宋体" w:eastAsia="宋体" w:hAnsi="宋体" w:cs="宋体"/>
          <w:color w:val="000000"/>
          <w:sz w:val="20"/>
          <w:szCs w:val="20"/>
          <w:highlight w:val="none"/>
        </w:rPr>
      </w:pPr>
    </w:p>
    <w:p>
      <w:pPr>
        <w:snapToGrid w:val="0"/>
        <w:spacing w:line="460" w:lineRule="exact"/>
        <w:ind w:firstLine="480" w:firstLineChars="200"/>
        <w:rPr>
          <w:rFonts w:ascii="宋体" w:eastAsia="宋体" w:hAnsi="宋体" w:cs="宋体"/>
          <w:color w:val="000000"/>
          <w:sz w:val="20"/>
          <w:szCs w:val="20"/>
          <w:highlight w:val="none"/>
        </w:rPr>
      </w:pPr>
    </w:p>
    <w:p>
      <w:pPr>
        <w:snapToGrid w:val="0"/>
        <w:spacing w:line="360" w:lineRule="auto"/>
        <w:ind w:firstLine="3600" w:firstLineChars="15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签约时间：         年     月     日</w:t>
      </w:r>
    </w:p>
    <w:p>
      <w:pPr>
        <w:snapToGrid w:val="0"/>
        <w:spacing w:line="460" w:lineRule="exact"/>
        <w:ind w:firstLine="3600" w:firstLineChars="15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 xml:space="preserve">签约地址： </w:t>
      </w:r>
      <w:r>
        <w:rPr>
          <w:rFonts w:ascii="宋体" w:eastAsia="宋体" w:hAnsi="宋体" w:cs="宋体" w:hint="eastAsia"/>
          <w:color w:val="000000"/>
          <w:sz w:val="20"/>
          <w:szCs w:val="20"/>
          <w:highlight w:val="none"/>
          <w:u w:val="single"/>
        </w:rPr>
        <w:t xml:space="preserve">       深圳市南山区        </w:t>
      </w:r>
    </w:p>
    <w:p>
      <w:pPr>
        <w:snapToGrid w:val="0"/>
        <w:spacing w:line="460" w:lineRule="exact"/>
        <w:rPr>
          <w:rFonts w:ascii="宋体" w:eastAsia="宋体" w:hAnsi="宋体" w:cs="宋体"/>
          <w:color w:val="000000"/>
          <w:sz w:val="20"/>
          <w:szCs w:val="20"/>
          <w:highlight w:val="none"/>
        </w:rPr>
      </w:pPr>
    </w:p>
    <w:p>
      <w:pPr>
        <w:pStyle w:val="Heading2"/>
        <w:spacing w:before="120" w:beforeLines="50" w:after="120" w:afterLines="50"/>
        <w:ind w:left="562"/>
        <w:rPr>
          <w:rFonts w:cs="宋体"/>
          <w:color w:val="000000" w:themeColor="text1"/>
          <w:sz w:val="28"/>
          <w:szCs w:val="28"/>
          <w:highlight w:val="none"/>
          <w14:textFill>
            <w14:solidFill>
              <w14:schemeClr w14:val="tx1"/>
            </w14:solidFill>
          </w14:textFill>
        </w:rPr>
      </w:pPr>
      <w:r>
        <w:rPr>
          <w:rFonts w:cs="宋体" w:hint="eastAsia"/>
          <w:color w:val="000000" w:themeColor="text1"/>
          <w:sz w:val="28"/>
          <w:szCs w:val="28"/>
          <w:highlight w:val="none"/>
          <w14:textFill>
            <w14:solidFill>
              <w14:schemeClr w14:val="tx1"/>
            </w14:solidFill>
          </w14:textFill>
        </w:rPr>
        <w:t>第二册  通用条款（公开招标）</w:t>
      </w:r>
    </w:p>
    <w:p>
      <w:pPr>
        <w:pStyle w:val="Heading2"/>
        <w:numPr>
          <w:ilvl w:val="0"/>
          <w:numId w:val="4"/>
        </w:numPr>
        <w:spacing w:before="120" w:beforeLines="50" w:after="120" w:afterLines="50"/>
        <w:ind w:left="562" w:hanging="562"/>
        <w:rPr>
          <w:rFonts w:cs="宋体"/>
          <w:color w:val="000000" w:themeColor="text1"/>
          <w:sz w:val="28"/>
          <w:szCs w:val="28"/>
          <w:highlight w:val="none"/>
          <w14:textFill>
            <w14:solidFill>
              <w14:schemeClr w14:val="tx1"/>
            </w14:solidFill>
          </w14:textFill>
        </w:rPr>
      </w:pPr>
      <w:bookmarkStart w:id="45" w:name="_Hlk72399513"/>
      <w:r>
        <w:rPr>
          <w:rFonts w:cs="宋体" w:hint="eastAsia"/>
          <w:color w:val="000000" w:themeColor="text1"/>
          <w:sz w:val="28"/>
          <w:szCs w:val="28"/>
          <w:highlight w:val="none"/>
          <w14:textFill>
            <w14:solidFill>
              <w14:schemeClr w14:val="tx1"/>
            </w14:solidFill>
          </w14:textFill>
        </w:rPr>
        <w:t>总则</w:t>
      </w:r>
    </w:p>
    <w:p>
      <w:pPr>
        <w:rPr>
          <w:rFonts w:ascii="宋体" w:eastAsia="宋体" w:hAnsi="宋体" w:cs="宋体"/>
          <w:color w:val="000000" w:themeColor="text1"/>
          <w:highlight w:val="none"/>
          <w14:textFill>
            <w14:solidFill>
              <w14:schemeClr w14:val="tx1"/>
            </w14:solidFill>
          </w14:textFill>
        </w:rPr>
      </w:pPr>
      <w:bookmarkEnd w:id="45"/>
      <w:r>
        <w:rPr>
          <w:rFonts w:ascii="宋体" w:eastAsia="宋体" w:hAnsi="宋体" w:cs="宋体" w:hint="eastAsia"/>
          <w:color w:val="000000" w:themeColor="text1"/>
          <w:highlight w:val="none"/>
          <w14:textFill>
            <w14:solidFill>
              <w14:schemeClr w14:val="tx1"/>
            </w14:solidFill>
          </w14:textFill>
        </w:rPr>
        <w:t>1. 通用条款说明</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1.1</w:t>
      </w:r>
      <w:bookmarkStart w:id="46" w:name="_Hlk72399729"/>
      <w:r>
        <w:rPr>
          <w:rFonts w:ascii="宋体" w:eastAsia="宋体" w:hAnsi="宋体" w:cs="宋体" w:hint="eastAsia"/>
          <w:color w:val="000000" w:themeColor="text1"/>
          <w:szCs w:val="21"/>
          <w:highlight w:val="none"/>
          <w14:textFill>
            <w14:solidFill>
              <w14:schemeClr w14:val="tx1"/>
            </w14:solidFill>
          </w14:textFill>
        </w:rPr>
        <w:t>采购机构可以对通用条款的内容进行补充。</w:t>
      </w:r>
      <w:bookmarkEnd w:id="46"/>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1.2招标文件分为第一册“专用条款”和第二册“通用条款”。</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1.3“专用条款”是对本次采购项目的具体要求，包含招标公告、对通用条款的补充内容及其他关键信息、用户需求书、投标文件格式及附件、合同条款及格式等内容。</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1.4“通用条款”是适用于政府采购公开招标项目的基础性条款，具有普遍性和通用性。</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1.5 “专用条款”和“通用条款”表述不一致或有冲突时，以“专用条款”为准。</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2．招标说明</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本项目按照《深圳经济特区政府采购条例》、《深圳经济特区政府采购条例实施细则》及政府采购其他法律法规，通过公开招标方式确定中标供应商。</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3．定义</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招标文件中下列术语应解释为：</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3.1“采购人”：指利用财政性资金依法进行政府采购的国家机关、事业单位、团体组织；</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3.2 “招标机构”系指根据采购人的委托，代理政府采购事宜的机构，在此特指拥有采购代理资格的</w:t>
      </w:r>
      <w:r>
        <w:rPr>
          <w:rFonts w:ascii="宋体" w:eastAsia="宋体" w:hAnsi="宋体" w:cs="宋体" w:hint="eastAsia"/>
          <w:b/>
          <w:bCs/>
          <w:color w:val="000000" w:themeColor="text1"/>
          <w:szCs w:val="21"/>
          <w:highlight w:val="none"/>
          <w14:textFill>
            <w14:solidFill>
              <w14:schemeClr w14:val="tx1"/>
            </w14:solidFill>
          </w14:textFill>
        </w:rPr>
        <w:t>友和保险经纪有限公司</w:t>
      </w:r>
      <w:r>
        <w:rPr>
          <w:rFonts w:ascii="宋体" w:eastAsia="宋体" w:hAnsi="宋体" w:cs="宋体" w:hint="eastAsia"/>
          <w:color w:val="000000" w:themeColor="text1"/>
          <w:szCs w:val="21"/>
          <w:highlight w:val="none"/>
          <w14:textFill>
            <w14:solidFill>
              <w14:schemeClr w14:val="tx1"/>
            </w14:solidFill>
          </w14:textFill>
        </w:rPr>
        <w:t>；</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3.3“投标人”，即供应商，指参加投标竞争并愿意按照招标文件要求向采购人提供货物、工程或者服务的依法成立的法人、其他组织或者自然人；</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3.4“评审委员会”是依据《深圳经济特区政府采购条例》、《深圳经济特区政府采购条例实施细则》等有关规定组建的专门负责本次招标其评审工作的临时性机构；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3.5“日期”指公历日；</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3.6“合同”指由本次招标所产生的合同或合约文件；</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3.7“电子投标文件”指利用</w:t>
      </w:r>
      <w:r>
        <w:rPr>
          <w:rFonts w:ascii="宋体" w:eastAsia="宋体" w:hAnsi="宋体" w:cs="宋体" w:hint="eastAsia"/>
          <w:b/>
          <w:bCs/>
          <w:color w:val="000000" w:themeColor="text1"/>
          <w:szCs w:val="21"/>
          <w:highlight w:val="none"/>
          <w14:textFill>
            <w14:solidFill>
              <w14:schemeClr w14:val="tx1"/>
            </w14:solidFill>
          </w14:textFill>
        </w:rPr>
        <w:t>深圳公共资源交易中心（深圳交易集团有限公司政府采购业务分公司）</w:t>
      </w:r>
      <w:r>
        <w:rPr>
          <w:rFonts w:ascii="宋体" w:eastAsia="宋体" w:hAnsi="宋体" w:cs="宋体" w:hint="eastAsia"/>
          <w:color w:val="000000" w:themeColor="text1"/>
          <w:szCs w:val="21"/>
          <w:highlight w:val="none"/>
          <w14:textFill>
            <w14:solidFill>
              <w14:schemeClr w14:val="tx1"/>
            </w14:solidFill>
          </w14:textFill>
        </w:rPr>
        <w:t>网站提供的</w:t>
      </w:r>
      <w:r>
        <w:rPr>
          <w:rFonts w:ascii="宋体" w:eastAsia="宋体" w:hAnsi="宋体" w:cs="宋体" w:hint="eastAsia"/>
          <w:color w:val="000000" w:themeColor="text1"/>
          <w:highlight w:val="none"/>
          <w14:textFill>
            <w14:solidFill>
              <w14:schemeClr w14:val="tx1"/>
            </w14:solidFill>
          </w14:textFill>
        </w:rPr>
        <w:t>深圳智慧采购平台投标文件制作专用软件（以下简称：投标文件制作软件）制作并</w:t>
      </w:r>
      <w:r>
        <w:rPr>
          <w:rFonts w:ascii="宋体" w:eastAsia="宋体" w:hAnsi="宋体" w:cs="宋体" w:hint="eastAsia"/>
          <w:color w:val="000000" w:themeColor="text1"/>
          <w:szCs w:val="21"/>
          <w:highlight w:val="none"/>
          <w14:textFill>
            <w14:solidFill>
              <w14:schemeClr w14:val="tx1"/>
            </w14:solidFill>
          </w14:textFill>
        </w:rPr>
        <w:t>加密的投标文件,适用于网上投标；（投标文件制作软件可从</w:t>
      </w:r>
      <w:r>
        <w:rPr>
          <w:rFonts w:ascii="宋体" w:eastAsia="宋体" w:hAnsi="宋体" w:cs="宋体" w:hint="eastAsia"/>
          <w:color w:val="000000" w:themeColor="text1"/>
          <w:highlight w:val="none"/>
          <w14:textFill>
            <w14:solidFill>
              <w14:schemeClr w14:val="tx1"/>
            </w14:solidFill>
          </w14:textFill>
        </w:rPr>
        <w:t>“下载地址：http://zfcg.szggzy.com:8081/cgxy/013002/20210923/173e0b2c-7a4c-4246-a0c7-e0ea75d84dd6.html”</w:t>
      </w:r>
      <w:r>
        <w:rPr>
          <w:rFonts w:ascii="宋体" w:eastAsia="宋体" w:hAnsi="宋体" w:cs="宋体" w:hint="eastAsia"/>
          <w:color w:val="000000" w:themeColor="text1"/>
          <w:szCs w:val="21"/>
          <w:highlight w:val="none"/>
          <w14:textFill>
            <w14:solidFill>
              <w14:schemeClr w14:val="tx1"/>
            </w14:solidFill>
          </w14:textFill>
        </w:rPr>
        <w:t>下载）；</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3.8“网上投标”指通过</w:t>
      </w:r>
      <w:r>
        <w:rPr>
          <w:rFonts w:ascii="宋体" w:eastAsia="宋体" w:hAnsi="宋体" w:cs="宋体" w:hint="eastAsia"/>
          <w:b/>
          <w:bCs/>
          <w:color w:val="000000" w:themeColor="text1"/>
          <w:szCs w:val="21"/>
          <w:highlight w:val="none"/>
          <w14:textFill>
            <w14:solidFill>
              <w14:schemeClr w14:val="tx1"/>
            </w14:solidFill>
          </w14:textFill>
        </w:rPr>
        <w:t>深圳公共资源交易中心（深圳交易集团有限公司政府采购业务分公司）</w:t>
      </w:r>
      <w:r>
        <w:rPr>
          <w:rFonts w:ascii="宋体" w:eastAsia="宋体" w:hAnsi="宋体" w:cs="宋体" w:hint="eastAsia"/>
          <w:color w:val="000000" w:themeColor="text1"/>
          <w:szCs w:val="21"/>
          <w:highlight w:val="none"/>
          <w14:textFill>
            <w14:solidFill>
              <w14:schemeClr w14:val="tx1"/>
            </w14:solidFill>
          </w14:textFill>
        </w:rPr>
        <w:t>网站上传电子投标文件；</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3.9招标文件中的标题或题名仅起引导作用，而不应视为对招标文件内容的理解和解释。</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 xml:space="preserve">4. </w:t>
      </w:r>
      <w:bookmarkStart w:id="47" w:name="_Hlk72398643"/>
      <w:r>
        <w:rPr>
          <w:rFonts w:ascii="宋体" w:eastAsia="宋体" w:hAnsi="宋体" w:cs="宋体" w:hint="eastAsia"/>
          <w:color w:val="000000" w:themeColor="text1"/>
          <w:highlight w:val="none"/>
          <w14:textFill>
            <w14:solidFill>
              <w14:schemeClr w14:val="tx1"/>
            </w14:solidFill>
          </w14:textFill>
        </w:rPr>
        <w:t>政府采购供应商责任</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4.1欢迎诚信、有实力和有社会责任心的供应商参与政府采购事业。</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4.2投标人应当遵循公平竞争的原则，不得恶意串通，不得妨碍其他投标人的竞争行为，不得损害采购人或者其他投标人的合法权益。如违反上述要求，经核实后，供应商的投标无效。</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5．投标人参加政府采购的条件</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5.1投标人应在投标前到</w:t>
      </w:r>
      <w:r>
        <w:rPr>
          <w:rFonts w:ascii="宋体" w:eastAsia="宋体" w:hAnsi="宋体" w:cs="宋体" w:hint="eastAsia"/>
          <w:b/>
          <w:bCs/>
          <w:color w:val="000000" w:themeColor="text1"/>
          <w:szCs w:val="21"/>
          <w:highlight w:val="none"/>
          <w14:textFill>
            <w14:solidFill>
              <w14:schemeClr w14:val="tx1"/>
            </w14:solidFill>
          </w14:textFill>
        </w:rPr>
        <w:t>深圳公共资源交易中心（具体在深圳交易集团有限公司政府采购业务分公司进行办理）</w:t>
      </w:r>
      <w:r>
        <w:rPr>
          <w:rFonts w:ascii="宋体" w:eastAsia="宋体" w:hAnsi="宋体" w:cs="宋体" w:hint="eastAsia"/>
          <w:color w:val="000000" w:themeColor="text1"/>
          <w:szCs w:val="21"/>
          <w:highlight w:val="none"/>
          <w14:textFill>
            <w14:solidFill>
              <w14:schemeClr w14:val="tx1"/>
            </w14:solidFill>
          </w14:textFill>
        </w:rPr>
        <w:t>进行注册并办理电子密钥。《</w:t>
      </w:r>
      <w:r>
        <w:rPr>
          <w:highlight w:val="none"/>
        </w:rPr>
        <w:fldChar w:fldCharType="begin"/>
      </w:r>
      <w:r>
        <w:rPr>
          <w:highlight w:val="none"/>
        </w:rPr>
        <w:instrText xml:space="preserve"> HYPERLINK "http://www.szzfcg.cn/viewer.do?id=2455258" \t "documentViewer2455258" </w:instrText>
      </w:r>
      <w:r>
        <w:rPr>
          <w:highlight w:val="none"/>
        </w:rPr>
        <w:fldChar w:fldCharType="separate"/>
      </w:r>
      <w:r>
        <w:rPr>
          <w:rFonts w:ascii="宋体" w:eastAsia="宋体" w:hAnsi="宋体" w:cs="宋体" w:hint="eastAsia"/>
          <w:color w:val="000000" w:themeColor="text1"/>
          <w:szCs w:val="21"/>
          <w:highlight w:val="none"/>
          <w14:textFill>
            <w14:solidFill>
              <w14:schemeClr w14:val="tx1"/>
            </w14:solidFill>
          </w14:textFill>
        </w:rPr>
        <w:t>供应商注册及电子密钥新申请指引</w:t>
      </w:r>
      <w:r>
        <w:rPr>
          <w:rFonts w:ascii="宋体" w:eastAsia="宋体" w:hAnsi="宋体" w:cs="宋体" w:hint="eastAsia"/>
          <w:color w:val="000000" w:themeColor="text1"/>
          <w:szCs w:val="21"/>
          <w:highlight w:val="none"/>
          <w14:textFill>
            <w14:solidFill>
              <w14:schemeClr w14:val="tx1"/>
            </w14:solidFill>
          </w14:textFill>
        </w:rPr>
        <w:fldChar w:fldCharType="end"/>
      </w:r>
      <w:r>
        <w:rPr>
          <w:rFonts w:ascii="宋体" w:eastAsia="宋体" w:hAnsi="宋体" w:cs="宋体" w:hint="eastAsia"/>
          <w:color w:val="000000" w:themeColor="text1"/>
          <w:szCs w:val="21"/>
          <w:highlight w:val="none"/>
          <w14:textFill>
            <w14:solidFill>
              <w14:schemeClr w14:val="tx1"/>
            </w14:solidFill>
          </w14:textFill>
        </w:rPr>
        <w:t>》详见http://zfcg.szggzy.com:8081/。</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5.2投标人资格要求</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参加本项目的投标人应具备的资格条件详见本项目招标公告中 “投标人资格要求”（即申请人的资格要求）的内容。</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5.3联合体投标</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5.3.1以下有关联合体投标的条款仅适用于允许投标人组成联合体投标的项目。</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5.3.2由两个或两个以上的自然人、法人或者其他组织可以组成一个联合体，以一个供应商的身份共同投标时，应符合以下原则：</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（1）投标联合体各方参加政府采购活动应当具备下列条件：</w:t>
      </w:r>
    </w:p>
    <w:p>
      <w:pPr>
        <w:ind w:left="480" w:firstLine="470" w:leftChars="20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1、具有独立承担民事责任的能力；</w:t>
      </w:r>
    </w:p>
    <w:p>
      <w:pPr>
        <w:ind w:left="480" w:firstLine="470" w:leftChars="20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2、有良好的商业信誉和健全的财务会计制度；</w:t>
      </w:r>
    </w:p>
    <w:p>
      <w:pPr>
        <w:ind w:left="480" w:firstLine="470" w:leftChars="20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3、具有履行合同所必需的设备和专业技术能力；</w:t>
      </w:r>
    </w:p>
    <w:p>
      <w:pPr>
        <w:ind w:left="480" w:firstLine="470" w:leftChars="20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4、有依法缴纳税收和社会保障资金的良好记录；</w:t>
      </w:r>
    </w:p>
    <w:p>
      <w:pPr>
        <w:ind w:left="480" w:firstLine="470" w:leftChars="20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5、参加政府采购活动前三年内，在经营活动中没有重大违法记录；</w:t>
      </w:r>
    </w:p>
    <w:p>
      <w:pPr>
        <w:ind w:left="480" w:firstLine="470" w:leftChars="20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6、法律、行政法规规定的其他条件。</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（2）在投标截止前，投标联合体各方均应注册成政府采购供应商；</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（3）联合体中有同类资质的供应商按照联合体分工承担相同工作的，应当按照资质等级较低的供应商确定资质等级；</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（4）是否允许联合体参加投标，应当由采购人和采购代理机构根据项目的实际情况和潜在供应商的数量自主决定，如果决定接受联合体投标则应当在招标公告中明示；</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（5）投标人的投标文件及中标后签署的合同协议对联合体各方均具法律约束力；</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（6）联合体各方应当签订联合体投标协议，明确约定各方拟承担的工作和责任，并将该协议随投标文件一并递交给招标机构；</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（7）联合体中标后，联合体各方应当共同与采购人签订合同，就中标项目向采购人承担连带责任；</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（9）本通用条款中“投标人”一词亦指联合体各方，专用条款另有规定或说明的除外。</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6．政策导向</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6.1政府采购扶持贫困地区、中小企业、监狱企业和残疾人福利性单位发展，支持节能减排、环境保护。</w:t>
      </w:r>
    </w:p>
    <w:p>
      <w:pPr>
        <w:ind w:firstLine="405"/>
        <w:rPr>
          <w:rFonts w:ascii="宋体" w:eastAsia="宋体" w:hAnsi="宋体" w:cs="宋体"/>
          <w:color w:val="000000" w:themeColor="text1"/>
          <w:highlight w:val="none"/>
          <w:shd w:val="clear" w:color="auto" w:fill="FFFFFF"/>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6.2本项目落实深圳市政府采购供应商诚信管理政策要求。</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7. 本项目若涉及采购货物，则合格的货物及相应服务应满足以下要求：</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7.1必须是全新、未使用过的原装合格正品（包括零部件），如安装或配置了软件的，须为正版软件。</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7.2国产的货物及其有关服务必须符合中华人民共和国的设计、制造生产标准及行业标准。招标公告有其他要求的，亦应符合其要求。</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7.3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7.4投标人</w:t>
      </w:r>
      <w:bookmarkStart w:id="48" w:name="_Hlk72152753"/>
      <w:r>
        <w:rPr>
          <w:rFonts w:ascii="宋体" w:eastAsia="宋体" w:hAnsi="宋体" w:cs="宋体" w:hint="eastAsia"/>
          <w:color w:val="000000" w:themeColor="text1"/>
          <w:highlight w:val="none"/>
          <w14:textFill>
            <w14:solidFill>
              <w14:schemeClr w14:val="tx1"/>
            </w14:solidFill>
          </w14:textFill>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48"/>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7.5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7.6工期要求：投标人在投标时对其所投项目应提交交货进度、交货计划等，在合同规定的时间内完成项目实施工作。</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7.7投标人必须承担的设备运输、安装调试、验收检测和提供设备操作说明书、图纸等其他相关及类似的义务。</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8．投标费用</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不论投标结果如何，投标人应承担其编制投标文件与递交投标文件所涉及的一切费用。</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9．踏勘现场</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9.1如有需要（详见专用条款），采购人或招标机构将组织投标人对项目现场及周围环境进行踏勘，以便投标人获取有关编制投标文件和签署合同所需的资料。踏勘现场所发生的费用由投标人自行承担。投标人应按招标文件所约定的时间、地点踏勘现场。</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9.2投标人及其人员经过采购人的允许，可以进入采购人的项目现场踏勘。若招标文件要求投标人于统一时间地点踏勘现场的，投标人应当按时前往。</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9.3采购人应当通过招标机构向投标人提供有关现场的书面资料和数据。</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9.4任何人或任何组织在踏勘现场时向投标人提供的任何书面资料或口头承诺，未经招标机构在网上发布或书面通知，均作无效处理。</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9.5未参与踏勘现场不作为否定投标人资格的理由。</w:t>
      </w:r>
    </w:p>
    <w:p>
      <w:pP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10．标前会议</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10.1如采购人或招标机构认为有必要组织标前会议，投标人应按照招标文件规定的时间或招标机构另行书面通知（包括招标机构网站发布方式，如更正公告等）的时间和地点，参与标前会议。</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10.2任何人或任何组织在标前会议时向投标人提供的任何书面资料或口头承诺，未经招标机构在网上发布或书面通知，均作无效处理。</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10.3未参与标前会议不作为否定投标人资格的理由。</w:t>
      </w:r>
    </w:p>
    <w:p>
      <w:pPr>
        <w:pStyle w:val="NormalIndent"/>
        <w:rPr>
          <w:rFonts w:ascii="宋体" w:eastAsia="宋体" w:hAnsi="宋体" w:cs="宋体"/>
          <w:highlight w:val="none"/>
        </w:rPr>
      </w:pPr>
    </w:p>
    <w:p>
      <w:pPr>
        <w:rPr>
          <w:rFonts w:ascii="宋体" w:eastAsia="宋体" w:hAnsi="宋体" w:cs="宋体"/>
          <w:highlight w:val="none"/>
        </w:rPr>
      </w:pPr>
    </w:p>
    <w:p>
      <w:pPr>
        <w:pStyle w:val="Heading2"/>
        <w:numPr>
          <w:ilvl w:val="0"/>
          <w:numId w:val="4"/>
        </w:numPr>
        <w:tabs>
          <w:tab w:val="left" w:pos="360"/>
          <w:tab w:val="clear" w:pos="720"/>
        </w:tabs>
        <w:spacing w:before="120" w:beforeLines="50" w:after="120" w:afterLines="50"/>
        <w:ind w:left="562" w:hanging="562"/>
        <w:rPr>
          <w:rFonts w:cs="宋体"/>
          <w:color w:val="000000" w:themeColor="text1"/>
          <w:sz w:val="28"/>
          <w:szCs w:val="28"/>
          <w:highlight w:val="none"/>
          <w14:textFill>
            <w14:solidFill>
              <w14:schemeClr w14:val="tx1"/>
            </w14:solidFill>
          </w14:textFill>
        </w:rPr>
      </w:pPr>
      <w:bookmarkEnd w:id="47"/>
      <w:r>
        <w:rPr>
          <w:rFonts w:cs="宋体" w:hint="eastAsia"/>
          <w:color w:val="000000" w:themeColor="text1"/>
          <w:sz w:val="28"/>
          <w:szCs w:val="28"/>
          <w:highlight w:val="none"/>
          <w14:textFill>
            <w14:solidFill>
              <w14:schemeClr w14:val="tx1"/>
            </w14:solidFill>
          </w14:textFill>
        </w:rPr>
        <w:t>招标文件</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11．</w:t>
      </w:r>
      <w:bookmarkStart w:id="49" w:name="_Hlk72399819"/>
      <w:r>
        <w:rPr>
          <w:rFonts w:ascii="宋体" w:eastAsia="宋体" w:hAnsi="宋体" w:cs="宋体" w:hint="eastAsia"/>
          <w:color w:val="000000" w:themeColor="text1"/>
          <w:highlight w:val="none"/>
          <w14:textFill>
            <w14:solidFill>
              <w14:schemeClr w14:val="tx1"/>
            </w14:solidFill>
          </w14:textFill>
        </w:rPr>
        <w:t>招标文件的编制与组成</w:t>
      </w:r>
    </w:p>
    <w:p>
      <w:pPr>
        <w:snapToGrid w:val="0"/>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11.1招标文件除以下内容外，招标机构在招标期间发出的澄清或修改等相关公告或通知内容，均是招标文件的组成部分，对投标人起约束作用；</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招标文件包括下列内容：</w:t>
      </w:r>
    </w:p>
    <w:p>
      <w:pPr>
        <w:ind w:left="480" w:firstLine="470" w:leftChars="200" w:firstLineChars="196"/>
        <w:rPr>
          <w:rFonts w:ascii="宋体" w:eastAsia="宋体" w:hAnsi="宋体" w:cs="宋体"/>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第一册  专用条款</w:t>
      </w:r>
    </w:p>
    <w:p>
      <w:pPr>
        <w:ind w:left="1234" w:leftChars="514"/>
        <w:rPr>
          <w:rFonts w:ascii="宋体" w:eastAsia="宋体" w:hAnsi="宋体" w:cs="宋体"/>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关键信息</w:t>
      </w:r>
    </w:p>
    <w:p>
      <w:pPr>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第一章  招标公告</w:t>
      </w:r>
    </w:p>
    <w:p>
      <w:pPr>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第二章  对通用条款的补充内容及其他关键信息</w:t>
      </w:r>
    </w:p>
    <w:p>
      <w:pPr>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第三章  用户需求书</w:t>
      </w:r>
    </w:p>
    <w:p>
      <w:pPr>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第四章 投标文件格式及附件</w:t>
      </w:r>
    </w:p>
    <w:p>
      <w:pPr>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第五章  合同条款及格式</w:t>
      </w:r>
    </w:p>
    <w:p>
      <w:pPr>
        <w:ind w:left="480" w:firstLine="470" w:leftChars="200" w:firstLineChars="196"/>
        <w:rPr>
          <w:rFonts w:ascii="宋体" w:eastAsia="宋体" w:hAnsi="宋体" w:cs="宋体"/>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第二册  通用条款</w:t>
      </w:r>
    </w:p>
    <w:p>
      <w:pPr>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第一章  总则</w:t>
      </w:r>
    </w:p>
    <w:p>
      <w:pPr>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第二章  招标文件</w:t>
      </w:r>
    </w:p>
    <w:p>
      <w:pPr>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第三章  投标文件的编制</w:t>
      </w:r>
    </w:p>
    <w:p>
      <w:pPr>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第四章  投标文件的递交</w:t>
      </w:r>
    </w:p>
    <w:p>
      <w:pPr>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第五章  开标</w:t>
      </w:r>
    </w:p>
    <w:p>
      <w:pPr>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第六章  评审要求</w:t>
      </w:r>
    </w:p>
    <w:p>
      <w:pPr>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第七章  评审程序及评审方法</w:t>
      </w:r>
    </w:p>
    <w:p>
      <w:pPr>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第八章  定标及公示</w:t>
      </w:r>
    </w:p>
    <w:p>
      <w:pPr>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第九章  公开招标失败的后续处理</w:t>
      </w:r>
    </w:p>
    <w:p>
      <w:pPr>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第十章  合同的授予与备案</w:t>
      </w:r>
    </w:p>
    <w:p>
      <w:pPr>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第十一章  质疑处理</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11.2投标人下载招标文件后，应仔细检查招标文件的所有内容，如有疑问应在答疑截止时间之前向招标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11.3</w:t>
      </w:r>
      <w:r>
        <w:rPr>
          <w:rFonts w:ascii="宋体" w:eastAsia="宋体" w:hAnsi="宋体" w:cs="宋体" w:hint="eastAsia"/>
          <w:color w:val="000000" w:themeColor="text1"/>
          <w:highlight w:val="none"/>
          <w14:textFill>
            <w14:solidFill>
              <w14:schemeClr w14:val="tx1"/>
            </w14:solidFill>
          </w14:textFill>
        </w:rPr>
        <w:t>任何人或任何组织向投标人提交的任何书面或口头资料，未经招标机构在网上发布或书面通知，均作无效处理，不得作为招标文件的组成部分。招标机构对投标人由此而做出的推论、理解和结论概不负责。</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12．招标文件的澄清</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12.1招标文件澄清的目的是澄清、解答投标人在查阅招标文件后或现场踏勘中可能提出的与投标有关的疑问或询问。</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12.2投标人如对招标文件内容有疑问，应当在招标公告规定的澄清（提问）截止时间前以网上提问的形式通过网上政府采购系统提交招标机构。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12.3不论是招标机构根据需要主动对招标文件进行必要的澄清或是根据投标人的要求对招标文件做出澄清，招标机构都将在投标截止日期前以书面形式（包括招标机构网站发布方式）答复或发送给所有投标人。答复内容是招标文件的组成部分，对投标人起约束作用，其有效性按照本通用条款第13.3、13.4款规定执行。</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13．招标文件的修改</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13.1招标文件发出后，在投标截止日期前任何时候，确需要变更招标文件内容的，招标机构可主动或在解答投标人提出的澄清问题时对招标文件进行修改。</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13.2招标文件的修改以书面形式（包括招标机构网站发布方式，如更正公告等）发送给所有投标人，招标文件的修改内容作为招标文件的组成部分，并具有约束力。</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13.3招标文件、招标文件澄清答复内容、招标文件修改补充内容均以书面形式（包括招标机构网站公开发布方式，如更正公告等）明确的内容为准。当招标文件、修改补充通知、招标文件澄清答复内容相互矛盾时，以最后发出的内容为准。</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13.4招标机构保证招标文件澄清答复内容和招标文件修改补充内容在投标截止时间前以书面形式（包括招标机构网站发布方式，如更正公告等）发送给所有投标人。为使投标人在编制投标文件时有充分时间对招标文件的修改部分进行研究，招标机构可以酌情延长递交投标文件的截止日期。</w:t>
      </w:r>
      <w:bookmarkEnd w:id="49"/>
    </w:p>
    <w:p>
      <w:pPr>
        <w:pStyle w:val="NormalIndent"/>
        <w:rPr>
          <w:rFonts w:ascii="宋体" w:eastAsia="宋体" w:hAnsi="宋体" w:cs="宋体"/>
          <w:highlight w:val="none"/>
        </w:rPr>
      </w:pPr>
    </w:p>
    <w:p>
      <w:pPr>
        <w:pStyle w:val="Heading2"/>
        <w:numPr>
          <w:ilvl w:val="0"/>
          <w:numId w:val="4"/>
        </w:numPr>
        <w:tabs>
          <w:tab w:val="left" w:pos="360"/>
          <w:tab w:val="clear" w:pos="720"/>
        </w:tabs>
        <w:spacing w:before="120" w:beforeLines="50" w:after="120" w:afterLines="50"/>
        <w:ind w:left="562" w:hanging="562"/>
        <w:rPr>
          <w:rFonts w:cs="宋体"/>
          <w:color w:val="000000" w:themeColor="text1"/>
          <w:sz w:val="28"/>
          <w:szCs w:val="28"/>
          <w:highlight w:val="none"/>
          <w14:textFill>
            <w14:solidFill>
              <w14:schemeClr w14:val="tx1"/>
            </w14:solidFill>
          </w14:textFill>
        </w:rPr>
      </w:pPr>
      <w:r>
        <w:rPr>
          <w:rFonts w:cs="宋体" w:hint="eastAsia"/>
          <w:color w:val="000000" w:themeColor="text1"/>
          <w:sz w:val="28"/>
          <w:szCs w:val="28"/>
          <w:highlight w:val="none"/>
          <w14:textFill>
            <w14:solidFill>
              <w14:schemeClr w14:val="tx1"/>
            </w14:solidFill>
          </w14:textFill>
        </w:rPr>
        <w:t>投标文件的编制</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14．</w:t>
      </w:r>
      <w:bookmarkStart w:id="50" w:name="_Hlk72400236"/>
      <w:r>
        <w:rPr>
          <w:rFonts w:ascii="宋体" w:eastAsia="宋体" w:hAnsi="宋体" w:cs="宋体" w:hint="eastAsia"/>
          <w:color w:val="000000" w:themeColor="text1"/>
          <w:highlight w:val="none"/>
          <w14:textFill>
            <w14:solidFill>
              <w14:schemeClr w14:val="tx1"/>
            </w14:solidFill>
          </w14:textFill>
        </w:rPr>
        <w:t>投标文件的语言及度量单位</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14.1投标人与招标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14.2除技术规范另有规定外，投标文件使用的度量单位，均采用中华人民共和国法定计量单位。</w:t>
      </w:r>
    </w:p>
    <w:p>
      <w:pPr>
        <w:rPr>
          <w:rFonts w:ascii="宋体" w:eastAsia="宋体" w:hAnsi="宋体" w:cs="宋体"/>
          <w:color w:val="000000" w:themeColor="text1"/>
          <w:highlight w:val="none"/>
          <w14:textFill>
            <w14:solidFill>
              <w14:schemeClr w14:val="tx1"/>
            </w14:solidFill>
          </w14:textFill>
        </w:rPr>
      </w:pPr>
      <w:bookmarkEnd w:id="50"/>
      <w:r>
        <w:rPr>
          <w:rFonts w:ascii="宋体" w:eastAsia="宋体" w:hAnsi="宋体" w:cs="宋体" w:hint="eastAsia"/>
          <w:color w:val="000000" w:themeColor="text1"/>
          <w:highlight w:val="none"/>
          <w14:textFill>
            <w14:solidFill>
              <w14:schemeClr w14:val="tx1"/>
            </w14:solidFill>
          </w14:textFill>
        </w:rPr>
        <w:t>15．</w:t>
      </w:r>
      <w:bookmarkStart w:id="51" w:name="_Hlk72401567"/>
      <w:r>
        <w:rPr>
          <w:rFonts w:ascii="宋体" w:eastAsia="宋体" w:hAnsi="宋体" w:cs="宋体" w:hint="eastAsia"/>
          <w:color w:val="000000" w:themeColor="text1"/>
          <w:highlight w:val="none"/>
          <w14:textFill>
            <w14:solidFill>
              <w14:schemeClr w14:val="tx1"/>
            </w14:solidFill>
          </w14:textFill>
        </w:rPr>
        <w:t>投标文件的组成</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具体内容在招标文件专用条款中进行规定。</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16．投标文件格式</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投标文件包括本通用条款第15条中规定的内容。如招标文件提供了投标文件格式，则</w:t>
      </w:r>
      <w:r>
        <w:rPr>
          <w:rFonts w:ascii="宋体" w:eastAsia="宋体" w:hAnsi="宋体" w:cs="宋体" w:hint="eastAsia"/>
          <w:b/>
          <w:bCs/>
          <w:color w:val="000000" w:themeColor="text1"/>
          <w:szCs w:val="21"/>
          <w:highlight w:val="none"/>
          <w14:textFill>
            <w14:solidFill>
              <w14:schemeClr w14:val="tx1"/>
            </w14:solidFill>
          </w14:textFill>
        </w:rPr>
        <w:t>投标人提交的投标文件应毫无例外地使用招标文件所提供的相应格式</w:t>
      </w:r>
      <w:r>
        <w:rPr>
          <w:rFonts w:ascii="宋体" w:eastAsia="宋体" w:hAnsi="宋体" w:cs="宋体" w:hint="eastAsia"/>
          <w:color w:val="000000" w:themeColor="text1"/>
          <w:szCs w:val="21"/>
          <w:highlight w:val="none"/>
          <w14:textFill>
            <w14:solidFill>
              <w14:schemeClr w14:val="tx1"/>
            </w14:solidFill>
          </w14:textFill>
        </w:rPr>
        <w:t>（表格均可按同样格式扩展）。</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17．投标货币</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本项目的投标报价应以人民币计。</w:t>
      </w:r>
    </w:p>
    <w:p>
      <w:pPr>
        <w:rPr>
          <w:rFonts w:ascii="宋体" w:eastAsia="宋体" w:hAnsi="宋体" w:cs="宋体"/>
          <w:color w:val="000000" w:themeColor="text1"/>
          <w:highlight w:val="none"/>
          <w14:textFill>
            <w14:solidFill>
              <w14:schemeClr w14:val="tx1"/>
            </w14:solidFill>
          </w14:textFill>
        </w:rPr>
      </w:pPr>
      <w:bookmarkEnd w:id="51"/>
      <w:r>
        <w:rPr>
          <w:rFonts w:ascii="宋体" w:eastAsia="宋体" w:hAnsi="宋体" w:cs="宋体" w:hint="eastAsia"/>
          <w:color w:val="000000" w:themeColor="text1"/>
          <w:highlight w:val="none"/>
          <w14:textFill>
            <w14:solidFill>
              <w14:schemeClr w14:val="tx1"/>
            </w14:solidFill>
          </w14:textFill>
        </w:rPr>
        <w:t>18．</w:t>
      </w:r>
      <w:bookmarkStart w:id="52" w:name="_Hlk72401735"/>
      <w:r>
        <w:rPr>
          <w:rFonts w:ascii="宋体" w:eastAsia="宋体" w:hAnsi="宋体" w:cs="宋体" w:hint="eastAsia"/>
          <w:color w:val="000000" w:themeColor="text1"/>
          <w:highlight w:val="none"/>
          <w14:textFill>
            <w14:solidFill>
              <w14:schemeClr w14:val="tx1"/>
            </w14:solidFill>
          </w14:textFill>
        </w:rPr>
        <w:t>证明投标文件投标技术方案的合格性和符合招标文件规定的文件要求</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18.1投标人应提交证明文件，证明其投标技术方案项下的货物和服务的合格性符合招标文件规定。该投标技术方案及其证明文件均作为投标文件组成部分。</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18.2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18.2.1主要技术指标和性能的详细说明。</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18.2.2投标产品从采购人开始使用至招标文件中规定的周期内正常、连续地使用所必须的备件和专用工具清单，包括备件和专用工具的货源及现行价格。</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18.2.3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ascii="宋体" w:eastAsia="宋体" w:hAnsi="宋体" w:cs="宋体" w:hint="eastAsia"/>
          <w:color w:val="000000" w:themeColor="text1"/>
          <w:highlight w:val="none"/>
          <w14:textFill>
            <w14:solidFill>
              <w14:schemeClr w14:val="tx1"/>
            </w14:solidFill>
          </w14:textFill>
        </w:rPr>
        <w:t>清晰度要求能够使用电脑阅读、识别和判断</w:t>
      </w:r>
      <w:r>
        <w:rPr>
          <w:rFonts w:ascii="宋体" w:eastAsia="宋体" w:hAnsi="宋体" w:cs="宋体" w:hint="eastAsia"/>
          <w:color w:val="000000" w:themeColor="text1"/>
          <w:szCs w:val="21"/>
          <w:highlight w:val="none"/>
          <w14:textFill>
            <w14:solidFill>
              <w14:schemeClr w14:val="tx1"/>
            </w14:solidFill>
          </w14:textFill>
        </w:rPr>
        <w:t>；</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18.2.5我国政府机构出具的产品检验和核准证件应为证件正面、背面和附件标注的全部具体内容；产品检验和核准证件的尺寸和清晰度应该能够在电脑上被阅读、识别和判断，提供原件扫描件。</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18.3相关资料不符合18.2款要求的，评审委员会有权认定为投标技术方案不合格响应，其相关分数予以扣减或作投标无效处理。</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18.4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ascii="宋体" w:eastAsia="宋体" w:hAnsi="宋体" w:cs="宋体" w:hint="eastAsia"/>
          <w:color w:val="000000" w:themeColor="text1"/>
          <w:highlight w:val="none"/>
          <w14:textFill>
            <w14:solidFill>
              <w14:schemeClr w14:val="tx1"/>
            </w14:solidFill>
          </w14:textFill>
        </w:rPr>
        <w:t>满足要求</w:t>
      </w:r>
      <w:r>
        <w:rPr>
          <w:rFonts w:ascii="宋体" w:eastAsia="宋体" w:hAnsi="宋体" w:cs="宋体" w:hint="eastAsia"/>
          <w:color w:val="000000" w:themeColor="text1"/>
          <w:szCs w:val="21"/>
          <w:highlight w:val="none"/>
          <w14:textFill>
            <w14:solidFill>
              <w14:schemeClr w14:val="tx1"/>
            </w14:solidFill>
          </w14:textFill>
        </w:rPr>
        <w:t>，由评审委员会来评判。</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18.5除非另有规定或说明，投标人对同一项目投标时，不得同时提供两套或两套以上的投标方案。</w:t>
      </w:r>
    </w:p>
    <w:p>
      <w:pPr>
        <w:rPr>
          <w:rFonts w:ascii="宋体" w:eastAsia="宋体" w:hAnsi="宋体" w:cs="宋体"/>
          <w:color w:val="000000" w:themeColor="text1"/>
          <w:highlight w:val="none"/>
          <w14:textFill>
            <w14:solidFill>
              <w14:schemeClr w14:val="tx1"/>
            </w14:solidFill>
          </w14:textFill>
        </w:rPr>
      </w:pPr>
      <w:bookmarkEnd w:id="52"/>
      <w:r>
        <w:rPr>
          <w:rFonts w:ascii="宋体" w:eastAsia="宋体" w:hAnsi="宋体" w:cs="宋体" w:hint="eastAsia"/>
          <w:color w:val="000000" w:themeColor="text1"/>
          <w:highlight w:val="none"/>
          <w14:textFill>
            <w14:solidFill>
              <w14:schemeClr w14:val="tx1"/>
            </w14:solidFill>
          </w14:textFill>
        </w:rPr>
        <w:t>19．</w:t>
      </w:r>
      <w:bookmarkStart w:id="53" w:name="_Hlk72402034"/>
      <w:r>
        <w:rPr>
          <w:rFonts w:ascii="宋体" w:eastAsia="宋体" w:hAnsi="宋体" w:cs="宋体" w:hint="eastAsia"/>
          <w:color w:val="000000" w:themeColor="text1"/>
          <w:highlight w:val="none"/>
          <w14:textFill>
            <w14:solidFill>
              <w14:schemeClr w14:val="tx1"/>
            </w14:solidFill>
          </w14:textFill>
        </w:rPr>
        <w:t>投标文件其他证明文件的要求</w:t>
      </w:r>
    </w:p>
    <w:p>
      <w:pP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54" w:name="_Hlk71407299"/>
    </w:p>
    <w:p>
      <w:pPr>
        <w:ind w:firstLine="470" w:firstLineChars="196"/>
        <w:rPr>
          <w:rFonts w:ascii="宋体" w:eastAsia="宋体" w:hAnsi="宋体" w:cs="宋体"/>
          <w:color w:val="000000" w:themeColor="text1"/>
          <w:szCs w:val="21"/>
          <w:highlight w:val="none"/>
          <w14:textFill>
            <w14:solidFill>
              <w14:schemeClr w14:val="tx1"/>
            </w14:solidFill>
          </w14:textFill>
        </w:rPr>
      </w:pPr>
      <w:bookmarkEnd w:id="54"/>
      <w:r>
        <w:rPr>
          <w:rFonts w:ascii="宋体" w:eastAsia="宋体" w:hAnsi="宋体" w:cs="宋体" w:hint="eastAsia"/>
          <w:color w:val="000000" w:themeColor="text1"/>
          <w:szCs w:val="21"/>
          <w:highlight w:val="none"/>
          <w14:textFill>
            <w14:solidFill>
              <w14:schemeClr w14:val="tx1"/>
            </w14:solidFill>
          </w14:textFill>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20．投标有效期</w:t>
      </w:r>
    </w:p>
    <w:p>
      <w:pPr>
        <w:ind w:firstLine="470" w:firstLineChars="196"/>
        <w:rPr>
          <w:rFonts w:ascii="宋体" w:eastAsia="宋体" w:hAnsi="宋体" w:cs="宋体"/>
          <w:color w:val="000000" w:themeColor="text1"/>
          <w:szCs w:val="21"/>
          <w:highlight w:val="none"/>
          <w14:textFill>
            <w14:solidFill>
              <w14:schemeClr w14:val="tx1"/>
            </w14:solidFill>
          </w14:textFill>
        </w:rPr>
      </w:pPr>
      <w:bookmarkEnd w:id="53"/>
      <w:bookmarkStart w:id="55" w:name="_Hlk72402214"/>
      <w:r>
        <w:rPr>
          <w:rFonts w:ascii="宋体" w:eastAsia="宋体" w:hAnsi="宋体" w:cs="宋体" w:hint="eastAsia"/>
          <w:color w:val="000000" w:themeColor="text1"/>
          <w:szCs w:val="21"/>
          <w:highlight w:val="none"/>
          <w14:textFill>
            <w14:solidFill>
              <w14:schemeClr w14:val="tx1"/>
            </w14:solidFill>
          </w14:textFill>
        </w:rPr>
        <w:t>20.1投标有效期为从投标截止之日算起的日历天数。在此期限内，所有投标文件均保持有效。</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20.2 在特殊情况下，招标机构在原定的投标有效期满之前，招标机构可以根据需要以书面形式（包括招标机构网站公开发布方式）向投标人提出延长投标有效期的要求，对此要求投标人须以书面形式予以答复，投标人可以拒绝招标机构此项要求，其投标在原投标有效期满后不再有效。同意延长投标有效期的投标人不能要求也不允许修改其投标文件。</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20.3中标供应商的投标文件有效期，截止于完成本招标文件规定的全部项目内容，并通过竣工验收及保修期结束。</w:t>
      </w:r>
    </w:p>
    <w:p>
      <w:pPr>
        <w:rPr>
          <w:rFonts w:ascii="宋体" w:eastAsia="宋体" w:hAnsi="宋体" w:cs="宋体"/>
          <w:color w:val="000000" w:themeColor="text1"/>
          <w:highlight w:val="none"/>
          <w14:textFill>
            <w14:solidFill>
              <w14:schemeClr w14:val="tx1"/>
            </w14:solidFill>
          </w14:textFill>
        </w:rPr>
      </w:pPr>
      <w:bookmarkEnd w:id="55"/>
      <w:r>
        <w:rPr>
          <w:rFonts w:ascii="宋体" w:eastAsia="宋体" w:hAnsi="宋体" w:cs="宋体" w:hint="eastAsia"/>
          <w:color w:val="000000" w:themeColor="text1"/>
          <w:highlight w:val="none"/>
          <w14:textFill>
            <w14:solidFill>
              <w14:schemeClr w14:val="tx1"/>
            </w14:solidFill>
          </w14:textFill>
        </w:rPr>
        <w:t>21．</w:t>
      </w:r>
      <w:bookmarkStart w:id="56" w:name="_Hlk72402325"/>
      <w:r>
        <w:rPr>
          <w:rFonts w:ascii="宋体" w:eastAsia="宋体" w:hAnsi="宋体" w:cs="宋体" w:hint="eastAsia"/>
          <w:color w:val="000000" w:themeColor="text1"/>
          <w:highlight w:val="none"/>
          <w14:textFill>
            <w14:solidFill>
              <w14:schemeClr w14:val="tx1"/>
            </w14:solidFill>
          </w14:textFill>
        </w:rPr>
        <w:t xml:space="preserve">关于投标保证金 </w:t>
      </w:r>
    </w:p>
    <w:p>
      <w:pPr>
        <w:rPr>
          <w:rFonts w:ascii="宋体" w:eastAsia="宋体" w:hAnsi="宋体" w:cs="宋体"/>
          <w:szCs w:val="21"/>
          <w:highlight w:val="none"/>
        </w:rPr>
      </w:pPr>
      <w:r>
        <w:rPr>
          <w:rFonts w:ascii="宋体" w:eastAsia="宋体" w:hAnsi="宋体" w:cs="宋体" w:hint="eastAsia"/>
          <w:color w:val="000000" w:themeColor="text1"/>
          <w:szCs w:val="21"/>
          <w:highlight w:val="none"/>
          <w14:textFill>
            <w14:solidFill>
              <w14:schemeClr w14:val="tx1"/>
            </w14:solidFill>
          </w14:textFill>
        </w:rPr>
        <w:t xml:space="preserve">   </w:t>
      </w:r>
      <w:r>
        <w:rPr>
          <w:rFonts w:ascii="宋体" w:eastAsia="宋体" w:hAnsi="宋体" w:cs="宋体" w:hint="eastAsia"/>
          <w:szCs w:val="21"/>
          <w:highlight w:val="none"/>
        </w:rPr>
        <w:t xml:space="preserve">21.1 </w:t>
      </w:r>
      <w:r>
        <w:rPr>
          <w:rFonts w:ascii="宋体" w:eastAsia="宋体" w:hAnsi="宋体" w:cs="宋体" w:hint="eastAsia"/>
          <w:highlight w:val="none"/>
        </w:rPr>
        <w:t>根据《深圳市财政局关于明确政府采购保证金管理工作的通知》（深财购[2019]42号）文的规定，本项目不收取投标保证金。</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22．投标人的替代方案</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pPr>
        <w:rPr>
          <w:rFonts w:ascii="宋体" w:eastAsia="宋体" w:hAnsi="宋体" w:cs="宋体"/>
          <w:color w:val="000000" w:themeColor="text1"/>
          <w:highlight w:val="none"/>
          <w14:textFill>
            <w14:solidFill>
              <w14:schemeClr w14:val="tx1"/>
            </w14:solidFill>
          </w14:textFill>
        </w:rPr>
      </w:pPr>
      <w:bookmarkEnd w:id="56"/>
      <w:r>
        <w:rPr>
          <w:rFonts w:ascii="宋体" w:eastAsia="宋体" w:hAnsi="宋体" w:cs="宋体" w:hint="eastAsia"/>
          <w:color w:val="000000" w:themeColor="text1"/>
          <w:highlight w:val="none"/>
          <w14:textFill>
            <w14:solidFill>
              <w14:schemeClr w14:val="tx1"/>
            </w14:solidFill>
          </w14:textFill>
        </w:rPr>
        <w:t>23．</w:t>
      </w:r>
      <w:bookmarkStart w:id="57" w:name="_Hlk72402860"/>
      <w:r>
        <w:rPr>
          <w:rFonts w:ascii="宋体" w:eastAsia="宋体" w:hAnsi="宋体" w:cs="宋体" w:hint="eastAsia"/>
          <w:color w:val="000000" w:themeColor="text1"/>
          <w:highlight w:val="none"/>
          <w14:textFill>
            <w14:solidFill>
              <w14:schemeClr w14:val="tx1"/>
            </w14:solidFill>
          </w14:textFill>
        </w:rPr>
        <w:t>投标文件的制作要求</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23.1投标人应准备所投项目的电子投标文件一份。此电子投标文件须由投标人根据招标机构提供的后缀名为.szczf的电子招标文件，下载并使用相应的深圳智慧采购平台投标文件制作专用软件打开招标文件（.szczf格式）【下载地址：http://zfcg.szggzy.com:8081/cgxy/013002/20210923/173e0b2c-7a4c-4246-a0c7-e0ea75d84dd6.html】。</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23.2投标人在使用《投标文件制作软件》编制投标书时须注意：</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23.2.1导入《投标文件制作软件》的招标文件项目编号、包号应与以此制作的投标文件项目编号、包号一致。例如，不能将甲项目A包的招标书导入《投标文件制作软件》，制作乙项目B包的投标书。</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23.2.2不能用非本公司的电子密钥加密本公司的投标文件，或者用其它公司的登录用户上传本公司的投标文件。</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23.2.3要求用《投标文件制作软件》编制投标书的包，不能用其它方式编制投标书。编制投标文件时，电脑须连通互联网。</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23.2.4投标文件不能带病毒。招标机构将用专业杀毒软件对投标文件进行病毒检测，如果这两种软件均报告发现病毒，则招标机构认为该投标文件带病毒。</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23.2.5完整填写“投标关键信息”，如下图所示：</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drawing>
          <wp:inline distT="0" distB="0" distL="0" distR="0">
            <wp:extent cx="5278755" cy="2721610"/>
            <wp:effectExtent l="0" t="0" r="0" b="2540"/>
            <wp:docPr id="9" name="图片 9"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形用户界面, 应用程序&#10;&#10;描述已自动生成"/>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eastAsia="宋体" w:hAnsi="宋体" w:cs="宋体"/>
          <w:b/>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备注：上述“开标一览表”中的“投标总价”将作为价格分计算依据；其它信息仅是对投标文件相关内容的概括性表述，不作为评审依据。</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23.2.6投标人在编辑投标文件时，</w:t>
      </w:r>
      <w:r>
        <w:rPr>
          <w:rFonts w:ascii="宋体" w:eastAsia="宋体" w:hAnsi="宋体" w:cs="宋体" w:hint="eastAsia"/>
          <w:b/>
          <w:color w:val="000000" w:themeColor="text1"/>
          <w:highlight w:val="none"/>
          <w14:textFill>
            <w14:solidFill>
              <w14:schemeClr w14:val="tx1"/>
            </w14:solidFill>
          </w14:textFill>
        </w:rPr>
        <w:t>在投标文件目录中属于本节点内容的必须在本节点中填写，填写到其他节点或附件，</w:t>
      </w:r>
      <w:r>
        <w:rPr>
          <w:rFonts w:ascii="宋体" w:eastAsia="宋体" w:hAnsi="宋体" w:cs="宋体" w:hint="eastAsia"/>
          <w:color w:val="000000" w:themeColor="text1"/>
          <w:highlight w:val="none"/>
          <w14:textFill>
            <w14:solidFill>
              <w14:schemeClr w14:val="tx1"/>
            </w14:solidFill>
          </w14:textFill>
        </w:rPr>
        <w:t>一切后果由供应商自行承担。</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23.2.7投标文件编写完成后，</w:t>
      </w:r>
      <w:r>
        <w:rPr>
          <w:rFonts w:ascii="宋体" w:eastAsia="宋体" w:hAnsi="宋体" w:cs="宋体" w:hint="eastAsia"/>
          <w:b/>
          <w:color w:val="000000" w:themeColor="text1"/>
          <w:highlight w:val="none"/>
          <w14:textFill>
            <w14:solidFill>
              <w14:schemeClr w14:val="tx1"/>
            </w14:solidFill>
          </w14:textFill>
        </w:rPr>
        <w:t>必须用属于投标人的电子密钥进行加密，否则视同未盖公章，将导致投标文件无效。</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23.2.8招标机构不接受投标截止时间后递交的纸质、电子、传真等所有形式的投标文件。由于对网上政府采购系统操作不熟悉或自身电脑、网络等原因导致不能在投标截止时间之前上传投标文件，招标机构概不负责。建议于开标前一个工作日完成投标文件的制作与上传，如上传确有困难，请及时咨询。</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23.2.9如果开标时出现网络故障、技术故障，影响了政府采购活动，招标机构有权采取措施如延期、接受无法从网上上传的投标书等，以保障政府采购活动的公开、公平和公正。</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23.3电报、电话、传真形式的投标概不接受。</w:t>
      </w:r>
    </w:p>
    <w:p>
      <w:pPr>
        <w:ind w:firstLine="470" w:firstLineChars="196"/>
        <w:rPr>
          <w:rFonts w:ascii="宋体" w:eastAsia="宋体" w:hAnsi="宋体" w:cs="宋体"/>
          <w:b/>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23.4经投标人电子密钥加密的投标文件无须盖章或签字，</w:t>
      </w:r>
      <w:r>
        <w:rPr>
          <w:rFonts w:ascii="宋体" w:eastAsia="宋体" w:hAnsi="宋体" w:cs="宋体" w:hint="eastAsia"/>
          <w:color w:val="000000" w:themeColor="text1"/>
          <w:highlight w:val="none"/>
          <w14:textFill>
            <w14:solidFill>
              <w14:schemeClr w14:val="tx1"/>
            </w14:solidFill>
          </w14:textFill>
        </w:rPr>
        <w:t>专用条款另有要求的除外。</w:t>
      </w:r>
    </w:p>
    <w:p>
      <w:pPr>
        <w:ind w:firstLine="470" w:firstLineChars="196"/>
        <w:rPr>
          <w:rFonts w:ascii="宋体" w:eastAsia="宋体" w:hAnsi="宋体" w:cs="宋体"/>
          <w:highlight w:val="none"/>
        </w:rPr>
      </w:pPr>
      <w:r>
        <w:rPr>
          <w:rFonts w:ascii="宋体" w:eastAsia="宋体" w:hAnsi="宋体" w:cs="宋体" w:hint="eastAsia"/>
          <w:b/>
          <w:color w:val="000000" w:themeColor="text1"/>
          <w:highlight w:val="none"/>
          <w14:textFill>
            <w14:solidFill>
              <w14:schemeClr w14:val="tx1"/>
            </w14:solidFill>
          </w14:textFill>
        </w:rPr>
        <w:t>23.5</w:t>
      </w:r>
      <w:r>
        <w:rPr>
          <w:rFonts w:ascii="宋体" w:eastAsia="宋体" w:hAnsi="宋体" w:cs="宋体" w:hint="eastAsia"/>
          <w:color w:val="000000" w:themeColor="text1"/>
          <w:highlight w:val="none"/>
          <w14:textFill>
            <w14:solidFill>
              <w14:schemeClr w14:val="tx1"/>
            </w14:solidFill>
          </w14:textFill>
        </w:rPr>
        <w:t xml:space="preserve"> 各类资格（资质）文件提供扫描件，专用条款另有要求的除外。</w:t>
      </w:r>
      <w:bookmarkEnd w:id="57"/>
    </w:p>
    <w:p>
      <w:pPr>
        <w:pStyle w:val="Heading2"/>
        <w:numPr>
          <w:ilvl w:val="0"/>
          <w:numId w:val="4"/>
        </w:numPr>
        <w:tabs>
          <w:tab w:val="left" w:pos="360"/>
          <w:tab w:val="clear" w:pos="720"/>
        </w:tabs>
        <w:spacing w:before="120" w:beforeLines="50" w:after="120" w:afterLines="50"/>
        <w:ind w:left="562" w:hanging="562"/>
        <w:rPr>
          <w:rFonts w:cs="宋体"/>
          <w:color w:val="000000" w:themeColor="text1"/>
          <w:sz w:val="28"/>
          <w:szCs w:val="28"/>
          <w:highlight w:val="none"/>
          <w14:textFill>
            <w14:solidFill>
              <w14:schemeClr w14:val="tx1"/>
            </w14:solidFill>
          </w14:textFill>
        </w:rPr>
      </w:pPr>
      <w:r>
        <w:rPr>
          <w:rFonts w:cs="宋体" w:hint="eastAsia"/>
          <w:color w:val="000000" w:themeColor="text1"/>
          <w:sz w:val="28"/>
          <w:szCs w:val="28"/>
          <w:highlight w:val="none"/>
          <w14:textFill>
            <w14:solidFill>
              <w14:schemeClr w14:val="tx1"/>
            </w14:solidFill>
          </w14:textFill>
        </w:rPr>
        <w:t>投标文件的递交</w:t>
      </w:r>
      <w:bookmarkStart w:id="58" w:name="_Hlk72405459"/>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24．投标书的保密</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drawing>
          <wp:inline distT="0" distB="0" distL="0" distR="0">
            <wp:extent cx="5278755" cy="2721610"/>
            <wp:effectExtent l="0" t="0" r="0" b="2540"/>
            <wp:docPr id="7" name="图片 7"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形用户界面, 应用程序&#10;&#10;描述已自动生成"/>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在投标文件制作软件点击【生成标书】按钮进入【填写开标一览表界面】界面，在该界面填写完开标一览表信息后点击【确定】，进入投标文件生成环节。</w:t>
      </w:r>
      <w:r>
        <w:rPr>
          <w:rFonts w:ascii="宋体" w:eastAsia="宋体" w:hAnsi="宋体" w:cs="宋体" w:hint="eastAsia"/>
          <w:color w:val="000000" w:themeColor="text1"/>
          <w:highlight w:val="none"/>
          <w14:textFill>
            <w14:solidFill>
              <w14:schemeClr w14:val="tx1"/>
            </w14:solidFill>
          </w14:textFill>
        </w:rPr>
        <w:drawing>
          <wp:inline distT="0" distB="0" distL="0" distR="0">
            <wp:extent cx="5278755" cy="2732405"/>
            <wp:effectExtent l="0" t="0" r="0" b="0"/>
            <wp:docPr id="8" name="图片 8"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形用户界面&#10;&#10;描述已自动生成"/>
                    <pic:cNvPicPr>
                      <a:picLocks noChangeAspect="1" noChangeArrowheads="1"/>
                    </pic:cNvPicPr>
                  </pic:nvPicPr>
                  <pic:blipFill>
                    <a:blip xmlns:r="http://schemas.openxmlformats.org/officeDocument/2006/relationships" r:embed="rId10"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32405"/>
                    </a:xfrm>
                    <a:prstGeom prst="rect">
                      <a:avLst/>
                    </a:prstGeom>
                    <a:noFill/>
                    <a:ln>
                      <a:noFill/>
                    </a:ln>
                  </pic:spPr>
                </pic:pic>
              </a:graphicData>
            </a:graphic>
          </wp:inline>
        </w:drawing>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投标文件制作软件会在投标文件生成过程中，提示用户输入密码，输入密码后对标文件自动进行加密。</w:t>
      </w:r>
    </w:p>
    <w:p>
      <w:pPr>
        <w:ind w:firstLine="480" w:firstLineChars="200"/>
        <w:rPr>
          <w:rFonts w:ascii="宋体" w:eastAsia="宋体" w:hAnsi="宋体" w:cs="宋体"/>
          <w:b/>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24.2若采购项目出现延期情况：</w:t>
      </w:r>
    </w:p>
    <w:p>
      <w:pPr>
        <w:ind w:firstLine="480" w:firstLineChars="200"/>
        <w:rPr>
          <w:rFonts w:ascii="宋体" w:eastAsia="宋体" w:hAnsi="宋体" w:cs="宋体"/>
          <w:b/>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如果供下载的招标文件（后缀名为.szczf）有更新，投标人必须重新下载招标文件、重新制作投标文件、重新加密投标文件、重新上传投标文件；如果供下载的招标文件（后缀名为.szczf）没有更新，投标人必须重新加密投标文件、重新上传投标文件（是否重新制作投标文件根据项目实际情况定）。否则，投标人自行承担投标文件无法解密导致投标无效的后果。</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25．上传投标文件及投标截止日期</w:t>
      </w:r>
    </w:p>
    <w:p>
      <w:pPr>
        <w:ind w:firstLine="480" w:firstLineChars="200"/>
        <w:rPr>
          <w:rFonts w:ascii="宋体" w:eastAsia="宋体" w:hAnsi="宋体" w:cs="宋体"/>
          <w:bCs/>
          <w:color w:val="000000" w:themeColor="text1"/>
          <w:highlight w:val="none"/>
          <w14:textFill>
            <w14:solidFill>
              <w14:schemeClr w14:val="tx1"/>
            </w14:solidFill>
          </w14:textFill>
        </w:rPr>
      </w:pPr>
      <w:r>
        <w:rPr>
          <w:rFonts w:ascii="宋体" w:eastAsia="宋体" w:hAnsi="宋体" w:cs="宋体" w:hint="eastAsia"/>
          <w:bCs/>
          <w:color w:val="000000" w:themeColor="text1"/>
          <w:highlight w:val="none"/>
          <w14:textFill>
            <w14:solidFill>
              <w14:schemeClr w14:val="tx1"/>
            </w14:solidFill>
          </w14:textFill>
        </w:rPr>
        <w:t>25.1实行网上投标，投标人必须在招标文件规定的投标截止时间前用电子密钥登录“深圳政府采购智慧平台用户网上办事子系统（http://zfcg.szggzy.com:8081/TPBidder/memberLogin）”，用“【我的项目】→【项目流程】→【递交投标(应答)文件】”功能点上传投标文件。如上传过程中遇到问题，可拨打技术支持电话，联系方式：</w:t>
      </w:r>
      <w:r>
        <w:rPr>
          <w:rFonts w:ascii="宋体" w:eastAsia="宋体" w:hAnsi="宋体" w:cs="宋体" w:hint="eastAsia"/>
          <w:highlight w:val="none"/>
        </w:rPr>
        <w:t>0755-88653300-6</w:t>
      </w:r>
      <w:r>
        <w:rPr>
          <w:rFonts w:ascii="宋体" w:eastAsia="宋体" w:hAnsi="宋体" w:cs="宋体" w:hint="eastAsia"/>
          <w:bCs/>
          <w:color w:val="000000" w:themeColor="text1"/>
          <w:highlight w:val="none"/>
          <w14:textFill>
            <w14:solidFill>
              <w14:schemeClr w14:val="tx1"/>
            </w14:solidFill>
          </w14:textFill>
        </w:rPr>
        <w:t>。</w:t>
      </w:r>
    </w:p>
    <w:p>
      <w:pPr>
        <w:ind w:firstLine="480" w:firstLineChars="200"/>
        <w:rPr>
          <w:rFonts w:ascii="宋体" w:eastAsia="宋体" w:hAnsi="宋体" w:cs="宋体"/>
          <w:bCs/>
          <w:color w:val="000000" w:themeColor="text1"/>
          <w:highlight w:val="none"/>
          <w14:textFill>
            <w14:solidFill>
              <w14:schemeClr w14:val="tx1"/>
            </w14:solidFill>
          </w14:textFill>
        </w:rPr>
      </w:pPr>
      <w:r>
        <w:rPr>
          <w:rFonts w:ascii="宋体" w:eastAsia="宋体" w:hAnsi="宋体" w:cs="宋体" w:hint="eastAsia"/>
          <w:bCs/>
          <w:color w:val="000000" w:themeColor="text1"/>
          <w:highlight w:val="none"/>
          <w14:textFill>
            <w14:solidFill>
              <w14:schemeClr w14:val="tx1"/>
            </w14:solidFill>
          </w14:textFill>
        </w:rPr>
        <w:t>25.2招标机构可以按本通用条款第13条规定，通过修改招标文件自行决定酌情延长投标截止期。在此情况下，招标机构、采购人和投标人受投标截止期制约的所有权利和义务均应延长至新的截止期。</w:t>
      </w:r>
    </w:p>
    <w:p>
      <w:pPr>
        <w:ind w:firstLine="480" w:firstLineChars="200"/>
        <w:rPr>
          <w:rFonts w:ascii="宋体" w:eastAsia="宋体" w:hAnsi="宋体" w:cs="宋体"/>
          <w:bCs/>
          <w:color w:val="000000" w:themeColor="text1"/>
          <w:highlight w:val="none"/>
          <w14:textFill>
            <w14:solidFill>
              <w14:schemeClr w14:val="tx1"/>
            </w14:solidFill>
          </w14:textFill>
        </w:rPr>
      </w:pPr>
      <w:r>
        <w:rPr>
          <w:rFonts w:ascii="宋体" w:eastAsia="宋体" w:hAnsi="宋体" w:cs="宋体" w:hint="eastAsia"/>
          <w:bCs/>
          <w:color w:val="000000" w:themeColor="text1"/>
          <w:highlight w:val="none"/>
          <w14:textFill>
            <w14:solidFill>
              <w14:schemeClr w14:val="tx1"/>
            </w14:solidFill>
          </w14:textFill>
        </w:rPr>
        <w:t>25.3投标截止时间以后不得上传投标文件。</w:t>
      </w:r>
    </w:p>
    <w:p>
      <w:pPr>
        <w:ind w:firstLine="480" w:firstLineChars="200"/>
        <w:rPr>
          <w:rFonts w:ascii="宋体" w:eastAsia="宋体" w:hAnsi="宋体" w:cs="宋体"/>
          <w:bCs/>
          <w:color w:val="000000" w:themeColor="text1"/>
          <w:highlight w:val="none"/>
          <w14:textFill>
            <w14:solidFill>
              <w14:schemeClr w14:val="tx1"/>
            </w14:solidFill>
          </w14:textFill>
        </w:rPr>
      </w:pPr>
      <w:r>
        <w:rPr>
          <w:rFonts w:ascii="宋体" w:eastAsia="宋体" w:hAnsi="宋体" w:cs="宋体" w:hint="eastAsia"/>
          <w:bCs/>
          <w:color w:val="000000" w:themeColor="text1"/>
          <w:highlight w:val="none"/>
          <w14:textFill>
            <w14:solidFill>
              <w14:schemeClr w14:val="tx1"/>
            </w14:solidFill>
          </w14:textFill>
        </w:rPr>
        <w:t>25.4.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rPr>
          <w:rFonts w:ascii="宋体" w:eastAsia="宋体" w:hAnsi="宋体" w:cs="宋体"/>
          <w:color w:val="000000" w:themeColor="text1"/>
          <w:highlight w:val="none"/>
          <w14:textFill>
            <w14:solidFill>
              <w14:schemeClr w14:val="tx1"/>
            </w14:solidFill>
          </w14:textFill>
        </w:rPr>
      </w:pPr>
      <w:bookmarkEnd w:id="58"/>
      <w:r>
        <w:rPr>
          <w:rFonts w:ascii="宋体" w:eastAsia="宋体" w:hAnsi="宋体" w:cs="宋体" w:hint="eastAsia"/>
          <w:color w:val="000000" w:themeColor="text1"/>
          <w:highlight w:val="none"/>
          <w14:textFill>
            <w14:solidFill>
              <w14:schemeClr w14:val="tx1"/>
            </w14:solidFill>
          </w14:textFill>
        </w:rPr>
        <w:t>26. 样品、现场演示、方案讲解</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26.1 样品、现场演示、方案讲解等事项在招标文件专用条款中进行规定。</w:t>
      </w:r>
    </w:p>
    <w:p>
      <w:pPr>
        <w:rPr>
          <w:rFonts w:ascii="宋体" w:eastAsia="宋体" w:hAnsi="宋体" w:cs="宋体"/>
          <w:color w:val="000000" w:themeColor="text1"/>
          <w:highlight w:val="none"/>
          <w14:textFill>
            <w14:solidFill>
              <w14:schemeClr w14:val="tx1"/>
            </w14:solidFill>
          </w14:textFill>
        </w:rPr>
      </w:pPr>
      <w:bookmarkStart w:id="59" w:name="_Hlk72428346"/>
      <w:r>
        <w:rPr>
          <w:rFonts w:ascii="宋体" w:eastAsia="宋体" w:hAnsi="宋体" w:cs="宋体" w:hint="eastAsia"/>
          <w:color w:val="000000" w:themeColor="text1"/>
          <w:highlight w:val="none"/>
          <w14:textFill>
            <w14:solidFill>
              <w14:schemeClr w14:val="tx1"/>
            </w14:solidFill>
          </w14:textFill>
        </w:rPr>
        <w:t>27．投标文件的修改和撤销</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27.1投标方在提交投标文件后可对其投标文件进行修改并重新上传投标文件或在网上进行撤销投标的操作。</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27.2投标截止时间以后不得修改投标文件。</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27.3从投标截止期至投标人在投标文件中确定的投标有效期之间的这段时间内，投标人不得撤回其投标。</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27.4招标机构不退还投标文件，专用条款另有规定的除外。</w:t>
      </w:r>
    </w:p>
    <w:p>
      <w:pPr>
        <w:pStyle w:val="Heading2"/>
        <w:numPr>
          <w:ilvl w:val="0"/>
          <w:numId w:val="4"/>
        </w:numPr>
        <w:tabs>
          <w:tab w:val="left" w:pos="360"/>
          <w:tab w:val="clear" w:pos="720"/>
        </w:tabs>
        <w:spacing w:before="120" w:beforeLines="50" w:after="120" w:afterLines="50"/>
        <w:ind w:left="562" w:hanging="562"/>
        <w:rPr>
          <w:rFonts w:cs="宋体"/>
          <w:color w:val="000000" w:themeColor="text1"/>
          <w:sz w:val="28"/>
          <w:szCs w:val="28"/>
          <w:highlight w:val="none"/>
          <w14:textFill>
            <w14:solidFill>
              <w14:schemeClr w14:val="tx1"/>
            </w14:solidFill>
          </w14:textFill>
        </w:rPr>
      </w:pPr>
      <w:bookmarkEnd w:id="59"/>
      <w:r>
        <w:rPr>
          <w:rFonts w:cs="宋体" w:hint="eastAsia"/>
          <w:color w:val="000000" w:themeColor="text1"/>
          <w:sz w:val="28"/>
          <w:szCs w:val="28"/>
          <w:highlight w:val="none"/>
          <w14:textFill>
            <w14:solidFill>
              <w14:schemeClr w14:val="tx1"/>
            </w14:solidFill>
          </w14:textFill>
        </w:rPr>
        <w:t>开标</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28．开标</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28.1</w:t>
      </w:r>
      <w:r>
        <w:rPr>
          <w:rFonts w:ascii="宋体" w:eastAsia="宋体" w:hAnsi="宋体" w:cs="宋体" w:hint="eastAsia"/>
          <w:color w:val="000000" w:themeColor="text1"/>
          <w:highlight w:val="none"/>
          <w14:textFill>
            <w14:solidFill>
              <w14:schemeClr w14:val="tx1"/>
            </w14:solidFill>
          </w14:textFill>
        </w:rPr>
        <w:t>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ind w:firstLine="410" w:firstLineChars="171"/>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28.2 招标机构将在满足开标条件（</w:t>
      </w:r>
      <w:r>
        <w:rPr>
          <w:rFonts w:ascii="宋体" w:eastAsia="宋体" w:hAnsi="宋体" w:cs="宋体" w:hint="eastAsia"/>
          <w:color w:val="000000" w:themeColor="text1"/>
          <w:sz w:val="20"/>
          <w:szCs w:val="20"/>
          <w:highlight w:val="none"/>
          <w:shd w:val="clear" w:color="auto" w:fill="FFFFFF"/>
          <w14:textFill>
            <w14:solidFill>
              <w14:schemeClr w14:val="tx1"/>
            </w14:solidFill>
          </w14:textFill>
        </w:rPr>
        <w:t>①</w:t>
      </w:r>
      <w:r>
        <w:rPr>
          <w:rFonts w:ascii="宋体" w:eastAsia="宋体" w:hAnsi="宋体" w:cs="宋体" w:hint="eastAsia"/>
          <w:color w:val="000000" w:themeColor="text1"/>
          <w:szCs w:val="21"/>
          <w:highlight w:val="none"/>
          <w14:textFill>
            <w14:solidFill>
              <w14:schemeClr w14:val="tx1"/>
            </w14:solidFill>
          </w14:textFill>
        </w:rPr>
        <w:t>解密时间结束，解密后的投标供应商数量满足开标要求或</w:t>
      </w:r>
      <w:r>
        <w:rPr>
          <w:rFonts w:ascii="宋体" w:eastAsia="宋体" w:hAnsi="宋体" w:cs="宋体" w:hint="eastAsia"/>
          <w:color w:val="000000" w:themeColor="text1"/>
          <w:sz w:val="20"/>
          <w:szCs w:val="20"/>
          <w:highlight w:val="none"/>
          <w:shd w:val="clear" w:color="auto" w:fill="FFFFFF"/>
          <w14:textFill>
            <w14:solidFill>
              <w14:schemeClr w14:val="tx1"/>
            </w14:solidFill>
          </w14:textFill>
        </w:rPr>
        <w:t>②</w:t>
      </w:r>
      <w:r>
        <w:rPr>
          <w:rFonts w:ascii="宋体" w:eastAsia="宋体" w:hAnsi="宋体" w:cs="宋体" w:hint="eastAsia"/>
          <w:color w:val="000000" w:themeColor="text1"/>
          <w:szCs w:val="21"/>
          <w:highlight w:val="none"/>
          <w14:textFill>
            <w14:solidFill>
              <w14:schemeClr w14:val="tx1"/>
            </w14:solidFill>
          </w14:textFill>
        </w:rPr>
        <w:t>解密时间结束前所有投标供应商均完成投标文件解密）后，对投标文件进行开标，并在网上公布开标结果。</w:t>
      </w:r>
    </w:p>
    <w:p>
      <w:pPr>
        <w:pStyle w:val="Heading2"/>
        <w:numPr>
          <w:ilvl w:val="0"/>
          <w:numId w:val="4"/>
        </w:numPr>
        <w:tabs>
          <w:tab w:val="left" w:pos="360"/>
          <w:tab w:val="clear" w:pos="720"/>
        </w:tabs>
        <w:spacing w:before="120" w:beforeLines="50" w:after="120" w:afterLines="50"/>
        <w:ind w:left="562" w:hanging="562"/>
        <w:rPr>
          <w:rFonts w:cs="宋体"/>
          <w:color w:val="000000" w:themeColor="text1"/>
          <w:sz w:val="28"/>
          <w:szCs w:val="28"/>
          <w:highlight w:val="none"/>
          <w14:textFill>
            <w14:solidFill>
              <w14:schemeClr w14:val="tx1"/>
            </w14:solidFill>
          </w14:textFill>
        </w:rPr>
      </w:pPr>
      <w:r>
        <w:rPr>
          <w:rFonts w:cs="宋体" w:hint="eastAsia"/>
          <w:color w:val="000000" w:themeColor="text1"/>
          <w:sz w:val="28"/>
          <w:szCs w:val="28"/>
          <w:highlight w:val="none"/>
          <w14:textFill>
            <w14:solidFill>
              <w14:schemeClr w14:val="tx1"/>
            </w14:solidFill>
          </w14:textFill>
        </w:rPr>
        <w:t>评审要求</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29．评审委员会组成</w:t>
      </w:r>
    </w:p>
    <w:p>
      <w:pPr>
        <w:ind w:firstLine="470" w:firstLineChars="196"/>
        <w:rPr>
          <w:rFonts w:ascii="宋体" w:eastAsia="宋体" w:hAnsi="宋体" w:cs="宋体"/>
          <w:highlight w:val="none"/>
        </w:rPr>
      </w:pPr>
      <w:r>
        <w:rPr>
          <w:rFonts w:ascii="宋体" w:eastAsia="宋体" w:hAnsi="宋体" w:cs="宋体" w:hint="eastAsia"/>
          <w:highlight w:val="none"/>
        </w:rPr>
        <w:t>29.1网上开标结束后召开评审会议，</w:t>
      </w:r>
      <w:r>
        <w:rPr>
          <w:rFonts w:ascii="宋体" w:eastAsia="宋体" w:hAnsi="宋体" w:cs="宋体" w:hint="eastAsia"/>
          <w:szCs w:val="21"/>
          <w:highlight w:val="none"/>
        </w:rPr>
        <w:t>评审委员会</w:t>
      </w:r>
      <w:r>
        <w:rPr>
          <w:rFonts w:ascii="宋体" w:eastAsia="宋体" w:hAnsi="宋体" w:cs="宋体" w:hint="eastAsia"/>
          <w:highlight w:val="none"/>
        </w:rPr>
        <w:t>由政府采购代理机构依法组建，负责评审活动。</w:t>
      </w:r>
    </w:p>
    <w:p>
      <w:pPr>
        <w:ind w:firstLine="470" w:firstLineChars="196"/>
        <w:rPr>
          <w:rFonts w:ascii="宋体" w:eastAsia="宋体" w:hAnsi="宋体" w:cs="宋体"/>
          <w:highlight w:val="none"/>
        </w:rPr>
      </w:pPr>
      <w:bookmarkStart w:id="60" w:name="_Hlk72436580"/>
      <w:r>
        <w:rPr>
          <w:rFonts w:ascii="宋体" w:eastAsia="宋体" w:hAnsi="宋体" w:cs="宋体" w:hint="eastAsia"/>
          <w:highlight w:val="none"/>
        </w:rPr>
        <w:t>评审委员会由采购人代表和评审专家组成，成员人数应当为5人以上单数（部分条件下为7人以上单数），其中评审专家不得少于成员总数的三分之二。</w:t>
      </w:r>
      <w:bookmarkEnd w:id="60"/>
      <w:r>
        <w:rPr>
          <w:rFonts w:ascii="宋体" w:eastAsia="宋体" w:hAnsi="宋体" w:cs="宋体" w:hint="eastAsia"/>
          <w:highlight w:val="none"/>
        </w:rPr>
        <w:t>评定分离项目评审专家均由评审专家组成。</w:t>
      </w:r>
      <w:r>
        <w:rPr>
          <w:rFonts w:ascii="宋体" w:eastAsia="宋体" w:hAnsi="宋体" w:cs="宋体" w:hint="eastAsia"/>
          <w:szCs w:val="21"/>
          <w:highlight w:val="none"/>
        </w:rPr>
        <w:t>评审专家一般是</w:t>
      </w:r>
      <w:r>
        <w:rPr>
          <w:rFonts w:ascii="宋体" w:eastAsia="宋体" w:hAnsi="宋体" w:cs="宋体" w:hint="eastAsia"/>
          <w:highlight w:val="none"/>
        </w:rPr>
        <w:t>从深圳市政府采购评审专家库中随机抽取。采购人代表须持本单位签发的《评审授权书》参加评审。</w:t>
      </w:r>
    </w:p>
    <w:p>
      <w:pPr>
        <w:ind w:firstLine="470" w:firstLineChars="196"/>
        <w:rPr>
          <w:rFonts w:ascii="宋体" w:eastAsia="宋体" w:hAnsi="宋体" w:cs="宋体"/>
          <w:highlight w:val="none"/>
        </w:rPr>
      </w:pPr>
      <w:r>
        <w:rPr>
          <w:rFonts w:ascii="宋体" w:eastAsia="宋体" w:hAnsi="宋体" w:cs="宋体" w:hint="eastAsia"/>
          <w:highlight w:val="none"/>
        </w:rPr>
        <w:t>29.2评审定标应当遵循公平、公正、科学、择优的原则。</w:t>
      </w:r>
    </w:p>
    <w:p>
      <w:pPr>
        <w:ind w:firstLine="470" w:firstLineChars="196"/>
        <w:rPr>
          <w:rFonts w:ascii="宋体" w:eastAsia="宋体" w:hAnsi="宋体" w:cs="宋体"/>
          <w:highlight w:val="none"/>
        </w:rPr>
      </w:pPr>
      <w:r>
        <w:rPr>
          <w:rFonts w:ascii="宋体" w:eastAsia="宋体" w:hAnsi="宋体" w:cs="宋体" w:hint="eastAsia"/>
          <w:highlight w:val="none"/>
        </w:rPr>
        <w:t>29.3评审活动依法进行，任何单位和个人不得非法干预评标过程和结果。</w:t>
      </w:r>
    </w:p>
    <w:p>
      <w:pPr>
        <w:ind w:firstLine="470" w:firstLineChars="196"/>
        <w:rPr>
          <w:rFonts w:ascii="宋体" w:eastAsia="宋体" w:hAnsi="宋体" w:cs="宋体"/>
          <w:highlight w:val="none"/>
        </w:rPr>
      </w:pPr>
      <w:r>
        <w:rPr>
          <w:rFonts w:ascii="宋体" w:eastAsia="宋体" w:hAnsi="宋体" w:cs="宋体" w:hint="eastAsia"/>
          <w:highlight w:val="none"/>
        </w:rPr>
        <w:t>29.4评审过程中不允许违背评标程序或采用招标文件未载明的评标方法或评标因素进行评标。</w:t>
      </w:r>
    </w:p>
    <w:p>
      <w:pPr>
        <w:ind w:firstLine="470" w:firstLineChars="196"/>
        <w:rPr>
          <w:rFonts w:ascii="宋体" w:eastAsia="宋体" w:hAnsi="宋体" w:cs="宋体"/>
          <w:bCs/>
          <w:highlight w:val="none"/>
        </w:rPr>
      </w:pPr>
      <w:r>
        <w:rPr>
          <w:rFonts w:ascii="宋体" w:eastAsia="宋体" w:hAnsi="宋体" w:cs="宋体" w:hint="eastAsia"/>
          <w:bCs/>
          <w:highlight w:val="none"/>
        </w:rPr>
        <w:t>29.5 开标后，直到签订合同为止，凡属于对投标文件的审查、澄清、评价和比较的有关资料以及中标候选人的推荐情况、与评审有关的其他任何情况均严格保密（</w:t>
      </w:r>
      <w:r>
        <w:rPr>
          <w:rFonts w:ascii="宋体" w:eastAsia="宋体" w:hAnsi="宋体" w:cs="宋体" w:hint="eastAsia"/>
          <w:highlight w:val="none"/>
        </w:rPr>
        <w:t>信息公开的内容除外</w:t>
      </w:r>
      <w:r>
        <w:rPr>
          <w:rFonts w:ascii="宋体" w:eastAsia="宋体" w:hAnsi="宋体" w:cs="宋体" w:hint="eastAsia"/>
          <w:bCs/>
          <w:highlight w:val="none"/>
        </w:rPr>
        <w:t>）。</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30．向评审委员会提供的资料</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30.1公开发布的招标文件，包括图纸、服务清单、答疑文件等；</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30.2其他评标必须的资料。</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30.3</w:t>
      </w:r>
      <w:r>
        <w:rPr>
          <w:rFonts w:ascii="宋体" w:eastAsia="宋体" w:hAnsi="宋体" w:cs="宋体" w:hint="eastAsia"/>
          <w:color w:val="000000" w:themeColor="text1"/>
          <w:szCs w:val="21"/>
          <w:highlight w:val="none"/>
          <w14:textFill>
            <w14:solidFill>
              <w14:schemeClr w14:val="tx1"/>
            </w14:solidFill>
          </w14:textFill>
        </w:rPr>
        <w:t>评审委员会</w:t>
      </w:r>
      <w:r>
        <w:rPr>
          <w:rFonts w:ascii="宋体" w:eastAsia="宋体" w:hAnsi="宋体" w:cs="宋体" w:hint="eastAsia"/>
          <w:color w:val="000000" w:themeColor="text1"/>
          <w:highlight w:val="none"/>
          <w14:textFill>
            <w14:solidFill>
              <w14:schemeClr w14:val="tx1"/>
            </w14:solidFill>
          </w14:textFill>
        </w:rPr>
        <w:t>应当认真研究招标文件，至少应了解熟悉以下内容：</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（1）招标的目的；</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（2）招标项目需求的范围和性质；</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（3）招标文件规定的投标人的资格、财政预算限额、商务条款；</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（4）招标文件规定的评标程序、评标方法和评标因素；</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（5）招标文件所列示的资格性审查表及符合性审查表。</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31．独立评审</w:t>
      </w:r>
    </w:p>
    <w:p>
      <w:pPr>
        <w:ind w:firstLine="470" w:firstLineChars="196"/>
        <w:rPr>
          <w:rFonts w:ascii="宋体" w:eastAsia="宋体" w:hAnsi="宋体" w:cs="宋体"/>
          <w:bCs/>
          <w:color w:val="000000" w:themeColor="text1"/>
          <w:highlight w:val="none"/>
          <w14:textFill>
            <w14:solidFill>
              <w14:schemeClr w14:val="tx1"/>
            </w14:solidFill>
          </w14:textFill>
        </w:rPr>
      </w:pPr>
      <w:r>
        <w:rPr>
          <w:rFonts w:ascii="宋体" w:eastAsia="宋体" w:hAnsi="宋体" w:cs="宋体" w:hint="eastAsia"/>
          <w:bCs/>
          <w:color w:val="000000" w:themeColor="text1"/>
          <w:highlight w:val="none"/>
          <w14:textFill>
            <w14:solidFill>
              <w14:schemeClr w14:val="tx1"/>
            </w14:solidFill>
          </w14:textFill>
        </w:rPr>
        <w:t>31.1</w:t>
      </w:r>
      <w:r>
        <w:rPr>
          <w:rFonts w:ascii="宋体" w:eastAsia="宋体" w:hAnsi="宋体" w:cs="宋体" w:hint="eastAsia"/>
          <w:color w:val="000000" w:themeColor="text1"/>
          <w:szCs w:val="21"/>
          <w:highlight w:val="none"/>
          <w14:textFill>
            <w14:solidFill>
              <w14:schemeClr w14:val="tx1"/>
            </w14:solidFill>
          </w14:textFill>
        </w:rPr>
        <w:t>评审委员会</w:t>
      </w:r>
      <w:r>
        <w:rPr>
          <w:rFonts w:ascii="宋体" w:eastAsia="宋体" w:hAnsi="宋体" w:cs="宋体" w:hint="eastAsia"/>
          <w:bCs/>
          <w:color w:val="000000" w:themeColor="text1"/>
          <w:highlight w:val="none"/>
          <w14:textFill>
            <w14:solidFill>
              <w14:schemeClr w14:val="tx1"/>
            </w14:solidFill>
          </w14:textFill>
        </w:rPr>
        <w:t>成员的评标活动应当独立进行，并应遵循投标文件初审、澄清有关问题、比较与评价、确定中标供应商、编写评审报告的工作程序。</w:t>
      </w:r>
    </w:p>
    <w:p>
      <w:pPr>
        <w:pStyle w:val="Heading2"/>
        <w:numPr>
          <w:ilvl w:val="0"/>
          <w:numId w:val="4"/>
        </w:numPr>
        <w:tabs>
          <w:tab w:val="left" w:pos="360"/>
          <w:tab w:val="clear" w:pos="720"/>
        </w:tabs>
        <w:spacing w:before="120" w:beforeLines="50" w:after="120" w:afterLines="50"/>
        <w:ind w:left="562" w:hanging="562"/>
        <w:rPr>
          <w:rFonts w:cs="宋体"/>
          <w:color w:val="000000" w:themeColor="text1"/>
          <w:sz w:val="28"/>
          <w:szCs w:val="28"/>
          <w:highlight w:val="none"/>
          <w14:textFill>
            <w14:solidFill>
              <w14:schemeClr w14:val="tx1"/>
            </w14:solidFill>
          </w14:textFill>
        </w:rPr>
      </w:pPr>
      <w:r>
        <w:rPr>
          <w:rFonts w:cs="宋体" w:hint="eastAsia"/>
          <w:color w:val="000000" w:themeColor="text1"/>
          <w:sz w:val="28"/>
          <w:szCs w:val="28"/>
          <w:highlight w:val="none"/>
          <w14:textFill>
            <w14:solidFill>
              <w14:schemeClr w14:val="tx1"/>
            </w14:solidFill>
          </w14:textFill>
        </w:rPr>
        <w:t>评审程序及评审方法</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32．投标文件初审</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32.1投标文件初审包括资格性审查和符合性审查。</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资格性审查：依据法律法规和招标文件的规定，对投标文件中的资格证明等进行审查，以确定投标供应商是否具备投标资格。</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符合性审查：依据招标文件的规定，对投标文件的有效性、完整性和对招标文件的响应程度进行审查，以确定是否满足符合性审查的要求。</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32.2 投标文件初审内容请详见《资格性审查表》和《符合性审查表》部分。投标人若有一条审查不通过则按投标无效处理。</w:t>
      </w:r>
    </w:p>
    <w:p>
      <w:pPr>
        <w:ind w:firstLine="470" w:firstLineChars="196"/>
        <w:rPr>
          <w:rFonts w:ascii="宋体" w:eastAsia="宋体" w:hAnsi="宋体" w:cs="宋体"/>
          <w:bCs/>
          <w:color w:val="000000" w:themeColor="text1"/>
          <w:highlight w:val="none"/>
          <w14:textFill>
            <w14:solidFill>
              <w14:schemeClr w14:val="tx1"/>
            </w14:solidFill>
          </w14:textFill>
        </w:rPr>
      </w:pPr>
      <w:r>
        <w:rPr>
          <w:rFonts w:ascii="宋体" w:eastAsia="宋体" w:hAnsi="宋体" w:cs="宋体" w:hint="eastAsia"/>
          <w:bCs/>
          <w:color w:val="000000" w:themeColor="text1"/>
          <w:highlight w:val="none"/>
          <w14:textFill>
            <w14:solidFill>
              <w14:schemeClr w14:val="tx1"/>
            </w14:solidFill>
          </w14:textFill>
        </w:rPr>
        <w:t>32.3 投标文件初审中关于供应商家数的计算:</w:t>
      </w:r>
    </w:p>
    <w:p>
      <w:pPr>
        <w:ind w:firstLine="470" w:firstLineChars="196"/>
        <w:rPr>
          <w:rFonts w:ascii="宋体" w:eastAsia="宋体" w:hAnsi="宋体" w:cs="宋体"/>
          <w:bCs/>
          <w:color w:val="000000" w:themeColor="text1"/>
          <w:highlight w:val="none"/>
          <w14:textFill>
            <w14:solidFill>
              <w14:schemeClr w14:val="tx1"/>
            </w14:solidFill>
          </w14:textFill>
        </w:rPr>
      </w:pPr>
      <w:r>
        <w:rPr>
          <w:rFonts w:ascii="宋体" w:eastAsia="宋体" w:hAnsi="宋体" w:cs="宋体" w:hint="eastAsia"/>
          <w:bCs/>
          <w:color w:val="000000" w:themeColor="text1"/>
          <w:highlight w:val="none"/>
          <w14:textFill>
            <w14:solidFill>
              <w14:schemeClr w14:val="tx1"/>
            </w14:solidFill>
          </w14:textFill>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ind w:firstLine="470" w:firstLineChars="196"/>
        <w:rPr>
          <w:rFonts w:ascii="宋体" w:eastAsia="宋体" w:hAnsi="宋体" w:cs="宋体"/>
          <w:bCs/>
          <w:color w:val="000000" w:themeColor="text1"/>
          <w:highlight w:val="none"/>
          <w14:textFill>
            <w14:solidFill>
              <w14:schemeClr w14:val="tx1"/>
            </w14:solidFill>
          </w14:textFill>
        </w:rPr>
      </w:pPr>
      <w:r>
        <w:rPr>
          <w:rFonts w:ascii="宋体" w:eastAsia="宋体" w:hAnsi="宋体" w:cs="宋体" w:hint="eastAsia"/>
          <w:bCs/>
          <w:color w:val="000000" w:themeColor="text1"/>
          <w:highlight w:val="none"/>
          <w14:textFill>
            <w14:solidFill>
              <w14:schemeClr w14:val="tx1"/>
            </w14:solidFill>
          </w14:textFill>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eastAsia="宋体" w:hAnsi="宋体" w:cs="宋体" w:hint="eastAsia"/>
          <w:bCs/>
          <w:color w:val="000000" w:themeColor="text1"/>
          <w:szCs w:val="21"/>
          <w:highlight w:val="none"/>
          <w14:textFill>
            <w14:solidFill>
              <w14:schemeClr w14:val="tx1"/>
            </w14:solidFill>
          </w14:textFill>
        </w:rPr>
        <w:t>评审委员会</w:t>
      </w:r>
      <w:r>
        <w:rPr>
          <w:rFonts w:ascii="宋体" w:eastAsia="宋体" w:hAnsi="宋体" w:cs="宋体" w:hint="eastAsia"/>
          <w:bCs/>
          <w:color w:val="000000" w:themeColor="text1"/>
          <w:highlight w:val="none"/>
          <w14:textFill>
            <w14:solidFill>
              <w14:schemeClr w14:val="tx1"/>
            </w14:solidFill>
          </w14:textFill>
        </w:rPr>
        <w:t>按照招标文件规定的方式确定一个投标人获得中标人推荐资格，招标文件未规定的采取随机抽取方式确定，其他同品牌投标人不作为中标候选人。</w:t>
      </w:r>
    </w:p>
    <w:p>
      <w:pPr>
        <w:ind w:firstLine="470" w:firstLineChars="196"/>
        <w:rPr>
          <w:rFonts w:ascii="宋体" w:eastAsia="宋体" w:hAnsi="宋体" w:cs="宋体"/>
          <w:bCs/>
          <w:color w:val="000000" w:themeColor="text1"/>
          <w:highlight w:val="none"/>
          <w14:textFill>
            <w14:solidFill>
              <w14:schemeClr w14:val="tx1"/>
            </w14:solidFill>
          </w14:textFill>
        </w:rPr>
      </w:pPr>
      <w:r>
        <w:rPr>
          <w:rFonts w:ascii="宋体" w:eastAsia="宋体" w:hAnsi="宋体" w:cs="宋体" w:hint="eastAsia"/>
          <w:bCs/>
          <w:color w:val="000000" w:themeColor="text1"/>
          <w:highlight w:val="none"/>
          <w14:textFill>
            <w14:solidFill>
              <w14:schemeClr w14:val="tx1"/>
            </w14:solidFill>
          </w14:textFill>
        </w:rPr>
        <w:t>32.3.3非单一产品采购项目，采购人应当根据采购项目技术构成、产品价格比重等合理确定核心产品，并在招标文件中载明。多家投标人提供的核心产品品牌相同的，按前两款规定处理。</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32.4投标人投标文件作无效处理的情形，具体包括但不限于以下：</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32.4.1不同投标人的投标文件由同一单位或者同一个人编制，或者由同一个人分阶段参与编制；</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32.4.2不同投标人委托同一单位或者个人办理投标事宜；</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32.4.3不同投标人的投标文件载明的项目管理成员或者联系人员为同一人；</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32.4.4不同投标人的投标文件异常一致或者投标报价呈规律性差异；</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32.4.5不同投标供应商的投标文件或部分投标文件相互混装；</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32.4.6投标供应商之间相互约定给予未中标的供应商利益补偿；</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32.4.7不同投标供应商的法定代表人、主要经营负责人、项目投标授权代表人、项目负责人、主要技术人员为同一人、属同一单位或者同一单位缴纳社会保险；</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32.4.8不同投标供应商的投标文件内容存在非正常一致；</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32.4.9在同一单位工作人员为两家以上（含两家）供应商进行同一项投标活动；</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32.4.10主管部门依照法律、法规认定的其他情形。</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32.5对不属于《资格性审查表》和《符合性审查表》所列的其他情形，除专用条款另有规定和32.4条款所列情形外，不得作为投标无效的理由。</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33．澄清有关问题</w:t>
      </w:r>
    </w:p>
    <w:p>
      <w:pPr>
        <w:ind w:firstLine="470" w:firstLineChars="196"/>
        <w:rPr>
          <w:rFonts w:ascii="宋体" w:eastAsia="宋体" w:hAnsi="宋体" w:cs="宋体"/>
          <w:color w:val="000000" w:themeColor="text1"/>
          <w:highlight w:val="none"/>
          <w14:textFill>
            <w14:solidFill>
              <w14:schemeClr w14:val="tx1"/>
            </w14:solidFill>
          </w14:textFill>
        </w:rPr>
      </w:pPr>
      <w:bookmarkStart w:id="61" w:name="_Hlk71407321"/>
      <w:r>
        <w:rPr>
          <w:rFonts w:ascii="宋体" w:eastAsia="宋体" w:hAnsi="宋体" w:cs="宋体" w:hint="eastAsia"/>
          <w:color w:val="000000" w:themeColor="text1"/>
          <w:highlight w:val="none"/>
          <w14:textFill>
            <w14:solidFill>
              <w14:schemeClr w14:val="tx1"/>
            </w14:solidFill>
          </w14:textFill>
        </w:rPr>
        <w:t>33.1对招标文件中描述有歧义或前后不一致的地方（不含</w:t>
      </w:r>
      <w:r>
        <w:rPr>
          <w:rFonts w:ascii="宋体" w:eastAsia="宋体" w:hAnsi="宋体" w:cs="宋体" w:hint="eastAsia"/>
          <w:color w:val="000000" w:themeColor="text1"/>
          <w:szCs w:val="21"/>
          <w:highlight w:val="none"/>
          <w14:textFill>
            <w14:solidFill>
              <w14:schemeClr w14:val="tx1"/>
            </w14:solidFill>
          </w14:textFill>
        </w:rPr>
        <w:t>招标文件存在歧义、重大缺陷导致评审工作无法进行的情况）</w:t>
      </w:r>
      <w:r>
        <w:rPr>
          <w:rFonts w:ascii="宋体" w:eastAsia="宋体" w:hAnsi="宋体" w:cs="宋体" w:hint="eastAsia"/>
          <w:color w:val="000000" w:themeColor="text1"/>
          <w:highlight w:val="none"/>
          <w14:textFill>
            <w14:solidFill>
              <w14:schemeClr w14:val="tx1"/>
            </w14:solidFill>
          </w14:textFill>
        </w:rPr>
        <w:t>，评审委员会有权进行评判，但对同一条款的评判应适用于每个投标人。</w:t>
      </w:r>
      <w:bookmarkEnd w:id="61"/>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33.2</w:t>
      </w:r>
      <w:r>
        <w:rPr>
          <w:rFonts w:ascii="宋体" w:eastAsia="宋体" w:hAnsi="宋体" w:cs="宋体" w:hint="eastAsia"/>
          <w:color w:val="000000" w:themeColor="text1"/>
          <w:szCs w:val="21"/>
          <w:highlight w:val="none"/>
          <w14:textFill>
            <w14:solidFill>
              <w14:schemeClr w14:val="tx1"/>
            </w14:solidFill>
          </w14:textFill>
        </w:rPr>
        <w:t>评审委员会发现招标文件存在歧义、重大缺陷导致评审工作无法进行，或者招标文件内容违反国家有关强制性规定的，应当停止评审工作，与招标机构沟通并作书面记录。经确认后，项目应当修改招标文件，重新组织采购活动。</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33.3对于投标文件中含义不明确、同类问题表述不一致或者有明显文字和计算错误的内容，评审委员会应当以书面形式要求投标人作出必要的澄清、说明或者补正。</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根据本通用条款第34条，凡属于评审委员会在评审中发现的算术错误进行核实的修改不在此列。</w:t>
      </w:r>
    </w:p>
    <w:p>
      <w:pPr>
        <w:rPr>
          <w:rFonts w:ascii="宋体" w:eastAsia="宋体" w:hAnsi="宋体" w:cs="宋体"/>
          <w:color w:val="000000" w:themeColor="text1"/>
          <w:highlight w:val="none"/>
          <w14:textFill>
            <w14:solidFill>
              <w14:schemeClr w14:val="tx1"/>
            </w14:solidFill>
          </w14:textFill>
        </w:rPr>
      </w:pPr>
      <w:bookmarkStart w:id="62" w:name="_Toc73521581"/>
      <w:bookmarkStart w:id="63" w:name="_Toc73521669"/>
      <w:bookmarkStart w:id="64" w:name="_Toc73517673"/>
      <w:bookmarkStart w:id="65" w:name="_Toc100052400"/>
      <w:bookmarkStart w:id="66" w:name="_Toc73518151"/>
      <w:r>
        <w:rPr>
          <w:rFonts w:ascii="宋体" w:eastAsia="宋体" w:hAnsi="宋体" w:cs="宋体" w:hint="eastAsia"/>
          <w:color w:val="000000" w:themeColor="text1"/>
          <w:highlight w:val="none"/>
          <w14:textFill>
            <w14:solidFill>
              <w14:schemeClr w14:val="tx1"/>
            </w14:solidFill>
          </w14:textFill>
        </w:rPr>
        <w:t>34．错误的修正</w:t>
      </w:r>
      <w:bookmarkEnd w:id="62"/>
      <w:bookmarkEnd w:id="63"/>
      <w:bookmarkEnd w:id="64"/>
      <w:bookmarkEnd w:id="65"/>
      <w:bookmarkEnd w:id="66"/>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投标文件报价出现前后不一致的，除专用条款另有规定外，按照下列规定修正：</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34.1投标文件中开标一览表投标报价内容与投标文件中投标报价相应内容不一致的，以开标一览表为准；</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34.2大写金额和小写金额不一致的，以大写金额为准；</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34.3单价金额小数点或者百分比有明显错位，以开标一览表的总价为准，并修改单价；</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34.4总价金额与按单价汇总金额不一致的，以单价金额计算结果为准。</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34.5同时出现两种以上不一致的，按照前款规定的顺序修正。修正后的报价按照本通用条款33条的规定，经投标人确认后产生约束力，投标人不确认的，其投标无效。</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35．投标文件的比较与评价</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评审委员会成员对需要共同认定的事项存在争议的，应当按照少数服从多数的原则作出结论。持不同意见的评审委员会成员应当书面作出说明，否则视为无异议。</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36. 实地考察或资料查验</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36.1在评审过程中，评审委员会有权决定是否对本项目投标人进行实地考察或资料查验（原件）。投标人应随时做好接受实地考察或资料查验的准备。</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37．评审方法</w:t>
      </w:r>
    </w:p>
    <w:p>
      <w:pPr>
        <w:ind w:firstLine="470" w:firstLineChars="196"/>
        <w:rPr>
          <w:rFonts w:ascii="宋体" w:eastAsia="宋体" w:hAnsi="宋体" w:cs="宋体"/>
          <w:b/>
          <w:bCs/>
          <w:color w:val="000000" w:themeColor="text1"/>
          <w:szCs w:val="21"/>
          <w:highlight w:val="none"/>
          <w14:textFill>
            <w14:solidFill>
              <w14:schemeClr w14:val="tx1"/>
            </w14:solidFill>
          </w14:textFill>
        </w:rPr>
      </w:pPr>
      <w:r>
        <w:rPr>
          <w:rFonts w:ascii="宋体" w:eastAsia="宋体" w:hAnsi="宋体" w:cs="宋体" w:hint="eastAsia"/>
          <w:b/>
          <w:bCs/>
          <w:color w:val="000000" w:themeColor="text1"/>
          <w:szCs w:val="21"/>
          <w:highlight w:val="none"/>
          <w14:textFill>
            <w14:solidFill>
              <w14:schemeClr w14:val="tx1"/>
            </w14:solidFill>
          </w14:textFill>
        </w:rPr>
        <w:t>37.1.1最低价法</w:t>
      </w:r>
    </w:p>
    <w:p>
      <w:pPr>
        <w:ind w:firstLine="470" w:firstLineChars="196"/>
        <w:rPr>
          <w:rFonts w:ascii="宋体" w:eastAsia="宋体" w:hAnsi="宋体" w:cs="宋体"/>
          <w:color w:val="000000" w:themeColor="text1"/>
          <w:highlight w:val="none"/>
          <w14:textFill>
            <w14:solidFill>
              <w14:schemeClr w14:val="tx1"/>
            </w14:solidFill>
          </w14:textFill>
        </w:rPr>
      </w:pPr>
      <w:bookmarkStart w:id="67" w:name="_Hlk72438142"/>
      <w:r>
        <w:rPr>
          <w:rFonts w:ascii="宋体" w:eastAsia="宋体" w:hAnsi="宋体" w:cs="宋体" w:hint="eastAsia"/>
          <w:color w:val="000000" w:themeColor="text1"/>
          <w:highlight w:val="none"/>
          <w14:textFill>
            <w14:solidFill>
              <w14:schemeClr w14:val="tx1"/>
            </w14:solidFill>
          </w14:textFill>
        </w:rPr>
        <w:t>最低价法，是指完全满足招标文件实质性要求，按照报价由低到高的顺序，依据招标文件中规定的数量或者比例推荐候选中标供应商。</w:t>
      </w:r>
    </w:p>
    <w:p>
      <w:pPr>
        <w:ind w:firstLine="470" w:firstLineChars="196"/>
        <w:rPr>
          <w:rFonts w:ascii="宋体" w:eastAsia="宋体" w:hAnsi="宋体" w:cs="宋体"/>
          <w:b/>
          <w:bCs/>
          <w:color w:val="000000" w:themeColor="text1"/>
          <w:szCs w:val="21"/>
          <w:highlight w:val="none"/>
          <w14:textFill>
            <w14:solidFill>
              <w14:schemeClr w14:val="tx1"/>
            </w14:solidFill>
          </w14:textFill>
        </w:rPr>
      </w:pPr>
      <w:r>
        <w:rPr>
          <w:rFonts w:ascii="宋体" w:eastAsia="宋体" w:hAnsi="宋体" w:cs="宋体" w:hint="eastAsia"/>
          <w:b/>
          <w:bCs/>
          <w:color w:val="000000" w:themeColor="text1"/>
          <w:szCs w:val="21"/>
          <w:highlight w:val="none"/>
          <w14:textFill>
            <w14:solidFill>
              <w14:schemeClr w14:val="tx1"/>
            </w14:solidFill>
          </w14:textFill>
        </w:rPr>
        <w:t>37.1.2综合评分法</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综合评分法，是指在满足招标文件全部实质性要求的前提下，按照招标文件中规定的各项因素进行综合评审，评审总得分排名前列的投标人，作为推荐的候选中标供应商。</w:t>
      </w:r>
      <w:bookmarkEnd w:id="67"/>
    </w:p>
    <w:p>
      <w:pPr>
        <w:ind w:firstLine="470" w:firstLineChars="196"/>
        <w:rPr>
          <w:rFonts w:ascii="宋体" w:eastAsia="宋体" w:hAnsi="宋体" w:cs="宋体"/>
          <w:b/>
          <w:bCs/>
          <w:color w:val="000000" w:themeColor="text1"/>
          <w:szCs w:val="21"/>
          <w:highlight w:val="none"/>
          <w14:textFill>
            <w14:solidFill>
              <w14:schemeClr w14:val="tx1"/>
            </w14:solidFill>
          </w14:textFill>
        </w:rPr>
      </w:pPr>
      <w:r>
        <w:rPr>
          <w:rFonts w:ascii="宋体" w:eastAsia="宋体" w:hAnsi="宋体" w:cs="宋体" w:hint="eastAsia"/>
          <w:b/>
          <w:bCs/>
          <w:color w:val="000000" w:themeColor="text1"/>
          <w:szCs w:val="21"/>
          <w:highlight w:val="none"/>
          <w14:textFill>
            <w14:solidFill>
              <w14:schemeClr w14:val="tx1"/>
            </w14:solidFill>
          </w14:textFill>
        </w:rPr>
        <w:t>37.2 本项目采用的评审方法见本项目招标文件第一册“专用条款”的相关内容。</w:t>
      </w:r>
    </w:p>
    <w:p>
      <w:pPr>
        <w:ind w:firstLine="470" w:firstLineChars="196"/>
        <w:rPr>
          <w:rFonts w:ascii="宋体" w:eastAsia="宋体" w:hAnsi="宋体" w:cs="宋体"/>
          <w:b/>
          <w:bCs/>
          <w:color w:val="000000" w:themeColor="text1"/>
          <w:szCs w:val="21"/>
          <w:highlight w:val="none"/>
          <w14:textFill>
            <w14:solidFill>
              <w14:schemeClr w14:val="tx1"/>
            </w14:solidFill>
          </w14:textFill>
        </w:rPr>
      </w:pPr>
      <w:r>
        <w:rPr>
          <w:rFonts w:ascii="宋体" w:eastAsia="宋体" w:hAnsi="宋体" w:cs="宋体" w:hint="eastAsia"/>
          <w:b/>
          <w:bCs/>
          <w:color w:val="000000" w:themeColor="text1"/>
          <w:szCs w:val="21"/>
          <w:highlight w:val="none"/>
          <w14:textFill>
            <w14:solidFill>
              <w14:schemeClr w14:val="tx1"/>
            </w14:solidFill>
          </w14:textFill>
        </w:rPr>
        <w:t>37.3重新评审的情形</w:t>
      </w:r>
    </w:p>
    <w:p>
      <w:pPr>
        <w:ind w:firstLine="470" w:firstLineChars="196"/>
        <w:rPr>
          <w:rFonts w:ascii="宋体" w:eastAsia="宋体" w:hAnsi="宋体" w:cs="宋体"/>
          <w:b/>
          <w:bCs/>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评审结果汇总完成后，除下列情形外，任何人不得修改评审结果：</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37.3.1分值汇总计算错误的；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37.3.2分项评分超出评分标准范围的；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37.3.3评审委员会成员对客观评审因素评分不一致的；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37.3.4经评审委员会认定评分畸高、畸低的。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投标人对本条第一款情形提出质疑的，采购人或者采购代理机构可以组织原评审委员会进行重新评审，重新评审改变评审结果的，应当书面报告本级财政部门。</w:t>
      </w:r>
    </w:p>
    <w:p>
      <w:pPr>
        <w:ind w:firstLine="470" w:firstLineChars="196"/>
        <w:rPr>
          <w:rFonts w:ascii="宋体" w:eastAsia="宋体" w:hAnsi="宋体" w:cs="宋体"/>
          <w:b/>
          <w:bCs/>
          <w:color w:val="000000" w:themeColor="text1"/>
          <w:szCs w:val="21"/>
          <w:highlight w:val="none"/>
          <w14:textFill>
            <w14:solidFill>
              <w14:schemeClr w14:val="tx1"/>
            </w14:solidFill>
          </w14:textFill>
        </w:rPr>
      </w:pPr>
      <w:r>
        <w:rPr>
          <w:rFonts w:ascii="宋体" w:eastAsia="宋体" w:hAnsi="宋体" w:cs="宋体" w:hint="eastAsia"/>
          <w:b/>
          <w:bCs/>
          <w:color w:val="000000" w:themeColor="text1"/>
          <w:szCs w:val="21"/>
          <w:highlight w:val="none"/>
          <w14:textFill>
            <w14:solidFill>
              <w14:schemeClr w14:val="tx1"/>
            </w14:solidFill>
          </w14:textFill>
        </w:rPr>
        <w:t xml:space="preserve"> 37.4重新组建评审委员会的情形</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评审委员会或者其成员存在下列情形导致评审结果无效的，重新组建评审委员会进行评标，并书面报告本级财政部门：</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37.4.1评审委员会组成不符合《政府采购货物和服务招标投标管理办法》规定的；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37.4.2有《政府采购货物和服务招标投标管理办法》第六十二条第一至五项情形的；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37.4.3评审委员会及其成员独立评标受到非法干预的；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37.4.4有政府采购法实施条例第七十五条规定的违法行为的。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有违法违规行为的原评审委员会成员不得参加重新组建的评审委员会。</w:t>
      </w:r>
    </w:p>
    <w:p>
      <w:pPr>
        <w:pStyle w:val="Heading2"/>
        <w:numPr>
          <w:ilvl w:val="0"/>
          <w:numId w:val="4"/>
        </w:numPr>
        <w:tabs>
          <w:tab w:val="left" w:pos="360"/>
          <w:tab w:val="clear" w:pos="720"/>
        </w:tabs>
        <w:spacing w:before="120" w:beforeLines="50" w:after="120" w:afterLines="50"/>
        <w:ind w:left="562" w:hanging="562"/>
        <w:rPr>
          <w:rFonts w:cs="宋体"/>
          <w:color w:val="000000" w:themeColor="text1"/>
          <w:sz w:val="28"/>
          <w:szCs w:val="28"/>
          <w:highlight w:val="none"/>
          <w14:textFill>
            <w14:solidFill>
              <w14:schemeClr w14:val="tx1"/>
            </w14:solidFill>
          </w14:textFill>
        </w:rPr>
      </w:pPr>
      <w:r>
        <w:rPr>
          <w:rFonts w:cs="宋体" w:hint="eastAsia"/>
          <w:color w:val="000000" w:themeColor="text1"/>
          <w:sz w:val="28"/>
          <w:szCs w:val="28"/>
          <w:highlight w:val="none"/>
          <w14:textFill>
            <w14:solidFill>
              <w14:schemeClr w14:val="tx1"/>
            </w14:solidFill>
          </w14:textFill>
        </w:rPr>
        <w:t>定标及公示</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38．定标方法</w:t>
      </w:r>
    </w:p>
    <w:p>
      <w:pPr>
        <w:ind w:firstLine="470" w:firstLineChars="196"/>
        <w:rPr>
          <w:rFonts w:ascii="宋体" w:eastAsia="宋体" w:hAnsi="宋体" w:cs="宋体"/>
          <w:szCs w:val="21"/>
          <w:highlight w:val="none"/>
        </w:rPr>
      </w:pPr>
      <w:bookmarkStart w:id="68" w:name="_Hlk73782795"/>
      <w:r>
        <w:rPr>
          <w:rFonts w:ascii="宋体" w:eastAsia="宋体" w:hAnsi="宋体" w:cs="宋体" w:hint="eastAsia"/>
          <w:szCs w:val="21"/>
          <w:highlight w:val="none"/>
        </w:rPr>
        <w:t>38.1非评定分离项目定标方法</w:t>
      </w:r>
    </w:p>
    <w:p>
      <w:pPr>
        <w:ind w:firstLine="470" w:firstLineChars="196"/>
        <w:rPr>
          <w:rFonts w:ascii="宋体" w:eastAsia="宋体" w:hAnsi="宋体" w:cs="宋体"/>
          <w:szCs w:val="21"/>
          <w:highlight w:val="none"/>
        </w:rPr>
      </w:pPr>
      <w:r>
        <w:rPr>
          <w:rFonts w:ascii="宋体" w:eastAsia="宋体" w:hAnsi="宋体" w:cs="宋体" w:hint="eastAsia"/>
          <w:szCs w:val="21"/>
          <w:highlight w:val="none"/>
        </w:rPr>
        <w:t>38.1.1评审委员会依据本项目招标文件所约定的评审方法进行评审和比较，向政府采购代理机构提交书面评审报告，并根据评审方法比较评价结果从优到劣进行排序，确定候选中标供应商。</w:t>
      </w:r>
    </w:p>
    <w:p>
      <w:pPr>
        <w:ind w:firstLine="470" w:firstLineChars="196"/>
        <w:rPr>
          <w:rFonts w:ascii="宋体" w:eastAsia="宋体" w:hAnsi="宋体" w:cs="宋体"/>
          <w:highlight w:val="none"/>
        </w:rPr>
      </w:pPr>
      <w:r>
        <w:rPr>
          <w:rFonts w:ascii="宋体" w:eastAsia="宋体" w:hAnsi="宋体" w:cs="宋体" w:hint="eastAsia"/>
          <w:szCs w:val="21"/>
          <w:highlight w:val="none"/>
        </w:rPr>
        <w:t>38.1.2</w:t>
      </w:r>
      <w:r>
        <w:rPr>
          <w:rFonts w:ascii="宋体" w:eastAsia="宋体" w:hAnsi="宋体" w:cs="宋体" w:hint="eastAsia"/>
          <w:highlight w:val="none"/>
        </w:rPr>
        <w:t>采用最低价法的，评审结果按投标报价由低到高顺序排列。投标报价相同的并列。投标文件满足招标文件全部实质性要求且投标报价最低的投标人为</w:t>
      </w:r>
      <w:bookmarkStart w:id="69" w:name="_Hlk73821177"/>
      <w:r>
        <w:rPr>
          <w:rFonts w:ascii="宋体" w:eastAsia="宋体" w:hAnsi="宋体" w:cs="宋体" w:hint="eastAsia"/>
          <w:highlight w:val="none"/>
        </w:rPr>
        <w:t>中标供应商（排名第二的投标人为第一替补中标候选人、排名第三的投标人为第二替补中标候选人</w:t>
      </w:r>
      <w:bookmarkEnd w:id="69"/>
      <w:r>
        <w:rPr>
          <w:rFonts w:ascii="宋体" w:eastAsia="宋体" w:hAnsi="宋体" w:cs="宋体" w:hint="eastAsia"/>
          <w:highlight w:val="none"/>
        </w:rPr>
        <w:t>）。</w:t>
      </w:r>
    </w:p>
    <w:p>
      <w:pPr>
        <w:ind w:firstLine="470" w:firstLineChars="196"/>
        <w:rPr>
          <w:rFonts w:ascii="宋体" w:eastAsia="宋体" w:hAnsi="宋体" w:cs="宋体"/>
          <w:highlight w:val="none"/>
        </w:rPr>
      </w:pPr>
      <w:r>
        <w:rPr>
          <w:rFonts w:ascii="宋体" w:eastAsia="宋体" w:hAnsi="宋体" w:cs="宋体" w:hint="eastAsia"/>
          <w:szCs w:val="21"/>
          <w:highlight w:val="none"/>
        </w:rPr>
        <w:t>38.1.3采</w:t>
      </w:r>
      <w:r>
        <w:rPr>
          <w:rFonts w:ascii="宋体" w:eastAsia="宋体" w:hAnsi="宋体" w:cs="宋体" w:hint="eastAsia"/>
          <w:highlight w:val="none"/>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中标供应商（排名第二的投标人为第一替补中标候选人、排名第三的投标人为第二替补中标候选人）。出现得分且投标报价相同的并列情况时，采取随机抽取的方式确定，具体操作办法及流程由评审委员会确定。</w:t>
      </w:r>
    </w:p>
    <w:p>
      <w:pPr>
        <w:ind w:firstLine="470" w:firstLineChars="196"/>
        <w:rPr>
          <w:rFonts w:ascii="宋体" w:eastAsia="宋体" w:hAnsi="宋体" w:cs="宋体"/>
          <w:szCs w:val="21"/>
          <w:highlight w:val="none"/>
        </w:rPr>
      </w:pPr>
      <w:r>
        <w:rPr>
          <w:rFonts w:ascii="宋体" w:eastAsia="宋体" w:hAnsi="宋体" w:cs="宋体" w:hint="eastAsia"/>
          <w:szCs w:val="21"/>
          <w:highlight w:val="none"/>
        </w:rPr>
        <w:t>38.2评定分离项目定标方法</w:t>
      </w:r>
    </w:p>
    <w:p>
      <w:pPr>
        <w:ind w:firstLine="470" w:firstLineChars="196"/>
        <w:rPr>
          <w:rFonts w:ascii="宋体" w:eastAsia="宋体" w:hAnsi="宋体" w:cs="宋体"/>
          <w:szCs w:val="21"/>
          <w:highlight w:val="none"/>
        </w:rPr>
      </w:pPr>
      <w:r>
        <w:rPr>
          <w:rFonts w:ascii="宋体" w:eastAsia="宋体" w:hAnsi="宋体" w:cs="宋体" w:hint="eastAsia"/>
          <w:szCs w:val="21"/>
          <w:highlight w:val="none"/>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ind w:firstLine="470" w:firstLineChars="196"/>
        <w:rPr>
          <w:rFonts w:ascii="宋体" w:eastAsia="宋体" w:hAnsi="宋体" w:cs="宋体"/>
          <w:szCs w:val="21"/>
          <w:highlight w:val="none"/>
        </w:rPr>
      </w:pPr>
      <w:r>
        <w:rPr>
          <w:rFonts w:ascii="宋体" w:eastAsia="宋体" w:hAnsi="宋体" w:cs="宋体" w:hint="eastAsia"/>
          <w:szCs w:val="21"/>
          <w:highlight w:val="none"/>
        </w:rPr>
        <w:t xml:space="preserve">38.2.2 </w:t>
      </w:r>
      <w:bookmarkStart w:id="70" w:name="_Hlk71469733"/>
      <w:r>
        <w:rPr>
          <w:rFonts w:ascii="宋体" w:eastAsia="宋体" w:hAnsi="宋体" w:cs="宋体" w:hint="eastAsia"/>
          <w:highlight w:val="none"/>
        </w:rPr>
        <w:t>适用评定分离的政府采购项目，采用综合评分法评审。</w:t>
      </w:r>
      <w:r>
        <w:rPr>
          <w:rFonts w:ascii="宋体" w:eastAsia="宋体" w:hAnsi="宋体" w:cs="宋体" w:hint="eastAsia"/>
          <w:szCs w:val="21"/>
          <w:highlight w:val="none"/>
        </w:rPr>
        <w:t>评审委员会按照评审结果，推荐</w:t>
      </w:r>
      <w:r>
        <w:rPr>
          <w:rFonts w:ascii="宋体" w:eastAsia="宋体" w:hAnsi="宋体" w:cs="宋体" w:hint="eastAsia"/>
          <w:highlight w:val="none"/>
        </w:rPr>
        <w:t>三个合格的候选中标供应商。</w:t>
      </w:r>
    </w:p>
    <w:p>
      <w:pPr>
        <w:ind w:firstLine="470" w:firstLineChars="196"/>
        <w:rPr>
          <w:rFonts w:ascii="宋体" w:eastAsia="宋体" w:hAnsi="宋体" w:cs="宋体"/>
          <w:szCs w:val="21"/>
          <w:highlight w:val="none"/>
        </w:rPr>
      </w:pPr>
      <w:r>
        <w:rPr>
          <w:rFonts w:ascii="宋体" w:eastAsia="宋体" w:hAnsi="宋体" w:cs="宋体" w:hint="eastAsia"/>
          <w:szCs w:val="21"/>
          <w:highlight w:val="none"/>
        </w:rPr>
        <w:t>38.2.3</w:t>
      </w:r>
      <w:bookmarkStart w:id="71" w:name="_Hlk71469688"/>
      <w:r>
        <w:rPr>
          <w:rFonts w:ascii="宋体" w:eastAsia="宋体" w:hAnsi="宋体" w:cs="宋体" w:hint="eastAsia"/>
          <w:highlight w:val="none"/>
        </w:rPr>
        <w:t>适用评定分离的政府采购项目，</w:t>
      </w:r>
      <w:r>
        <w:rPr>
          <w:rFonts w:ascii="宋体" w:eastAsia="宋体" w:hAnsi="宋体" w:cs="宋体" w:hint="eastAsia"/>
          <w:szCs w:val="21"/>
          <w:highlight w:val="none"/>
        </w:rPr>
        <w:t>按照自定法确定中标供应商：自定法是指采购人组织定标委员会，由定标委员会在三家候选中标供应商中确定中标供应商。</w:t>
      </w:r>
      <w:bookmarkEnd w:id="70"/>
      <w:bookmarkEnd w:id="71"/>
    </w:p>
    <w:p>
      <w:pPr>
        <w:ind w:firstLine="470" w:firstLineChars="196"/>
        <w:rPr>
          <w:rFonts w:ascii="宋体" w:eastAsia="宋体" w:hAnsi="宋体" w:cs="宋体"/>
          <w:szCs w:val="21"/>
          <w:highlight w:val="none"/>
        </w:rPr>
      </w:pPr>
      <w:r>
        <w:rPr>
          <w:rFonts w:ascii="宋体" w:eastAsia="宋体" w:hAnsi="宋体" w:cs="宋体" w:hint="eastAsia"/>
          <w:szCs w:val="21"/>
          <w:highlight w:val="none"/>
        </w:rPr>
        <w:t>38.2.4政府采购代理机构</w:t>
      </w:r>
      <w:r>
        <w:rPr>
          <w:rFonts w:ascii="宋体" w:eastAsia="宋体" w:hAnsi="宋体" w:cs="宋体" w:hint="eastAsia"/>
          <w:highlight w:val="none"/>
        </w:rPr>
        <w:t>应当自评审结束之日起两个工作日内将候选中标供应商名单及其投标文件、评审报告送交采购人</w:t>
      </w:r>
      <w:r>
        <w:rPr>
          <w:rFonts w:ascii="宋体" w:eastAsia="宋体" w:hAnsi="宋体" w:cs="宋体" w:hint="eastAsia"/>
          <w:szCs w:val="21"/>
          <w:highlight w:val="none"/>
        </w:rPr>
        <w:t>。</w:t>
      </w:r>
      <w:r>
        <w:rPr>
          <w:rFonts w:ascii="宋体" w:eastAsia="宋体" w:hAnsi="宋体" w:cs="宋体" w:hint="eastAsia"/>
          <w:highlight w:val="none"/>
        </w:rPr>
        <w:t>采购人应当安排专人对定标过程进行书面记录，形成定标报告，作为采购文件的组成部分存档，并及时将定标结果反馈政府采购代理机构。具体定标程序及相关要求以按照《深圳市财政局关于印发〈深圳市政府采购评标定标分离管理办法〉的通知》（深财规【2020】1号）执行。</w:t>
      </w:r>
    </w:p>
    <w:p>
      <w:pPr>
        <w:ind w:firstLine="470" w:firstLineChars="196"/>
        <w:rPr>
          <w:rFonts w:ascii="宋体" w:eastAsia="宋体" w:hAnsi="宋体" w:cs="宋体"/>
          <w:szCs w:val="21"/>
          <w:highlight w:val="none"/>
        </w:rPr>
      </w:pPr>
      <w:r>
        <w:rPr>
          <w:rFonts w:ascii="宋体" w:eastAsia="宋体" w:hAnsi="宋体" w:cs="宋体" w:hint="eastAsia"/>
          <w:szCs w:val="21"/>
          <w:highlight w:val="none"/>
        </w:rPr>
        <w:t>说明：采购人及投标供应商应按照上述方法提前做好相关准备。</w:t>
      </w:r>
    </w:p>
    <w:p>
      <w:pPr>
        <w:ind w:firstLine="470" w:firstLineChars="196"/>
        <w:rPr>
          <w:rFonts w:ascii="宋体" w:eastAsia="宋体" w:hAnsi="宋体" w:cs="宋体"/>
          <w:szCs w:val="21"/>
          <w:highlight w:val="none"/>
        </w:rPr>
      </w:pPr>
      <w:r>
        <w:rPr>
          <w:rFonts w:ascii="宋体" w:eastAsia="宋体" w:hAnsi="宋体" w:cs="宋体" w:hint="eastAsia"/>
          <w:szCs w:val="21"/>
          <w:highlight w:val="none"/>
        </w:rPr>
        <w:t>38.3专用条款另有规定的，按专用条款相关要求定标。</w:t>
      </w:r>
      <w:bookmarkEnd w:id="68"/>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39．编写评审报告</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40．中标公告</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40.1</w:t>
      </w:r>
      <w:bookmarkStart w:id="72" w:name="_Hlk72438709"/>
      <w:r>
        <w:rPr>
          <w:rFonts w:ascii="宋体" w:eastAsia="宋体" w:hAnsi="宋体" w:cs="宋体" w:hint="eastAsia"/>
          <w:color w:val="000000" w:themeColor="text1"/>
          <w:szCs w:val="21"/>
          <w:highlight w:val="none"/>
          <w14:textFill>
            <w14:solidFill>
              <w14:schemeClr w14:val="tx1"/>
            </w14:solidFill>
          </w14:textFill>
        </w:rPr>
        <w:t>为体现“公开、公平、公正”的原则，评审结束后经采购人确认（确定）评审结果，招标机构将在“深圳政府采购智慧平台（http://zfcg.szggzy.com:8081/）”上发布中标结果公告。</w:t>
      </w:r>
      <w:bookmarkEnd w:id="72"/>
      <w:bookmarkStart w:id="73" w:name="_Hlk72438751"/>
      <w:r>
        <w:rPr>
          <w:rFonts w:ascii="宋体" w:eastAsia="宋体" w:hAnsi="宋体" w:cs="宋体" w:hint="eastAsia"/>
          <w:color w:val="000000" w:themeColor="text1"/>
          <w:szCs w:val="21"/>
          <w:highlight w:val="none"/>
          <w14:textFill>
            <w14:solidFill>
              <w14:schemeClr w14:val="tx1"/>
            </w14:solidFill>
          </w14:textFill>
        </w:rPr>
        <w:t>供应商如对评审结果有异议，可在发布公示日期起七个工作日内向招标机构提出。电话：0755-83881111。若在公示期内未提出质疑，则视为认同该评审结果。</w:t>
      </w:r>
    </w:p>
    <w:p>
      <w:pPr>
        <w:ind w:firstLine="470" w:firstLineChars="196"/>
        <w:rPr>
          <w:rFonts w:ascii="宋体" w:eastAsia="宋体" w:hAnsi="宋体" w:cs="宋体"/>
          <w:color w:val="000000" w:themeColor="text1"/>
          <w:szCs w:val="21"/>
          <w:highlight w:val="none"/>
          <w14:textFill>
            <w14:solidFill>
              <w14:schemeClr w14:val="tx1"/>
            </w14:solidFill>
          </w14:textFill>
        </w:rPr>
      </w:pPr>
      <w:bookmarkEnd w:id="73"/>
      <w:r>
        <w:rPr>
          <w:rFonts w:ascii="宋体" w:eastAsia="宋体" w:hAnsi="宋体" w:cs="宋体" w:hint="eastAsia"/>
          <w:color w:val="000000" w:themeColor="text1"/>
          <w:szCs w:val="21"/>
          <w:highlight w:val="none"/>
          <w14:textFill>
            <w14:solidFill>
              <w14:schemeClr w14:val="tx1"/>
            </w14:solidFill>
          </w14:textFill>
        </w:rPr>
        <w:t>40.2质疑、投诉供应商应保证质疑、投诉内容的真实性和可靠性，并承担相应的法律责任。</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41．中标通知书、招标代理服务费</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41.1</w:t>
      </w:r>
      <w:bookmarkStart w:id="74" w:name="_Hlk72438863"/>
      <w:r>
        <w:rPr>
          <w:rFonts w:ascii="宋体" w:eastAsia="宋体" w:hAnsi="宋体" w:cs="宋体" w:hint="eastAsia"/>
          <w:color w:val="000000" w:themeColor="text1"/>
          <w:szCs w:val="21"/>
          <w:highlight w:val="none"/>
          <w14:textFill>
            <w14:solidFill>
              <w14:schemeClr w14:val="tx1"/>
            </w14:solidFill>
          </w14:textFill>
        </w:rPr>
        <w:t>中标公告公布以后无异常的情况下,中标供应商和采购人可自行在“深圳政府采购智慧平台（http://zfcg.szggzy.com:8081/）”上打印</w:t>
      </w:r>
      <w:r>
        <w:rPr>
          <w:rFonts w:ascii="宋体" w:eastAsia="宋体" w:hAnsi="宋体" w:cs="宋体" w:hint="eastAsia"/>
          <w:bCs/>
          <w:color w:val="000000" w:themeColor="text1"/>
          <w:szCs w:val="21"/>
          <w:highlight w:val="none"/>
          <w14:textFill>
            <w14:solidFill>
              <w14:schemeClr w14:val="tx1"/>
            </w14:solidFill>
          </w14:textFill>
        </w:rPr>
        <w:t>《数字中标通知书》</w:t>
      </w:r>
      <w:r>
        <w:rPr>
          <w:rFonts w:ascii="宋体" w:eastAsia="宋体" w:hAnsi="宋体" w:cs="宋体" w:hint="eastAsia"/>
          <w:b/>
          <w:color w:val="000000" w:themeColor="text1"/>
          <w:szCs w:val="21"/>
          <w:highlight w:val="none"/>
          <w14:textFill>
            <w14:solidFill>
              <w14:schemeClr w14:val="tx1"/>
            </w14:solidFill>
          </w14:textFill>
        </w:rPr>
        <w:t>（</w:t>
      </w:r>
      <w:r>
        <w:rPr>
          <w:rFonts w:ascii="宋体" w:eastAsia="宋体" w:hAnsi="宋体" w:cs="宋体" w:hint="eastAsia"/>
          <w:color w:val="000000" w:themeColor="text1"/>
          <w:szCs w:val="21"/>
          <w:highlight w:val="none"/>
          <w14:textFill>
            <w14:solidFill>
              <w14:schemeClr w14:val="tx1"/>
            </w14:solidFill>
          </w14:textFill>
        </w:rPr>
        <w:t>咨询电话：</w:t>
      </w:r>
      <w:r>
        <w:rPr>
          <w:rFonts w:ascii="宋体" w:eastAsia="宋体" w:hAnsi="宋体" w:cs="宋体" w:hint="eastAsia"/>
          <w:b/>
          <w:bCs/>
          <w:color w:val="000000" w:themeColor="text1"/>
          <w:szCs w:val="21"/>
          <w:highlight w:val="none"/>
          <w14:textFill>
            <w14:solidFill>
              <w14:schemeClr w14:val="tx1"/>
            </w14:solidFill>
          </w14:textFill>
        </w:rPr>
        <w:t>0755-83881111、83881995</w:t>
      </w:r>
      <w:r>
        <w:rPr>
          <w:rFonts w:ascii="宋体" w:eastAsia="宋体" w:hAnsi="宋体" w:cs="宋体" w:hint="eastAsia"/>
          <w:color w:val="000000" w:themeColor="text1"/>
          <w:szCs w:val="21"/>
          <w:highlight w:val="none"/>
          <w14:textFill>
            <w14:solidFill>
              <w14:schemeClr w14:val="tx1"/>
            </w14:solidFill>
          </w14:textFill>
        </w:rPr>
        <w:t>）或</w:t>
      </w:r>
      <w:r>
        <w:rPr>
          <w:rFonts w:ascii="宋体" w:eastAsia="宋体" w:hAnsi="宋体" w:cs="宋体" w:hint="eastAsia"/>
          <w:szCs w:val="21"/>
          <w:highlight w:val="none"/>
        </w:rPr>
        <w:t>中标人凭单位证明和本人身份证到友和保险经纪有限公司领取《中标通知书》</w:t>
      </w:r>
      <w:r>
        <w:rPr>
          <w:rFonts w:ascii="宋体" w:eastAsia="宋体" w:hAnsi="宋体" w:cs="宋体" w:hint="eastAsia"/>
          <w:color w:val="000000" w:themeColor="text1"/>
          <w:szCs w:val="21"/>
          <w:highlight w:val="none"/>
          <w14:textFill>
            <w14:solidFill>
              <w14:schemeClr w14:val="tx1"/>
            </w14:solidFill>
          </w14:textFill>
        </w:rPr>
        <w:t>。</w:t>
      </w:r>
      <w:bookmarkEnd w:id="74"/>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41.2中标通知书是合同的重要组成部分。</w:t>
      </w:r>
    </w:p>
    <w:p>
      <w:pPr>
        <w:ind w:firstLine="470" w:firstLineChars="196"/>
        <w:rPr>
          <w:rFonts w:ascii="宋体" w:eastAsia="宋体" w:hAnsi="宋体" w:cs="宋体"/>
          <w:color w:val="000000" w:themeColor="text1"/>
          <w:szCs w:val="21"/>
          <w:highlight w:val="none"/>
          <w14:textFill>
            <w14:solidFill>
              <w14:schemeClr w14:val="tx1"/>
            </w14:solidFill>
          </w14:textFill>
        </w:rPr>
      </w:pPr>
      <w:bookmarkStart w:id="75" w:name="_Hlk71407340"/>
      <w:r>
        <w:rPr>
          <w:rFonts w:ascii="宋体" w:eastAsia="宋体" w:hAnsi="宋体" w:cs="宋体" w:hint="eastAsia"/>
          <w:color w:val="000000" w:themeColor="text1"/>
          <w:szCs w:val="21"/>
          <w:highlight w:val="none"/>
          <w14:textFill>
            <w14:solidFill>
              <w14:schemeClr w14:val="tx1"/>
            </w14:solidFill>
          </w14:textFill>
        </w:rPr>
        <w:t>41.3因质疑投诉或其它原因导致项目结果变更或采购终止的，招标机构有权吊销中标通知书。</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41.4.1根据《深圳市财政委员会关于规范深圳市社会采购代理机构管理有关事项的补充通知》（深财购〔2018〕27号）文件相关规定，招标代理服务费以中标金额为基数、按差额定率累进法计算后下浮40%收取，不足人民币肆仟伍佰元整的按照固定额人民币肆仟伍佰元整收取。具体计取费率标准如下表所示：</w:t>
      </w:r>
    </w:p>
    <w:p>
      <w:pPr>
        <w:ind w:firstLine="470" w:firstLineChars="196"/>
        <w:rPr>
          <w:rFonts w:ascii="宋体" w:eastAsia="宋体" w:hAnsi="宋体" w:cs="宋体"/>
          <w:color w:val="000000" w:themeColor="text1"/>
          <w:szCs w:val="21"/>
          <w:highlight w:val="none"/>
          <w14:textFill>
            <w14:solidFill>
              <w14:schemeClr w14:val="tx1"/>
            </w14:solidFill>
          </w14:textFill>
        </w:rPr>
      </w:pPr>
    </w:p>
    <w:tbl>
      <w:tblPr>
        <w:tblStyle w:val="TableNormal"/>
        <w:tblW w:w="781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
      <w:tblGrid>
        <w:gridCol w:w="2447"/>
        <w:gridCol w:w="1788"/>
        <w:gridCol w:w="1788"/>
        <w:gridCol w:w="1788"/>
      </w:tblGrid>
      <w:tr>
        <w:tblPrEx>
          <w:tblW w:w="781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4"/>
          <w:jc w:val="center"/>
        </w:trPr>
        <w:tc>
          <w:tcPr>
            <w:tcW w:w="2447" w:type="dxa"/>
            <w:tcBorders>
              <w:tl2br w:val="single" w:sz="8" w:space="0" w:color="auto"/>
            </w:tcBorders>
            <w:vAlign w:val="center"/>
          </w:tcPr>
          <w:p>
            <w:pPr>
              <w:snapToGrid w:val="0"/>
              <w:spacing w:line="360" w:lineRule="auto"/>
              <w:ind w:firstLine="1200" w:firstLineChars="500"/>
              <w:jc w:val="center"/>
              <w:rPr>
                <w:rFonts w:ascii="宋体" w:eastAsia="宋体" w:hAnsi="宋体" w:cs="宋体"/>
                <w:szCs w:val="21"/>
                <w:highlight w:val="none"/>
              </w:rPr>
            </w:pPr>
            <w:r>
              <w:rPr>
                <w:rFonts w:ascii="宋体" w:eastAsia="宋体" w:hAnsi="宋体" w:cs="宋体" w:hint="eastAsia"/>
                <w:szCs w:val="21"/>
                <w:highlight w:val="none"/>
              </w:rPr>
              <w:t>服务类型</w:t>
            </w:r>
          </w:p>
          <w:p>
            <w:pPr>
              <w:pStyle w:val="NormalIndent"/>
              <w:ind w:firstLine="0"/>
              <w:jc w:val="both"/>
              <w:rPr>
                <w:rFonts w:ascii="宋体" w:eastAsia="宋体" w:hAnsi="宋体" w:cs="宋体"/>
                <w:szCs w:val="21"/>
                <w:highlight w:val="none"/>
              </w:rPr>
            </w:pPr>
            <w:r>
              <w:rPr>
                <w:rFonts w:ascii="宋体" w:eastAsia="宋体" w:hAnsi="宋体" w:cs="宋体" w:hint="eastAsia"/>
                <w:szCs w:val="21"/>
                <w:highlight w:val="none"/>
              </w:rPr>
              <w:t>中标金额(万元)</w:t>
            </w:r>
          </w:p>
        </w:tc>
        <w:tc>
          <w:tcPr>
            <w:tcW w:w="1788" w:type="dxa"/>
            <w:vAlign w:val="center"/>
          </w:tcPr>
          <w:p>
            <w:pPr>
              <w:snapToGrid w:val="0"/>
              <w:spacing w:line="360" w:lineRule="auto"/>
              <w:jc w:val="center"/>
              <w:rPr>
                <w:rFonts w:ascii="宋体" w:eastAsia="宋体" w:hAnsi="宋体" w:cs="宋体"/>
                <w:szCs w:val="21"/>
                <w:highlight w:val="none"/>
              </w:rPr>
            </w:pPr>
            <w:r>
              <w:rPr>
                <w:rFonts w:ascii="宋体" w:eastAsia="宋体" w:hAnsi="宋体" w:cs="宋体" w:hint="eastAsia"/>
                <w:szCs w:val="21"/>
                <w:highlight w:val="none"/>
              </w:rPr>
              <w:t>货物招标</w:t>
            </w:r>
          </w:p>
        </w:tc>
        <w:tc>
          <w:tcPr>
            <w:tcW w:w="1788" w:type="dxa"/>
            <w:vAlign w:val="center"/>
          </w:tcPr>
          <w:p>
            <w:pPr>
              <w:snapToGrid w:val="0"/>
              <w:spacing w:line="360" w:lineRule="auto"/>
              <w:jc w:val="center"/>
              <w:rPr>
                <w:rFonts w:ascii="宋体" w:eastAsia="宋体" w:hAnsi="宋体" w:cs="宋体"/>
                <w:szCs w:val="21"/>
                <w:highlight w:val="none"/>
              </w:rPr>
            </w:pPr>
            <w:r>
              <w:rPr>
                <w:rFonts w:ascii="宋体" w:eastAsia="宋体" w:hAnsi="宋体" w:cs="宋体" w:hint="eastAsia"/>
                <w:szCs w:val="21"/>
                <w:highlight w:val="none"/>
              </w:rPr>
              <w:t>服务招标</w:t>
            </w:r>
          </w:p>
        </w:tc>
        <w:tc>
          <w:tcPr>
            <w:tcW w:w="1788" w:type="dxa"/>
            <w:vAlign w:val="center"/>
          </w:tcPr>
          <w:p>
            <w:pPr>
              <w:snapToGrid w:val="0"/>
              <w:spacing w:line="360" w:lineRule="auto"/>
              <w:jc w:val="center"/>
              <w:rPr>
                <w:rFonts w:ascii="宋体" w:eastAsia="宋体" w:hAnsi="宋体" w:cs="宋体"/>
                <w:szCs w:val="21"/>
                <w:highlight w:val="none"/>
              </w:rPr>
            </w:pPr>
            <w:r>
              <w:rPr>
                <w:rFonts w:ascii="宋体" w:eastAsia="宋体" w:hAnsi="宋体" w:cs="宋体" w:hint="eastAsia"/>
                <w:szCs w:val="21"/>
                <w:highlight w:val="none"/>
              </w:rPr>
              <w:t>工程招标</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szCs w:val="21"/>
                <w:highlight w:val="none"/>
              </w:rPr>
            </w:pPr>
            <w:r>
              <w:rPr>
                <w:rFonts w:ascii="宋体" w:eastAsia="宋体" w:hAnsi="宋体" w:cs="宋体" w:hint="eastAsia"/>
                <w:szCs w:val="21"/>
                <w:highlight w:val="none"/>
              </w:rPr>
              <w:t>100以下</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1.50%</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1.50%</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1.00%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szCs w:val="21"/>
                <w:highlight w:val="none"/>
              </w:rPr>
            </w:pPr>
            <w:r>
              <w:rPr>
                <w:rFonts w:ascii="宋体" w:eastAsia="宋体" w:hAnsi="宋体" w:cs="宋体" w:hint="eastAsia"/>
                <w:szCs w:val="21"/>
                <w:highlight w:val="none"/>
              </w:rPr>
              <w:t>100-500</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1.10%</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0.80%</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0.70%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szCs w:val="21"/>
                <w:highlight w:val="none"/>
              </w:rPr>
            </w:pPr>
            <w:r>
              <w:rPr>
                <w:rFonts w:ascii="宋体" w:eastAsia="宋体" w:hAnsi="宋体" w:cs="宋体" w:hint="eastAsia"/>
                <w:szCs w:val="21"/>
                <w:highlight w:val="none"/>
              </w:rPr>
              <w:t>500-1000</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0.80%</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0.45%</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0.55%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szCs w:val="21"/>
                <w:highlight w:val="none"/>
              </w:rPr>
            </w:pPr>
            <w:r>
              <w:rPr>
                <w:rFonts w:ascii="宋体" w:eastAsia="宋体" w:hAnsi="宋体" w:cs="宋体" w:hint="eastAsia"/>
                <w:szCs w:val="21"/>
                <w:highlight w:val="none"/>
              </w:rPr>
              <w:t>1000-5000</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0.50%</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0.25%</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0.35%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szCs w:val="21"/>
                <w:highlight w:val="none"/>
              </w:rPr>
            </w:pPr>
            <w:r>
              <w:rPr>
                <w:rFonts w:ascii="宋体" w:eastAsia="宋体" w:hAnsi="宋体" w:cs="宋体" w:hint="eastAsia"/>
                <w:szCs w:val="21"/>
                <w:highlight w:val="none"/>
              </w:rPr>
              <w:t>5000-10000</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0.25%</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0.10%</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0.20%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szCs w:val="21"/>
                <w:highlight w:val="none"/>
              </w:rPr>
            </w:pPr>
            <w:r>
              <w:rPr>
                <w:rFonts w:ascii="宋体" w:eastAsia="宋体" w:hAnsi="宋体" w:cs="宋体" w:hint="eastAsia"/>
                <w:szCs w:val="21"/>
                <w:highlight w:val="none"/>
              </w:rPr>
              <w:t>10000-100000</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0.05%</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0.05%</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0.05%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szCs w:val="21"/>
                <w:highlight w:val="none"/>
              </w:rPr>
            </w:pPr>
            <w:r>
              <w:rPr>
                <w:rFonts w:ascii="宋体" w:eastAsia="宋体" w:hAnsi="宋体" w:cs="宋体" w:hint="eastAsia"/>
                <w:szCs w:val="21"/>
                <w:highlight w:val="none"/>
              </w:rPr>
              <w:t>1000000以上</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0.01%</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0.01%</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0.01%</w:t>
            </w:r>
          </w:p>
        </w:tc>
      </w:tr>
    </w:tbl>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41.4.2中标人须在中标公告公示期结束后，领取《中标通知书》前，向招标代理机构缴纳中标服务费。</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 xml:space="preserve"> 41.4.3招标代理服务费以转账、现金形式交付。</w:t>
      </w:r>
    </w:p>
    <w:p>
      <w:pPr>
        <w:rPr>
          <w:rFonts w:ascii="宋体" w:eastAsia="宋体" w:hAnsi="宋体" w:cs="宋体"/>
          <w:highlight w:val="none"/>
        </w:rPr>
      </w:pPr>
    </w:p>
    <w:p>
      <w:pPr>
        <w:pStyle w:val="Heading2"/>
        <w:numPr>
          <w:ilvl w:val="0"/>
          <w:numId w:val="4"/>
        </w:numPr>
        <w:tabs>
          <w:tab w:val="left" w:pos="360"/>
          <w:tab w:val="clear" w:pos="720"/>
        </w:tabs>
        <w:spacing w:before="120" w:beforeLines="50" w:after="120" w:afterLines="50"/>
        <w:ind w:left="562" w:hanging="562"/>
        <w:rPr>
          <w:rFonts w:cs="宋体"/>
          <w:color w:val="000000" w:themeColor="text1"/>
          <w:sz w:val="28"/>
          <w:szCs w:val="28"/>
          <w:highlight w:val="none"/>
          <w14:textFill>
            <w14:solidFill>
              <w14:schemeClr w14:val="tx1"/>
            </w14:solidFill>
          </w14:textFill>
        </w:rPr>
      </w:pPr>
      <w:bookmarkEnd w:id="75"/>
      <w:r>
        <w:rPr>
          <w:rFonts w:cs="宋体" w:hint="eastAsia"/>
          <w:color w:val="000000" w:themeColor="text1"/>
          <w:sz w:val="28"/>
          <w:szCs w:val="28"/>
          <w:highlight w:val="none"/>
          <w14:textFill>
            <w14:solidFill>
              <w14:schemeClr w14:val="tx1"/>
            </w14:solidFill>
          </w14:textFill>
        </w:rPr>
        <w:t>公开招标失败的后续处理</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42．公开招标失败的处理</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42.1本项目公开招标过程中若由于投标截止后</w:t>
      </w:r>
      <w:r>
        <w:rPr>
          <w:rFonts w:ascii="宋体" w:eastAsia="宋体" w:hAnsi="宋体" w:cs="宋体" w:hint="eastAsia"/>
          <w:color w:val="000000" w:themeColor="text1"/>
          <w:highlight w:val="none"/>
          <w14:textFill>
            <w14:solidFill>
              <w14:schemeClr w14:val="tx1"/>
            </w14:solidFill>
          </w14:textFill>
        </w:rPr>
        <w:t>实际递交投标文件的供应商数量不足、经</w:t>
      </w:r>
      <w:r>
        <w:rPr>
          <w:rFonts w:ascii="宋体" w:eastAsia="宋体" w:hAnsi="宋体" w:cs="宋体" w:hint="eastAsia"/>
          <w:color w:val="000000" w:themeColor="text1"/>
          <w:szCs w:val="21"/>
          <w:highlight w:val="none"/>
          <w14:textFill>
            <w14:solidFill>
              <w14:schemeClr w14:val="tx1"/>
            </w14:solidFill>
          </w14:textFill>
        </w:rPr>
        <w:t>评审委员会</w:t>
      </w:r>
      <w:r>
        <w:rPr>
          <w:rFonts w:ascii="宋体" w:eastAsia="宋体" w:hAnsi="宋体" w:cs="宋体" w:hint="eastAsia"/>
          <w:color w:val="000000" w:themeColor="text1"/>
          <w:highlight w:val="none"/>
          <w14:textFill>
            <w14:solidFill>
              <w14:schemeClr w14:val="tx1"/>
            </w14:solidFill>
          </w14:textFill>
        </w:rPr>
        <w:t>评审对招标文件作实质响应的供应商不足等原因造成公开招标失败，可由招标机构重新组织采购。</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42.2对公开招标失败的项目，评审委员会在出具该项目招标失败结论的同时，可以提出重新采购组织形式的建议，以及进一步完善招标文件的资格、技术、商务要求的修改建议。</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42.3重新组织采购有以下两种组织形式：</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（1）由招标机构重新组织公开招标；</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（2）根据实际情况需要向同级财政部门提出非公开招标方式申请，经同级财政部门批准，公开招标失败采购项目可转为竞争性谈判或单一来源谈判方式采购。</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42.4公开招标失败的采购项目重新组织公开招标，由招标机构重新按公开招标流程组织采购活动。</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42.5公开招标失败的采购项目经同级财政部门批准转为竞争性谈判或单一来源谈判方式采购的，按规定要求组织政府采购工作。</w:t>
      </w:r>
    </w:p>
    <w:p>
      <w:pPr>
        <w:pStyle w:val="Heading2"/>
        <w:numPr>
          <w:ilvl w:val="0"/>
          <w:numId w:val="4"/>
        </w:numPr>
        <w:tabs>
          <w:tab w:val="left" w:pos="360"/>
          <w:tab w:val="clear" w:pos="720"/>
        </w:tabs>
        <w:spacing w:before="120" w:beforeLines="50" w:after="120" w:afterLines="50"/>
        <w:ind w:left="562" w:hanging="562"/>
        <w:rPr>
          <w:rFonts w:cs="宋体"/>
          <w:color w:val="000000" w:themeColor="text1"/>
          <w:sz w:val="28"/>
          <w:szCs w:val="28"/>
          <w:highlight w:val="none"/>
          <w14:textFill>
            <w14:solidFill>
              <w14:schemeClr w14:val="tx1"/>
            </w14:solidFill>
          </w14:textFill>
        </w:rPr>
      </w:pPr>
      <w:bookmarkStart w:id="76" w:name="_Hlk72439043"/>
      <w:r>
        <w:rPr>
          <w:rFonts w:cs="宋体" w:hint="eastAsia"/>
          <w:color w:val="000000" w:themeColor="text1"/>
          <w:sz w:val="28"/>
          <w:szCs w:val="28"/>
          <w:highlight w:val="none"/>
          <w14:textFill>
            <w14:solidFill>
              <w14:schemeClr w14:val="tx1"/>
            </w14:solidFill>
          </w14:textFill>
        </w:rPr>
        <w:t>合同的授予与备案</w:t>
      </w:r>
      <w:bookmarkEnd w:id="76"/>
    </w:p>
    <w:p>
      <w:pPr>
        <w:rPr>
          <w:rFonts w:ascii="宋体" w:eastAsia="宋体" w:hAnsi="宋体" w:cs="宋体"/>
          <w:color w:val="000000" w:themeColor="text1"/>
          <w:highlight w:val="none"/>
          <w14:textFill>
            <w14:solidFill>
              <w14:schemeClr w14:val="tx1"/>
            </w14:solidFill>
          </w14:textFill>
        </w:rPr>
      </w:pPr>
      <w:bookmarkStart w:id="77" w:name="_Toc73521586"/>
      <w:bookmarkStart w:id="78" w:name="_Toc100052408"/>
      <w:bookmarkStart w:id="79" w:name="_Toc73518157"/>
      <w:bookmarkStart w:id="80" w:name="_Toc73517679"/>
      <w:bookmarkStart w:id="81" w:name="_Toc73521674"/>
      <w:bookmarkStart w:id="82" w:name="_Hlk72439088"/>
      <w:r>
        <w:rPr>
          <w:rFonts w:ascii="宋体" w:eastAsia="宋体" w:hAnsi="宋体" w:cs="宋体" w:hint="eastAsia"/>
          <w:color w:val="000000" w:themeColor="text1"/>
          <w:highlight w:val="none"/>
          <w14:textFill>
            <w14:solidFill>
              <w14:schemeClr w14:val="tx1"/>
            </w14:solidFill>
          </w14:textFill>
        </w:rPr>
        <w:t>43．合同授予标准</w:t>
      </w:r>
      <w:bookmarkEnd w:id="77"/>
      <w:bookmarkEnd w:id="78"/>
      <w:bookmarkEnd w:id="79"/>
      <w:bookmarkEnd w:id="80"/>
      <w:bookmarkEnd w:id="81"/>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本项目的合同将授予经本招标文件规定评审确定的中标供应商。</w:t>
      </w:r>
    </w:p>
    <w:p>
      <w:pPr>
        <w:rPr>
          <w:rFonts w:ascii="宋体" w:eastAsia="宋体" w:hAnsi="宋体" w:cs="宋体"/>
          <w:color w:val="000000" w:themeColor="text1"/>
          <w:highlight w:val="none"/>
          <w14:textFill>
            <w14:solidFill>
              <w14:schemeClr w14:val="tx1"/>
            </w14:solidFill>
          </w14:textFill>
        </w:rPr>
      </w:pPr>
      <w:bookmarkStart w:id="83" w:name="_Toc73517680"/>
      <w:bookmarkStart w:id="84" w:name="_Toc73521675"/>
      <w:bookmarkStart w:id="85" w:name="_Toc73521587"/>
      <w:bookmarkStart w:id="86" w:name="_Toc100052409"/>
      <w:bookmarkStart w:id="87" w:name="_Toc73518158"/>
      <w:r>
        <w:rPr>
          <w:rFonts w:ascii="宋体" w:eastAsia="宋体" w:hAnsi="宋体" w:cs="宋体" w:hint="eastAsia"/>
          <w:color w:val="000000" w:themeColor="text1"/>
          <w:highlight w:val="none"/>
          <w14:textFill>
            <w14:solidFill>
              <w14:schemeClr w14:val="tx1"/>
            </w14:solidFill>
          </w14:textFill>
        </w:rPr>
        <w:t>44．</w:t>
      </w:r>
      <w:bookmarkEnd w:id="83"/>
      <w:bookmarkEnd w:id="84"/>
      <w:bookmarkEnd w:id="85"/>
      <w:bookmarkEnd w:id="86"/>
      <w:bookmarkEnd w:id="87"/>
      <w:r>
        <w:rPr>
          <w:rFonts w:ascii="宋体" w:eastAsia="宋体" w:hAnsi="宋体" w:cs="宋体" w:hint="eastAsia"/>
          <w:color w:val="000000" w:themeColor="text1"/>
          <w:highlight w:val="none"/>
          <w14:textFill>
            <w14:solidFill>
              <w14:schemeClr w14:val="tx1"/>
            </w14:solidFill>
          </w14:textFill>
        </w:rPr>
        <w:t>接受和拒绝任何或所有投标的权力</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招标机构和采购人保留在投标之前任何时候接受或拒绝任何投标或所有投标，以及宣布招标无效的权力，对受影响的投标人不承担任何责任，也无义务向受影响的投标人解释采取这一行动的理由。</w:t>
      </w:r>
    </w:p>
    <w:p>
      <w:pPr>
        <w:rPr>
          <w:rFonts w:ascii="宋体" w:eastAsia="宋体" w:hAnsi="宋体" w:cs="宋体"/>
          <w:color w:val="000000" w:themeColor="text1"/>
          <w:highlight w:val="none"/>
          <w14:textFill>
            <w14:solidFill>
              <w14:schemeClr w14:val="tx1"/>
            </w14:solidFill>
          </w14:textFill>
        </w:rPr>
      </w:pPr>
      <w:bookmarkStart w:id="88" w:name="_Toc73521589"/>
      <w:bookmarkStart w:id="89" w:name="_Toc73518160"/>
      <w:bookmarkStart w:id="90" w:name="_Toc73521677"/>
      <w:bookmarkStart w:id="91" w:name="_Toc73517682"/>
      <w:bookmarkStart w:id="92" w:name="_Toc100052410"/>
      <w:r>
        <w:rPr>
          <w:rFonts w:ascii="宋体" w:eastAsia="宋体" w:hAnsi="宋体" w:cs="宋体" w:hint="eastAsia"/>
          <w:color w:val="000000" w:themeColor="text1"/>
          <w:highlight w:val="none"/>
          <w14:textFill>
            <w14:solidFill>
              <w14:schemeClr w14:val="tx1"/>
            </w14:solidFill>
          </w14:textFill>
        </w:rPr>
        <w:t>45．合同的签订</w:t>
      </w:r>
      <w:bookmarkEnd w:id="88"/>
      <w:bookmarkEnd w:id="89"/>
      <w:bookmarkEnd w:id="90"/>
      <w:bookmarkEnd w:id="91"/>
      <w:bookmarkEnd w:id="92"/>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45.1中标人将于中标通知书发出之日起十个工作日内，按照采购文件（招标文件和投标文件等）内容与采购人签订政府采购合同；合同的实质性内容应当符合招标文件的规定；</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45.2中标人如不按本通用条款第45.1款的规定与采购人签订合同，情节严重的，由同级财政部门记入供应商诚信档案，予以通报；</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45.3中标人应当按照合同约定履行义务，完成中标项目，不得将中标项目转让（转包）给他人。</w:t>
      </w:r>
    </w:p>
    <w:p>
      <w:pPr>
        <w:rPr>
          <w:rFonts w:ascii="宋体" w:eastAsia="宋体" w:hAnsi="宋体" w:cs="宋体"/>
          <w:color w:val="000000" w:themeColor="text1"/>
          <w:highlight w:val="none"/>
          <w14:textFill>
            <w14:solidFill>
              <w14:schemeClr w14:val="tx1"/>
            </w14:solidFill>
          </w14:textFill>
        </w:rPr>
      </w:pPr>
      <w:bookmarkStart w:id="93" w:name="_Toc73521590"/>
      <w:bookmarkStart w:id="94" w:name="_Toc73518161"/>
      <w:bookmarkStart w:id="95" w:name="_Toc73521678"/>
      <w:bookmarkStart w:id="96" w:name="_Toc73517683"/>
      <w:bookmarkStart w:id="97" w:name="_Toc100052411"/>
      <w:r>
        <w:rPr>
          <w:rFonts w:ascii="宋体" w:eastAsia="宋体" w:hAnsi="宋体" w:cs="宋体" w:hint="eastAsia"/>
          <w:color w:val="000000" w:themeColor="text1"/>
          <w:highlight w:val="none"/>
          <w14:textFill>
            <w14:solidFill>
              <w14:schemeClr w14:val="tx1"/>
            </w14:solidFill>
          </w14:textFill>
        </w:rPr>
        <w:t>46．履约担保</w:t>
      </w:r>
      <w:bookmarkEnd w:id="93"/>
      <w:bookmarkEnd w:id="94"/>
      <w:bookmarkEnd w:id="95"/>
      <w:bookmarkEnd w:id="96"/>
      <w:bookmarkEnd w:id="97"/>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46.1在签订项目合同的同时，中标人应按“对通用条款的补充内容”中规定的金额向采购人提交履约担保；</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46.2允许供应商自主选择以支票、汇票、本票、保函等非现金方式提交履约担保；</w:t>
      </w:r>
      <w:r>
        <w:rPr>
          <w:rFonts w:ascii="宋体" w:eastAsia="宋体" w:hAnsi="宋体" w:cs="宋体" w:hint="eastAsia"/>
          <w:color w:val="000000" w:themeColor="text1"/>
          <w:highlight w:val="none"/>
          <w14:textFill>
            <w14:solidFill>
              <w14:schemeClr w14:val="tx1"/>
            </w14:solidFill>
          </w14:textFill>
        </w:rPr>
        <w:t>中标人提交履约担保不是合同签订的前提条件，不要求中标人提供除法律、法规明确规定外的其他担保。</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47. 合同备案</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采购人与中标人应于合同签订之日起十日内，由采购人或委托中标人将采购合同副本抄送合同备案工作实施机构备案。</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48. 合同变更</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合同变更事宜按《深圳市财政局 深圳市政府采购中心关于进一步加强市本级政府采购合同备案管理工作的通知》（深财购〔2019〕43号）相关规定执行。</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49. 项目验收</w:t>
      </w:r>
    </w:p>
    <w:p>
      <w:pPr>
        <w:ind w:right="176" w:firstLine="42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49.1采购人应当按照招标文件和合同规定的标准和方法，及时组织验收。</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50. 宣传</w:t>
      </w:r>
    </w:p>
    <w:p>
      <w:pPr>
        <w:ind w:left="240" w:firstLine="470" w:leftChars="10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凡与政府采购活动有关的宣传或广告，若当中提及政府采购，必须事先将具体对外宣传方案报同级财政部门和招标机构，并征得其同意。对外市场宣传包括但不限于以下形式：</w:t>
      </w:r>
    </w:p>
    <w:p>
      <w:pPr>
        <w:ind w:left="240" w:firstLine="470" w:leftChars="10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a.名片、宣传册、广告标语等；</w:t>
      </w:r>
    </w:p>
    <w:p>
      <w:pPr>
        <w:ind w:left="240" w:firstLine="470" w:leftChars="10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b.案例介绍、推广等；</w:t>
      </w:r>
    </w:p>
    <w:p>
      <w:pPr>
        <w:ind w:left="240" w:firstLine="470" w:leftChars="10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c.工作人员向其他消费群体宣传。</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51. 供应商违法责任</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51.1《深圳经济特区政府采购条例》第五十七条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（1）在采购活动中应当回避而未回避的；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（2）未按本条例规定签订、履行采购合同，造成严重后果的；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（3）隐瞒真实情况，提供虚假资料的；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（4）以非法手段排斥其他供应商参与竞争的；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（5）与其他采购参加人串通投标的；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（6）恶意投诉的；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（7）向采购项目相关人行贿或者提供其他不当利益的；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（8）阻碍、抗拒主管部门监督检查的；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（9）其他违反本条例规定的行为。</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51.2 根据《深圳市财政局关于明确政府采购保证金管理工作的通知》（深财购[2019]42号）的要求，供应商在政府采购活动中出现《深圳经济特区政府采购条例实施细则》第八十四条所列情形的，</w:t>
      </w:r>
      <w:bookmarkStart w:id="98" w:name="_Hlk72440769"/>
      <w:r>
        <w:rPr>
          <w:rFonts w:ascii="宋体" w:eastAsia="宋体" w:hAnsi="宋体" w:cs="宋体" w:hint="eastAsia"/>
          <w:color w:val="000000" w:themeColor="text1"/>
          <w:szCs w:val="21"/>
          <w:highlight w:val="none"/>
          <w14:textFill>
            <w14:solidFill>
              <w14:schemeClr w14:val="tx1"/>
            </w14:solidFill>
          </w14:textFill>
        </w:rPr>
        <w:t>采购人或</w:t>
      </w:r>
      <w:bookmarkEnd w:id="98"/>
      <w:r>
        <w:rPr>
          <w:rFonts w:ascii="宋体" w:eastAsia="宋体" w:hAnsi="宋体" w:cs="宋体" w:hint="eastAsia"/>
          <w:color w:val="000000" w:themeColor="text1"/>
          <w:szCs w:val="21"/>
          <w:highlight w:val="none"/>
          <w14:textFill>
            <w14:solidFill>
              <w14:schemeClr w14:val="tx1"/>
            </w14:solidFill>
          </w14:textFill>
        </w:rPr>
        <w:t>招标机构可将有关情况报同级财政部门，由财政部门根据实际情况记入供应商诚信档案，予以通报：</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（1）投标截止后，撤销投标的；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（2）中标后无正当理由未在规定期限内签订合同的；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（3）将中标项目转让给他人、或者在投标文件中未说明且未经采购人、采购招标机构同意，将中标项目分包给他人的；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（4）拒绝履行合同义务的。</w:t>
      </w:r>
    </w:p>
    <w:p>
      <w:pPr>
        <w:pStyle w:val="Heading2"/>
        <w:numPr>
          <w:ilvl w:val="0"/>
          <w:numId w:val="4"/>
        </w:numPr>
        <w:tabs>
          <w:tab w:val="left" w:pos="360"/>
          <w:tab w:val="clear" w:pos="720"/>
        </w:tabs>
        <w:spacing w:before="120" w:beforeLines="50" w:after="120" w:afterLines="50"/>
        <w:ind w:left="562" w:hanging="562"/>
        <w:rPr>
          <w:rFonts w:cs="宋体"/>
          <w:color w:val="000000" w:themeColor="text1"/>
          <w:sz w:val="28"/>
          <w:szCs w:val="28"/>
          <w:highlight w:val="none"/>
          <w14:textFill>
            <w14:solidFill>
              <w14:schemeClr w14:val="tx1"/>
            </w14:solidFill>
          </w14:textFill>
        </w:rPr>
      </w:pPr>
      <w:bookmarkEnd w:id="82"/>
      <w:r>
        <w:rPr>
          <w:rFonts w:cs="宋体" w:hint="eastAsia"/>
          <w:color w:val="000000" w:themeColor="text1"/>
          <w:sz w:val="28"/>
          <w:szCs w:val="28"/>
          <w:highlight w:val="none"/>
          <w14:textFill>
            <w14:solidFill>
              <w14:schemeClr w14:val="tx1"/>
            </w14:solidFill>
          </w14:textFill>
        </w:rPr>
        <w:t>质疑处理</w:t>
      </w:r>
    </w:p>
    <w:p>
      <w:pPr>
        <w:rPr>
          <w:rFonts w:ascii="宋体" w:eastAsia="宋体" w:hAnsi="宋体" w:cs="宋体"/>
          <w:color w:val="000000" w:themeColor="text1"/>
          <w:highlight w:val="none"/>
          <w14:textFill>
            <w14:solidFill>
              <w14:schemeClr w14:val="tx1"/>
            </w14:solidFill>
          </w14:textFill>
        </w:rPr>
      </w:pPr>
      <w:bookmarkStart w:id="99" w:name="_Hlk72439706"/>
      <w:r>
        <w:rPr>
          <w:rFonts w:ascii="宋体" w:eastAsia="宋体" w:hAnsi="宋体" w:cs="宋体" w:hint="eastAsia"/>
          <w:color w:val="000000" w:themeColor="text1"/>
          <w:highlight w:val="none"/>
          <w14:textFill>
            <w14:solidFill>
              <w14:schemeClr w14:val="tx1"/>
            </w14:solidFill>
          </w14:textFill>
        </w:rPr>
        <w:t>52.质疑提出与答复</w:t>
      </w:r>
    </w:p>
    <w:p>
      <w:pP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 xml:space="preserve">    52.1提出质疑</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参与政府采购活动的供应商认为自己的权益在采购活动中受到损害的，应当自知道或者应当知道其权益受到损害之日起七个工作日内向采购人、招标机构以书面形式提出质疑。</w:t>
      </w:r>
    </w:p>
    <w:p>
      <w:pP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 xml:space="preserve">    52.2法律依据</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中华人民共和国政府采购法》、《中华人民共和国政府采购法实施条例》、《深圳经济特区政府采购条例》、《深圳经济特区政府采购条例实施细则》、《政府采购质疑和投诉办法》（财政部令第94号）和其他有关法律法规规定。</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52.3质疑条件</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52.3.1提出质疑的供应商应当是参与所质疑项目采购活动的供应商；</w:t>
      </w:r>
      <w:bookmarkStart w:id="100" w:name="_Hlk75374941"/>
      <w:r>
        <w:rPr>
          <w:rFonts w:ascii="宋体" w:eastAsia="宋体" w:hAnsi="宋体" w:cs="宋体" w:hint="eastAsia"/>
          <w:color w:val="000000" w:themeColor="text1"/>
          <w:szCs w:val="21"/>
          <w:highlight w:val="none"/>
          <w14:textFill>
            <w14:solidFill>
              <w14:schemeClr w14:val="tx1"/>
            </w14:solidFill>
          </w14:textFill>
        </w:rPr>
        <w:t>以联合体形式参与的，质疑应当由组成联合体的所有成员共同提出</w:t>
      </w:r>
      <w:bookmarkEnd w:id="100"/>
      <w:r>
        <w:rPr>
          <w:rFonts w:ascii="宋体" w:eastAsia="宋体" w:hAnsi="宋体" w:cs="宋体" w:hint="eastAsia"/>
          <w:color w:val="000000" w:themeColor="text1"/>
          <w:szCs w:val="21"/>
          <w:highlight w:val="none"/>
          <w14:textFill>
            <w14:solidFill>
              <w14:schemeClr w14:val="tx1"/>
            </w14:solidFill>
          </w14:textFill>
        </w:rPr>
        <w:t>；</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pPr>
        <w:ind w:firstLine="42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52.3.3应提交书面质疑函，质疑函应当包括以下内容：</w:t>
      </w:r>
    </w:p>
    <w:p>
      <w:pPr>
        <w:ind w:firstLine="42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（1）供应商的名称（或者姓名）、地址、邮编、邮箱、联系人及联系电话；</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（2）质疑项目的名称、编号；</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（3）具体、明确的质疑对象、质疑事项和质疑请求；</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（4）因质疑事项而受损害的权益；</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（5）事实依据；</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（6）必要的法律依据；</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（7）提出质疑的日期。</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供应商为自然人的，应当由本人签字；供应商为法人或者其他组织的，应当由法定代表人（负责人），或者其授权代理人签字或者盖章，并加盖公章。</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52.4提交材料</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供应商质疑实行实名制。供应商为自然人的，应当提交本人身份证复印件；供应商为法人或者其他组织的，应当根据自身性质提交营业执照复印件或者其他证明文件（如事业单位法人证书等）复印件。</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52.5提交方式</w:t>
      </w:r>
    </w:p>
    <w:p>
      <w:pPr>
        <w:ind w:firstLine="42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52.5.1供应商登录“深圳政府采购智慧平台用户网上办事子系统（http://zfcg.szggzy.com:8081/TPBidder/memberLogin）”，在“【我的项目】→【项目流程】→【质疑】”中提出质疑。</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52.5.2请质疑供应商根据深圳政府采购智慧平台（http://zfcg.szggzy.com:8081/）所发布的质疑指引、质疑函模板填写质疑函并提交质疑材料。</w:t>
      </w:r>
      <w:r>
        <w:rPr>
          <w:rFonts w:ascii="宋体" w:eastAsia="宋体" w:hAnsi="宋体" w:cs="宋体" w:hint="eastAsia"/>
          <w:b/>
          <w:bCs/>
          <w:color w:val="000000" w:themeColor="text1"/>
          <w:szCs w:val="21"/>
          <w:highlight w:val="none"/>
          <w14:textFill>
            <w14:solidFill>
              <w14:schemeClr w14:val="tx1"/>
            </w14:solidFill>
          </w14:textFill>
        </w:rPr>
        <w:t>地址：深圳市福田区福田体育公园西北角友和招标代理服务中心（靠近北门），质疑咨询电话：0755-83881995。</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52.6收文办理程序</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52.6.1供应商提交的质疑符合受理条件的，招标机构自收到质疑材料之日起即为受理，应当向供应商出具质疑函收文回执并可以要求其递交质疑的法定代表人（负责人）或者授权代理人签署质疑文书送达地址确认书。</w:t>
      </w:r>
    </w:p>
    <w:p>
      <w:pPr>
        <w:ind w:firstLine="480" w:firstLineChars="200"/>
        <w:rPr>
          <w:rFonts w:ascii="宋体" w:eastAsia="宋体" w:hAnsi="宋体" w:cs="宋体"/>
          <w:color w:val="000000" w:themeColor="text1"/>
          <w:sz w:val="28"/>
          <w:szCs w:val="28"/>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52.6.2供应商提交的质疑材料不符合质疑条件的，视情况处理：</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供应商提交的质疑材料不全或者未按要求签字或者盖章的，招标机构应当一次性告知供应商需补正的内容和补正期限。</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供应商提交的质疑存在下列情形之一的，不予受理：</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（1）质疑主体不满足要求的；</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（2）供应商自身权益未受到损害的；</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（3）供应商未在法定质疑期限内提出质疑的；</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（4）质疑材料不全或者未按要求签字或者盖章的情况下，要求补正后，逾期未补正或者补正后仍不符合规定的；</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（5）其他不符合受理条件情形的。</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质疑事项不予受理的，招标机构应当向供应商出具不符合质疑条件告知书。</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52.7质疑答复时限</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 xml:space="preserve">    自收文之日起七个工作日内。</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52.8投诉</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对质疑答复不满意或者未在规定时间内答复的，提出质疑的供应商可以在答复期满后15个工作日内向同级财政部门投诉。</w:t>
      </w:r>
    </w:p>
    <w:p>
      <w:pPr>
        <w:ind w:firstLine="480" w:firstLineChars="200"/>
        <w:rPr>
          <w:rFonts w:ascii="宋体" w:eastAsia="宋体" w:hAnsi="宋体" w:cs="宋体"/>
          <w:b/>
          <w:bCs/>
          <w:color w:val="000000" w:themeColor="text1"/>
          <w:szCs w:val="21"/>
          <w:highlight w:val="none"/>
          <w14:textFill>
            <w14:solidFill>
              <w14:schemeClr w14:val="tx1"/>
            </w14:solidFill>
          </w14:textFill>
        </w:rPr>
      </w:pPr>
      <w:r>
        <w:rPr>
          <w:rFonts w:ascii="宋体" w:eastAsia="宋体" w:hAnsi="宋体" w:cs="宋体" w:hint="eastAsia"/>
          <w:b/>
          <w:bCs/>
          <w:color w:val="000000" w:themeColor="text1"/>
          <w:szCs w:val="21"/>
          <w:highlight w:val="none"/>
          <w14:textFill>
            <w14:solidFill>
              <w14:schemeClr w14:val="tx1"/>
            </w14:solidFill>
          </w14:textFill>
        </w:rPr>
        <w:t xml:space="preserve">53. 质疑后续处理   </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53.1供应商质疑不成立，或者成立但未对中标、成交结果构成影响的，继续开展采购活动。</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53.2供</w:t>
      </w:r>
      <w:r>
        <w:rPr>
          <w:rFonts w:ascii="宋体" w:eastAsia="宋体" w:hAnsi="宋体" w:cs="宋体" w:hint="eastAsia"/>
          <w:highlight w:val="none"/>
        </w:rPr>
        <w:t>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 END ----</w:t>
      </w:r>
      <w:bookmarkEnd w:id="99"/>
    </w:p>
    <w:p>
      <w:pPr>
        <w:rPr>
          <w:rFonts w:ascii="宋体" w:eastAsia="宋体" w:hAnsi="宋体" w:cs="宋体"/>
          <w:color w:val="000000" w:themeColor="text1"/>
          <w:szCs w:val="21"/>
          <w:highlight w:val="none"/>
          <w14:textFill>
            <w14:solidFill>
              <w14:schemeClr w14:val="tx1"/>
            </w14:solidFill>
          </w14:textFill>
        </w:rPr>
      </w:pPr>
    </w:p>
    <w:p>
      <w:pPr>
        <w:rPr>
          <w:rFonts w:ascii="宋体" w:eastAsia="宋体" w:hAnsi="宋体" w:cs="宋体"/>
          <w:highlight w:val="none"/>
        </w:rPr>
      </w:pPr>
    </w:p>
    <w:p>
      <w:pPr>
        <w:rPr>
          <w:rFonts w:ascii="宋体" w:eastAsia="宋体" w:hAnsi="宋体" w:cs="宋体"/>
          <w:highlight w:val="none"/>
        </w:rPr>
      </w:pPr>
    </w:p>
    <w:sectPr>
      <w:footerReference w:type="default" r:id="rId11"/>
      <w:pgSz w:w="11906" w:h="16838"/>
      <w:pgMar w:top="1440" w:right="1800" w:bottom="1440" w:left="1800" w:header="720" w:footer="720" w:gutter="0"/>
      <w:pgNumType w:start="1"/>
      <w:cols w:num="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embedRegular r:id="rId1" w:fontKey="{1AA9DCAD-5D1F-4CC8-8FB8-505C8E791771}"/>
  </w:font>
  <w:font w:name="Helvetica">
    <w:altName w:val="Arial"/>
    <w:panose1 w:val="020B0604020202020204"/>
    <w:charset w:val="00"/>
    <w:family w:val="swiss"/>
    <w:pitch w:val="default"/>
    <w:sig w:usb0="00000000" w:usb1="00000000" w:usb2="00000009" w:usb3="00000000" w:csb0="000001FF" w:csb1="00000000"/>
    <w:embedRegular r:id="rId2" w:fontKey="{9AE70A2B-C101-4DF9-8948-1F987DA80701}"/>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Style w:val="TableGrid"/>
      <w:tblW w:w="0" w:type="auto"/>
      <w:tblInd w:w="0" w:type="dxa"/>
      <w:tblBorders>
        <w:top w:val="nil"/>
        <w:left w:val="nil"/>
        <w:bottom w:val="nil"/>
        <w:right w:val="nil"/>
        <w:insideH w:val="nil"/>
        <w:insideV w:val="nil"/>
      </w:tblBorders>
      <w:tblCellMar>
        <w:top w:w="0" w:type="dxa"/>
        <w:left w:w="108" w:type="dxa"/>
        <w:bottom w:w="0" w:type="dxa"/>
        <w:right w:w="108" w:type="dxa"/>
      </w:tblCellMar>
    </w:tblPr>
    <w:tblGrid>
      <w:gridCol w:w="2840"/>
      <w:gridCol w:w="2841"/>
      <w:gridCol w:w="2841"/>
    </w:tblGrid>
    <w:tr>
      <w:tblPrEx>
        <w:tblW w:w="0" w:type="auto"/>
        <w:tblInd w:w="0" w:type="dxa"/>
        <w:tblBorders>
          <w:top w:val="nil"/>
          <w:left w:val="nil"/>
          <w:bottom w:val="nil"/>
          <w:right w:val="nil"/>
          <w:insideH w:val="nil"/>
          <w:insideV w:val="nil"/>
        </w:tblBorders>
        <w:tblCellMar>
          <w:top w:w="0" w:type="dxa"/>
          <w:left w:w="108" w:type="dxa"/>
          <w:bottom w:w="0" w:type="dxa"/>
          <w:right w:w="108" w:type="dxa"/>
        </w:tblCellMar>
      </w:tblPrEx>
      <w:tc>
        <w:tcPr>
          <w:tcW w:w="2840" w:type="dxa"/>
        </w:tcPr>
        <w:p>
          <w:pPr>
            <w:pStyle w:val="Footer"/>
            <w:widowControl w:val="0"/>
            <w:jc w:val="both"/>
            <w:rPr>
              <w:sz w:val="28"/>
              <w:szCs w:val="28"/>
            </w:rPr>
          </w:pPr>
          <w:r>
            <w:rPr>
              <w:rFonts w:hint="eastAsia"/>
              <w:sz w:val="28"/>
              <w:szCs w:val="28"/>
            </w:rPr>
            <w:t>编制： 李恒慧</w:t>
          </w:r>
        </w:p>
      </w:tc>
      <w:tc>
        <w:tcPr>
          <w:tcW w:w="2841" w:type="dxa"/>
        </w:tcPr>
        <w:p>
          <w:pPr>
            <w:pStyle w:val="Footer"/>
            <w:widowControl w:val="0"/>
            <w:jc w:val="both"/>
            <w:rPr>
              <w:sz w:val="28"/>
              <w:szCs w:val="28"/>
            </w:rPr>
          </w:pPr>
          <w:r>
            <w:rPr>
              <w:rFonts w:hint="eastAsia"/>
              <w:sz w:val="28"/>
              <w:szCs w:val="28"/>
            </w:rPr>
            <w:t xml:space="preserve"> 复核： 张挺</w:t>
          </w:r>
        </w:p>
      </w:tc>
      <w:tc>
        <w:tcPr>
          <w:tcW w:w="2841" w:type="dxa"/>
        </w:tcPr>
        <w:p>
          <w:pPr>
            <w:pStyle w:val="Footer"/>
            <w:widowControl w:val="0"/>
            <w:jc w:val="both"/>
            <w:rPr>
              <w:sz w:val="28"/>
              <w:szCs w:val="28"/>
            </w:rPr>
          </w:pPr>
          <w:r>
            <w:rPr>
              <w:rFonts w:hint="eastAsia"/>
              <w:sz w:val="28"/>
              <w:szCs w:val="28"/>
            </w:rPr>
            <w:t>审核：曾真标</w:t>
          </w:r>
        </w:p>
      </w:tc>
    </w:tr>
  </w:tbl>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center;mso-position-horizontal-relative:margin;mso-width-relative:page;mso-wrap-style:none;position:absolute;width:2in;z-index:251659264"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FD298DE"/>
    <w:multiLevelType w:val="singleLevel"/>
    <w:tmpl w:val="8FD298DE"/>
    <w:lvl w:ilvl="0">
      <w:start w:val="5"/>
      <w:numFmt w:val="chineseCounting"/>
      <w:suff w:val="space"/>
      <w:lvlText w:val="第%1条"/>
      <w:lvlJc w:val="left"/>
      <w:rPr>
        <w:rFonts w:hint="eastAsia"/>
      </w:rPr>
    </w:lvl>
  </w:abstractNum>
  <w:abstractNum w:abstractNumId="1">
    <w:nsid w:val="ADDEEDE0"/>
    <w:multiLevelType w:val="singleLevel"/>
    <w:tmpl w:val="ADDEEDE0"/>
    <w:lvl w:ilvl="0">
      <w:start w:val="4"/>
      <w:numFmt w:val="chineseCounting"/>
      <w:suff w:val="nothing"/>
      <w:lvlText w:val="%1、"/>
      <w:lvlJc w:val="left"/>
      <w:rPr>
        <w:rFonts w:hint="eastAsia"/>
      </w:rPr>
    </w:lvl>
  </w:abstractNum>
  <w:abstractNum w:abstractNumId="2">
    <w:nsid w:val="00000003"/>
    <w:multiLevelType w:val="singleLevel"/>
    <w:tmpl w:val="00000003"/>
    <w:lvl w:ilvl="0">
      <w:start w:val="1"/>
      <w:numFmt w:val="bullet"/>
      <w:lvlText w:val=""/>
      <w:lvlJc w:val="left"/>
      <w:pPr>
        <w:ind w:left="420" w:hanging="420"/>
      </w:pPr>
      <w:rPr>
        <w:rFonts w:ascii="Wingdings" w:hAnsi="Wingdings" w:hint="default"/>
      </w:rPr>
    </w:lvl>
  </w:abstractNum>
  <w:abstractNum w:abstractNumId="3">
    <w:nsid w:val="00000004"/>
    <w:multiLevelType w:val="multilevel"/>
    <w:tmpl w:val="00000004"/>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trackRevisions/>
  <w:defaultTabStop w:val="720"/>
  <w:noPunctuationKerning/>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Y0MGZiYjQ5OGZlMWM1MTRjNmI5ZGFmMzY2ODNiY2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qFormat="1"/>
    <w:lsdException w:name="footnote text" w:semiHidden="0" w:uiPriority="0" w:unhideWhenUsed="0"/>
    <w:lsdException w:name="annotation text" w:semiHidden="0" w:uiPriority="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qFormat="1"/>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qFormat="1"/>
    <w:lsdException w:name="Body Text Indent" w:semiHidden="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nhideWhenUsed="0" w:qFormat="1"/>
    <w:lsdException w:name="Body Text 2" w:semiHidden="0" w:uiPriority="0" w:unhideWhenUsed="0" w:qFormat="1"/>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autoRedefine/>
    <w:qFormat/>
    <w:rPr>
      <w:rFonts w:ascii="Times New Roman" w:eastAsia="Times New Roman" w:hAnsi="Times New Roman" w:cs="Times New Roman"/>
      <w:sz w:val="24"/>
      <w:szCs w:val="24"/>
      <w:lang w:val="en-US" w:eastAsia="zh-CN" w:bidi="ar-SA"/>
    </w:rPr>
  </w:style>
  <w:style w:type="paragraph" w:styleId="Heading1">
    <w:name w:val="heading 1"/>
    <w:basedOn w:val="Heading3"/>
    <w:next w:val="Normal"/>
    <w:link w:val="1"/>
    <w:autoRedefine/>
    <w:qFormat/>
    <w:pPr>
      <w:spacing w:before="340" w:after="330" w:line="360" w:lineRule="auto"/>
      <w:jc w:val="center"/>
      <w:outlineLvl w:val="0"/>
    </w:pPr>
    <w:rPr>
      <w:rFonts w:eastAsia="黑体"/>
      <w:kern w:val="44"/>
      <w:szCs w:val="44"/>
    </w:rPr>
  </w:style>
  <w:style w:type="paragraph" w:styleId="Heading2">
    <w:name w:val="heading 2"/>
    <w:basedOn w:val="Heading3"/>
    <w:next w:val="Heading4"/>
    <w:link w:val="2"/>
    <w:autoRedefine/>
    <w:qFormat/>
    <w:pPr>
      <w:adjustRightInd w:val="0"/>
      <w:jc w:val="center"/>
      <w:textAlignment w:val="baseline"/>
      <w:outlineLvl w:val="1"/>
    </w:pPr>
    <w:rPr>
      <w:sz w:val="24"/>
      <w:szCs w:val="20"/>
    </w:rPr>
  </w:style>
  <w:style w:type="paragraph" w:styleId="Heading3">
    <w:name w:val="heading 3"/>
    <w:basedOn w:val="Heading4"/>
    <w:next w:val="Normal"/>
    <w:link w:val="3"/>
    <w:autoRedefine/>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link w:val="4"/>
    <w:autoRedefine/>
    <w:uiPriority w:val="9"/>
    <w:qFormat/>
    <w:pPr>
      <w:keepNext/>
      <w:keepLines/>
      <w:spacing w:before="280" w:after="290" w:line="376" w:lineRule="auto"/>
      <w:outlineLvl w:val="3"/>
    </w:pPr>
    <w:rPr>
      <w:rFonts w:ascii="Arial" w:eastAsia="黑体" w:hAnsi="Arial"/>
      <w:b/>
      <w:bCs/>
      <w:sz w:val="28"/>
      <w:szCs w:val="28"/>
    </w:rPr>
  </w:style>
  <w:style w:type="character" w:default="1" w:styleId="DefaultParagraphFont">
    <w:name w:val="Default Paragraph Font"/>
    <w:autoRedefine/>
    <w:uiPriority w:val="1"/>
    <w:semiHidden/>
    <w:unhideWhenUsed/>
    <w:qFormat/>
  </w:style>
  <w:style w:type="table" w:default="1" w:styleId="TableNormal">
    <w:name w:val="Normal Table"/>
    <w:autoRedefine/>
    <w:uiPriority w:val="99"/>
    <w:semiHidden/>
    <w:unhideWhenUsed/>
    <w:qFormat/>
    <w:tblPr>
      <w:tblCellMar>
        <w:top w:w="0" w:type="dxa"/>
        <w:left w:w="108" w:type="dxa"/>
        <w:bottom w:w="0" w:type="dxa"/>
        <w:right w:w="108" w:type="dxa"/>
      </w:tblCellMar>
    </w:tblPr>
  </w:style>
  <w:style w:type="paragraph" w:styleId="BodyText">
    <w:name w:val="Body Text"/>
    <w:basedOn w:val="Normal"/>
    <w:next w:val="BodyText2"/>
    <w:link w:val="a2"/>
    <w:autoRedefine/>
    <w:qFormat/>
    <w:pPr>
      <w:spacing w:line="360" w:lineRule="auto"/>
    </w:pPr>
    <w:rPr>
      <w:b/>
      <w:bCs/>
    </w:rPr>
  </w:style>
  <w:style w:type="paragraph" w:styleId="BodyText2">
    <w:name w:val="Body Text 2"/>
    <w:basedOn w:val="Normal"/>
    <w:autoRedefine/>
    <w:qFormat/>
    <w:pPr>
      <w:spacing w:line="360" w:lineRule="auto"/>
    </w:pPr>
  </w:style>
  <w:style w:type="paragraph" w:styleId="NormalIndent">
    <w:name w:val="Normal Indent"/>
    <w:basedOn w:val="Normal"/>
    <w:next w:val="Normal"/>
    <w:link w:val="a0"/>
    <w:autoRedefine/>
    <w:qFormat/>
    <w:pPr>
      <w:ind w:firstLine="420"/>
    </w:pPr>
    <w:rPr>
      <w:szCs w:val="20"/>
    </w:rPr>
  </w:style>
  <w:style w:type="paragraph" w:styleId="CommentText">
    <w:name w:val="annotation text"/>
    <w:basedOn w:val="Normal"/>
    <w:link w:val="a1"/>
    <w:autoRedefine/>
    <w:unhideWhenUsed/>
    <w:qFormat/>
    <w:pPr>
      <w:pPrChange w:id="101" w:author="黄春" w:date="2024-03-15T11:33:00Z">
        <w:pPr/>
      </w:pPrChange>
    </w:pPr>
    <w:rPr>
      <w:sz w:val="24"/>
      <w:szCs w:val="24"/>
      <w:lang w:val="en-US" w:eastAsia="zh-CN" w:bidi="ar-SA"/>
      <w:rPrChange w:id="0" w:author="黄春" w:date="2024-03-15T11:33:00Z">
        <w:rPr>
          <w:sz w:val="24"/>
          <w:szCs w:val="24"/>
          <w:lang w:val="en-US" w:eastAsia="zh-CN" w:bidi="ar-SA"/>
        </w:rPr>
      </w:rPrChange>
    </w:rPr>
  </w:style>
  <w:style w:type="paragraph" w:styleId="BodyTextIndent">
    <w:name w:val="Body Text Indent"/>
    <w:basedOn w:val="Normal"/>
    <w:autoRedefine/>
    <w:uiPriority w:val="99"/>
    <w:qFormat/>
    <w:pPr>
      <w:spacing w:after="120"/>
      <w:ind w:left="420" w:leftChars="200"/>
    </w:pPr>
    <w:rPr>
      <w:rFonts w:eastAsia="宋体"/>
      <w:sz w:val="21"/>
    </w:rPr>
  </w:style>
  <w:style w:type="paragraph" w:styleId="BalloonText">
    <w:name w:val="Balloon Text"/>
    <w:basedOn w:val="Normal"/>
    <w:autoRedefine/>
    <w:qFormat/>
    <w:rPr>
      <w:sz w:val="18"/>
      <w:szCs w:val="18"/>
    </w:rPr>
  </w:style>
  <w:style w:type="paragraph" w:styleId="Footer">
    <w:name w:val="footer"/>
    <w:basedOn w:val="Normal"/>
    <w:autoRedefine/>
    <w:qFormat/>
    <w:pPr>
      <w:tabs>
        <w:tab w:val="center" w:pos="4153"/>
        <w:tab w:val="right" w:pos="8306"/>
      </w:tabs>
      <w:snapToGrid w:val="0"/>
    </w:pPr>
    <w:rPr>
      <w:sz w:val="18"/>
    </w:rPr>
  </w:style>
  <w:style w:type="paragraph" w:styleId="Header">
    <w:name w:val="header"/>
    <w:basedOn w:val="Normal"/>
    <w:autoRedefine/>
    <w:qFormat/>
    <w:pPr>
      <w:pBdr>
        <w:top w:val="nil"/>
        <w:left w:val="nil"/>
        <w:bottom w:val="nil"/>
        <w:right w:val="nil"/>
      </w:pBdr>
      <w:tabs>
        <w:tab w:val="center" w:pos="4153"/>
        <w:tab w:val="right" w:pos="8306"/>
      </w:tabs>
      <w:snapToGrid w:val="0"/>
      <w:jc w:val="both"/>
    </w:pPr>
    <w:rPr>
      <w:sz w:val="18"/>
    </w:rPr>
  </w:style>
  <w:style w:type="paragraph" w:styleId="NormalWeb">
    <w:name w:val="Normal (Web)"/>
    <w:basedOn w:val="Normal"/>
    <w:link w:val="a"/>
    <w:autoRedefine/>
    <w:uiPriority w:val="99"/>
    <w:qFormat/>
  </w:style>
  <w:style w:type="paragraph" w:styleId="CommentSubject">
    <w:name w:val="annotation subject"/>
    <w:basedOn w:val="CommentText"/>
    <w:next w:val="CommentText"/>
    <w:link w:val="a3"/>
    <w:autoRedefine/>
    <w:qFormat/>
    <w:rPr>
      <w:b/>
      <w:bCs/>
    </w:rPr>
  </w:style>
  <w:style w:type="paragraph" w:styleId="BodyTextFirstIndent2">
    <w:name w:val="Body Text First Indent 2"/>
    <w:basedOn w:val="BodyTextIndent"/>
    <w:autoRedefine/>
    <w:uiPriority w:val="99"/>
    <w:qFormat/>
    <w:pPr>
      <w:ind w:firstLine="420" w:firstLineChars="200"/>
    </w:pPr>
  </w:style>
  <w:style w:type="table" w:styleId="TableGrid">
    <w:name w:val="Table Grid"/>
    <w:basedOn w:val="TableNormal"/>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autoRedefine/>
    <w:qFormat/>
    <w:rPr>
      <w:b/>
    </w:rPr>
  </w:style>
  <w:style w:type="character" w:styleId="Hyperlink">
    <w:name w:val="Hyperlink"/>
    <w:autoRedefine/>
    <w:uiPriority w:val="99"/>
    <w:qFormat/>
    <w:rPr>
      <w:color w:val="0000FF"/>
      <w:u w:val="single"/>
    </w:rPr>
  </w:style>
  <w:style w:type="character" w:styleId="CommentReference">
    <w:name w:val="annotation reference"/>
    <w:basedOn w:val="DefaultParagraphFont"/>
    <w:autoRedefine/>
    <w:qFormat/>
    <w:rPr>
      <w:sz w:val="21"/>
      <w:szCs w:val="21"/>
    </w:rPr>
  </w:style>
  <w:style w:type="character" w:customStyle="1" w:styleId="a">
    <w:name w:val="普通(网站) 字符"/>
    <w:link w:val="NormalWeb"/>
    <w:autoRedefine/>
    <w:qFormat/>
    <w:rPr>
      <w:kern w:val="2"/>
      <w:sz w:val="24"/>
      <w:szCs w:val="24"/>
    </w:rPr>
  </w:style>
  <w:style w:type="paragraph" w:customStyle="1" w:styleId="TableParagraph">
    <w:name w:val="Table Paragraph"/>
    <w:basedOn w:val="Normal"/>
    <w:autoRedefine/>
    <w:uiPriority w:val="1"/>
    <w:qFormat/>
    <w:rPr>
      <w:rFonts w:ascii="宋体" w:hAnsi="宋体" w:cs="宋体"/>
      <w:lang w:val="zh-CN" w:bidi="zh-CN"/>
    </w:rPr>
  </w:style>
  <w:style w:type="character" w:customStyle="1" w:styleId="a0">
    <w:name w:val="正文缩进 字符"/>
    <w:link w:val="NormalIndent"/>
    <w:autoRedefine/>
    <w:qFormat/>
    <w:rPr>
      <w:rFonts w:eastAsia="宋体"/>
      <w:kern w:val="2"/>
      <w:sz w:val="21"/>
      <w:lang w:val="en-US" w:eastAsia="zh-CN" w:bidi="ar-SA"/>
    </w:rPr>
  </w:style>
  <w:style w:type="character" w:customStyle="1" w:styleId="4">
    <w:name w:val="标题 4 字符"/>
    <w:link w:val="Heading4"/>
    <w:autoRedefine/>
    <w:uiPriority w:val="9"/>
    <w:qFormat/>
    <w:rPr>
      <w:rFonts w:ascii="Arial" w:eastAsia="黑体" w:hAnsi="Arial"/>
      <w:b/>
      <w:bCs/>
      <w:kern w:val="2"/>
      <w:sz w:val="28"/>
      <w:szCs w:val="28"/>
      <w:lang w:val="en-US" w:eastAsia="zh-CN" w:bidi="ar-SA"/>
    </w:rPr>
  </w:style>
  <w:style w:type="character" w:customStyle="1" w:styleId="3">
    <w:name w:val="标题 3 字符"/>
    <w:link w:val="Heading3"/>
    <w:autoRedefine/>
    <w:uiPriority w:val="9"/>
    <w:qFormat/>
    <w:rPr>
      <w:rFonts w:ascii="宋体" w:eastAsia="宋体" w:hAnsi="宋体"/>
      <w:b/>
      <w:bCs/>
      <w:kern w:val="2"/>
      <w:sz w:val="28"/>
      <w:szCs w:val="32"/>
      <w:lang w:val="en-US" w:eastAsia="zh-CN" w:bidi="ar-SA"/>
    </w:rPr>
  </w:style>
  <w:style w:type="character" w:customStyle="1" w:styleId="1">
    <w:name w:val="标题 1 字符"/>
    <w:link w:val="Heading1"/>
    <w:autoRedefine/>
    <w:qFormat/>
    <w:rPr>
      <w:rFonts w:ascii="宋体" w:eastAsia="黑体" w:hAnsi="宋体"/>
      <w:b/>
      <w:bCs/>
      <w:kern w:val="44"/>
      <w:sz w:val="28"/>
      <w:szCs w:val="44"/>
      <w:lang w:val="en-US" w:eastAsia="zh-CN" w:bidi="ar-SA"/>
    </w:rPr>
  </w:style>
  <w:style w:type="character" w:customStyle="1" w:styleId="2">
    <w:name w:val="标题 2 字符"/>
    <w:link w:val="Heading2"/>
    <w:autoRedefine/>
    <w:qFormat/>
    <w:rPr>
      <w:rFonts w:ascii="宋体" w:eastAsia="宋体" w:hAnsi="宋体"/>
      <w:b/>
      <w:bCs/>
      <w:sz w:val="24"/>
      <w:lang w:val="en-US" w:eastAsia="zh-CN" w:bidi="ar-SA"/>
    </w:rPr>
  </w:style>
  <w:style w:type="character" w:customStyle="1" w:styleId="a1">
    <w:name w:val="批注文字 字符"/>
    <w:basedOn w:val="DefaultParagraphFont"/>
    <w:link w:val="CommentText"/>
    <w:autoRedefine/>
    <w:qFormat/>
    <w:rPr>
      <w:rFonts w:eastAsia="Times New Roman"/>
      <w:sz w:val="24"/>
      <w:szCs w:val="24"/>
    </w:rPr>
  </w:style>
  <w:style w:type="character" w:customStyle="1" w:styleId="a2">
    <w:name w:val="正文文本 字符"/>
    <w:link w:val="BodyText"/>
    <w:autoRedefine/>
    <w:qFormat/>
    <w:rPr>
      <w:rFonts w:eastAsia="宋体"/>
      <w:b/>
      <w:bCs/>
      <w:kern w:val="2"/>
      <w:sz w:val="24"/>
      <w:szCs w:val="24"/>
      <w:lang w:val="en-US" w:eastAsia="zh-CN" w:bidi="ar-SA"/>
    </w:rPr>
  </w:style>
  <w:style w:type="character" w:customStyle="1" w:styleId="3Char">
    <w:name w:val="标题 3 Char"/>
    <w:autoRedefine/>
    <w:qFormat/>
    <w:rPr>
      <w:rFonts w:ascii="黑体" w:eastAsia="黑体"/>
      <w:bCs/>
      <w:sz w:val="30"/>
    </w:rPr>
  </w:style>
  <w:style w:type="paragraph" w:customStyle="1" w:styleId="10">
    <w:name w:val="正文1"/>
    <w:basedOn w:val="Normal"/>
    <w:autoRedefine/>
    <w:qFormat/>
    <w:pPr>
      <w:tabs>
        <w:tab w:val="left" w:pos="4"/>
      </w:tabs>
    </w:pPr>
    <w:rPr>
      <w:rFonts w:ascii="宋体" w:hAnsi="宋体"/>
      <w:sz w:val="18"/>
    </w:rPr>
  </w:style>
  <w:style w:type="paragraph" w:customStyle="1" w:styleId="-111">
    <w:name w:val="彩色列表 - 强调文字颜色 111"/>
    <w:basedOn w:val="Normal"/>
    <w:autoRedefine/>
    <w:qFormat/>
    <w:pPr>
      <w:ind w:firstLine="420" w:firstLineChars="200"/>
    </w:pPr>
  </w:style>
  <w:style w:type="character" w:customStyle="1" w:styleId="a3">
    <w:name w:val="批注主题 字符"/>
    <w:basedOn w:val="a1"/>
    <w:link w:val="CommentSubject"/>
    <w:autoRedefine/>
    <w:qFormat/>
    <w:rPr>
      <w:rFonts w:eastAsia="Times New Roman"/>
      <w:b/>
      <w:bCs/>
      <w:sz w:val="24"/>
      <w:szCs w:val="24"/>
    </w:rPr>
  </w:style>
  <w:style w:type="paragraph" w:customStyle="1" w:styleId="Revision">
    <w:name w:val="Revision"/>
    <w:autoRedefine/>
    <w:hidden/>
    <w:uiPriority w:val="99"/>
    <w:unhideWhenUsed/>
    <w:qFormat/>
    <w:rPr>
      <w:rFonts w:ascii="Times New Roman" w:eastAsia="Times New Roman" w:hAnsi="Times New Roman" w:cs="Times New Roman"/>
      <w:sz w:val="24"/>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footer" Target="footer1.xml"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fontTable.xml.rels>&#65279;<?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76</Pages>
  <Words>7011</Words>
  <Characters>39966</Characters>
  <Application>Microsoft Office Word</Application>
  <DocSecurity>0</DocSecurity>
  <Lines>333</Lines>
  <Paragraphs>93</Paragraphs>
  <ScaleCrop>false</ScaleCrop>
  <Company/>
  <LinksUpToDate>false</LinksUpToDate>
  <CharactersWithSpaces>46884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lenovo01</dc:creator>
  <cp:lastModifiedBy>Q</cp:lastModifiedBy>
  <cp:revision>4</cp:revision>
  <dcterms:created xsi:type="dcterms:W3CDTF">2022-05-20T08:55:00Z</dcterms:created>
  <dcterms:modified xsi:type="dcterms:W3CDTF">2024-04-18T07:12:59Z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E43FC3AC8AC84063AF133BA381D95524_13</vt:lpwstr>
  </property>
  <property fmtid="{D5CDD505-2E9C-101B-9397-08002B2CF9AE}" pid="3" name="KSOProductBuildVer">
    <vt:lpwstr>2052-12.1.0.16729</vt:lpwstr>
  </property>
</Properties>
</file>