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4620">
      <w:pPr>
        <w:widowControl/>
        <w:spacing w:line="560" w:lineRule="exact"/>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lang w:val="en-US" w:eastAsia="zh-CN"/>
        </w:rPr>
        <w:t>污泥调理罐</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污泥调理罐</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3"/>
        <w:spacing w:line="560" w:lineRule="exact"/>
        <w:ind w:firstLine="480" w:firstLineChars="200"/>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3"/>
        <w:spacing w:line="560" w:lineRule="exact"/>
        <w:ind w:firstLine="480" w:firstLineChars="200"/>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污泥调理罐</w:t>
      </w:r>
      <w:r>
        <w:rPr>
          <w:rFonts w:hint="eastAsia" w:cs="方正仿宋_GB2312" w:asciiTheme="minorEastAsia" w:hAnsiTheme="minorEastAsia" w:eastAsiaTheme="minorEastAsia"/>
          <w:sz w:val="24"/>
          <w:szCs w:val="24"/>
        </w:rPr>
        <w:t>采购项目</w:t>
      </w:r>
    </w:p>
    <w:p w14:paraId="37D69DA7">
      <w:pPr>
        <w:pStyle w:val="3"/>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480"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p>
    <w:p w14:paraId="5EA14328">
      <w:pPr>
        <w:widowControl/>
        <w:snapToGrid/>
        <w:spacing w:line="560" w:lineRule="exact"/>
        <w:ind w:firstLine="480" w:firstLineChars="200"/>
        <w:jc w:val="left"/>
        <w:rPr>
          <w:rFonts w:hint="eastAsia" w:cs="方正仿宋_GB2312" w:asciiTheme="minorEastAsia" w:hAnsiTheme="minorEastAsia" w:eastAsiaTheme="minorEastAsia"/>
          <w:b w:val="0"/>
          <w:bCs w:val="0"/>
          <w:sz w:val="24"/>
          <w:szCs w:val="24"/>
          <w:lang w:val="en-US" w:eastAsia="zh-CN" w:bidi="ar"/>
        </w:rPr>
      </w:pPr>
      <w:r>
        <w:rPr>
          <w:rFonts w:hint="eastAsia" w:cs="方正仿宋_GB2312" w:asciiTheme="minorEastAsia" w:hAnsiTheme="minorEastAsia" w:eastAsiaTheme="minorEastAsia"/>
          <w:b w:val="0"/>
          <w:bCs w:val="0"/>
          <w:sz w:val="24"/>
          <w:szCs w:val="24"/>
          <w:lang w:val="en-US" w:eastAsia="zh-CN" w:bidi="ar"/>
        </w:rPr>
        <w:t>2.</w:t>
      </w:r>
      <w:r>
        <w:rPr>
          <w:rFonts w:hint="eastAsia" w:cs="方正仿宋_GB2312" w:asciiTheme="minorEastAsia" w:hAnsiTheme="minorEastAsia" w:eastAsiaTheme="minorEastAsia"/>
          <w:sz w:val="24"/>
          <w:szCs w:val="24"/>
          <w:lang w:val="en-US" w:eastAsia="zh-CN" w:bidi="ar"/>
        </w:rPr>
        <w:t>投标人须为设备的制造商或合法代理商</w:t>
      </w:r>
      <w:r>
        <w:rPr>
          <w:rFonts w:hint="eastAsia" w:cs="方正仿宋_GB2312" w:asciiTheme="minorEastAsia" w:hAnsiTheme="minorEastAsia" w:eastAsiaTheme="minorEastAsia"/>
          <w:sz w:val="24"/>
          <w:szCs w:val="24"/>
          <w:u w:val="none"/>
          <w:lang w:val="en-US" w:eastAsia="zh-CN" w:bidi="ar"/>
        </w:rPr>
        <w:t>，</w:t>
      </w:r>
      <w:r>
        <w:rPr>
          <w:rFonts w:hint="eastAsia" w:cs="方正仿宋_GB2312" w:asciiTheme="minorEastAsia" w:hAnsiTheme="minorEastAsia" w:eastAsiaTheme="minorEastAsia"/>
          <w:b w:val="0"/>
          <w:sz w:val="24"/>
          <w:szCs w:val="24"/>
          <w:u w:val="none"/>
          <w:lang w:bidi="ar"/>
        </w:rPr>
        <w:t>投标人为代理商的，必须提供</w:t>
      </w:r>
      <w:r>
        <w:rPr>
          <w:rFonts w:hint="eastAsia" w:cs="方正仿宋_GB2312" w:asciiTheme="minorEastAsia" w:hAnsiTheme="minorEastAsia" w:eastAsiaTheme="minorEastAsia"/>
          <w:b w:val="0"/>
          <w:sz w:val="24"/>
          <w:szCs w:val="24"/>
          <w:u w:val="none"/>
          <w:lang w:val="en-US" w:eastAsia="zh-CN" w:bidi="ar"/>
        </w:rPr>
        <w:t>合法有效的代理证书或</w:t>
      </w:r>
      <w:r>
        <w:rPr>
          <w:rFonts w:hint="eastAsia" w:cs="方正仿宋_GB2312" w:asciiTheme="minorEastAsia" w:hAnsiTheme="minorEastAsia" w:eastAsiaTheme="minorEastAsia"/>
          <w:b w:val="0"/>
          <w:sz w:val="24"/>
          <w:szCs w:val="24"/>
          <w:u w:val="none"/>
          <w:lang w:bidi="ar"/>
        </w:rPr>
        <w:t>制造商</w:t>
      </w:r>
      <w:r>
        <w:rPr>
          <w:rFonts w:hint="eastAsia" w:cs="方正仿宋_GB2312" w:asciiTheme="minorEastAsia" w:hAnsiTheme="minorEastAsia" w:eastAsiaTheme="minorEastAsia"/>
          <w:b w:val="0"/>
          <w:sz w:val="24"/>
          <w:szCs w:val="24"/>
          <w:u w:val="none"/>
          <w:lang w:eastAsia="zh-CN" w:bidi="ar"/>
        </w:rPr>
        <w:t>（</w:t>
      </w:r>
      <w:r>
        <w:rPr>
          <w:rFonts w:hint="eastAsia" w:cs="方正仿宋_GB2312" w:asciiTheme="minorEastAsia" w:hAnsiTheme="minorEastAsia" w:eastAsiaTheme="minorEastAsia"/>
          <w:b w:val="0"/>
          <w:sz w:val="24"/>
          <w:szCs w:val="24"/>
          <w:u w:val="none"/>
          <w:lang w:bidi="ar"/>
        </w:rPr>
        <w:t>分公司、办事处授权无效</w:t>
      </w:r>
      <w:r>
        <w:rPr>
          <w:rFonts w:hint="eastAsia" w:cs="方正仿宋_GB2312" w:asciiTheme="minorEastAsia" w:hAnsiTheme="minorEastAsia" w:eastAsiaTheme="minorEastAsia"/>
          <w:b w:val="0"/>
          <w:sz w:val="24"/>
          <w:szCs w:val="24"/>
          <w:u w:val="none"/>
          <w:lang w:eastAsia="zh-CN" w:bidi="ar"/>
        </w:rPr>
        <w:t>）</w:t>
      </w:r>
      <w:r>
        <w:rPr>
          <w:rFonts w:hint="eastAsia" w:cs="方正仿宋_GB2312" w:asciiTheme="minorEastAsia" w:hAnsiTheme="minorEastAsia" w:eastAsiaTheme="minorEastAsia"/>
          <w:b w:val="0"/>
          <w:sz w:val="24"/>
          <w:szCs w:val="24"/>
          <w:u w:val="none"/>
          <w:lang w:bidi="ar"/>
        </w:rPr>
        <w:t>对本次投标项目出具的合法有效的授权书</w:t>
      </w:r>
      <w:r>
        <w:rPr>
          <w:rFonts w:hint="eastAsia" w:cs="方正仿宋_GB2312" w:asciiTheme="minorEastAsia" w:hAnsiTheme="minorEastAsia" w:eastAsiaTheme="minorEastAsia"/>
          <w:sz w:val="24"/>
          <w:szCs w:val="24"/>
          <w:lang w:val="en-US" w:eastAsia="zh-CN" w:bidi="ar"/>
        </w:rPr>
        <w:t>（提供制造商声明或授权书、加盖公章）。</w:t>
      </w:r>
    </w:p>
    <w:p w14:paraId="1BC8E244">
      <w:pPr>
        <w:widowControl/>
        <w:snapToGrid/>
        <w:spacing w:line="560" w:lineRule="exact"/>
        <w:ind w:firstLine="480"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3.</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3"/>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pStyle w:val="12"/>
        <w:widowControl w:val="0"/>
        <w:snapToGrid w:val="0"/>
        <w:spacing w:after="0" w:line="560" w:lineRule="exact"/>
        <w:ind w:left="0" w:leftChars="0" w:firstLine="480"/>
        <w:rPr>
          <w:rFonts w:hint="eastAsia" w:cs="方正仿宋_GB2312" w:asciiTheme="minorEastAsia" w:hAnsiTheme="minorEastAsia" w:eastAsiaTheme="minorEastAsia"/>
          <w:color w:val="auto"/>
          <w:sz w:val="24"/>
          <w:szCs w:val="24"/>
          <w:highlight w:val="none"/>
        </w:rPr>
      </w:pPr>
      <w:r>
        <w:rPr>
          <w:rFonts w:hint="eastAsia" w:cs="方正仿宋_GB2312" w:asciiTheme="minorEastAsia" w:hAnsiTheme="minorEastAsia" w:eastAsiaTheme="minorEastAsia"/>
          <w:color w:val="auto"/>
          <w:kern w:val="2"/>
          <w:sz w:val="24"/>
          <w:szCs w:val="24"/>
          <w:highlight w:val="none"/>
          <w:lang w:val="en-US" w:eastAsia="zh-CN" w:bidi="ar-SA"/>
        </w:rPr>
        <w:t>本项目采购的范围：</w:t>
      </w:r>
      <w:r>
        <w:rPr>
          <w:rFonts w:hint="eastAsia" w:cs="方正仿宋_GB2312" w:asciiTheme="minorEastAsia" w:hAnsiTheme="minorEastAsia" w:eastAsiaTheme="minorEastAsia"/>
          <w:color w:val="auto"/>
          <w:sz w:val="24"/>
          <w:szCs w:val="24"/>
          <w:highlight w:val="none"/>
          <w:lang w:val="en-US" w:eastAsia="zh-CN"/>
        </w:rPr>
        <w:t>污泥调理罐及</w:t>
      </w:r>
      <w:r>
        <w:rPr>
          <w:rFonts w:hint="eastAsia" w:cs="方正仿宋_GB2312" w:asciiTheme="minorEastAsia" w:hAnsiTheme="minorEastAsia" w:eastAsiaTheme="minorEastAsia"/>
          <w:color w:val="auto"/>
          <w:kern w:val="2"/>
          <w:sz w:val="24"/>
          <w:szCs w:val="24"/>
          <w:highlight w:val="none"/>
          <w:lang w:val="en-US" w:eastAsia="zh-CN" w:bidi="ar-SA"/>
        </w:rPr>
        <w:t>安装附件、专用工具的供货、运输、卸货、安装、调试并配合试运行、使用培训、质保维护等内容</w:t>
      </w:r>
      <w:r>
        <w:rPr>
          <w:rFonts w:hint="eastAsia" w:cs="方正仿宋_GB2312" w:asciiTheme="minorEastAsia" w:hAnsiTheme="minorEastAsia" w:eastAsiaTheme="minorEastAsia"/>
          <w:color w:val="auto"/>
          <w:sz w:val="24"/>
          <w:szCs w:val="24"/>
          <w:highlight w:val="none"/>
        </w:rPr>
        <w:t>。</w:t>
      </w:r>
    </w:p>
    <w:p w14:paraId="251C3A42">
      <w:pPr>
        <w:pStyle w:val="3"/>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供货期要求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sz w:val="24"/>
          <w:szCs w:val="24"/>
        </w:rPr>
        <w:t>自中标</w:t>
      </w:r>
      <w:r>
        <w:rPr>
          <w:rFonts w:hint="eastAsia" w:cs="方正仿宋_GB2312" w:asciiTheme="minorEastAsia" w:hAnsiTheme="minorEastAsia" w:eastAsiaTheme="minorEastAsia"/>
          <w:sz w:val="24"/>
          <w:szCs w:val="24"/>
          <w:lang w:val="en-US" w:eastAsia="zh-CN"/>
        </w:rPr>
        <w:t>结果公告发布之日</w:t>
      </w:r>
      <w:r>
        <w:rPr>
          <w:rFonts w:hint="eastAsia" w:cs="方正仿宋_GB2312" w:asciiTheme="minorEastAsia" w:hAnsiTheme="minorEastAsia" w:eastAsiaTheme="minorEastAsia"/>
          <w:sz w:val="24"/>
          <w:szCs w:val="24"/>
        </w:rPr>
        <w:t>起，</w:t>
      </w:r>
      <w:r>
        <w:rPr>
          <w:rFonts w:hint="eastAsia" w:cs="方正仿宋_GB2312" w:asciiTheme="minorEastAsia" w:hAnsiTheme="minorEastAsia" w:eastAsiaTheme="minorEastAsia"/>
          <w:sz w:val="24"/>
          <w:szCs w:val="24"/>
          <w:lang w:val="en-US" w:eastAsia="zh-CN"/>
        </w:rPr>
        <w:t>投标人10</w:t>
      </w:r>
      <w:r>
        <w:rPr>
          <w:rFonts w:hint="eastAsia" w:cs="方正仿宋_GB2312" w:asciiTheme="minorEastAsia" w:hAnsiTheme="minorEastAsia" w:eastAsiaTheme="minorEastAsia"/>
          <w:sz w:val="24"/>
          <w:szCs w:val="24"/>
        </w:rPr>
        <w:t>个日历天内完成设备选型并</w:t>
      </w:r>
      <w:r>
        <w:rPr>
          <w:rFonts w:hint="eastAsia" w:cs="方正仿宋_GB2312" w:asciiTheme="minorEastAsia" w:hAnsiTheme="minorEastAsia" w:eastAsiaTheme="minorEastAsia"/>
          <w:sz w:val="24"/>
          <w:szCs w:val="24"/>
          <w:lang w:val="en-US" w:eastAsia="zh-CN"/>
        </w:rPr>
        <w:t>向招标人</w:t>
      </w:r>
      <w:r>
        <w:rPr>
          <w:rFonts w:hint="eastAsia" w:cs="方正仿宋_GB2312" w:asciiTheme="minorEastAsia" w:hAnsiTheme="minorEastAsia" w:eastAsiaTheme="minorEastAsia"/>
          <w:sz w:val="24"/>
          <w:szCs w:val="24"/>
        </w:rPr>
        <w:t>提供设备结构尺寸图</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外形尺寸图等</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相关资料以满足招标方设计条件为准</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sz w:val="24"/>
          <w:szCs w:val="24"/>
          <w:lang w:val="en-US" w:eastAsia="zh-CN"/>
        </w:rPr>
        <w:t>60个日历日内</w:t>
      </w:r>
      <w:r>
        <w:rPr>
          <w:rFonts w:hint="eastAsia" w:cs="方正仿宋_GB2312" w:asciiTheme="minorEastAsia" w:hAnsiTheme="minorEastAsia" w:eastAsiaTheme="minorEastAsia"/>
          <w:sz w:val="24"/>
          <w:szCs w:val="24"/>
        </w:rPr>
        <w:t>合同清单内所有货物抵达现场并具备安装条件，按照招标人项目进度需求完成供货、现场安装、调试与</w:t>
      </w:r>
      <w:r>
        <w:rPr>
          <w:rFonts w:hint="eastAsia" w:cs="方正仿宋_GB2312" w:asciiTheme="minorEastAsia" w:hAnsiTheme="minorEastAsia" w:eastAsiaTheme="minorEastAsia"/>
          <w:sz w:val="24"/>
          <w:szCs w:val="24"/>
          <w:lang w:val="en-US" w:eastAsia="zh-CN"/>
        </w:rPr>
        <w:t>配合</w:t>
      </w:r>
      <w:r>
        <w:rPr>
          <w:rFonts w:hint="eastAsia" w:cs="方正仿宋_GB2312" w:asciiTheme="minorEastAsia" w:hAnsiTheme="minorEastAsia" w:eastAsiaTheme="minorEastAsia"/>
          <w:sz w:val="24"/>
          <w:szCs w:val="24"/>
        </w:rPr>
        <w:t>试运行</w:t>
      </w:r>
      <w:r>
        <w:rPr>
          <w:rFonts w:hint="eastAsia" w:cs="方正仿宋_GB2312" w:asciiTheme="minorEastAsia" w:hAnsiTheme="minorEastAsia" w:eastAsiaTheme="minorEastAsia"/>
          <w:sz w:val="24"/>
          <w:szCs w:val="24"/>
          <w:lang w:val="en-US" w:eastAsia="zh-CN"/>
        </w:rPr>
        <w:t>。</w:t>
      </w:r>
      <w:r>
        <w:rPr>
          <w:rFonts w:hint="eastAsia" w:cs="方正仿宋_GB2312" w:asciiTheme="minorEastAsia" w:hAnsiTheme="minorEastAsia" w:eastAsiaTheme="minorEastAsia"/>
          <w:sz w:val="24"/>
          <w:szCs w:val="24"/>
        </w:rPr>
        <w:t>（若</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另行通知其他进场时间，则以</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通知为准</w:t>
      </w:r>
      <w:r>
        <w:rPr>
          <w:rFonts w:hint="eastAsia" w:cs="方正仿宋_GB2312" w:asciiTheme="minorEastAsia" w:hAnsiTheme="minorEastAsia" w:eastAsiaTheme="minorEastAsia"/>
          <w:sz w:val="24"/>
          <w:szCs w:val="24"/>
          <w:lang w:val="en-US" w:eastAsia="zh-CN"/>
        </w:rPr>
        <w:t>；</w:t>
      </w:r>
      <w:r>
        <w:rPr>
          <w:rFonts w:hint="eastAsia" w:cs="方正仿宋_GB2312" w:asciiTheme="minorEastAsia" w:hAnsiTheme="minorEastAsia" w:eastAsiaTheme="minorEastAsia"/>
          <w:sz w:val="24"/>
          <w:szCs w:val="24"/>
        </w:rPr>
        <w:t>若</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通</w:t>
      </w:r>
      <w:r>
        <w:rPr>
          <w:rFonts w:hint="eastAsia" w:cs="方正仿宋_GB2312" w:asciiTheme="minorEastAsia" w:hAnsiTheme="minorEastAsia" w:eastAsiaTheme="minorEastAsia"/>
          <w:sz w:val="24"/>
          <w:szCs w:val="24"/>
          <w:lang w:eastAsia="zh-CN"/>
        </w:rPr>
        <w:t>知的</w:t>
      </w:r>
      <w:r>
        <w:rPr>
          <w:rFonts w:hint="eastAsia" w:cs="方正仿宋_GB2312" w:asciiTheme="minorEastAsia" w:hAnsiTheme="minorEastAsia" w:eastAsiaTheme="minorEastAsia"/>
          <w:sz w:val="24"/>
          <w:szCs w:val="24"/>
        </w:rPr>
        <w:t>交货日期晚于本款约定时间，</w:t>
      </w:r>
      <w:r>
        <w:rPr>
          <w:rFonts w:hint="eastAsia" w:cs="方正仿宋_GB2312" w:asciiTheme="minorEastAsia" w:hAnsiTheme="minorEastAsia" w:eastAsiaTheme="minorEastAsia"/>
          <w:sz w:val="24"/>
          <w:szCs w:val="24"/>
          <w:lang w:val="en-US" w:eastAsia="zh-CN"/>
        </w:rPr>
        <w:t>投标人</w:t>
      </w:r>
      <w:r>
        <w:rPr>
          <w:rFonts w:hint="eastAsia" w:cs="方正仿宋_GB2312" w:asciiTheme="minorEastAsia" w:hAnsiTheme="minorEastAsia" w:eastAsiaTheme="minorEastAsia"/>
          <w:sz w:val="24"/>
          <w:szCs w:val="24"/>
        </w:rPr>
        <w:t>必须无条件按</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指定的时间将所有合同设备送达</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指定地点，不得以此为由向</w:t>
      </w:r>
      <w:r>
        <w:rPr>
          <w:rFonts w:hint="eastAsia" w:cs="方正仿宋_GB2312" w:asciiTheme="minorEastAsia" w:hAnsiTheme="minorEastAsia" w:eastAsiaTheme="minorEastAsia"/>
          <w:sz w:val="24"/>
          <w:szCs w:val="24"/>
          <w:lang w:val="en-US" w:eastAsia="zh-CN"/>
        </w:rPr>
        <w:t>招标人</w:t>
      </w:r>
      <w:r>
        <w:rPr>
          <w:rFonts w:hint="eastAsia" w:cs="方正仿宋_GB2312" w:asciiTheme="minorEastAsia" w:hAnsiTheme="minorEastAsia" w:eastAsiaTheme="minorEastAsia"/>
          <w:sz w:val="24"/>
          <w:szCs w:val="24"/>
        </w:rPr>
        <w:t>索赔任何延期供货费用）。</w:t>
      </w:r>
    </w:p>
    <w:p w14:paraId="4F9340C8">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70C14215">
      <w:pPr>
        <w:pStyle w:val="12"/>
        <w:snapToGrid w:val="0"/>
        <w:spacing w:after="0" w:line="560" w:lineRule="exact"/>
        <w:ind w:left="0" w:leftChars="0" w:firstLine="480"/>
        <w:textAlignment w:val="baseline"/>
        <w:rPr>
          <w:rFonts w:hint="eastAsia" w:cs="方正仿宋_GB2312" w:asciiTheme="minorEastAsia" w:hAnsiTheme="minorEastAsia" w:eastAsiaTheme="minorEastAsia"/>
          <w:sz w:val="24"/>
          <w:szCs w:val="24"/>
        </w:rPr>
      </w:pPr>
      <w:bookmarkStart w:id="2" w:name="_Hlk127981952"/>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预付款：合同签订后，在收到中标人预付款发票和请款资料后，支付合同金额的30%作预付款；</w:t>
      </w:r>
    </w:p>
    <w:p w14:paraId="5A08ADE3">
      <w:pPr>
        <w:pStyle w:val="12"/>
        <w:snapToGrid w:val="0"/>
        <w:spacing w:after="0" w:line="560" w:lineRule="exact"/>
        <w:ind w:left="0" w:leftChars="0" w:firstLine="480"/>
        <w:textAlignment w:val="baseline"/>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（2）到货款：货到现场验收合格后，支付合同金额的50%作到货款；</w:t>
      </w:r>
    </w:p>
    <w:p w14:paraId="3D3C5B57">
      <w:pPr>
        <w:pStyle w:val="12"/>
        <w:snapToGrid w:val="0"/>
        <w:spacing w:after="0" w:line="560" w:lineRule="exact"/>
        <w:ind w:left="0" w:leftChars="0" w:firstLine="480"/>
        <w:textAlignment w:val="baseline"/>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（3）</w:t>
      </w:r>
      <w:r>
        <w:rPr>
          <w:rFonts w:hint="eastAsia" w:cs="方正仿宋_GB2312" w:asciiTheme="minorEastAsia" w:hAnsiTheme="minorEastAsia" w:eastAsiaTheme="minorEastAsia"/>
          <w:sz w:val="24"/>
          <w:szCs w:val="24"/>
          <w:lang w:val="en-US" w:eastAsia="zh-CN"/>
        </w:rPr>
        <w:t>验收</w:t>
      </w:r>
      <w:r>
        <w:rPr>
          <w:rFonts w:hint="eastAsia" w:cs="方正仿宋_GB2312" w:asciiTheme="minorEastAsia" w:hAnsiTheme="minorEastAsia" w:eastAsiaTheme="minorEastAsia"/>
          <w:sz w:val="24"/>
          <w:szCs w:val="24"/>
        </w:rPr>
        <w:t>款：安装、调试完毕，并经联合调试验收合格，双方签署验收证书后，支付合同金额的15%作验收款；</w:t>
      </w:r>
    </w:p>
    <w:p w14:paraId="2C9A5412">
      <w:pPr>
        <w:pStyle w:val="12"/>
        <w:snapToGrid w:val="0"/>
        <w:spacing w:after="0" w:line="560" w:lineRule="exact"/>
        <w:ind w:left="0" w:leftChars="0" w:firstLine="480"/>
        <w:textAlignment w:val="baseline"/>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（4）质保金：本合同结算价的5%作为质保金，待质保期满且无任何质量争议后无息退还。</w:t>
      </w:r>
    </w:p>
    <w:p w14:paraId="1B182796">
      <w:pPr>
        <w:pStyle w:val="12"/>
        <w:snapToGrid w:val="0"/>
        <w:spacing w:after="0" w:line="560" w:lineRule="exact"/>
        <w:ind w:left="0" w:leftChars="0" w:firstLine="480"/>
        <w:rPr>
          <w:rFonts w:hint="eastAsia" w:cs="方正仿宋_GB2312" w:asciiTheme="minorEastAsia" w:hAnsiTheme="minorEastAsia" w:eastAsiaTheme="minorEastAsia"/>
          <w:b w:val="0"/>
          <w:sz w:val="24"/>
          <w:szCs w:val="24"/>
          <w:lang w:eastAsia="zh-CN"/>
        </w:rPr>
      </w:pPr>
      <w:r>
        <w:rPr>
          <w:rFonts w:hint="eastAsia" w:cs="方正仿宋_GB2312" w:asciiTheme="minorEastAsia" w:hAnsiTheme="minorEastAsia" w:eastAsiaTheme="minorEastAsia"/>
          <w:sz w:val="24"/>
          <w:szCs w:val="24"/>
        </w:rPr>
        <w:t>（5）上述每笔款项支付前，中标人应向采购人提供符合采购人财务制度的正式合法、等额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r>
        <w:rPr>
          <w:rFonts w:hint="eastAsia" w:cs="方正仿宋_GB2312" w:asciiTheme="minorEastAsia" w:hAnsiTheme="minorEastAsia" w:eastAsiaTheme="minorEastAsia"/>
          <w:sz w:val="24"/>
          <w:szCs w:val="24"/>
          <w:lang w:eastAsia="zh-CN"/>
        </w:rPr>
        <w:t>。</w:t>
      </w:r>
      <w:bookmarkEnd w:id="2"/>
    </w:p>
    <w:p w14:paraId="55E4ECC7">
      <w:pPr>
        <w:pStyle w:val="12"/>
        <w:snapToGrid w:val="0"/>
        <w:spacing w:after="0"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0B29A641">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bookmarkStart w:id="3" w:name="_Hlk128381732"/>
      <w:r>
        <w:rPr>
          <w:rFonts w:hint="eastAsia" w:ascii="宋体" w:hAnsi="宋体" w:eastAsia="宋体" w:cs="宋体"/>
          <w:b w:val="0"/>
          <w:bCs w:val="0"/>
          <w:strike w:val="0"/>
          <w:dstrike w:val="0"/>
          <w:kern w:val="2"/>
          <w:sz w:val="24"/>
          <w:szCs w:val="24"/>
          <w:highlight w:val="none"/>
          <w:lang w:val="en-US" w:eastAsia="zh-CN"/>
        </w:rPr>
        <w:t>（1）</w:t>
      </w:r>
      <w:r>
        <w:rPr>
          <w:rFonts w:hint="eastAsia" w:ascii="宋体" w:hAnsi="宋体" w:eastAsia="宋体" w:cs="宋体"/>
          <w:sz w:val="24"/>
          <w:szCs w:val="24"/>
          <w:highlight w:val="none"/>
        </w:rPr>
        <w:t>按照国家相关技术安全标准、生产厂商相关技术标准及招标人相关要求进行验收。</w:t>
      </w:r>
    </w:p>
    <w:p w14:paraId="1E785C5C">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按照招标文件要求及投标文件提供的技术参数验收，必须合格。对强制认证的原件应具备认证标志。</w:t>
      </w:r>
    </w:p>
    <w:p w14:paraId="2D0E5615">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trike w:val="0"/>
          <w:dstrike w:val="0"/>
          <w:kern w:val="2"/>
          <w:sz w:val="24"/>
          <w:szCs w:val="24"/>
          <w:highlight w:val="none"/>
          <w:lang w:val="en-US" w:eastAsia="zh-CN"/>
        </w:rPr>
        <w:t>（3）</w:t>
      </w:r>
      <w:r>
        <w:rPr>
          <w:rFonts w:hint="eastAsia" w:ascii="宋体" w:hAnsi="宋体" w:eastAsia="宋体" w:cs="宋体"/>
          <w:sz w:val="24"/>
          <w:szCs w:val="24"/>
          <w:highlight w:val="none"/>
        </w:rPr>
        <w:t>投标产品运至现场后，由招标人对所供设备的外观、型号、规格、数量、备件及资料等进行验收。</w:t>
      </w:r>
    </w:p>
    <w:p w14:paraId="058FABD6">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trike w:val="0"/>
          <w:dstrike w:val="0"/>
          <w:kern w:val="2"/>
          <w:sz w:val="24"/>
          <w:szCs w:val="24"/>
          <w:highlight w:val="none"/>
          <w:lang w:val="en-US" w:eastAsia="zh-CN"/>
        </w:rPr>
        <w:t>（4）</w:t>
      </w:r>
      <w:r>
        <w:rPr>
          <w:rFonts w:hint="eastAsia" w:ascii="宋体" w:hAnsi="宋体" w:eastAsia="宋体" w:cs="宋体"/>
          <w:sz w:val="24"/>
          <w:szCs w:val="24"/>
          <w:highlight w:val="none"/>
        </w:rPr>
        <w:t>投标人已提交了合同规定的全部货物的资料。包括：捆装清单、产品合格证、使用说明书、出厂试验报告、相关资料。</w:t>
      </w:r>
    </w:p>
    <w:p w14:paraId="6B55F518">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trike w:val="0"/>
          <w:dstrike w:val="0"/>
          <w:kern w:val="2"/>
          <w:sz w:val="24"/>
          <w:szCs w:val="24"/>
          <w:highlight w:val="none"/>
          <w:lang w:val="en-US" w:eastAsia="zh-CN"/>
        </w:rPr>
        <w:t>（5）</w:t>
      </w:r>
      <w:r>
        <w:rPr>
          <w:rFonts w:hint="eastAsia" w:ascii="宋体" w:hAnsi="宋体" w:eastAsia="宋体" w:cs="宋体"/>
          <w:sz w:val="24"/>
          <w:szCs w:val="24"/>
          <w:highlight w:val="none"/>
        </w:rPr>
        <w:t>性能测试和设备调试验收时出现的问题已解决。</w:t>
      </w:r>
    </w:p>
    <w:p w14:paraId="32A23B31">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trike w:val="0"/>
          <w:dstrike w:val="0"/>
          <w:kern w:val="2"/>
          <w:sz w:val="24"/>
          <w:szCs w:val="24"/>
          <w:highlight w:val="none"/>
          <w:lang w:val="en-US" w:eastAsia="zh-CN"/>
        </w:rPr>
        <w:t>（6）</w:t>
      </w:r>
      <w:r>
        <w:rPr>
          <w:rFonts w:hint="eastAsia" w:ascii="宋体" w:hAnsi="宋体" w:eastAsia="宋体" w:cs="宋体"/>
          <w:sz w:val="24"/>
          <w:szCs w:val="24"/>
          <w:highlight w:val="none"/>
        </w:rPr>
        <w:t>合同规定的培训任务已经完成。</w:t>
      </w:r>
    </w:p>
    <w:p w14:paraId="4A3390D8">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trike w:val="0"/>
          <w:dstrike w:val="0"/>
          <w:kern w:val="2"/>
          <w:sz w:val="24"/>
          <w:szCs w:val="24"/>
          <w:highlight w:val="none"/>
          <w:lang w:val="en-US" w:eastAsia="zh-CN"/>
        </w:rPr>
        <w:t>（7）</w:t>
      </w:r>
      <w:r>
        <w:rPr>
          <w:rFonts w:hint="eastAsia" w:ascii="宋体" w:hAnsi="宋体" w:eastAsia="宋体" w:cs="宋体"/>
          <w:sz w:val="24"/>
          <w:szCs w:val="24"/>
          <w:highlight w:val="none"/>
        </w:rPr>
        <w:t>调试过程中使用的专用工具、备品备件已全部转移给买方使用。</w:t>
      </w:r>
    </w:p>
    <w:bookmarkEnd w:id="3"/>
    <w:p w14:paraId="1E2E7585">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lang w:val="en-US" w:eastAsia="zh-CN"/>
        </w:rPr>
      </w:pPr>
      <w:r>
        <w:rPr>
          <w:rFonts w:hint="eastAsia" w:ascii="微软雅黑" w:hAnsi="微软雅黑" w:eastAsia="微软雅黑" w:cs="微软雅黑"/>
          <w:sz w:val="24"/>
          <w:szCs w:val="24"/>
          <w:lang w:val="en-US" w:eastAsia="zh-CN"/>
        </w:rPr>
        <w:t>★</w:t>
      </w:r>
      <w:r>
        <w:rPr>
          <w:rFonts w:hint="eastAsia" w:cs="方正仿宋_GB2312" w:asciiTheme="minorEastAsia" w:hAnsiTheme="minorEastAsia" w:eastAsiaTheme="minorEastAsia"/>
          <w:sz w:val="24"/>
          <w:szCs w:val="24"/>
          <w:lang w:val="en-US" w:eastAsia="zh-CN"/>
        </w:rPr>
        <w:t>合同货物的质量保修期为最终验收合格之日起24个月。</w:t>
      </w:r>
      <w:r>
        <w:rPr>
          <w:rFonts w:hint="eastAsia" w:cs="方正仿宋_GB2312" w:asciiTheme="minorEastAsia" w:hAnsiTheme="minorEastAsia" w:eastAsiaTheme="minorEastAsia"/>
          <w:b w:val="0"/>
          <w:bCs w:val="0"/>
          <w:sz w:val="24"/>
          <w:szCs w:val="24"/>
          <w:lang w:eastAsia="zh-CN"/>
        </w:rPr>
        <w:t>在质保期内，设备确因制造质量不良而发生损坏或不能正常工作时，投标人应免费修理或更换并免费提供维修保养服务。更换的零部件的保修期从更换之日起再延长 1 年。对于隐蔽性的、合理的检查和试验都不能发觉到的缺陷，即使质量保证期已过，由于其产品本身的设计缺陷、制造缺陷、安装缺陷造成的故障，仍由投标人免费负责维修或更换</w:t>
      </w:r>
      <w:r>
        <w:rPr>
          <w:rFonts w:hint="eastAsia" w:cs="方正仿宋_GB2312" w:asciiTheme="minorEastAsia" w:hAnsiTheme="minorEastAsia" w:eastAsiaTheme="minorEastAsia"/>
          <w:bCs w:val="0"/>
          <w:sz w:val="24"/>
          <w:szCs w:val="24"/>
        </w:rPr>
        <w:t>。</w:t>
      </w:r>
    </w:p>
    <w:p w14:paraId="2CF19DF4">
      <w:pPr>
        <w:pStyle w:val="3"/>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ascii="宋体" w:hAnsi="宋体" w:eastAsia="宋体" w:cs="宋体"/>
          <w:kern w:val="2"/>
          <w:sz w:val="21"/>
          <w:szCs w:val="21"/>
          <w:lang w:eastAsia="zh-CN"/>
        </w:rPr>
        <w:t>★</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w:t>
      </w:r>
      <w:r>
        <w:rPr>
          <w:rFonts w:hint="eastAsia" w:cs="方正仿宋_GB2312" w:asciiTheme="minorEastAsia" w:hAnsiTheme="minorEastAsia" w:eastAsiaTheme="minorEastAsia"/>
          <w:kern w:val="2"/>
          <w:sz w:val="24"/>
          <w:szCs w:val="24"/>
          <w:u w:val="none"/>
          <w:lang w:eastAsia="zh-CN"/>
        </w:rPr>
        <w:t>应包括货物制造、检验、验收等，以及运至合同指定地点的运输、装卸、安装、调试及</w:t>
      </w:r>
      <w:r>
        <w:rPr>
          <w:rFonts w:hint="eastAsia" w:cs="方正仿宋_GB2312" w:asciiTheme="minorEastAsia" w:hAnsiTheme="minorEastAsia" w:eastAsiaTheme="minorEastAsia"/>
          <w:kern w:val="2"/>
          <w:sz w:val="24"/>
          <w:szCs w:val="24"/>
          <w:u w:val="none"/>
          <w:lang w:val="en-US" w:eastAsia="zh-CN"/>
        </w:rPr>
        <w:t>配合</w:t>
      </w:r>
      <w:r>
        <w:rPr>
          <w:rFonts w:hint="eastAsia" w:cs="方正仿宋_GB2312" w:asciiTheme="minorEastAsia" w:hAnsiTheme="minorEastAsia" w:eastAsiaTheme="minorEastAsia"/>
          <w:kern w:val="2"/>
          <w:sz w:val="24"/>
          <w:szCs w:val="24"/>
          <w:u w:val="none"/>
          <w:lang w:eastAsia="zh-CN"/>
        </w:rPr>
        <w:t>试运行、培训、质保期、缺陷责任期的服务、利润、风险和保险等一切费、税，指导安装费用不得单列</w:t>
      </w:r>
      <w:r>
        <w:rPr>
          <w:rFonts w:hint="eastAsia" w:cs="方正仿宋_GB2312" w:asciiTheme="minorEastAsia" w:hAnsiTheme="minorEastAsia" w:eastAsiaTheme="minorEastAsia"/>
          <w:kern w:val="2"/>
          <w:sz w:val="24"/>
          <w:szCs w:val="24"/>
          <w:u w:val="none"/>
          <w:lang w:val="en-US" w:eastAsia="zh-CN" w:bidi="ar-SA"/>
        </w:rPr>
        <w:t>。</w:t>
      </w:r>
    </w:p>
    <w:p w14:paraId="363F0F6B">
      <w:pPr>
        <w:pStyle w:val="3"/>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29</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3"/>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60" w:lineRule="exact"/>
        <w:ind w:firstLine="480" w:firstLineChars="200"/>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60" w:lineRule="exact"/>
        <w:ind w:firstLine="480" w:firstLineChars="200"/>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60" w:lineRule="exact"/>
        <w:ind w:firstLine="480" w:firstLineChars="200"/>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60" w:lineRule="exact"/>
        <w:ind w:firstLine="480" w:firstLineChars="200"/>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60" w:lineRule="exact"/>
        <w:ind w:firstLine="480" w:firstLineChars="200"/>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6</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24日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附件：设备清单及品牌要求</w:t>
      </w:r>
    </w:p>
    <w:p w14:paraId="245B7D72">
      <w:pPr>
        <w:numPr>
          <w:ilvl w:val="0"/>
          <w:numId w:val="3"/>
        </w:numPr>
        <w:adjustRightInd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设备清单</w:t>
      </w:r>
      <w:r>
        <w:rPr>
          <w:rFonts w:hint="eastAsia" w:ascii="宋体" w:hAnsi="宋体" w:eastAsia="宋体" w:cs="宋体"/>
          <w:b/>
          <w:bCs/>
          <w:color w:val="000000" w:themeColor="text1"/>
          <w:sz w:val="21"/>
          <w:szCs w:val="21"/>
          <w:highlight w:val="none"/>
          <w14:textFill>
            <w14:solidFill>
              <w14:schemeClr w14:val="tx1"/>
            </w14:solidFill>
          </w14:textFill>
        </w:rPr>
        <w:t>：</w:t>
      </w:r>
    </w:p>
    <w:tbl>
      <w:tblPr>
        <w:tblStyle w:val="13"/>
        <w:tblW w:w="9282"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440"/>
        <w:gridCol w:w="1929"/>
        <w:gridCol w:w="1375"/>
        <w:gridCol w:w="727"/>
        <w:gridCol w:w="1184"/>
        <w:gridCol w:w="1948"/>
      </w:tblGrid>
      <w:tr w14:paraId="68FB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C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A3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数量</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E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安装位置</w:t>
            </w:r>
          </w:p>
        </w:tc>
      </w:tr>
      <w:tr w14:paraId="29E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090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污泥调理罐</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6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尺寸</w:t>
            </w:r>
            <w:r>
              <w:rPr>
                <w:rFonts w:hint="eastAsia" w:ascii="宋体" w:hAnsi="宋体" w:eastAsia="宋体" w:cs="宋体"/>
                <w:i w:val="0"/>
                <w:iCs w:val="0"/>
                <w:color w:val="000000"/>
                <w:kern w:val="0"/>
                <w:sz w:val="21"/>
                <w:szCs w:val="21"/>
                <w:u w:val="none"/>
                <w:lang w:val="en-US" w:eastAsia="zh-CN" w:bidi="ar"/>
              </w:rPr>
              <w:t>Φ</w:t>
            </w:r>
            <w:r>
              <w:rPr>
                <w:rFonts w:hint="eastAsia" w:cs="宋体"/>
                <w:i w:val="0"/>
                <w:iCs w:val="0"/>
                <w:color w:val="000000"/>
                <w:kern w:val="0"/>
                <w:sz w:val="21"/>
                <w:szCs w:val="21"/>
                <w:u w:val="none"/>
                <w:lang w:val="en-US" w:eastAsia="zh-CN" w:bidi="ar"/>
              </w:rPr>
              <w:t>4m x 6.3m,有效容积50m</w:t>
            </w:r>
            <w:r>
              <w:rPr>
                <w:rFonts w:hint="eastAsia" w:cs="宋体"/>
                <w:i w:val="0"/>
                <w:iCs w:val="0"/>
                <w:color w:val="000000"/>
                <w:kern w:val="0"/>
                <w:sz w:val="21"/>
                <w:szCs w:val="21"/>
                <w:u w:val="none"/>
                <w:vertAlign w:val="superscript"/>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5C1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碳钢、加强级防腐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E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脱水机房</w:t>
            </w:r>
          </w:p>
        </w:tc>
      </w:tr>
    </w:tbl>
    <w:p w14:paraId="3F66422B">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备注：</w:t>
      </w:r>
    </w:p>
    <w:p w14:paraId="59D78259">
      <w:pPr>
        <w:widowControl/>
        <w:numPr>
          <w:ilvl w:val="0"/>
          <w:numId w:val="0"/>
        </w:numPr>
        <w:spacing w:line="360" w:lineRule="auto"/>
        <w:ind w:firstLine="0" w:firstLineChars="0"/>
        <w:jc w:val="left"/>
        <w:outlineLvl w:val="1"/>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1）投标人需负责的范围：</w:t>
      </w:r>
    </w:p>
    <w:p w14:paraId="53E279EB">
      <w:pPr>
        <w:widowControl/>
        <w:numPr>
          <w:ilvl w:val="0"/>
          <w:numId w:val="0"/>
        </w:numPr>
        <w:spacing w:line="360" w:lineRule="auto"/>
        <w:ind w:firstLine="0" w:firstLineChars="0"/>
        <w:jc w:val="left"/>
        <w:outlineLvl w:val="1"/>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污泥调理罐</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配套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安装附件、紧固件及专用工具</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等的供货、</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运输</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及卸货（卸货至甲方指定位置）、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卸货、安装</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调试并配合试运行、使用培训、质保维护</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3D3BCFBA">
      <w:pPr>
        <w:widowControl/>
        <w:numPr>
          <w:ilvl w:val="0"/>
          <w:numId w:val="0"/>
        </w:numPr>
        <w:spacing w:line="360" w:lineRule="auto"/>
        <w:ind w:left="0" w:leftChars="0" w:firstLine="0" w:firstLineChars="0"/>
        <w:jc w:val="left"/>
        <w:outlineLvl w:val="1"/>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★要求投标人对以上货物</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采用总价包干方式</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报价，应包括货物制造、检验、验收等，以及运至合同指定地点的运输、装卸、安装、调试及</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配合</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试运行、培训、质保期、缺陷责任期的服务、利润、风险和保险等一切费、税，指导安装费用不得单列。</w:t>
      </w:r>
    </w:p>
    <w:p w14:paraId="454C42DF">
      <w:pPr>
        <w:widowControl/>
        <w:numPr>
          <w:ilvl w:val="0"/>
          <w:numId w:val="0"/>
        </w:numPr>
        <w:spacing w:line="360" w:lineRule="auto"/>
        <w:ind w:left="0" w:leftChars="0" w:firstLine="0" w:firstLineChars="0"/>
        <w:jc w:val="left"/>
        <w:outlineLvl w:val="1"/>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3）本次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招标对象为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污泥调理罐</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功能性招标，涵括该成套设备系统的安装、调试。供货范围包括但不限于以上设备的设计、制造、工厂试验、保险、包装、运输和工地交货；提供为设备安装、试验、拆卸和重新组装所必需的专用工具、专用设备、配件和其它所需的特殊设备，提供设备运行和维修的备品配件；提交图纸、说明书和其它技术资料；中标人负责指导以上设备及其所有连接与辅助管道、线缆和辅助系统设备的安装、调试和试验，参与试运行试验和验收；接受甲方代表参加工厂监造、工厂验收；完成合同规定的协调工作，按照采购方提供的设备和管线6S标识标牌要求制作标识标牌和划线等。中标人的投标报价均含且不限于以上所有涉及的内容。</w:t>
      </w:r>
    </w:p>
    <w:p w14:paraId="274D2CD6">
      <w:pPr>
        <w:widowControl/>
        <w:numPr>
          <w:ilvl w:val="0"/>
          <w:numId w:val="0"/>
        </w:numPr>
        <w:spacing w:line="360" w:lineRule="auto"/>
        <w:ind w:left="0" w:leftChars="0" w:firstLine="0" w:firstLineChars="0"/>
        <w:jc w:val="left"/>
        <w:outlineLvl w:val="1"/>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本清单不得被认为是详尽无遗的，无论规定与否，乙方应提供满足该项目工艺技术要求的设备及所有业主未提及的必要的元件、器材、附件、配套设备和相应材料等。具体内容包括不限于《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采购清单</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》所列设备数量、参数、尺寸，以满足招标人需求为准，合同价格不变。</w:t>
      </w:r>
    </w:p>
    <w:p w14:paraId="55FB00FE">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14:paraId="375BB920">
      <w:pPr>
        <w:widowControl/>
        <w:numPr>
          <w:ilvl w:val="0"/>
          <w:numId w:val="3"/>
        </w:numPr>
        <w:adjustRightInd w:val="0"/>
        <w:snapToGrid w:val="0"/>
        <w:spacing w:line="360" w:lineRule="auto"/>
        <w:ind w:firstLine="0" w:firstLineChars="0"/>
        <w:jc w:val="left"/>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详细技术</w:t>
      </w:r>
      <w:r>
        <w:rPr>
          <w:rFonts w:hint="eastAsia" w:ascii="宋体" w:hAnsi="宋体" w:eastAsia="宋体" w:cs="宋体"/>
          <w:b/>
          <w:bCs/>
          <w:color w:val="000000" w:themeColor="text1"/>
          <w:szCs w:val="21"/>
          <w:highlight w:val="none"/>
          <w14:textFill>
            <w14:solidFill>
              <w14:schemeClr w14:val="tx1"/>
            </w14:solidFill>
          </w14:textFill>
        </w:rPr>
        <w:t>要求</w:t>
      </w:r>
    </w:p>
    <w:p w14:paraId="6E8759A2">
      <w:pPr>
        <w:widowControl w:val="0"/>
        <w:numPr>
          <w:ilvl w:val="0"/>
          <w:numId w:val="4"/>
        </w:numPr>
        <w:spacing w:before="55" w:line="360" w:lineRule="auto"/>
        <w:jc w:val="left"/>
        <w:outlineLvl w:val="1"/>
        <w:rPr>
          <w:rFonts w:hint="eastAsia" w:cs="宋体"/>
          <w:b/>
          <w:bCs/>
          <w:kern w:val="2"/>
          <w:sz w:val="21"/>
          <w:szCs w:val="21"/>
          <w:lang w:val="en-US" w:eastAsia="zh-CN"/>
        </w:rPr>
      </w:pPr>
      <w:r>
        <w:rPr>
          <w:rFonts w:hint="eastAsia" w:cs="宋体"/>
          <w:b/>
          <w:bCs/>
          <w:kern w:val="2"/>
          <w:sz w:val="21"/>
          <w:szCs w:val="21"/>
          <w:lang w:val="en-US" w:eastAsia="zh-CN"/>
        </w:rPr>
        <w:t>参数要求</w:t>
      </w:r>
    </w:p>
    <w:p w14:paraId="614E0156">
      <w:pPr>
        <w:widowControl w:val="0"/>
        <w:autoSpaceDE w:val="0"/>
        <w:autoSpaceDN w:val="0"/>
        <w:adjustRightIn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调理罐用于自来水厂余泥脱水机房内，承接经叠螺</w:t>
      </w:r>
      <w:r>
        <w:rPr>
          <w:rFonts w:hint="eastAsia" w:cs="宋体"/>
          <w:sz w:val="21"/>
          <w:szCs w:val="21"/>
          <w:lang w:val="en-US" w:eastAsia="zh-CN"/>
        </w:rPr>
        <w:t>脱水</w:t>
      </w:r>
      <w:r>
        <w:rPr>
          <w:rFonts w:hint="eastAsia" w:ascii="宋体" w:hAnsi="宋体" w:eastAsia="宋体" w:cs="宋体"/>
          <w:sz w:val="21"/>
          <w:szCs w:val="21"/>
          <w:lang w:val="en-US" w:eastAsia="zh-CN"/>
        </w:rPr>
        <w:t>机处理后含水率约</w:t>
      </w:r>
      <w:r>
        <w:rPr>
          <w:rFonts w:hint="eastAsia" w:cs="宋体"/>
          <w:sz w:val="21"/>
          <w:szCs w:val="21"/>
          <w:lang w:val="en-US" w:eastAsia="zh-CN"/>
        </w:rPr>
        <w:t>95</w:t>
      </w:r>
      <w:r>
        <w:rPr>
          <w:rFonts w:hint="eastAsia" w:ascii="宋体" w:hAnsi="宋体" w:eastAsia="宋体" w:cs="宋体"/>
          <w:sz w:val="21"/>
          <w:szCs w:val="21"/>
          <w:lang w:val="en-US" w:eastAsia="zh-CN"/>
        </w:rPr>
        <w:t>%的污泥，同时投加调理药剂对污泥进行调理，然后经过污泥泵输送至板框压滤机。</w:t>
      </w:r>
    </w:p>
    <w:p w14:paraId="4E757693">
      <w:pPr>
        <w:widowControl w:val="0"/>
        <w:autoSpaceDE w:val="0"/>
        <w:autoSpaceDN w:val="0"/>
        <w:adjustRightInd w:val="0"/>
        <w:spacing w:line="360" w:lineRule="auto"/>
        <w:ind w:firstLine="420" w:firstLineChars="200"/>
        <w:jc w:val="left"/>
        <w:rPr>
          <w:rFonts w:hint="eastAsia" w:cs="宋体"/>
          <w:b/>
          <w:bCs/>
          <w:sz w:val="21"/>
          <w:szCs w:val="21"/>
          <w:lang w:val="en-US" w:eastAsia="zh-CN"/>
        </w:rPr>
      </w:pPr>
      <w:r>
        <w:rPr>
          <w:rFonts w:hint="eastAsia" w:cs="宋体"/>
          <w:b/>
          <w:bCs/>
          <w:sz w:val="21"/>
          <w:szCs w:val="21"/>
          <w:lang w:val="en-US" w:eastAsia="zh-CN"/>
        </w:rPr>
        <w:t>1）污泥调理罐</w:t>
      </w:r>
    </w:p>
    <w:p w14:paraId="1DAF692B">
      <w:pPr>
        <w:widowControl w:val="0"/>
        <w:autoSpaceDE w:val="0"/>
        <w:autoSpaceDN w:val="0"/>
        <w:adjustRightInd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数量：2套</w:t>
      </w:r>
    </w:p>
    <w:p w14:paraId="04ED90B1">
      <w:pPr>
        <w:widowControl w:val="0"/>
        <w:autoSpaceDE w:val="0"/>
        <w:autoSpaceDN w:val="0"/>
        <w:adjustRightInd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尺寸</w:t>
      </w:r>
      <w:r>
        <w:rPr>
          <w:rFonts w:hint="eastAsia" w:ascii="宋体" w:hAnsi="宋体" w:eastAsia="宋体" w:cs="宋体"/>
          <w:b w:val="0"/>
          <w:bCs w:val="0"/>
          <w:sz w:val="21"/>
          <w:szCs w:val="21"/>
          <w:lang w:val="en-US" w:eastAsia="zh-CN"/>
        </w:rPr>
        <w:t>：</w:t>
      </w:r>
      <w:r>
        <w:rPr>
          <w:rFonts w:hint="eastAsia" w:ascii="宋体" w:hAnsi="宋体" w:eastAsia="宋体" w:cs="宋体"/>
          <w:i w:val="0"/>
          <w:iCs w:val="0"/>
          <w:color w:val="000000"/>
          <w:kern w:val="0"/>
          <w:sz w:val="21"/>
          <w:szCs w:val="21"/>
          <w:u w:val="none"/>
          <w:lang w:val="en-US" w:eastAsia="zh-CN" w:bidi="ar"/>
        </w:rPr>
        <w:t>Φ</w:t>
      </w:r>
      <w:r>
        <w:rPr>
          <w:rFonts w:hint="eastAsia" w:cs="宋体"/>
          <w:i w:val="0"/>
          <w:iCs w:val="0"/>
          <w:color w:val="000000"/>
          <w:kern w:val="0"/>
          <w:sz w:val="21"/>
          <w:szCs w:val="21"/>
          <w:u w:val="none"/>
          <w:lang w:val="en-US" w:eastAsia="zh-CN" w:bidi="ar"/>
        </w:rPr>
        <w:t>4m x 6.3m</w:t>
      </w:r>
    </w:p>
    <w:p w14:paraId="4D2C2955">
      <w:pPr>
        <w:widowControl w:val="0"/>
        <w:autoSpaceDE w:val="0"/>
        <w:autoSpaceDN w:val="0"/>
        <w:adjustRightInd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有效</w:t>
      </w:r>
      <w:r>
        <w:rPr>
          <w:rFonts w:hint="eastAsia" w:ascii="宋体" w:hAnsi="宋体" w:eastAsia="宋体" w:cs="宋体"/>
          <w:b w:val="0"/>
          <w:bCs w:val="0"/>
          <w:sz w:val="21"/>
          <w:szCs w:val="21"/>
          <w:lang w:val="en-US" w:eastAsia="zh-CN"/>
        </w:rPr>
        <w:t>容积：</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0m</w:t>
      </w:r>
      <w:r>
        <w:rPr>
          <w:rFonts w:hint="eastAsia" w:ascii="宋体" w:hAnsi="宋体" w:eastAsia="宋体" w:cs="宋体"/>
          <w:b w:val="0"/>
          <w:bCs w:val="0"/>
          <w:sz w:val="21"/>
          <w:szCs w:val="21"/>
          <w:vertAlign w:val="superscript"/>
          <w:lang w:val="en-US" w:eastAsia="zh-CN"/>
        </w:rPr>
        <w:t>3</w:t>
      </w:r>
    </w:p>
    <w:p w14:paraId="32062ADE">
      <w:pPr>
        <w:widowControl w:val="0"/>
        <w:autoSpaceDE w:val="0"/>
        <w:autoSpaceDN w:val="0"/>
        <w:adjustRightInd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w:t>
      </w:r>
      <w:r>
        <w:rPr>
          <w:rFonts w:hint="eastAsia" w:cs="宋体"/>
          <w:b w:val="0"/>
          <w:bCs w:val="0"/>
          <w:sz w:val="21"/>
          <w:szCs w:val="21"/>
          <w:lang w:val="en-US" w:eastAsia="zh-CN"/>
        </w:rPr>
        <w:t>优质</w:t>
      </w:r>
      <w:r>
        <w:rPr>
          <w:rFonts w:hint="eastAsia" w:ascii="宋体" w:hAnsi="宋体" w:eastAsia="宋体" w:cs="宋体"/>
          <w:b w:val="0"/>
          <w:bCs w:val="0"/>
          <w:sz w:val="21"/>
          <w:szCs w:val="21"/>
          <w:lang w:val="en-US" w:eastAsia="zh-CN"/>
        </w:rPr>
        <w:t>碳钢</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加强级防腐</w:t>
      </w:r>
      <w:r>
        <w:rPr>
          <w:rFonts w:hint="eastAsia" w:cs="宋体"/>
          <w:b w:val="0"/>
          <w:bCs w:val="0"/>
          <w:sz w:val="21"/>
          <w:szCs w:val="21"/>
          <w:lang w:val="en-US" w:eastAsia="zh-CN"/>
        </w:rPr>
        <w:t>；罐壁厚度不小于12mm。</w:t>
      </w:r>
    </w:p>
    <w:p w14:paraId="46FFC05C">
      <w:pPr>
        <w:pStyle w:val="2"/>
        <w:ind w:firstLine="420" w:firstLineChars="200"/>
        <w:rPr>
          <w:rFonts w:hint="default"/>
          <w:lang w:val="en-US" w:eastAsia="zh-CN"/>
        </w:rPr>
      </w:pPr>
      <w:r>
        <w:rPr>
          <w:rFonts w:hint="eastAsia" w:cs="宋体"/>
          <w:b w:val="0"/>
          <w:bCs w:val="0"/>
          <w:sz w:val="21"/>
          <w:szCs w:val="21"/>
          <w:lang w:val="en-US" w:eastAsia="zh-CN"/>
        </w:rPr>
        <w:t>管道接口：调理罐顶部预留污泥进泥管洞口，调理罐底部设置污泥DN400出泥短管（带法兰）和DN200排空口（带法兰），上部设置DN200的溢流管并延伸到地面。</w:t>
      </w:r>
    </w:p>
    <w:p w14:paraId="278CC7EE">
      <w:pPr>
        <w:rPr>
          <w:rFonts w:hint="default"/>
          <w:lang w:val="en-US" w:eastAsia="zh-CN"/>
        </w:rPr>
      </w:pPr>
    </w:p>
    <w:p w14:paraId="5225D855">
      <w:pPr>
        <w:bidi w:val="0"/>
        <w:rPr>
          <w:rFonts w:hint="eastAsia"/>
          <w:lang w:val="en-US" w:eastAsia="zh-CN"/>
        </w:rPr>
      </w:pPr>
    </w:p>
    <w:p w14:paraId="7BF3580A">
      <w:pPr>
        <w:widowControl w:val="0"/>
        <w:numPr>
          <w:ilvl w:val="0"/>
          <w:numId w:val="0"/>
        </w:numPr>
        <w:spacing w:before="55" w:line="360" w:lineRule="auto"/>
        <w:jc w:val="left"/>
        <w:outlineLvl w:val="1"/>
        <w:rPr>
          <w:rFonts w:hint="eastAsia" w:ascii="宋体" w:hAnsi="宋体" w:eastAsia="宋体" w:cs="宋体"/>
          <w:b/>
          <w:bCs/>
          <w:kern w:val="2"/>
          <w:sz w:val="21"/>
          <w:szCs w:val="21"/>
          <w:lang w:val="en-US"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val="en-US" w:eastAsia="zh-CN"/>
        </w:rPr>
        <w:t>一般通用设备</w:t>
      </w:r>
    </w:p>
    <w:p w14:paraId="626408EC">
      <w:pPr>
        <w:widowControl w:val="0"/>
        <w:spacing w:before="55" w:line="360" w:lineRule="auto"/>
        <w:jc w:val="left"/>
        <w:outlineLvl w:val="2"/>
        <w:rPr>
          <w:rFonts w:hint="default" w:ascii="宋体" w:hAnsi="宋体" w:eastAsia="宋体" w:cs="宋体"/>
          <w:b/>
          <w:bCs/>
          <w:kern w:val="2"/>
          <w:sz w:val="21"/>
          <w:szCs w:val="21"/>
          <w:lang w:val="en-US"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1机械设备</w:t>
      </w:r>
    </w:p>
    <w:p w14:paraId="560E7E1B">
      <w:pPr>
        <w:widowControl w:val="0"/>
        <w:shd w:val="clear" w:color="auto" w:fill="FFFFFF"/>
        <w:tabs>
          <w:tab w:val="left" w:pos="426"/>
        </w:tabs>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.1.1制造技术与材料</w:t>
      </w:r>
    </w:p>
    <w:p w14:paraId="6D3F532F">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（1）制造商或中标人提供的所有设备及材料必须是全新的、先进的、从未使用过的。材质和设计加工方面无任何缺陷，且耗能低，使用寿命长，维修量低。</w:t>
      </w:r>
    </w:p>
    <w:p w14:paraId="5F240387">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（2）所有设备必须依据最新、最佳的技术和工艺进行设计、制造与装配等工作。技术性能满足工厂的正常安全运行。设备的各部分零件应按标准的尺寸和规格制造，相同的零件应能互相更替。</w:t>
      </w:r>
    </w:p>
    <w:p w14:paraId="545AEC14">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（3）材质应适合各种操作情况，选择金属材料要考虑其强度、延伸性及耐用性。</w:t>
      </w:r>
    </w:p>
    <w:p w14:paraId="5FFD96FF">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.1.2安全防护</w:t>
      </w:r>
    </w:p>
    <w:p w14:paraId="6A9124D1">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(1）表面有油漆者，应能防止冲击、磨损、褪色或其他损坏。</w:t>
      </w:r>
    </w:p>
    <w:p w14:paraId="71771497">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 xml:space="preserve">.1.3设备基础和底座  </w:t>
      </w:r>
    </w:p>
    <w:p w14:paraId="13812F01">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除非另有规定，根据安装和使用的需求，所有钢板间的接口必须连续焊接及磨平。</w:t>
      </w:r>
    </w:p>
    <w:p w14:paraId="1BCB94E7">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.1.</w:t>
      </w:r>
      <w:r>
        <w:rPr>
          <w:rFonts w:hint="eastAsia" w:cs="宋体"/>
          <w:b/>
          <w:bCs/>
          <w:kern w:val="2"/>
          <w:sz w:val="21"/>
          <w:szCs w:val="21"/>
          <w:lang w:val="en-US" w:eastAsia="zh-CN"/>
        </w:rPr>
        <w:t>4</w:t>
      </w:r>
      <w:r>
        <w:rPr>
          <w:rFonts w:hint="eastAsia" w:ascii="宋体" w:hAnsi="宋体" w:eastAsia="宋体" w:cs="宋体"/>
          <w:b/>
          <w:bCs/>
          <w:kern w:val="2"/>
          <w:sz w:val="21"/>
          <w:szCs w:val="21"/>
          <w:lang w:eastAsia="zh-CN"/>
        </w:rPr>
        <w:t>铭牌</w:t>
      </w:r>
    </w:p>
    <w:p w14:paraId="718B8DE2">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设备的铭牌应当刻在或贴在金属片上，并紧固在设备外壳上，安装好后能清楚地看到。铭牌上写下述内容</w:t>
      </w:r>
      <w:r>
        <w:rPr>
          <w:rFonts w:hint="eastAsia" w:cs="宋体"/>
          <w:sz w:val="21"/>
          <w:szCs w:val="21"/>
          <w:lang w:eastAsia="zh-CN"/>
        </w:rPr>
        <w:t>（</w:t>
      </w:r>
      <w:r>
        <w:rPr>
          <w:rFonts w:hint="eastAsia" w:cs="宋体"/>
          <w:sz w:val="21"/>
          <w:szCs w:val="21"/>
          <w:lang w:val="en-US" w:eastAsia="zh-CN"/>
        </w:rPr>
        <w:t>铭牌最终内容由招标方确定，投标方无条件接受）</w:t>
      </w:r>
      <w:r>
        <w:rPr>
          <w:rFonts w:hint="eastAsia" w:ascii="宋体" w:hAnsi="宋体" w:eastAsia="宋体" w:cs="宋体"/>
          <w:sz w:val="21"/>
          <w:szCs w:val="21"/>
          <w:lang w:eastAsia="zh-CN"/>
        </w:rPr>
        <w:t>：</w:t>
      </w:r>
    </w:p>
    <w:p w14:paraId="0F1FB8AB">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(1）制造厂名称。</w:t>
      </w:r>
    </w:p>
    <w:p w14:paraId="144D83E4">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(2）设备的机型及其规格、性能参数指标等。</w:t>
      </w:r>
    </w:p>
    <w:p w14:paraId="16D61566">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(3）序列号。</w:t>
      </w:r>
    </w:p>
    <w:p w14:paraId="445CBE70">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(4）出厂年月。</w:t>
      </w:r>
    </w:p>
    <w:p w14:paraId="664EC3E7">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.1.</w:t>
      </w:r>
      <w:r>
        <w:rPr>
          <w:rFonts w:hint="eastAsia" w:cs="宋体"/>
          <w:b/>
          <w:bCs/>
          <w:kern w:val="2"/>
          <w:sz w:val="21"/>
          <w:szCs w:val="21"/>
          <w:lang w:val="en-US" w:eastAsia="zh-CN"/>
        </w:rPr>
        <w:t>5</w:t>
      </w:r>
      <w:r>
        <w:rPr>
          <w:rFonts w:hint="eastAsia" w:ascii="宋体" w:hAnsi="宋体" w:eastAsia="宋体" w:cs="宋体"/>
          <w:b/>
          <w:bCs/>
          <w:kern w:val="2"/>
          <w:sz w:val="21"/>
          <w:szCs w:val="21"/>
          <w:lang w:eastAsia="zh-CN"/>
        </w:rPr>
        <w:t>材料的防腐蚀</w:t>
      </w:r>
    </w:p>
    <w:p w14:paraId="0A836CAC">
      <w:pPr>
        <w:widowControl w:val="0"/>
        <w:autoSpaceDE w:val="0"/>
        <w:autoSpaceDN w:val="0"/>
        <w:adjustRightInd w:val="0"/>
        <w:spacing w:line="360" w:lineRule="auto"/>
        <w:ind w:firstLine="420" w:firstLineChars="200"/>
        <w:jc w:val="left"/>
        <w:rPr>
          <w:rFonts w:hint="eastAsia" w:cs="宋体"/>
          <w:b/>
          <w:bCs/>
          <w:kern w:val="2"/>
          <w:sz w:val="21"/>
          <w:szCs w:val="21"/>
          <w:lang w:val="en-US" w:eastAsia="zh-CN"/>
        </w:rPr>
      </w:pPr>
      <w:r>
        <w:rPr>
          <w:rFonts w:hint="eastAsia" w:ascii="宋体" w:hAnsi="宋体" w:eastAsia="宋体" w:cs="宋体"/>
          <w:sz w:val="21"/>
          <w:szCs w:val="21"/>
          <w:lang w:eastAsia="zh-CN"/>
        </w:rPr>
        <w:t>设备中所有在污水、有毒有害气体界面中或与化学品直接接触的所有部件，应具有抗腐蚀性和抗侵蚀性能。上述部件如在保证期间内出现腐蚀的迹象应由中标人将其更换成具有防腐性能的、合格的防锈材料，以满足长期使用的要求。</w:t>
      </w:r>
      <w:bookmarkStart w:id="4" w:name="_Toc7158"/>
      <w:bookmarkStart w:id="5" w:name="_Toc14301"/>
    </w:p>
    <w:bookmarkEnd w:id="4"/>
    <w:bookmarkEnd w:id="5"/>
    <w:p w14:paraId="5541A4DB">
      <w:pPr>
        <w:widowControl w:val="0"/>
        <w:spacing w:before="55" w:line="360" w:lineRule="auto"/>
        <w:jc w:val="left"/>
        <w:outlineLvl w:val="2"/>
        <w:rPr>
          <w:rFonts w:hint="eastAsia" w:ascii="宋体" w:hAnsi="宋体" w:eastAsia="宋体" w:cs="宋体"/>
          <w:b/>
          <w:bCs/>
          <w:kern w:val="2"/>
          <w:sz w:val="21"/>
          <w:szCs w:val="21"/>
          <w:lang w:eastAsia="zh-CN"/>
        </w:rPr>
      </w:pPr>
      <w:bookmarkStart w:id="6" w:name="_Toc9820"/>
      <w:bookmarkStart w:id="7" w:name="_Toc16934"/>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防蚀与涂装</w:t>
      </w:r>
      <w:bookmarkEnd w:id="6"/>
      <w:bookmarkEnd w:id="7"/>
    </w:p>
    <w:p w14:paraId="3C0E81B2">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.1工厂内涂装</w:t>
      </w:r>
    </w:p>
    <w:p w14:paraId="268922CE">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（1）除非另有规定，所有黑色金属所制造的设备，都应在制作现场进行涂装。</w:t>
      </w:r>
    </w:p>
    <w:p w14:paraId="7FC5C888">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25C206FD">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工厂涂装过的构件，要等到干燥期结束后，才可搬运。工厂内的涂装包括除锈打底漆和涂面漆。</w:t>
      </w:r>
    </w:p>
    <w:p w14:paraId="5435C6E8">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（2）所有的构造钢件、金属外壳以及其他的黑色金属构件，应当在工厂内除锈打底漆。</w:t>
      </w:r>
    </w:p>
    <w:p w14:paraId="5C83041E">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（3）工厂内涂装面层习惯上要做搪瓷表层的所有设备，或者需要做标准性工厂内的最后一道面层的所有设备，都应很好地进行涂装，以增强海洋运输或存放期过长时的保护作用。</w:t>
      </w:r>
    </w:p>
    <w:p w14:paraId="6759F391">
      <w:pPr>
        <w:keepNext/>
        <w:keepLines/>
        <w:widowControl/>
        <w:shd w:val="clear" w:color="auto" w:fill="FFFFFF"/>
        <w:tabs>
          <w:tab w:val="left" w:pos="426"/>
        </w:tabs>
        <w:autoSpaceDE/>
        <w:autoSpaceDN/>
        <w:adjustRightInd w:val="0"/>
        <w:snapToGrid w:val="0"/>
        <w:spacing w:line="360" w:lineRule="auto"/>
        <w:ind w:left="289" w:firstLine="0" w:firstLineChars="0"/>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.2涂料体系标准</w:t>
      </w:r>
    </w:p>
    <w:p w14:paraId="2FC821CE">
      <w:pPr>
        <w:widowControl w:val="0"/>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bCs/>
          <w:sz w:val="21"/>
          <w:szCs w:val="21"/>
          <w:lang w:eastAsia="zh-CN"/>
        </w:rPr>
        <w:t>本合同所规定的需进行的涂料体系，都要进行涂装前的表面处理工作。</w:t>
      </w:r>
      <w:r>
        <w:rPr>
          <w:rFonts w:hint="eastAsia" w:ascii="宋体" w:hAnsi="宋体" w:eastAsia="宋体" w:cs="宋体"/>
          <w:sz w:val="21"/>
          <w:szCs w:val="21"/>
          <w:lang w:eastAsia="zh-CN"/>
        </w:rPr>
        <w:t>表面处理应遵守中国标</w:t>
      </w:r>
      <w:r>
        <w:rPr>
          <w:rFonts w:hint="eastAsia" w:ascii="宋体" w:hAnsi="宋体" w:eastAsia="宋体" w:cs="宋体"/>
          <w:bCs/>
          <w:sz w:val="21"/>
          <w:szCs w:val="21"/>
          <w:lang w:eastAsia="zh-CN"/>
        </w:rPr>
        <w:t>准GB/T8923.1-2011的</w:t>
      </w:r>
      <w:r>
        <w:rPr>
          <w:rFonts w:hint="eastAsia" w:ascii="宋体" w:hAnsi="宋体" w:eastAsia="宋体" w:cs="宋体"/>
          <w:sz w:val="21"/>
          <w:szCs w:val="21"/>
          <w:lang w:eastAsia="zh-CN"/>
        </w:rPr>
        <w:t>规定或国际上等同或优于标准，</w:t>
      </w:r>
      <w:bookmarkStart w:id="10" w:name="_GoBack"/>
      <w:r>
        <w:rPr>
          <w:rFonts w:hint="eastAsia" w:ascii="宋体" w:hAnsi="宋体" w:eastAsia="宋体" w:cs="宋体"/>
          <w:sz w:val="21"/>
          <w:szCs w:val="21"/>
          <w:lang w:eastAsia="zh-CN"/>
        </w:rPr>
        <w:t>粗燥度</w:t>
      </w:r>
      <w:bookmarkEnd w:id="10"/>
      <w:r>
        <w:rPr>
          <w:rFonts w:hint="eastAsia" w:ascii="宋体" w:hAnsi="宋体" w:eastAsia="宋体" w:cs="宋体"/>
          <w:sz w:val="21"/>
          <w:szCs w:val="21"/>
          <w:lang w:eastAsia="zh-CN"/>
        </w:rPr>
        <w:t>不超过100μm。</w:t>
      </w:r>
    </w:p>
    <w:p w14:paraId="6DC2F15D">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体系A（环氧树脂漆体系）</w:t>
      </w:r>
    </w:p>
    <w:p w14:paraId="7C200956">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sz w:val="21"/>
          <w:szCs w:val="21"/>
          <w:highlight w:val="none"/>
        </w:rPr>
        <w:drawing>
          <wp:inline distT="0" distB="0" distL="114300" distR="114300">
            <wp:extent cx="5270500" cy="17056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6AF47B98">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体系B（沥青环氧树脂漆体系）</w:t>
      </w:r>
    </w:p>
    <w:p w14:paraId="086FB5CD">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sz w:val="21"/>
          <w:szCs w:val="21"/>
          <w:highlight w:val="none"/>
        </w:rPr>
        <w:drawing>
          <wp:inline distT="0" distB="0" distL="114300" distR="114300">
            <wp:extent cx="5271770" cy="151257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69AD091B">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体系C（镀锌面的涂料体系）</w:t>
      </w:r>
    </w:p>
    <w:p w14:paraId="2B81CB2A">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（1）表面处理和底漆。表面应当无潮气，无尘埃和其他的污染物质，应当用溶剂清洁剂来洗净表面，缺损的镀锌表面可用手动或电动的工具来刷净，应当遵守</w:t>
      </w:r>
      <w:r>
        <w:rPr>
          <w:rFonts w:hint="eastAsia" w:ascii="宋体" w:hAnsi="宋体" w:eastAsia="宋体" w:cs="宋体"/>
          <w:bCs/>
          <w:sz w:val="21"/>
          <w:szCs w:val="21"/>
          <w:lang w:eastAsia="zh-CN"/>
        </w:rPr>
        <w:t>GB/T8923.1-2011</w:t>
      </w:r>
      <w:r>
        <w:rPr>
          <w:rFonts w:hint="eastAsia" w:ascii="宋体" w:hAnsi="宋体" w:eastAsia="宋体" w:cs="宋体"/>
          <w:sz w:val="21"/>
          <w:szCs w:val="21"/>
          <w:lang w:eastAsia="zh-CN"/>
        </w:rPr>
        <w:t>或等同标准的规定来做表面处理和涂上蚀刻底漆，干化后的蚀刻底漆最小厚度为20μm。</w:t>
      </w:r>
    </w:p>
    <w:p w14:paraId="238000B0">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(2）涂层。表面处理过程结束后，体系A、B、C的涂料层即可实施，除非另有说明。</w:t>
      </w:r>
    </w:p>
    <w:p w14:paraId="0120D41F">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.3涂装范围</w:t>
      </w:r>
    </w:p>
    <w:p w14:paraId="643828EC">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前面规定的涂料体系，应当敷于下列的物体和表面上（除非另有规定）：</w:t>
      </w:r>
    </w:p>
    <w:p w14:paraId="031FA8BB">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(1）在腐蚀环境下，室内服务的未镀锌黑色金属表面：使用体系A。</w:t>
      </w:r>
    </w:p>
    <w:p w14:paraId="082246BD">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(2）浸入水中或间断浸水的钢表面（除不锈钢外）：使用体系B。</w:t>
      </w:r>
    </w:p>
    <w:p w14:paraId="73B26440">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(3）浸入水中或间断浸入水中的镀锌钢表面：使用体系C再加体系B。</w:t>
      </w:r>
    </w:p>
    <w:p w14:paraId="3994A335">
      <w:pPr>
        <w:widowControl w:val="0"/>
        <w:autoSpaceDE w:val="0"/>
        <w:autoSpaceDN w:val="0"/>
        <w:adjustRightIn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(4)涂装表面应当采取保护措施，使油漆后的表面不遭受撞击、摩擦、褪色以及其他因素的损伤，在设备被验收前所遭到的损坏，应当消除后再加涂，直到取得招标人的同意后，才算合格。</w:t>
      </w:r>
    </w:p>
    <w:p w14:paraId="06D79C37">
      <w:pPr>
        <w:widowControl w:val="0"/>
        <w:spacing w:before="55" w:line="360" w:lineRule="auto"/>
        <w:jc w:val="left"/>
        <w:outlineLvl w:val="2"/>
        <w:rPr>
          <w:rFonts w:hint="eastAsia" w:ascii="宋体" w:hAnsi="宋体" w:eastAsia="宋体" w:cs="宋体"/>
          <w:b/>
          <w:bCs/>
          <w:kern w:val="2"/>
          <w:sz w:val="21"/>
          <w:szCs w:val="21"/>
          <w:lang w:eastAsia="zh-CN"/>
        </w:rPr>
      </w:pPr>
      <w:bookmarkStart w:id="8" w:name="_Toc31585"/>
      <w:bookmarkStart w:id="9" w:name="_Toc11554"/>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3</w:t>
      </w:r>
      <w:r>
        <w:rPr>
          <w:rFonts w:hint="eastAsia" w:ascii="宋体" w:hAnsi="宋体" w:eastAsia="宋体" w:cs="宋体"/>
          <w:b/>
          <w:bCs/>
          <w:kern w:val="2"/>
          <w:sz w:val="21"/>
          <w:szCs w:val="21"/>
          <w:lang w:eastAsia="zh-CN"/>
        </w:rPr>
        <w:t>备品及其他</w:t>
      </w:r>
      <w:bookmarkEnd w:id="8"/>
      <w:bookmarkEnd w:id="9"/>
    </w:p>
    <w:p w14:paraId="60F71698">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kern w:val="2"/>
          <w:sz w:val="21"/>
          <w:szCs w:val="21"/>
          <w:lang w:eastAsia="zh-CN"/>
        </w:rPr>
      </w:pPr>
      <w:r>
        <w:rPr>
          <w:rFonts w:hint="eastAsia" w:cs="宋体"/>
          <w:b/>
          <w:bCs/>
          <w:kern w:val="2"/>
          <w:sz w:val="21"/>
          <w:szCs w:val="21"/>
          <w:lang w:val="en-US" w:eastAsia="zh-CN"/>
        </w:rPr>
        <w:t>2</w:t>
      </w:r>
      <w:r>
        <w:rPr>
          <w:rFonts w:hint="eastAsia" w:ascii="宋体" w:hAnsi="宋体" w:eastAsia="宋体" w:cs="宋体"/>
          <w:b/>
          <w:bCs/>
          <w:kern w:val="2"/>
          <w:sz w:val="21"/>
          <w:szCs w:val="21"/>
          <w:lang w:eastAsia="zh-CN"/>
        </w:rPr>
        <w:t>.</w:t>
      </w:r>
      <w:r>
        <w:rPr>
          <w:rFonts w:hint="eastAsia" w:cs="宋体"/>
          <w:b/>
          <w:bCs/>
          <w:kern w:val="2"/>
          <w:sz w:val="21"/>
          <w:szCs w:val="21"/>
          <w:lang w:val="en-US" w:eastAsia="zh-CN"/>
        </w:rPr>
        <w:t>3</w:t>
      </w:r>
      <w:r>
        <w:rPr>
          <w:rFonts w:hint="eastAsia" w:ascii="宋体" w:hAnsi="宋体" w:eastAsia="宋体" w:cs="宋体"/>
          <w:b/>
          <w:bCs/>
          <w:kern w:val="2"/>
          <w:sz w:val="21"/>
          <w:szCs w:val="21"/>
          <w:lang w:eastAsia="zh-CN"/>
        </w:rPr>
        <w:t>.1法兰和螺纹接口</w:t>
      </w:r>
    </w:p>
    <w:p w14:paraId="272CC6F5">
      <w:pPr>
        <w:widowControl w:val="0"/>
        <w:autoSpaceDE w:val="0"/>
        <w:autoSpaceDN w:val="0"/>
        <w:adjustRightInd w:val="0"/>
        <w:snapToGrid/>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 w:val="21"/>
          <w:szCs w:val="21"/>
          <w:lang w:eastAsia="zh-CN"/>
        </w:rPr>
        <w:t>法兰接口：中标人供货设备及管道之间的法兰连接，其规格必须符合GB/T 9113-2010标准。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4728AF54-1C99-4501-9516-177B2B9F207E}"/>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2" w:fontKey="{D7F3C665-FE92-402F-BDE1-6BA26E741F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01574"/>
    <w:multiLevelType w:val="singleLevel"/>
    <w:tmpl w:val="E3101574"/>
    <w:lvl w:ilvl="0" w:tentative="0">
      <w:start w:val="1"/>
      <w:numFmt w:val="decimal"/>
      <w:lvlText w:val="%1."/>
      <w:lvlJc w:val="left"/>
      <w:pPr>
        <w:tabs>
          <w:tab w:val="left" w:pos="312"/>
        </w:tabs>
      </w:pPr>
    </w:lvl>
  </w:abstractNum>
  <w:abstractNum w:abstractNumId="1">
    <w:nsid w:val="36DC5CD2"/>
    <w:multiLevelType w:val="multilevel"/>
    <w:tmpl w:val="36DC5CD2"/>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E55112D"/>
    <w:multiLevelType w:val="singleLevel"/>
    <w:tmpl w:val="4E55112D"/>
    <w:lvl w:ilvl="0" w:tentative="0">
      <w:start w:val="1"/>
      <w:numFmt w:val="chineseCounting"/>
      <w:suff w:val="nothing"/>
      <w:lvlText w:val="%1、"/>
      <w:lvlJc w:val="left"/>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6"/>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AC80B61"/>
    <w:rsid w:val="0CAF0C10"/>
    <w:rsid w:val="0F2365B3"/>
    <w:rsid w:val="0F2A1335"/>
    <w:rsid w:val="0FF1606A"/>
    <w:rsid w:val="10032FC1"/>
    <w:rsid w:val="11700C20"/>
    <w:rsid w:val="118B758B"/>
    <w:rsid w:val="13047F9F"/>
    <w:rsid w:val="13C84D9A"/>
    <w:rsid w:val="14602331"/>
    <w:rsid w:val="14D92C59"/>
    <w:rsid w:val="156F29B6"/>
    <w:rsid w:val="16421E79"/>
    <w:rsid w:val="16DA77C2"/>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B9603ED"/>
    <w:rsid w:val="3DC34AC6"/>
    <w:rsid w:val="41E00614"/>
    <w:rsid w:val="422A1E4C"/>
    <w:rsid w:val="4359453E"/>
    <w:rsid w:val="470F137F"/>
    <w:rsid w:val="479C4639"/>
    <w:rsid w:val="47BA48C9"/>
    <w:rsid w:val="48317431"/>
    <w:rsid w:val="485E07ED"/>
    <w:rsid w:val="48D12A65"/>
    <w:rsid w:val="4A3330F1"/>
    <w:rsid w:val="4ABC6A44"/>
    <w:rsid w:val="4B5B33DD"/>
    <w:rsid w:val="4C123AC0"/>
    <w:rsid w:val="4F5A1A06"/>
    <w:rsid w:val="51D33F5C"/>
    <w:rsid w:val="521511FE"/>
    <w:rsid w:val="54BA300C"/>
    <w:rsid w:val="565B37BE"/>
    <w:rsid w:val="56E3499B"/>
    <w:rsid w:val="59200FF6"/>
    <w:rsid w:val="59676D0A"/>
    <w:rsid w:val="5B47711E"/>
    <w:rsid w:val="5C272E65"/>
    <w:rsid w:val="5C866E59"/>
    <w:rsid w:val="5CD1684C"/>
    <w:rsid w:val="5DB916A5"/>
    <w:rsid w:val="5F2149BC"/>
    <w:rsid w:val="5F9C6797"/>
    <w:rsid w:val="60297DE7"/>
    <w:rsid w:val="62595B4D"/>
    <w:rsid w:val="628C31FA"/>
    <w:rsid w:val="67FF5BBB"/>
    <w:rsid w:val="6A340D0D"/>
    <w:rsid w:val="6A682DD1"/>
    <w:rsid w:val="6E7066F8"/>
    <w:rsid w:val="6EE4547E"/>
    <w:rsid w:val="6FF70753"/>
    <w:rsid w:val="71DF224B"/>
    <w:rsid w:val="72A915F4"/>
    <w:rsid w:val="73696E97"/>
    <w:rsid w:val="74904600"/>
    <w:rsid w:val="74DA720D"/>
    <w:rsid w:val="75A22D55"/>
    <w:rsid w:val="76B22123"/>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4">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5">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6">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caption"/>
    <w:basedOn w:val="1"/>
    <w:next w:val="1"/>
    <w:autoRedefine/>
    <w:semiHidden/>
    <w:unhideWhenUsed/>
    <w:qFormat/>
    <w:uiPriority w:val="0"/>
    <w:pPr>
      <w:jc w:val="center"/>
    </w:pPr>
    <w:rPr>
      <w:rFonts w:ascii="Arial" w:hAnsi="Arial" w:eastAsia="黑体"/>
      <w:sz w:val="24"/>
    </w:rPr>
  </w:style>
  <w:style w:type="paragraph" w:styleId="8">
    <w:name w:val="annotation text"/>
    <w:basedOn w:val="1"/>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Body Text 2"/>
    <w:basedOn w:val="1"/>
    <w:qFormat/>
    <w:uiPriority w:val="0"/>
    <w:pPr>
      <w:widowControl/>
      <w:jc w:val="left"/>
    </w:pPr>
    <w:rPr>
      <w:rFonts w:ascii="楷体_GB2312" w:eastAsia="楷体_GB2312"/>
      <w:color w:val="000000"/>
      <w:kern w:val="0"/>
      <w:szCs w:val="21"/>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7"/>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图表文字"/>
    <w:qFormat/>
    <w:uiPriority w:val="0"/>
    <w:pPr>
      <w:jc w:val="center"/>
    </w:pPr>
    <w:rPr>
      <w:rFonts w:ascii="Times New Roman" w:hAnsi="Times New Roman" w:eastAsia="宋体" w:cs="Times New Roman"/>
      <w:sz w:val="21"/>
      <w:lang w:val="en-US" w:eastAsia="zh-CN" w:bidi="ar-SA"/>
    </w:rPr>
  </w:style>
  <w:style w:type="paragraph" w:customStyle="1" w:styleId="30">
    <w:name w:val="样式5"/>
    <w:basedOn w:val="1"/>
    <w:qFormat/>
    <w:uiPriority w:val="0"/>
    <w:pPr>
      <w:spacing w:line="360" w:lineRule="auto"/>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3939</Words>
  <Characters>4137</Characters>
  <Lines>49</Lines>
  <Paragraphs>13</Paragraphs>
  <TotalTime>6</TotalTime>
  <ScaleCrop>false</ScaleCrop>
  <LinksUpToDate>false</LinksUpToDate>
  <CharactersWithSpaces>4147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Ng Jung Joeng</cp:lastModifiedBy>
  <dcterms:modified xsi:type="dcterms:W3CDTF">2025-06-24T09:29:30Z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6D68B451DA8140E09DAB1A2D07E23715_13</vt:lpwstr>
  </property>
  <property fmtid="{D5CDD505-2E9C-101B-9397-08002B2CF9AE}" pid="4" name="KSOTemplateDocerSaveRecord">
    <vt:lpwstr>eyJoZGlkIjoiMWY3NWUxM2E1ODEzMmU0NjI5YTU0YThhOTk0ZWFmODUiLCJ1c2VySWQiOiIzNzkwOTEzMjgifQ==</vt:lpwstr>
  </property>
</Properties>
</file>